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953F66">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953F66" w:rsidP="00953F66">
            <w:pPr>
              <w:jc w:val="right"/>
            </w:pPr>
            <w:r w:rsidRPr="00953F66">
              <w:rPr>
                <w:sz w:val="40"/>
              </w:rPr>
              <w:t>ECE</w:t>
            </w:r>
            <w:r>
              <w:t>/TRANS/WP.29/2019/15</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ja-JP"/>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953F66" w:rsidP="00C97039">
            <w:pPr>
              <w:spacing w:before="240"/>
            </w:pPr>
            <w:r>
              <w:t xml:space="preserve">Distr. </w:t>
            </w:r>
            <w:proofErr w:type="gramStart"/>
            <w:r>
              <w:t>générale</w:t>
            </w:r>
            <w:proofErr w:type="gramEnd"/>
          </w:p>
          <w:p w:rsidR="00953F66" w:rsidRDefault="00953F66" w:rsidP="00953F66">
            <w:pPr>
              <w:spacing w:line="240" w:lineRule="exact"/>
            </w:pPr>
            <w:r>
              <w:t>14 décembre 2018</w:t>
            </w:r>
          </w:p>
          <w:p w:rsidR="00953F66" w:rsidRDefault="00953F66" w:rsidP="00953F66">
            <w:pPr>
              <w:spacing w:line="240" w:lineRule="exact"/>
            </w:pPr>
            <w:r>
              <w:t>Français</w:t>
            </w:r>
          </w:p>
          <w:p w:rsidR="00953F66" w:rsidRPr="00DB58B5" w:rsidRDefault="00953F66" w:rsidP="00953F66">
            <w:pPr>
              <w:spacing w:line="240" w:lineRule="exact"/>
            </w:pPr>
            <w:r>
              <w:t>Original</w:t>
            </w:r>
            <w:r w:rsidR="00F32235">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953F66" w:rsidRDefault="00953F66"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953F66" w:rsidRDefault="00953F66" w:rsidP="00AF0CB5">
      <w:pPr>
        <w:spacing w:before="120" w:line="240" w:lineRule="exact"/>
        <w:rPr>
          <w:b/>
        </w:rPr>
      </w:pPr>
      <w:r>
        <w:rPr>
          <w:b/>
        </w:rPr>
        <w:t>177</w:t>
      </w:r>
      <w:r w:rsidRPr="00953F66">
        <w:rPr>
          <w:b/>
          <w:vertAlign w:val="superscript"/>
        </w:rPr>
        <w:t>e</w:t>
      </w:r>
      <w:r>
        <w:rPr>
          <w:b/>
        </w:rPr>
        <w:t> session</w:t>
      </w:r>
    </w:p>
    <w:p w:rsidR="00953F66" w:rsidRPr="002D5EDE" w:rsidRDefault="00953F66" w:rsidP="00953F66">
      <w:r w:rsidRPr="002D5EDE">
        <w:rPr>
          <w:lang w:val="fr-FR"/>
        </w:rPr>
        <w:t>Genève, 12-15 mars 2019</w:t>
      </w:r>
    </w:p>
    <w:p w:rsidR="00953F66" w:rsidRPr="002D5EDE" w:rsidRDefault="00953F66" w:rsidP="00953F66">
      <w:r w:rsidRPr="002D5EDE">
        <w:rPr>
          <w:lang w:val="fr-FR"/>
        </w:rPr>
        <w:t>Point 4.8.8 de l’ordre du jour provisoire</w:t>
      </w:r>
    </w:p>
    <w:p w:rsidR="00953F66" w:rsidRPr="002D5EDE" w:rsidRDefault="00953F66" w:rsidP="00953F66">
      <w:pPr>
        <w:rPr>
          <w:b/>
          <w:bCs/>
        </w:rPr>
      </w:pPr>
      <w:r w:rsidRPr="002D5EDE">
        <w:rPr>
          <w:b/>
          <w:lang w:val="fr-FR"/>
        </w:rPr>
        <w:t>Accord de 1958</w:t>
      </w:r>
      <w:r w:rsidR="00F32235">
        <w:rPr>
          <w:b/>
          <w:lang w:val="fr-FR"/>
        </w:rPr>
        <w:t> :</w:t>
      </w:r>
      <w:r w:rsidRPr="002D5EDE">
        <w:rPr>
          <w:b/>
          <w:lang w:val="fr-FR"/>
        </w:rPr>
        <w:t xml:space="preserve"> Examen de projets d’amendements </w:t>
      </w:r>
      <w:r>
        <w:rPr>
          <w:b/>
          <w:lang w:val="fr-FR"/>
        </w:rPr>
        <w:br/>
      </w:r>
      <w:r w:rsidRPr="002D5EDE">
        <w:rPr>
          <w:b/>
          <w:lang w:val="fr-FR"/>
        </w:rPr>
        <w:t xml:space="preserve">à des Règlements </w:t>
      </w:r>
      <w:r>
        <w:rPr>
          <w:b/>
          <w:lang w:val="fr-FR"/>
        </w:rPr>
        <w:t xml:space="preserve">ONU </w:t>
      </w:r>
      <w:r w:rsidRPr="002D5EDE">
        <w:rPr>
          <w:b/>
          <w:lang w:val="fr-FR"/>
        </w:rPr>
        <w:t xml:space="preserve">existants, soumis par le GRSG </w:t>
      </w:r>
    </w:p>
    <w:p w:rsidR="00953F66" w:rsidRPr="002D5EDE" w:rsidRDefault="00953F66" w:rsidP="00953F66">
      <w:pPr>
        <w:pStyle w:val="HChG"/>
      </w:pPr>
      <w:r>
        <w:rPr>
          <w:lang w:val="fr-FR"/>
        </w:rPr>
        <w:tab/>
      </w:r>
      <w:r>
        <w:rPr>
          <w:lang w:val="fr-FR"/>
        </w:rPr>
        <w:tab/>
      </w:r>
      <w:r w:rsidRPr="002D5EDE">
        <w:rPr>
          <w:lang w:val="fr-FR"/>
        </w:rPr>
        <w:t xml:space="preserve">Proposition de complément 5 au Règlement ONU </w:t>
      </w:r>
      <w:r w:rsidRPr="00953F66">
        <w:rPr>
          <w:rFonts w:eastAsia="MS Mincho"/>
          <w:szCs w:val="22"/>
          <w:lang w:val="fr-FR"/>
        </w:rPr>
        <w:t>n</w:t>
      </w:r>
      <w:r w:rsidRPr="00953F66">
        <w:rPr>
          <w:rFonts w:eastAsia="MS Mincho"/>
          <w:szCs w:val="22"/>
          <w:vertAlign w:val="superscript"/>
          <w:lang w:val="fr-FR"/>
        </w:rPr>
        <w:t>o</w:t>
      </w:r>
      <w:r>
        <w:rPr>
          <w:lang w:val="fr-FR"/>
        </w:rPr>
        <w:t> </w:t>
      </w:r>
      <w:r w:rsidRPr="002D5EDE">
        <w:rPr>
          <w:lang w:val="fr-FR"/>
        </w:rPr>
        <w:t>122 (Systèmes de chauffage)</w:t>
      </w:r>
    </w:p>
    <w:p w:rsidR="00953F66" w:rsidRPr="002D5EDE" w:rsidRDefault="00953F66" w:rsidP="00953F66">
      <w:pPr>
        <w:pStyle w:val="H1G"/>
      </w:pPr>
      <w:r>
        <w:rPr>
          <w:lang w:val="fr-FR"/>
        </w:rPr>
        <w:tab/>
      </w:r>
      <w:r>
        <w:rPr>
          <w:lang w:val="fr-FR"/>
        </w:rPr>
        <w:tab/>
      </w:r>
      <w:r w:rsidRPr="002D5EDE">
        <w:rPr>
          <w:lang w:val="fr-FR"/>
        </w:rPr>
        <w:t xml:space="preserve">Communication du Groupe de travail des dispositions générales </w:t>
      </w:r>
      <w:r>
        <w:rPr>
          <w:lang w:val="fr-FR"/>
        </w:rPr>
        <w:br/>
      </w:r>
      <w:r w:rsidRPr="002D5EDE">
        <w:rPr>
          <w:lang w:val="fr-FR"/>
        </w:rPr>
        <w:t>de sécurité</w:t>
      </w:r>
      <w:r w:rsidRPr="00F01540">
        <w:rPr>
          <w:rStyle w:val="FootnoteReference"/>
          <w:b w:val="0"/>
          <w:sz w:val="20"/>
          <w:vertAlign w:val="baseline"/>
        </w:rPr>
        <w:footnoteReference w:customMarkFollows="1" w:id="2"/>
        <w:t>*</w:t>
      </w:r>
    </w:p>
    <w:p w:rsidR="00953F66" w:rsidRDefault="00953F66" w:rsidP="00953F66">
      <w:pPr>
        <w:pStyle w:val="SingleTxtG"/>
        <w:ind w:firstLine="567"/>
        <w:rPr>
          <w:lang w:val="fr-FR"/>
        </w:rPr>
      </w:pPr>
      <w:r w:rsidRPr="00F01540">
        <w:rPr>
          <w:spacing w:val="-2"/>
          <w:lang w:val="fr-FR"/>
        </w:rPr>
        <w:t>Le texte ci-après a été adopté par le Groupe de travail des dispositions générales de sécurité (GRSG) à sa 115</w:t>
      </w:r>
      <w:r w:rsidR="00F01540" w:rsidRPr="00F01540">
        <w:rPr>
          <w:spacing w:val="-2"/>
          <w:vertAlign w:val="superscript"/>
          <w:lang w:val="fr-FR"/>
        </w:rPr>
        <w:t>e</w:t>
      </w:r>
      <w:r w:rsidR="00F01540">
        <w:rPr>
          <w:spacing w:val="-2"/>
          <w:lang w:val="fr-FR"/>
        </w:rPr>
        <w:t> </w:t>
      </w:r>
      <w:r w:rsidRPr="00F01540">
        <w:rPr>
          <w:spacing w:val="-2"/>
          <w:lang w:val="fr-FR"/>
        </w:rPr>
        <w:t>session (ECE/TRANS/WP.29/GRSG/94, par. 55). Il est fondé</w:t>
      </w:r>
      <w:r w:rsidRPr="002D5EDE">
        <w:rPr>
          <w:lang w:val="fr-FR"/>
        </w:rPr>
        <w:t xml:space="preserve"> </w:t>
      </w:r>
      <w:r w:rsidRPr="00F01540">
        <w:rPr>
          <w:spacing w:val="-2"/>
          <w:lang w:val="fr-FR"/>
        </w:rPr>
        <w:t>sur les documents ECE/TRANS/WP.29/GRSG/2018/21 et ECE/TRANS/WP.29/GRSG/2018/22,</w:t>
      </w:r>
      <w:r w:rsidRPr="002D5EDE">
        <w:rPr>
          <w:lang w:val="fr-FR"/>
        </w:rPr>
        <w:t xml:space="preserve"> tels qu’ils sont reproduits à l’annexe IV du rapport. Il est soumis au Forum mondial de l’harmonisation des Règlements concernant les véhicules (WP.29) et au Comité d’administration (AC.1) pour examen à leurs sessions de mars 2019.</w:t>
      </w:r>
    </w:p>
    <w:p w:rsidR="00953F66" w:rsidRPr="002D5EDE" w:rsidRDefault="00953F66" w:rsidP="00016417">
      <w:pPr>
        <w:pStyle w:val="HChG"/>
      </w:pPr>
      <w:r>
        <w:rPr>
          <w:lang w:val="fr-FR"/>
        </w:rPr>
        <w:br w:type="page"/>
      </w:r>
      <w:r w:rsidRPr="002D5EDE">
        <w:rPr>
          <w:lang w:val="fr-FR"/>
        </w:rPr>
        <w:lastRenderedPageBreak/>
        <w:tab/>
      </w:r>
      <w:r w:rsidRPr="002D5EDE">
        <w:rPr>
          <w:lang w:val="fr-FR"/>
        </w:rPr>
        <w:tab/>
        <w:t xml:space="preserve">Complément 5 au Règlement ONU </w:t>
      </w:r>
      <w:r w:rsidR="00016417" w:rsidRPr="00016417">
        <w:rPr>
          <w:rFonts w:eastAsia="MS Mincho"/>
          <w:szCs w:val="22"/>
          <w:lang w:val="fr-FR"/>
        </w:rPr>
        <w:t>n</w:t>
      </w:r>
      <w:r w:rsidR="00016417" w:rsidRPr="00016417">
        <w:rPr>
          <w:rFonts w:eastAsia="MS Mincho"/>
          <w:szCs w:val="22"/>
          <w:vertAlign w:val="superscript"/>
          <w:lang w:val="fr-FR"/>
        </w:rPr>
        <w:t>o</w:t>
      </w:r>
      <w:r w:rsidR="00016417">
        <w:rPr>
          <w:lang w:val="fr-FR"/>
        </w:rPr>
        <w:t> </w:t>
      </w:r>
      <w:r w:rsidRPr="002D5EDE">
        <w:rPr>
          <w:lang w:val="fr-FR"/>
        </w:rPr>
        <w:t xml:space="preserve">122 </w:t>
      </w:r>
      <w:r w:rsidR="00016417">
        <w:rPr>
          <w:lang w:val="fr-FR"/>
        </w:rPr>
        <w:br/>
      </w:r>
      <w:r w:rsidRPr="002D5EDE">
        <w:rPr>
          <w:lang w:val="fr-FR"/>
        </w:rPr>
        <w:t>(Systèmes de chauffage)</w:t>
      </w:r>
    </w:p>
    <w:p w:rsidR="00953F66" w:rsidRPr="002D5EDE" w:rsidRDefault="00953F66" w:rsidP="00016417">
      <w:pPr>
        <w:pStyle w:val="SingleTxtG"/>
        <w:rPr>
          <w:rFonts w:eastAsia="SimSun"/>
          <w:bCs/>
        </w:rPr>
      </w:pPr>
      <w:r w:rsidRPr="00016417">
        <w:rPr>
          <w:i/>
          <w:lang w:val="fr-FR"/>
        </w:rPr>
        <w:t>Paragraphe 5.3</w:t>
      </w:r>
      <w:r w:rsidRPr="002D5EDE">
        <w:rPr>
          <w:lang w:val="fr-FR"/>
        </w:rPr>
        <w:t>, lire</w:t>
      </w:r>
      <w:r w:rsidR="00F32235">
        <w:rPr>
          <w:lang w:val="fr-FR"/>
        </w:rPr>
        <w:t> :</w:t>
      </w:r>
    </w:p>
    <w:p w:rsidR="00953F66" w:rsidRPr="002D5EDE" w:rsidRDefault="00953F66" w:rsidP="00016417">
      <w:pPr>
        <w:pStyle w:val="SingleTxtG"/>
        <w:ind w:left="2268" w:hanging="1134"/>
        <w:rPr>
          <w:rFonts w:eastAsia="SimSun"/>
        </w:rPr>
      </w:pPr>
      <w:r>
        <w:rPr>
          <w:lang w:val="fr-FR"/>
        </w:rPr>
        <w:t>« </w:t>
      </w:r>
      <w:r w:rsidRPr="002D5EDE">
        <w:rPr>
          <w:lang w:val="fr-FR"/>
        </w:rPr>
        <w:t>5.3</w:t>
      </w:r>
      <w:r w:rsidRPr="002D5EDE">
        <w:rPr>
          <w:lang w:val="fr-FR"/>
        </w:rPr>
        <w:tab/>
        <w:t>Prescriptions relatives au montage des chauffages à combustion, des chauffages électriques et des systèmes de chauffage à pompe à chaleur dans les véhicules.</w:t>
      </w:r>
      <w:r>
        <w:rPr>
          <w:lang w:val="fr-FR"/>
        </w:rPr>
        <w:t> ».</w:t>
      </w:r>
    </w:p>
    <w:p w:rsidR="00953F66" w:rsidRPr="002D5EDE" w:rsidRDefault="00953F66" w:rsidP="00016417">
      <w:pPr>
        <w:pStyle w:val="SingleTxtG"/>
        <w:rPr>
          <w:rFonts w:eastAsia="SimSun"/>
        </w:rPr>
      </w:pPr>
      <w:r w:rsidRPr="00016417">
        <w:rPr>
          <w:i/>
          <w:lang w:val="fr-FR"/>
        </w:rPr>
        <w:t>Paragraphe</w:t>
      </w:r>
      <w:r w:rsidRPr="002D5EDE">
        <w:rPr>
          <w:i/>
          <w:iCs/>
          <w:lang w:val="fr-FR"/>
        </w:rPr>
        <w:t xml:space="preserve"> 6.1.5</w:t>
      </w:r>
      <w:r w:rsidRPr="002D5EDE">
        <w:rPr>
          <w:lang w:val="fr-FR"/>
        </w:rPr>
        <w:t>, lire :</w:t>
      </w:r>
    </w:p>
    <w:p w:rsidR="00953F66" w:rsidRPr="002D5EDE" w:rsidRDefault="00953F66" w:rsidP="00016417">
      <w:pPr>
        <w:pStyle w:val="SingleTxtG"/>
        <w:ind w:left="2268" w:hanging="1134"/>
        <w:rPr>
          <w:rFonts w:eastAsia="SimSun"/>
        </w:rPr>
      </w:pPr>
      <w:r>
        <w:rPr>
          <w:lang w:val="fr-FR"/>
        </w:rPr>
        <w:t>« </w:t>
      </w:r>
      <w:r w:rsidRPr="002D5EDE">
        <w:rPr>
          <w:lang w:val="fr-FR"/>
        </w:rPr>
        <w:t>6.1.5</w:t>
      </w:r>
      <w:r w:rsidRPr="002D5EDE">
        <w:rPr>
          <w:lang w:val="fr-FR"/>
        </w:rPr>
        <w:tab/>
      </w:r>
      <w:r w:rsidR="00F32235" w:rsidRPr="00F32235">
        <w:t>“</w:t>
      </w:r>
      <w:r w:rsidRPr="002D5EDE">
        <w:rPr>
          <w:lang w:val="fr-FR"/>
        </w:rPr>
        <w:t>Chauffage électrique</w:t>
      </w:r>
      <w:r w:rsidR="00F32235" w:rsidRPr="00F32235">
        <w:t>”</w:t>
      </w:r>
      <w:r w:rsidRPr="002D5EDE">
        <w:rPr>
          <w:lang w:val="fr-FR"/>
        </w:rPr>
        <w:t>, un dispositif utilisant l’énergie électrique d’une source embarquée ou externe pour augmenter la température à l’intérieur du véhicule. Les dispositifs électriques qui sont installés en plus du système de chauffage principal et dont la fonction principale n’est pas de chauffer l’intérieur du véhicule ne sont pas considérés comme des chauffages électriques au titre du présent Règlement. Par exemple, les dispositifs électriques installés dans un composant aux seules fins de chauffage de ce composant ne sont pas considérés comme étant des chauffages électriques au titre du présent Règlement.</w:t>
      </w:r>
      <w:r>
        <w:rPr>
          <w:lang w:val="fr-FR"/>
        </w:rPr>
        <w:t> ».</w:t>
      </w:r>
    </w:p>
    <w:p w:rsidR="00953F66" w:rsidRPr="002D5EDE" w:rsidRDefault="00953F66" w:rsidP="00016417">
      <w:pPr>
        <w:pStyle w:val="SingleTxtG"/>
        <w:rPr>
          <w:rFonts w:eastAsia="SimSun"/>
        </w:rPr>
      </w:pPr>
      <w:r w:rsidRPr="002D5EDE">
        <w:rPr>
          <w:i/>
          <w:iCs/>
          <w:lang w:val="fr-FR"/>
        </w:rPr>
        <w:t xml:space="preserve">Ajouter </w:t>
      </w:r>
      <w:r w:rsidRPr="00016417">
        <w:rPr>
          <w:i/>
          <w:lang w:val="fr-FR"/>
        </w:rPr>
        <w:t>un</w:t>
      </w:r>
      <w:r w:rsidRPr="002D5EDE">
        <w:rPr>
          <w:i/>
          <w:iCs/>
          <w:lang w:val="fr-FR"/>
        </w:rPr>
        <w:t xml:space="preserve"> nouveau paragraphe</w:t>
      </w:r>
      <w:r>
        <w:rPr>
          <w:i/>
          <w:iCs/>
          <w:lang w:val="fr-FR"/>
        </w:rPr>
        <w:t>,</w:t>
      </w:r>
      <w:r w:rsidRPr="002D5EDE">
        <w:rPr>
          <w:i/>
          <w:iCs/>
          <w:lang w:val="fr-FR"/>
        </w:rPr>
        <w:t xml:space="preserve"> 6.1.6</w:t>
      </w:r>
      <w:r w:rsidRPr="002D5EDE">
        <w:rPr>
          <w:lang w:val="fr-FR"/>
        </w:rPr>
        <w:t>, ainsi conçu</w:t>
      </w:r>
      <w:r w:rsidR="00F32235">
        <w:rPr>
          <w:lang w:val="fr-FR"/>
        </w:rPr>
        <w:t> :</w:t>
      </w:r>
    </w:p>
    <w:p w:rsidR="00953F66" w:rsidRPr="002D5EDE" w:rsidRDefault="00953F66" w:rsidP="00016417">
      <w:pPr>
        <w:pStyle w:val="SingleTxtG"/>
        <w:ind w:left="2268" w:hanging="1134"/>
        <w:rPr>
          <w:rFonts w:eastAsia="SimSun"/>
        </w:rPr>
      </w:pPr>
      <w:r>
        <w:rPr>
          <w:lang w:val="fr-FR"/>
        </w:rPr>
        <w:t>« </w:t>
      </w:r>
      <w:r w:rsidRPr="002D5EDE">
        <w:rPr>
          <w:lang w:val="fr-FR"/>
        </w:rPr>
        <w:t>6.1.6</w:t>
      </w:r>
      <w:r w:rsidRPr="002D5EDE">
        <w:rPr>
          <w:lang w:val="fr-FR"/>
        </w:rPr>
        <w:tab/>
      </w:r>
      <w:r w:rsidR="00F32235" w:rsidRPr="00F32235">
        <w:t>“</w:t>
      </w:r>
      <w:r w:rsidRPr="002D5EDE">
        <w:rPr>
          <w:lang w:val="fr-FR"/>
        </w:rPr>
        <w:t>Système de chauffage à pompe à chaleur</w:t>
      </w:r>
      <w:r w:rsidR="00F32235" w:rsidRPr="00F32235">
        <w:t>”</w:t>
      </w:r>
      <w:r w:rsidRPr="002D5EDE">
        <w:rPr>
          <w:lang w:val="fr-FR"/>
        </w:rPr>
        <w:t xml:space="preserve">, tout équipement de chauffage thermodynamique dit à énergie renouvelable qui prélève les calories présentes dans un milieu (air ou eau) pour les transférer vers un autre milieu en vue d’augmenter la température à l’intérieur du véhicule. Les systèmes de chauffage </w:t>
      </w:r>
      <w:r>
        <w:rPr>
          <w:iCs/>
          <w:lang w:val="fr-FR"/>
        </w:rPr>
        <w:t>à</w:t>
      </w:r>
      <w:r w:rsidRPr="002D5EDE">
        <w:rPr>
          <w:lang w:val="fr-FR"/>
        </w:rPr>
        <w:t xml:space="preserve"> pompe à chaleur qui sont installés en plus du système de chauffage principal et dont la fonction principale n’est pas de chauffer </w:t>
      </w:r>
      <w:r>
        <w:rPr>
          <w:iCs/>
          <w:lang w:val="fr-FR"/>
        </w:rPr>
        <w:t xml:space="preserve">l’intérieur </w:t>
      </w:r>
      <w:r w:rsidRPr="002D5EDE">
        <w:rPr>
          <w:lang w:val="fr-FR"/>
        </w:rPr>
        <w:t xml:space="preserve">du véhicule ne sont pas considérés comme des systèmes de chauffage </w:t>
      </w:r>
      <w:r>
        <w:rPr>
          <w:iCs/>
          <w:lang w:val="fr-FR"/>
        </w:rPr>
        <w:t>à</w:t>
      </w:r>
      <w:r w:rsidRPr="002D5EDE">
        <w:rPr>
          <w:lang w:val="fr-FR"/>
        </w:rPr>
        <w:t xml:space="preserve"> pompe à chaleur au sens du présent Règlement.</w:t>
      </w:r>
      <w:r w:rsidR="00F32235">
        <w:rPr>
          <w:lang w:val="fr-FR"/>
        </w:rPr>
        <w:t> </w:t>
      </w:r>
      <w:r w:rsidRPr="002D5EDE">
        <w:rPr>
          <w:lang w:val="fr-FR"/>
        </w:rPr>
        <w:t>»</w:t>
      </w:r>
      <w:r>
        <w:rPr>
          <w:lang w:val="fr-FR"/>
        </w:rPr>
        <w:t>.</w:t>
      </w:r>
    </w:p>
    <w:p w:rsidR="00953F66" w:rsidRPr="002D5EDE" w:rsidRDefault="00953F66" w:rsidP="00016417">
      <w:pPr>
        <w:pStyle w:val="SingleTxtG"/>
        <w:rPr>
          <w:rFonts w:eastAsia="SimSun"/>
          <w:i/>
          <w:iCs/>
        </w:rPr>
      </w:pPr>
      <w:r w:rsidRPr="00016417">
        <w:rPr>
          <w:i/>
          <w:lang w:val="fr-FR"/>
        </w:rPr>
        <w:t>Paragraphe</w:t>
      </w:r>
      <w:r w:rsidRPr="002D5EDE">
        <w:rPr>
          <w:i/>
          <w:iCs/>
          <w:lang w:val="fr-FR"/>
        </w:rPr>
        <w:t xml:space="preserve"> 6.2.1, tableau</w:t>
      </w:r>
      <w:r w:rsidRPr="002D5EDE">
        <w:rPr>
          <w:lang w:val="fr-FR"/>
        </w:rPr>
        <w:t>, ajouter la ligne suivante</w:t>
      </w:r>
      <w:r w:rsidR="00F32235">
        <w:rPr>
          <w:lang w:val="fr-FR"/>
        </w:rPr>
        <w:t> :</w:t>
      </w:r>
    </w:p>
    <w:p w:rsidR="00953F66" w:rsidRPr="002D5EDE" w:rsidRDefault="00953F66" w:rsidP="00016417">
      <w:pPr>
        <w:pStyle w:val="SingleTxtG"/>
        <w:rPr>
          <w:lang w:val="en-GB" w:eastAsia="zh-CN"/>
        </w:rPr>
      </w:pPr>
      <w:r w:rsidRPr="00310D29">
        <w:rPr>
          <w:lang w:val="en-GB" w:eastAsia="zh-CN"/>
        </w:rPr>
        <w:t>«</w:t>
      </w:r>
    </w:p>
    <w:tbl>
      <w:tblPr>
        <w:tblW w:w="0" w:type="auto"/>
        <w:tblInd w:w="1134" w:type="dxa"/>
        <w:tblLayout w:type="fixed"/>
        <w:tblCellMar>
          <w:left w:w="0" w:type="dxa"/>
          <w:right w:w="0" w:type="dxa"/>
        </w:tblCellMar>
        <w:tblLook w:val="04A0" w:firstRow="1" w:lastRow="0" w:firstColumn="1" w:lastColumn="0" w:noHBand="0" w:noVBand="1"/>
      </w:tblPr>
      <w:tblGrid>
        <w:gridCol w:w="1191"/>
        <w:gridCol w:w="1191"/>
        <w:gridCol w:w="1418"/>
        <w:gridCol w:w="1191"/>
        <w:gridCol w:w="1191"/>
        <w:gridCol w:w="1191"/>
      </w:tblGrid>
      <w:tr w:rsidR="00016417" w:rsidRPr="00016417" w:rsidTr="00AF79C0">
        <w:trPr>
          <w:tblHeader/>
        </w:trPr>
        <w:tc>
          <w:tcPr>
            <w:tcW w:w="1191" w:type="dxa"/>
            <w:tcBorders>
              <w:top w:val="single" w:sz="4" w:space="0" w:color="auto"/>
              <w:bottom w:val="single" w:sz="12" w:space="0" w:color="auto"/>
            </w:tcBorders>
            <w:shd w:val="clear" w:color="auto" w:fill="auto"/>
            <w:tcMar>
              <w:left w:w="108" w:type="dxa"/>
            </w:tcMar>
            <w:vAlign w:val="bottom"/>
          </w:tcPr>
          <w:p w:rsidR="00953F66" w:rsidRPr="00016417" w:rsidRDefault="00953F66" w:rsidP="00016417">
            <w:pPr>
              <w:spacing w:before="80" w:after="80" w:line="200" w:lineRule="exact"/>
              <w:ind w:right="113"/>
              <w:rPr>
                <w:i/>
                <w:sz w:val="16"/>
                <w:lang w:val="fr-FR" w:eastAsia="fr-FR"/>
              </w:rPr>
            </w:pPr>
            <w:r w:rsidRPr="00016417">
              <w:rPr>
                <w:i/>
                <w:sz w:val="16"/>
                <w:lang w:val="fr-FR" w:eastAsia="zh-CN"/>
              </w:rPr>
              <w:t xml:space="preserve">Système </w:t>
            </w:r>
            <w:r w:rsidR="00016417">
              <w:rPr>
                <w:i/>
                <w:sz w:val="16"/>
                <w:lang w:val="fr-FR" w:eastAsia="zh-CN"/>
              </w:rPr>
              <w:br/>
            </w:r>
            <w:r w:rsidRPr="00016417">
              <w:rPr>
                <w:i/>
                <w:sz w:val="16"/>
                <w:lang w:val="fr-FR" w:eastAsia="zh-CN"/>
              </w:rPr>
              <w:t>de chauffage</w:t>
            </w:r>
          </w:p>
        </w:tc>
        <w:tc>
          <w:tcPr>
            <w:tcW w:w="1191" w:type="dxa"/>
            <w:tcBorders>
              <w:top w:val="single" w:sz="4" w:space="0" w:color="auto"/>
              <w:bottom w:val="single" w:sz="12" w:space="0" w:color="auto"/>
            </w:tcBorders>
            <w:shd w:val="clear" w:color="auto" w:fill="auto"/>
            <w:tcMar>
              <w:left w:w="108" w:type="dxa"/>
            </w:tcMar>
            <w:vAlign w:val="bottom"/>
          </w:tcPr>
          <w:p w:rsidR="00953F66" w:rsidRPr="00016417" w:rsidRDefault="00953F66" w:rsidP="00016417">
            <w:pPr>
              <w:spacing w:before="80" w:after="80" w:line="200" w:lineRule="exact"/>
              <w:ind w:right="113"/>
              <w:rPr>
                <w:i/>
                <w:sz w:val="16"/>
                <w:lang w:val="fr-FR" w:eastAsia="zh-CN"/>
              </w:rPr>
            </w:pPr>
            <w:r w:rsidRPr="00016417">
              <w:rPr>
                <w:i/>
                <w:sz w:val="16"/>
                <w:lang w:val="fr-FR" w:eastAsia="zh-CN"/>
              </w:rPr>
              <w:t xml:space="preserve">Catégorie </w:t>
            </w:r>
            <w:r w:rsidR="00016417">
              <w:rPr>
                <w:i/>
                <w:sz w:val="16"/>
                <w:lang w:val="fr-FR" w:eastAsia="zh-CN"/>
              </w:rPr>
              <w:br/>
            </w:r>
            <w:r w:rsidRPr="00016417">
              <w:rPr>
                <w:i/>
                <w:sz w:val="16"/>
                <w:lang w:val="fr-FR" w:eastAsia="zh-CN"/>
              </w:rPr>
              <w:t>de véhicule</w:t>
            </w:r>
          </w:p>
        </w:tc>
        <w:tc>
          <w:tcPr>
            <w:tcW w:w="1418" w:type="dxa"/>
            <w:tcBorders>
              <w:top w:val="single" w:sz="4" w:space="0" w:color="auto"/>
              <w:bottom w:val="single" w:sz="12" w:space="0" w:color="auto"/>
            </w:tcBorders>
            <w:shd w:val="clear" w:color="auto" w:fill="auto"/>
            <w:tcMar>
              <w:left w:w="108" w:type="dxa"/>
            </w:tcMar>
            <w:vAlign w:val="bottom"/>
          </w:tcPr>
          <w:p w:rsidR="00953F66" w:rsidRPr="00016417" w:rsidRDefault="00953F66" w:rsidP="00016417">
            <w:pPr>
              <w:spacing w:before="80" w:after="80" w:line="200" w:lineRule="exact"/>
              <w:ind w:right="113"/>
              <w:rPr>
                <w:i/>
                <w:sz w:val="16"/>
                <w:lang w:val="fr-FR" w:eastAsia="zh-CN"/>
              </w:rPr>
            </w:pPr>
            <w:r w:rsidRPr="00016417">
              <w:rPr>
                <w:i/>
                <w:sz w:val="16"/>
                <w:lang w:val="fr-FR" w:eastAsia="zh-CN"/>
              </w:rPr>
              <w:t>Annexe 4</w:t>
            </w:r>
            <w:r w:rsidRPr="00016417">
              <w:rPr>
                <w:i/>
                <w:sz w:val="16"/>
                <w:lang w:val="fr-FR" w:eastAsia="zh-CN"/>
              </w:rPr>
              <w:br/>
              <w:t>Qualité de l’air</w:t>
            </w:r>
          </w:p>
        </w:tc>
        <w:tc>
          <w:tcPr>
            <w:tcW w:w="1191" w:type="dxa"/>
            <w:tcBorders>
              <w:top w:val="single" w:sz="4" w:space="0" w:color="auto"/>
              <w:bottom w:val="single" w:sz="12" w:space="0" w:color="auto"/>
            </w:tcBorders>
            <w:shd w:val="clear" w:color="auto" w:fill="auto"/>
            <w:tcMar>
              <w:left w:w="108" w:type="dxa"/>
            </w:tcMar>
            <w:vAlign w:val="bottom"/>
          </w:tcPr>
          <w:p w:rsidR="00953F66" w:rsidRPr="00016417" w:rsidRDefault="00953F66" w:rsidP="00016417">
            <w:pPr>
              <w:spacing w:before="80" w:after="80" w:line="200" w:lineRule="exact"/>
              <w:ind w:right="113"/>
              <w:rPr>
                <w:i/>
                <w:sz w:val="16"/>
                <w:lang w:val="fr-FR" w:eastAsia="zh-CN"/>
              </w:rPr>
            </w:pPr>
            <w:r w:rsidRPr="00016417">
              <w:rPr>
                <w:i/>
                <w:sz w:val="16"/>
                <w:lang w:val="fr-FR" w:eastAsia="zh-CN"/>
              </w:rPr>
              <w:t>Annexe 5</w:t>
            </w:r>
            <w:r w:rsidRPr="00016417">
              <w:rPr>
                <w:i/>
                <w:sz w:val="16"/>
                <w:lang w:val="fr-FR" w:eastAsia="zh-CN"/>
              </w:rPr>
              <w:br/>
              <w:t>Température</w:t>
            </w:r>
          </w:p>
        </w:tc>
        <w:tc>
          <w:tcPr>
            <w:tcW w:w="1191" w:type="dxa"/>
            <w:tcBorders>
              <w:top w:val="single" w:sz="4" w:space="0" w:color="auto"/>
              <w:bottom w:val="single" w:sz="12" w:space="0" w:color="auto"/>
            </w:tcBorders>
            <w:shd w:val="clear" w:color="auto" w:fill="auto"/>
            <w:tcMar>
              <w:left w:w="108" w:type="dxa"/>
            </w:tcMar>
            <w:vAlign w:val="bottom"/>
          </w:tcPr>
          <w:p w:rsidR="00953F66" w:rsidRPr="00016417" w:rsidRDefault="00953F66" w:rsidP="00016417">
            <w:pPr>
              <w:spacing w:before="80" w:after="80" w:line="200" w:lineRule="exact"/>
              <w:ind w:right="113"/>
              <w:rPr>
                <w:i/>
                <w:sz w:val="16"/>
                <w:lang w:val="fr-FR" w:eastAsia="zh-CN"/>
              </w:rPr>
            </w:pPr>
            <w:r w:rsidRPr="00016417">
              <w:rPr>
                <w:i/>
                <w:sz w:val="16"/>
                <w:lang w:val="fr-FR" w:eastAsia="zh-CN"/>
              </w:rPr>
              <w:t>Annexe 6</w:t>
            </w:r>
            <w:r w:rsidRPr="00016417">
              <w:rPr>
                <w:i/>
                <w:sz w:val="16"/>
                <w:lang w:val="fr-FR" w:eastAsia="zh-CN"/>
              </w:rPr>
              <w:br/>
              <w:t>Échappement</w:t>
            </w:r>
          </w:p>
        </w:tc>
        <w:tc>
          <w:tcPr>
            <w:tcW w:w="1191" w:type="dxa"/>
            <w:tcBorders>
              <w:top w:val="single" w:sz="4" w:space="0" w:color="auto"/>
              <w:bottom w:val="single" w:sz="12" w:space="0" w:color="auto"/>
            </w:tcBorders>
            <w:shd w:val="clear" w:color="auto" w:fill="auto"/>
            <w:tcMar>
              <w:left w:w="108" w:type="dxa"/>
            </w:tcMar>
            <w:vAlign w:val="bottom"/>
          </w:tcPr>
          <w:p w:rsidR="00953F66" w:rsidRPr="00016417" w:rsidRDefault="00953F66" w:rsidP="00016417">
            <w:pPr>
              <w:spacing w:before="80" w:after="80" w:line="200" w:lineRule="exact"/>
              <w:ind w:right="113"/>
              <w:rPr>
                <w:i/>
                <w:sz w:val="16"/>
                <w:lang w:val="fr-FR" w:eastAsia="zh-CN"/>
              </w:rPr>
            </w:pPr>
            <w:r w:rsidRPr="00016417">
              <w:rPr>
                <w:i/>
                <w:sz w:val="16"/>
                <w:lang w:val="fr-FR" w:eastAsia="zh-CN"/>
              </w:rPr>
              <w:t>Annexe 8</w:t>
            </w:r>
            <w:r w:rsidRPr="00016417">
              <w:rPr>
                <w:i/>
                <w:sz w:val="16"/>
                <w:lang w:val="fr-FR" w:eastAsia="zh-CN"/>
              </w:rPr>
              <w:br/>
              <w:t>Sécurité GPL</w:t>
            </w:r>
          </w:p>
        </w:tc>
      </w:tr>
      <w:tr w:rsidR="00016417" w:rsidRPr="00016417" w:rsidTr="00AF79C0">
        <w:trPr>
          <w:trHeight w:hRule="exact" w:val="113"/>
          <w:tblHeader/>
        </w:trPr>
        <w:tc>
          <w:tcPr>
            <w:tcW w:w="1191" w:type="dxa"/>
            <w:tcBorders>
              <w:top w:val="single" w:sz="12" w:space="0" w:color="auto"/>
            </w:tcBorders>
            <w:shd w:val="clear" w:color="auto" w:fill="auto"/>
            <w:tcMar>
              <w:left w:w="108" w:type="dxa"/>
            </w:tcMar>
          </w:tcPr>
          <w:p w:rsidR="00016417" w:rsidRPr="00016417" w:rsidRDefault="00016417" w:rsidP="00016417">
            <w:pPr>
              <w:spacing w:before="40" w:after="120"/>
              <w:ind w:right="113"/>
              <w:rPr>
                <w:lang w:val="fr-FR" w:eastAsia="zh-CN"/>
              </w:rPr>
            </w:pPr>
          </w:p>
        </w:tc>
        <w:tc>
          <w:tcPr>
            <w:tcW w:w="1191" w:type="dxa"/>
            <w:tcBorders>
              <w:top w:val="single" w:sz="12" w:space="0" w:color="auto"/>
            </w:tcBorders>
            <w:shd w:val="clear" w:color="auto" w:fill="auto"/>
            <w:tcMar>
              <w:left w:w="108" w:type="dxa"/>
            </w:tcMar>
          </w:tcPr>
          <w:p w:rsidR="00016417" w:rsidRPr="00016417" w:rsidRDefault="00016417" w:rsidP="00016417">
            <w:pPr>
              <w:spacing w:before="40" w:after="120"/>
              <w:ind w:right="113"/>
              <w:rPr>
                <w:lang w:val="fr-FR" w:eastAsia="zh-CN"/>
              </w:rPr>
            </w:pPr>
          </w:p>
        </w:tc>
        <w:tc>
          <w:tcPr>
            <w:tcW w:w="1418" w:type="dxa"/>
            <w:tcBorders>
              <w:top w:val="single" w:sz="12" w:space="0" w:color="auto"/>
            </w:tcBorders>
            <w:shd w:val="clear" w:color="auto" w:fill="auto"/>
            <w:tcMar>
              <w:left w:w="108" w:type="dxa"/>
            </w:tcMar>
          </w:tcPr>
          <w:p w:rsidR="00016417" w:rsidRPr="00016417" w:rsidRDefault="00016417" w:rsidP="00016417">
            <w:pPr>
              <w:spacing w:before="40" w:after="120"/>
              <w:ind w:right="113"/>
              <w:rPr>
                <w:lang w:val="fr-FR" w:eastAsia="zh-CN"/>
              </w:rPr>
            </w:pPr>
          </w:p>
        </w:tc>
        <w:tc>
          <w:tcPr>
            <w:tcW w:w="1191" w:type="dxa"/>
            <w:tcBorders>
              <w:top w:val="single" w:sz="12" w:space="0" w:color="auto"/>
            </w:tcBorders>
            <w:shd w:val="clear" w:color="auto" w:fill="auto"/>
            <w:tcMar>
              <w:left w:w="108" w:type="dxa"/>
            </w:tcMar>
          </w:tcPr>
          <w:p w:rsidR="00016417" w:rsidRPr="00016417" w:rsidRDefault="00016417" w:rsidP="00016417">
            <w:pPr>
              <w:spacing w:before="40" w:after="120"/>
              <w:ind w:right="113"/>
              <w:rPr>
                <w:lang w:val="fr-FR" w:eastAsia="zh-CN"/>
              </w:rPr>
            </w:pPr>
          </w:p>
        </w:tc>
        <w:tc>
          <w:tcPr>
            <w:tcW w:w="1191" w:type="dxa"/>
            <w:tcBorders>
              <w:top w:val="single" w:sz="12" w:space="0" w:color="auto"/>
            </w:tcBorders>
            <w:shd w:val="clear" w:color="auto" w:fill="auto"/>
            <w:tcMar>
              <w:left w:w="108" w:type="dxa"/>
            </w:tcMar>
          </w:tcPr>
          <w:p w:rsidR="00016417" w:rsidRPr="00016417" w:rsidRDefault="00016417" w:rsidP="00016417">
            <w:pPr>
              <w:spacing w:before="40" w:after="120"/>
              <w:ind w:right="113"/>
              <w:rPr>
                <w:lang w:val="fr-FR" w:eastAsia="zh-CN"/>
              </w:rPr>
            </w:pPr>
          </w:p>
        </w:tc>
        <w:tc>
          <w:tcPr>
            <w:tcW w:w="1191" w:type="dxa"/>
            <w:tcBorders>
              <w:top w:val="single" w:sz="12" w:space="0" w:color="auto"/>
            </w:tcBorders>
            <w:shd w:val="clear" w:color="auto" w:fill="auto"/>
            <w:tcMar>
              <w:left w:w="108" w:type="dxa"/>
            </w:tcMar>
          </w:tcPr>
          <w:p w:rsidR="00016417" w:rsidRPr="00016417" w:rsidRDefault="00016417" w:rsidP="00016417">
            <w:pPr>
              <w:spacing w:before="40" w:after="120"/>
              <w:ind w:right="113"/>
              <w:rPr>
                <w:lang w:val="fr-FR" w:eastAsia="zh-CN"/>
              </w:rPr>
            </w:pPr>
          </w:p>
        </w:tc>
      </w:tr>
      <w:tr w:rsidR="00016417" w:rsidRPr="00016417" w:rsidTr="00AF79C0">
        <w:tc>
          <w:tcPr>
            <w:tcW w:w="1191" w:type="dxa"/>
            <w:shd w:val="clear" w:color="auto" w:fill="auto"/>
            <w:tcMar>
              <w:left w:w="108" w:type="dxa"/>
            </w:tcMar>
          </w:tcPr>
          <w:p w:rsidR="00953F66" w:rsidRPr="00016417" w:rsidRDefault="00953F66" w:rsidP="00016417">
            <w:pPr>
              <w:spacing w:before="40" w:after="120"/>
              <w:ind w:right="113"/>
              <w:rPr>
                <w:lang w:val="fr-FR" w:eastAsia="zh-CN"/>
              </w:rPr>
            </w:pPr>
            <w:r w:rsidRPr="00016417">
              <w:rPr>
                <w:lang w:val="fr-FR" w:eastAsia="zh-CN"/>
              </w:rPr>
              <w:t>…</w:t>
            </w:r>
          </w:p>
        </w:tc>
        <w:tc>
          <w:tcPr>
            <w:tcW w:w="1191" w:type="dxa"/>
            <w:shd w:val="clear" w:color="auto" w:fill="auto"/>
            <w:tcMar>
              <w:left w:w="108" w:type="dxa"/>
            </w:tcMar>
          </w:tcPr>
          <w:p w:rsidR="00953F66" w:rsidRPr="00016417" w:rsidRDefault="00953F66" w:rsidP="00016417">
            <w:pPr>
              <w:spacing w:before="40" w:after="120"/>
              <w:ind w:right="113"/>
              <w:rPr>
                <w:lang w:val="fr-FR" w:eastAsia="zh-CN"/>
              </w:rPr>
            </w:pPr>
            <w:r w:rsidRPr="00016417">
              <w:rPr>
                <w:lang w:val="fr-FR" w:eastAsia="zh-CN"/>
              </w:rPr>
              <w:t>…</w:t>
            </w:r>
          </w:p>
        </w:tc>
        <w:tc>
          <w:tcPr>
            <w:tcW w:w="1418" w:type="dxa"/>
            <w:shd w:val="clear" w:color="auto" w:fill="auto"/>
            <w:tcMar>
              <w:left w:w="108" w:type="dxa"/>
            </w:tcMar>
          </w:tcPr>
          <w:p w:rsidR="00953F66" w:rsidRPr="00016417" w:rsidRDefault="00953F66" w:rsidP="00016417">
            <w:pPr>
              <w:spacing w:before="40" w:after="120"/>
              <w:ind w:right="113"/>
              <w:rPr>
                <w:lang w:val="fr-FR" w:eastAsia="zh-CN"/>
              </w:rPr>
            </w:pPr>
            <w:r w:rsidRPr="00016417">
              <w:rPr>
                <w:lang w:val="fr-FR" w:eastAsia="zh-CN"/>
              </w:rPr>
              <w:t>…</w:t>
            </w:r>
          </w:p>
        </w:tc>
        <w:tc>
          <w:tcPr>
            <w:tcW w:w="1191" w:type="dxa"/>
            <w:shd w:val="clear" w:color="auto" w:fill="auto"/>
            <w:tcMar>
              <w:left w:w="108" w:type="dxa"/>
            </w:tcMar>
          </w:tcPr>
          <w:p w:rsidR="00953F66" w:rsidRPr="00016417" w:rsidRDefault="00953F66" w:rsidP="00016417">
            <w:pPr>
              <w:spacing w:before="40" w:after="120"/>
              <w:ind w:right="113"/>
              <w:rPr>
                <w:lang w:val="fr-FR" w:eastAsia="zh-CN"/>
              </w:rPr>
            </w:pPr>
            <w:r w:rsidRPr="00016417">
              <w:rPr>
                <w:lang w:val="fr-FR" w:eastAsia="zh-CN"/>
              </w:rPr>
              <w:t>…</w:t>
            </w:r>
          </w:p>
        </w:tc>
        <w:tc>
          <w:tcPr>
            <w:tcW w:w="1191" w:type="dxa"/>
            <w:shd w:val="clear" w:color="auto" w:fill="auto"/>
            <w:tcMar>
              <w:left w:w="108" w:type="dxa"/>
            </w:tcMar>
          </w:tcPr>
          <w:p w:rsidR="00953F66" w:rsidRPr="00016417" w:rsidRDefault="00953F66" w:rsidP="00016417">
            <w:pPr>
              <w:spacing w:before="40" w:after="120"/>
              <w:ind w:right="113"/>
              <w:rPr>
                <w:lang w:val="fr-FR" w:eastAsia="zh-CN"/>
              </w:rPr>
            </w:pPr>
            <w:r w:rsidRPr="00016417">
              <w:rPr>
                <w:lang w:val="fr-FR" w:eastAsia="zh-CN"/>
              </w:rPr>
              <w:t>…</w:t>
            </w:r>
          </w:p>
        </w:tc>
        <w:tc>
          <w:tcPr>
            <w:tcW w:w="1191" w:type="dxa"/>
            <w:shd w:val="clear" w:color="auto" w:fill="auto"/>
            <w:tcMar>
              <w:left w:w="108" w:type="dxa"/>
            </w:tcMar>
          </w:tcPr>
          <w:p w:rsidR="00953F66" w:rsidRPr="00016417" w:rsidRDefault="00953F66" w:rsidP="00016417">
            <w:pPr>
              <w:spacing w:before="40" w:after="120"/>
              <w:ind w:right="113"/>
              <w:rPr>
                <w:lang w:val="fr-FR" w:eastAsia="zh-CN"/>
              </w:rPr>
            </w:pPr>
            <w:r w:rsidRPr="00016417">
              <w:rPr>
                <w:lang w:val="fr-FR" w:eastAsia="zh-CN"/>
              </w:rPr>
              <w:t>…</w:t>
            </w:r>
          </w:p>
        </w:tc>
      </w:tr>
      <w:tr w:rsidR="00016417" w:rsidRPr="00016417" w:rsidTr="00AF79C0">
        <w:tc>
          <w:tcPr>
            <w:tcW w:w="1191" w:type="dxa"/>
            <w:vMerge w:val="restart"/>
            <w:shd w:val="clear" w:color="auto" w:fill="auto"/>
            <w:tcMar>
              <w:left w:w="108" w:type="dxa"/>
            </w:tcMar>
          </w:tcPr>
          <w:p w:rsidR="00953F66" w:rsidRPr="00016417" w:rsidRDefault="00953F66" w:rsidP="00016417">
            <w:pPr>
              <w:spacing w:before="40" w:after="120"/>
              <w:ind w:right="113"/>
              <w:rPr>
                <w:lang w:val="fr-FR" w:eastAsia="zh-CN"/>
              </w:rPr>
            </w:pPr>
            <w:r w:rsidRPr="00016417">
              <w:rPr>
                <w:lang w:val="fr-FR" w:eastAsia="zh-CN"/>
              </w:rPr>
              <w:t xml:space="preserve">Pompe </w:t>
            </w:r>
            <w:r w:rsidR="00016417">
              <w:rPr>
                <w:lang w:val="fr-FR" w:eastAsia="zh-CN"/>
              </w:rPr>
              <w:br/>
            </w:r>
            <w:r w:rsidRPr="00016417">
              <w:rPr>
                <w:lang w:val="fr-FR" w:eastAsia="zh-CN"/>
              </w:rPr>
              <w:t>à chaleur</w:t>
            </w:r>
          </w:p>
        </w:tc>
        <w:tc>
          <w:tcPr>
            <w:tcW w:w="1191" w:type="dxa"/>
            <w:shd w:val="clear" w:color="auto" w:fill="auto"/>
            <w:tcMar>
              <w:left w:w="108" w:type="dxa"/>
            </w:tcMar>
          </w:tcPr>
          <w:p w:rsidR="00953F66" w:rsidRPr="00016417" w:rsidRDefault="00953F66" w:rsidP="00016417">
            <w:pPr>
              <w:spacing w:before="40" w:after="120"/>
              <w:ind w:right="113"/>
              <w:rPr>
                <w:lang w:val="fr-FR" w:eastAsia="zh-CN"/>
              </w:rPr>
            </w:pPr>
            <w:r w:rsidRPr="00016417">
              <w:rPr>
                <w:lang w:val="fr-FR" w:eastAsia="zh-CN"/>
              </w:rPr>
              <w:t>M</w:t>
            </w:r>
          </w:p>
        </w:tc>
        <w:tc>
          <w:tcPr>
            <w:tcW w:w="1418" w:type="dxa"/>
            <w:shd w:val="clear" w:color="auto" w:fill="auto"/>
            <w:tcMar>
              <w:left w:w="108" w:type="dxa"/>
            </w:tcMar>
          </w:tcPr>
          <w:p w:rsidR="00953F66" w:rsidRPr="00016417" w:rsidRDefault="00953F66" w:rsidP="00016417">
            <w:pPr>
              <w:spacing w:before="40" w:after="120"/>
              <w:ind w:right="113"/>
              <w:rPr>
                <w:lang w:val="fr-FR" w:eastAsia="zh-CN"/>
              </w:rPr>
            </w:pPr>
            <w:r w:rsidRPr="00016417">
              <w:rPr>
                <w:lang w:val="fr-FR" w:eastAsia="zh-CN"/>
              </w:rPr>
              <w:t>Oui</w:t>
            </w:r>
          </w:p>
        </w:tc>
        <w:tc>
          <w:tcPr>
            <w:tcW w:w="1191" w:type="dxa"/>
            <w:shd w:val="clear" w:color="auto" w:fill="auto"/>
            <w:tcMar>
              <w:left w:w="108" w:type="dxa"/>
            </w:tcMar>
          </w:tcPr>
          <w:p w:rsidR="00953F66" w:rsidRPr="00016417" w:rsidRDefault="00953F66" w:rsidP="00016417">
            <w:pPr>
              <w:spacing w:before="40" w:after="120"/>
              <w:ind w:right="113"/>
              <w:rPr>
                <w:lang w:val="fr-FR"/>
              </w:rPr>
            </w:pPr>
            <w:r w:rsidRPr="00016417">
              <w:rPr>
                <w:lang w:val="fr-FR" w:eastAsia="zh-CN"/>
              </w:rPr>
              <w:t>Oui</w:t>
            </w:r>
          </w:p>
        </w:tc>
        <w:tc>
          <w:tcPr>
            <w:tcW w:w="1191" w:type="dxa"/>
            <w:shd w:val="clear" w:color="auto" w:fill="auto"/>
            <w:tcMar>
              <w:left w:w="108" w:type="dxa"/>
            </w:tcMar>
          </w:tcPr>
          <w:p w:rsidR="00953F66" w:rsidRPr="00016417" w:rsidRDefault="00953F66" w:rsidP="00016417">
            <w:pPr>
              <w:spacing w:before="40" w:after="120"/>
              <w:ind w:right="113"/>
              <w:rPr>
                <w:lang w:val="fr-FR"/>
              </w:rPr>
            </w:pPr>
          </w:p>
        </w:tc>
        <w:tc>
          <w:tcPr>
            <w:tcW w:w="1191" w:type="dxa"/>
            <w:shd w:val="clear" w:color="auto" w:fill="auto"/>
            <w:tcMar>
              <w:left w:w="108" w:type="dxa"/>
            </w:tcMar>
          </w:tcPr>
          <w:p w:rsidR="00953F66" w:rsidRPr="00016417" w:rsidRDefault="00953F66" w:rsidP="00016417">
            <w:pPr>
              <w:spacing w:before="40" w:after="120"/>
              <w:ind w:right="113"/>
              <w:rPr>
                <w:lang w:val="fr-FR"/>
              </w:rPr>
            </w:pPr>
          </w:p>
        </w:tc>
      </w:tr>
      <w:tr w:rsidR="00016417" w:rsidRPr="00016417" w:rsidTr="00AF79C0">
        <w:tc>
          <w:tcPr>
            <w:tcW w:w="1191" w:type="dxa"/>
            <w:vMerge/>
            <w:shd w:val="clear" w:color="auto" w:fill="auto"/>
            <w:tcMar>
              <w:left w:w="108" w:type="dxa"/>
            </w:tcMar>
          </w:tcPr>
          <w:p w:rsidR="00953F66" w:rsidRPr="00016417" w:rsidRDefault="00953F66" w:rsidP="00016417">
            <w:pPr>
              <w:spacing w:before="40" w:after="120"/>
              <w:ind w:right="113"/>
              <w:rPr>
                <w:lang w:val="fr-FR"/>
              </w:rPr>
            </w:pPr>
          </w:p>
        </w:tc>
        <w:tc>
          <w:tcPr>
            <w:tcW w:w="1191" w:type="dxa"/>
            <w:shd w:val="clear" w:color="auto" w:fill="auto"/>
            <w:tcMar>
              <w:left w:w="108" w:type="dxa"/>
            </w:tcMar>
          </w:tcPr>
          <w:p w:rsidR="00953F66" w:rsidRPr="00016417" w:rsidRDefault="00953F66" w:rsidP="00016417">
            <w:pPr>
              <w:spacing w:before="40" w:after="120"/>
              <w:ind w:right="113"/>
              <w:rPr>
                <w:lang w:val="fr-FR" w:eastAsia="zh-CN"/>
              </w:rPr>
            </w:pPr>
            <w:r w:rsidRPr="00016417">
              <w:rPr>
                <w:lang w:val="fr-FR" w:eastAsia="zh-CN"/>
              </w:rPr>
              <w:t>N</w:t>
            </w:r>
          </w:p>
        </w:tc>
        <w:tc>
          <w:tcPr>
            <w:tcW w:w="1418" w:type="dxa"/>
            <w:shd w:val="clear" w:color="auto" w:fill="auto"/>
            <w:tcMar>
              <w:left w:w="108" w:type="dxa"/>
            </w:tcMar>
          </w:tcPr>
          <w:p w:rsidR="00953F66" w:rsidRPr="00016417" w:rsidRDefault="00953F66" w:rsidP="00016417">
            <w:pPr>
              <w:spacing w:before="40" w:after="120"/>
              <w:ind w:right="113"/>
              <w:rPr>
                <w:lang w:val="fr-FR"/>
              </w:rPr>
            </w:pPr>
            <w:r w:rsidRPr="00016417">
              <w:rPr>
                <w:lang w:val="fr-FR" w:eastAsia="zh-CN"/>
              </w:rPr>
              <w:t>Oui</w:t>
            </w:r>
          </w:p>
        </w:tc>
        <w:tc>
          <w:tcPr>
            <w:tcW w:w="1191" w:type="dxa"/>
            <w:shd w:val="clear" w:color="auto" w:fill="auto"/>
            <w:tcMar>
              <w:left w:w="108" w:type="dxa"/>
            </w:tcMar>
          </w:tcPr>
          <w:p w:rsidR="00953F66" w:rsidRPr="00016417" w:rsidRDefault="00953F66" w:rsidP="00016417">
            <w:pPr>
              <w:spacing w:before="40" w:after="120"/>
              <w:ind w:right="113"/>
              <w:rPr>
                <w:lang w:val="fr-FR"/>
              </w:rPr>
            </w:pPr>
            <w:r w:rsidRPr="00016417">
              <w:rPr>
                <w:lang w:val="fr-FR" w:eastAsia="zh-CN"/>
              </w:rPr>
              <w:t>Oui</w:t>
            </w:r>
          </w:p>
        </w:tc>
        <w:tc>
          <w:tcPr>
            <w:tcW w:w="1191" w:type="dxa"/>
            <w:shd w:val="clear" w:color="auto" w:fill="auto"/>
            <w:tcMar>
              <w:left w:w="108" w:type="dxa"/>
            </w:tcMar>
          </w:tcPr>
          <w:p w:rsidR="00953F66" w:rsidRPr="00016417" w:rsidRDefault="00953F66" w:rsidP="00016417">
            <w:pPr>
              <w:spacing w:before="40" w:after="120"/>
              <w:ind w:right="113"/>
              <w:rPr>
                <w:lang w:val="fr-FR"/>
              </w:rPr>
            </w:pPr>
          </w:p>
        </w:tc>
        <w:tc>
          <w:tcPr>
            <w:tcW w:w="1191" w:type="dxa"/>
            <w:shd w:val="clear" w:color="auto" w:fill="auto"/>
            <w:tcMar>
              <w:left w:w="108" w:type="dxa"/>
            </w:tcMar>
          </w:tcPr>
          <w:p w:rsidR="00953F66" w:rsidRPr="00016417" w:rsidRDefault="00953F66" w:rsidP="00016417">
            <w:pPr>
              <w:spacing w:before="40" w:after="120"/>
              <w:ind w:right="113"/>
              <w:rPr>
                <w:lang w:val="fr-FR"/>
              </w:rPr>
            </w:pPr>
          </w:p>
        </w:tc>
      </w:tr>
      <w:tr w:rsidR="00016417" w:rsidRPr="00016417" w:rsidTr="00AF79C0">
        <w:tc>
          <w:tcPr>
            <w:tcW w:w="1191" w:type="dxa"/>
            <w:vMerge/>
            <w:tcBorders>
              <w:bottom w:val="single" w:sz="12" w:space="0" w:color="auto"/>
            </w:tcBorders>
            <w:shd w:val="clear" w:color="auto" w:fill="auto"/>
            <w:tcMar>
              <w:left w:w="108" w:type="dxa"/>
            </w:tcMar>
          </w:tcPr>
          <w:p w:rsidR="00953F66" w:rsidRPr="00016417" w:rsidRDefault="00953F66" w:rsidP="00016417">
            <w:pPr>
              <w:spacing w:before="40" w:after="120"/>
              <w:ind w:right="113"/>
              <w:rPr>
                <w:lang w:val="fr-FR"/>
              </w:rPr>
            </w:pPr>
          </w:p>
        </w:tc>
        <w:tc>
          <w:tcPr>
            <w:tcW w:w="1191" w:type="dxa"/>
            <w:tcBorders>
              <w:bottom w:val="single" w:sz="12" w:space="0" w:color="auto"/>
            </w:tcBorders>
            <w:shd w:val="clear" w:color="auto" w:fill="auto"/>
            <w:tcMar>
              <w:left w:w="108" w:type="dxa"/>
            </w:tcMar>
          </w:tcPr>
          <w:p w:rsidR="00953F66" w:rsidRPr="00016417" w:rsidRDefault="00953F66" w:rsidP="00016417">
            <w:pPr>
              <w:spacing w:before="40" w:after="120"/>
              <w:ind w:right="113"/>
              <w:rPr>
                <w:lang w:val="fr-FR" w:eastAsia="zh-CN"/>
              </w:rPr>
            </w:pPr>
            <w:r w:rsidRPr="00016417">
              <w:rPr>
                <w:lang w:val="fr-FR" w:eastAsia="zh-CN"/>
              </w:rPr>
              <w:t>O</w:t>
            </w:r>
          </w:p>
        </w:tc>
        <w:tc>
          <w:tcPr>
            <w:tcW w:w="1418" w:type="dxa"/>
            <w:tcBorders>
              <w:bottom w:val="single" w:sz="12" w:space="0" w:color="auto"/>
            </w:tcBorders>
            <w:shd w:val="clear" w:color="auto" w:fill="auto"/>
            <w:tcMar>
              <w:left w:w="108" w:type="dxa"/>
            </w:tcMar>
          </w:tcPr>
          <w:p w:rsidR="00953F66" w:rsidRPr="00016417" w:rsidRDefault="00953F66" w:rsidP="00016417">
            <w:pPr>
              <w:spacing w:before="40" w:after="120"/>
              <w:ind w:right="113"/>
              <w:rPr>
                <w:lang w:val="fr-FR"/>
              </w:rPr>
            </w:pPr>
            <w:r w:rsidRPr="00016417">
              <w:rPr>
                <w:lang w:val="fr-FR" w:eastAsia="zh-CN"/>
              </w:rPr>
              <w:t>Oui</w:t>
            </w:r>
          </w:p>
        </w:tc>
        <w:tc>
          <w:tcPr>
            <w:tcW w:w="1191" w:type="dxa"/>
            <w:tcBorders>
              <w:bottom w:val="single" w:sz="12" w:space="0" w:color="auto"/>
            </w:tcBorders>
            <w:shd w:val="clear" w:color="auto" w:fill="auto"/>
            <w:tcMar>
              <w:left w:w="108" w:type="dxa"/>
            </w:tcMar>
          </w:tcPr>
          <w:p w:rsidR="00953F66" w:rsidRPr="00016417" w:rsidRDefault="00953F66" w:rsidP="00016417">
            <w:pPr>
              <w:spacing w:before="40" w:after="120"/>
              <w:ind w:right="113"/>
              <w:rPr>
                <w:lang w:val="fr-FR"/>
              </w:rPr>
            </w:pPr>
            <w:r w:rsidRPr="00016417">
              <w:rPr>
                <w:lang w:val="fr-FR" w:eastAsia="zh-CN"/>
              </w:rPr>
              <w:t>Oui</w:t>
            </w:r>
          </w:p>
        </w:tc>
        <w:tc>
          <w:tcPr>
            <w:tcW w:w="1191" w:type="dxa"/>
            <w:tcBorders>
              <w:bottom w:val="single" w:sz="12" w:space="0" w:color="auto"/>
            </w:tcBorders>
            <w:shd w:val="clear" w:color="auto" w:fill="auto"/>
            <w:tcMar>
              <w:left w:w="108" w:type="dxa"/>
            </w:tcMar>
          </w:tcPr>
          <w:p w:rsidR="00953F66" w:rsidRPr="00016417" w:rsidRDefault="00953F66" w:rsidP="00016417">
            <w:pPr>
              <w:spacing w:before="40" w:after="120"/>
              <w:ind w:right="113"/>
              <w:rPr>
                <w:lang w:val="fr-FR"/>
              </w:rPr>
            </w:pPr>
          </w:p>
        </w:tc>
        <w:tc>
          <w:tcPr>
            <w:tcW w:w="1191" w:type="dxa"/>
            <w:tcBorders>
              <w:bottom w:val="single" w:sz="12" w:space="0" w:color="auto"/>
            </w:tcBorders>
            <w:shd w:val="clear" w:color="auto" w:fill="auto"/>
            <w:tcMar>
              <w:left w:w="108" w:type="dxa"/>
            </w:tcMar>
          </w:tcPr>
          <w:p w:rsidR="00953F66" w:rsidRPr="00016417" w:rsidRDefault="00953F66" w:rsidP="00016417">
            <w:pPr>
              <w:spacing w:before="40" w:after="120"/>
              <w:ind w:right="113"/>
              <w:rPr>
                <w:lang w:val="fr-FR"/>
              </w:rPr>
            </w:pPr>
          </w:p>
        </w:tc>
      </w:tr>
    </w:tbl>
    <w:p w:rsidR="00953F66" w:rsidRPr="002D5EDE" w:rsidRDefault="00953F66" w:rsidP="00016417">
      <w:pPr>
        <w:pStyle w:val="SingleTxtG"/>
        <w:spacing w:before="240"/>
        <w:jc w:val="right"/>
        <w:rPr>
          <w:lang w:val="en-GB" w:eastAsia="zh-CN"/>
        </w:rPr>
      </w:pPr>
      <w:r w:rsidRPr="00310D29">
        <w:rPr>
          <w:lang w:val="en-GB" w:eastAsia="zh-CN"/>
        </w:rPr>
        <w:t>»</w:t>
      </w:r>
      <w:r>
        <w:rPr>
          <w:lang w:val="en-GB" w:eastAsia="zh-CN"/>
        </w:rPr>
        <w:t>.</w:t>
      </w:r>
    </w:p>
    <w:p w:rsidR="00F9573C" w:rsidRPr="00016417" w:rsidRDefault="00016417" w:rsidP="00016417">
      <w:pPr>
        <w:pStyle w:val="SingleTxtG"/>
        <w:spacing w:before="240" w:after="0"/>
        <w:jc w:val="center"/>
        <w:rPr>
          <w:u w:val="single"/>
        </w:rPr>
      </w:pPr>
      <w:r>
        <w:rPr>
          <w:u w:val="single"/>
        </w:rPr>
        <w:tab/>
      </w:r>
      <w:r>
        <w:rPr>
          <w:u w:val="single"/>
        </w:rPr>
        <w:tab/>
      </w:r>
      <w:r>
        <w:rPr>
          <w:u w:val="single"/>
        </w:rPr>
        <w:tab/>
      </w:r>
    </w:p>
    <w:sectPr w:rsidR="00F9573C" w:rsidRPr="00016417" w:rsidSect="00953F6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10D" w:rsidRDefault="00A0410D" w:rsidP="00F95C08">
      <w:pPr>
        <w:spacing w:line="240" w:lineRule="auto"/>
      </w:pPr>
    </w:p>
  </w:endnote>
  <w:endnote w:type="continuationSeparator" w:id="0">
    <w:p w:rsidR="00A0410D" w:rsidRPr="00AC3823" w:rsidRDefault="00A0410D" w:rsidP="00AC3823">
      <w:pPr>
        <w:pStyle w:val="Footer"/>
      </w:pPr>
    </w:p>
  </w:endnote>
  <w:endnote w:type="continuationNotice" w:id="1">
    <w:p w:rsidR="00A0410D" w:rsidRDefault="00A041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F66" w:rsidRPr="00953F66" w:rsidRDefault="00953F66" w:rsidP="00953F66">
    <w:pPr>
      <w:pStyle w:val="Footer"/>
      <w:tabs>
        <w:tab w:val="right" w:pos="9638"/>
      </w:tabs>
    </w:pPr>
    <w:r w:rsidRPr="00953F66">
      <w:rPr>
        <w:b/>
        <w:sz w:val="18"/>
      </w:rPr>
      <w:fldChar w:fldCharType="begin"/>
    </w:r>
    <w:r w:rsidRPr="00953F66">
      <w:rPr>
        <w:b/>
        <w:sz w:val="18"/>
      </w:rPr>
      <w:instrText xml:space="preserve"> PAGE  \* MERGEFORMAT </w:instrText>
    </w:r>
    <w:r w:rsidRPr="00953F66">
      <w:rPr>
        <w:b/>
        <w:sz w:val="18"/>
      </w:rPr>
      <w:fldChar w:fldCharType="separate"/>
    </w:r>
    <w:r w:rsidR="006A0664">
      <w:rPr>
        <w:b/>
        <w:noProof/>
        <w:sz w:val="18"/>
      </w:rPr>
      <w:t>2</w:t>
    </w:r>
    <w:r w:rsidRPr="00953F66">
      <w:rPr>
        <w:b/>
        <w:sz w:val="18"/>
      </w:rPr>
      <w:fldChar w:fldCharType="end"/>
    </w:r>
    <w:r>
      <w:rPr>
        <w:b/>
        <w:sz w:val="18"/>
      </w:rPr>
      <w:tab/>
    </w:r>
    <w:r>
      <w:t>GE.18-21892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F66" w:rsidRPr="00953F66" w:rsidRDefault="00953F66" w:rsidP="00953F66">
    <w:pPr>
      <w:pStyle w:val="Footer"/>
      <w:tabs>
        <w:tab w:val="right" w:pos="9638"/>
      </w:tabs>
      <w:rPr>
        <w:b/>
        <w:sz w:val="18"/>
      </w:rPr>
    </w:pPr>
    <w:r>
      <w:t>GE.18-21892</w:t>
    </w:r>
    <w:r>
      <w:tab/>
    </w:r>
    <w:r w:rsidRPr="00953F66">
      <w:rPr>
        <w:b/>
        <w:sz w:val="18"/>
      </w:rPr>
      <w:fldChar w:fldCharType="begin"/>
    </w:r>
    <w:r w:rsidRPr="00953F66">
      <w:rPr>
        <w:b/>
        <w:sz w:val="18"/>
      </w:rPr>
      <w:instrText xml:space="preserve"> PAGE  \* MERGEFORMAT </w:instrText>
    </w:r>
    <w:r w:rsidRPr="00953F66">
      <w:rPr>
        <w:b/>
        <w:sz w:val="18"/>
      </w:rPr>
      <w:fldChar w:fldCharType="separate"/>
    </w:r>
    <w:r>
      <w:rPr>
        <w:b/>
        <w:noProof/>
        <w:sz w:val="18"/>
      </w:rPr>
      <w:t>3</w:t>
    </w:r>
    <w:r w:rsidRPr="00953F6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953F66" w:rsidRDefault="00953F66" w:rsidP="00953F66">
    <w:pPr>
      <w:pStyle w:val="Footer"/>
      <w:spacing w:before="120"/>
      <w:rPr>
        <w:sz w:val="20"/>
      </w:rPr>
    </w:pPr>
    <w:r>
      <w:rPr>
        <w:sz w:val="20"/>
      </w:rPr>
      <w:t>GE.</w:t>
    </w:r>
    <w:r w:rsidR="007F20FA">
      <w:rPr>
        <w:noProof/>
        <w:lang w:eastAsia="ja-JP"/>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21892  (</w:t>
    </w:r>
    <w:proofErr w:type="gramEnd"/>
    <w:r>
      <w:rPr>
        <w:sz w:val="20"/>
      </w:rPr>
      <w:t>F)</w:t>
    </w:r>
    <w:r w:rsidR="006D3D49">
      <w:rPr>
        <w:sz w:val="20"/>
      </w:rPr>
      <w:t xml:space="preserve">    160119    280119</w:t>
    </w:r>
    <w:r>
      <w:rPr>
        <w:sz w:val="20"/>
      </w:rPr>
      <w:br/>
    </w:r>
    <w:r w:rsidRPr="00953F66">
      <w:rPr>
        <w:rFonts w:ascii="C39T30Lfz" w:hAnsi="C39T30Lfz"/>
        <w:sz w:val="56"/>
      </w:rPr>
      <w:t></w:t>
    </w:r>
    <w:r w:rsidRPr="00953F66">
      <w:rPr>
        <w:rFonts w:ascii="C39T30Lfz" w:hAnsi="C39T30Lfz"/>
        <w:sz w:val="56"/>
      </w:rPr>
      <w:t></w:t>
    </w:r>
    <w:r w:rsidRPr="00953F66">
      <w:rPr>
        <w:rFonts w:ascii="C39T30Lfz" w:hAnsi="C39T30Lfz"/>
        <w:sz w:val="56"/>
      </w:rPr>
      <w:t></w:t>
    </w:r>
    <w:r w:rsidRPr="00953F66">
      <w:rPr>
        <w:rFonts w:ascii="C39T30Lfz" w:hAnsi="C39T30Lfz"/>
        <w:sz w:val="56"/>
      </w:rPr>
      <w:t></w:t>
    </w:r>
    <w:r w:rsidRPr="00953F66">
      <w:rPr>
        <w:rFonts w:ascii="C39T30Lfz" w:hAnsi="C39T30Lfz"/>
        <w:sz w:val="56"/>
      </w:rPr>
      <w:t></w:t>
    </w:r>
    <w:r w:rsidRPr="00953F66">
      <w:rPr>
        <w:rFonts w:ascii="C39T30Lfz" w:hAnsi="C39T30Lfz"/>
        <w:sz w:val="56"/>
      </w:rPr>
      <w:t></w:t>
    </w:r>
    <w:r w:rsidRPr="00953F66">
      <w:rPr>
        <w:rFonts w:ascii="C39T30Lfz" w:hAnsi="C39T30Lfz"/>
        <w:sz w:val="56"/>
      </w:rPr>
      <w:t></w:t>
    </w:r>
    <w:r w:rsidRPr="00953F66">
      <w:rPr>
        <w:rFonts w:ascii="C39T30Lfz" w:hAnsi="C39T30Lfz"/>
        <w:sz w:val="56"/>
      </w:rPr>
      <w:t></w:t>
    </w:r>
    <w:r w:rsidRPr="00953F66">
      <w:rPr>
        <w:rFonts w:ascii="C39T30Lfz" w:hAnsi="C39T30Lfz"/>
        <w:sz w:val="56"/>
      </w:rPr>
      <w:t></w:t>
    </w:r>
    <w:r>
      <w:rPr>
        <w:noProof/>
        <w:sz w:val="20"/>
        <w:lang w:eastAsia="ja-JP"/>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9/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1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10D" w:rsidRPr="00AC3823" w:rsidRDefault="00A0410D" w:rsidP="00AC3823">
      <w:pPr>
        <w:pStyle w:val="Footer"/>
        <w:tabs>
          <w:tab w:val="right" w:pos="2155"/>
        </w:tabs>
        <w:spacing w:after="80" w:line="240" w:lineRule="atLeast"/>
        <w:ind w:left="680"/>
        <w:rPr>
          <w:u w:val="single"/>
        </w:rPr>
      </w:pPr>
      <w:r>
        <w:rPr>
          <w:u w:val="single"/>
        </w:rPr>
        <w:tab/>
      </w:r>
    </w:p>
  </w:footnote>
  <w:footnote w:type="continuationSeparator" w:id="0">
    <w:p w:rsidR="00A0410D" w:rsidRPr="00AC3823" w:rsidRDefault="00A0410D" w:rsidP="00AC3823">
      <w:pPr>
        <w:pStyle w:val="Footer"/>
        <w:tabs>
          <w:tab w:val="right" w:pos="2155"/>
        </w:tabs>
        <w:spacing w:after="80" w:line="240" w:lineRule="atLeast"/>
        <w:ind w:left="680"/>
        <w:rPr>
          <w:u w:val="single"/>
        </w:rPr>
      </w:pPr>
      <w:r>
        <w:rPr>
          <w:u w:val="single"/>
        </w:rPr>
        <w:tab/>
      </w:r>
    </w:p>
  </w:footnote>
  <w:footnote w:type="continuationNotice" w:id="1">
    <w:p w:rsidR="00A0410D" w:rsidRPr="00AC3823" w:rsidRDefault="00A0410D">
      <w:pPr>
        <w:spacing w:line="240" w:lineRule="auto"/>
        <w:rPr>
          <w:sz w:val="2"/>
          <w:szCs w:val="2"/>
        </w:rPr>
      </w:pPr>
    </w:p>
  </w:footnote>
  <w:footnote w:id="2">
    <w:p w:rsidR="00953F66" w:rsidRPr="00953F66" w:rsidRDefault="00953F66">
      <w:pPr>
        <w:pStyle w:val="FootnoteText"/>
      </w:pPr>
      <w:r>
        <w:rPr>
          <w:rStyle w:val="FootnoteReference"/>
        </w:rPr>
        <w:tab/>
      </w:r>
      <w:r w:rsidRPr="00953F66">
        <w:rPr>
          <w:rStyle w:val="FootnoteReference"/>
          <w:sz w:val="20"/>
          <w:vertAlign w:val="baseline"/>
        </w:rPr>
        <w:t>*</w:t>
      </w:r>
      <w:r>
        <w:rPr>
          <w:rStyle w:val="FootnoteReference"/>
          <w:sz w:val="20"/>
          <w:vertAlign w:val="baseline"/>
        </w:rPr>
        <w:tab/>
      </w:r>
      <w:r>
        <w:rPr>
          <w:lang w:val="fr-FR"/>
        </w:rPr>
        <w:t xml:space="preserve">Conformément au programme de travail du Comité des transports intérieurs pour la période 2018-2019 (ECE/TRANS/274, </w:t>
      </w:r>
      <w:r w:rsidR="00F32235">
        <w:rPr>
          <w:lang w:val="fr-FR"/>
        </w:rPr>
        <w:t>par. </w:t>
      </w:r>
      <w:r>
        <w:rPr>
          <w:lang w:val="fr-FR"/>
        </w:rPr>
        <w:t>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F66" w:rsidRPr="00953F66" w:rsidRDefault="00013343">
    <w:pPr>
      <w:pStyle w:val="Header"/>
    </w:pPr>
    <w:r>
      <w:fldChar w:fldCharType="begin"/>
    </w:r>
    <w:r>
      <w:instrText xml:space="preserve"> TITLE  \* MERGEFORMAT </w:instrText>
    </w:r>
    <w:r>
      <w:fldChar w:fldCharType="separate"/>
    </w:r>
    <w:r>
      <w:t>ECE/TRANS/WP.29/2019/15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F66" w:rsidRPr="00953F66" w:rsidRDefault="00013343" w:rsidP="00953F66">
    <w:pPr>
      <w:pStyle w:val="Header"/>
      <w:jc w:val="right"/>
    </w:pPr>
    <w:r>
      <w:fldChar w:fldCharType="begin"/>
    </w:r>
    <w:r>
      <w:instrText xml:space="preserve"> TITLE  \* MERGEFORMAT </w:instrText>
    </w:r>
    <w:r>
      <w:fldChar w:fldCharType="separate"/>
    </w:r>
    <w:r>
      <w:t>ECE/TRANS/WP.29/2019/15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inkAnnotation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10D"/>
    <w:rsid w:val="00013343"/>
    <w:rsid w:val="00016417"/>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395D21"/>
    <w:rsid w:val="00421996"/>
    <w:rsid w:val="00441C3B"/>
    <w:rsid w:val="00446FE5"/>
    <w:rsid w:val="00452396"/>
    <w:rsid w:val="004837D8"/>
    <w:rsid w:val="004E2EED"/>
    <w:rsid w:val="004E468C"/>
    <w:rsid w:val="005505B7"/>
    <w:rsid w:val="00573BE5"/>
    <w:rsid w:val="00586ED3"/>
    <w:rsid w:val="00596AA9"/>
    <w:rsid w:val="006A0664"/>
    <w:rsid w:val="006D3D49"/>
    <w:rsid w:val="0071601D"/>
    <w:rsid w:val="007A62E6"/>
    <w:rsid w:val="007F20FA"/>
    <w:rsid w:val="0080684C"/>
    <w:rsid w:val="00871C75"/>
    <w:rsid w:val="008776DC"/>
    <w:rsid w:val="009446C0"/>
    <w:rsid w:val="00953F66"/>
    <w:rsid w:val="009705C8"/>
    <w:rsid w:val="009C1CF4"/>
    <w:rsid w:val="009F6B74"/>
    <w:rsid w:val="00A0410D"/>
    <w:rsid w:val="00A3029F"/>
    <w:rsid w:val="00A30353"/>
    <w:rsid w:val="00AC3823"/>
    <w:rsid w:val="00AE323C"/>
    <w:rsid w:val="00AF0CB5"/>
    <w:rsid w:val="00AF79C0"/>
    <w:rsid w:val="00B00181"/>
    <w:rsid w:val="00B00B0D"/>
    <w:rsid w:val="00B45F2E"/>
    <w:rsid w:val="00B765F7"/>
    <w:rsid w:val="00BA0CA9"/>
    <w:rsid w:val="00C02897"/>
    <w:rsid w:val="00C97039"/>
    <w:rsid w:val="00D3439C"/>
    <w:rsid w:val="00DB1831"/>
    <w:rsid w:val="00DD3BFD"/>
    <w:rsid w:val="00DF6678"/>
    <w:rsid w:val="00E0299A"/>
    <w:rsid w:val="00E85C74"/>
    <w:rsid w:val="00EA6547"/>
    <w:rsid w:val="00EF2E22"/>
    <w:rsid w:val="00F01540"/>
    <w:rsid w:val="00F32235"/>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D6979D1-3305-4717-A286-E22E31F4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2475</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ECE/TRANS/WP.29/2019/15</vt:lpstr>
      <vt:lpstr>ECE/TRANS/WP.29/2019/15</vt:lpstr>
    </vt:vector>
  </TitlesOfParts>
  <Company>DCM</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ECE/TRANS/WP.29/2019/15</dc:title>
  <dc:subject/>
  <dc:creator>Pascale BEYSARD</dc:creator>
  <cp:keywords/>
  <cp:lastModifiedBy>Marie-Claude Collet</cp:lastModifiedBy>
  <cp:revision>3</cp:revision>
  <cp:lastPrinted>2019-01-29T10:13:00Z</cp:lastPrinted>
  <dcterms:created xsi:type="dcterms:W3CDTF">2019-01-29T10:13:00Z</dcterms:created>
  <dcterms:modified xsi:type="dcterms:W3CDTF">2019-01-29T10:14:00Z</dcterms:modified>
</cp:coreProperties>
</file>