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A4431E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C38433" w14:textId="77777777" w:rsidR="00F35BAF" w:rsidRPr="00DB58B5" w:rsidRDefault="00F35BAF" w:rsidP="00D966B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B3718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17B33F" w14:textId="77777777" w:rsidR="00F35BAF" w:rsidRPr="00DB58B5" w:rsidRDefault="00D966B9" w:rsidP="00D966B9">
            <w:pPr>
              <w:jc w:val="right"/>
            </w:pPr>
            <w:r w:rsidRPr="00D966B9">
              <w:rPr>
                <w:sz w:val="40"/>
              </w:rPr>
              <w:t>ECE</w:t>
            </w:r>
            <w:r>
              <w:t>/TRANS/WP.29/2019/110</w:t>
            </w:r>
          </w:p>
        </w:tc>
      </w:tr>
      <w:tr w:rsidR="00F35BAF" w:rsidRPr="00DB58B5" w14:paraId="30BD33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3A753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D39AF2" wp14:editId="43EBE1D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AF3E6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F8FE0E" w14:textId="77777777" w:rsidR="00F35BAF" w:rsidRDefault="00D966B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23751B9" w14:textId="77777777" w:rsidR="00D966B9" w:rsidRDefault="00D966B9" w:rsidP="00D966B9">
            <w:pPr>
              <w:spacing w:line="240" w:lineRule="exact"/>
            </w:pPr>
            <w:r>
              <w:t>28 août 2019</w:t>
            </w:r>
          </w:p>
          <w:p w14:paraId="7F4722F6" w14:textId="77777777" w:rsidR="00D966B9" w:rsidRDefault="00D966B9" w:rsidP="00D966B9">
            <w:pPr>
              <w:spacing w:line="240" w:lineRule="exact"/>
            </w:pPr>
            <w:r>
              <w:t>Français</w:t>
            </w:r>
          </w:p>
          <w:p w14:paraId="671521C3" w14:textId="77777777" w:rsidR="00D966B9" w:rsidRPr="00DB58B5" w:rsidRDefault="00D966B9" w:rsidP="00D966B9">
            <w:pPr>
              <w:spacing w:line="240" w:lineRule="exact"/>
            </w:pPr>
            <w:r>
              <w:t>Original : anglais</w:t>
            </w:r>
          </w:p>
        </w:tc>
      </w:tr>
    </w:tbl>
    <w:p w14:paraId="65679A5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98367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46D9A84" w14:textId="77777777" w:rsidR="00D966B9" w:rsidRDefault="00D966B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BCD9164" w14:textId="77777777" w:rsidR="00D966B9" w:rsidRDefault="00D966B9" w:rsidP="00AF0CB5">
      <w:pPr>
        <w:spacing w:before="120" w:line="240" w:lineRule="exact"/>
        <w:rPr>
          <w:b/>
        </w:rPr>
      </w:pPr>
      <w:r w:rsidRPr="00D966B9">
        <w:rPr>
          <w:b/>
          <w:lang w:val="fr-FR"/>
        </w:rPr>
        <w:t>179</w:t>
      </w:r>
      <w:r w:rsidRPr="00D966B9">
        <w:rPr>
          <w:b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484FA88E" w14:textId="77777777" w:rsidR="00D966B9" w:rsidRPr="00A5236E" w:rsidRDefault="00D966B9" w:rsidP="00D966B9">
      <w:pPr>
        <w:rPr>
          <w:lang w:val="fr-FR"/>
        </w:rPr>
      </w:pPr>
      <w:r w:rsidRPr="00A5236E">
        <w:rPr>
          <w:lang w:val="fr-FR"/>
        </w:rPr>
        <w:t>Genève, 12-14 novembre 2019</w:t>
      </w:r>
    </w:p>
    <w:p w14:paraId="330239E9" w14:textId="77777777" w:rsidR="00D966B9" w:rsidRPr="00A5236E" w:rsidRDefault="00D966B9" w:rsidP="00D966B9">
      <w:pPr>
        <w:rPr>
          <w:lang w:val="fr-FR"/>
        </w:rPr>
      </w:pPr>
      <w:r w:rsidRPr="00A5236E">
        <w:rPr>
          <w:lang w:val="fr-FR"/>
        </w:rPr>
        <w:t>Point 4.8.8 de l</w:t>
      </w:r>
      <w:r>
        <w:rPr>
          <w:lang w:val="fr-FR"/>
        </w:rPr>
        <w:t>’</w:t>
      </w:r>
      <w:r w:rsidRPr="00A5236E">
        <w:rPr>
          <w:lang w:val="fr-FR"/>
        </w:rPr>
        <w:t>ordre du jour</w:t>
      </w:r>
      <w:r w:rsidR="003F0408">
        <w:rPr>
          <w:lang w:val="fr-FR"/>
        </w:rPr>
        <w:t xml:space="preserve"> provisoire</w:t>
      </w:r>
    </w:p>
    <w:p w14:paraId="77746FD1" w14:textId="77777777" w:rsidR="00D966B9" w:rsidRPr="003C3CA2" w:rsidRDefault="00D966B9" w:rsidP="00D966B9">
      <w:pPr>
        <w:rPr>
          <w:b/>
          <w:lang w:val="fr-FR"/>
        </w:rPr>
      </w:pPr>
      <w:r w:rsidRPr="003C3CA2">
        <w:rPr>
          <w:b/>
          <w:lang w:val="fr-FR"/>
        </w:rPr>
        <w:t>Accord de 1958</w:t>
      </w:r>
      <w:r w:rsidR="003C3CA2" w:rsidRPr="003C3CA2">
        <w:rPr>
          <w:b/>
          <w:lang w:val="fr-FR"/>
        </w:rPr>
        <w:t> </w:t>
      </w:r>
      <w:r w:rsidRPr="003C3CA2">
        <w:rPr>
          <w:b/>
          <w:lang w:val="fr-FR"/>
        </w:rPr>
        <w:t>:</w:t>
      </w:r>
      <w:r w:rsidRPr="003C3CA2">
        <w:rPr>
          <w:b/>
          <w:lang w:val="fr-FR"/>
        </w:rPr>
        <w:br/>
        <w:t xml:space="preserve">Examen de projets d’amendements à des Règlements ONU existants, </w:t>
      </w:r>
      <w:r w:rsidR="003C3CA2">
        <w:rPr>
          <w:b/>
          <w:lang w:val="fr-FR"/>
        </w:rPr>
        <w:br/>
      </w:r>
      <w:r w:rsidRPr="003C3CA2">
        <w:rPr>
          <w:b/>
          <w:lang w:val="fr-FR"/>
        </w:rPr>
        <w:t xml:space="preserve">soumis par le GRSP </w:t>
      </w:r>
    </w:p>
    <w:p w14:paraId="48F28C67" w14:textId="77777777" w:rsidR="00D966B9" w:rsidRPr="00A5236E" w:rsidRDefault="00D966B9" w:rsidP="003C3CA2">
      <w:pPr>
        <w:pStyle w:val="HChG"/>
        <w:rPr>
          <w:lang w:val="fr-FR"/>
        </w:rPr>
      </w:pPr>
      <w:r w:rsidRPr="00A5236E">
        <w:rPr>
          <w:lang w:val="fr-FR"/>
        </w:rPr>
        <w:tab/>
      </w:r>
      <w:r w:rsidRPr="00A5236E">
        <w:rPr>
          <w:lang w:val="fr-FR"/>
        </w:rPr>
        <w:tab/>
        <w:t>Pr</w:t>
      </w:r>
      <w:r w:rsidRPr="00A5236E">
        <w:rPr>
          <w:spacing w:val="1"/>
          <w:lang w:val="fr-FR"/>
        </w:rPr>
        <w:t>o</w:t>
      </w:r>
      <w:r w:rsidRPr="00A5236E">
        <w:rPr>
          <w:lang w:val="fr-FR"/>
        </w:rPr>
        <w:t>position de compl</w:t>
      </w:r>
      <w:r>
        <w:rPr>
          <w:lang w:val="fr-FR"/>
        </w:rPr>
        <w:t>é</w:t>
      </w:r>
      <w:r w:rsidRPr="00A5236E">
        <w:rPr>
          <w:lang w:val="fr-FR"/>
        </w:rPr>
        <w:t>ment 2 à la version initi</w:t>
      </w:r>
      <w:r>
        <w:rPr>
          <w:lang w:val="fr-FR"/>
        </w:rPr>
        <w:t xml:space="preserve">ale </w:t>
      </w:r>
      <w:r w:rsidR="003C3CA2">
        <w:rPr>
          <w:lang w:val="fr-FR"/>
        </w:rPr>
        <w:br/>
      </w:r>
      <w:r>
        <w:rPr>
          <w:lang w:val="fr-FR"/>
        </w:rPr>
        <w:t xml:space="preserve">du Règlement ONU </w:t>
      </w:r>
      <w:r w:rsidRPr="00A5236E">
        <w:rPr>
          <w:lang w:val="fr-FR"/>
        </w:rPr>
        <w:t>n</w:t>
      </w:r>
      <w:r w:rsidRPr="00A5236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5236E">
        <w:rPr>
          <w:spacing w:val="1"/>
          <w:lang w:val="fr-FR"/>
        </w:rPr>
        <w:t xml:space="preserve">135 </w:t>
      </w:r>
      <w:r w:rsidRPr="00A5236E">
        <w:rPr>
          <w:lang w:val="fr-FR"/>
        </w:rPr>
        <w:t xml:space="preserve">(Essai de choc latéral </w:t>
      </w:r>
      <w:r w:rsidR="003C3CA2">
        <w:rPr>
          <w:lang w:val="fr-FR"/>
        </w:rPr>
        <w:br/>
      </w:r>
      <w:r w:rsidRPr="00A5236E">
        <w:rPr>
          <w:lang w:val="fr-FR"/>
        </w:rPr>
        <w:t>contre un poteau)</w:t>
      </w:r>
    </w:p>
    <w:p w14:paraId="1C011F6A" w14:textId="77777777" w:rsidR="00D966B9" w:rsidRPr="00A5236E" w:rsidRDefault="00D966B9" w:rsidP="003C3CA2">
      <w:pPr>
        <w:pStyle w:val="H1G"/>
        <w:rPr>
          <w:lang w:val="fr-FR"/>
        </w:rPr>
      </w:pPr>
      <w:r w:rsidRPr="00A5236E">
        <w:rPr>
          <w:lang w:val="fr-FR"/>
        </w:rPr>
        <w:tab/>
      </w:r>
      <w:r w:rsidRPr="00A5236E">
        <w:rPr>
          <w:lang w:val="fr-FR"/>
        </w:rPr>
        <w:tab/>
        <w:t>Communication du Groupe de travail de la sécurité passive</w:t>
      </w:r>
      <w:r w:rsidRPr="003C3CA2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721EF0BC" w14:textId="77777777" w:rsidR="00D966B9" w:rsidRPr="00A5236E" w:rsidRDefault="00D966B9" w:rsidP="003C3CA2">
      <w:pPr>
        <w:pStyle w:val="SingleTxtG"/>
        <w:ind w:firstLine="567"/>
        <w:rPr>
          <w:lang w:val="fr-FR"/>
        </w:rPr>
      </w:pPr>
      <w:r w:rsidRPr="00A5236E">
        <w:rPr>
          <w:lang w:val="fr-FR"/>
        </w:rPr>
        <w:t xml:space="preserve">Le texte ci-après, adopté par le Groupe de travail de la sécurité passive (GRSP) </w:t>
      </w:r>
      <w:r>
        <w:rPr>
          <w:lang w:val="fr-FR"/>
        </w:rPr>
        <w:t xml:space="preserve">à sa soixante-cinquième </w:t>
      </w:r>
      <w:r w:rsidRPr="00A5236E">
        <w:rPr>
          <w:lang w:val="fr-FR"/>
        </w:rPr>
        <w:t>session (ECE/TRANS/WP.29/GRSP/65, par.</w:t>
      </w:r>
      <w:r w:rsidR="003C3CA2">
        <w:rPr>
          <w:lang w:val="fr-FR"/>
        </w:rPr>
        <w:t> </w:t>
      </w:r>
      <w:r w:rsidRPr="00A5236E">
        <w:rPr>
          <w:lang w:val="fr-FR"/>
        </w:rPr>
        <w:t>37)</w:t>
      </w:r>
      <w:r>
        <w:rPr>
          <w:lang w:val="fr-FR"/>
        </w:rPr>
        <w:t xml:space="preserve">, est fondé sur le document </w:t>
      </w:r>
      <w:r w:rsidRPr="00A5236E">
        <w:rPr>
          <w:lang w:val="fr-FR"/>
        </w:rPr>
        <w:t xml:space="preserve">ECE/TRANS/WP.29/GRSP/2019/13, </w:t>
      </w:r>
      <w:r>
        <w:rPr>
          <w:lang w:val="fr-FR"/>
        </w:rPr>
        <w:t xml:space="preserve">tel que modifié par l’annexe </w:t>
      </w:r>
      <w:r w:rsidRPr="00A5236E">
        <w:rPr>
          <w:lang w:val="fr-FR"/>
        </w:rPr>
        <w:t xml:space="preserve">VI </w:t>
      </w:r>
      <w:r>
        <w:rPr>
          <w:lang w:val="fr-FR"/>
        </w:rPr>
        <w:t>du rapport</w:t>
      </w:r>
      <w:r w:rsidRPr="00A5236E">
        <w:rPr>
          <w:lang w:val="fr-FR"/>
        </w:rPr>
        <w:t>. Il est soumis au Forum mondial de l</w:t>
      </w:r>
      <w:r>
        <w:rPr>
          <w:lang w:val="fr-FR"/>
        </w:rPr>
        <w:t>’</w:t>
      </w:r>
      <w:r w:rsidRPr="00A5236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5236E">
        <w:rPr>
          <w:lang w:val="fr-FR"/>
        </w:rPr>
        <w:t>administration de l</w:t>
      </w:r>
      <w:r>
        <w:rPr>
          <w:lang w:val="fr-FR"/>
        </w:rPr>
        <w:t>’</w:t>
      </w:r>
      <w:r w:rsidRPr="00A5236E">
        <w:rPr>
          <w:lang w:val="fr-FR"/>
        </w:rPr>
        <w:t xml:space="preserve">Accord de 1958 (AC.1) pour examen à leurs sessions de </w:t>
      </w:r>
      <w:r>
        <w:rPr>
          <w:lang w:val="fr-FR"/>
        </w:rPr>
        <w:t xml:space="preserve">novembre </w:t>
      </w:r>
      <w:r w:rsidRPr="00A5236E">
        <w:rPr>
          <w:lang w:val="fr-FR"/>
        </w:rPr>
        <w:t>2019.</w:t>
      </w:r>
    </w:p>
    <w:p w14:paraId="28064439" w14:textId="77777777" w:rsidR="00D966B9" w:rsidRPr="00133AC9" w:rsidRDefault="00D966B9" w:rsidP="00FB2D9F">
      <w:pPr>
        <w:pStyle w:val="HChG"/>
        <w:rPr>
          <w:lang w:val="fr-FR"/>
        </w:rPr>
      </w:pPr>
      <w:r w:rsidRPr="00A5236E">
        <w:rPr>
          <w:lang w:val="fr-FR"/>
        </w:rPr>
        <w:br w:type="page"/>
      </w:r>
      <w:r w:rsidRPr="00A5236E">
        <w:rPr>
          <w:lang w:val="fr-FR"/>
        </w:rPr>
        <w:lastRenderedPageBreak/>
        <w:tab/>
      </w:r>
      <w:r w:rsidRPr="00A5236E">
        <w:rPr>
          <w:lang w:val="fr-FR"/>
        </w:rPr>
        <w:tab/>
      </w:r>
      <w:r w:rsidRPr="00133AC9">
        <w:rPr>
          <w:lang w:val="fr-FR"/>
        </w:rPr>
        <w:t>Complément 2 à la version initiale du Règlem</w:t>
      </w:r>
      <w:r>
        <w:rPr>
          <w:lang w:val="fr-FR"/>
        </w:rPr>
        <w:t xml:space="preserve">ent ONU </w:t>
      </w:r>
      <w:r w:rsidRPr="00133AC9">
        <w:rPr>
          <w:lang w:val="fr-FR"/>
        </w:rPr>
        <w:t>n</w:t>
      </w:r>
      <w:r w:rsidRPr="00133AC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33AC9">
        <w:rPr>
          <w:spacing w:val="1"/>
          <w:lang w:val="fr-FR"/>
        </w:rPr>
        <w:t xml:space="preserve">135 </w:t>
      </w:r>
      <w:r w:rsidRPr="00133AC9">
        <w:rPr>
          <w:lang w:val="fr-FR"/>
        </w:rPr>
        <w:t>(</w:t>
      </w:r>
      <w:r w:rsidRPr="00A5236E">
        <w:rPr>
          <w:lang w:val="fr-FR"/>
        </w:rPr>
        <w:t>Essai de choc latéral contre un poteau</w:t>
      </w:r>
      <w:r w:rsidRPr="00133AC9">
        <w:rPr>
          <w:lang w:val="fr-FR"/>
        </w:rPr>
        <w:t>)</w:t>
      </w:r>
    </w:p>
    <w:p w14:paraId="13741627" w14:textId="77777777" w:rsidR="00D966B9" w:rsidRPr="0072474E" w:rsidRDefault="00D966B9" w:rsidP="00FB2D9F">
      <w:pPr>
        <w:pStyle w:val="SingleTxtG"/>
        <w:rPr>
          <w:lang w:val="fr-FR"/>
        </w:rPr>
      </w:pPr>
      <w:r w:rsidRPr="00FB2D9F">
        <w:rPr>
          <w:i/>
          <w:lang w:val="fr-FR"/>
        </w:rPr>
        <w:t>Paragraphe 5.4.2.1</w:t>
      </w:r>
      <w:r w:rsidRPr="00C23B9F">
        <w:rPr>
          <w:lang w:val="fr-FR"/>
        </w:rPr>
        <w:t>, lire</w:t>
      </w:r>
      <w:r>
        <w:rPr>
          <w:lang w:val="fr-FR"/>
        </w:rPr>
        <w:t> </w:t>
      </w:r>
      <w:r w:rsidRPr="00C23B9F">
        <w:rPr>
          <w:lang w:val="fr-FR"/>
        </w:rPr>
        <w:t>:</w:t>
      </w:r>
    </w:p>
    <w:p w14:paraId="678288AB" w14:textId="77777777" w:rsidR="00D966B9" w:rsidRPr="0072474E" w:rsidRDefault="00D966B9" w:rsidP="00FB2D9F">
      <w:pPr>
        <w:pStyle w:val="SingleTxtG"/>
        <w:rPr>
          <w:lang w:val="fr-FR"/>
        </w:rPr>
      </w:pPr>
      <w:r w:rsidRPr="0072474E">
        <w:rPr>
          <w:lang w:val="fr-FR"/>
        </w:rPr>
        <w:t>« 5.4.2.1</w:t>
      </w:r>
      <w:r w:rsidRPr="00C23B9F">
        <w:rPr>
          <w:lang w:val="fr-FR"/>
        </w:rPr>
        <w:tab/>
        <w:t>La porte doit rester fermée</w:t>
      </w:r>
      <w:r>
        <w:rPr>
          <w:lang w:val="fr-FR"/>
        </w:rPr>
        <w:t> </w:t>
      </w:r>
      <w:r w:rsidRPr="00C23B9F">
        <w:rPr>
          <w:lang w:val="fr-FR"/>
        </w:rPr>
        <w:t>;</w:t>
      </w:r>
    </w:p>
    <w:p w14:paraId="15C1F24C" w14:textId="77777777" w:rsidR="00D966B9" w:rsidRPr="0072474E" w:rsidRDefault="00D966B9" w:rsidP="00FB2D9F">
      <w:pPr>
        <w:pStyle w:val="SingleTxtG"/>
        <w:ind w:left="2268"/>
        <w:rPr>
          <w:lang w:val="fr-FR"/>
        </w:rPr>
      </w:pPr>
      <w:r w:rsidRPr="0072474E">
        <w:rPr>
          <w:lang w:val="fr-FR"/>
        </w:rPr>
        <w:t>Cette prescription est réputée satisfaite :</w:t>
      </w:r>
    </w:p>
    <w:p w14:paraId="4C790FD8" w14:textId="77777777" w:rsidR="00D966B9" w:rsidRPr="0072474E" w:rsidRDefault="00D966B9" w:rsidP="00FB2D9F">
      <w:pPr>
        <w:pStyle w:val="SingleTxtG"/>
        <w:ind w:left="2268"/>
        <w:rPr>
          <w:lang w:val="fr-FR"/>
        </w:rPr>
      </w:pPr>
      <w:r w:rsidRPr="0072474E">
        <w:rPr>
          <w:lang w:val="fr-FR"/>
        </w:rPr>
        <w:t>a)</w:t>
      </w:r>
      <w:r w:rsidRPr="0072474E">
        <w:rPr>
          <w:lang w:val="fr-FR"/>
        </w:rPr>
        <w:tab/>
        <w:t>S</w:t>
      </w:r>
      <w:r>
        <w:rPr>
          <w:lang w:val="fr-FR"/>
        </w:rPr>
        <w:t>’</w:t>
      </w:r>
      <w:r w:rsidRPr="0072474E">
        <w:rPr>
          <w:lang w:val="fr-FR"/>
        </w:rPr>
        <w:t xml:space="preserve">il est clairement visible que la serrure de la porte est fermée ; </w:t>
      </w:r>
      <w:proofErr w:type="gramStart"/>
      <w:r w:rsidRPr="0072474E">
        <w:rPr>
          <w:lang w:val="fr-FR"/>
        </w:rPr>
        <w:t>ou</w:t>
      </w:r>
      <w:proofErr w:type="gramEnd"/>
    </w:p>
    <w:p w14:paraId="5B61C12F" w14:textId="77777777" w:rsidR="00F9573C" w:rsidRDefault="00D966B9" w:rsidP="003F0408">
      <w:pPr>
        <w:pStyle w:val="SingleTxtG"/>
        <w:spacing w:after="240"/>
        <w:ind w:left="2835" w:hanging="567"/>
        <w:rPr>
          <w:lang w:val="fr-FR"/>
        </w:rPr>
      </w:pPr>
      <w:r w:rsidRPr="0072474E">
        <w:rPr>
          <w:lang w:val="fr-FR"/>
        </w:rPr>
        <w:t>b)</w:t>
      </w:r>
      <w:r w:rsidRPr="0072474E">
        <w:rPr>
          <w:lang w:val="fr-FR"/>
        </w:rPr>
        <w:tab/>
        <w:t>Si la porte ne s</w:t>
      </w:r>
      <w:r>
        <w:rPr>
          <w:lang w:val="fr-FR"/>
        </w:rPr>
        <w:t>’</w:t>
      </w:r>
      <w:r w:rsidRPr="0072474E">
        <w:rPr>
          <w:lang w:val="fr-FR"/>
        </w:rPr>
        <w:t>ouvre pas lorsqu</w:t>
      </w:r>
      <w:r>
        <w:rPr>
          <w:lang w:val="fr-FR"/>
        </w:rPr>
        <w:t>’</w:t>
      </w:r>
      <w:r w:rsidRPr="0072474E">
        <w:rPr>
          <w:lang w:val="fr-FR"/>
        </w:rPr>
        <w:t>on applique une force de traction statique d</w:t>
      </w:r>
      <w:r>
        <w:rPr>
          <w:lang w:val="fr-FR"/>
        </w:rPr>
        <w:t>’</w:t>
      </w:r>
      <w:r w:rsidRPr="0072474E">
        <w:rPr>
          <w:lang w:val="fr-FR"/>
        </w:rPr>
        <w:t>au moins 400 N dans la direction y, conformément à la figure ci-dessous, aussi près que possible du rebord de la fenêtre et de l</w:t>
      </w:r>
      <w:r>
        <w:rPr>
          <w:lang w:val="fr-FR"/>
        </w:rPr>
        <w:t>’</w:t>
      </w:r>
      <w:r w:rsidRPr="0072474E">
        <w:rPr>
          <w:lang w:val="fr-FR"/>
        </w:rPr>
        <w:t>extrémité de la porte située à l</w:t>
      </w:r>
      <w:r>
        <w:rPr>
          <w:lang w:val="fr-FR"/>
        </w:rPr>
        <w:t>’</w:t>
      </w:r>
      <w:r w:rsidRPr="0072474E">
        <w:rPr>
          <w:lang w:val="fr-FR"/>
        </w:rPr>
        <w:t>opposé du côté où se trouve la charnière, à l</w:t>
      </w:r>
      <w:r>
        <w:rPr>
          <w:lang w:val="fr-FR"/>
        </w:rPr>
        <w:t>’</w:t>
      </w:r>
      <w:r w:rsidRPr="0072474E">
        <w:rPr>
          <w:lang w:val="fr-FR"/>
        </w:rPr>
        <w:t>exception de la poignée.</w:t>
      </w:r>
    </w:p>
    <w:p w14:paraId="503D219B" w14:textId="77777777" w:rsidR="00C46B3C" w:rsidRPr="008C578C" w:rsidRDefault="00D966B9" w:rsidP="008C578C">
      <w:pPr>
        <w:pStyle w:val="Heading1"/>
        <w:spacing w:before="120" w:after="120"/>
        <w:rPr>
          <w:b/>
        </w:rPr>
      </w:pPr>
      <w:r w:rsidRPr="008C578C">
        <w:rPr>
          <w:b/>
        </w:rPr>
        <w:t>Figure</w:t>
      </w:r>
    </w:p>
    <w:p w14:paraId="543F28F9" w14:textId="77777777" w:rsidR="00C46B3C" w:rsidRPr="00C46B3C" w:rsidRDefault="00C46B3C" w:rsidP="00C46B3C">
      <w:pPr>
        <w:spacing w:after="120"/>
        <w:ind w:left="1134"/>
        <w:rPr>
          <w:bCs/>
          <w:iCs/>
          <w:lang w:eastAsia="de-DE"/>
        </w:rPr>
      </w:pPr>
      <w:r>
        <w:rPr>
          <w:noProof/>
        </w:rPr>
        <w:drawing>
          <wp:inline distT="0" distB="0" distL="0" distR="0" wp14:anchorId="640FBA8D" wp14:editId="4A749C7F">
            <wp:extent cx="4680000" cy="37764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8FD">
        <w:rPr>
          <w:bCs/>
          <w:iCs/>
          <w:lang w:eastAsia="de-DE"/>
        </w:rPr>
        <w:t> ».</w:t>
      </w:r>
    </w:p>
    <w:p w14:paraId="1613C75B" w14:textId="77777777" w:rsidR="00D966B9" w:rsidRPr="00D966B9" w:rsidRDefault="00D966B9" w:rsidP="00D966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66B9" w:rsidRPr="00D966B9" w:rsidSect="00D966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AD3E" w14:textId="77777777" w:rsidR="00E939A2" w:rsidRDefault="00E939A2" w:rsidP="00F95C08">
      <w:pPr>
        <w:spacing w:line="240" w:lineRule="auto"/>
      </w:pPr>
    </w:p>
  </w:endnote>
  <w:endnote w:type="continuationSeparator" w:id="0">
    <w:p w14:paraId="7E6BFFB9" w14:textId="77777777" w:rsidR="00E939A2" w:rsidRPr="00AC3823" w:rsidRDefault="00E939A2" w:rsidP="00AC3823">
      <w:pPr>
        <w:pStyle w:val="Footer"/>
      </w:pPr>
    </w:p>
  </w:endnote>
  <w:endnote w:type="continuationNotice" w:id="1">
    <w:p w14:paraId="4451EF8C" w14:textId="77777777" w:rsidR="00E939A2" w:rsidRDefault="00E939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F305" w14:textId="77777777" w:rsidR="00D966B9" w:rsidRPr="00D966B9" w:rsidRDefault="00D966B9" w:rsidP="00D966B9">
    <w:pPr>
      <w:pStyle w:val="Footer"/>
      <w:tabs>
        <w:tab w:val="right" w:pos="9638"/>
      </w:tabs>
    </w:pPr>
    <w:r w:rsidRPr="00D966B9">
      <w:rPr>
        <w:b/>
        <w:sz w:val="18"/>
      </w:rPr>
      <w:fldChar w:fldCharType="begin"/>
    </w:r>
    <w:r w:rsidRPr="00D966B9">
      <w:rPr>
        <w:b/>
        <w:sz w:val="18"/>
      </w:rPr>
      <w:instrText xml:space="preserve"> PAGE  \* MERGEFORMAT </w:instrText>
    </w:r>
    <w:r w:rsidRPr="00D966B9">
      <w:rPr>
        <w:b/>
        <w:sz w:val="18"/>
      </w:rPr>
      <w:fldChar w:fldCharType="separate"/>
    </w:r>
    <w:r w:rsidRPr="00D966B9">
      <w:rPr>
        <w:b/>
        <w:noProof/>
        <w:sz w:val="18"/>
      </w:rPr>
      <w:t>2</w:t>
    </w:r>
    <w:r w:rsidRPr="00D966B9">
      <w:rPr>
        <w:b/>
        <w:sz w:val="18"/>
      </w:rPr>
      <w:fldChar w:fldCharType="end"/>
    </w:r>
    <w:r>
      <w:rPr>
        <w:b/>
        <w:sz w:val="18"/>
      </w:rPr>
      <w:tab/>
    </w:r>
    <w:r>
      <w:t>GE.19-14675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97C7" w14:textId="77777777" w:rsidR="00D966B9" w:rsidRPr="00D966B9" w:rsidRDefault="00D966B9" w:rsidP="00D966B9">
    <w:pPr>
      <w:pStyle w:val="Footer"/>
      <w:tabs>
        <w:tab w:val="right" w:pos="9638"/>
      </w:tabs>
      <w:rPr>
        <w:b/>
        <w:sz w:val="18"/>
      </w:rPr>
    </w:pPr>
    <w:r>
      <w:t>GE.19-14675</w:t>
    </w:r>
    <w:r>
      <w:tab/>
    </w:r>
    <w:r w:rsidRPr="00D966B9">
      <w:rPr>
        <w:b/>
        <w:sz w:val="18"/>
      </w:rPr>
      <w:fldChar w:fldCharType="begin"/>
    </w:r>
    <w:r w:rsidRPr="00D966B9">
      <w:rPr>
        <w:b/>
        <w:sz w:val="18"/>
      </w:rPr>
      <w:instrText xml:space="preserve"> PAGE  \* MERGEFORMAT </w:instrText>
    </w:r>
    <w:r w:rsidRPr="00D966B9">
      <w:rPr>
        <w:b/>
        <w:sz w:val="18"/>
      </w:rPr>
      <w:fldChar w:fldCharType="separate"/>
    </w:r>
    <w:r w:rsidRPr="00D966B9">
      <w:rPr>
        <w:b/>
        <w:noProof/>
        <w:sz w:val="18"/>
      </w:rPr>
      <w:t>3</w:t>
    </w:r>
    <w:r w:rsidRPr="00D966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42EA" w14:textId="77777777" w:rsidR="007F20FA" w:rsidRPr="00D966B9" w:rsidRDefault="00D966B9" w:rsidP="00D966B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C5249" wp14:editId="3C2D75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14675  (</w:t>
    </w:r>
    <w:proofErr w:type="gramEnd"/>
    <w:r>
      <w:rPr>
        <w:sz w:val="20"/>
      </w:rPr>
      <w:t>F)    250919    270919</w:t>
    </w:r>
    <w:r>
      <w:rPr>
        <w:sz w:val="20"/>
      </w:rPr>
      <w:br/>
    </w:r>
    <w:r w:rsidRPr="00D966B9">
      <w:rPr>
        <w:rFonts w:ascii="C39T30Lfz" w:hAnsi="C39T30Lfz"/>
        <w:sz w:val="56"/>
      </w:rPr>
      <w:t></w:t>
    </w:r>
    <w:r w:rsidRPr="00D966B9">
      <w:rPr>
        <w:rFonts w:ascii="C39T30Lfz" w:hAnsi="C39T30Lfz"/>
        <w:sz w:val="56"/>
      </w:rPr>
      <w:t></w:t>
    </w:r>
    <w:r w:rsidRPr="00D966B9">
      <w:rPr>
        <w:rFonts w:ascii="C39T30Lfz" w:hAnsi="C39T30Lfz"/>
        <w:sz w:val="56"/>
      </w:rPr>
      <w:t></w:t>
    </w:r>
    <w:r w:rsidRPr="00D966B9">
      <w:rPr>
        <w:rFonts w:ascii="C39T30Lfz" w:hAnsi="C39T30Lfz"/>
        <w:sz w:val="56"/>
      </w:rPr>
      <w:t></w:t>
    </w:r>
    <w:r w:rsidRPr="00D966B9">
      <w:rPr>
        <w:rFonts w:ascii="C39T30Lfz" w:hAnsi="C39T30Lfz"/>
        <w:sz w:val="56"/>
      </w:rPr>
      <w:t></w:t>
    </w:r>
    <w:r w:rsidRPr="00D966B9">
      <w:rPr>
        <w:rFonts w:ascii="C39T30Lfz" w:hAnsi="C39T30Lfz"/>
        <w:sz w:val="56"/>
      </w:rPr>
      <w:t></w:t>
    </w:r>
    <w:r w:rsidRPr="00D966B9">
      <w:rPr>
        <w:rFonts w:ascii="C39T30Lfz" w:hAnsi="C39T30Lfz"/>
        <w:sz w:val="56"/>
      </w:rPr>
      <w:t></w:t>
    </w:r>
    <w:r w:rsidRPr="00D966B9">
      <w:rPr>
        <w:rFonts w:ascii="C39T30Lfz" w:hAnsi="C39T30Lfz"/>
        <w:sz w:val="56"/>
      </w:rPr>
      <w:t></w:t>
    </w:r>
    <w:r w:rsidRPr="00D966B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1D3B81" wp14:editId="2D80A1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95D7" w14:textId="77777777" w:rsidR="00E939A2" w:rsidRPr="00AC3823" w:rsidRDefault="00E939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4106C3" w14:textId="77777777" w:rsidR="00E939A2" w:rsidRPr="00AC3823" w:rsidRDefault="00E939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4A8D70" w14:textId="77777777" w:rsidR="00E939A2" w:rsidRPr="00AC3823" w:rsidRDefault="00E939A2">
      <w:pPr>
        <w:spacing w:line="240" w:lineRule="auto"/>
        <w:rPr>
          <w:sz w:val="2"/>
          <w:szCs w:val="2"/>
        </w:rPr>
      </w:pPr>
    </w:p>
  </w:footnote>
  <w:footnote w:id="2">
    <w:p w14:paraId="3AB5EDFC" w14:textId="77777777" w:rsidR="00D966B9" w:rsidRPr="00A5236E" w:rsidRDefault="00D966B9" w:rsidP="003C3CA2">
      <w:pPr>
        <w:pStyle w:val="FootnoteText"/>
        <w:rPr>
          <w:lang w:val="fr-FR"/>
        </w:rPr>
      </w:pPr>
      <w:r>
        <w:tab/>
      </w:r>
      <w:r w:rsidRPr="003F0408">
        <w:rPr>
          <w:rStyle w:val="FootnoteReference"/>
          <w:sz w:val="20"/>
          <w:vertAlign w:val="baseline"/>
          <w:lang w:val="fr-FR"/>
        </w:rPr>
        <w:t>*</w:t>
      </w:r>
      <w:r w:rsidRPr="00A5236E">
        <w:rPr>
          <w:lang w:val="fr-FR"/>
        </w:rPr>
        <w:tab/>
        <w:t>Conformément au programme de travail du Comité des transports intérieurs pour la période 2018</w:t>
      </w:r>
      <w:r w:rsidR="003F0408">
        <w:rPr>
          <w:lang w:val="fr-FR"/>
        </w:rPr>
        <w:noBreakHyphen/>
      </w:r>
      <w:r w:rsidRPr="00A5236E">
        <w:rPr>
          <w:lang w:val="fr-FR"/>
        </w:rPr>
        <w:t>2019 (ECE/TRANS/274, par. 123, et ECE/TRANS/2018/21/Add.1, module 3.1), le Forum mondial a pour mission d</w:t>
      </w:r>
      <w:r>
        <w:rPr>
          <w:lang w:val="fr-FR"/>
        </w:rPr>
        <w:t>’</w:t>
      </w:r>
      <w:r w:rsidRPr="00A5236E">
        <w:rPr>
          <w:lang w:val="fr-FR"/>
        </w:rPr>
        <w:t>élaborer, d</w:t>
      </w:r>
      <w:r>
        <w:rPr>
          <w:lang w:val="fr-FR"/>
        </w:rPr>
        <w:t>’</w:t>
      </w:r>
      <w:r w:rsidRPr="00A5236E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A5236E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8BC3" w14:textId="3567894E" w:rsidR="00D966B9" w:rsidRPr="00D966B9" w:rsidRDefault="00930CC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5E18" w14:textId="297C8A77" w:rsidR="00D966B9" w:rsidRPr="00D966B9" w:rsidRDefault="00930CCD" w:rsidP="00D966B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A2"/>
    <w:rsid w:val="00017F94"/>
    <w:rsid w:val="00023842"/>
    <w:rsid w:val="000334F9"/>
    <w:rsid w:val="00045FEB"/>
    <w:rsid w:val="0007796D"/>
    <w:rsid w:val="000B7790"/>
    <w:rsid w:val="000F3EC9"/>
    <w:rsid w:val="00111F2F"/>
    <w:rsid w:val="0014365E"/>
    <w:rsid w:val="00143C66"/>
    <w:rsid w:val="00176178"/>
    <w:rsid w:val="001B0F98"/>
    <w:rsid w:val="001F525A"/>
    <w:rsid w:val="00223272"/>
    <w:rsid w:val="0024779E"/>
    <w:rsid w:val="00257168"/>
    <w:rsid w:val="002744B8"/>
    <w:rsid w:val="002832AC"/>
    <w:rsid w:val="002D7C93"/>
    <w:rsid w:val="002F0895"/>
    <w:rsid w:val="00305801"/>
    <w:rsid w:val="003916DE"/>
    <w:rsid w:val="003C3CA2"/>
    <w:rsid w:val="003F0408"/>
    <w:rsid w:val="00421996"/>
    <w:rsid w:val="00441C3B"/>
    <w:rsid w:val="00446FE5"/>
    <w:rsid w:val="00452396"/>
    <w:rsid w:val="004837D8"/>
    <w:rsid w:val="004E2EED"/>
    <w:rsid w:val="004E468C"/>
    <w:rsid w:val="004F49C5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578C"/>
    <w:rsid w:val="00930CCD"/>
    <w:rsid w:val="009446C0"/>
    <w:rsid w:val="009705C8"/>
    <w:rsid w:val="009C1CF4"/>
    <w:rsid w:val="009D2638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9666A"/>
    <w:rsid w:val="00BA0CA9"/>
    <w:rsid w:val="00C02897"/>
    <w:rsid w:val="00C46B3C"/>
    <w:rsid w:val="00C97039"/>
    <w:rsid w:val="00D314DB"/>
    <w:rsid w:val="00D3439C"/>
    <w:rsid w:val="00D966B9"/>
    <w:rsid w:val="00DB1831"/>
    <w:rsid w:val="00DD3BFD"/>
    <w:rsid w:val="00DF6678"/>
    <w:rsid w:val="00E0299A"/>
    <w:rsid w:val="00E85C74"/>
    <w:rsid w:val="00E939A2"/>
    <w:rsid w:val="00EA6547"/>
    <w:rsid w:val="00EF2E22"/>
    <w:rsid w:val="00F003E2"/>
    <w:rsid w:val="00F35BAF"/>
    <w:rsid w:val="00F660DF"/>
    <w:rsid w:val="00F94664"/>
    <w:rsid w:val="00F9573C"/>
    <w:rsid w:val="00F95C08"/>
    <w:rsid w:val="00FA08FD"/>
    <w:rsid w:val="00FB2D9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5D240"/>
  <w15:docId w15:val="{D5FF57E0-C709-4E55-BE85-F7EB7760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ECE/TRANS/WP.29/2019/110</vt:lpstr>
      <vt:lpstr>ECE/TRANS/WP.29/2019/110</vt:lpstr>
    </vt:vector>
  </TitlesOfParts>
  <Company>DCM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ECE/TRANS/WP.29/2019/110</dc:title>
  <dc:subject/>
  <dc:creator>Valerie BERTIN</dc:creator>
  <cp:keywords/>
  <cp:lastModifiedBy>Marie-Claude Collet</cp:lastModifiedBy>
  <cp:revision>3</cp:revision>
  <cp:lastPrinted>2019-10-01T13:40:00Z</cp:lastPrinted>
  <dcterms:created xsi:type="dcterms:W3CDTF">2019-10-01T13:40:00Z</dcterms:created>
  <dcterms:modified xsi:type="dcterms:W3CDTF">2019-10-01T13:40:00Z</dcterms:modified>
</cp:coreProperties>
</file>