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0" w:type="dxa"/>
        <w:tblLayout w:type="fixed"/>
        <w:tblCellMar>
          <w:left w:w="0" w:type="dxa"/>
          <w:right w:w="0" w:type="dxa"/>
        </w:tblCellMar>
        <w:tblLook w:val="01E0" w:firstRow="1" w:lastRow="1" w:firstColumn="1" w:lastColumn="1" w:noHBand="0" w:noVBand="0"/>
      </w:tblPr>
      <w:tblGrid>
        <w:gridCol w:w="9780"/>
      </w:tblGrid>
      <w:tr w:rsidR="003C3DEF" w14:paraId="0A264531" w14:textId="77777777" w:rsidTr="003C3DEF">
        <w:trPr>
          <w:cantSplit/>
          <w:trHeight w:val="851"/>
        </w:trPr>
        <w:tc>
          <w:tcPr>
            <w:tcW w:w="9781" w:type="dxa"/>
            <w:tcBorders>
              <w:top w:val="nil"/>
              <w:left w:val="nil"/>
              <w:bottom w:val="single" w:sz="4" w:space="0" w:color="auto"/>
              <w:right w:val="nil"/>
            </w:tcBorders>
            <w:vAlign w:val="bottom"/>
            <w:hideMark/>
          </w:tcPr>
          <w:p w14:paraId="2340DB35" w14:textId="364C14D1" w:rsidR="003C3DEF" w:rsidRDefault="003C3DEF">
            <w:pPr>
              <w:ind w:firstLine="284"/>
              <w:jc w:val="right"/>
              <w:rPr>
                <w:color w:val="000000"/>
                <w:spacing w:val="-3"/>
              </w:rPr>
            </w:pPr>
            <w:r>
              <w:rPr>
                <w:b/>
                <w:color w:val="000000"/>
                <w:spacing w:val="-3"/>
                <w:sz w:val="40"/>
                <w:szCs w:val="40"/>
              </w:rPr>
              <w:t>INF.</w:t>
            </w:r>
            <w:r>
              <w:rPr>
                <w:b/>
                <w:color w:val="000000"/>
                <w:spacing w:val="-3"/>
                <w:sz w:val="40"/>
                <w:szCs w:val="40"/>
              </w:rPr>
              <w:t>1</w:t>
            </w:r>
          </w:p>
        </w:tc>
      </w:tr>
      <w:tr w:rsidR="003C3DEF" w14:paraId="2A47E622" w14:textId="77777777" w:rsidTr="003C3DEF">
        <w:trPr>
          <w:cantSplit/>
          <w:trHeight w:val="3129"/>
        </w:trPr>
        <w:tc>
          <w:tcPr>
            <w:tcW w:w="9781" w:type="dxa"/>
            <w:tcBorders>
              <w:top w:val="single" w:sz="4" w:space="0" w:color="auto"/>
              <w:left w:val="nil"/>
              <w:bottom w:val="single" w:sz="8" w:space="0" w:color="auto"/>
              <w:right w:val="nil"/>
            </w:tcBorders>
          </w:tcPr>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7235"/>
              <w:gridCol w:w="2410"/>
            </w:tblGrid>
            <w:tr w:rsidR="003C3DEF" w14:paraId="3B9E2168" w14:textId="77777777">
              <w:trPr>
                <w:cantSplit/>
                <w:trHeight w:val="2410"/>
              </w:trPr>
              <w:tc>
                <w:tcPr>
                  <w:tcW w:w="7230" w:type="dxa"/>
                  <w:hideMark/>
                </w:tcPr>
                <w:p w14:paraId="79392078" w14:textId="77777777" w:rsidR="003C3DEF" w:rsidRDefault="003C3DEF">
                  <w:pPr>
                    <w:spacing w:before="120"/>
                    <w:rPr>
                      <w:b/>
                      <w:sz w:val="28"/>
                      <w:szCs w:val="28"/>
                    </w:rPr>
                  </w:pPr>
                  <w:r>
                    <w:rPr>
                      <w:b/>
                      <w:sz w:val="28"/>
                      <w:szCs w:val="28"/>
                    </w:rPr>
                    <w:t>Economic Commission for Europe</w:t>
                  </w:r>
                </w:p>
                <w:p w14:paraId="1F9F9A3A" w14:textId="77777777" w:rsidR="003C3DEF" w:rsidRDefault="003C3DEF">
                  <w:pPr>
                    <w:spacing w:before="120"/>
                    <w:rPr>
                      <w:sz w:val="28"/>
                      <w:szCs w:val="28"/>
                    </w:rPr>
                  </w:pPr>
                  <w:r>
                    <w:rPr>
                      <w:sz w:val="28"/>
                      <w:szCs w:val="28"/>
                    </w:rPr>
                    <w:t>Inland Transport Committee</w:t>
                  </w:r>
                </w:p>
                <w:p w14:paraId="48EC55A6" w14:textId="77777777" w:rsidR="003C3DEF" w:rsidRDefault="003C3DEF">
                  <w:pPr>
                    <w:spacing w:before="120"/>
                    <w:rPr>
                      <w:b/>
                      <w:sz w:val="24"/>
                      <w:szCs w:val="24"/>
                    </w:rPr>
                  </w:pPr>
                  <w:r>
                    <w:rPr>
                      <w:b/>
                      <w:sz w:val="24"/>
                      <w:szCs w:val="24"/>
                    </w:rPr>
                    <w:t>Working Party on the Transport of Perishable Foodstuffs</w:t>
                  </w:r>
                </w:p>
                <w:p w14:paraId="2D9E8C16" w14:textId="77777777" w:rsidR="003C3DEF" w:rsidRDefault="003C3DEF">
                  <w:pPr>
                    <w:spacing w:before="120"/>
                    <w:rPr>
                      <w:b/>
                    </w:rPr>
                  </w:pPr>
                  <w:r>
                    <w:rPr>
                      <w:b/>
                      <w:bCs/>
                    </w:rPr>
                    <w:t xml:space="preserve">Seventy-fifth </w:t>
                  </w:r>
                  <w:r>
                    <w:rPr>
                      <w:b/>
                    </w:rPr>
                    <w:t>session</w:t>
                  </w:r>
                </w:p>
                <w:p w14:paraId="3670E61C" w14:textId="77777777" w:rsidR="003C3DEF" w:rsidRDefault="003C3DEF">
                  <w:r>
                    <w:t>Geneva, 8-11 October 2019</w:t>
                  </w:r>
                </w:p>
                <w:p w14:paraId="243889E7" w14:textId="77777777" w:rsidR="003C3DEF" w:rsidRDefault="003C3DEF">
                  <w:r>
                    <w:t>Item 1 of the provisional agenda</w:t>
                  </w:r>
                </w:p>
                <w:p w14:paraId="280F3292" w14:textId="77777777" w:rsidR="003C3DEF" w:rsidRDefault="003C3DEF">
                  <w:pPr>
                    <w:rPr>
                      <w:b/>
                    </w:rPr>
                  </w:pPr>
                  <w:r>
                    <w:rPr>
                      <w:b/>
                    </w:rPr>
                    <w:t>Adoption of the agenda</w:t>
                  </w:r>
                </w:p>
              </w:tc>
              <w:tc>
                <w:tcPr>
                  <w:tcW w:w="2409" w:type="dxa"/>
                </w:tcPr>
                <w:p w14:paraId="6A13C1BC" w14:textId="77777777" w:rsidR="003C3DEF" w:rsidRDefault="003C3DEF">
                  <w:pPr>
                    <w:rPr>
                      <w:b/>
                    </w:rPr>
                  </w:pPr>
                </w:p>
                <w:p w14:paraId="12FC3A11" w14:textId="77777777" w:rsidR="003C3DEF" w:rsidRDefault="003C3DEF">
                  <w:pPr>
                    <w:rPr>
                      <w:b/>
                    </w:rPr>
                  </w:pPr>
                </w:p>
                <w:p w14:paraId="714C5FCF" w14:textId="039FFE13" w:rsidR="003C3DEF" w:rsidRDefault="003C3DEF">
                  <w:pPr>
                    <w:spacing w:after="120"/>
                    <w:rPr>
                      <w:bCs/>
                    </w:rPr>
                  </w:pPr>
                  <w:r>
                    <w:rPr>
                      <w:bCs/>
                    </w:rPr>
                    <w:t>4</w:t>
                  </w:r>
                  <w:r>
                    <w:rPr>
                      <w:bCs/>
                    </w:rPr>
                    <w:t xml:space="preserve"> October 2019</w:t>
                  </w:r>
                </w:p>
                <w:p w14:paraId="1A048CE6" w14:textId="77777777" w:rsidR="003C3DEF" w:rsidRDefault="003C3DEF">
                  <w:pPr>
                    <w:rPr>
                      <w:bCs/>
                    </w:rPr>
                  </w:pPr>
                  <w:r>
                    <w:rPr>
                      <w:bCs/>
                    </w:rPr>
                    <w:t>English</w:t>
                  </w:r>
                </w:p>
              </w:tc>
            </w:tr>
          </w:tbl>
          <w:p w14:paraId="57E293AB" w14:textId="77777777" w:rsidR="003C3DEF" w:rsidRDefault="003C3DEF">
            <w:pPr>
              <w:spacing w:before="120"/>
              <w:ind w:right="425" w:firstLine="284"/>
              <w:rPr>
                <w:color w:val="000000"/>
                <w:spacing w:val="-3"/>
              </w:rPr>
            </w:pPr>
          </w:p>
        </w:tc>
      </w:tr>
    </w:tbl>
    <w:p w14:paraId="7F34B14C" w14:textId="7148A5DE" w:rsidR="00D03F3E" w:rsidRDefault="00D03F3E" w:rsidP="00A07948">
      <w:pPr>
        <w:pStyle w:val="HChG"/>
        <w:jc w:val="both"/>
      </w:pPr>
      <w:r>
        <w:tab/>
      </w:r>
      <w:r>
        <w:tab/>
      </w:r>
      <w:r w:rsidR="006B76AD">
        <w:t>List of documents by agenda item and annotations</w:t>
      </w:r>
    </w:p>
    <w:p w14:paraId="787780FC" w14:textId="2290D511" w:rsidR="00262BF9" w:rsidRDefault="00262BF9" w:rsidP="006B76AD">
      <w:pPr>
        <w:pStyle w:val="H23G"/>
        <w:jc w:val="both"/>
      </w:pPr>
      <w:r>
        <w:tab/>
      </w:r>
      <w:r w:rsidR="00934EB4">
        <w:tab/>
      </w:r>
      <w:r w:rsidR="00230D7B">
        <w:t>1</w:t>
      </w:r>
      <w:r w:rsidR="001921F0">
        <w:t>.</w:t>
      </w:r>
      <w:r w:rsidR="001921F0">
        <w:tab/>
      </w:r>
      <w:r>
        <w:t>A</w:t>
      </w:r>
      <w:r w:rsidR="0026285E">
        <w:t>doption of the a</w:t>
      </w:r>
      <w:r>
        <w:t>genda</w:t>
      </w:r>
    </w:p>
    <w:p w14:paraId="1B9C2B53" w14:textId="09D3183A" w:rsidR="00513010" w:rsidRDefault="00513010" w:rsidP="00A07948">
      <w:pPr>
        <w:pStyle w:val="SingleTxtG"/>
      </w:pPr>
      <w:r>
        <w:t xml:space="preserve">In accordance with </w:t>
      </w:r>
      <w:r w:rsidR="00CD2B0F">
        <w:t>WP.11's</w:t>
      </w:r>
      <w:r>
        <w:t xml:space="preserve"> rules of procedure, the first item on the provisional agenda is the adoption of the agenda</w:t>
      </w:r>
      <w:r w:rsidR="00C825F5">
        <w:t>.</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060C79" w14:paraId="7F052E94" w14:textId="77777777" w:rsidTr="006420FC">
        <w:tc>
          <w:tcPr>
            <w:tcW w:w="4676" w:type="dxa"/>
            <w:shd w:val="clear" w:color="auto" w:fill="auto"/>
          </w:tcPr>
          <w:p w14:paraId="3BFF6506" w14:textId="77777777" w:rsidR="00060C79" w:rsidRDefault="00060C79" w:rsidP="006420FC">
            <w:pPr>
              <w:pStyle w:val="SingleTxtG"/>
              <w:spacing w:before="40"/>
              <w:ind w:right="0"/>
            </w:pPr>
            <w:r>
              <w:t>ECE/TRANS/WP.11/240 (Secretariat)</w:t>
            </w:r>
          </w:p>
        </w:tc>
        <w:tc>
          <w:tcPr>
            <w:tcW w:w="3829" w:type="dxa"/>
            <w:shd w:val="clear" w:color="auto" w:fill="auto"/>
          </w:tcPr>
          <w:p w14:paraId="4FD37A3C" w14:textId="77777777" w:rsidR="00060C79" w:rsidRDefault="00060C79" w:rsidP="006420FC">
            <w:pPr>
              <w:pStyle w:val="SingleTxtG"/>
              <w:spacing w:before="40"/>
              <w:ind w:left="113"/>
            </w:pPr>
            <w:r>
              <w:t>Provisional agenda</w:t>
            </w:r>
          </w:p>
        </w:tc>
      </w:tr>
      <w:tr w:rsidR="00060C79" w14:paraId="28D4112B" w14:textId="77777777" w:rsidTr="006420FC">
        <w:tc>
          <w:tcPr>
            <w:tcW w:w="4676" w:type="dxa"/>
            <w:shd w:val="clear" w:color="auto" w:fill="auto"/>
          </w:tcPr>
          <w:p w14:paraId="04D8DB5B" w14:textId="77777777" w:rsidR="00060C79" w:rsidRDefault="00060C79" w:rsidP="006420FC">
            <w:pPr>
              <w:pStyle w:val="SingleTxtG"/>
              <w:spacing w:before="40"/>
              <w:ind w:right="0"/>
            </w:pPr>
            <w:r>
              <w:t>ECE/TRANS/WP.11/240/Add.1 (Secretariat)</w:t>
            </w:r>
          </w:p>
        </w:tc>
        <w:tc>
          <w:tcPr>
            <w:tcW w:w="3829" w:type="dxa"/>
            <w:shd w:val="clear" w:color="auto" w:fill="auto"/>
          </w:tcPr>
          <w:p w14:paraId="0E63E1A4" w14:textId="77777777" w:rsidR="00060C79" w:rsidRDefault="00060C79" w:rsidP="006420FC">
            <w:pPr>
              <w:pStyle w:val="SingleTxtG"/>
              <w:spacing w:before="40"/>
              <w:ind w:left="113" w:right="113"/>
            </w:pPr>
            <w:r>
              <w:t>List of documents by agenda item and annotations</w:t>
            </w:r>
          </w:p>
        </w:tc>
      </w:tr>
      <w:tr w:rsidR="00060C79" w14:paraId="0631135D" w14:textId="77777777" w:rsidTr="006420FC">
        <w:tc>
          <w:tcPr>
            <w:tcW w:w="4676" w:type="dxa"/>
            <w:shd w:val="clear" w:color="auto" w:fill="auto"/>
          </w:tcPr>
          <w:p w14:paraId="6AA36820" w14:textId="77777777" w:rsidR="00060C79" w:rsidRDefault="00060C79" w:rsidP="006420FC">
            <w:pPr>
              <w:pStyle w:val="SingleTxtG"/>
              <w:spacing w:before="40"/>
              <w:ind w:right="0"/>
            </w:pPr>
            <w:r>
              <w:t>Informal document INF.1 (Secretariat)</w:t>
            </w:r>
          </w:p>
        </w:tc>
        <w:tc>
          <w:tcPr>
            <w:tcW w:w="3829" w:type="dxa"/>
            <w:shd w:val="clear" w:color="auto" w:fill="auto"/>
          </w:tcPr>
          <w:p w14:paraId="19DE74BC" w14:textId="77777777" w:rsidR="00060C79" w:rsidRDefault="00060C79" w:rsidP="006420FC">
            <w:pPr>
              <w:pStyle w:val="SingleTxtG"/>
              <w:spacing w:before="40"/>
              <w:ind w:left="113" w:right="113"/>
            </w:pPr>
            <w:r>
              <w:t>List of documents by agenda item</w:t>
            </w:r>
          </w:p>
        </w:tc>
      </w:tr>
      <w:tr w:rsidR="00060C79" w14:paraId="524828A4" w14:textId="77777777" w:rsidTr="006420FC">
        <w:tc>
          <w:tcPr>
            <w:tcW w:w="4676" w:type="dxa"/>
            <w:shd w:val="clear" w:color="auto" w:fill="auto"/>
          </w:tcPr>
          <w:p w14:paraId="23C079B4" w14:textId="77777777" w:rsidR="00060C79" w:rsidRDefault="00060C79" w:rsidP="006420FC">
            <w:pPr>
              <w:pStyle w:val="SingleTxtG"/>
              <w:spacing w:before="40"/>
              <w:ind w:right="0"/>
            </w:pPr>
            <w:r>
              <w:t>Informal document INF.3 (Secretariat)</w:t>
            </w:r>
          </w:p>
        </w:tc>
        <w:tc>
          <w:tcPr>
            <w:tcW w:w="3829" w:type="dxa"/>
            <w:shd w:val="clear" w:color="auto" w:fill="auto"/>
          </w:tcPr>
          <w:p w14:paraId="2A09BA98" w14:textId="77777777" w:rsidR="00060C79" w:rsidRDefault="00060C79" w:rsidP="006420FC">
            <w:pPr>
              <w:pStyle w:val="SingleTxtG"/>
              <w:spacing w:before="40"/>
              <w:ind w:left="113" w:right="113"/>
            </w:pPr>
            <w:r w:rsidRPr="00CB3D58">
              <w:t>Provisional timetable</w:t>
            </w:r>
          </w:p>
        </w:tc>
      </w:tr>
      <w:tr w:rsidR="00060C79" w14:paraId="586766B5" w14:textId="77777777" w:rsidTr="006420FC">
        <w:tc>
          <w:tcPr>
            <w:tcW w:w="4676" w:type="dxa"/>
            <w:shd w:val="clear" w:color="auto" w:fill="auto"/>
          </w:tcPr>
          <w:p w14:paraId="354C0A19" w14:textId="77777777" w:rsidR="00060C79" w:rsidRPr="00060C79" w:rsidRDefault="00060C79" w:rsidP="006420FC">
            <w:pPr>
              <w:pStyle w:val="SingleTxtG"/>
              <w:spacing w:before="40"/>
              <w:ind w:right="0"/>
              <w:rPr>
                <w:b/>
                <w:bCs/>
              </w:rPr>
            </w:pPr>
            <w:r w:rsidRPr="00060C79">
              <w:rPr>
                <w:b/>
                <w:bCs/>
              </w:rPr>
              <w:t>Background documents</w:t>
            </w:r>
          </w:p>
        </w:tc>
        <w:tc>
          <w:tcPr>
            <w:tcW w:w="3829" w:type="dxa"/>
            <w:shd w:val="clear" w:color="auto" w:fill="auto"/>
          </w:tcPr>
          <w:p w14:paraId="412C37D9" w14:textId="77777777" w:rsidR="00060C79" w:rsidRDefault="00060C79" w:rsidP="006420FC">
            <w:pPr>
              <w:pStyle w:val="SingleTxtG"/>
              <w:spacing w:before="40"/>
              <w:ind w:left="113"/>
            </w:pPr>
          </w:p>
        </w:tc>
      </w:tr>
      <w:tr w:rsidR="00060C79" w14:paraId="04E2DF3F" w14:textId="77777777" w:rsidTr="006420FC">
        <w:tc>
          <w:tcPr>
            <w:tcW w:w="4676" w:type="dxa"/>
            <w:shd w:val="clear" w:color="auto" w:fill="auto"/>
          </w:tcPr>
          <w:p w14:paraId="11DC16A8" w14:textId="39BC94F5" w:rsidR="00060C79" w:rsidRDefault="00060C79" w:rsidP="006420FC">
            <w:pPr>
              <w:pStyle w:val="SingleTxtG"/>
              <w:spacing w:before="40"/>
              <w:ind w:right="0"/>
            </w:pPr>
            <w:r>
              <w:t>ECE/TRANS/</w:t>
            </w:r>
            <w:r w:rsidR="009A0F6E">
              <w:t>271</w:t>
            </w:r>
          </w:p>
        </w:tc>
        <w:tc>
          <w:tcPr>
            <w:tcW w:w="3829" w:type="dxa"/>
            <w:shd w:val="clear" w:color="auto" w:fill="auto"/>
          </w:tcPr>
          <w:p w14:paraId="435DE9E5" w14:textId="2D3B9FEF" w:rsidR="00060C79" w:rsidRDefault="00060C79" w:rsidP="006420FC">
            <w:pPr>
              <w:pStyle w:val="SingleTxtG"/>
              <w:spacing w:before="40"/>
              <w:ind w:left="113"/>
            </w:pPr>
            <w:r>
              <w:t>ATP</w:t>
            </w:r>
            <w:r w:rsidR="009A0F6E">
              <w:t xml:space="preserve"> 2018</w:t>
            </w:r>
          </w:p>
        </w:tc>
      </w:tr>
      <w:tr w:rsidR="00060C79" w14:paraId="153D24EC" w14:textId="77777777" w:rsidTr="006420FC">
        <w:tc>
          <w:tcPr>
            <w:tcW w:w="4676" w:type="dxa"/>
            <w:shd w:val="clear" w:color="auto" w:fill="auto"/>
          </w:tcPr>
          <w:p w14:paraId="0E9B1A54" w14:textId="77777777" w:rsidR="00060C79" w:rsidRDefault="00060C79" w:rsidP="006420FC">
            <w:pPr>
              <w:pStyle w:val="SingleTxtG"/>
              <w:spacing w:before="40"/>
              <w:ind w:right="0"/>
            </w:pPr>
            <w:r>
              <w:t>ECE/TRANS/WP.11/239</w:t>
            </w:r>
          </w:p>
        </w:tc>
        <w:tc>
          <w:tcPr>
            <w:tcW w:w="3829" w:type="dxa"/>
            <w:shd w:val="clear" w:color="auto" w:fill="auto"/>
          </w:tcPr>
          <w:p w14:paraId="6F4DC2F5" w14:textId="77777777" w:rsidR="00060C79" w:rsidRDefault="00060C79" w:rsidP="006420FC">
            <w:pPr>
              <w:pStyle w:val="SingleTxtG"/>
              <w:spacing w:before="40"/>
              <w:ind w:left="113" w:right="113"/>
            </w:pPr>
            <w:r>
              <w:t>Report of the seventy-fourth session of WP.11</w:t>
            </w:r>
          </w:p>
        </w:tc>
      </w:tr>
    </w:tbl>
    <w:p w14:paraId="5136D8A8" w14:textId="2F704576" w:rsidR="001D7539" w:rsidRDefault="00CB7DD8" w:rsidP="00A07948">
      <w:pPr>
        <w:pStyle w:val="H1G"/>
        <w:jc w:val="both"/>
      </w:pPr>
      <w:r>
        <w:tab/>
      </w:r>
      <w:r w:rsidR="00B10405">
        <w:t>2</w:t>
      </w:r>
      <w:r>
        <w:t>.</w:t>
      </w:r>
      <w:r>
        <w:tab/>
      </w:r>
      <w:r w:rsidR="00CA77FE" w:rsidRPr="00CA77FE">
        <w:t xml:space="preserve">Activities of ECE bodies of </w:t>
      </w:r>
      <w:r w:rsidR="00CA77FE" w:rsidRPr="00D86A74">
        <w:t>interest</w:t>
      </w:r>
      <w:r w:rsidR="00CA77FE" w:rsidRPr="00CA77FE">
        <w:t xml:space="preserve"> to the Working Party</w:t>
      </w:r>
    </w:p>
    <w:p w14:paraId="40228623" w14:textId="77777777" w:rsidR="00CA77FE" w:rsidRDefault="007C2C1A" w:rsidP="00A07948">
      <w:pPr>
        <w:pStyle w:val="H23G"/>
        <w:jc w:val="both"/>
      </w:pPr>
      <w:r>
        <w:tab/>
      </w:r>
      <w:r w:rsidR="00CA77FE">
        <w:t>(a)</w:t>
      </w:r>
      <w:r w:rsidR="00CA77FE">
        <w:tab/>
        <w:t xml:space="preserve">Inland Transport </w:t>
      </w:r>
      <w:r w:rsidR="00CA77FE" w:rsidRPr="00D86A74">
        <w:t>Committee</w:t>
      </w:r>
    </w:p>
    <w:p w14:paraId="0780D625" w14:textId="634C3BC6" w:rsidR="00222070" w:rsidRDefault="00513010" w:rsidP="00A07948">
      <w:pPr>
        <w:pStyle w:val="SingleTxtG"/>
        <w:rPr>
          <w:lang w:val="en-US"/>
        </w:rPr>
      </w:pPr>
      <w:r w:rsidRPr="00807E02">
        <w:rPr>
          <w:lang w:val="en-US"/>
        </w:rPr>
        <w:t xml:space="preserve">The Working Party will be informed about the results of the </w:t>
      </w:r>
      <w:r w:rsidR="001752B3">
        <w:t xml:space="preserve">eighty-first </w:t>
      </w:r>
      <w:r w:rsidR="0093702E">
        <w:t xml:space="preserve">session </w:t>
      </w:r>
      <w:r w:rsidR="00050C15">
        <w:t>of the Inland Transport Committee (ITC)</w:t>
      </w:r>
      <w:r w:rsidR="004869C0">
        <w:t>,</w:t>
      </w:r>
      <w:r w:rsidRPr="00807E02">
        <w:rPr>
          <w:lang w:val="en-US"/>
        </w:rPr>
        <w:t xml:space="preserve"> </w:t>
      </w:r>
      <w:r w:rsidR="004869C0">
        <w:t>(</w:t>
      </w:r>
      <w:r w:rsidR="001752B3">
        <w:t>19</w:t>
      </w:r>
      <w:r w:rsidR="004869C0">
        <w:t>-</w:t>
      </w:r>
      <w:r w:rsidR="001752B3">
        <w:t xml:space="preserve">22 </w:t>
      </w:r>
      <w:r w:rsidR="004869C0">
        <w:t xml:space="preserve">February </w:t>
      </w:r>
      <w:r w:rsidR="001752B3">
        <w:t>2019</w:t>
      </w:r>
      <w:r w:rsidR="004869C0">
        <w:t xml:space="preserve">) </w:t>
      </w:r>
      <w:r w:rsidRPr="00807E02">
        <w:rPr>
          <w:lang w:val="en-US"/>
        </w:rPr>
        <w:t>as reflec</w:t>
      </w:r>
      <w:r w:rsidR="008C29AB">
        <w:rPr>
          <w:lang w:val="en-US"/>
        </w:rPr>
        <w:t>ted in its report (ECE/TRANS/</w:t>
      </w:r>
      <w:r w:rsidR="001752B3">
        <w:rPr>
          <w:lang w:val="en-US"/>
        </w:rPr>
        <w:t>288</w:t>
      </w:r>
      <w:r w:rsidR="00222070">
        <w:rPr>
          <w:lang w:val="en-US"/>
        </w:rPr>
        <w:t xml:space="preserve">, paragraphs </w:t>
      </w:r>
      <w:r w:rsidR="00B2722B">
        <w:rPr>
          <w:lang w:val="en-US"/>
        </w:rPr>
        <w:t>99</w:t>
      </w:r>
      <w:r w:rsidR="00024675">
        <w:rPr>
          <w:lang w:val="en-US"/>
        </w:rPr>
        <w:t>-</w:t>
      </w:r>
      <w:r w:rsidR="00B2722B">
        <w:rPr>
          <w:lang w:val="en-US"/>
        </w:rPr>
        <w:t>104</w:t>
      </w:r>
      <w:r w:rsidRPr="00807E02">
        <w:rPr>
          <w:lang w:val="en-US"/>
        </w:rPr>
        <w:t>).</w:t>
      </w:r>
    </w:p>
    <w:p w14:paraId="74A3EC5B" w14:textId="0D64F400" w:rsidR="00F334C2" w:rsidRPr="00F334C2" w:rsidRDefault="00406ACC" w:rsidP="00A07948">
      <w:pPr>
        <w:pStyle w:val="SingleTxtG"/>
      </w:pPr>
      <w:r>
        <w:t xml:space="preserve">The ITC adopted the reports of its </w:t>
      </w:r>
      <w:r w:rsidR="00024675">
        <w:t>subsidiary bodies (ECE/TRANS/</w:t>
      </w:r>
      <w:r w:rsidR="00B2722B">
        <w:t>288</w:t>
      </w:r>
      <w:r>
        <w:t>, para. </w:t>
      </w:r>
      <w:r w:rsidR="00B2722B">
        <w:t>117</w:t>
      </w:r>
      <w:r>
        <w:t>)</w:t>
      </w:r>
      <w:r>
        <w:rPr>
          <w:lang w:val="en-US"/>
        </w:rPr>
        <w:t>.</w:t>
      </w:r>
    </w:p>
    <w:p w14:paraId="4D44EAC0" w14:textId="3FC0CE0F" w:rsidR="00B2722B" w:rsidRPr="00A14AE8" w:rsidRDefault="00D30B9C" w:rsidP="00A07948">
      <w:pPr>
        <w:pStyle w:val="SingleTxtG"/>
      </w:pPr>
      <w:r>
        <w:t>“101.</w:t>
      </w:r>
      <w:r>
        <w:tab/>
      </w:r>
      <w:r w:rsidR="00B2722B" w:rsidRPr="00A14AE8">
        <w:t xml:space="preserve">The Committee </w:t>
      </w:r>
      <w:r w:rsidR="00B2722B" w:rsidRPr="00A14AE8">
        <w:rPr>
          <w:b/>
          <w:bCs/>
        </w:rPr>
        <w:t>noted</w:t>
      </w:r>
      <w:r w:rsidR="00B2722B" w:rsidRPr="00A14AE8">
        <w:t xml:space="preserve"> that WP.11 had held a round table discussion on the ways to improve the functioning of the Working Party during its seventy-fourth session and had decided the following:</w:t>
      </w:r>
    </w:p>
    <w:p w14:paraId="67EEB90A" w14:textId="77777777" w:rsidR="00B2722B" w:rsidRPr="00A14AE8" w:rsidRDefault="00B2722B" w:rsidP="00A07948">
      <w:pPr>
        <w:pStyle w:val="SingleTxtG"/>
        <w:ind w:firstLine="567"/>
      </w:pPr>
      <w:r w:rsidRPr="00A14AE8">
        <w:t>(a)</w:t>
      </w:r>
      <w:r w:rsidRPr="00A14AE8">
        <w:tab/>
        <w:t>To explore the possibility of including non-legally binding provisions for the transport of fresh fruits and vegetables;</w:t>
      </w:r>
    </w:p>
    <w:p w14:paraId="4C3DA70C" w14:textId="77777777" w:rsidR="00B2722B" w:rsidRPr="00A14AE8" w:rsidRDefault="00B2722B" w:rsidP="00A07948">
      <w:pPr>
        <w:pStyle w:val="SingleTxtG"/>
        <w:ind w:firstLine="567"/>
      </w:pPr>
      <w:r w:rsidRPr="00A14AE8">
        <w:t>(b)</w:t>
      </w:r>
      <w:r w:rsidRPr="00A14AE8">
        <w:tab/>
        <w:t>To increase the number of sessions from two to three per biennium, with one session on the first year and two sessions on the second year;</w:t>
      </w:r>
    </w:p>
    <w:p w14:paraId="743E5F35" w14:textId="77777777" w:rsidR="00B2722B" w:rsidRPr="00A14AE8" w:rsidRDefault="00B2722B" w:rsidP="00A07948">
      <w:pPr>
        <w:pStyle w:val="SingleTxtG"/>
        <w:ind w:firstLine="567"/>
      </w:pPr>
      <w:r w:rsidRPr="00A14AE8">
        <w:t>(c)</w:t>
      </w:r>
      <w:r w:rsidRPr="00A14AE8">
        <w:tab/>
        <w:t>To extend the cycle of amendments to two years with the possibility of notifying amendments dealing with urgent matters at any time during the cycle;</w:t>
      </w:r>
    </w:p>
    <w:p w14:paraId="17D76B05" w14:textId="77777777" w:rsidR="00B2722B" w:rsidRPr="00A14AE8" w:rsidRDefault="00B2722B" w:rsidP="00A07948">
      <w:pPr>
        <w:pStyle w:val="SingleTxtG"/>
        <w:ind w:firstLine="567"/>
      </w:pPr>
      <w:r w:rsidRPr="00A14AE8">
        <w:t>(d)</w:t>
      </w:r>
      <w:r w:rsidRPr="00A14AE8">
        <w:tab/>
        <w:t>Not to change the Rules of Procedure of the Working Party or article 18 of the ATP agreement to remove the consensus requirement. The Working Party:</w:t>
      </w:r>
    </w:p>
    <w:p w14:paraId="3E314E8C" w14:textId="23F70B4E" w:rsidR="00B2722B" w:rsidRPr="00A14AE8" w:rsidRDefault="00B2722B" w:rsidP="00A07948">
      <w:pPr>
        <w:pStyle w:val="SingleTxtG"/>
        <w:ind w:left="1701"/>
      </w:pPr>
      <w:r w:rsidRPr="00A14AE8">
        <w:lastRenderedPageBreak/>
        <w:t>(</w:t>
      </w:r>
      <w:proofErr w:type="spellStart"/>
      <w:r w:rsidRPr="00A14AE8">
        <w:t>i</w:t>
      </w:r>
      <w:proofErr w:type="spellEnd"/>
      <w:r w:rsidRPr="00A14AE8">
        <w:t>)</w:t>
      </w:r>
      <w:r w:rsidRPr="00A14AE8">
        <w:tab/>
      </w:r>
      <w:r w:rsidR="00DF72D7">
        <w:t>C</w:t>
      </w:r>
      <w:r w:rsidRPr="00A14AE8">
        <w:t>onsidered that there are other ways of increasing the number of amendments adopted and keeping the agreement relevant;</w:t>
      </w:r>
    </w:p>
    <w:p w14:paraId="049F1F63" w14:textId="03C85BE6" w:rsidR="00B2722B" w:rsidRPr="00A14AE8" w:rsidRDefault="00B2722B" w:rsidP="00A07948">
      <w:pPr>
        <w:pStyle w:val="SingleTxtG"/>
        <w:ind w:left="1701"/>
      </w:pPr>
      <w:r w:rsidRPr="00A14AE8">
        <w:t>(ii)</w:t>
      </w:r>
      <w:r w:rsidRPr="00A14AE8">
        <w:tab/>
      </w:r>
      <w:r w:rsidR="009B5FDD">
        <w:t>E</w:t>
      </w:r>
      <w:r w:rsidRPr="00A14AE8">
        <w:t>ncouraged members to work harder between sessions to negotiate proposals and to explain clearly the reasons for rejection, so proposals can be improved;</w:t>
      </w:r>
    </w:p>
    <w:p w14:paraId="6783DA3A" w14:textId="4444D440" w:rsidR="00B2722B" w:rsidRPr="00A14AE8" w:rsidRDefault="00B2722B" w:rsidP="00A07948">
      <w:pPr>
        <w:pStyle w:val="SingleTxtG"/>
        <w:ind w:left="1701"/>
      </w:pPr>
      <w:r w:rsidRPr="00A14AE8">
        <w:t>(iii)</w:t>
      </w:r>
      <w:r w:rsidRPr="00A14AE8">
        <w:tab/>
      </w:r>
      <w:r w:rsidR="009B5FDD">
        <w:t>S</w:t>
      </w:r>
      <w:r w:rsidRPr="00A14AE8">
        <w:t>uggested to consider making a clear distinction between the articles of the agreement and its technical provisions/conditions of use, to facilitate the adoption of amendments of technical nature.</w:t>
      </w:r>
    </w:p>
    <w:p w14:paraId="4857C4ED" w14:textId="5DB3BDE0" w:rsidR="00B2722B" w:rsidRPr="00A14AE8" w:rsidRDefault="00D30B9C" w:rsidP="00A07948">
      <w:pPr>
        <w:pStyle w:val="SingleTxtG"/>
      </w:pPr>
      <w:r>
        <w:t>102.</w:t>
      </w:r>
      <w:r>
        <w:tab/>
      </w:r>
      <w:r w:rsidR="00B2722B" w:rsidRPr="00A14AE8">
        <w:t xml:space="preserve">The Committee </w:t>
      </w:r>
      <w:r w:rsidR="00B2722B" w:rsidRPr="00A14AE8">
        <w:rPr>
          <w:b/>
          <w:bCs/>
        </w:rPr>
        <w:t>e</w:t>
      </w:r>
      <w:r w:rsidR="00B2722B" w:rsidRPr="00A14AE8">
        <w:rPr>
          <w:b/>
        </w:rPr>
        <w:t>ndorsed</w:t>
      </w:r>
      <w:r w:rsidR="00B2722B" w:rsidRPr="00A14AE8">
        <w:t xml:space="preserve"> the decision of the Working Party on the Transport of Perishable Foodstuffs (WP.11) to increase the number of its sessions from two to three per biennium and </w:t>
      </w:r>
      <w:r w:rsidR="00B2722B" w:rsidRPr="00A14AE8">
        <w:rPr>
          <w:b/>
          <w:bCs/>
        </w:rPr>
        <w:t>agreed to</w:t>
      </w:r>
      <w:r w:rsidR="00B2722B" w:rsidRPr="00A14AE8">
        <w:t xml:space="preserve"> review this decision in two years.</w:t>
      </w:r>
    </w:p>
    <w:p w14:paraId="6A2A9A7A" w14:textId="0CE4CAAC" w:rsidR="00B2722B" w:rsidRPr="00A14AE8" w:rsidRDefault="007846B7" w:rsidP="00A07948">
      <w:pPr>
        <w:pStyle w:val="SingleTxtG"/>
      </w:pPr>
      <w:r>
        <w:t>103.</w:t>
      </w:r>
      <w:r>
        <w:tab/>
      </w:r>
      <w:r w:rsidR="00B2722B" w:rsidRPr="00A14AE8">
        <w:t>Other topics of importance to keep the agreement up to date and in sync with economic, technological and political developments/challenges, were forwarded for further discussion:</w:t>
      </w:r>
    </w:p>
    <w:p w14:paraId="7F75271D" w14:textId="77777777" w:rsidR="00B2722B" w:rsidRPr="00A14AE8" w:rsidRDefault="00B2722B" w:rsidP="00A07948">
      <w:pPr>
        <w:pStyle w:val="SingleTxtG"/>
        <w:ind w:firstLine="567"/>
      </w:pPr>
      <w:r w:rsidRPr="00A14AE8">
        <w:t>(a)</w:t>
      </w:r>
      <w:r w:rsidRPr="00A14AE8">
        <w:tab/>
        <w:t>Agree on a clear definition of the scope of the ATP including an opening clause/extension clause to provide flexibility to extend the scope of application if necessary;</w:t>
      </w:r>
    </w:p>
    <w:p w14:paraId="4C6A79D9" w14:textId="77777777" w:rsidR="00B2722B" w:rsidRPr="00A14AE8" w:rsidRDefault="00B2722B" w:rsidP="00A07948">
      <w:pPr>
        <w:pStyle w:val="SingleTxtG"/>
        <w:ind w:firstLine="567"/>
      </w:pPr>
      <w:r w:rsidRPr="00A14AE8">
        <w:t>(b)</w:t>
      </w:r>
      <w:r w:rsidRPr="00A14AE8">
        <w:tab/>
        <w:t>Include in the agreement a definition of “perishable foodstuffs”;</w:t>
      </w:r>
    </w:p>
    <w:p w14:paraId="2BD14C7B" w14:textId="77777777" w:rsidR="00B2722B" w:rsidRPr="00A14AE8" w:rsidRDefault="00B2722B" w:rsidP="00A07948">
      <w:pPr>
        <w:pStyle w:val="SingleTxtG"/>
        <w:ind w:firstLine="567"/>
      </w:pPr>
      <w:r w:rsidRPr="00A14AE8">
        <w:t>(c)</w:t>
      </w:r>
      <w:r w:rsidRPr="00A14AE8">
        <w:tab/>
        <w:t>Seek a common interpretation of the preamble of the agreement, particularly related to the quality versus safety issue;</w:t>
      </w:r>
    </w:p>
    <w:p w14:paraId="176FCB93" w14:textId="77777777" w:rsidR="00B2722B" w:rsidRPr="00A14AE8" w:rsidRDefault="00B2722B" w:rsidP="00A07948">
      <w:pPr>
        <w:pStyle w:val="SingleTxtG"/>
        <w:ind w:firstLine="567"/>
      </w:pPr>
      <w:r w:rsidRPr="00A14AE8">
        <w:t>(d)</w:t>
      </w:r>
      <w:r w:rsidRPr="00A14AE8">
        <w:tab/>
        <w:t>Agree on the elaboration of a list of goods covered by the scope of application;</w:t>
      </w:r>
    </w:p>
    <w:p w14:paraId="36E1856B" w14:textId="77777777" w:rsidR="00B2722B" w:rsidRPr="00A14AE8" w:rsidRDefault="00B2722B" w:rsidP="00A07948">
      <w:pPr>
        <w:pStyle w:val="SingleTxtG"/>
        <w:ind w:firstLine="567"/>
      </w:pPr>
      <w:r w:rsidRPr="00A14AE8">
        <w:t>(e)</w:t>
      </w:r>
      <w:r w:rsidRPr="00A14AE8">
        <w:tab/>
        <w:t>Adapting ATP standards and requirements to the climatic and technical conditions encountered during the carriage of perishable foodstuffs in different climatic zones.</w:t>
      </w:r>
    </w:p>
    <w:p w14:paraId="04C82A7F" w14:textId="0D7152B8" w:rsidR="00B2722B" w:rsidRPr="00A14AE8" w:rsidRDefault="007846B7" w:rsidP="00A07948">
      <w:pPr>
        <w:pStyle w:val="SingleTxtG"/>
      </w:pPr>
      <w:r>
        <w:t>104.</w:t>
      </w:r>
      <w:r>
        <w:tab/>
      </w:r>
      <w:r w:rsidR="00B2722B" w:rsidRPr="00A14AE8">
        <w:t>Overall, it was agreed that further steps to increase harmonization on the implementation of the agreement should be taken:</w:t>
      </w:r>
    </w:p>
    <w:p w14:paraId="0E130EB3" w14:textId="77777777" w:rsidR="00B2722B" w:rsidRPr="00A14AE8" w:rsidRDefault="00B2722B" w:rsidP="00A07948">
      <w:pPr>
        <w:pStyle w:val="SingleTxtG"/>
        <w:ind w:firstLine="567"/>
      </w:pPr>
      <w:r w:rsidRPr="00A14AE8">
        <w:t>(a)</w:t>
      </w:r>
      <w:r w:rsidRPr="00A14AE8">
        <w:tab/>
        <w:t>A single database containing ATP model certificates may be created to help reduce forgery, misuse and to simplify the procedure for issuing new ATP certificates in the case of transfer of special equipment to another State;</w:t>
      </w:r>
    </w:p>
    <w:p w14:paraId="5BCB673F" w14:textId="6265237C" w:rsidR="004478D2" w:rsidRPr="00737E6A" w:rsidRDefault="00B2722B" w:rsidP="00A07948">
      <w:pPr>
        <w:pStyle w:val="SingleTxtG"/>
        <w:ind w:firstLine="567"/>
      </w:pPr>
      <w:r w:rsidRPr="00A14AE8">
        <w:t>(b)</w:t>
      </w:r>
      <w:r w:rsidRPr="00A14AE8">
        <w:tab/>
        <w:t>Contracting parties should strive to homogenize procedures for enforcement, checks and penalties across countries. WP.11 was encouraged to analyse the way other Working Parties deal with similar problems of harmonization and implementation and take note of best practices.</w:t>
      </w:r>
      <w:r w:rsidR="00114F16">
        <w:t>”</w:t>
      </w:r>
    </w:p>
    <w:p w14:paraId="2544D4E6" w14:textId="77777777" w:rsidR="00CA77FE" w:rsidRPr="00803899" w:rsidRDefault="007C2C1A" w:rsidP="00A07948">
      <w:pPr>
        <w:pStyle w:val="H23G"/>
        <w:jc w:val="both"/>
      </w:pPr>
      <w:r>
        <w:tab/>
      </w:r>
      <w:r w:rsidR="00CA77FE" w:rsidRPr="00803899">
        <w:t>(b)</w:t>
      </w:r>
      <w:r w:rsidR="00CA77FE" w:rsidRPr="00803899">
        <w:tab/>
        <w:t xml:space="preserve">Working Party on Agricultural Quality </w:t>
      </w:r>
      <w:r w:rsidR="00CA77FE" w:rsidRPr="00D86A74">
        <w:t>Standards</w:t>
      </w:r>
    </w:p>
    <w:p w14:paraId="5CA83C71" w14:textId="77777777" w:rsidR="008472C2" w:rsidRPr="00BC6A91" w:rsidRDefault="008472C2" w:rsidP="00A07948">
      <w:pPr>
        <w:pStyle w:val="SingleTxtG"/>
      </w:pPr>
      <w:r w:rsidRPr="00BC6A91">
        <w:t>The</w:t>
      </w:r>
      <w:r w:rsidR="001934FB" w:rsidRPr="00BC6A91">
        <w:t xml:space="preserve"> </w:t>
      </w:r>
      <w:r w:rsidR="00CA77FE" w:rsidRPr="00BC6A91">
        <w:t>activities of the Working Party on Agricultural Quality Standards (WP.7)</w:t>
      </w:r>
      <w:r w:rsidRPr="00BC6A91">
        <w:t xml:space="preserve"> of interest to WP.11 are:</w:t>
      </w:r>
    </w:p>
    <w:p w14:paraId="1D6B498A" w14:textId="65622EB4" w:rsidR="008246AE" w:rsidRDefault="006A6731" w:rsidP="00A07948">
      <w:pPr>
        <w:pStyle w:val="SingleTxtG"/>
        <w:numPr>
          <w:ilvl w:val="0"/>
          <w:numId w:val="20"/>
        </w:numPr>
      </w:pPr>
      <w:hyperlink r:id="rId8" w:history="1">
        <w:r w:rsidR="008246AE" w:rsidRPr="008246AE">
          <w:t>UNECE Meeting/Workshop on Meat Quality for a Sustainable future: International meeting on eating quality, standards and innovative solutions for trade</w:t>
        </w:r>
      </w:hyperlink>
      <w:r w:rsidR="002A2358">
        <w:t xml:space="preserve">, </w:t>
      </w:r>
      <w:r w:rsidR="008246AE" w:rsidRPr="008246AE">
        <w:t>1</w:t>
      </w:r>
      <w:r w:rsidR="002A2358">
        <w:t>-</w:t>
      </w:r>
      <w:r w:rsidR="008246AE" w:rsidRPr="008246AE">
        <w:t>2 August 2019</w:t>
      </w:r>
      <w:r w:rsidR="002A2358">
        <w:t>, P</w:t>
      </w:r>
      <w:r w:rsidR="002A2358" w:rsidRPr="008246AE">
        <w:t>otsdam-</w:t>
      </w:r>
      <w:r w:rsidR="002A2358">
        <w:t>B</w:t>
      </w:r>
      <w:r w:rsidR="002A2358" w:rsidRPr="008246AE">
        <w:t xml:space="preserve">erlin, </w:t>
      </w:r>
      <w:r w:rsidR="002A2358">
        <w:t>G</w:t>
      </w:r>
      <w:r w:rsidR="002A2358" w:rsidRPr="008246AE">
        <w:t>ermany</w:t>
      </w:r>
      <w:r w:rsidR="002A2358">
        <w:t>.</w:t>
      </w:r>
    </w:p>
    <w:p w14:paraId="32F0B48E" w14:textId="2BCB288A" w:rsidR="002A2358" w:rsidRPr="002A2358" w:rsidRDefault="006A6731" w:rsidP="00A07948">
      <w:pPr>
        <w:pStyle w:val="SingleTxtG"/>
        <w:numPr>
          <w:ilvl w:val="0"/>
          <w:numId w:val="20"/>
        </w:numPr>
      </w:pPr>
      <w:hyperlink r:id="rId9" w:history="1">
        <w:r w:rsidR="002A2358" w:rsidRPr="002A2358">
          <w:t>Twenty-eighth session of the Specialized Section on Standardization of Meat (GE.11)</w:t>
        </w:r>
      </w:hyperlink>
      <w:r w:rsidR="002A2358">
        <w:t xml:space="preserve">, </w:t>
      </w:r>
      <w:r w:rsidR="002A2358" w:rsidRPr="002A2358">
        <w:t>19 November 2019</w:t>
      </w:r>
      <w:r w:rsidR="002A2358">
        <w:t>, G</w:t>
      </w:r>
      <w:r w:rsidR="002A2358" w:rsidRPr="002A2358">
        <w:t xml:space="preserve">eneva, </w:t>
      </w:r>
      <w:r w:rsidR="002A2358">
        <w:t>S</w:t>
      </w:r>
      <w:r w:rsidR="002A2358" w:rsidRPr="002A2358">
        <w:t>witzerland</w:t>
      </w:r>
      <w:r w:rsidR="002A2358">
        <w:t>.</w:t>
      </w:r>
    </w:p>
    <w:p w14:paraId="38058348" w14:textId="2681F540" w:rsidR="008472C2" w:rsidRDefault="008472C2" w:rsidP="00A07948">
      <w:pPr>
        <w:pStyle w:val="SingleTxtG"/>
        <w:numPr>
          <w:ilvl w:val="0"/>
          <w:numId w:val="20"/>
        </w:numPr>
        <w:rPr>
          <w:spacing w:val="-3"/>
        </w:rPr>
      </w:pPr>
      <w:r w:rsidRPr="008472C2">
        <w:t>Seventy-</w:t>
      </w:r>
      <w:r w:rsidR="002A2358">
        <w:t>fifth</w:t>
      </w:r>
      <w:r w:rsidRPr="008472C2">
        <w:t xml:space="preserve"> session of the Working Party on Agricultural Quality Standards (WP.7), </w:t>
      </w:r>
      <w:r w:rsidR="002A2358">
        <w:rPr>
          <w:spacing w:val="-3"/>
        </w:rPr>
        <w:t>20</w:t>
      </w:r>
      <w:r w:rsidR="004265B4">
        <w:rPr>
          <w:spacing w:val="-3"/>
        </w:rPr>
        <w:t>-</w:t>
      </w:r>
      <w:r w:rsidR="002A2358">
        <w:rPr>
          <w:spacing w:val="-3"/>
        </w:rPr>
        <w:t>21</w:t>
      </w:r>
      <w:r w:rsidRPr="008472C2">
        <w:rPr>
          <w:spacing w:val="-3"/>
        </w:rPr>
        <w:t xml:space="preserve"> November 201</w:t>
      </w:r>
      <w:r w:rsidR="002A2358">
        <w:rPr>
          <w:spacing w:val="-3"/>
        </w:rPr>
        <w:t>9</w:t>
      </w:r>
      <w:r w:rsidRPr="008472C2">
        <w:rPr>
          <w:spacing w:val="-3"/>
        </w:rPr>
        <w:t>, Palais des Nations, Geneva, Switzerland</w:t>
      </w:r>
      <w:r w:rsidR="002A27B1">
        <w:rPr>
          <w:spacing w:val="-3"/>
        </w:rPr>
        <w:t>.</w:t>
      </w:r>
    </w:p>
    <w:p w14:paraId="468A27D0" w14:textId="57887758" w:rsidR="002A27B1" w:rsidRPr="008472C2" w:rsidRDefault="002A27B1" w:rsidP="00A07948">
      <w:pPr>
        <w:pStyle w:val="SingleTxtG"/>
        <w:rPr>
          <w:spacing w:val="-3"/>
        </w:rPr>
      </w:pPr>
      <w:r>
        <w:rPr>
          <w:spacing w:val="-3"/>
        </w:rPr>
        <w:t xml:space="preserve">For more information on these and other activities, please </w:t>
      </w:r>
      <w:r w:rsidR="00FB3A29">
        <w:rPr>
          <w:spacing w:val="-3"/>
        </w:rPr>
        <w:t xml:space="preserve">visit WP.7 website at </w:t>
      </w:r>
      <w:r w:rsidR="00FB3A29" w:rsidRPr="00FB3A29">
        <w:rPr>
          <w:spacing w:val="-3"/>
        </w:rPr>
        <w:t>http://www.unece.org/trade/agr/welcome.htm</w:t>
      </w:r>
      <w:r w:rsidR="00BD2F7F">
        <w:rPr>
          <w:spacing w:val="-3"/>
        </w:rPr>
        <w:t>l</w:t>
      </w:r>
      <w:r w:rsidR="004F6A2D">
        <w:rPr>
          <w:spacing w:val="-3"/>
        </w:rPr>
        <w:t>.</w:t>
      </w:r>
    </w:p>
    <w:p w14:paraId="3D263B6B" w14:textId="74F15693" w:rsidR="00911757" w:rsidRDefault="004C0A10" w:rsidP="00A07948">
      <w:pPr>
        <w:pStyle w:val="H1G"/>
        <w:jc w:val="both"/>
      </w:pPr>
      <w:r>
        <w:lastRenderedPageBreak/>
        <w:tab/>
      </w:r>
      <w:r w:rsidR="00B10405">
        <w:t>3</w:t>
      </w:r>
      <w:r w:rsidRPr="004265B4">
        <w:t>.</w:t>
      </w:r>
      <w:r w:rsidR="00911757" w:rsidRPr="004265B4">
        <w:tab/>
        <w:t>Activities of other international organizations dealing with issues of interest to the Working Party</w:t>
      </w:r>
    </w:p>
    <w:p w14:paraId="7EC23E13" w14:textId="77777777" w:rsidR="00911757" w:rsidRDefault="007C2C1A" w:rsidP="00A07948">
      <w:pPr>
        <w:pStyle w:val="H23G"/>
        <w:jc w:val="both"/>
      </w:pPr>
      <w:r>
        <w:tab/>
      </w:r>
      <w:r w:rsidR="00911757">
        <w:t>(a)</w:t>
      </w:r>
      <w:r w:rsidR="00911757">
        <w:tab/>
        <w:t>International Institute of Refrigeration (IIR)</w:t>
      </w:r>
    </w:p>
    <w:p w14:paraId="7CD466AB" w14:textId="0515AFFB" w:rsidR="00911757" w:rsidRDefault="00911757" w:rsidP="00A07948">
      <w:pPr>
        <w:pStyle w:val="SingleTxtG"/>
      </w:pPr>
      <w:r>
        <w:t xml:space="preserve">The Working Party will be informed about the </w:t>
      </w:r>
      <w:r w:rsidRPr="00D86A74">
        <w:t>results</w:t>
      </w:r>
      <w:r>
        <w:t xml:space="preserve"> of the meeting of the</w:t>
      </w:r>
      <w:r w:rsidR="003E0D7D">
        <w:t> </w:t>
      </w:r>
      <w:r>
        <w:t>IIR</w:t>
      </w:r>
      <w:r w:rsidR="00A715C6">
        <w:t xml:space="preserve"> </w:t>
      </w:r>
      <w:r w:rsidR="00A715C6">
        <w:br/>
      </w:r>
      <w:r>
        <w:t xml:space="preserve">sub-commission </w:t>
      </w:r>
      <w:r w:rsidR="00FF7E2C">
        <w:t xml:space="preserve">on refrigerated transport </w:t>
      </w:r>
      <w:r>
        <w:t xml:space="preserve">held in </w:t>
      </w:r>
      <w:r w:rsidR="00055E6D">
        <w:t>Wageningen</w:t>
      </w:r>
      <w:r w:rsidR="005D7615">
        <w:t xml:space="preserve">, </w:t>
      </w:r>
      <w:r w:rsidR="00055E6D">
        <w:t>Netherlands</w:t>
      </w:r>
      <w:r w:rsidR="00030D2E" w:rsidRPr="005D7615">
        <w:t xml:space="preserve"> </w:t>
      </w:r>
      <w:r w:rsidR="00B91D47">
        <w:t>24</w:t>
      </w:r>
      <w:r w:rsidR="004265B4">
        <w:t>-</w:t>
      </w:r>
      <w:r w:rsidR="00B91D47">
        <w:t>25</w:t>
      </w:r>
      <w:r w:rsidR="00030D2E" w:rsidRPr="005D7615">
        <w:t xml:space="preserve"> </w:t>
      </w:r>
      <w:r w:rsidR="005D7615" w:rsidRPr="005D7615">
        <w:t xml:space="preserve">April </w:t>
      </w:r>
      <w:r w:rsidR="00030D2E" w:rsidRPr="005D7615">
        <w:t>201</w:t>
      </w:r>
      <w:r w:rsidR="00B91D47">
        <w:t>9</w:t>
      </w:r>
      <w:r w:rsidR="00030D2E">
        <w:t xml:space="preserve"> </w:t>
      </w:r>
      <w:r w:rsidR="001934FB">
        <w:t>(</w:t>
      </w:r>
      <w:r w:rsidR="00106110">
        <w:t>i</w:t>
      </w:r>
      <w:r w:rsidR="001934FB">
        <w:t>nformal document INF.</w:t>
      </w:r>
      <w:r w:rsidR="00030D2E">
        <w:t>2</w:t>
      </w:r>
      <w:r w:rsidR="001934FB">
        <w:t>)</w:t>
      </w:r>
      <w:r w:rsidR="00C14720">
        <w:t>.</w:t>
      </w:r>
    </w:p>
    <w:p w14:paraId="7B73B36A" w14:textId="77777777" w:rsidR="00911757" w:rsidRDefault="007C2C1A" w:rsidP="00A07948">
      <w:pPr>
        <w:pStyle w:val="H23G"/>
        <w:jc w:val="both"/>
      </w:pPr>
      <w:r>
        <w:tab/>
      </w:r>
      <w:r w:rsidR="00911757">
        <w:t>(b)</w:t>
      </w:r>
      <w:r w:rsidR="00911757">
        <w:tab/>
        <w:t xml:space="preserve">Transfrigoroute </w:t>
      </w:r>
      <w:r w:rsidR="00911757" w:rsidRPr="00D86A74">
        <w:t>International</w:t>
      </w:r>
    </w:p>
    <w:p w14:paraId="20B6EF1B" w14:textId="13162146" w:rsidR="00911757" w:rsidRDefault="00911757" w:rsidP="00A07948">
      <w:pPr>
        <w:pStyle w:val="SingleTxtG"/>
      </w:pPr>
      <w:r>
        <w:t xml:space="preserve">The representative of Transfrigoroute International </w:t>
      </w:r>
      <w:r w:rsidR="00BB770E">
        <w:t>will</w:t>
      </w:r>
      <w:r>
        <w:t xml:space="preserve"> present the recent activities of his organization</w:t>
      </w:r>
      <w:r w:rsidR="00F2585B">
        <w:t xml:space="preserve"> as reflected in informal document INF.5</w:t>
      </w:r>
      <w:r>
        <w:t>.</w:t>
      </w:r>
    </w:p>
    <w:p w14:paraId="24FFB38E" w14:textId="77777777" w:rsidR="00911757" w:rsidRDefault="007C2C1A" w:rsidP="00A07948">
      <w:pPr>
        <w:pStyle w:val="H23G"/>
        <w:jc w:val="both"/>
      </w:pPr>
      <w:r>
        <w:tab/>
      </w:r>
      <w:r w:rsidR="006D6648">
        <w:t>(c)</w:t>
      </w:r>
      <w:r w:rsidR="006D6648">
        <w:tab/>
      </w:r>
      <w:r w:rsidR="004E7007">
        <w:t>Standardization organizations</w:t>
      </w:r>
    </w:p>
    <w:p w14:paraId="009812C6" w14:textId="00D99193" w:rsidR="00911757" w:rsidRDefault="00F27D06" w:rsidP="00A07948">
      <w:pPr>
        <w:pStyle w:val="SingleTxtG"/>
      </w:pPr>
      <w:r>
        <w:t xml:space="preserve">Delegations participating in the work </w:t>
      </w:r>
      <w:r w:rsidR="003F4624">
        <w:t>of</w:t>
      </w:r>
      <w:r>
        <w:t xml:space="preserve"> </w:t>
      </w:r>
      <w:r w:rsidR="00D14328" w:rsidRPr="002D25F3">
        <w:t>standardization organizations</w:t>
      </w:r>
      <w:r w:rsidR="004448C4">
        <w:t xml:space="preserve"> </w:t>
      </w:r>
      <w:r>
        <w:t xml:space="preserve">are invited </w:t>
      </w:r>
      <w:r w:rsidRPr="00D86A74">
        <w:t>to</w:t>
      </w:r>
      <w:r w:rsidR="004448C4">
        <w:t xml:space="preserve"> inform the </w:t>
      </w:r>
      <w:r w:rsidR="00526723">
        <w:t>Working Party</w:t>
      </w:r>
      <w:r w:rsidR="004448C4">
        <w:t xml:space="preserve"> </w:t>
      </w:r>
      <w:r w:rsidR="00526723">
        <w:t xml:space="preserve">about </w:t>
      </w:r>
      <w:r w:rsidR="0029026F">
        <w:t>progress on the development of</w:t>
      </w:r>
      <w:r w:rsidR="00703261">
        <w:t xml:space="preserve"> </w:t>
      </w:r>
      <w:r w:rsidR="00703261">
        <w:rPr>
          <w:lang w:val="en-US"/>
        </w:rPr>
        <w:t>standard</w:t>
      </w:r>
      <w:r w:rsidR="00B113BE">
        <w:rPr>
          <w:lang w:val="en-US"/>
        </w:rPr>
        <w:t>s</w:t>
      </w:r>
      <w:r w:rsidR="00703261">
        <w:rPr>
          <w:lang w:val="en-US"/>
        </w:rPr>
        <w:t xml:space="preserve"> </w:t>
      </w:r>
      <w:r w:rsidR="0029026F">
        <w:rPr>
          <w:lang w:val="en-US"/>
        </w:rPr>
        <w:t>dealing with</w:t>
      </w:r>
      <w:r w:rsidR="00703261">
        <w:rPr>
          <w:lang w:val="en-US"/>
        </w:rPr>
        <w:t xml:space="preserve"> </w:t>
      </w:r>
      <w:r w:rsidR="000A1114">
        <w:rPr>
          <w:lang w:val="en-US"/>
        </w:rPr>
        <w:t>t</w:t>
      </w:r>
      <w:r w:rsidR="00CF7A38">
        <w:rPr>
          <w:lang w:val="en-US"/>
        </w:rPr>
        <w:t xml:space="preserve">ransport under controlled temperatures </w:t>
      </w:r>
      <w:r w:rsidR="001934FB">
        <w:rPr>
          <w:lang w:val="en-US"/>
        </w:rPr>
        <w:t xml:space="preserve">and </w:t>
      </w:r>
      <w:r w:rsidR="00FF3374">
        <w:rPr>
          <w:lang w:val="en-US"/>
        </w:rPr>
        <w:t xml:space="preserve">what impact </w:t>
      </w:r>
      <w:r w:rsidR="00A715C6">
        <w:rPr>
          <w:lang w:val="en-US"/>
        </w:rPr>
        <w:t>th</w:t>
      </w:r>
      <w:r w:rsidR="00FF3374">
        <w:rPr>
          <w:lang w:val="en-US"/>
        </w:rPr>
        <w:t xml:space="preserve">ese standards are expected to have on </w:t>
      </w:r>
      <w:r w:rsidR="00A715C6">
        <w:rPr>
          <w:lang w:val="en-US"/>
        </w:rPr>
        <w:t>the</w:t>
      </w:r>
      <w:r w:rsidR="00BD2F7F">
        <w:rPr>
          <w:lang w:val="en-US"/>
        </w:rPr>
        <w:t> </w:t>
      </w:r>
      <w:r w:rsidR="00A715C6">
        <w:rPr>
          <w:lang w:val="en-US"/>
        </w:rPr>
        <w:t>ATP</w:t>
      </w:r>
      <w:r w:rsidR="00703261">
        <w:rPr>
          <w:lang w:val="en-US"/>
        </w:rPr>
        <w:t>.</w:t>
      </w:r>
    </w:p>
    <w:p w14:paraId="6514F4A5" w14:textId="4FA05720" w:rsidR="000D66A6" w:rsidRDefault="004C0A10" w:rsidP="00A07948">
      <w:pPr>
        <w:pStyle w:val="H1G"/>
        <w:jc w:val="both"/>
      </w:pPr>
      <w:r>
        <w:tab/>
      </w:r>
      <w:r w:rsidR="00B10405">
        <w:t>4</w:t>
      </w:r>
      <w:r w:rsidRPr="003A5E25">
        <w:t>.</w:t>
      </w:r>
      <w:r w:rsidR="000D66A6" w:rsidRPr="003A5E25">
        <w:tab/>
        <w:t>Status and implementation of the Agreement on the International Carriage of Perishable Foodstuffs and on the Special Equipment to be Used for such Carriage</w:t>
      </w:r>
      <w:r w:rsidR="005A2CFE" w:rsidRPr="003A5E25">
        <w:t xml:space="preserve"> (ATP)</w:t>
      </w:r>
    </w:p>
    <w:p w14:paraId="6FFA390E" w14:textId="77777777" w:rsidR="000D66A6" w:rsidRDefault="007C2C1A" w:rsidP="00A07948">
      <w:pPr>
        <w:pStyle w:val="H23G"/>
        <w:jc w:val="both"/>
      </w:pPr>
      <w:r>
        <w:tab/>
      </w:r>
      <w:r w:rsidR="000D66A6">
        <w:t>(a)</w:t>
      </w:r>
      <w:r w:rsidR="000D66A6">
        <w:tab/>
        <w:t xml:space="preserve">Status of application of the </w:t>
      </w:r>
      <w:r w:rsidR="000D66A6" w:rsidRPr="00D86A74">
        <w:t>Agreement</w:t>
      </w:r>
    </w:p>
    <w:p w14:paraId="6D6BAE97" w14:textId="77777777" w:rsidR="00D076DD" w:rsidRPr="00D076DD" w:rsidRDefault="00D076DD" w:rsidP="00A07948">
      <w:pPr>
        <w:pStyle w:val="SingleTxtG"/>
      </w:pPr>
      <w:r w:rsidRPr="00D076DD">
        <w:t>There have been no new accessions to ATP since the last session and the number of Contracting Parties remains at 50</w:t>
      </w:r>
      <w:r>
        <w:t>.</w:t>
      </w:r>
    </w:p>
    <w:p w14:paraId="5715D542" w14:textId="77777777" w:rsidR="000D66A6" w:rsidRDefault="007C2C1A" w:rsidP="00A07948">
      <w:pPr>
        <w:pStyle w:val="H23G"/>
        <w:jc w:val="both"/>
      </w:pPr>
      <w:r>
        <w:tab/>
      </w:r>
      <w:r w:rsidR="000D66A6">
        <w:t>(b)</w:t>
      </w:r>
      <w:r w:rsidR="000D66A6">
        <w:tab/>
      </w:r>
      <w:r w:rsidR="000D66A6" w:rsidRPr="00D86A74">
        <w:t>Status</w:t>
      </w:r>
      <w:r w:rsidR="000D66A6">
        <w:t xml:space="preserve"> of amendments</w:t>
      </w:r>
    </w:p>
    <w:p w14:paraId="7BA32F4C" w14:textId="38520D5F" w:rsidR="006E5980" w:rsidRDefault="000B7F31" w:rsidP="00A07948">
      <w:pPr>
        <w:pStyle w:val="SingleTxtG"/>
      </w:pPr>
      <w:r w:rsidRPr="008B3F7F">
        <w:rPr>
          <w:lang w:val="en-US"/>
        </w:rPr>
        <w:t xml:space="preserve">Proposed </w:t>
      </w:r>
      <w:r w:rsidR="0029026F" w:rsidRPr="008B3F7F">
        <w:rPr>
          <w:lang w:val="en-US"/>
        </w:rPr>
        <w:t>amendments</w:t>
      </w:r>
      <w:r w:rsidR="000620BB" w:rsidRPr="008B3F7F">
        <w:rPr>
          <w:lang w:val="en-US"/>
        </w:rPr>
        <w:t xml:space="preserve"> </w:t>
      </w:r>
      <w:r w:rsidR="0029026F" w:rsidRPr="008B3F7F">
        <w:rPr>
          <w:lang w:val="en-US"/>
        </w:rPr>
        <w:t xml:space="preserve">to </w:t>
      </w:r>
      <w:r w:rsidR="002605EF" w:rsidRPr="008B3F7F">
        <w:rPr>
          <w:lang w:val="en-US"/>
        </w:rPr>
        <w:t xml:space="preserve">the </w:t>
      </w:r>
      <w:r w:rsidR="0029026F" w:rsidRPr="008B3F7F">
        <w:rPr>
          <w:lang w:val="en-US"/>
        </w:rPr>
        <w:t xml:space="preserve">ATP </w:t>
      </w:r>
      <w:r w:rsidR="00CF7A38" w:rsidRPr="008B3F7F">
        <w:t xml:space="preserve">adopted by WP.11 at its </w:t>
      </w:r>
      <w:r w:rsidR="00D076DD" w:rsidRPr="008B3F7F">
        <w:t>seventy-</w:t>
      </w:r>
      <w:r w:rsidR="00C45548">
        <w:t>third</w:t>
      </w:r>
      <w:r w:rsidR="00C45548" w:rsidRPr="008B3F7F">
        <w:t xml:space="preserve"> </w:t>
      </w:r>
      <w:r w:rsidR="00C45548">
        <w:t xml:space="preserve">and </w:t>
      </w:r>
      <w:r w:rsidR="00521022" w:rsidRPr="008B3F7F">
        <w:t>seventy-</w:t>
      </w:r>
      <w:r w:rsidR="00521022">
        <w:t>fourth</w:t>
      </w:r>
      <w:r w:rsidR="00521022" w:rsidRPr="008B3F7F">
        <w:t xml:space="preserve"> </w:t>
      </w:r>
      <w:r w:rsidR="001014AA" w:rsidRPr="008B3F7F">
        <w:t>session</w:t>
      </w:r>
      <w:r w:rsidR="00521022">
        <w:t>s</w:t>
      </w:r>
      <w:r w:rsidR="001014AA" w:rsidRPr="008B3F7F">
        <w:t xml:space="preserve"> in </w:t>
      </w:r>
      <w:r w:rsidR="00C45548" w:rsidRPr="008B3F7F">
        <w:t>201</w:t>
      </w:r>
      <w:r w:rsidR="00C45548">
        <w:t>7</w:t>
      </w:r>
      <w:r w:rsidR="00521022">
        <w:t xml:space="preserve"> and 2018</w:t>
      </w:r>
      <w:r w:rsidR="00171D8C" w:rsidRPr="008B3F7F">
        <w:t>,</w:t>
      </w:r>
      <w:r w:rsidR="0029026F" w:rsidRPr="008B3F7F">
        <w:t xml:space="preserve"> and contained in </w:t>
      </w:r>
      <w:r w:rsidR="00521022">
        <w:t>Annex I to the report ECE/TRANS/WP.11/237 and Annex I to the report ECE/TRANS/WP.11/239, respectively</w:t>
      </w:r>
      <w:r w:rsidR="001934FB" w:rsidRPr="008B3F7F">
        <w:t>,</w:t>
      </w:r>
      <w:r w:rsidR="0029026F" w:rsidRPr="008B3F7F">
        <w:t xml:space="preserve"> </w:t>
      </w:r>
      <w:r w:rsidR="00276633" w:rsidRPr="008B3F7F">
        <w:rPr>
          <w:lang w:val="en-US"/>
        </w:rPr>
        <w:t>(</w:t>
      </w:r>
      <w:r w:rsidR="00D076DD" w:rsidRPr="008B3F7F">
        <w:rPr>
          <w:lang w:val="en-US"/>
        </w:rPr>
        <w:t>depositary</w:t>
      </w:r>
      <w:r w:rsidR="00DD59C0" w:rsidRPr="008B3F7F">
        <w:rPr>
          <w:lang w:val="en-US"/>
        </w:rPr>
        <w:t xml:space="preserve"> </w:t>
      </w:r>
      <w:r w:rsidR="00276633" w:rsidRPr="008B3F7F">
        <w:rPr>
          <w:lang w:val="en-US"/>
        </w:rPr>
        <w:t>notification C.N.</w:t>
      </w:r>
      <w:r w:rsidR="00521022">
        <w:rPr>
          <w:lang w:val="en-US"/>
        </w:rPr>
        <w:t>19</w:t>
      </w:r>
      <w:r w:rsidR="00D076DD" w:rsidRPr="008B3F7F">
        <w:rPr>
          <w:lang w:val="en-US"/>
        </w:rPr>
        <w:t>.</w:t>
      </w:r>
      <w:r w:rsidR="00521022" w:rsidRPr="008B3F7F">
        <w:rPr>
          <w:lang w:val="en-US"/>
        </w:rPr>
        <w:t>201</w:t>
      </w:r>
      <w:r w:rsidR="00521022">
        <w:rPr>
          <w:lang w:val="en-US"/>
        </w:rPr>
        <w:t>9</w:t>
      </w:r>
      <w:r w:rsidR="00276633" w:rsidRPr="008B3F7F">
        <w:rPr>
          <w:lang w:val="en-US"/>
        </w:rPr>
        <w:t xml:space="preserve">.TREATIES-XI.B.22), </w:t>
      </w:r>
      <w:r w:rsidR="005A4B27" w:rsidRPr="00C864AB">
        <w:t xml:space="preserve">were notified to ATP Contracting Parties by the United Nations Treaty Section on </w:t>
      </w:r>
      <w:r w:rsidR="00AB03D9">
        <w:t>31</w:t>
      </w:r>
      <w:r w:rsidR="005A4B27">
        <w:t xml:space="preserve"> </w:t>
      </w:r>
      <w:r w:rsidR="00AB03D9">
        <w:t>January</w:t>
      </w:r>
      <w:r w:rsidR="005A4B27">
        <w:t xml:space="preserve"> 201</w:t>
      </w:r>
      <w:r w:rsidR="00AB03D9">
        <w:t>9.</w:t>
      </w:r>
    </w:p>
    <w:p w14:paraId="65F30DED" w14:textId="7FF3B3C2" w:rsidR="005A4B27" w:rsidRPr="008B3F7F" w:rsidRDefault="005A4B27" w:rsidP="00A07948">
      <w:pPr>
        <w:pStyle w:val="SingleTxtG"/>
        <w:rPr>
          <w:lang w:val="en-US"/>
        </w:rPr>
      </w:pPr>
      <w:r w:rsidRPr="0075660B">
        <w:t xml:space="preserve">On </w:t>
      </w:r>
      <w:r w:rsidR="00AB03D9">
        <w:t>28</w:t>
      </w:r>
      <w:r>
        <w:t xml:space="preserve"> </w:t>
      </w:r>
      <w:r w:rsidR="00AB03D9">
        <w:t>February</w:t>
      </w:r>
      <w:r>
        <w:t xml:space="preserve"> 201</w:t>
      </w:r>
      <w:r w:rsidR="00AB03D9">
        <w:t>9</w:t>
      </w:r>
      <w:r w:rsidRPr="0075660B">
        <w:t>, the Government of Germany, in accordance with Article 18 (2) (b) of the ATP, informed the Secretary-General that although it intended to accept the proposals, the conditions for such acceptance were not yet fulfilled</w:t>
      </w:r>
      <w:r w:rsidRPr="0075660B">
        <w:rPr>
          <w:bCs/>
        </w:rPr>
        <w:t xml:space="preserve"> </w:t>
      </w:r>
      <w:r w:rsidRPr="0075660B">
        <w:t>(</w:t>
      </w:r>
      <w:hyperlink r:id="rId10" w:tooltip="Opens internal link in current window" w:history="1">
        <w:r w:rsidRPr="0075660B">
          <w:t>C.N.</w:t>
        </w:r>
        <w:r w:rsidR="00AB03D9">
          <w:t>75</w:t>
        </w:r>
        <w:r>
          <w:t>.201</w:t>
        </w:r>
        <w:r w:rsidR="00AB03D9">
          <w:t>9</w:t>
        </w:r>
        <w:r w:rsidRPr="0075660B">
          <w:t>.TREATIES-XI.B.22</w:t>
        </w:r>
      </w:hyperlink>
      <w:r w:rsidRPr="0075660B">
        <w:t xml:space="preserve">). </w:t>
      </w:r>
      <w:r w:rsidR="00AB03D9" w:rsidRPr="0075660B">
        <w:t>Therefore</w:t>
      </w:r>
      <w:r w:rsidRPr="0075660B">
        <w:t xml:space="preserve">, </w:t>
      </w:r>
      <w:r w:rsidR="0042671E">
        <w:t>proposals of</w:t>
      </w:r>
      <w:r w:rsidRPr="0075660B">
        <w:t xml:space="preserve"> amendments adopted at the 201</w:t>
      </w:r>
      <w:r w:rsidR="00AB03D9">
        <w:t>7 and 2018</w:t>
      </w:r>
      <w:r w:rsidRPr="0075660B">
        <w:t xml:space="preserve"> session</w:t>
      </w:r>
      <w:r w:rsidR="00AB03D9">
        <w:t>s</w:t>
      </w:r>
      <w:r w:rsidRPr="0075660B">
        <w:t xml:space="preserve"> of WP.11 will be deemed accepted only if, before the expiry of a period of nine months following the initial notification period of six months, the Government of Germany does not notify an objection to the proposed amendments.</w:t>
      </w:r>
    </w:p>
    <w:p w14:paraId="3E5A6D25" w14:textId="1D050369" w:rsidR="00F93B19" w:rsidRPr="008B3F7F" w:rsidRDefault="00183536" w:rsidP="00A07948">
      <w:pPr>
        <w:pStyle w:val="SingleTxtG"/>
        <w:rPr>
          <w:color w:val="000000"/>
          <w:lang w:eastAsia="en-GB"/>
        </w:rPr>
      </w:pPr>
      <w:r w:rsidRPr="008B3F7F">
        <w:t xml:space="preserve">Proposed </w:t>
      </w:r>
      <w:r w:rsidR="00C864AB" w:rsidRPr="008B3F7F">
        <w:t xml:space="preserve">corrections </w:t>
      </w:r>
      <w:r w:rsidRPr="008B3F7F">
        <w:t xml:space="preserve">to the ATP adopted at the </w:t>
      </w:r>
      <w:r w:rsidR="00EE460C" w:rsidRPr="008B3F7F">
        <w:t>seventy-</w:t>
      </w:r>
      <w:r w:rsidR="00285B24">
        <w:t>fourth</w:t>
      </w:r>
      <w:r w:rsidR="00285B24" w:rsidRPr="008B3F7F">
        <w:t xml:space="preserve"> </w:t>
      </w:r>
      <w:r w:rsidR="00D70230" w:rsidRPr="008B3F7F">
        <w:t>s</w:t>
      </w:r>
      <w:r w:rsidRPr="008B3F7F">
        <w:t xml:space="preserve">ession of WP.11 </w:t>
      </w:r>
      <w:r w:rsidR="008704E3" w:rsidRPr="008B3F7F">
        <w:t xml:space="preserve">in </w:t>
      </w:r>
      <w:r w:rsidR="00285B24" w:rsidRPr="008B3F7F">
        <w:t>201</w:t>
      </w:r>
      <w:r w:rsidR="00285B24">
        <w:t>8</w:t>
      </w:r>
      <w:r w:rsidR="00285B24" w:rsidRPr="008B3F7F">
        <w:t xml:space="preserve"> </w:t>
      </w:r>
      <w:r w:rsidR="00CF7A38" w:rsidRPr="008B3F7F">
        <w:t>(ECE/TRANS/WP.11/</w:t>
      </w:r>
      <w:r w:rsidR="00285B24" w:rsidRPr="008B3F7F">
        <w:t>23</w:t>
      </w:r>
      <w:r w:rsidR="00285B24">
        <w:t>9</w:t>
      </w:r>
      <w:r w:rsidR="00C864AB" w:rsidRPr="008B3F7F">
        <w:t>, Anne</w:t>
      </w:r>
      <w:r w:rsidR="00435250" w:rsidRPr="008B3F7F">
        <w:t>x</w:t>
      </w:r>
      <w:r w:rsidR="00C864AB" w:rsidRPr="008B3F7F">
        <w:t xml:space="preserve"> II</w:t>
      </w:r>
      <w:r w:rsidRPr="008B3F7F">
        <w:t xml:space="preserve">) were notified to ATP Contracting Parties by the United Nations Treaty Section on </w:t>
      </w:r>
      <w:r w:rsidR="00285B24">
        <w:t>30</w:t>
      </w:r>
      <w:r w:rsidR="00285B24" w:rsidRPr="008B3F7F">
        <w:t xml:space="preserve"> </w:t>
      </w:r>
      <w:r w:rsidR="00285B24">
        <w:t>January</w:t>
      </w:r>
      <w:r w:rsidR="00285B24" w:rsidRPr="008B3F7F">
        <w:t xml:space="preserve"> 201</w:t>
      </w:r>
      <w:r w:rsidR="00285B24">
        <w:t>9</w:t>
      </w:r>
      <w:r w:rsidR="00285B24" w:rsidRPr="008B3F7F">
        <w:t xml:space="preserve"> </w:t>
      </w:r>
      <w:r w:rsidR="007A7D48" w:rsidRPr="008B3F7F">
        <w:rPr>
          <w:color w:val="000000"/>
          <w:lang w:eastAsia="en-GB"/>
        </w:rPr>
        <w:t>(</w:t>
      </w:r>
      <w:r w:rsidR="00C864AB" w:rsidRPr="008B3F7F">
        <w:rPr>
          <w:color w:val="000000"/>
          <w:lang w:eastAsia="en-GB"/>
        </w:rPr>
        <w:t>C.N.</w:t>
      </w:r>
      <w:proofErr w:type="gramStart"/>
      <w:r w:rsidR="00285B24">
        <w:rPr>
          <w:color w:val="000000"/>
          <w:lang w:eastAsia="en-GB"/>
        </w:rPr>
        <w:t>18</w:t>
      </w:r>
      <w:r w:rsidR="003232F7" w:rsidRPr="008B3F7F">
        <w:rPr>
          <w:color w:val="000000"/>
          <w:lang w:eastAsia="en-GB"/>
        </w:rPr>
        <w:t>.</w:t>
      </w:r>
      <w:r w:rsidR="00285B24" w:rsidRPr="008B3F7F">
        <w:rPr>
          <w:color w:val="000000"/>
          <w:lang w:eastAsia="en-GB"/>
        </w:rPr>
        <w:t>201</w:t>
      </w:r>
      <w:r w:rsidR="00285B24">
        <w:rPr>
          <w:color w:val="000000"/>
          <w:lang w:eastAsia="en-GB"/>
        </w:rPr>
        <w:t>9</w:t>
      </w:r>
      <w:r w:rsidR="00C864AB" w:rsidRPr="008B3F7F">
        <w:rPr>
          <w:color w:val="000000"/>
          <w:lang w:eastAsia="en-GB"/>
        </w:rPr>
        <w:t>.TREATIES</w:t>
      </w:r>
      <w:proofErr w:type="gramEnd"/>
      <w:r w:rsidR="00C864AB" w:rsidRPr="008B3F7F">
        <w:rPr>
          <w:color w:val="000000"/>
          <w:lang w:eastAsia="en-GB"/>
        </w:rPr>
        <w:t>-XI.B.22).</w:t>
      </w:r>
      <w:r w:rsidR="004574DE" w:rsidRPr="008B3F7F">
        <w:rPr>
          <w:color w:val="000000"/>
          <w:lang w:eastAsia="en-GB"/>
        </w:rPr>
        <w:t xml:space="preserve"> Corrections were deemed accepted on </w:t>
      </w:r>
      <w:r w:rsidR="00285B24">
        <w:rPr>
          <w:color w:val="000000"/>
          <w:lang w:eastAsia="en-GB"/>
        </w:rPr>
        <w:t>10</w:t>
      </w:r>
      <w:r w:rsidR="00285B24" w:rsidRPr="008B3F7F">
        <w:rPr>
          <w:color w:val="000000"/>
          <w:lang w:eastAsia="en-GB"/>
        </w:rPr>
        <w:t xml:space="preserve"> </w:t>
      </w:r>
      <w:r w:rsidR="003232F7" w:rsidRPr="008B3F7F">
        <w:rPr>
          <w:color w:val="000000"/>
          <w:lang w:eastAsia="en-GB"/>
        </w:rPr>
        <w:t xml:space="preserve">May </w:t>
      </w:r>
      <w:r w:rsidR="00285B24" w:rsidRPr="008B3F7F">
        <w:rPr>
          <w:color w:val="000000"/>
          <w:lang w:eastAsia="en-GB"/>
        </w:rPr>
        <w:t>201</w:t>
      </w:r>
      <w:r w:rsidR="00285B24">
        <w:rPr>
          <w:color w:val="000000"/>
          <w:lang w:eastAsia="en-GB"/>
        </w:rPr>
        <w:t>9</w:t>
      </w:r>
      <w:r w:rsidR="00285B24" w:rsidRPr="008B3F7F">
        <w:rPr>
          <w:color w:val="000000"/>
          <w:lang w:eastAsia="en-GB"/>
        </w:rPr>
        <w:t xml:space="preserve"> </w:t>
      </w:r>
      <w:r w:rsidR="004574DE" w:rsidRPr="008B3F7F">
        <w:rPr>
          <w:color w:val="000000"/>
          <w:lang w:eastAsia="en-GB"/>
        </w:rPr>
        <w:t>(C.N.</w:t>
      </w:r>
      <w:proofErr w:type="gramStart"/>
      <w:r w:rsidR="00285B24">
        <w:rPr>
          <w:color w:val="000000"/>
          <w:lang w:eastAsia="en-GB"/>
        </w:rPr>
        <w:t>159</w:t>
      </w:r>
      <w:r w:rsidR="003232F7" w:rsidRPr="008B3F7F">
        <w:rPr>
          <w:color w:val="000000"/>
          <w:lang w:eastAsia="en-GB"/>
        </w:rPr>
        <w:t>.</w:t>
      </w:r>
      <w:r w:rsidR="00285B24" w:rsidRPr="008B3F7F">
        <w:rPr>
          <w:color w:val="000000"/>
          <w:lang w:eastAsia="en-GB"/>
        </w:rPr>
        <w:t>201</w:t>
      </w:r>
      <w:r w:rsidR="00285B24">
        <w:rPr>
          <w:color w:val="000000"/>
          <w:lang w:eastAsia="en-GB"/>
        </w:rPr>
        <w:t>9</w:t>
      </w:r>
      <w:r w:rsidR="004574DE" w:rsidRPr="008B3F7F">
        <w:rPr>
          <w:color w:val="000000"/>
          <w:lang w:eastAsia="en-GB"/>
        </w:rPr>
        <w:t>.TREATIES</w:t>
      </w:r>
      <w:proofErr w:type="gramEnd"/>
      <w:r w:rsidR="004574DE" w:rsidRPr="008B3F7F">
        <w:rPr>
          <w:color w:val="000000"/>
          <w:lang w:eastAsia="en-GB"/>
        </w:rPr>
        <w:t>-XI.B.22).</w:t>
      </w:r>
    </w:p>
    <w:p w14:paraId="384DCA08" w14:textId="77777777" w:rsidR="000D66A6" w:rsidRDefault="007C2C1A" w:rsidP="00A07948">
      <w:pPr>
        <w:pStyle w:val="H23G"/>
        <w:jc w:val="both"/>
      </w:pPr>
      <w:r>
        <w:tab/>
      </w:r>
      <w:r w:rsidR="000D66A6">
        <w:t>(c)</w:t>
      </w:r>
      <w:r w:rsidR="000D66A6">
        <w:tab/>
        <w:t>Test stations officially designated by the competent authorities of countries Parties to ATP</w:t>
      </w:r>
    </w:p>
    <w:p w14:paraId="1B4C774A" w14:textId="16D2453A" w:rsidR="000D66A6" w:rsidRDefault="000D66A6" w:rsidP="00A07948">
      <w:pPr>
        <w:pStyle w:val="SingleTxtG"/>
      </w:pPr>
      <w:r>
        <w:t xml:space="preserve">The current list of </w:t>
      </w:r>
      <w:r w:rsidR="00F16B21">
        <w:t xml:space="preserve">officially designated </w:t>
      </w:r>
      <w:r>
        <w:t xml:space="preserve">test stations </w:t>
      </w:r>
      <w:r w:rsidRPr="00D86A74">
        <w:t>appears</w:t>
      </w:r>
      <w:r>
        <w:t xml:space="preserve"> at the following web link: </w:t>
      </w:r>
      <w:hyperlink r:id="rId11" w:history="1">
        <w:r w:rsidR="003232F7" w:rsidRPr="00326991">
          <w:rPr>
            <w:rStyle w:val="Hyperlink"/>
          </w:rPr>
          <w:t>http://www.unece.org/trans/main/wp11/teststationsnew.html</w:t>
        </w:r>
      </w:hyperlink>
      <w:r w:rsidR="004F6A2D">
        <w:t>.</w:t>
      </w:r>
    </w:p>
    <w:p w14:paraId="5F891850" w14:textId="77777777" w:rsidR="000D66A6" w:rsidRDefault="007C2C1A" w:rsidP="00A07948">
      <w:pPr>
        <w:pStyle w:val="H23G"/>
        <w:jc w:val="both"/>
      </w:pPr>
      <w:r>
        <w:tab/>
      </w:r>
      <w:r w:rsidR="000D66A6">
        <w:t>(d)</w:t>
      </w:r>
      <w:r w:rsidR="000D66A6">
        <w:tab/>
        <w:t xml:space="preserve">Exchange of information among Parties under Article 6 of </w:t>
      </w:r>
      <w:r w:rsidR="000D66A6" w:rsidRPr="00D86A74">
        <w:t>ATP</w:t>
      </w:r>
    </w:p>
    <w:p w14:paraId="2976AB60" w14:textId="02BBD5BB" w:rsidR="00022D6E" w:rsidRDefault="005C7247" w:rsidP="00A07948">
      <w:pPr>
        <w:pStyle w:val="SingleTxtG"/>
      </w:pPr>
      <w:r>
        <w:t xml:space="preserve">At </w:t>
      </w:r>
      <w:r w:rsidR="0095577D">
        <w:t>the</w:t>
      </w:r>
      <w:r>
        <w:t xml:space="preserve"> </w:t>
      </w:r>
      <w:r w:rsidR="00861D28">
        <w:t>last</w:t>
      </w:r>
      <w:r w:rsidR="00BF17E4">
        <w:t xml:space="preserve"> session</w:t>
      </w:r>
      <w:r>
        <w:t xml:space="preserve">, </w:t>
      </w:r>
      <w:r w:rsidR="00182F50">
        <w:t xml:space="preserve">the </w:t>
      </w:r>
      <w:r w:rsidR="00A459D8">
        <w:t xml:space="preserve">WP.11 thanked the </w:t>
      </w:r>
      <w:r w:rsidR="006D13C9">
        <w:t>22</w:t>
      </w:r>
      <w:r w:rsidR="006D13C9" w:rsidRPr="00E21EC8">
        <w:t xml:space="preserve"> </w:t>
      </w:r>
      <w:r w:rsidR="00182F50" w:rsidRPr="00E21EC8">
        <w:t>countries that had provided data in response to the questionnaire on t</w:t>
      </w:r>
      <w:r w:rsidR="00A459D8">
        <w:t xml:space="preserve">he implementation of ATP in </w:t>
      </w:r>
      <w:r w:rsidR="006D13C9">
        <w:t>2017</w:t>
      </w:r>
      <w:r w:rsidR="006D13C9" w:rsidRPr="00E21EC8">
        <w:t xml:space="preserve"> </w:t>
      </w:r>
      <w:r w:rsidR="00182F50" w:rsidRPr="00E21EC8">
        <w:t xml:space="preserve">and stressed that it was mandatory to have information from all ATP </w:t>
      </w:r>
      <w:r w:rsidR="00182F50" w:rsidRPr="00D86A74">
        <w:t>contracting</w:t>
      </w:r>
      <w:r w:rsidR="00182F50" w:rsidRPr="00E21EC8">
        <w:t xml:space="preserve"> parties and that it was a means of </w:t>
      </w:r>
      <w:r w:rsidR="00182F50" w:rsidRPr="00E21EC8">
        <w:lastRenderedPageBreak/>
        <w:t>harmonizing implementation of the agreement.</w:t>
      </w:r>
      <w:r>
        <w:t xml:space="preserve"> </w:t>
      </w:r>
      <w:r w:rsidR="00EF779D">
        <w:t xml:space="preserve">The </w:t>
      </w:r>
      <w:r w:rsidR="000D1572">
        <w:t xml:space="preserve">information </w:t>
      </w:r>
      <w:r w:rsidR="00EF779D">
        <w:t xml:space="preserve">received </w:t>
      </w:r>
      <w:r w:rsidR="00DF5856">
        <w:t xml:space="preserve">for the </w:t>
      </w:r>
      <w:r w:rsidR="005C4C87">
        <w:t xml:space="preserve">year </w:t>
      </w:r>
      <w:r w:rsidR="006D13C9">
        <w:t xml:space="preserve">2018 </w:t>
      </w:r>
      <w:r w:rsidR="000D1572">
        <w:t xml:space="preserve">is </w:t>
      </w:r>
      <w:r w:rsidR="00EF779D">
        <w:t>presented in ECE/TRANS/WP.11/</w:t>
      </w:r>
      <w:r w:rsidR="005824F2">
        <w:t>201</w:t>
      </w:r>
      <w:r w:rsidR="006D13C9">
        <w:t>9</w:t>
      </w:r>
      <w:r w:rsidR="0063254E">
        <w:t>/</w:t>
      </w:r>
      <w:r w:rsidR="00A459D8">
        <w:t>1</w:t>
      </w:r>
      <w:r w:rsidR="00EF779D">
        <w:t>.</w:t>
      </w:r>
      <w:r w:rsidR="00F93B19">
        <w:t xml:space="preserve"> Countries were also asked to respond to </w:t>
      </w:r>
      <w:r w:rsidR="006D13C9">
        <w:t xml:space="preserve">an </w:t>
      </w:r>
      <w:r w:rsidR="00A459D8">
        <w:t>additional question</w:t>
      </w:r>
      <w:r w:rsidR="00F93B19">
        <w:t xml:space="preserve"> regarding implementation of the ATP</w:t>
      </w:r>
      <w:r w:rsidR="0099306C">
        <w:t xml:space="preserve">, answers received by the secretariat </w:t>
      </w:r>
      <w:r w:rsidR="00696132">
        <w:t>are included</w:t>
      </w:r>
      <w:r w:rsidR="0099306C">
        <w:t xml:space="preserve"> in the annex to document ECE/TRANS/WP.11/</w:t>
      </w:r>
      <w:r w:rsidR="006D13C9">
        <w:t>2019</w:t>
      </w:r>
      <w:r w:rsidR="0099306C">
        <w:t>/1</w:t>
      </w:r>
      <w:r w:rsidR="00F93B19">
        <w:t>.</w:t>
      </w:r>
    </w:p>
    <w:p w14:paraId="48995472" w14:textId="118ACE4C" w:rsidR="006C2520" w:rsidRDefault="000C532D" w:rsidP="00A07948">
      <w:pPr>
        <w:pStyle w:val="SingleTxtG"/>
      </w:pPr>
      <w:r>
        <w:t>At the request o</w:t>
      </w:r>
      <w:r w:rsidR="005824F2">
        <w:t xml:space="preserve">f the Working Party at its seventy-third session, the secretariat sent a letter to all contracting parties </w:t>
      </w:r>
      <w:r>
        <w:t xml:space="preserve">requesting them to fulfil their obligation under article 6 of ATP of replying to the annual questionnaire and to update the contact information for competent authorities and test stations. All the information received by the secretariat is included in the list of competent authorities and officially designated test stations at </w:t>
      </w:r>
      <w:hyperlink r:id="rId12" w:history="1">
        <w:r w:rsidRPr="00326991">
          <w:rPr>
            <w:rStyle w:val="Hyperlink"/>
          </w:rPr>
          <w:t>http://www.unece.org/trans/main/wp11/teststationsnew.html</w:t>
        </w:r>
      </w:hyperlink>
      <w:r>
        <w:t>.</w:t>
      </w:r>
    </w:p>
    <w:p w14:paraId="3D4979B3" w14:textId="3DE0C2A6" w:rsidR="009B3A38" w:rsidRDefault="007C2C1A" w:rsidP="00A07948">
      <w:pPr>
        <w:pStyle w:val="H23G"/>
        <w:jc w:val="both"/>
      </w:pPr>
      <w:r>
        <w:tab/>
      </w:r>
      <w:r w:rsidR="009B3A38">
        <w:t>(e</w:t>
      </w:r>
      <w:r w:rsidR="009B3A38" w:rsidRPr="009B3A38">
        <w:t>)</w:t>
      </w:r>
      <w:r w:rsidR="009B3A38" w:rsidRPr="009B3A38">
        <w:tab/>
        <w:t xml:space="preserve">Exchange of </w:t>
      </w:r>
      <w:r w:rsidR="009B3A38">
        <w:t>good practices for better implementation of ATP</w:t>
      </w:r>
    </w:p>
    <w:p w14:paraId="6DE13FE0" w14:textId="77777777" w:rsidR="007C2C00" w:rsidRPr="00907C53" w:rsidRDefault="007C2C00" w:rsidP="007C2C00">
      <w:pPr>
        <w:pStyle w:val="H23G"/>
        <w:keepNext w:val="0"/>
        <w:keepLines w:val="0"/>
        <w:jc w:val="both"/>
      </w:pPr>
      <w:r>
        <w:tab/>
      </w:r>
      <w:r>
        <w:tab/>
      </w:r>
      <w:r w:rsidRPr="00907C53">
        <w:t>Procedure for measuring the power of single-emitter dual-temperature refrigerated and mechanically refrigerated units</w:t>
      </w:r>
    </w:p>
    <w:p w14:paraId="73BDE871" w14:textId="55F148ED" w:rsidR="007C2C00" w:rsidRDefault="007C2C00" w:rsidP="007C2C00">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(ECE/TRANS/WP.11/2019/11).</w:t>
      </w:r>
    </w:p>
    <w:p w14:paraId="24879945" w14:textId="536F97B2" w:rsidR="002217DD" w:rsidRDefault="002217DD" w:rsidP="002217DD">
      <w:pPr>
        <w:pStyle w:val="H23G"/>
        <w:keepNext w:val="0"/>
        <w:keepLines w:val="0"/>
        <w:jc w:val="both"/>
      </w:pPr>
      <w:r>
        <w:tab/>
      </w:r>
      <w:r>
        <w:tab/>
      </w:r>
      <w:r>
        <w:t>Progress report of the informal working group on improvements to the approval system of ATP equipment and thermal units.</w:t>
      </w:r>
    </w:p>
    <w:p w14:paraId="7B1B773B" w14:textId="3C773DDA" w:rsidR="002217DD" w:rsidRPr="002217DD" w:rsidRDefault="002217DD" w:rsidP="002217DD">
      <w:pPr>
        <w:pStyle w:val="SingleTxtG"/>
      </w:pPr>
      <w:r w:rsidRPr="008A333E">
        <w:t xml:space="preserve">The </w:t>
      </w:r>
      <w:r w:rsidRPr="00D422FE">
        <w:t>Working</w:t>
      </w:r>
      <w:r w:rsidRPr="008A333E">
        <w:t xml:space="preserve"> Party </w:t>
      </w:r>
      <w:r>
        <w:t>may wish to discuss</w:t>
      </w:r>
      <w:r w:rsidRPr="008A333E">
        <w:t xml:space="preserve"> </w:t>
      </w:r>
      <w:r>
        <w:t>the proposal</w:t>
      </w:r>
      <w:r>
        <w:t>s</w:t>
      </w:r>
      <w:r>
        <w:t xml:space="preserve"> by </w:t>
      </w:r>
      <w:r>
        <w:t xml:space="preserve">the informal working group </w:t>
      </w:r>
      <w:r>
        <w:t>(</w:t>
      </w:r>
      <w:r>
        <w:t>informal document INF.4</w:t>
      </w:r>
      <w:r>
        <w:t>).</w:t>
      </w:r>
    </w:p>
    <w:p w14:paraId="31986A1D" w14:textId="77777777" w:rsidR="00543644" w:rsidRPr="00543644" w:rsidRDefault="007C2C1A" w:rsidP="00A07948">
      <w:pPr>
        <w:pStyle w:val="H23G"/>
        <w:jc w:val="both"/>
      </w:pPr>
      <w:r>
        <w:tab/>
      </w:r>
      <w:r w:rsidR="00543644">
        <w:t>(f</w:t>
      </w:r>
      <w:r w:rsidR="00543644" w:rsidRPr="00543644">
        <w:t>)</w:t>
      </w:r>
      <w:r w:rsidR="00543644" w:rsidRPr="00543644">
        <w:tab/>
      </w:r>
      <w:r w:rsidR="00543644" w:rsidRPr="00D86A74">
        <w:t>Interpretation</w:t>
      </w:r>
      <w:r w:rsidR="00543644">
        <w:t xml:space="preserve"> of </w:t>
      </w:r>
      <w:r w:rsidR="00543644" w:rsidRPr="00543644">
        <w:t>ATP</w:t>
      </w:r>
    </w:p>
    <w:p w14:paraId="1C7FDCD1" w14:textId="1A5D2FDA" w:rsidR="00926CF3" w:rsidRDefault="00926CF3" w:rsidP="00926CF3">
      <w:pPr>
        <w:pStyle w:val="SingleTxtG"/>
      </w:pPr>
      <w:r>
        <w:t>The WP.11 may wish to consider any question of interpretation raised under this item</w:t>
      </w:r>
      <w:r w:rsidRPr="00543644">
        <w:t>.</w:t>
      </w:r>
    </w:p>
    <w:p w14:paraId="093269E1" w14:textId="7046F944" w:rsidR="00EF779D" w:rsidRPr="004C0A10" w:rsidRDefault="00926CF3" w:rsidP="00926CF3">
      <w:pPr>
        <w:pStyle w:val="H1G"/>
        <w:jc w:val="both"/>
      </w:pPr>
      <w:r>
        <w:tab/>
      </w:r>
      <w:r w:rsidR="00B10405">
        <w:t>5</w:t>
      </w:r>
      <w:r w:rsidR="004C0A10">
        <w:t>.</w:t>
      </w:r>
      <w:r w:rsidR="00EF779D">
        <w:tab/>
        <w:t xml:space="preserve">Proposals of </w:t>
      </w:r>
      <w:r w:rsidR="00EF779D" w:rsidRPr="00D86A74">
        <w:t>amendments</w:t>
      </w:r>
      <w:r w:rsidR="00EF779D">
        <w:t xml:space="preserve"> to ATP</w:t>
      </w:r>
    </w:p>
    <w:p w14:paraId="6E149EE6" w14:textId="77777777" w:rsidR="00EF779D" w:rsidRDefault="007C2C1A" w:rsidP="00A07948">
      <w:pPr>
        <w:pStyle w:val="H23G"/>
        <w:jc w:val="both"/>
      </w:pPr>
      <w:r>
        <w:tab/>
      </w:r>
      <w:r w:rsidR="00EF779D">
        <w:t>(a)</w:t>
      </w:r>
      <w:r w:rsidR="00EF779D">
        <w:tab/>
        <w:t xml:space="preserve">Pending </w:t>
      </w:r>
      <w:r w:rsidR="00EF779D" w:rsidRPr="00D86A74">
        <w:t>proposals</w:t>
      </w:r>
    </w:p>
    <w:p w14:paraId="405E7C26" w14:textId="0518A83D" w:rsidR="00284D5D" w:rsidRPr="007A1E62" w:rsidRDefault="00284D5D" w:rsidP="009B2285">
      <w:pPr>
        <w:pStyle w:val="SingleTxtG"/>
        <w:rPr>
          <w:lang w:val="en-US"/>
        </w:rPr>
      </w:pPr>
      <w:r w:rsidRPr="00C17703">
        <w:rPr>
          <w:lang w:val="en-IE"/>
        </w:rPr>
        <w:t>T</w:t>
      </w:r>
      <w:r>
        <w:rPr>
          <w:lang w:val="en-IE"/>
        </w:rPr>
        <w:t xml:space="preserve">he </w:t>
      </w:r>
      <w:r w:rsidR="009B2285">
        <w:rPr>
          <w:lang w:val="en-IE"/>
        </w:rPr>
        <w:t>Working Party</w:t>
      </w:r>
      <w:r>
        <w:rPr>
          <w:lang w:val="en-IE"/>
        </w:rPr>
        <w:t xml:space="preserve"> may wish to consider any </w:t>
      </w:r>
      <w:r w:rsidR="009B2285">
        <w:rPr>
          <w:lang w:val="en-IE"/>
        </w:rPr>
        <w:t>pending proposals of amendments to the ATP.</w:t>
      </w:r>
    </w:p>
    <w:p w14:paraId="59008EB3" w14:textId="77777777" w:rsidR="008066F3" w:rsidRPr="00DC58F7" w:rsidRDefault="007C2C1A" w:rsidP="00A07948">
      <w:pPr>
        <w:pStyle w:val="H23G"/>
        <w:jc w:val="both"/>
        <w:rPr>
          <w:lang w:val="en-US"/>
        </w:rPr>
      </w:pPr>
      <w:r>
        <w:tab/>
      </w:r>
      <w:r w:rsidR="008066F3">
        <w:t>(b)</w:t>
      </w:r>
      <w:r w:rsidR="008066F3">
        <w:tab/>
        <w:t xml:space="preserve">New </w:t>
      </w:r>
      <w:r w:rsidR="008066F3" w:rsidRPr="00D422FE">
        <w:t>proposals</w:t>
      </w:r>
    </w:p>
    <w:p w14:paraId="73AA2F44" w14:textId="11F25218" w:rsidR="006F549C" w:rsidRPr="006F549C" w:rsidRDefault="00D422FE" w:rsidP="00A07948">
      <w:pPr>
        <w:pStyle w:val="H23G"/>
        <w:jc w:val="both"/>
      </w:pPr>
      <w:r>
        <w:tab/>
      </w:r>
      <w:r w:rsidR="00FA1C7F">
        <w:tab/>
      </w:r>
      <w:r w:rsidR="00DC77D1">
        <w:t xml:space="preserve">Proposal to amend Annex 1, Section 2: Definition of </w:t>
      </w:r>
      <w:r w:rsidR="003A5566">
        <w:t>t</w:t>
      </w:r>
      <w:r w:rsidR="00DC77D1">
        <w:t xml:space="preserve">hermal </w:t>
      </w:r>
      <w:r w:rsidR="003A5566">
        <w:t>a</w:t>
      </w:r>
      <w:r w:rsidR="00DC77D1">
        <w:t>ppliances</w:t>
      </w:r>
    </w:p>
    <w:p w14:paraId="13C476AB" w14:textId="7A837077" w:rsidR="00FA1C7F" w:rsidRDefault="00FA1C7F" w:rsidP="00A07948">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DC77D1">
        <w:t>Germany</w:t>
      </w:r>
      <w:r>
        <w:t xml:space="preserve"> (ECE/TRANS/WP.11/201</w:t>
      </w:r>
      <w:r w:rsidR="00DC77D1">
        <w:t>9</w:t>
      </w:r>
      <w:r>
        <w:t>/</w:t>
      </w:r>
      <w:r w:rsidR="00DC77D1">
        <w:t>2</w:t>
      </w:r>
      <w:r>
        <w:t>).</w:t>
      </w:r>
    </w:p>
    <w:p w14:paraId="116A8FD0" w14:textId="6A0759C3" w:rsidR="001F04FD" w:rsidRDefault="001F04FD" w:rsidP="00A07948">
      <w:pPr>
        <w:pStyle w:val="H23G"/>
        <w:jc w:val="both"/>
      </w:pPr>
      <w:r>
        <w:tab/>
      </w:r>
      <w:r>
        <w:tab/>
      </w:r>
      <w:r w:rsidR="00E37E07">
        <w:t xml:space="preserve">Proposal to amend Annex 1, Appendix 1, Section 6: Harmonization of </w:t>
      </w:r>
      <w:r w:rsidR="003A5566">
        <w:t>w</w:t>
      </w:r>
      <w:r w:rsidR="00E37E07">
        <w:t>ording</w:t>
      </w:r>
    </w:p>
    <w:p w14:paraId="1DE19399" w14:textId="197AC588" w:rsidR="001F04FD" w:rsidRDefault="001F04FD" w:rsidP="00A07948">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0C2F06">
        <w:t xml:space="preserve">Germany </w:t>
      </w:r>
      <w:r>
        <w:t>(ECE/TRANS/WP.11/201</w:t>
      </w:r>
      <w:r w:rsidR="00E37E07">
        <w:t>9</w:t>
      </w:r>
      <w:r>
        <w:t>/</w:t>
      </w:r>
      <w:r w:rsidR="00E37E07">
        <w:t>3</w:t>
      </w:r>
      <w:r>
        <w:t>).</w:t>
      </w:r>
    </w:p>
    <w:p w14:paraId="3F7E7431" w14:textId="62E37ED6" w:rsidR="00966929" w:rsidRDefault="00966929" w:rsidP="00A07948">
      <w:pPr>
        <w:pStyle w:val="H23G"/>
        <w:jc w:val="both"/>
      </w:pPr>
      <w:r>
        <w:tab/>
      </w:r>
      <w:r>
        <w:tab/>
      </w:r>
      <w:r w:rsidR="00326C8A">
        <w:t>Proposal to amend Annex 1, Appendix 1, Section 6 (a) and (b): Validity of test reports for mechanical refrigeration units</w:t>
      </w:r>
    </w:p>
    <w:p w14:paraId="47021BA6" w14:textId="370B71CC" w:rsidR="00966929" w:rsidRDefault="00966929" w:rsidP="00A07948">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326C8A">
        <w:t>Germany</w:t>
      </w:r>
      <w:r>
        <w:t xml:space="preserve"> (ECE/TRANS/WP.11/201</w:t>
      </w:r>
      <w:r w:rsidR="00326C8A">
        <w:t>9</w:t>
      </w:r>
      <w:r>
        <w:t>/</w:t>
      </w:r>
      <w:r w:rsidR="00326C8A">
        <w:t>4</w:t>
      </w:r>
      <w:r>
        <w:t>).</w:t>
      </w:r>
    </w:p>
    <w:p w14:paraId="322218D1" w14:textId="488A95D3" w:rsidR="003A5566" w:rsidRDefault="003A5566" w:rsidP="00A07948">
      <w:pPr>
        <w:pStyle w:val="H23G"/>
        <w:jc w:val="both"/>
      </w:pPr>
      <w:r>
        <w:tab/>
      </w:r>
      <w:r>
        <w:tab/>
        <w:t>Proposal to amend Annex 1, Appendix 1, Section 3: Certificates of compliance for equipment that is not fitted with a thermal appliance until it has been transferred to another country</w:t>
      </w:r>
    </w:p>
    <w:p w14:paraId="4D195E6C" w14:textId="71273528" w:rsidR="003A5566" w:rsidRDefault="003A5566" w:rsidP="00A07948">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(ECE/TRANS/WP.11/2019/5).</w:t>
      </w:r>
    </w:p>
    <w:p w14:paraId="253417CE" w14:textId="52388355" w:rsidR="00ED5B7F" w:rsidRDefault="00ED5B7F" w:rsidP="00A07948">
      <w:pPr>
        <w:pStyle w:val="H23G"/>
        <w:jc w:val="both"/>
      </w:pPr>
      <w:r>
        <w:lastRenderedPageBreak/>
        <w:tab/>
      </w:r>
      <w:r>
        <w:tab/>
        <w:t>Degrees Celsius and Kelvin</w:t>
      </w:r>
    </w:p>
    <w:p w14:paraId="5A820EE1" w14:textId="4D5EA92A" w:rsidR="00ED5B7F" w:rsidRDefault="00ED5B7F" w:rsidP="00A07948">
      <w:pPr>
        <w:pStyle w:val="SingleTxtG"/>
      </w:pPr>
      <w:r w:rsidRPr="008A333E">
        <w:t xml:space="preserve">The </w:t>
      </w:r>
      <w:r w:rsidRPr="00D422FE">
        <w:t>Working</w:t>
      </w:r>
      <w:r w:rsidRPr="008A333E">
        <w:t xml:space="preserve"> Party </w:t>
      </w:r>
      <w:r>
        <w:t>may wish to discuss</w:t>
      </w:r>
      <w:r w:rsidRPr="008A333E">
        <w:t xml:space="preserve"> </w:t>
      </w:r>
      <w:r>
        <w:t>the proposal by Spain (ECE/TRANS/WP.11/2019/6).</w:t>
      </w:r>
    </w:p>
    <w:p w14:paraId="5B121972" w14:textId="4C38C232" w:rsidR="007B2FD3" w:rsidRDefault="007B2FD3" w:rsidP="00A07948">
      <w:pPr>
        <w:pStyle w:val="H23G"/>
        <w:jc w:val="both"/>
      </w:pPr>
      <w:r>
        <w:tab/>
      </w:r>
      <w:r>
        <w:tab/>
      </w:r>
      <w:r w:rsidRPr="00907C53">
        <w:t xml:space="preserve">Amendment to the models of reports that define the specifications of equipment and tanks for the carriage of liquid foodstuffs resulting from the need to </w:t>
      </w:r>
      <w:proofErr w:type="gramStart"/>
      <w:r w:rsidRPr="00907C53">
        <w:t>take into account</w:t>
      </w:r>
      <w:proofErr w:type="gramEnd"/>
      <w:r w:rsidRPr="00907C53">
        <w:t xml:space="preserve"> the technological developments brought about by the use of new insulating foams</w:t>
      </w:r>
    </w:p>
    <w:p w14:paraId="77399748" w14:textId="12FCD1D3" w:rsidR="00790586" w:rsidRDefault="00790586" w:rsidP="00790586">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(ECE/TRANS/WP.11/2019/7).</w:t>
      </w:r>
    </w:p>
    <w:p w14:paraId="60671569" w14:textId="2F1C9B0A" w:rsidR="007B2FD3" w:rsidRDefault="007B2FD3" w:rsidP="00A07948">
      <w:pPr>
        <w:pStyle w:val="H23G"/>
        <w:jc w:val="both"/>
      </w:pPr>
      <w:r>
        <w:tab/>
      </w:r>
      <w:r>
        <w:tab/>
      </w:r>
      <w:r w:rsidRPr="00907C53">
        <w:t xml:space="preserve">Definition of the range of equipment </w:t>
      </w:r>
      <w:proofErr w:type="gramStart"/>
      <w:r w:rsidRPr="00907C53">
        <w:t>taking into account</w:t>
      </w:r>
      <w:proofErr w:type="gramEnd"/>
      <w:r w:rsidRPr="00907C53">
        <w:t xml:space="preserve"> mixed energy source technologies</w:t>
      </w:r>
    </w:p>
    <w:p w14:paraId="46355D50" w14:textId="0BAD90E9" w:rsidR="007C2C00" w:rsidRDefault="007C2C00" w:rsidP="007C2C00">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(ECE/TRANS/WP.11/2019/8).</w:t>
      </w:r>
    </w:p>
    <w:p w14:paraId="6DAD45AB" w14:textId="1C9D04D3" w:rsidR="007B2FD3" w:rsidRDefault="007B2FD3" w:rsidP="00A07948">
      <w:pPr>
        <w:pStyle w:val="H23G"/>
        <w:jc w:val="both"/>
      </w:pPr>
      <w:r>
        <w:tab/>
      </w:r>
      <w:r>
        <w:tab/>
      </w:r>
      <w:r w:rsidRPr="00907C53">
        <w:t>Amendment to the model test report that defines the test conditions to be registered for the determination of the air flow volume leaving the evaporator</w:t>
      </w:r>
    </w:p>
    <w:p w14:paraId="7250BB15" w14:textId="340017E3" w:rsidR="007C2C00" w:rsidRDefault="007C2C00" w:rsidP="007C2C00">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(ECE/TRANS/WP.11/2019/9).</w:t>
      </w:r>
    </w:p>
    <w:p w14:paraId="2B5699DF" w14:textId="02A13C3B" w:rsidR="007B2FD3" w:rsidRDefault="007B2FD3" w:rsidP="009B5FDD">
      <w:pPr>
        <w:pStyle w:val="H23G"/>
        <w:keepNext w:val="0"/>
        <w:keepLines w:val="0"/>
        <w:jc w:val="both"/>
      </w:pPr>
      <w:r>
        <w:tab/>
      </w:r>
      <w:r>
        <w:tab/>
      </w:r>
      <w:r w:rsidRPr="00907C53">
        <w:t>Amendment relating to the use of checks to be carried out under section 4.3.4 of annex 1, appendix 2, of ATP of 6 January 2018.</w:t>
      </w:r>
    </w:p>
    <w:p w14:paraId="01A542DC" w14:textId="2802ED5B" w:rsidR="007C2C00" w:rsidRDefault="007C2C00" w:rsidP="009B5FDD">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(ECE/TRANS/WP.11/2019/10).</w:t>
      </w:r>
    </w:p>
    <w:p w14:paraId="53B283D4" w14:textId="70EA77C7" w:rsidR="003E5B75" w:rsidRDefault="003E5B75" w:rsidP="009B5FDD">
      <w:pPr>
        <w:pStyle w:val="H23G"/>
        <w:keepNext w:val="0"/>
        <w:keepLines w:val="0"/>
        <w:jc w:val="both"/>
      </w:pPr>
      <w:r>
        <w:tab/>
      </w:r>
      <w:r>
        <w:tab/>
        <w:t>Proposed amendment to Annex 1, Appendix 2, paragraph 6.5 Cool down test, measuring the outside temperature</w:t>
      </w:r>
    </w:p>
    <w:p w14:paraId="5B82A407" w14:textId="59B31266" w:rsidR="003E5B75" w:rsidRDefault="003E5B75" w:rsidP="009B5FDD">
      <w:pPr>
        <w:pStyle w:val="SingleTxtG"/>
      </w:pPr>
      <w:r w:rsidRPr="008A333E">
        <w:t xml:space="preserve">The </w:t>
      </w:r>
      <w:r w:rsidRPr="00D422FE">
        <w:t>Working</w:t>
      </w:r>
      <w:r w:rsidRPr="008A333E">
        <w:t xml:space="preserve"> Party </w:t>
      </w:r>
      <w:r>
        <w:t>may wish to discuss</w:t>
      </w:r>
      <w:r w:rsidRPr="008A333E">
        <w:t xml:space="preserve"> </w:t>
      </w:r>
      <w:r>
        <w:t>the proposal by Finland (ECE/TRANS/WP.11/2019/12).</w:t>
      </w:r>
    </w:p>
    <w:p w14:paraId="75AB5601" w14:textId="625EAF08" w:rsidR="007B2FD3" w:rsidRDefault="007B2FD3" w:rsidP="009B5FDD">
      <w:pPr>
        <w:pStyle w:val="H23G"/>
        <w:keepNext w:val="0"/>
        <w:keepLines w:val="0"/>
        <w:jc w:val="both"/>
      </w:pPr>
      <w:r>
        <w:tab/>
      </w:r>
      <w:r>
        <w:tab/>
      </w:r>
      <w:r w:rsidRPr="00907C53">
        <w:t>Proposal to amend ATP by introducing special provisions applicable to packages and vehicles and containers containing substances presenting a risk of asphyxiation when used for cooling or conditioning purposes (such as dry ice (UN No. 1845) or refrigerated liquid nitrogen (UN No. 1977) or refrigerated liquid argon (UN No. 1951))</w:t>
      </w:r>
    </w:p>
    <w:p w14:paraId="3C7EB290" w14:textId="2E03EE67" w:rsidR="003E5B75" w:rsidRDefault="003E5B75" w:rsidP="003E5B75">
      <w:pPr>
        <w:pStyle w:val="SingleTxtG"/>
      </w:pPr>
      <w:r w:rsidRPr="008A333E">
        <w:t xml:space="preserve">The </w:t>
      </w:r>
      <w:r w:rsidRPr="00D422FE">
        <w:t>Working</w:t>
      </w:r>
      <w:r w:rsidRPr="008A333E">
        <w:t xml:space="preserve"> Party </w:t>
      </w:r>
      <w:r>
        <w:t>may wish to discuss</w:t>
      </w:r>
      <w:r w:rsidRPr="008A333E">
        <w:t xml:space="preserve"> </w:t>
      </w:r>
      <w:r>
        <w:t>the proposal by Switzerland (ECE/TRANS/WP.11/2019/13).</w:t>
      </w:r>
    </w:p>
    <w:p w14:paraId="67DDB4FD" w14:textId="463D12AE" w:rsidR="00025D2F" w:rsidRDefault="00025D2F" w:rsidP="00025D2F">
      <w:pPr>
        <w:pStyle w:val="H23G"/>
        <w:keepNext w:val="0"/>
        <w:keepLines w:val="0"/>
        <w:jc w:val="both"/>
      </w:pPr>
      <w:r>
        <w:tab/>
      </w:r>
      <w:r>
        <w:tab/>
      </w:r>
      <w:r w:rsidRPr="00025D2F">
        <w:t>The role of measurement uncertainty in conformity assessment decisions in ATP</w:t>
      </w:r>
    </w:p>
    <w:p w14:paraId="348031BC" w14:textId="354C76DF" w:rsidR="00025D2F" w:rsidRDefault="00025D2F" w:rsidP="00025D2F">
      <w:pPr>
        <w:pStyle w:val="SingleTxtG"/>
      </w:pPr>
      <w:r w:rsidRPr="008A333E">
        <w:t xml:space="preserve">The </w:t>
      </w:r>
      <w:r w:rsidRPr="00D422FE">
        <w:t>Working</w:t>
      </w:r>
      <w:r w:rsidRPr="008A333E">
        <w:t xml:space="preserve"> Party </w:t>
      </w:r>
      <w:r>
        <w:t>may wish to discuss</w:t>
      </w:r>
      <w:r w:rsidRPr="008A333E">
        <w:t xml:space="preserve"> </w:t>
      </w:r>
      <w:r>
        <w:t>the proposal by Slovenia (ECE/TRANS/WP.11/2019/14).</w:t>
      </w:r>
    </w:p>
    <w:p w14:paraId="490F4E89" w14:textId="28AD3662" w:rsidR="007B2FD3" w:rsidRDefault="007B2FD3" w:rsidP="007C2C00">
      <w:pPr>
        <w:pStyle w:val="H23G"/>
        <w:keepNext w:val="0"/>
        <w:keepLines w:val="0"/>
        <w:jc w:val="both"/>
      </w:pPr>
      <w:r>
        <w:tab/>
      </w:r>
      <w:r>
        <w:tab/>
      </w:r>
      <w:r w:rsidRPr="00907C53">
        <w:t xml:space="preserve">Amendment to the model test report that defines the specifications of refrigeration units and their effective refrigerating capacities arising from the need to </w:t>
      </w:r>
      <w:proofErr w:type="gramStart"/>
      <w:r w:rsidRPr="00907C53">
        <w:t>take into account</w:t>
      </w:r>
      <w:proofErr w:type="gramEnd"/>
      <w:r w:rsidRPr="00907C53">
        <w:t xml:space="preserve"> technological developments brought about by the use of new means of control</w:t>
      </w:r>
    </w:p>
    <w:p w14:paraId="4913CB5B" w14:textId="5DA506FD" w:rsidR="00A64F44" w:rsidRDefault="00A64F44" w:rsidP="00A64F44">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(ECE/TRANS/WP.11/2019/15).</w:t>
      </w:r>
    </w:p>
    <w:p w14:paraId="180C1D54" w14:textId="495EB0F7" w:rsidR="00A64F44" w:rsidRDefault="00A64F44" w:rsidP="00A64F44">
      <w:pPr>
        <w:pStyle w:val="H23G"/>
        <w:keepNext w:val="0"/>
        <w:keepLines w:val="0"/>
        <w:jc w:val="both"/>
      </w:pPr>
      <w:r>
        <w:tab/>
      </w:r>
      <w:r>
        <w:tab/>
        <w:t>Proposals improving test reports and ATP certificate of conformity</w:t>
      </w:r>
    </w:p>
    <w:p w14:paraId="2BAB1A5C" w14:textId="46C458FC" w:rsidR="00A64F44" w:rsidRDefault="00A64F44" w:rsidP="00A64F44">
      <w:pPr>
        <w:pStyle w:val="SingleTxtG"/>
      </w:pPr>
      <w:r w:rsidRPr="008A333E">
        <w:t xml:space="preserve">The </w:t>
      </w:r>
      <w:r w:rsidRPr="00D422FE">
        <w:t>Working</w:t>
      </w:r>
      <w:r w:rsidRPr="008A333E">
        <w:t xml:space="preserve"> Party </w:t>
      </w:r>
      <w:r>
        <w:t>may wish to discuss</w:t>
      </w:r>
      <w:r w:rsidRPr="008A333E">
        <w:t xml:space="preserve"> </w:t>
      </w:r>
      <w:r>
        <w:t>the proposal by the Netherlands on behalf of the informal working group on the improvements on the approval system of ATP equipment and thermal units (ECE/TRANS/WP.11/2019/16).</w:t>
      </w:r>
    </w:p>
    <w:p w14:paraId="65ED6623" w14:textId="5FA99B7D" w:rsidR="00A64F44" w:rsidRDefault="00920754" w:rsidP="00920754">
      <w:pPr>
        <w:pStyle w:val="H23G"/>
        <w:keepNext w:val="0"/>
        <w:keepLines w:val="0"/>
        <w:jc w:val="both"/>
      </w:pPr>
      <w:r>
        <w:lastRenderedPageBreak/>
        <w:tab/>
      </w:r>
      <w:r>
        <w:tab/>
        <w:t>Amendment to Annex 1, Appendix 2, paragraph 3.2.6 and 4.3.4 (ii), Annex 1, Appendix 3 and the ATP Handbook</w:t>
      </w:r>
    </w:p>
    <w:p w14:paraId="103D4BFE" w14:textId="256F0845" w:rsidR="00920754" w:rsidRDefault="00920754" w:rsidP="00920754">
      <w:pPr>
        <w:pStyle w:val="SingleTxtG"/>
      </w:pPr>
      <w:r w:rsidRPr="008A333E">
        <w:t xml:space="preserve">The </w:t>
      </w:r>
      <w:r w:rsidRPr="00D422FE">
        <w:t>Working</w:t>
      </w:r>
      <w:r w:rsidRPr="008A333E">
        <w:t xml:space="preserve"> Party </w:t>
      </w:r>
      <w:r>
        <w:t>may wish to discuss</w:t>
      </w:r>
      <w:r w:rsidRPr="008A333E">
        <w:t xml:space="preserve"> </w:t>
      </w:r>
      <w:r>
        <w:t>the proposal by United Kingdom (ECE/TRANS/WP.11/2019/17).</w:t>
      </w:r>
    </w:p>
    <w:p w14:paraId="06D25D6F" w14:textId="4B461406" w:rsidR="00A64F44" w:rsidRDefault="003C0ED6" w:rsidP="003C0ED6">
      <w:pPr>
        <w:pStyle w:val="H23G"/>
        <w:keepNext w:val="0"/>
        <w:keepLines w:val="0"/>
        <w:jc w:val="both"/>
      </w:pPr>
      <w:r>
        <w:tab/>
      </w:r>
      <w:r>
        <w:tab/>
        <w:t>Amendment to Annex 1</w:t>
      </w:r>
    </w:p>
    <w:p w14:paraId="46CE15C8" w14:textId="3D96DBE5" w:rsidR="003C0ED6" w:rsidRDefault="003C0ED6" w:rsidP="003C0ED6">
      <w:pPr>
        <w:pStyle w:val="SingleTxtG"/>
      </w:pPr>
      <w:r w:rsidRPr="008A333E">
        <w:t xml:space="preserve">The </w:t>
      </w:r>
      <w:r w:rsidRPr="00D422FE">
        <w:t>Working</w:t>
      </w:r>
      <w:r w:rsidRPr="008A333E">
        <w:t xml:space="preserve"> Party </w:t>
      </w:r>
      <w:r>
        <w:t>may wish to discuss</w:t>
      </w:r>
      <w:r w:rsidRPr="008A333E">
        <w:t xml:space="preserve"> </w:t>
      </w:r>
      <w:r>
        <w:t>the proposal by United Kingdom (ECE/TRANS/WP.11/2019/18).</w:t>
      </w:r>
    </w:p>
    <w:p w14:paraId="5B42BBC8" w14:textId="59099E38" w:rsidR="00A64F44" w:rsidRDefault="009C03CD" w:rsidP="009C03CD">
      <w:pPr>
        <w:pStyle w:val="H23G"/>
        <w:keepNext w:val="0"/>
        <w:keepLines w:val="0"/>
        <w:jc w:val="both"/>
      </w:pPr>
      <w:r>
        <w:tab/>
      </w:r>
      <w:r>
        <w:tab/>
        <w:t>Amendment to Annex 1, Appendix 3</w:t>
      </w:r>
    </w:p>
    <w:p w14:paraId="67B9DAEE" w14:textId="01B8DCA2" w:rsidR="009C03CD" w:rsidRDefault="009C03CD" w:rsidP="009C03CD">
      <w:pPr>
        <w:pStyle w:val="SingleTxtG"/>
      </w:pPr>
      <w:r w:rsidRPr="008A333E">
        <w:t xml:space="preserve">The </w:t>
      </w:r>
      <w:r w:rsidRPr="00D422FE">
        <w:t>Working</w:t>
      </w:r>
      <w:r w:rsidRPr="008A333E">
        <w:t xml:space="preserve"> Party </w:t>
      </w:r>
      <w:r>
        <w:t>may wish to discuss</w:t>
      </w:r>
      <w:r w:rsidRPr="008A333E">
        <w:t xml:space="preserve"> </w:t>
      </w:r>
      <w:r>
        <w:t>the proposal by United Kingdom (ECE/TRANS/WP.11/2019/19).</w:t>
      </w:r>
    </w:p>
    <w:p w14:paraId="1FE4573C" w14:textId="1CF8E3E4" w:rsidR="009C03CD" w:rsidRDefault="00325160" w:rsidP="00325160">
      <w:pPr>
        <w:pStyle w:val="H23G"/>
        <w:keepNext w:val="0"/>
        <w:keepLines w:val="0"/>
        <w:jc w:val="both"/>
      </w:pPr>
      <w:r>
        <w:tab/>
      </w:r>
      <w:r>
        <w:tab/>
        <w:t>Amendment to Annex 2, Appendix 1</w:t>
      </w:r>
    </w:p>
    <w:p w14:paraId="3D85D649" w14:textId="7C1BA666" w:rsidR="00325160" w:rsidRDefault="00325160" w:rsidP="00325160">
      <w:pPr>
        <w:pStyle w:val="SingleTxtG"/>
      </w:pPr>
      <w:r w:rsidRPr="008A333E">
        <w:t xml:space="preserve">The </w:t>
      </w:r>
      <w:r w:rsidRPr="00D422FE">
        <w:t>Working</w:t>
      </w:r>
      <w:r w:rsidRPr="008A333E">
        <w:t xml:space="preserve"> Party </w:t>
      </w:r>
      <w:r>
        <w:t>may wish to discuss</w:t>
      </w:r>
      <w:r w:rsidRPr="008A333E">
        <w:t xml:space="preserve"> </w:t>
      </w:r>
      <w:r>
        <w:t>the proposal by United Kingdom (ECE/TRANS/WP.11/2019/20).</w:t>
      </w:r>
    </w:p>
    <w:p w14:paraId="5A79C7B0" w14:textId="67C6AEBE" w:rsidR="00325160" w:rsidRDefault="00325160" w:rsidP="00325160">
      <w:pPr>
        <w:pStyle w:val="H23G"/>
        <w:keepNext w:val="0"/>
        <w:keepLines w:val="0"/>
        <w:jc w:val="both"/>
      </w:pPr>
      <w:r>
        <w:tab/>
      </w:r>
      <w:r>
        <w:tab/>
        <w:t>Amendment to Annex 1, Appendix 2</w:t>
      </w:r>
    </w:p>
    <w:p w14:paraId="527A8D87" w14:textId="595A7886" w:rsidR="00325160" w:rsidRDefault="00325160" w:rsidP="00325160">
      <w:pPr>
        <w:pStyle w:val="SingleTxtG"/>
      </w:pPr>
      <w:r w:rsidRPr="008A333E">
        <w:t xml:space="preserve">The </w:t>
      </w:r>
      <w:r w:rsidRPr="00D422FE">
        <w:t>Working</w:t>
      </w:r>
      <w:r w:rsidRPr="008A333E">
        <w:t xml:space="preserve"> Party </w:t>
      </w:r>
      <w:r>
        <w:t>may wish to discuss</w:t>
      </w:r>
      <w:r w:rsidRPr="008A333E">
        <w:t xml:space="preserve"> </w:t>
      </w:r>
      <w:r>
        <w:t>the proposal by United Kingdom (ECE/TRANS/WP.11/2019/21).</w:t>
      </w:r>
    </w:p>
    <w:p w14:paraId="7ECE9A5F" w14:textId="72DEFEBB" w:rsidR="00325160" w:rsidRDefault="00BD04BE" w:rsidP="00BD04BE">
      <w:pPr>
        <w:pStyle w:val="H23G"/>
        <w:keepNext w:val="0"/>
        <w:keepLines w:val="0"/>
        <w:jc w:val="both"/>
      </w:pPr>
      <w:r>
        <w:tab/>
      </w:r>
      <w:r>
        <w:tab/>
      </w:r>
      <w:r w:rsidR="00325160">
        <w:t>Amendment to Annex 1, Appendix 2</w:t>
      </w:r>
    </w:p>
    <w:p w14:paraId="42945A2C" w14:textId="31643DA3" w:rsidR="00325160" w:rsidRDefault="00325160" w:rsidP="00325160">
      <w:pPr>
        <w:pStyle w:val="SingleTxtG"/>
      </w:pPr>
      <w:r w:rsidRPr="008A333E">
        <w:t xml:space="preserve">The </w:t>
      </w:r>
      <w:r w:rsidRPr="00D422FE">
        <w:t>Working</w:t>
      </w:r>
      <w:r w:rsidRPr="008A333E">
        <w:t xml:space="preserve"> Party </w:t>
      </w:r>
      <w:r>
        <w:t>may wish to discuss</w:t>
      </w:r>
      <w:r w:rsidRPr="008A333E">
        <w:t xml:space="preserve"> </w:t>
      </w:r>
      <w:r>
        <w:t>the proposal by United Kingdom (ECE/TRANS/WP.11/2019/</w:t>
      </w:r>
      <w:r w:rsidR="00BD04BE">
        <w:t>22</w:t>
      </w:r>
      <w:r>
        <w:t>).</w:t>
      </w:r>
    </w:p>
    <w:p w14:paraId="6D9D5F91" w14:textId="58229A7F" w:rsidR="00BD04BE" w:rsidRDefault="00BD04BE" w:rsidP="00BD04BE">
      <w:pPr>
        <w:pStyle w:val="H23G"/>
        <w:keepNext w:val="0"/>
        <w:keepLines w:val="0"/>
        <w:jc w:val="both"/>
      </w:pPr>
      <w:r>
        <w:tab/>
      </w:r>
      <w:r>
        <w:tab/>
        <w:t>Temporary ATP certificates for prototype equipment</w:t>
      </w:r>
    </w:p>
    <w:p w14:paraId="50541390" w14:textId="34FA9F61" w:rsidR="00325160" w:rsidRDefault="00325160" w:rsidP="00325160">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BD04BE">
        <w:t xml:space="preserve">Transfrigoroute International </w:t>
      </w:r>
      <w:r>
        <w:t>(ECE/TRANS/WP.11/2019/</w:t>
      </w:r>
      <w:r w:rsidR="00BD04BE">
        <w:t>23</w:t>
      </w:r>
      <w:r>
        <w:t>).</w:t>
      </w:r>
    </w:p>
    <w:p w14:paraId="2C0E7D60" w14:textId="0D55B3CB" w:rsidR="003A5566" w:rsidRDefault="00BD04BE" w:rsidP="00BD04BE">
      <w:pPr>
        <w:pStyle w:val="H23G"/>
        <w:keepNext w:val="0"/>
        <w:keepLines w:val="0"/>
        <w:jc w:val="both"/>
      </w:pPr>
      <w:r>
        <w:tab/>
      </w:r>
      <w:r>
        <w:tab/>
      </w:r>
      <w:r w:rsidR="007B2FD3" w:rsidRPr="00907C53">
        <w:t>Amendment to ATP with provisions on the establishment of a database of ATP certificates issued by the competent authorities of all contracting parties on the Working Party secretariat</w:t>
      </w:r>
      <w:r w:rsidR="007B2FD3">
        <w:t>’</w:t>
      </w:r>
      <w:r w:rsidR="007B2FD3" w:rsidRPr="00907C53">
        <w:t>s website and provisions that the competent authorities of the contracting parties publish a list of all ATP certificates issued on their websites</w:t>
      </w:r>
    </w:p>
    <w:p w14:paraId="2BDF325D" w14:textId="01296372" w:rsidR="00BD04BE" w:rsidRPr="00BD04BE" w:rsidRDefault="00BD04BE" w:rsidP="00BD04BE">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(ECE/TRANS/WP.11/2019/24).</w:t>
      </w:r>
    </w:p>
    <w:p w14:paraId="1A21A7D9" w14:textId="3F9D90E4" w:rsidR="008066F3" w:rsidRDefault="004C0A10" w:rsidP="00A07948">
      <w:pPr>
        <w:pStyle w:val="H1G"/>
        <w:jc w:val="both"/>
      </w:pPr>
      <w:r>
        <w:tab/>
      </w:r>
      <w:r w:rsidR="00B10405">
        <w:t>6</w:t>
      </w:r>
      <w:r>
        <w:t>.</w:t>
      </w:r>
      <w:r w:rsidR="008066F3">
        <w:tab/>
        <w:t xml:space="preserve">ATP </w:t>
      </w:r>
      <w:r w:rsidR="008066F3" w:rsidRPr="00D86A74">
        <w:t>Handbook</w:t>
      </w:r>
    </w:p>
    <w:p w14:paraId="1830FC1D" w14:textId="77777777" w:rsidR="00B365CB" w:rsidRDefault="00AB5B1B" w:rsidP="00A07948">
      <w:pPr>
        <w:pStyle w:val="SingleTxtG"/>
      </w:pPr>
      <w:r w:rsidRPr="008A340C">
        <w:t xml:space="preserve">The latest version of the ATP Handbook </w:t>
      </w:r>
      <w:r w:rsidR="00B365CB" w:rsidRPr="008A340C">
        <w:t>appears on the Transport Division website in English, French and Russian</w:t>
      </w:r>
      <w:r w:rsidRPr="008A340C">
        <w:t xml:space="preserve"> at the following link:</w:t>
      </w:r>
      <w:r w:rsidR="00B365CB" w:rsidRPr="008A340C">
        <w:t xml:space="preserve"> </w:t>
      </w:r>
      <w:hyperlink r:id="rId13" w:history="1">
        <w:r w:rsidR="00A7771C" w:rsidRPr="00326991">
          <w:rPr>
            <w:rStyle w:val="Hyperlink"/>
          </w:rPr>
          <w:t>http://www.unece.org/trans/main/wp11/atp_handbook.html</w:t>
        </w:r>
      </w:hyperlink>
      <w:r w:rsidR="004F6A2D">
        <w:rPr>
          <w:rStyle w:val="Hyperlink"/>
        </w:rPr>
        <w:t>.</w:t>
      </w:r>
    </w:p>
    <w:p w14:paraId="2A449491" w14:textId="224A51D7" w:rsidR="00A7771C" w:rsidRDefault="00A7771C" w:rsidP="00A07948">
      <w:pPr>
        <w:pStyle w:val="H23G"/>
        <w:jc w:val="both"/>
      </w:pPr>
      <w:r>
        <w:tab/>
      </w:r>
      <w:r>
        <w:tab/>
      </w:r>
      <w:r w:rsidR="00A60DFB" w:rsidRPr="006243AA">
        <w:t>Amendment to Annex 1, Appendix 2, paragraph 3.2.6 and 4.3.4 (ii), Annex 1, Appendix 3 and the ATP Handbook</w:t>
      </w:r>
    </w:p>
    <w:p w14:paraId="240442B6" w14:textId="7AEE1CE6" w:rsidR="00A7771C" w:rsidRDefault="00A7771C" w:rsidP="00A07948">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BA5B03">
        <w:t>the United Kingdom</w:t>
      </w:r>
      <w:r w:rsidR="00FD40E7">
        <w:t xml:space="preserve"> (ECE/TRANS/WP.11/201</w:t>
      </w:r>
      <w:r w:rsidR="00A60DFB">
        <w:t>9</w:t>
      </w:r>
      <w:r w:rsidR="00FD40E7">
        <w:t>/</w:t>
      </w:r>
      <w:r w:rsidR="00A60DFB">
        <w:t>17</w:t>
      </w:r>
      <w:r>
        <w:t>).</w:t>
      </w:r>
    </w:p>
    <w:p w14:paraId="52801742" w14:textId="1ACC4BD4" w:rsidR="00B365CB" w:rsidRPr="006D451A" w:rsidRDefault="004C0A10" w:rsidP="00A07948">
      <w:pPr>
        <w:pStyle w:val="H1G"/>
        <w:jc w:val="both"/>
      </w:pPr>
      <w:r>
        <w:tab/>
      </w:r>
      <w:r w:rsidR="00B10405">
        <w:t>7</w:t>
      </w:r>
      <w:r w:rsidRPr="006D451A">
        <w:t>.</w:t>
      </w:r>
      <w:r w:rsidRPr="006D451A">
        <w:tab/>
      </w:r>
      <w:r w:rsidR="00B365CB" w:rsidRPr="006D451A">
        <w:t>Scope of ATP</w:t>
      </w:r>
    </w:p>
    <w:p w14:paraId="17092256" w14:textId="77777777" w:rsidR="00004E47" w:rsidRPr="006D451A" w:rsidRDefault="006D451A" w:rsidP="00A07948">
      <w:pPr>
        <w:pStyle w:val="SingleTxtG"/>
      </w:pPr>
      <w:r w:rsidRPr="006D451A">
        <w:rPr>
          <w:lang w:val="en-IE"/>
        </w:rPr>
        <w:t xml:space="preserve">The WP.11 may wish to discuss any developments </w:t>
      </w:r>
      <w:r w:rsidR="00067631">
        <w:rPr>
          <w:lang w:val="en-IE"/>
        </w:rPr>
        <w:t>related to the scope of ATP</w:t>
      </w:r>
      <w:r w:rsidRPr="006D451A">
        <w:rPr>
          <w:lang w:val="en-IE"/>
        </w:rPr>
        <w:t xml:space="preserve"> that have a bearing on its work.</w:t>
      </w:r>
    </w:p>
    <w:p w14:paraId="5476EB2C" w14:textId="478E7072" w:rsidR="005604F5" w:rsidRDefault="00567BD5" w:rsidP="00A07948">
      <w:pPr>
        <w:pStyle w:val="SingleTxtG"/>
      </w:pPr>
      <w:r>
        <w:t xml:space="preserve">The </w:t>
      </w:r>
      <w:r w:rsidR="005604F5" w:rsidRPr="006D451A">
        <w:t xml:space="preserve">road map for accession to and implementation of the ATP prepared by the </w:t>
      </w:r>
      <w:proofErr w:type="spellStart"/>
      <w:r w:rsidR="005604F5" w:rsidRPr="006D451A">
        <w:t>EuroMed</w:t>
      </w:r>
      <w:proofErr w:type="spellEnd"/>
      <w:r w:rsidR="005604F5" w:rsidRPr="006D451A">
        <w:t xml:space="preserve"> road, rail and urban transport project with inputs from the secretariat </w:t>
      </w:r>
      <w:r>
        <w:t xml:space="preserve">and the chairs of </w:t>
      </w:r>
      <w:r>
        <w:lastRenderedPageBreak/>
        <w:t xml:space="preserve">WP.11 </w:t>
      </w:r>
      <w:r w:rsidR="008A340C">
        <w:t>has</w:t>
      </w:r>
      <w:r w:rsidR="00CF1323">
        <w:t xml:space="preserve"> been published and can be found at the UNECE website</w:t>
      </w:r>
      <w:r w:rsidR="0031280B">
        <w:t xml:space="preserve">: </w:t>
      </w:r>
      <w:r w:rsidR="0031280B" w:rsidRPr="0031280B">
        <w:t>http://www.unece.org/trans/areas-of-work/transport-of-perishable-foodstuffs/road-map-for-accession-and-implementation-of-atp.html</w:t>
      </w:r>
      <w:r w:rsidR="008A340C">
        <w:t>.</w:t>
      </w:r>
    </w:p>
    <w:p w14:paraId="7128DE15" w14:textId="2A85C50E" w:rsidR="00B365CB" w:rsidRPr="006D451A" w:rsidRDefault="00934EB4" w:rsidP="00A07948">
      <w:pPr>
        <w:pStyle w:val="H1G"/>
        <w:jc w:val="both"/>
      </w:pPr>
      <w:r>
        <w:tab/>
      </w:r>
      <w:r w:rsidR="00B10405">
        <w:t>8</w:t>
      </w:r>
      <w:r w:rsidR="004C0A10" w:rsidRPr="006D451A">
        <w:t>.</w:t>
      </w:r>
      <w:r w:rsidR="00B365CB" w:rsidRPr="006D451A">
        <w:tab/>
        <w:t>Energy labelling, refrigerants and blowing agents</w:t>
      </w:r>
    </w:p>
    <w:p w14:paraId="47DCC96F" w14:textId="77777777" w:rsidR="007A1E62" w:rsidRPr="006D451A" w:rsidRDefault="00C17703" w:rsidP="00A07948">
      <w:pPr>
        <w:pStyle w:val="SingleTxtG"/>
        <w:rPr>
          <w:lang w:val="en-US"/>
        </w:rPr>
      </w:pPr>
      <w:r w:rsidRPr="006D451A">
        <w:rPr>
          <w:lang w:val="en-IE"/>
        </w:rPr>
        <w:t>T</w:t>
      </w:r>
      <w:r w:rsidR="00EF5A9A" w:rsidRPr="006D451A">
        <w:rPr>
          <w:lang w:val="en-IE"/>
        </w:rPr>
        <w:t xml:space="preserve">he WP.11 may wish to </w:t>
      </w:r>
      <w:r w:rsidRPr="006D451A">
        <w:rPr>
          <w:lang w:val="en-IE"/>
        </w:rPr>
        <w:t xml:space="preserve">discuss </w:t>
      </w:r>
      <w:r w:rsidR="00E7174A" w:rsidRPr="006D451A">
        <w:rPr>
          <w:lang w:val="en-IE"/>
        </w:rPr>
        <w:t>any developments in the field of energy labelling, refrigerants and blowing agents that have a bearing on its work.</w:t>
      </w:r>
      <w:r w:rsidR="00573B1A" w:rsidRPr="006D451A">
        <w:rPr>
          <w:lang w:val="en-IE"/>
        </w:rPr>
        <w:t xml:space="preserve"> </w:t>
      </w:r>
    </w:p>
    <w:p w14:paraId="7C288043" w14:textId="68E57709" w:rsidR="00B365CB" w:rsidRPr="004574DE" w:rsidRDefault="004C0A10" w:rsidP="00A07948">
      <w:pPr>
        <w:pStyle w:val="H1G"/>
        <w:jc w:val="both"/>
      </w:pPr>
      <w:r w:rsidRPr="00567BD5">
        <w:tab/>
      </w:r>
      <w:r w:rsidR="00B10405">
        <w:t>9</w:t>
      </w:r>
      <w:r w:rsidRPr="004574DE">
        <w:t>.</w:t>
      </w:r>
      <w:r w:rsidR="00DC78BE" w:rsidRPr="004574DE">
        <w:tab/>
        <w:t>Programme of work and biennial evaluation</w:t>
      </w:r>
    </w:p>
    <w:p w14:paraId="552DFD28" w14:textId="784F4D3E" w:rsidR="00B10405" w:rsidRPr="00B10405" w:rsidRDefault="00B10405" w:rsidP="00A07948">
      <w:pPr>
        <w:pStyle w:val="SingleTxtG"/>
        <w:rPr>
          <w:lang w:val="en-IE"/>
        </w:rPr>
      </w:pPr>
      <w:r>
        <w:rPr>
          <w:lang w:val="en-IE"/>
        </w:rPr>
        <w:t xml:space="preserve">The </w:t>
      </w:r>
      <w:r w:rsidRPr="006D451A">
        <w:rPr>
          <w:lang w:val="en-IE"/>
        </w:rPr>
        <w:t xml:space="preserve">WP.11 may wish to </w:t>
      </w:r>
      <w:r>
        <w:rPr>
          <w:lang w:val="en-IE"/>
        </w:rPr>
        <w:t xml:space="preserve">consider </w:t>
      </w:r>
      <w:r w:rsidRPr="00B10405">
        <w:rPr>
          <w:lang w:val="en-IE"/>
        </w:rPr>
        <w:t xml:space="preserve">decision 61 of </w:t>
      </w:r>
      <w:r>
        <w:rPr>
          <w:lang w:val="en-IE"/>
        </w:rPr>
        <w:t>the eighty-first session of</w:t>
      </w:r>
      <w:r w:rsidRPr="00B10405">
        <w:rPr>
          <w:lang w:val="en-IE"/>
        </w:rPr>
        <w:t xml:space="preserve"> ITC</w:t>
      </w:r>
      <w:r>
        <w:rPr>
          <w:lang w:val="en-IE"/>
        </w:rPr>
        <w:t xml:space="preserve"> (</w:t>
      </w:r>
      <w:r w:rsidRPr="00B10405">
        <w:rPr>
          <w:lang w:val="en-IE"/>
        </w:rPr>
        <w:t>http://www.unece.org/fileadmin/DAM/trans/doc/2019/itc/List_of_Decisions_81st_ITC_Rev5_eng.pdf</w:t>
      </w:r>
      <w:r>
        <w:rPr>
          <w:lang w:val="en-IE"/>
        </w:rPr>
        <w:t>) which reads</w:t>
      </w:r>
      <w:r w:rsidRPr="00B10405">
        <w:rPr>
          <w:lang w:val="en-IE"/>
        </w:rPr>
        <w:t>:</w:t>
      </w:r>
    </w:p>
    <w:p w14:paraId="38CD7B7B" w14:textId="296EE0C8" w:rsidR="007D241D" w:rsidRDefault="00B10405" w:rsidP="00A07948">
      <w:pPr>
        <w:pStyle w:val="SingleTxtG"/>
        <w:rPr>
          <w:lang w:val="en-IE"/>
        </w:rPr>
      </w:pPr>
      <w:r w:rsidRPr="00B10405">
        <w:rPr>
          <w:lang w:val="en-IE"/>
        </w:rPr>
        <w:t>“</w:t>
      </w:r>
      <w:r>
        <w:t>61. Noting that starting in 2020, the annual programme of work of the Committee would replace the equivalent document with biennial coverage, requested the secretariat to discontinue the preparation of programmatic documents with a biennial coverage previously adopted by the Committee, including on evaluation and monitoring, since they will no longer be relevant for the new programmatic cycle;</w:t>
      </w:r>
      <w:r w:rsidRPr="00B10405">
        <w:rPr>
          <w:lang w:val="en-IE"/>
        </w:rPr>
        <w:t>”</w:t>
      </w:r>
    </w:p>
    <w:p w14:paraId="066FCADB" w14:textId="3CF0A8EE" w:rsidR="00B10405" w:rsidRPr="007D241D" w:rsidRDefault="00B10405" w:rsidP="00A07948">
      <w:pPr>
        <w:pStyle w:val="SingleTxtG"/>
      </w:pPr>
      <w:r>
        <w:t xml:space="preserve">The Working Party may decide on whether </w:t>
      </w:r>
      <w:r w:rsidR="003569A6">
        <w:t xml:space="preserve">the secretariat should keep preparing </w:t>
      </w:r>
      <w:r>
        <w:t xml:space="preserve">these documents in the future for internal use of WP.11. </w:t>
      </w:r>
    </w:p>
    <w:p w14:paraId="3E070250" w14:textId="1DB233D9" w:rsidR="00B365CB" w:rsidRPr="00567BD5" w:rsidRDefault="000241A9" w:rsidP="00A07948">
      <w:pPr>
        <w:pStyle w:val="H1G"/>
        <w:jc w:val="both"/>
      </w:pPr>
      <w:r w:rsidRPr="00567BD5">
        <w:tab/>
      </w:r>
      <w:r w:rsidR="00B10405">
        <w:t>10</w:t>
      </w:r>
      <w:r w:rsidRPr="00567BD5">
        <w:t>.</w:t>
      </w:r>
      <w:r w:rsidR="00B365CB" w:rsidRPr="00567BD5">
        <w:tab/>
        <w:t>Election of officers</w:t>
      </w:r>
    </w:p>
    <w:p w14:paraId="2DF08EBB" w14:textId="72B4895F" w:rsidR="00B365CB" w:rsidRPr="00567BD5" w:rsidRDefault="00B365CB" w:rsidP="00A07948">
      <w:pPr>
        <w:pStyle w:val="SingleTxtG"/>
      </w:pPr>
      <w:r w:rsidRPr="00567BD5">
        <w:t>The W</w:t>
      </w:r>
      <w:r w:rsidR="00EF5A9A" w:rsidRPr="00567BD5">
        <w:t>P.11</w:t>
      </w:r>
      <w:r w:rsidRPr="00567BD5">
        <w:t xml:space="preserve"> is expected to elect a Chairman and Vice-Chairm</w:t>
      </w:r>
      <w:r w:rsidR="00EC412C">
        <w:t>e</w:t>
      </w:r>
      <w:r w:rsidRPr="00567BD5">
        <w:t>n for its</w:t>
      </w:r>
      <w:r w:rsidRPr="00567BD5">
        <w:br/>
      </w:r>
      <w:r w:rsidR="00B10405">
        <w:t>sessions</w:t>
      </w:r>
      <w:r w:rsidRPr="00567BD5">
        <w:t xml:space="preserve"> in</w:t>
      </w:r>
      <w:r w:rsidR="000149E9">
        <w:t xml:space="preserve"> </w:t>
      </w:r>
      <w:r w:rsidR="00B10405">
        <w:t>2020</w:t>
      </w:r>
      <w:r w:rsidRPr="00567BD5">
        <w:t>.</w:t>
      </w:r>
    </w:p>
    <w:p w14:paraId="00A06358" w14:textId="1306F534" w:rsidR="00B365CB" w:rsidRPr="00567BD5" w:rsidRDefault="000241A9" w:rsidP="00A07948">
      <w:pPr>
        <w:pStyle w:val="H1G"/>
        <w:jc w:val="both"/>
      </w:pPr>
      <w:r w:rsidRPr="00567BD5">
        <w:tab/>
      </w:r>
      <w:r w:rsidR="00B10405">
        <w:t>11</w:t>
      </w:r>
      <w:r w:rsidRPr="00567BD5">
        <w:t>.</w:t>
      </w:r>
      <w:r w:rsidR="00B365CB" w:rsidRPr="00567BD5">
        <w:tab/>
        <w:t>Other business</w:t>
      </w:r>
    </w:p>
    <w:p w14:paraId="240FDE6B" w14:textId="5145F9C1" w:rsidR="00B365CB" w:rsidRPr="00567BD5" w:rsidRDefault="00D61407" w:rsidP="00A07948">
      <w:pPr>
        <w:pStyle w:val="SingleTxtG"/>
      </w:pPr>
      <w:r w:rsidRPr="00567BD5">
        <w:t>The WP.11 may wish to consider any other business under this item.</w:t>
      </w:r>
    </w:p>
    <w:p w14:paraId="0FD4723C" w14:textId="5D32ECD1" w:rsidR="00B365CB" w:rsidRPr="00567BD5" w:rsidRDefault="007C2C1A" w:rsidP="00A07948">
      <w:pPr>
        <w:pStyle w:val="H23G"/>
        <w:jc w:val="both"/>
      </w:pPr>
      <w:r w:rsidRPr="00567BD5">
        <w:tab/>
      </w:r>
      <w:r w:rsidR="008C0902" w:rsidRPr="00567BD5">
        <w:tab/>
      </w:r>
      <w:r w:rsidR="00B365CB" w:rsidRPr="00567BD5">
        <w:t>Date</w:t>
      </w:r>
      <w:r w:rsidR="004D5C43" w:rsidRPr="00567BD5">
        <w:t>s</w:t>
      </w:r>
      <w:r w:rsidR="00B365CB" w:rsidRPr="00567BD5">
        <w:t xml:space="preserve"> of the s</w:t>
      </w:r>
      <w:r w:rsidR="00D70230" w:rsidRPr="00567BD5">
        <w:t>event</w:t>
      </w:r>
      <w:r w:rsidR="00543644" w:rsidRPr="00567BD5">
        <w:t>y-</w:t>
      </w:r>
      <w:r w:rsidR="00EC412C">
        <w:t>sixth</w:t>
      </w:r>
      <w:r w:rsidR="00EC412C" w:rsidRPr="00567BD5">
        <w:t xml:space="preserve"> </w:t>
      </w:r>
      <w:r w:rsidR="00B365CB" w:rsidRPr="00567BD5">
        <w:t>session</w:t>
      </w:r>
    </w:p>
    <w:p w14:paraId="642F3216" w14:textId="47688295" w:rsidR="00B365CB" w:rsidRDefault="00EC412C" w:rsidP="00A07948">
      <w:pPr>
        <w:pStyle w:val="SingleTxtG"/>
      </w:pPr>
      <w:r w:rsidRPr="006A6731">
        <w:t xml:space="preserve">The dates of </w:t>
      </w:r>
      <w:r w:rsidR="006A6731" w:rsidRPr="006A6731">
        <w:t>6-9</w:t>
      </w:r>
      <w:r w:rsidRPr="006A6731">
        <w:t xml:space="preserve"> April 2020 (Monday to Thursday) have been reserved for the seventy-sixth session of WP.11.</w:t>
      </w:r>
    </w:p>
    <w:p w14:paraId="54726590" w14:textId="14014726" w:rsidR="00EC412C" w:rsidRPr="00567BD5" w:rsidRDefault="00EC412C" w:rsidP="00A07948">
      <w:pPr>
        <w:pStyle w:val="H23G"/>
        <w:jc w:val="both"/>
      </w:pPr>
      <w:r w:rsidRPr="00567BD5">
        <w:tab/>
      </w:r>
      <w:r w:rsidRPr="00567BD5">
        <w:tab/>
        <w:t>Dates of the seventy-</w:t>
      </w:r>
      <w:r>
        <w:t>seventh</w:t>
      </w:r>
      <w:r w:rsidRPr="00567BD5">
        <w:t xml:space="preserve"> session</w:t>
      </w:r>
    </w:p>
    <w:p w14:paraId="6B6D2006" w14:textId="7830078A" w:rsidR="00EC412C" w:rsidRPr="00567BD5" w:rsidRDefault="00EC412C" w:rsidP="00A07948">
      <w:pPr>
        <w:pStyle w:val="SingleTxtG"/>
      </w:pPr>
      <w:r w:rsidRPr="00567BD5">
        <w:t xml:space="preserve">The dates of </w:t>
      </w:r>
      <w:r>
        <w:t>13-16</w:t>
      </w:r>
      <w:r w:rsidRPr="00567BD5">
        <w:t xml:space="preserve"> October 20</w:t>
      </w:r>
      <w:r>
        <w:t>20</w:t>
      </w:r>
      <w:r w:rsidRPr="00567BD5">
        <w:t xml:space="preserve"> (Tuesday to Friday) have been reserved for the seventy-</w:t>
      </w:r>
      <w:bookmarkStart w:id="0" w:name="_GoBack"/>
      <w:bookmarkEnd w:id="0"/>
      <w:r>
        <w:t>seventh</w:t>
      </w:r>
      <w:r w:rsidRPr="00567BD5">
        <w:t xml:space="preserve"> session of WP.11.</w:t>
      </w:r>
    </w:p>
    <w:p w14:paraId="01A166BA" w14:textId="659E386F" w:rsidR="00B365CB" w:rsidRPr="00567BD5" w:rsidRDefault="000241A9" w:rsidP="00A07948">
      <w:pPr>
        <w:pStyle w:val="H1G"/>
        <w:jc w:val="both"/>
      </w:pPr>
      <w:r w:rsidRPr="00567BD5">
        <w:tab/>
      </w:r>
      <w:r w:rsidR="00B10405">
        <w:t>12</w:t>
      </w:r>
      <w:r w:rsidR="003D58D8" w:rsidRPr="00567BD5">
        <w:t>.</w:t>
      </w:r>
      <w:r w:rsidRPr="00567BD5">
        <w:tab/>
      </w:r>
      <w:r w:rsidR="00B365CB" w:rsidRPr="00567BD5">
        <w:t>Adoption of the report</w:t>
      </w:r>
    </w:p>
    <w:p w14:paraId="076049A6" w14:textId="121300C5" w:rsidR="006B3FFD" w:rsidRDefault="00B365CB" w:rsidP="001C6714">
      <w:pPr>
        <w:pStyle w:val="SingleTxtG"/>
      </w:pPr>
      <w:r w:rsidRPr="00567BD5">
        <w:t>The W</w:t>
      </w:r>
      <w:r w:rsidR="00EF5A9A" w:rsidRPr="00567BD5">
        <w:t>P.11</w:t>
      </w:r>
      <w:r w:rsidRPr="00567BD5">
        <w:t xml:space="preserve"> is expected to adopt the report on its s</w:t>
      </w:r>
      <w:r w:rsidR="00543644" w:rsidRPr="00567BD5">
        <w:t>event</w:t>
      </w:r>
      <w:r w:rsidR="005C4C87" w:rsidRPr="00567BD5">
        <w:t>y-</w:t>
      </w:r>
      <w:r w:rsidR="003569A6">
        <w:t>fifth</w:t>
      </w:r>
      <w:r w:rsidR="003569A6" w:rsidRPr="00567BD5">
        <w:t xml:space="preserve"> </w:t>
      </w:r>
      <w:r w:rsidRPr="00567BD5">
        <w:t>session based on a draft prepared by the secretariat.</w:t>
      </w:r>
    </w:p>
    <w:p w14:paraId="7E1138F7" w14:textId="75C34CCB" w:rsidR="001C6714" w:rsidRPr="001C6714" w:rsidRDefault="001C6714" w:rsidP="001C6714">
      <w:pPr>
        <w:spacing w:before="240"/>
        <w:jc w:val="center"/>
        <w:rPr>
          <w:u w:val="single"/>
        </w:rPr>
      </w:pPr>
      <w:r>
        <w:rPr>
          <w:u w:val="single"/>
        </w:rPr>
        <w:tab/>
      </w:r>
      <w:r>
        <w:rPr>
          <w:u w:val="single"/>
        </w:rPr>
        <w:tab/>
      </w:r>
      <w:r>
        <w:rPr>
          <w:u w:val="single"/>
        </w:rPr>
        <w:tab/>
      </w:r>
    </w:p>
    <w:sectPr w:rsidR="001C6714" w:rsidRPr="001C6714" w:rsidSect="00BD2F7F">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2DF0" w14:textId="77777777" w:rsidR="00332668" w:rsidRDefault="00332668"/>
  </w:endnote>
  <w:endnote w:type="continuationSeparator" w:id="0">
    <w:p w14:paraId="6215D696" w14:textId="77777777" w:rsidR="00332668" w:rsidRDefault="00332668"/>
  </w:endnote>
  <w:endnote w:type="continuationNotice" w:id="1">
    <w:p w14:paraId="04D452AA" w14:textId="77777777" w:rsidR="00332668" w:rsidRDefault="00332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16C0" w14:textId="5DC88A36"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FA0913">
      <w:rPr>
        <w:b/>
        <w:noProof/>
        <w:sz w:val="18"/>
      </w:rPr>
      <w:t>6</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747A" w14:textId="3360667B"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FA0913">
      <w:rPr>
        <w:b/>
        <w:noProof/>
        <w:sz w:val="18"/>
      </w:rPr>
      <w:t>7</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CD6D" w14:textId="77777777" w:rsidR="00332668" w:rsidRPr="000B175B" w:rsidRDefault="00332668" w:rsidP="000B175B">
      <w:pPr>
        <w:tabs>
          <w:tab w:val="right" w:pos="2155"/>
        </w:tabs>
        <w:spacing w:after="80"/>
        <w:ind w:left="680"/>
        <w:rPr>
          <w:u w:val="single"/>
        </w:rPr>
      </w:pPr>
      <w:r>
        <w:rPr>
          <w:u w:val="single"/>
        </w:rPr>
        <w:tab/>
      </w:r>
    </w:p>
  </w:footnote>
  <w:footnote w:type="continuationSeparator" w:id="0">
    <w:p w14:paraId="1D581B95" w14:textId="77777777" w:rsidR="00332668" w:rsidRPr="00FC68B7" w:rsidRDefault="00332668" w:rsidP="00FC68B7">
      <w:pPr>
        <w:tabs>
          <w:tab w:val="left" w:pos="2155"/>
        </w:tabs>
        <w:spacing w:after="80"/>
        <w:ind w:left="680"/>
        <w:rPr>
          <w:u w:val="single"/>
        </w:rPr>
      </w:pPr>
      <w:r>
        <w:rPr>
          <w:u w:val="single"/>
        </w:rPr>
        <w:tab/>
      </w:r>
    </w:p>
  </w:footnote>
  <w:footnote w:type="continuationNotice" w:id="1">
    <w:p w14:paraId="64A4EE3F" w14:textId="77777777" w:rsidR="00332668" w:rsidRDefault="00332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AA8A" w14:textId="0AFFD904" w:rsidR="00406ACC" w:rsidRPr="003C3DEF" w:rsidRDefault="003C3DEF">
    <w:pPr>
      <w:pStyle w:val="Header"/>
      <w:rPr>
        <w:lang w:val="fr-CH"/>
      </w:rPr>
    </w:pPr>
    <w:r>
      <w:rPr>
        <w:lang w:val="fr-CH"/>
      </w:rPr>
      <w:t>INF.1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3D7D" w14:textId="4EB78C7F" w:rsidR="00406ACC" w:rsidRPr="003C3DEF" w:rsidRDefault="003C3DEF" w:rsidP="00D03F3E">
    <w:pPr>
      <w:pStyle w:val="Header"/>
      <w:jc w:val="right"/>
      <w:rPr>
        <w:lang w:val="fr-CH"/>
      </w:rPr>
    </w:pPr>
    <w:r>
      <w:rPr>
        <w:lang w:val="fr-CH"/>
      </w:rPr>
      <w:t>INF.1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8"/>
  </w:num>
  <w:num w:numId="16">
    <w:abstractNumId w:val="19"/>
  </w:num>
  <w:num w:numId="17">
    <w:abstractNumId w:val="14"/>
  </w:num>
  <w:num w:numId="18">
    <w:abstractNumId w:val="1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18F0"/>
    <w:rsid w:val="000037F0"/>
    <w:rsid w:val="00004E47"/>
    <w:rsid w:val="00005769"/>
    <w:rsid w:val="00012CA6"/>
    <w:rsid w:val="000149E9"/>
    <w:rsid w:val="0001793A"/>
    <w:rsid w:val="00020E82"/>
    <w:rsid w:val="00020FD3"/>
    <w:rsid w:val="000216E0"/>
    <w:rsid w:val="00022D6E"/>
    <w:rsid w:val="00022E06"/>
    <w:rsid w:val="000241A9"/>
    <w:rsid w:val="00024675"/>
    <w:rsid w:val="00024DBC"/>
    <w:rsid w:val="00025A16"/>
    <w:rsid w:val="00025D2F"/>
    <w:rsid w:val="00030B9B"/>
    <w:rsid w:val="00030D2E"/>
    <w:rsid w:val="00031642"/>
    <w:rsid w:val="00041F10"/>
    <w:rsid w:val="00046B1F"/>
    <w:rsid w:val="00047DC3"/>
    <w:rsid w:val="00047F7D"/>
    <w:rsid w:val="00050C15"/>
    <w:rsid w:val="00050F6B"/>
    <w:rsid w:val="00055E6D"/>
    <w:rsid w:val="00057E97"/>
    <w:rsid w:val="00060C79"/>
    <w:rsid w:val="00061EAD"/>
    <w:rsid w:val="000620BB"/>
    <w:rsid w:val="00062908"/>
    <w:rsid w:val="00067631"/>
    <w:rsid w:val="00072C8C"/>
    <w:rsid w:val="00072D51"/>
    <w:rsid w:val="000733B5"/>
    <w:rsid w:val="00075772"/>
    <w:rsid w:val="00081815"/>
    <w:rsid w:val="00082024"/>
    <w:rsid w:val="00084F4B"/>
    <w:rsid w:val="00086848"/>
    <w:rsid w:val="00091903"/>
    <w:rsid w:val="000931C0"/>
    <w:rsid w:val="00095911"/>
    <w:rsid w:val="000A1114"/>
    <w:rsid w:val="000A1488"/>
    <w:rsid w:val="000A4A14"/>
    <w:rsid w:val="000A54E7"/>
    <w:rsid w:val="000A746B"/>
    <w:rsid w:val="000B0595"/>
    <w:rsid w:val="000B175B"/>
    <w:rsid w:val="000B2F52"/>
    <w:rsid w:val="000B3A0F"/>
    <w:rsid w:val="000B4EF7"/>
    <w:rsid w:val="000B6A35"/>
    <w:rsid w:val="000B7F31"/>
    <w:rsid w:val="000C0296"/>
    <w:rsid w:val="000C1C06"/>
    <w:rsid w:val="000C2890"/>
    <w:rsid w:val="000C2C03"/>
    <w:rsid w:val="000C2D2E"/>
    <w:rsid w:val="000C2F06"/>
    <w:rsid w:val="000C40CE"/>
    <w:rsid w:val="000C532D"/>
    <w:rsid w:val="000D0C0C"/>
    <w:rsid w:val="000D1572"/>
    <w:rsid w:val="000D29DD"/>
    <w:rsid w:val="000D66A6"/>
    <w:rsid w:val="000D708A"/>
    <w:rsid w:val="000E0415"/>
    <w:rsid w:val="000E06B3"/>
    <w:rsid w:val="000E0B8A"/>
    <w:rsid w:val="000E114E"/>
    <w:rsid w:val="000E6709"/>
    <w:rsid w:val="000F0FB8"/>
    <w:rsid w:val="000F1D28"/>
    <w:rsid w:val="000F69BA"/>
    <w:rsid w:val="0010137F"/>
    <w:rsid w:val="001014AA"/>
    <w:rsid w:val="00106110"/>
    <w:rsid w:val="001103AA"/>
    <w:rsid w:val="00112CA9"/>
    <w:rsid w:val="00114F16"/>
    <w:rsid w:val="00116117"/>
    <w:rsid w:val="0011666B"/>
    <w:rsid w:val="00117835"/>
    <w:rsid w:val="00120A27"/>
    <w:rsid w:val="001212D8"/>
    <w:rsid w:val="00122F55"/>
    <w:rsid w:val="00124583"/>
    <w:rsid w:val="001311D6"/>
    <w:rsid w:val="001322D2"/>
    <w:rsid w:val="00133CC8"/>
    <w:rsid w:val="00137A3D"/>
    <w:rsid w:val="001405B1"/>
    <w:rsid w:val="001422CA"/>
    <w:rsid w:val="00146C99"/>
    <w:rsid w:val="00147248"/>
    <w:rsid w:val="001513E0"/>
    <w:rsid w:val="0015387D"/>
    <w:rsid w:val="00156C1F"/>
    <w:rsid w:val="00162680"/>
    <w:rsid w:val="00162827"/>
    <w:rsid w:val="001659FA"/>
    <w:rsid w:val="00165F3A"/>
    <w:rsid w:val="001718E3"/>
    <w:rsid w:val="00171D8C"/>
    <w:rsid w:val="0017296C"/>
    <w:rsid w:val="001752B3"/>
    <w:rsid w:val="0017595C"/>
    <w:rsid w:val="00177D20"/>
    <w:rsid w:val="001829E7"/>
    <w:rsid w:val="00182F50"/>
    <w:rsid w:val="00183536"/>
    <w:rsid w:val="00184972"/>
    <w:rsid w:val="00184B17"/>
    <w:rsid w:val="00185C24"/>
    <w:rsid w:val="00190C05"/>
    <w:rsid w:val="00191D33"/>
    <w:rsid w:val="001921F0"/>
    <w:rsid w:val="001927DB"/>
    <w:rsid w:val="00192D87"/>
    <w:rsid w:val="001934FB"/>
    <w:rsid w:val="00196E7F"/>
    <w:rsid w:val="001A0181"/>
    <w:rsid w:val="001A3ECB"/>
    <w:rsid w:val="001A4B0B"/>
    <w:rsid w:val="001A651D"/>
    <w:rsid w:val="001A6FC7"/>
    <w:rsid w:val="001B15D3"/>
    <w:rsid w:val="001B328C"/>
    <w:rsid w:val="001B4B04"/>
    <w:rsid w:val="001B7CC7"/>
    <w:rsid w:val="001C0F1F"/>
    <w:rsid w:val="001C1095"/>
    <w:rsid w:val="001C6663"/>
    <w:rsid w:val="001C6714"/>
    <w:rsid w:val="001C7895"/>
    <w:rsid w:val="001D0C8C"/>
    <w:rsid w:val="001D1419"/>
    <w:rsid w:val="001D25CB"/>
    <w:rsid w:val="001D26DF"/>
    <w:rsid w:val="001D3A03"/>
    <w:rsid w:val="001D4264"/>
    <w:rsid w:val="001D7539"/>
    <w:rsid w:val="001E10EC"/>
    <w:rsid w:val="001E27B2"/>
    <w:rsid w:val="001E3B3B"/>
    <w:rsid w:val="001E4940"/>
    <w:rsid w:val="001E518C"/>
    <w:rsid w:val="001E5513"/>
    <w:rsid w:val="001E6AE1"/>
    <w:rsid w:val="001E6D4C"/>
    <w:rsid w:val="001E7B67"/>
    <w:rsid w:val="001F0093"/>
    <w:rsid w:val="001F04FD"/>
    <w:rsid w:val="001F2B3D"/>
    <w:rsid w:val="001F4CE4"/>
    <w:rsid w:val="001F5030"/>
    <w:rsid w:val="00202630"/>
    <w:rsid w:val="00202DA8"/>
    <w:rsid w:val="00202DB3"/>
    <w:rsid w:val="00211E0B"/>
    <w:rsid w:val="0021364D"/>
    <w:rsid w:val="0021612E"/>
    <w:rsid w:val="002217DD"/>
    <w:rsid w:val="00222070"/>
    <w:rsid w:val="00224F1D"/>
    <w:rsid w:val="002257C9"/>
    <w:rsid w:val="00230D7B"/>
    <w:rsid w:val="002357D8"/>
    <w:rsid w:val="00235B68"/>
    <w:rsid w:val="0024772E"/>
    <w:rsid w:val="002605EF"/>
    <w:rsid w:val="00261E56"/>
    <w:rsid w:val="0026285E"/>
    <w:rsid w:val="00262BF9"/>
    <w:rsid w:val="0026311A"/>
    <w:rsid w:val="00267318"/>
    <w:rsid w:val="00267F5F"/>
    <w:rsid w:val="00270944"/>
    <w:rsid w:val="00272064"/>
    <w:rsid w:val="002731A1"/>
    <w:rsid w:val="00276633"/>
    <w:rsid w:val="002778C6"/>
    <w:rsid w:val="00282AE8"/>
    <w:rsid w:val="002848A3"/>
    <w:rsid w:val="00284D5D"/>
    <w:rsid w:val="00285B24"/>
    <w:rsid w:val="00286B4D"/>
    <w:rsid w:val="0028772E"/>
    <w:rsid w:val="0029026F"/>
    <w:rsid w:val="00292332"/>
    <w:rsid w:val="00292C7D"/>
    <w:rsid w:val="0029434E"/>
    <w:rsid w:val="00296AB7"/>
    <w:rsid w:val="002974D5"/>
    <w:rsid w:val="002A2358"/>
    <w:rsid w:val="002A27B1"/>
    <w:rsid w:val="002A2CCC"/>
    <w:rsid w:val="002B537D"/>
    <w:rsid w:val="002B5864"/>
    <w:rsid w:val="002C2778"/>
    <w:rsid w:val="002C2CC0"/>
    <w:rsid w:val="002C5212"/>
    <w:rsid w:val="002C66C1"/>
    <w:rsid w:val="002D25F3"/>
    <w:rsid w:val="002D4643"/>
    <w:rsid w:val="002D6383"/>
    <w:rsid w:val="002E11B3"/>
    <w:rsid w:val="002E19CD"/>
    <w:rsid w:val="002E7924"/>
    <w:rsid w:val="002F0238"/>
    <w:rsid w:val="002F175C"/>
    <w:rsid w:val="00302E18"/>
    <w:rsid w:val="003056F3"/>
    <w:rsid w:val="003066A4"/>
    <w:rsid w:val="0031280B"/>
    <w:rsid w:val="003168A4"/>
    <w:rsid w:val="003229D8"/>
    <w:rsid w:val="00322E64"/>
    <w:rsid w:val="003232F7"/>
    <w:rsid w:val="00325160"/>
    <w:rsid w:val="003261E8"/>
    <w:rsid w:val="00326C8A"/>
    <w:rsid w:val="003324EC"/>
    <w:rsid w:val="00332668"/>
    <w:rsid w:val="00336C1F"/>
    <w:rsid w:val="00344EC6"/>
    <w:rsid w:val="00347D55"/>
    <w:rsid w:val="003514A4"/>
    <w:rsid w:val="003518C9"/>
    <w:rsid w:val="00352709"/>
    <w:rsid w:val="00354803"/>
    <w:rsid w:val="0035483E"/>
    <w:rsid w:val="003569A6"/>
    <w:rsid w:val="00357B1F"/>
    <w:rsid w:val="003608AA"/>
    <w:rsid w:val="003619B5"/>
    <w:rsid w:val="00361E54"/>
    <w:rsid w:val="003631EB"/>
    <w:rsid w:val="003644B3"/>
    <w:rsid w:val="00365763"/>
    <w:rsid w:val="0036690F"/>
    <w:rsid w:val="00371178"/>
    <w:rsid w:val="0037304E"/>
    <w:rsid w:val="0037672B"/>
    <w:rsid w:val="003827F5"/>
    <w:rsid w:val="00382A35"/>
    <w:rsid w:val="003835E1"/>
    <w:rsid w:val="00390A39"/>
    <w:rsid w:val="003916EF"/>
    <w:rsid w:val="00391B41"/>
    <w:rsid w:val="00392E47"/>
    <w:rsid w:val="0039314D"/>
    <w:rsid w:val="00394F2A"/>
    <w:rsid w:val="003A3467"/>
    <w:rsid w:val="003A3A0E"/>
    <w:rsid w:val="003A3BD0"/>
    <w:rsid w:val="003A4E67"/>
    <w:rsid w:val="003A5566"/>
    <w:rsid w:val="003A570C"/>
    <w:rsid w:val="003A5E25"/>
    <w:rsid w:val="003A6810"/>
    <w:rsid w:val="003B1A60"/>
    <w:rsid w:val="003B3856"/>
    <w:rsid w:val="003B4F60"/>
    <w:rsid w:val="003B5B01"/>
    <w:rsid w:val="003B712D"/>
    <w:rsid w:val="003C0ED6"/>
    <w:rsid w:val="003C1864"/>
    <w:rsid w:val="003C2CC4"/>
    <w:rsid w:val="003C3DEF"/>
    <w:rsid w:val="003C598D"/>
    <w:rsid w:val="003C7FAD"/>
    <w:rsid w:val="003D4B23"/>
    <w:rsid w:val="003D58D8"/>
    <w:rsid w:val="003E0D7D"/>
    <w:rsid w:val="003E1FD7"/>
    <w:rsid w:val="003E5B75"/>
    <w:rsid w:val="003E6C3C"/>
    <w:rsid w:val="003E7CE5"/>
    <w:rsid w:val="003F0F2A"/>
    <w:rsid w:val="003F1456"/>
    <w:rsid w:val="003F2D86"/>
    <w:rsid w:val="003F37EC"/>
    <w:rsid w:val="003F4624"/>
    <w:rsid w:val="003F4AE5"/>
    <w:rsid w:val="003F4D6C"/>
    <w:rsid w:val="004019BC"/>
    <w:rsid w:val="00405A4E"/>
    <w:rsid w:val="00406ACC"/>
    <w:rsid w:val="00410344"/>
    <w:rsid w:val="00410C89"/>
    <w:rsid w:val="00414A4F"/>
    <w:rsid w:val="00414A85"/>
    <w:rsid w:val="00415C6D"/>
    <w:rsid w:val="00422E03"/>
    <w:rsid w:val="004233F1"/>
    <w:rsid w:val="00423E6A"/>
    <w:rsid w:val="0042521C"/>
    <w:rsid w:val="004265B4"/>
    <w:rsid w:val="0042671E"/>
    <w:rsid w:val="00426B9B"/>
    <w:rsid w:val="00431315"/>
    <w:rsid w:val="004325CB"/>
    <w:rsid w:val="004339D4"/>
    <w:rsid w:val="00435250"/>
    <w:rsid w:val="00442A83"/>
    <w:rsid w:val="004448C4"/>
    <w:rsid w:val="004478D2"/>
    <w:rsid w:val="00447DDA"/>
    <w:rsid w:val="00452A11"/>
    <w:rsid w:val="00454760"/>
    <w:rsid w:val="0045495B"/>
    <w:rsid w:val="004551AC"/>
    <w:rsid w:val="00456915"/>
    <w:rsid w:val="004574DE"/>
    <w:rsid w:val="004615A3"/>
    <w:rsid w:val="004663A4"/>
    <w:rsid w:val="00472447"/>
    <w:rsid w:val="00474E33"/>
    <w:rsid w:val="0047699E"/>
    <w:rsid w:val="004775ED"/>
    <w:rsid w:val="0048397A"/>
    <w:rsid w:val="00485CBB"/>
    <w:rsid w:val="0048654F"/>
    <w:rsid w:val="004866B7"/>
    <w:rsid w:val="004869C0"/>
    <w:rsid w:val="004917E8"/>
    <w:rsid w:val="00493B44"/>
    <w:rsid w:val="004957EF"/>
    <w:rsid w:val="004A1E9C"/>
    <w:rsid w:val="004A3C30"/>
    <w:rsid w:val="004B0DC3"/>
    <w:rsid w:val="004B1E32"/>
    <w:rsid w:val="004B480B"/>
    <w:rsid w:val="004B4A38"/>
    <w:rsid w:val="004B5F36"/>
    <w:rsid w:val="004B61FE"/>
    <w:rsid w:val="004C0276"/>
    <w:rsid w:val="004C0A10"/>
    <w:rsid w:val="004C2461"/>
    <w:rsid w:val="004C7462"/>
    <w:rsid w:val="004C7C35"/>
    <w:rsid w:val="004D5517"/>
    <w:rsid w:val="004D5C43"/>
    <w:rsid w:val="004D64DA"/>
    <w:rsid w:val="004D7AED"/>
    <w:rsid w:val="004E7007"/>
    <w:rsid w:val="004E77B2"/>
    <w:rsid w:val="004F05E8"/>
    <w:rsid w:val="004F0603"/>
    <w:rsid w:val="004F4DFA"/>
    <w:rsid w:val="004F6891"/>
    <w:rsid w:val="004F6A2D"/>
    <w:rsid w:val="004F73BD"/>
    <w:rsid w:val="00504B2D"/>
    <w:rsid w:val="00513010"/>
    <w:rsid w:val="00514DEB"/>
    <w:rsid w:val="00521022"/>
    <w:rsid w:val="00521079"/>
    <w:rsid w:val="0052136D"/>
    <w:rsid w:val="0052231B"/>
    <w:rsid w:val="00522FA1"/>
    <w:rsid w:val="0052520D"/>
    <w:rsid w:val="00526723"/>
    <w:rsid w:val="0052775E"/>
    <w:rsid w:val="00536010"/>
    <w:rsid w:val="005420F2"/>
    <w:rsid w:val="00542A36"/>
    <w:rsid w:val="00543644"/>
    <w:rsid w:val="00543D6F"/>
    <w:rsid w:val="00552586"/>
    <w:rsid w:val="005604F5"/>
    <w:rsid w:val="00560654"/>
    <w:rsid w:val="005628B6"/>
    <w:rsid w:val="00565C84"/>
    <w:rsid w:val="0056600D"/>
    <w:rsid w:val="00567BD5"/>
    <w:rsid w:val="00573B1A"/>
    <w:rsid w:val="0057412C"/>
    <w:rsid w:val="005824F2"/>
    <w:rsid w:val="00582AD2"/>
    <w:rsid w:val="005837CA"/>
    <w:rsid w:val="00585D83"/>
    <w:rsid w:val="005872B9"/>
    <w:rsid w:val="00592D41"/>
    <w:rsid w:val="005941EC"/>
    <w:rsid w:val="00596D11"/>
    <w:rsid w:val="0059724D"/>
    <w:rsid w:val="005A1B42"/>
    <w:rsid w:val="005A2CFE"/>
    <w:rsid w:val="005A4918"/>
    <w:rsid w:val="005A4B27"/>
    <w:rsid w:val="005A5F33"/>
    <w:rsid w:val="005B20A0"/>
    <w:rsid w:val="005B3DB3"/>
    <w:rsid w:val="005B4E13"/>
    <w:rsid w:val="005B57C6"/>
    <w:rsid w:val="005C342F"/>
    <w:rsid w:val="005C401C"/>
    <w:rsid w:val="005C4C6B"/>
    <w:rsid w:val="005C4C87"/>
    <w:rsid w:val="005C7247"/>
    <w:rsid w:val="005D083C"/>
    <w:rsid w:val="005D413A"/>
    <w:rsid w:val="005D7615"/>
    <w:rsid w:val="005D7A81"/>
    <w:rsid w:val="005E0484"/>
    <w:rsid w:val="005E16FF"/>
    <w:rsid w:val="005E34E3"/>
    <w:rsid w:val="005E4D4A"/>
    <w:rsid w:val="005E7DB1"/>
    <w:rsid w:val="005F2B44"/>
    <w:rsid w:val="005F647E"/>
    <w:rsid w:val="005F7B75"/>
    <w:rsid w:val="006001EE"/>
    <w:rsid w:val="00604AD8"/>
    <w:rsid w:val="00605042"/>
    <w:rsid w:val="00610F7F"/>
    <w:rsid w:val="00610FBC"/>
    <w:rsid w:val="006114B5"/>
    <w:rsid w:val="00611FC4"/>
    <w:rsid w:val="0061239C"/>
    <w:rsid w:val="006148AD"/>
    <w:rsid w:val="006176FB"/>
    <w:rsid w:val="00627872"/>
    <w:rsid w:val="006312D7"/>
    <w:rsid w:val="0063254E"/>
    <w:rsid w:val="0063431D"/>
    <w:rsid w:val="006349C5"/>
    <w:rsid w:val="00640B26"/>
    <w:rsid w:val="006421AC"/>
    <w:rsid w:val="00642652"/>
    <w:rsid w:val="00644283"/>
    <w:rsid w:val="0064555B"/>
    <w:rsid w:val="00645835"/>
    <w:rsid w:val="00647AE3"/>
    <w:rsid w:val="0065086E"/>
    <w:rsid w:val="00652D0A"/>
    <w:rsid w:val="006603B7"/>
    <w:rsid w:val="00662BB6"/>
    <w:rsid w:val="00676606"/>
    <w:rsid w:val="00684910"/>
    <w:rsid w:val="00684C21"/>
    <w:rsid w:val="006857F4"/>
    <w:rsid w:val="00685CCE"/>
    <w:rsid w:val="00692692"/>
    <w:rsid w:val="00696132"/>
    <w:rsid w:val="006A1AE9"/>
    <w:rsid w:val="006A2530"/>
    <w:rsid w:val="006A5BB3"/>
    <w:rsid w:val="006A6731"/>
    <w:rsid w:val="006B107A"/>
    <w:rsid w:val="006B2E43"/>
    <w:rsid w:val="006B3FFD"/>
    <w:rsid w:val="006B6921"/>
    <w:rsid w:val="006B76AD"/>
    <w:rsid w:val="006C2520"/>
    <w:rsid w:val="006C3589"/>
    <w:rsid w:val="006C463B"/>
    <w:rsid w:val="006C62BD"/>
    <w:rsid w:val="006D13C9"/>
    <w:rsid w:val="006D37AF"/>
    <w:rsid w:val="006D451A"/>
    <w:rsid w:val="006D51D0"/>
    <w:rsid w:val="006D5FB9"/>
    <w:rsid w:val="006D6648"/>
    <w:rsid w:val="006E54F0"/>
    <w:rsid w:val="006E564B"/>
    <w:rsid w:val="006E5980"/>
    <w:rsid w:val="006E7191"/>
    <w:rsid w:val="006F25BC"/>
    <w:rsid w:val="006F2E27"/>
    <w:rsid w:val="006F3AEC"/>
    <w:rsid w:val="006F42B8"/>
    <w:rsid w:val="006F549C"/>
    <w:rsid w:val="006F5941"/>
    <w:rsid w:val="0070025C"/>
    <w:rsid w:val="007002AB"/>
    <w:rsid w:val="00703261"/>
    <w:rsid w:val="007032BA"/>
    <w:rsid w:val="00703577"/>
    <w:rsid w:val="00705327"/>
    <w:rsid w:val="00705894"/>
    <w:rsid w:val="00706E9A"/>
    <w:rsid w:val="00716A7B"/>
    <w:rsid w:val="00716D1F"/>
    <w:rsid w:val="00720051"/>
    <w:rsid w:val="00724080"/>
    <w:rsid w:val="0072632A"/>
    <w:rsid w:val="007314B8"/>
    <w:rsid w:val="007327D5"/>
    <w:rsid w:val="007366F9"/>
    <w:rsid w:val="00737E6A"/>
    <w:rsid w:val="00740A65"/>
    <w:rsid w:val="00745172"/>
    <w:rsid w:val="00746D53"/>
    <w:rsid w:val="0074734F"/>
    <w:rsid w:val="00755E70"/>
    <w:rsid w:val="0075660B"/>
    <w:rsid w:val="007604B1"/>
    <w:rsid w:val="00760940"/>
    <w:rsid w:val="00762564"/>
    <w:rsid w:val="007629C8"/>
    <w:rsid w:val="00764548"/>
    <w:rsid w:val="00764A8C"/>
    <w:rsid w:val="00766488"/>
    <w:rsid w:val="0077047D"/>
    <w:rsid w:val="00780C54"/>
    <w:rsid w:val="007846B7"/>
    <w:rsid w:val="00786FBB"/>
    <w:rsid w:val="00790586"/>
    <w:rsid w:val="00790B9E"/>
    <w:rsid w:val="00796796"/>
    <w:rsid w:val="007979B0"/>
    <w:rsid w:val="007A1E62"/>
    <w:rsid w:val="007A4D1F"/>
    <w:rsid w:val="007A5A39"/>
    <w:rsid w:val="007A5AD7"/>
    <w:rsid w:val="007A7D48"/>
    <w:rsid w:val="007B2FD3"/>
    <w:rsid w:val="007B3A96"/>
    <w:rsid w:val="007B4914"/>
    <w:rsid w:val="007B5B6C"/>
    <w:rsid w:val="007B6BA5"/>
    <w:rsid w:val="007C0004"/>
    <w:rsid w:val="007C2C00"/>
    <w:rsid w:val="007C2C1A"/>
    <w:rsid w:val="007C3390"/>
    <w:rsid w:val="007C4F4B"/>
    <w:rsid w:val="007C527D"/>
    <w:rsid w:val="007D1F60"/>
    <w:rsid w:val="007D22F7"/>
    <w:rsid w:val="007D241D"/>
    <w:rsid w:val="007D7FF5"/>
    <w:rsid w:val="007E01E9"/>
    <w:rsid w:val="007E0F13"/>
    <w:rsid w:val="007E63F3"/>
    <w:rsid w:val="007F3509"/>
    <w:rsid w:val="007F3D52"/>
    <w:rsid w:val="007F6611"/>
    <w:rsid w:val="00801A12"/>
    <w:rsid w:val="00803899"/>
    <w:rsid w:val="00803C06"/>
    <w:rsid w:val="008066F3"/>
    <w:rsid w:val="008118DA"/>
    <w:rsid w:val="00811920"/>
    <w:rsid w:val="00815AD0"/>
    <w:rsid w:val="00820B3C"/>
    <w:rsid w:val="008242D7"/>
    <w:rsid w:val="008246AE"/>
    <w:rsid w:val="008248BA"/>
    <w:rsid w:val="008257B1"/>
    <w:rsid w:val="00826CE0"/>
    <w:rsid w:val="0082769E"/>
    <w:rsid w:val="00830A8C"/>
    <w:rsid w:val="00830C9A"/>
    <w:rsid w:val="00832334"/>
    <w:rsid w:val="00835AA6"/>
    <w:rsid w:val="008379C5"/>
    <w:rsid w:val="00837FBD"/>
    <w:rsid w:val="00843767"/>
    <w:rsid w:val="008469F5"/>
    <w:rsid w:val="008472C2"/>
    <w:rsid w:val="008506F1"/>
    <w:rsid w:val="00856F4C"/>
    <w:rsid w:val="00857508"/>
    <w:rsid w:val="00860709"/>
    <w:rsid w:val="008616F9"/>
    <w:rsid w:val="00861D28"/>
    <w:rsid w:val="0086367F"/>
    <w:rsid w:val="008679D9"/>
    <w:rsid w:val="008704E3"/>
    <w:rsid w:val="008708CA"/>
    <w:rsid w:val="0087221D"/>
    <w:rsid w:val="00872852"/>
    <w:rsid w:val="00882D6F"/>
    <w:rsid w:val="008848B0"/>
    <w:rsid w:val="008849E9"/>
    <w:rsid w:val="00885CA9"/>
    <w:rsid w:val="008878DE"/>
    <w:rsid w:val="00887D0F"/>
    <w:rsid w:val="00890AA1"/>
    <w:rsid w:val="008932B9"/>
    <w:rsid w:val="00894427"/>
    <w:rsid w:val="00895475"/>
    <w:rsid w:val="0089757F"/>
    <w:rsid w:val="008979B1"/>
    <w:rsid w:val="008A333E"/>
    <w:rsid w:val="008A340C"/>
    <w:rsid w:val="008A609B"/>
    <w:rsid w:val="008A6B25"/>
    <w:rsid w:val="008A6C4F"/>
    <w:rsid w:val="008B116C"/>
    <w:rsid w:val="008B1524"/>
    <w:rsid w:val="008B2335"/>
    <w:rsid w:val="008B2F80"/>
    <w:rsid w:val="008B3F7F"/>
    <w:rsid w:val="008B5114"/>
    <w:rsid w:val="008B7A4F"/>
    <w:rsid w:val="008C0902"/>
    <w:rsid w:val="008C29AB"/>
    <w:rsid w:val="008C3CCC"/>
    <w:rsid w:val="008C5303"/>
    <w:rsid w:val="008C7A6D"/>
    <w:rsid w:val="008D4AF2"/>
    <w:rsid w:val="008D5CDE"/>
    <w:rsid w:val="008E0678"/>
    <w:rsid w:val="008F0CE1"/>
    <w:rsid w:val="008F31D2"/>
    <w:rsid w:val="008F7895"/>
    <w:rsid w:val="00900F2B"/>
    <w:rsid w:val="009011F7"/>
    <w:rsid w:val="00902C7E"/>
    <w:rsid w:val="00907CB1"/>
    <w:rsid w:val="00911757"/>
    <w:rsid w:val="009131B0"/>
    <w:rsid w:val="009148A5"/>
    <w:rsid w:val="009165F8"/>
    <w:rsid w:val="00920754"/>
    <w:rsid w:val="009223CA"/>
    <w:rsid w:val="00926CF3"/>
    <w:rsid w:val="00930AAB"/>
    <w:rsid w:val="00934365"/>
    <w:rsid w:val="00934EB4"/>
    <w:rsid w:val="0093702E"/>
    <w:rsid w:val="00937268"/>
    <w:rsid w:val="00940F93"/>
    <w:rsid w:val="00951B84"/>
    <w:rsid w:val="00952BB9"/>
    <w:rsid w:val="00953485"/>
    <w:rsid w:val="00953F23"/>
    <w:rsid w:val="0095577D"/>
    <w:rsid w:val="00956661"/>
    <w:rsid w:val="00966929"/>
    <w:rsid w:val="00973F1B"/>
    <w:rsid w:val="0097445D"/>
    <w:rsid w:val="009760F3"/>
    <w:rsid w:val="00976CFB"/>
    <w:rsid w:val="00976F40"/>
    <w:rsid w:val="0098071B"/>
    <w:rsid w:val="009857A5"/>
    <w:rsid w:val="0099306C"/>
    <w:rsid w:val="0099309F"/>
    <w:rsid w:val="0099343E"/>
    <w:rsid w:val="009964B7"/>
    <w:rsid w:val="009A0006"/>
    <w:rsid w:val="009A0830"/>
    <w:rsid w:val="009A0E8D"/>
    <w:rsid w:val="009A0F6E"/>
    <w:rsid w:val="009A66C3"/>
    <w:rsid w:val="009B2285"/>
    <w:rsid w:val="009B235E"/>
    <w:rsid w:val="009B26E7"/>
    <w:rsid w:val="009B2EA6"/>
    <w:rsid w:val="009B3A38"/>
    <w:rsid w:val="009B4334"/>
    <w:rsid w:val="009B48C3"/>
    <w:rsid w:val="009B5FDD"/>
    <w:rsid w:val="009C03CD"/>
    <w:rsid w:val="009C1705"/>
    <w:rsid w:val="009C20A8"/>
    <w:rsid w:val="009C31D8"/>
    <w:rsid w:val="009C4B98"/>
    <w:rsid w:val="009C5DB3"/>
    <w:rsid w:val="009C7099"/>
    <w:rsid w:val="009D099F"/>
    <w:rsid w:val="009D4CA8"/>
    <w:rsid w:val="009D532E"/>
    <w:rsid w:val="009D67AF"/>
    <w:rsid w:val="009E2AFB"/>
    <w:rsid w:val="009E6E05"/>
    <w:rsid w:val="009F0A61"/>
    <w:rsid w:val="009F39D0"/>
    <w:rsid w:val="009F6480"/>
    <w:rsid w:val="00A00697"/>
    <w:rsid w:val="00A00A3F"/>
    <w:rsid w:val="00A01489"/>
    <w:rsid w:val="00A04E30"/>
    <w:rsid w:val="00A0608C"/>
    <w:rsid w:val="00A064B2"/>
    <w:rsid w:val="00A07948"/>
    <w:rsid w:val="00A105D4"/>
    <w:rsid w:val="00A11886"/>
    <w:rsid w:val="00A11D44"/>
    <w:rsid w:val="00A13AA8"/>
    <w:rsid w:val="00A163A0"/>
    <w:rsid w:val="00A22D47"/>
    <w:rsid w:val="00A22E39"/>
    <w:rsid w:val="00A3026E"/>
    <w:rsid w:val="00A31253"/>
    <w:rsid w:val="00A31F14"/>
    <w:rsid w:val="00A338F1"/>
    <w:rsid w:val="00A35BE0"/>
    <w:rsid w:val="00A3659B"/>
    <w:rsid w:val="00A4065B"/>
    <w:rsid w:val="00A459D8"/>
    <w:rsid w:val="00A50C08"/>
    <w:rsid w:val="00A5235B"/>
    <w:rsid w:val="00A52682"/>
    <w:rsid w:val="00A52B86"/>
    <w:rsid w:val="00A52EB8"/>
    <w:rsid w:val="00A55559"/>
    <w:rsid w:val="00A60DFB"/>
    <w:rsid w:val="00A63559"/>
    <w:rsid w:val="00A63631"/>
    <w:rsid w:val="00A64F44"/>
    <w:rsid w:val="00A66A21"/>
    <w:rsid w:val="00A6709A"/>
    <w:rsid w:val="00A715C6"/>
    <w:rsid w:val="00A72F22"/>
    <w:rsid w:val="00A7360F"/>
    <w:rsid w:val="00A748A6"/>
    <w:rsid w:val="00A75039"/>
    <w:rsid w:val="00A769F4"/>
    <w:rsid w:val="00A776B4"/>
    <w:rsid w:val="00A7771C"/>
    <w:rsid w:val="00A838C6"/>
    <w:rsid w:val="00A83C3C"/>
    <w:rsid w:val="00A87963"/>
    <w:rsid w:val="00A90619"/>
    <w:rsid w:val="00A9089E"/>
    <w:rsid w:val="00A92EB0"/>
    <w:rsid w:val="00A94361"/>
    <w:rsid w:val="00A95199"/>
    <w:rsid w:val="00A9664B"/>
    <w:rsid w:val="00AA293C"/>
    <w:rsid w:val="00AA2E6F"/>
    <w:rsid w:val="00AA5F1E"/>
    <w:rsid w:val="00AB03D9"/>
    <w:rsid w:val="00AB1673"/>
    <w:rsid w:val="00AB191D"/>
    <w:rsid w:val="00AB2897"/>
    <w:rsid w:val="00AB2DE5"/>
    <w:rsid w:val="00AB2FAB"/>
    <w:rsid w:val="00AB4DF7"/>
    <w:rsid w:val="00AB4F4A"/>
    <w:rsid w:val="00AB5510"/>
    <w:rsid w:val="00AB5B1B"/>
    <w:rsid w:val="00AC41C0"/>
    <w:rsid w:val="00AD52BA"/>
    <w:rsid w:val="00AE13DC"/>
    <w:rsid w:val="00AE6A37"/>
    <w:rsid w:val="00AE7905"/>
    <w:rsid w:val="00AF090F"/>
    <w:rsid w:val="00AF0DA5"/>
    <w:rsid w:val="00AF6BCB"/>
    <w:rsid w:val="00B028E1"/>
    <w:rsid w:val="00B04942"/>
    <w:rsid w:val="00B06255"/>
    <w:rsid w:val="00B07489"/>
    <w:rsid w:val="00B10405"/>
    <w:rsid w:val="00B113BE"/>
    <w:rsid w:val="00B117C8"/>
    <w:rsid w:val="00B14D99"/>
    <w:rsid w:val="00B16353"/>
    <w:rsid w:val="00B17019"/>
    <w:rsid w:val="00B263E3"/>
    <w:rsid w:val="00B2722B"/>
    <w:rsid w:val="00B30179"/>
    <w:rsid w:val="00B32B93"/>
    <w:rsid w:val="00B365CB"/>
    <w:rsid w:val="00B421C1"/>
    <w:rsid w:val="00B44428"/>
    <w:rsid w:val="00B46647"/>
    <w:rsid w:val="00B5481F"/>
    <w:rsid w:val="00B54998"/>
    <w:rsid w:val="00B55C71"/>
    <w:rsid w:val="00B56E4A"/>
    <w:rsid w:val="00B56E9C"/>
    <w:rsid w:val="00B57A59"/>
    <w:rsid w:val="00B64B1F"/>
    <w:rsid w:val="00B6553F"/>
    <w:rsid w:val="00B77D05"/>
    <w:rsid w:val="00B81206"/>
    <w:rsid w:val="00B81E12"/>
    <w:rsid w:val="00B824D7"/>
    <w:rsid w:val="00B836D5"/>
    <w:rsid w:val="00B858B9"/>
    <w:rsid w:val="00B86825"/>
    <w:rsid w:val="00B91D47"/>
    <w:rsid w:val="00B9477C"/>
    <w:rsid w:val="00BA0B6C"/>
    <w:rsid w:val="00BA23A6"/>
    <w:rsid w:val="00BA59F3"/>
    <w:rsid w:val="00BA5B03"/>
    <w:rsid w:val="00BA67A2"/>
    <w:rsid w:val="00BB033D"/>
    <w:rsid w:val="00BB0874"/>
    <w:rsid w:val="00BB27A6"/>
    <w:rsid w:val="00BB770E"/>
    <w:rsid w:val="00BC15E4"/>
    <w:rsid w:val="00BC3F47"/>
    <w:rsid w:val="00BC3FA0"/>
    <w:rsid w:val="00BC6A91"/>
    <w:rsid w:val="00BC74E9"/>
    <w:rsid w:val="00BD04BE"/>
    <w:rsid w:val="00BD107A"/>
    <w:rsid w:val="00BD2F7F"/>
    <w:rsid w:val="00BD3218"/>
    <w:rsid w:val="00BD518E"/>
    <w:rsid w:val="00BE3DF1"/>
    <w:rsid w:val="00BE6379"/>
    <w:rsid w:val="00BF003A"/>
    <w:rsid w:val="00BF17E4"/>
    <w:rsid w:val="00BF68A8"/>
    <w:rsid w:val="00C0257D"/>
    <w:rsid w:val="00C03344"/>
    <w:rsid w:val="00C07119"/>
    <w:rsid w:val="00C11A03"/>
    <w:rsid w:val="00C134C5"/>
    <w:rsid w:val="00C14720"/>
    <w:rsid w:val="00C14E68"/>
    <w:rsid w:val="00C17703"/>
    <w:rsid w:val="00C22C0C"/>
    <w:rsid w:val="00C30883"/>
    <w:rsid w:val="00C36CBB"/>
    <w:rsid w:val="00C41529"/>
    <w:rsid w:val="00C42D9B"/>
    <w:rsid w:val="00C44F67"/>
    <w:rsid w:val="00C4527F"/>
    <w:rsid w:val="00C45548"/>
    <w:rsid w:val="00C463DD"/>
    <w:rsid w:val="00C4724C"/>
    <w:rsid w:val="00C56D35"/>
    <w:rsid w:val="00C629A0"/>
    <w:rsid w:val="00C632C3"/>
    <w:rsid w:val="00C64629"/>
    <w:rsid w:val="00C67B8E"/>
    <w:rsid w:val="00C7028F"/>
    <w:rsid w:val="00C72E90"/>
    <w:rsid w:val="00C745C3"/>
    <w:rsid w:val="00C75787"/>
    <w:rsid w:val="00C8015D"/>
    <w:rsid w:val="00C81D77"/>
    <w:rsid w:val="00C825F5"/>
    <w:rsid w:val="00C83742"/>
    <w:rsid w:val="00C85DCC"/>
    <w:rsid w:val="00C85E9B"/>
    <w:rsid w:val="00C864AB"/>
    <w:rsid w:val="00C93802"/>
    <w:rsid w:val="00C95E55"/>
    <w:rsid w:val="00C964E2"/>
    <w:rsid w:val="00C96DF2"/>
    <w:rsid w:val="00CA77FE"/>
    <w:rsid w:val="00CB3E03"/>
    <w:rsid w:val="00CB7DD8"/>
    <w:rsid w:val="00CC3F0E"/>
    <w:rsid w:val="00CD09A9"/>
    <w:rsid w:val="00CD2B0F"/>
    <w:rsid w:val="00CD4AA6"/>
    <w:rsid w:val="00CD4C4F"/>
    <w:rsid w:val="00CD522B"/>
    <w:rsid w:val="00CD78B0"/>
    <w:rsid w:val="00CE23F3"/>
    <w:rsid w:val="00CE3497"/>
    <w:rsid w:val="00CE4A8F"/>
    <w:rsid w:val="00CF1323"/>
    <w:rsid w:val="00CF5EF7"/>
    <w:rsid w:val="00CF7A38"/>
    <w:rsid w:val="00D0225B"/>
    <w:rsid w:val="00D03F3E"/>
    <w:rsid w:val="00D06F4E"/>
    <w:rsid w:val="00D076DD"/>
    <w:rsid w:val="00D102B5"/>
    <w:rsid w:val="00D107A6"/>
    <w:rsid w:val="00D13635"/>
    <w:rsid w:val="00D14328"/>
    <w:rsid w:val="00D2031B"/>
    <w:rsid w:val="00D248B6"/>
    <w:rsid w:val="00D25FE2"/>
    <w:rsid w:val="00D267E5"/>
    <w:rsid w:val="00D274FF"/>
    <w:rsid w:val="00D30A86"/>
    <w:rsid w:val="00D30B9C"/>
    <w:rsid w:val="00D31861"/>
    <w:rsid w:val="00D3333E"/>
    <w:rsid w:val="00D3408B"/>
    <w:rsid w:val="00D41279"/>
    <w:rsid w:val="00D422FE"/>
    <w:rsid w:val="00D43252"/>
    <w:rsid w:val="00D4337A"/>
    <w:rsid w:val="00D47EEA"/>
    <w:rsid w:val="00D514EC"/>
    <w:rsid w:val="00D522C4"/>
    <w:rsid w:val="00D55BAE"/>
    <w:rsid w:val="00D5726B"/>
    <w:rsid w:val="00D61407"/>
    <w:rsid w:val="00D62DD1"/>
    <w:rsid w:val="00D63250"/>
    <w:rsid w:val="00D63F35"/>
    <w:rsid w:val="00D65ED2"/>
    <w:rsid w:val="00D70230"/>
    <w:rsid w:val="00D737AF"/>
    <w:rsid w:val="00D7513B"/>
    <w:rsid w:val="00D773DF"/>
    <w:rsid w:val="00D81B5A"/>
    <w:rsid w:val="00D82E5C"/>
    <w:rsid w:val="00D83B48"/>
    <w:rsid w:val="00D840AE"/>
    <w:rsid w:val="00D84CBF"/>
    <w:rsid w:val="00D86A74"/>
    <w:rsid w:val="00D902AF"/>
    <w:rsid w:val="00D905B2"/>
    <w:rsid w:val="00D914C8"/>
    <w:rsid w:val="00D95303"/>
    <w:rsid w:val="00D978C6"/>
    <w:rsid w:val="00DA2372"/>
    <w:rsid w:val="00DA39A7"/>
    <w:rsid w:val="00DA3C1C"/>
    <w:rsid w:val="00DA6B9F"/>
    <w:rsid w:val="00DA77E8"/>
    <w:rsid w:val="00DB2BD8"/>
    <w:rsid w:val="00DB650B"/>
    <w:rsid w:val="00DB7EE7"/>
    <w:rsid w:val="00DC0D23"/>
    <w:rsid w:val="00DC3666"/>
    <w:rsid w:val="00DC4A51"/>
    <w:rsid w:val="00DC58F7"/>
    <w:rsid w:val="00DC7357"/>
    <w:rsid w:val="00DC77D1"/>
    <w:rsid w:val="00DC78BE"/>
    <w:rsid w:val="00DD009A"/>
    <w:rsid w:val="00DD4385"/>
    <w:rsid w:val="00DD59C0"/>
    <w:rsid w:val="00DD7770"/>
    <w:rsid w:val="00DE0FB7"/>
    <w:rsid w:val="00DE23D0"/>
    <w:rsid w:val="00DE72AB"/>
    <w:rsid w:val="00DF5856"/>
    <w:rsid w:val="00DF72D7"/>
    <w:rsid w:val="00E017D0"/>
    <w:rsid w:val="00E03D02"/>
    <w:rsid w:val="00E046DF"/>
    <w:rsid w:val="00E0623A"/>
    <w:rsid w:val="00E173BB"/>
    <w:rsid w:val="00E23F10"/>
    <w:rsid w:val="00E25C1A"/>
    <w:rsid w:val="00E27346"/>
    <w:rsid w:val="00E3383F"/>
    <w:rsid w:val="00E33D1C"/>
    <w:rsid w:val="00E353BC"/>
    <w:rsid w:val="00E37E07"/>
    <w:rsid w:val="00E44F39"/>
    <w:rsid w:val="00E56FCE"/>
    <w:rsid w:val="00E57ABD"/>
    <w:rsid w:val="00E6176D"/>
    <w:rsid w:val="00E6192D"/>
    <w:rsid w:val="00E7174A"/>
    <w:rsid w:val="00E71BC8"/>
    <w:rsid w:val="00E7260F"/>
    <w:rsid w:val="00E73F5D"/>
    <w:rsid w:val="00E7617D"/>
    <w:rsid w:val="00E7759A"/>
    <w:rsid w:val="00E77E4E"/>
    <w:rsid w:val="00E80160"/>
    <w:rsid w:val="00E93815"/>
    <w:rsid w:val="00E93A94"/>
    <w:rsid w:val="00E94E30"/>
    <w:rsid w:val="00E96630"/>
    <w:rsid w:val="00EA5B39"/>
    <w:rsid w:val="00EA6204"/>
    <w:rsid w:val="00EB59BB"/>
    <w:rsid w:val="00EB7133"/>
    <w:rsid w:val="00EC0C3C"/>
    <w:rsid w:val="00EC27F1"/>
    <w:rsid w:val="00EC412C"/>
    <w:rsid w:val="00EC61C2"/>
    <w:rsid w:val="00EC6501"/>
    <w:rsid w:val="00ED5B7F"/>
    <w:rsid w:val="00ED63EC"/>
    <w:rsid w:val="00ED6993"/>
    <w:rsid w:val="00ED7A2A"/>
    <w:rsid w:val="00ED7E5E"/>
    <w:rsid w:val="00EE0143"/>
    <w:rsid w:val="00EE460C"/>
    <w:rsid w:val="00EE6DD1"/>
    <w:rsid w:val="00EF1D7F"/>
    <w:rsid w:val="00EF5A9A"/>
    <w:rsid w:val="00EF779D"/>
    <w:rsid w:val="00F012E2"/>
    <w:rsid w:val="00F01779"/>
    <w:rsid w:val="00F04134"/>
    <w:rsid w:val="00F051EC"/>
    <w:rsid w:val="00F0521A"/>
    <w:rsid w:val="00F067EE"/>
    <w:rsid w:val="00F1427F"/>
    <w:rsid w:val="00F15877"/>
    <w:rsid w:val="00F16B21"/>
    <w:rsid w:val="00F23FB2"/>
    <w:rsid w:val="00F2585B"/>
    <w:rsid w:val="00F25A6C"/>
    <w:rsid w:val="00F27D06"/>
    <w:rsid w:val="00F31E5F"/>
    <w:rsid w:val="00F334C2"/>
    <w:rsid w:val="00F34054"/>
    <w:rsid w:val="00F363E3"/>
    <w:rsid w:val="00F4162C"/>
    <w:rsid w:val="00F45B20"/>
    <w:rsid w:val="00F51760"/>
    <w:rsid w:val="00F5362B"/>
    <w:rsid w:val="00F55326"/>
    <w:rsid w:val="00F6100A"/>
    <w:rsid w:val="00F62067"/>
    <w:rsid w:val="00F64370"/>
    <w:rsid w:val="00F67318"/>
    <w:rsid w:val="00F71EED"/>
    <w:rsid w:val="00F733BF"/>
    <w:rsid w:val="00F77101"/>
    <w:rsid w:val="00F8168F"/>
    <w:rsid w:val="00F82ADD"/>
    <w:rsid w:val="00F93781"/>
    <w:rsid w:val="00F937C8"/>
    <w:rsid w:val="00F93B19"/>
    <w:rsid w:val="00FA0913"/>
    <w:rsid w:val="00FA1C7F"/>
    <w:rsid w:val="00FA6E11"/>
    <w:rsid w:val="00FA7DA8"/>
    <w:rsid w:val="00FB3A29"/>
    <w:rsid w:val="00FB613B"/>
    <w:rsid w:val="00FB6F77"/>
    <w:rsid w:val="00FC48A4"/>
    <w:rsid w:val="00FC68B7"/>
    <w:rsid w:val="00FD3F98"/>
    <w:rsid w:val="00FD40E7"/>
    <w:rsid w:val="00FD670D"/>
    <w:rsid w:val="00FD67B5"/>
    <w:rsid w:val="00FD7CB5"/>
    <w:rsid w:val="00FE106A"/>
    <w:rsid w:val="00FF02CC"/>
    <w:rsid w:val="00FF145D"/>
    <w:rsid w:val="00FF23D3"/>
    <w:rsid w:val="00FF3374"/>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2BD753B6"/>
  <w15:docId w15:val="{C458471D-4E70-4DAC-A763-20790158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 w:type="paragraph" w:customStyle="1" w:styleId="meetingdate">
    <w:name w:val="meetingdate"/>
    <w:basedOn w:val="Normal"/>
    <w:rsid w:val="008472C2"/>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semiHidden/>
    <w:unhideWhenUsed/>
    <w:rsid w:val="00A5235B"/>
    <w:pPr>
      <w:spacing w:line="240" w:lineRule="auto"/>
    </w:pPr>
    <w:rPr>
      <w:b/>
      <w:bCs/>
    </w:rPr>
  </w:style>
  <w:style w:type="character" w:customStyle="1" w:styleId="CommentTextChar">
    <w:name w:val="Comment Text Char"/>
    <w:basedOn w:val="DefaultParagraphFont"/>
    <w:link w:val="CommentText"/>
    <w:semiHidden/>
    <w:rsid w:val="00A5235B"/>
    <w:rPr>
      <w:lang w:eastAsia="en-US"/>
    </w:rPr>
  </w:style>
  <w:style w:type="character" w:customStyle="1" w:styleId="CommentSubjectChar">
    <w:name w:val="Comment Subject Char"/>
    <w:basedOn w:val="CommentTextChar"/>
    <w:link w:val="CommentSubject"/>
    <w:semiHidden/>
    <w:rsid w:val="00A5235B"/>
    <w:rPr>
      <w:b/>
      <w:bCs/>
      <w:lang w:eastAsia="en-US"/>
    </w:rPr>
  </w:style>
  <w:style w:type="character" w:styleId="UnresolvedMention">
    <w:name w:val="Unresolved Mention"/>
    <w:basedOn w:val="DefaultParagraphFont"/>
    <w:uiPriority w:val="99"/>
    <w:semiHidden/>
    <w:unhideWhenUsed/>
    <w:rsid w:val="00B10405"/>
    <w:rPr>
      <w:color w:val="605E5C"/>
      <w:shd w:val="clear" w:color="auto" w:fill="E1DFDD"/>
    </w:rPr>
  </w:style>
  <w:style w:type="character" w:customStyle="1" w:styleId="field-content">
    <w:name w:val="field-content"/>
    <w:basedOn w:val="DefaultParagraphFont"/>
    <w:rsid w:val="008246AE"/>
  </w:style>
  <w:style w:type="character" w:customStyle="1" w:styleId="date-display-start">
    <w:name w:val="date-display-start"/>
    <w:basedOn w:val="DefaultParagraphFont"/>
    <w:rsid w:val="008246AE"/>
  </w:style>
  <w:style w:type="character" w:customStyle="1" w:styleId="date-display-end">
    <w:name w:val="date-display-end"/>
    <w:basedOn w:val="DefaultParagraphFont"/>
    <w:rsid w:val="008246AE"/>
  </w:style>
  <w:style w:type="paragraph" w:styleId="ListParagraph">
    <w:name w:val="List Paragraph"/>
    <w:basedOn w:val="Normal"/>
    <w:uiPriority w:val="34"/>
    <w:qFormat/>
    <w:rsid w:val="008246AE"/>
    <w:pPr>
      <w:ind w:left="720"/>
      <w:contextualSpacing/>
    </w:pPr>
  </w:style>
  <w:style w:type="character" w:customStyle="1" w:styleId="FooterChar">
    <w:name w:val="Footer Char"/>
    <w:aliases w:val="3_G Char"/>
    <w:basedOn w:val="DefaultParagraphFont"/>
    <w:link w:val="Footer"/>
    <w:rsid w:val="007B2FD3"/>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9533">
      <w:bodyDiv w:val="1"/>
      <w:marLeft w:val="0"/>
      <w:marRight w:val="0"/>
      <w:marTop w:val="0"/>
      <w:marBottom w:val="0"/>
      <w:divBdr>
        <w:top w:val="none" w:sz="0" w:space="0" w:color="auto"/>
        <w:left w:val="none" w:sz="0" w:space="0" w:color="auto"/>
        <w:bottom w:val="none" w:sz="0" w:space="0" w:color="auto"/>
        <w:right w:val="none" w:sz="0" w:space="0" w:color="auto"/>
      </w:divBdr>
    </w:div>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373310790">
      <w:bodyDiv w:val="1"/>
      <w:marLeft w:val="0"/>
      <w:marRight w:val="0"/>
      <w:marTop w:val="0"/>
      <w:marBottom w:val="0"/>
      <w:divBdr>
        <w:top w:val="none" w:sz="0" w:space="0" w:color="auto"/>
        <w:left w:val="none" w:sz="0" w:space="0" w:color="auto"/>
        <w:bottom w:val="none" w:sz="0" w:space="0" w:color="auto"/>
        <w:right w:val="none" w:sz="0" w:space="0" w:color="auto"/>
      </w:divBdr>
    </w:div>
    <w:div w:id="523132145">
      <w:bodyDiv w:val="1"/>
      <w:marLeft w:val="0"/>
      <w:marRight w:val="0"/>
      <w:marTop w:val="0"/>
      <w:marBottom w:val="0"/>
      <w:divBdr>
        <w:top w:val="none" w:sz="0" w:space="0" w:color="auto"/>
        <w:left w:val="none" w:sz="0" w:space="0" w:color="auto"/>
        <w:bottom w:val="none" w:sz="0" w:space="0" w:color="auto"/>
        <w:right w:val="none" w:sz="0" w:space="0" w:color="auto"/>
      </w:divBdr>
      <w:divsChild>
        <w:div w:id="1028682550">
          <w:marLeft w:val="0"/>
          <w:marRight w:val="0"/>
          <w:marTop w:val="0"/>
          <w:marBottom w:val="0"/>
          <w:divBdr>
            <w:top w:val="none" w:sz="0" w:space="0" w:color="auto"/>
            <w:left w:val="none" w:sz="0" w:space="0" w:color="auto"/>
            <w:bottom w:val="none" w:sz="0" w:space="0" w:color="auto"/>
            <w:right w:val="none" w:sz="0" w:space="0" w:color="auto"/>
          </w:divBdr>
        </w:div>
        <w:div w:id="2109931905">
          <w:marLeft w:val="0"/>
          <w:marRight w:val="0"/>
          <w:marTop w:val="0"/>
          <w:marBottom w:val="0"/>
          <w:divBdr>
            <w:top w:val="none" w:sz="0" w:space="0" w:color="auto"/>
            <w:left w:val="none" w:sz="0" w:space="0" w:color="auto"/>
            <w:bottom w:val="none" w:sz="0" w:space="0" w:color="auto"/>
            <w:right w:val="none" w:sz="0" w:space="0" w:color="auto"/>
          </w:divBdr>
        </w:div>
        <w:div w:id="1005790462">
          <w:marLeft w:val="0"/>
          <w:marRight w:val="0"/>
          <w:marTop w:val="0"/>
          <w:marBottom w:val="0"/>
          <w:divBdr>
            <w:top w:val="none" w:sz="0" w:space="0" w:color="auto"/>
            <w:left w:val="none" w:sz="0" w:space="0" w:color="auto"/>
            <w:bottom w:val="none" w:sz="0" w:space="0" w:color="auto"/>
            <w:right w:val="none" w:sz="0" w:space="0" w:color="auto"/>
          </w:divBdr>
        </w:div>
        <w:div w:id="1011571880">
          <w:marLeft w:val="0"/>
          <w:marRight w:val="0"/>
          <w:marTop w:val="0"/>
          <w:marBottom w:val="0"/>
          <w:divBdr>
            <w:top w:val="none" w:sz="0" w:space="0" w:color="auto"/>
            <w:left w:val="none" w:sz="0" w:space="0" w:color="auto"/>
            <w:bottom w:val="none" w:sz="0" w:space="0" w:color="auto"/>
            <w:right w:val="none" w:sz="0" w:space="0" w:color="auto"/>
          </w:divBdr>
        </w:div>
        <w:div w:id="1243490919">
          <w:marLeft w:val="0"/>
          <w:marRight w:val="0"/>
          <w:marTop w:val="0"/>
          <w:marBottom w:val="0"/>
          <w:divBdr>
            <w:top w:val="none" w:sz="0" w:space="0" w:color="auto"/>
            <w:left w:val="none" w:sz="0" w:space="0" w:color="auto"/>
            <w:bottom w:val="none" w:sz="0" w:space="0" w:color="auto"/>
            <w:right w:val="none" w:sz="0" w:space="0" w:color="auto"/>
          </w:divBdr>
        </w:div>
        <w:div w:id="1320423394">
          <w:marLeft w:val="0"/>
          <w:marRight w:val="0"/>
          <w:marTop w:val="0"/>
          <w:marBottom w:val="0"/>
          <w:divBdr>
            <w:top w:val="none" w:sz="0" w:space="0" w:color="auto"/>
            <w:left w:val="none" w:sz="0" w:space="0" w:color="auto"/>
            <w:bottom w:val="none" w:sz="0" w:space="0" w:color="auto"/>
            <w:right w:val="none" w:sz="0" w:space="0" w:color="auto"/>
          </w:divBdr>
        </w:div>
        <w:div w:id="1353723595">
          <w:marLeft w:val="0"/>
          <w:marRight w:val="0"/>
          <w:marTop w:val="0"/>
          <w:marBottom w:val="0"/>
          <w:divBdr>
            <w:top w:val="none" w:sz="0" w:space="0" w:color="auto"/>
            <w:left w:val="none" w:sz="0" w:space="0" w:color="auto"/>
            <w:bottom w:val="none" w:sz="0" w:space="0" w:color="auto"/>
            <w:right w:val="none" w:sz="0" w:space="0" w:color="auto"/>
          </w:divBdr>
        </w:div>
        <w:div w:id="923491972">
          <w:marLeft w:val="0"/>
          <w:marRight w:val="0"/>
          <w:marTop w:val="0"/>
          <w:marBottom w:val="0"/>
          <w:divBdr>
            <w:top w:val="none" w:sz="0" w:space="0" w:color="auto"/>
            <w:left w:val="none" w:sz="0" w:space="0" w:color="auto"/>
            <w:bottom w:val="none" w:sz="0" w:space="0" w:color="auto"/>
            <w:right w:val="none" w:sz="0" w:space="0" w:color="auto"/>
          </w:divBdr>
        </w:div>
      </w:divsChild>
    </w:div>
    <w:div w:id="623267505">
      <w:bodyDiv w:val="1"/>
      <w:marLeft w:val="0"/>
      <w:marRight w:val="0"/>
      <w:marTop w:val="0"/>
      <w:marBottom w:val="0"/>
      <w:divBdr>
        <w:top w:val="none" w:sz="0" w:space="0" w:color="auto"/>
        <w:left w:val="none" w:sz="0" w:space="0" w:color="auto"/>
        <w:bottom w:val="none" w:sz="0" w:space="0" w:color="auto"/>
        <w:right w:val="none" w:sz="0" w:space="0" w:color="auto"/>
      </w:divBdr>
    </w:div>
    <w:div w:id="713501212">
      <w:bodyDiv w:val="1"/>
      <w:marLeft w:val="0"/>
      <w:marRight w:val="0"/>
      <w:marTop w:val="0"/>
      <w:marBottom w:val="0"/>
      <w:divBdr>
        <w:top w:val="none" w:sz="0" w:space="0" w:color="auto"/>
        <w:left w:val="none" w:sz="0" w:space="0" w:color="auto"/>
        <w:bottom w:val="none" w:sz="0" w:space="0" w:color="auto"/>
        <w:right w:val="none" w:sz="0" w:space="0" w:color="auto"/>
      </w:divBdr>
    </w:div>
    <w:div w:id="805313346">
      <w:bodyDiv w:val="1"/>
      <w:marLeft w:val="0"/>
      <w:marRight w:val="0"/>
      <w:marTop w:val="0"/>
      <w:marBottom w:val="0"/>
      <w:divBdr>
        <w:top w:val="none" w:sz="0" w:space="0" w:color="auto"/>
        <w:left w:val="none" w:sz="0" w:space="0" w:color="auto"/>
        <w:bottom w:val="none" w:sz="0" w:space="0" w:color="auto"/>
        <w:right w:val="none" w:sz="0" w:space="0" w:color="auto"/>
      </w:divBdr>
      <w:divsChild>
        <w:div w:id="924261959">
          <w:marLeft w:val="0"/>
          <w:marRight w:val="0"/>
          <w:marTop w:val="0"/>
          <w:marBottom w:val="0"/>
          <w:divBdr>
            <w:top w:val="none" w:sz="0" w:space="0" w:color="auto"/>
            <w:left w:val="none" w:sz="0" w:space="0" w:color="auto"/>
            <w:bottom w:val="none" w:sz="0" w:space="0" w:color="auto"/>
            <w:right w:val="none" w:sz="0" w:space="0" w:color="auto"/>
          </w:divBdr>
        </w:div>
        <w:div w:id="1903124">
          <w:marLeft w:val="0"/>
          <w:marRight w:val="0"/>
          <w:marTop w:val="0"/>
          <w:marBottom w:val="0"/>
          <w:divBdr>
            <w:top w:val="none" w:sz="0" w:space="0" w:color="auto"/>
            <w:left w:val="none" w:sz="0" w:space="0" w:color="auto"/>
            <w:bottom w:val="none" w:sz="0" w:space="0" w:color="auto"/>
            <w:right w:val="none" w:sz="0" w:space="0" w:color="auto"/>
          </w:divBdr>
          <w:divsChild>
            <w:div w:id="763575297">
              <w:marLeft w:val="0"/>
              <w:marRight w:val="0"/>
              <w:marTop w:val="0"/>
              <w:marBottom w:val="0"/>
              <w:divBdr>
                <w:top w:val="none" w:sz="0" w:space="0" w:color="auto"/>
                <w:left w:val="none" w:sz="0" w:space="0" w:color="auto"/>
                <w:bottom w:val="none" w:sz="0" w:space="0" w:color="auto"/>
                <w:right w:val="none" w:sz="0" w:space="0" w:color="auto"/>
              </w:divBdr>
            </w:div>
          </w:divsChild>
        </w:div>
        <w:div w:id="1304844522">
          <w:marLeft w:val="0"/>
          <w:marRight w:val="0"/>
          <w:marTop w:val="0"/>
          <w:marBottom w:val="0"/>
          <w:divBdr>
            <w:top w:val="none" w:sz="0" w:space="0" w:color="auto"/>
            <w:left w:val="none" w:sz="0" w:space="0" w:color="auto"/>
            <w:bottom w:val="none" w:sz="0" w:space="0" w:color="auto"/>
            <w:right w:val="none" w:sz="0" w:space="0" w:color="auto"/>
          </w:divBdr>
          <w:divsChild>
            <w:div w:id="4423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44767851">
      <w:bodyDiv w:val="1"/>
      <w:marLeft w:val="0"/>
      <w:marRight w:val="0"/>
      <w:marTop w:val="0"/>
      <w:marBottom w:val="0"/>
      <w:divBdr>
        <w:top w:val="none" w:sz="0" w:space="0" w:color="auto"/>
        <w:left w:val="none" w:sz="0" w:space="0" w:color="auto"/>
        <w:bottom w:val="none" w:sz="0" w:space="0" w:color="auto"/>
        <w:right w:val="none" w:sz="0" w:space="0" w:color="auto"/>
      </w:divBdr>
    </w:div>
    <w:div w:id="948583148">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996222886">
      <w:bodyDiv w:val="1"/>
      <w:marLeft w:val="0"/>
      <w:marRight w:val="0"/>
      <w:marTop w:val="0"/>
      <w:marBottom w:val="0"/>
      <w:divBdr>
        <w:top w:val="none" w:sz="0" w:space="0" w:color="auto"/>
        <w:left w:val="none" w:sz="0" w:space="0" w:color="auto"/>
        <w:bottom w:val="none" w:sz="0" w:space="0" w:color="auto"/>
        <w:right w:val="none" w:sz="0" w:space="0" w:color="auto"/>
      </w:divBdr>
    </w:div>
    <w:div w:id="1078135993">
      <w:bodyDiv w:val="1"/>
      <w:marLeft w:val="0"/>
      <w:marRight w:val="0"/>
      <w:marTop w:val="0"/>
      <w:marBottom w:val="0"/>
      <w:divBdr>
        <w:top w:val="none" w:sz="0" w:space="0" w:color="auto"/>
        <w:left w:val="none" w:sz="0" w:space="0" w:color="auto"/>
        <w:bottom w:val="none" w:sz="0" w:space="0" w:color="auto"/>
        <w:right w:val="none" w:sz="0" w:space="0" w:color="auto"/>
      </w:divBdr>
    </w:div>
    <w:div w:id="1376929223">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577662942">
      <w:bodyDiv w:val="1"/>
      <w:marLeft w:val="0"/>
      <w:marRight w:val="0"/>
      <w:marTop w:val="0"/>
      <w:marBottom w:val="0"/>
      <w:divBdr>
        <w:top w:val="none" w:sz="0" w:space="0" w:color="auto"/>
        <w:left w:val="none" w:sz="0" w:space="0" w:color="auto"/>
        <w:bottom w:val="none" w:sz="0" w:space="0" w:color="auto"/>
        <w:right w:val="none" w:sz="0" w:space="0" w:color="auto"/>
      </w:divBdr>
    </w:div>
    <w:div w:id="1657219483">
      <w:bodyDiv w:val="1"/>
      <w:marLeft w:val="0"/>
      <w:marRight w:val="0"/>
      <w:marTop w:val="0"/>
      <w:marBottom w:val="0"/>
      <w:divBdr>
        <w:top w:val="none" w:sz="0" w:space="0" w:color="auto"/>
        <w:left w:val="none" w:sz="0" w:space="0" w:color="auto"/>
        <w:bottom w:val="none" w:sz="0" w:space="0" w:color="auto"/>
        <w:right w:val="none" w:sz="0" w:space="0" w:color="auto"/>
      </w:divBdr>
      <w:divsChild>
        <w:div w:id="1633635860">
          <w:marLeft w:val="0"/>
          <w:marRight w:val="0"/>
          <w:marTop w:val="0"/>
          <w:marBottom w:val="0"/>
          <w:divBdr>
            <w:top w:val="none" w:sz="0" w:space="0" w:color="auto"/>
            <w:left w:val="none" w:sz="0" w:space="0" w:color="auto"/>
            <w:bottom w:val="none" w:sz="0" w:space="0" w:color="auto"/>
            <w:right w:val="none" w:sz="0" w:space="0" w:color="auto"/>
          </w:divBdr>
        </w:div>
        <w:div w:id="1736272611">
          <w:marLeft w:val="0"/>
          <w:marRight w:val="0"/>
          <w:marTop w:val="0"/>
          <w:marBottom w:val="0"/>
          <w:divBdr>
            <w:top w:val="none" w:sz="0" w:space="0" w:color="auto"/>
            <w:left w:val="none" w:sz="0" w:space="0" w:color="auto"/>
            <w:bottom w:val="none" w:sz="0" w:space="0" w:color="auto"/>
            <w:right w:val="none" w:sz="0" w:space="0" w:color="auto"/>
          </w:divBdr>
        </w:div>
        <w:div w:id="722212080">
          <w:marLeft w:val="0"/>
          <w:marRight w:val="0"/>
          <w:marTop w:val="0"/>
          <w:marBottom w:val="0"/>
          <w:divBdr>
            <w:top w:val="none" w:sz="0" w:space="0" w:color="auto"/>
            <w:left w:val="none" w:sz="0" w:space="0" w:color="auto"/>
            <w:bottom w:val="none" w:sz="0" w:space="0" w:color="auto"/>
            <w:right w:val="none" w:sz="0" w:space="0" w:color="auto"/>
          </w:divBdr>
        </w:div>
        <w:div w:id="1466704386">
          <w:marLeft w:val="0"/>
          <w:marRight w:val="0"/>
          <w:marTop w:val="0"/>
          <w:marBottom w:val="0"/>
          <w:divBdr>
            <w:top w:val="none" w:sz="0" w:space="0" w:color="auto"/>
            <w:left w:val="none" w:sz="0" w:space="0" w:color="auto"/>
            <w:bottom w:val="none" w:sz="0" w:space="0" w:color="auto"/>
            <w:right w:val="none" w:sz="0" w:space="0" w:color="auto"/>
          </w:divBdr>
        </w:div>
        <w:div w:id="800685421">
          <w:marLeft w:val="0"/>
          <w:marRight w:val="0"/>
          <w:marTop w:val="0"/>
          <w:marBottom w:val="0"/>
          <w:divBdr>
            <w:top w:val="none" w:sz="0" w:space="0" w:color="auto"/>
            <w:left w:val="none" w:sz="0" w:space="0" w:color="auto"/>
            <w:bottom w:val="none" w:sz="0" w:space="0" w:color="auto"/>
            <w:right w:val="none" w:sz="0" w:space="0" w:color="auto"/>
          </w:divBdr>
        </w:div>
        <w:div w:id="1852062139">
          <w:marLeft w:val="0"/>
          <w:marRight w:val="0"/>
          <w:marTop w:val="0"/>
          <w:marBottom w:val="0"/>
          <w:divBdr>
            <w:top w:val="none" w:sz="0" w:space="0" w:color="auto"/>
            <w:left w:val="none" w:sz="0" w:space="0" w:color="auto"/>
            <w:bottom w:val="none" w:sz="0" w:space="0" w:color="auto"/>
            <w:right w:val="none" w:sz="0" w:space="0" w:color="auto"/>
          </w:divBdr>
        </w:div>
        <w:div w:id="1254587415">
          <w:marLeft w:val="0"/>
          <w:marRight w:val="0"/>
          <w:marTop w:val="0"/>
          <w:marBottom w:val="0"/>
          <w:divBdr>
            <w:top w:val="none" w:sz="0" w:space="0" w:color="auto"/>
            <w:left w:val="none" w:sz="0" w:space="0" w:color="auto"/>
            <w:bottom w:val="none" w:sz="0" w:space="0" w:color="auto"/>
            <w:right w:val="none" w:sz="0" w:space="0" w:color="auto"/>
          </w:divBdr>
        </w:div>
        <w:div w:id="413550174">
          <w:marLeft w:val="0"/>
          <w:marRight w:val="0"/>
          <w:marTop w:val="0"/>
          <w:marBottom w:val="0"/>
          <w:divBdr>
            <w:top w:val="none" w:sz="0" w:space="0" w:color="auto"/>
            <w:left w:val="none" w:sz="0" w:space="0" w:color="auto"/>
            <w:bottom w:val="none" w:sz="0" w:space="0" w:color="auto"/>
            <w:right w:val="none" w:sz="0" w:space="0" w:color="auto"/>
          </w:divBdr>
        </w:div>
        <w:div w:id="427501170">
          <w:marLeft w:val="0"/>
          <w:marRight w:val="0"/>
          <w:marTop w:val="0"/>
          <w:marBottom w:val="0"/>
          <w:divBdr>
            <w:top w:val="none" w:sz="0" w:space="0" w:color="auto"/>
            <w:left w:val="none" w:sz="0" w:space="0" w:color="auto"/>
            <w:bottom w:val="none" w:sz="0" w:space="0" w:color="auto"/>
            <w:right w:val="none" w:sz="0" w:space="0" w:color="auto"/>
          </w:divBdr>
        </w:div>
        <w:div w:id="1798714067">
          <w:marLeft w:val="0"/>
          <w:marRight w:val="0"/>
          <w:marTop w:val="0"/>
          <w:marBottom w:val="0"/>
          <w:divBdr>
            <w:top w:val="none" w:sz="0" w:space="0" w:color="auto"/>
            <w:left w:val="none" w:sz="0" w:space="0" w:color="auto"/>
            <w:bottom w:val="none" w:sz="0" w:space="0" w:color="auto"/>
            <w:right w:val="none" w:sz="0" w:space="0" w:color="auto"/>
          </w:divBdr>
        </w:div>
        <w:div w:id="1464885269">
          <w:marLeft w:val="0"/>
          <w:marRight w:val="0"/>
          <w:marTop w:val="0"/>
          <w:marBottom w:val="0"/>
          <w:divBdr>
            <w:top w:val="none" w:sz="0" w:space="0" w:color="auto"/>
            <w:left w:val="none" w:sz="0" w:space="0" w:color="auto"/>
            <w:bottom w:val="none" w:sz="0" w:space="0" w:color="auto"/>
            <w:right w:val="none" w:sz="0" w:space="0" w:color="auto"/>
          </w:divBdr>
        </w:div>
        <w:div w:id="674920986">
          <w:marLeft w:val="0"/>
          <w:marRight w:val="0"/>
          <w:marTop w:val="0"/>
          <w:marBottom w:val="0"/>
          <w:divBdr>
            <w:top w:val="none" w:sz="0" w:space="0" w:color="auto"/>
            <w:left w:val="none" w:sz="0" w:space="0" w:color="auto"/>
            <w:bottom w:val="none" w:sz="0" w:space="0" w:color="auto"/>
            <w:right w:val="none" w:sz="0" w:space="0" w:color="auto"/>
          </w:divBdr>
        </w:div>
        <w:div w:id="1886677035">
          <w:marLeft w:val="0"/>
          <w:marRight w:val="0"/>
          <w:marTop w:val="0"/>
          <w:marBottom w:val="0"/>
          <w:divBdr>
            <w:top w:val="none" w:sz="0" w:space="0" w:color="auto"/>
            <w:left w:val="none" w:sz="0" w:space="0" w:color="auto"/>
            <w:bottom w:val="none" w:sz="0" w:space="0" w:color="auto"/>
            <w:right w:val="none" w:sz="0" w:space="0" w:color="auto"/>
          </w:divBdr>
        </w:div>
        <w:div w:id="1775515709">
          <w:marLeft w:val="0"/>
          <w:marRight w:val="0"/>
          <w:marTop w:val="0"/>
          <w:marBottom w:val="0"/>
          <w:divBdr>
            <w:top w:val="none" w:sz="0" w:space="0" w:color="auto"/>
            <w:left w:val="none" w:sz="0" w:space="0" w:color="auto"/>
            <w:bottom w:val="none" w:sz="0" w:space="0" w:color="auto"/>
            <w:right w:val="none" w:sz="0" w:space="0" w:color="auto"/>
          </w:divBdr>
        </w:div>
        <w:div w:id="112676877">
          <w:marLeft w:val="0"/>
          <w:marRight w:val="0"/>
          <w:marTop w:val="0"/>
          <w:marBottom w:val="0"/>
          <w:divBdr>
            <w:top w:val="none" w:sz="0" w:space="0" w:color="auto"/>
            <w:left w:val="none" w:sz="0" w:space="0" w:color="auto"/>
            <w:bottom w:val="none" w:sz="0" w:space="0" w:color="auto"/>
            <w:right w:val="none" w:sz="0" w:space="0" w:color="auto"/>
          </w:divBdr>
        </w:div>
        <w:div w:id="691226802">
          <w:marLeft w:val="0"/>
          <w:marRight w:val="0"/>
          <w:marTop w:val="0"/>
          <w:marBottom w:val="0"/>
          <w:divBdr>
            <w:top w:val="none" w:sz="0" w:space="0" w:color="auto"/>
            <w:left w:val="none" w:sz="0" w:space="0" w:color="auto"/>
            <w:bottom w:val="none" w:sz="0" w:space="0" w:color="auto"/>
            <w:right w:val="none" w:sz="0" w:space="0" w:color="auto"/>
          </w:divBdr>
        </w:div>
        <w:div w:id="2003965229">
          <w:marLeft w:val="0"/>
          <w:marRight w:val="0"/>
          <w:marTop w:val="0"/>
          <w:marBottom w:val="0"/>
          <w:divBdr>
            <w:top w:val="none" w:sz="0" w:space="0" w:color="auto"/>
            <w:left w:val="none" w:sz="0" w:space="0" w:color="auto"/>
            <w:bottom w:val="none" w:sz="0" w:space="0" w:color="auto"/>
            <w:right w:val="none" w:sz="0" w:space="0" w:color="auto"/>
          </w:divBdr>
        </w:div>
        <w:div w:id="1726221067">
          <w:marLeft w:val="0"/>
          <w:marRight w:val="0"/>
          <w:marTop w:val="0"/>
          <w:marBottom w:val="0"/>
          <w:divBdr>
            <w:top w:val="none" w:sz="0" w:space="0" w:color="auto"/>
            <w:left w:val="none" w:sz="0" w:space="0" w:color="auto"/>
            <w:bottom w:val="none" w:sz="0" w:space="0" w:color="auto"/>
            <w:right w:val="none" w:sz="0" w:space="0" w:color="auto"/>
          </w:divBdr>
        </w:div>
        <w:div w:id="914632072">
          <w:marLeft w:val="0"/>
          <w:marRight w:val="0"/>
          <w:marTop w:val="0"/>
          <w:marBottom w:val="0"/>
          <w:divBdr>
            <w:top w:val="none" w:sz="0" w:space="0" w:color="auto"/>
            <w:left w:val="none" w:sz="0" w:space="0" w:color="auto"/>
            <w:bottom w:val="none" w:sz="0" w:space="0" w:color="auto"/>
            <w:right w:val="none" w:sz="0" w:space="0" w:color="auto"/>
          </w:divBdr>
        </w:div>
        <w:div w:id="1297368751">
          <w:marLeft w:val="0"/>
          <w:marRight w:val="0"/>
          <w:marTop w:val="0"/>
          <w:marBottom w:val="0"/>
          <w:divBdr>
            <w:top w:val="none" w:sz="0" w:space="0" w:color="auto"/>
            <w:left w:val="none" w:sz="0" w:space="0" w:color="auto"/>
            <w:bottom w:val="none" w:sz="0" w:space="0" w:color="auto"/>
            <w:right w:val="none" w:sz="0" w:space="0" w:color="auto"/>
          </w:divBdr>
        </w:div>
        <w:div w:id="888760313">
          <w:marLeft w:val="0"/>
          <w:marRight w:val="0"/>
          <w:marTop w:val="0"/>
          <w:marBottom w:val="0"/>
          <w:divBdr>
            <w:top w:val="none" w:sz="0" w:space="0" w:color="auto"/>
            <w:left w:val="none" w:sz="0" w:space="0" w:color="auto"/>
            <w:bottom w:val="none" w:sz="0" w:space="0" w:color="auto"/>
            <w:right w:val="none" w:sz="0" w:space="0" w:color="auto"/>
          </w:divBdr>
        </w:div>
        <w:div w:id="1525827041">
          <w:marLeft w:val="0"/>
          <w:marRight w:val="0"/>
          <w:marTop w:val="0"/>
          <w:marBottom w:val="0"/>
          <w:divBdr>
            <w:top w:val="none" w:sz="0" w:space="0" w:color="auto"/>
            <w:left w:val="none" w:sz="0" w:space="0" w:color="auto"/>
            <w:bottom w:val="none" w:sz="0" w:space="0" w:color="auto"/>
            <w:right w:val="none" w:sz="0" w:space="0" w:color="auto"/>
          </w:divBdr>
        </w:div>
        <w:div w:id="1996907550">
          <w:marLeft w:val="0"/>
          <w:marRight w:val="0"/>
          <w:marTop w:val="0"/>
          <w:marBottom w:val="0"/>
          <w:divBdr>
            <w:top w:val="none" w:sz="0" w:space="0" w:color="auto"/>
            <w:left w:val="none" w:sz="0" w:space="0" w:color="auto"/>
            <w:bottom w:val="none" w:sz="0" w:space="0" w:color="auto"/>
            <w:right w:val="none" w:sz="0" w:space="0" w:color="auto"/>
          </w:divBdr>
        </w:div>
        <w:div w:id="190995919">
          <w:marLeft w:val="0"/>
          <w:marRight w:val="0"/>
          <w:marTop w:val="0"/>
          <w:marBottom w:val="0"/>
          <w:divBdr>
            <w:top w:val="none" w:sz="0" w:space="0" w:color="auto"/>
            <w:left w:val="none" w:sz="0" w:space="0" w:color="auto"/>
            <w:bottom w:val="none" w:sz="0" w:space="0" w:color="auto"/>
            <w:right w:val="none" w:sz="0" w:space="0" w:color="auto"/>
          </w:divBdr>
        </w:div>
      </w:divsChild>
    </w:div>
    <w:div w:id="1821801797">
      <w:bodyDiv w:val="1"/>
      <w:marLeft w:val="0"/>
      <w:marRight w:val="0"/>
      <w:marTop w:val="0"/>
      <w:marBottom w:val="0"/>
      <w:divBdr>
        <w:top w:val="none" w:sz="0" w:space="0" w:color="auto"/>
        <w:left w:val="none" w:sz="0" w:space="0" w:color="auto"/>
        <w:bottom w:val="none" w:sz="0" w:space="0" w:color="auto"/>
        <w:right w:val="none" w:sz="0" w:space="0" w:color="auto"/>
      </w:divBdr>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 w:id="2049791878">
      <w:bodyDiv w:val="1"/>
      <w:marLeft w:val="0"/>
      <w:marRight w:val="0"/>
      <w:marTop w:val="0"/>
      <w:marBottom w:val="0"/>
      <w:divBdr>
        <w:top w:val="none" w:sz="0" w:space="0" w:color="auto"/>
        <w:left w:val="none" w:sz="0" w:space="0" w:color="auto"/>
        <w:bottom w:val="none" w:sz="0" w:space="0" w:color="auto"/>
        <w:right w:val="none" w:sz="0" w:space="0" w:color="auto"/>
      </w:divBdr>
      <w:divsChild>
        <w:div w:id="58094980">
          <w:marLeft w:val="0"/>
          <w:marRight w:val="0"/>
          <w:marTop w:val="0"/>
          <w:marBottom w:val="0"/>
          <w:divBdr>
            <w:top w:val="none" w:sz="0" w:space="0" w:color="auto"/>
            <w:left w:val="none" w:sz="0" w:space="0" w:color="auto"/>
            <w:bottom w:val="none" w:sz="0" w:space="0" w:color="auto"/>
            <w:right w:val="none" w:sz="0" w:space="0" w:color="auto"/>
          </w:divBdr>
        </w:div>
        <w:div w:id="1435437916">
          <w:marLeft w:val="0"/>
          <w:marRight w:val="0"/>
          <w:marTop w:val="0"/>
          <w:marBottom w:val="0"/>
          <w:divBdr>
            <w:top w:val="none" w:sz="0" w:space="0" w:color="auto"/>
            <w:left w:val="none" w:sz="0" w:space="0" w:color="auto"/>
            <w:bottom w:val="none" w:sz="0" w:space="0" w:color="auto"/>
            <w:right w:val="none" w:sz="0" w:space="0" w:color="auto"/>
          </w:divBdr>
          <w:divsChild>
            <w:div w:id="73750379">
              <w:marLeft w:val="0"/>
              <w:marRight w:val="0"/>
              <w:marTop w:val="0"/>
              <w:marBottom w:val="0"/>
              <w:divBdr>
                <w:top w:val="none" w:sz="0" w:space="0" w:color="auto"/>
                <w:left w:val="none" w:sz="0" w:space="0" w:color="auto"/>
                <w:bottom w:val="none" w:sz="0" w:space="0" w:color="auto"/>
                <w:right w:val="none" w:sz="0" w:space="0" w:color="auto"/>
              </w:divBdr>
            </w:div>
          </w:divsChild>
        </w:div>
        <w:div w:id="322583426">
          <w:marLeft w:val="0"/>
          <w:marRight w:val="0"/>
          <w:marTop w:val="0"/>
          <w:marBottom w:val="0"/>
          <w:divBdr>
            <w:top w:val="none" w:sz="0" w:space="0" w:color="auto"/>
            <w:left w:val="none" w:sz="0" w:space="0" w:color="auto"/>
            <w:bottom w:val="none" w:sz="0" w:space="0" w:color="auto"/>
            <w:right w:val="none" w:sz="0" w:space="0" w:color="auto"/>
          </w:divBdr>
          <w:divsChild>
            <w:div w:id="10858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de/wp7/meatquality-sustainablefuture.html" TargetMode="External"/><Relationship Id="rId13" Type="http://schemas.openxmlformats.org/officeDocument/2006/relationships/hyperlink" Target="http://www.unece.org/trans/main/wp11/atp_handbook.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ce.org/trans/main/wp11/teststationsnew.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main/wp11/teststationsnew.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ece.org/trans/main/wp11/depnot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ce.org/trade/wp7/meat-28th-2019.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6C4E-925F-4B56-8DE5-F1B7F783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7</Pages>
  <Words>2428</Words>
  <Characters>14939</Characters>
  <Application>Microsoft Office Word</Application>
  <DocSecurity>0</DocSecurity>
  <Lines>574</Lines>
  <Paragraphs>457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16910</CharactersWithSpaces>
  <SharedDoc>false</SharedDoc>
  <HLinks>
    <vt:vector size="6" baseType="variant">
      <vt:variant>
        <vt:i4>6488166</vt:i4>
      </vt:variant>
      <vt:variant>
        <vt:i4>0</vt:i4>
      </vt:variant>
      <vt:variant>
        <vt:i4>0</vt:i4>
      </vt:variant>
      <vt:variant>
        <vt:i4>5</vt:i4>
      </vt:variant>
      <vt:variant>
        <vt:lpwstr>http://www.unece.org/fileadmin/DAM/trans/main/wp11/teststations.pdf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Alibech Mireles</cp:lastModifiedBy>
  <cp:revision>21</cp:revision>
  <cp:lastPrinted>2019-07-25T13:31:00Z</cp:lastPrinted>
  <dcterms:created xsi:type="dcterms:W3CDTF">2019-07-25T08:12:00Z</dcterms:created>
  <dcterms:modified xsi:type="dcterms:W3CDTF">2019-10-05T13:39:00Z</dcterms:modified>
</cp:coreProperties>
</file>