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2F6D4C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05CDAB0" w14:textId="77777777" w:rsidR="00F35BAF" w:rsidRPr="00DB58B5" w:rsidRDefault="00F35BAF" w:rsidP="0091485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53E743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7FE545B" w14:textId="77777777" w:rsidR="00F35BAF" w:rsidRPr="00DB58B5" w:rsidRDefault="00914850" w:rsidP="00914850">
            <w:pPr>
              <w:jc w:val="right"/>
            </w:pPr>
            <w:r w:rsidRPr="00914850">
              <w:rPr>
                <w:sz w:val="40"/>
              </w:rPr>
              <w:t>ECE</w:t>
            </w:r>
            <w:r>
              <w:t>/TRANS/WP.11/237/Corr.1</w:t>
            </w:r>
          </w:p>
        </w:tc>
      </w:tr>
      <w:tr w:rsidR="00F35BAF" w:rsidRPr="00DB58B5" w14:paraId="27695E9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24D356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3DAE723" wp14:editId="2FE2180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066DD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CB168AB" w14:textId="77777777" w:rsidR="00F35BAF" w:rsidRDefault="00914850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0D091023" w14:textId="77777777" w:rsidR="00914850" w:rsidRDefault="00914850" w:rsidP="00914850">
            <w:pPr>
              <w:spacing w:line="240" w:lineRule="exact"/>
            </w:pPr>
            <w:r>
              <w:t>18 juillet 2019</w:t>
            </w:r>
          </w:p>
          <w:p w14:paraId="2FBCC20B" w14:textId="77777777" w:rsidR="00914850" w:rsidRDefault="00914850" w:rsidP="00914850">
            <w:pPr>
              <w:spacing w:line="240" w:lineRule="exact"/>
            </w:pPr>
            <w:r>
              <w:t>Français</w:t>
            </w:r>
          </w:p>
          <w:p w14:paraId="776CE3BA" w14:textId="77777777" w:rsidR="00914850" w:rsidRPr="00DB58B5" w:rsidRDefault="00914850" w:rsidP="00914850">
            <w:pPr>
              <w:spacing w:line="240" w:lineRule="exact"/>
            </w:pPr>
            <w:r>
              <w:t>Original : anglais</w:t>
            </w:r>
          </w:p>
        </w:tc>
      </w:tr>
    </w:tbl>
    <w:p w14:paraId="105DAE3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4F1C0D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97F9C71" w14:textId="77777777" w:rsidR="00AB6E4A" w:rsidRPr="00C51741" w:rsidRDefault="00AB6E4A" w:rsidP="00AB6E4A">
      <w:pPr>
        <w:spacing w:before="120"/>
        <w:rPr>
          <w:b/>
          <w:sz w:val="24"/>
          <w:szCs w:val="24"/>
        </w:rPr>
      </w:pPr>
      <w:r w:rsidRPr="00C51741">
        <w:rPr>
          <w:b/>
          <w:bCs/>
          <w:sz w:val="24"/>
          <w:szCs w:val="24"/>
          <w:lang w:val="fr-FR"/>
        </w:rPr>
        <w:t>Groupe de travail du transport des denrées périssables</w:t>
      </w:r>
    </w:p>
    <w:p w14:paraId="2FA19F00" w14:textId="77777777" w:rsidR="00AB6E4A" w:rsidRPr="00D73DBB" w:rsidRDefault="00AB6E4A" w:rsidP="00AB6E4A">
      <w:pPr>
        <w:spacing w:before="120"/>
        <w:rPr>
          <w:b/>
        </w:rPr>
      </w:pPr>
      <w:r>
        <w:rPr>
          <w:b/>
          <w:bCs/>
          <w:lang w:val="fr-FR"/>
        </w:rPr>
        <w:t>Soixante-treizième session</w:t>
      </w:r>
    </w:p>
    <w:p w14:paraId="665D97E4" w14:textId="77777777" w:rsidR="00AB6E4A" w:rsidRPr="00D73DBB" w:rsidRDefault="00AB6E4A" w:rsidP="00AD51DF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Rapport du Groupe de travail du transport des denrées périssables sur sa soixante-treizième session</w:t>
      </w:r>
      <w:bookmarkStart w:id="1" w:name="_Toc432670158"/>
      <w:bookmarkEnd w:id="1"/>
    </w:p>
    <w:p w14:paraId="2F98FE50" w14:textId="77777777" w:rsidR="00AB6E4A" w:rsidRPr="00D73DBB" w:rsidRDefault="00AD51DF" w:rsidP="00AD51DF">
      <w:pPr>
        <w:pStyle w:val="H56G"/>
      </w:pPr>
      <w:r>
        <w:rPr>
          <w:lang w:val="fr-FR"/>
        </w:rPr>
        <w:tab/>
      </w:r>
      <w:r>
        <w:rPr>
          <w:lang w:val="fr-FR"/>
        </w:rPr>
        <w:tab/>
      </w:r>
      <w:proofErr w:type="gramStart"/>
      <w:r w:rsidR="00AB6E4A">
        <w:rPr>
          <w:lang w:val="fr-FR"/>
        </w:rPr>
        <w:t>tenue</w:t>
      </w:r>
      <w:proofErr w:type="gramEnd"/>
      <w:r w:rsidR="00AB6E4A">
        <w:rPr>
          <w:lang w:val="fr-FR"/>
        </w:rPr>
        <w:t xml:space="preserve"> à Genève, du 10 au 13 octobre 2017</w:t>
      </w:r>
    </w:p>
    <w:p w14:paraId="1B611FE7" w14:textId="77777777" w:rsidR="00AB6E4A" w:rsidRDefault="00AB6E4A" w:rsidP="00AD51DF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Rectificatif</w:t>
      </w:r>
    </w:p>
    <w:p w14:paraId="7811966A" w14:textId="77777777" w:rsidR="00AB6E4A" w:rsidRPr="0080631B" w:rsidRDefault="00AD51DF" w:rsidP="00AD51DF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 w:rsidR="00AB6E4A">
        <w:rPr>
          <w:lang w:val="fr-FR"/>
        </w:rPr>
        <w:t>Annexe I, page 1</w:t>
      </w:r>
      <w:r w:rsidR="00192A6D">
        <w:rPr>
          <w:lang w:val="fr-FR"/>
        </w:rPr>
        <w:t>8</w:t>
      </w:r>
      <w:r w:rsidR="00AB6E4A">
        <w:rPr>
          <w:lang w:val="fr-FR"/>
        </w:rPr>
        <w:t>, proposition d’amendement 1</w:t>
      </w:r>
    </w:p>
    <w:p w14:paraId="55C454DF" w14:textId="77777777" w:rsidR="00AB6E4A" w:rsidRDefault="00AB6E4A" w:rsidP="00AB6E4A">
      <w:pPr>
        <w:pStyle w:val="SingleTxtG"/>
      </w:pPr>
      <w:r>
        <w:rPr>
          <w:i/>
          <w:iCs/>
          <w:lang w:val="fr-FR"/>
        </w:rPr>
        <w:t>Remplacer</w:t>
      </w:r>
    </w:p>
    <w:p w14:paraId="67F8CC4C" w14:textId="77777777" w:rsidR="00AB6E4A" w:rsidRPr="00042477" w:rsidRDefault="00AB6E4A" w:rsidP="00AB6E4A">
      <w:pPr>
        <w:pStyle w:val="H23G"/>
        <w:rPr>
          <w:spacing w:val="4"/>
          <w:w w:val="103"/>
          <w:kern w:val="14"/>
        </w:rPr>
      </w:pPr>
      <w:r>
        <w:rPr>
          <w:bCs/>
          <w:lang w:val="fr-FR"/>
        </w:rPr>
        <w:tab/>
        <w:t>1.</w:t>
      </w:r>
      <w:r>
        <w:rPr>
          <w:lang w:val="fr-FR"/>
        </w:rPr>
        <w:tab/>
      </w:r>
      <w:r>
        <w:rPr>
          <w:bCs/>
          <w:lang w:val="fr-FR"/>
        </w:rPr>
        <w:t xml:space="preserve">Annexe 1, appendice 2, modèles </w:t>
      </w:r>
      <w:r w:rsidR="00AD51DF" w:rsidRPr="00AD51DF">
        <w:rPr>
          <w:rFonts w:eastAsia="MS Mincho"/>
          <w:bCs/>
          <w:lang w:val="fr-FR"/>
        </w:rPr>
        <w:t>n</w:t>
      </w:r>
      <w:r w:rsidR="00AD51DF" w:rsidRPr="00AD51DF">
        <w:rPr>
          <w:rFonts w:eastAsia="MS Mincho"/>
          <w:bCs/>
          <w:vertAlign w:val="superscript"/>
          <w:lang w:val="fr-FR"/>
        </w:rPr>
        <w:t>o</w:t>
      </w:r>
      <w:r w:rsidR="00AD51DF">
        <w:rPr>
          <w:rFonts w:eastAsia="MS Mincho"/>
          <w:bCs/>
          <w:vertAlign w:val="superscript"/>
          <w:lang w:val="fr-FR"/>
        </w:rPr>
        <w:t>s</w:t>
      </w:r>
      <w:r w:rsidR="00AD51DF">
        <w:rPr>
          <w:bCs/>
          <w:lang w:val="fr-FR"/>
        </w:rPr>
        <w:t> </w:t>
      </w:r>
      <w:r>
        <w:rPr>
          <w:bCs/>
          <w:lang w:val="fr-FR"/>
        </w:rPr>
        <w:t>5, 7, 9 et 11 de procès</w:t>
      </w:r>
      <w:r w:rsidR="00980898">
        <w:rPr>
          <w:bCs/>
          <w:lang w:val="fr-FR"/>
        </w:rPr>
        <w:t>-</w:t>
      </w:r>
      <w:r>
        <w:rPr>
          <w:bCs/>
          <w:lang w:val="fr-FR"/>
        </w:rPr>
        <w:t>verbal d’essai</w:t>
      </w:r>
    </w:p>
    <w:p w14:paraId="4EC25EEB" w14:textId="77777777" w:rsidR="00AB6E4A" w:rsidRPr="00997C5C" w:rsidRDefault="00AB6E4A" w:rsidP="00AB6E4A">
      <w:pPr>
        <w:pStyle w:val="SingleTxtG"/>
        <w:rPr>
          <w:rFonts w:asciiTheme="majorBidi" w:hAnsiTheme="majorBidi" w:cstheme="majorBidi"/>
        </w:rPr>
      </w:pPr>
      <w:r>
        <w:rPr>
          <w:lang w:val="fr-FR"/>
        </w:rPr>
        <w:t xml:space="preserve">Sous </w:t>
      </w:r>
      <w:r w:rsidR="00980898">
        <w:rPr>
          <w:lang w:val="fr-FR"/>
        </w:rPr>
        <w:t>« </w:t>
      </w:r>
      <w:r>
        <w:rPr>
          <w:b/>
          <w:bCs/>
          <w:lang w:val="fr-FR"/>
        </w:rPr>
        <w:t>Charge de frigorigène</w:t>
      </w:r>
      <w:r w:rsidR="00980898">
        <w:rPr>
          <w:lang w:val="fr-FR"/>
        </w:rPr>
        <w:t> »</w:t>
      </w:r>
      <w:r>
        <w:rPr>
          <w:lang w:val="fr-FR"/>
        </w:rPr>
        <w:t xml:space="preserve"> remplacer </w:t>
      </w:r>
      <w:r w:rsidR="00980898">
        <w:rPr>
          <w:lang w:val="fr-FR"/>
        </w:rPr>
        <w:t>« </w:t>
      </w:r>
      <w:r>
        <w:rPr>
          <w:lang w:val="fr-FR"/>
        </w:rPr>
        <w:t>Fluide frigorigène</w:t>
      </w:r>
      <w:r w:rsidR="00980898">
        <w:rPr>
          <w:lang w:val="fr-FR"/>
        </w:rPr>
        <w:t> </w:t>
      </w:r>
      <w:r>
        <w:rPr>
          <w:lang w:val="fr-FR"/>
        </w:rPr>
        <w:t>: Nature</w:t>
      </w:r>
      <w:r w:rsidR="00980898">
        <w:rPr>
          <w:lang w:val="fr-FR"/>
        </w:rPr>
        <w:t> </w:t>
      </w:r>
      <w:r>
        <w:rPr>
          <w:lang w:val="fr-FR"/>
        </w:rPr>
        <w:t>» par «</w:t>
      </w:r>
      <w:r w:rsidR="00980898">
        <w:rPr>
          <w:lang w:val="fr-FR"/>
        </w:rPr>
        <w:t> </w:t>
      </w:r>
      <w:r>
        <w:rPr>
          <w:lang w:val="fr-FR"/>
        </w:rPr>
        <w:t>Fluide frigorigène</w:t>
      </w:r>
      <w:r w:rsidR="00980898">
        <w:rPr>
          <w:lang w:val="fr-FR"/>
        </w:rPr>
        <w:t> </w:t>
      </w:r>
      <w:r>
        <w:rPr>
          <w:lang w:val="fr-FR"/>
        </w:rPr>
        <w:t xml:space="preserve">: (ISO/Désignation </w:t>
      </w:r>
      <w:proofErr w:type="gramStart"/>
      <w:r>
        <w:rPr>
          <w:lang w:val="fr-FR"/>
        </w:rPr>
        <w:t>ASHRAE)</w:t>
      </w:r>
      <w:r w:rsidRPr="00980898">
        <w:rPr>
          <w:sz w:val="18"/>
          <w:szCs w:val="18"/>
          <w:vertAlign w:val="superscript"/>
          <w:lang w:val="fr-FR"/>
        </w:rPr>
        <w:t>a</w:t>
      </w:r>
      <w:proofErr w:type="gramEnd"/>
      <w:r w:rsidR="00980898">
        <w:rPr>
          <w:lang w:val="fr-FR"/>
        </w:rPr>
        <w:t> </w:t>
      </w:r>
      <w:r>
        <w:rPr>
          <w:lang w:val="fr-FR"/>
        </w:rPr>
        <w:t>».</w:t>
      </w:r>
    </w:p>
    <w:p w14:paraId="11C03903" w14:textId="77777777" w:rsidR="00AB6E4A" w:rsidRDefault="00AB6E4A" w:rsidP="00AB6E4A">
      <w:pPr>
        <w:pStyle w:val="SingleTxtG"/>
        <w:rPr>
          <w:spacing w:val="4"/>
          <w:w w:val="103"/>
          <w:kern w:val="14"/>
        </w:rPr>
      </w:pPr>
      <w:r>
        <w:rPr>
          <w:lang w:val="fr-FR"/>
        </w:rPr>
        <w:t>La note de bas de page se lit comme suit</w:t>
      </w:r>
      <w:r w:rsidR="00980898">
        <w:rPr>
          <w:lang w:val="fr-FR"/>
        </w:rPr>
        <w:t> </w:t>
      </w:r>
      <w:r>
        <w:rPr>
          <w:lang w:val="fr-FR"/>
        </w:rPr>
        <w:t>:</w:t>
      </w:r>
    </w:p>
    <w:p w14:paraId="1657E130" w14:textId="77777777" w:rsidR="00AB6E4A" w:rsidRDefault="00AB6E4A" w:rsidP="00AB6E4A">
      <w:pPr>
        <w:pStyle w:val="SingleTxtG"/>
        <w:rPr>
          <w:spacing w:val="4"/>
          <w:w w:val="103"/>
          <w:kern w:val="14"/>
        </w:rPr>
      </w:pPr>
      <w:r>
        <w:rPr>
          <w:lang w:val="fr-FR"/>
        </w:rPr>
        <w:t>«</w:t>
      </w:r>
      <w:r w:rsidR="00980898">
        <w:rPr>
          <w:lang w:val="fr-FR"/>
        </w:rPr>
        <w:t> </w:t>
      </w:r>
      <w:proofErr w:type="gramStart"/>
      <w:r w:rsidR="008C0BF4" w:rsidRPr="008C0BF4">
        <w:rPr>
          <w:sz w:val="18"/>
          <w:szCs w:val="18"/>
          <w:vertAlign w:val="superscript"/>
          <w:lang w:val="fr-FR"/>
        </w:rPr>
        <w:t>a</w:t>
      </w:r>
      <w:proofErr w:type="gramEnd"/>
      <w:r w:rsidR="008C0BF4">
        <w:rPr>
          <w:lang w:val="fr-FR"/>
        </w:rPr>
        <w:tab/>
      </w:r>
      <w:r w:rsidRPr="008C0BF4">
        <w:rPr>
          <w:iCs/>
          <w:lang w:val="fr-FR"/>
        </w:rPr>
        <w:t>Le cas échéant</w:t>
      </w:r>
      <w:r>
        <w:rPr>
          <w:i/>
          <w:iCs/>
          <w:lang w:val="fr-FR"/>
        </w:rPr>
        <w:t>.</w:t>
      </w:r>
      <w:r w:rsidR="008C0BF4">
        <w:rPr>
          <w:i/>
          <w:iCs/>
          <w:lang w:val="fr-FR"/>
        </w:rPr>
        <w:t> </w:t>
      </w:r>
      <w:r>
        <w:rPr>
          <w:lang w:val="fr-FR"/>
        </w:rPr>
        <w:t>».</w:t>
      </w:r>
    </w:p>
    <w:p w14:paraId="4466B1A6" w14:textId="77777777" w:rsidR="00AB6E4A" w:rsidRPr="009862FC" w:rsidRDefault="00AB6E4A" w:rsidP="00AB6E4A">
      <w:pPr>
        <w:pStyle w:val="SingleTxtG"/>
        <w:rPr>
          <w:i/>
          <w:iCs/>
        </w:rPr>
      </w:pPr>
      <w:r>
        <w:rPr>
          <w:i/>
          <w:iCs/>
          <w:lang w:val="fr-FR"/>
        </w:rPr>
        <w:t>Par</w:t>
      </w:r>
    </w:p>
    <w:p w14:paraId="32BA0486" w14:textId="77777777" w:rsidR="00AB6E4A" w:rsidRPr="009862FC" w:rsidRDefault="00AB6E4A" w:rsidP="008C0BF4">
      <w:pPr>
        <w:pStyle w:val="H23G"/>
        <w:rPr>
          <w:spacing w:val="4"/>
          <w:w w:val="103"/>
          <w:kern w:val="14"/>
        </w:rPr>
      </w:pPr>
      <w:r>
        <w:rPr>
          <w:lang w:val="fr-FR"/>
        </w:rPr>
        <w:tab/>
        <w:t>1.</w:t>
      </w:r>
      <w:r>
        <w:rPr>
          <w:lang w:val="fr-FR"/>
        </w:rPr>
        <w:tab/>
        <w:t xml:space="preserve">Annexe 1, appendice 2, modèles </w:t>
      </w:r>
      <w:r w:rsidR="008C0BF4" w:rsidRPr="00AD51DF">
        <w:rPr>
          <w:rFonts w:eastAsia="MS Mincho"/>
          <w:bCs/>
          <w:lang w:val="fr-FR"/>
        </w:rPr>
        <w:t>n</w:t>
      </w:r>
      <w:r w:rsidR="008C0BF4" w:rsidRPr="00AD51DF">
        <w:rPr>
          <w:rFonts w:eastAsia="MS Mincho"/>
          <w:bCs/>
          <w:vertAlign w:val="superscript"/>
          <w:lang w:val="fr-FR"/>
        </w:rPr>
        <w:t>o</w:t>
      </w:r>
      <w:r w:rsidR="008C0BF4">
        <w:rPr>
          <w:rFonts w:eastAsia="MS Mincho"/>
          <w:bCs/>
          <w:vertAlign w:val="superscript"/>
          <w:lang w:val="fr-FR"/>
        </w:rPr>
        <w:t>s</w:t>
      </w:r>
      <w:r w:rsidR="008C0BF4">
        <w:rPr>
          <w:bCs/>
          <w:lang w:val="fr-FR"/>
        </w:rPr>
        <w:t> 5</w:t>
      </w:r>
      <w:r>
        <w:rPr>
          <w:lang w:val="fr-FR"/>
        </w:rPr>
        <w:t>, 7, 9 et 11 de procès-verbal d’essai</w:t>
      </w:r>
    </w:p>
    <w:p w14:paraId="254C4CA4" w14:textId="77777777" w:rsidR="00AB6E4A" w:rsidRPr="009862FC" w:rsidRDefault="00AB6E4A" w:rsidP="00AB6E4A">
      <w:pPr>
        <w:pStyle w:val="SingleTxtG"/>
      </w:pPr>
      <w:r>
        <w:rPr>
          <w:lang w:val="fr-FR"/>
        </w:rPr>
        <w:t>Remplacer «</w:t>
      </w:r>
      <w:r w:rsidR="008C0BF4">
        <w:rPr>
          <w:lang w:val="fr-FR"/>
        </w:rPr>
        <w:t> </w:t>
      </w:r>
      <w:r>
        <w:rPr>
          <w:lang w:val="fr-FR"/>
        </w:rPr>
        <w:t>Nature du frigorigène et charge</w:t>
      </w:r>
      <w:r w:rsidR="008C0BF4">
        <w:rPr>
          <w:lang w:val="fr-FR"/>
        </w:rPr>
        <w:t xml:space="preserve"> </w:t>
      </w:r>
      <w:r w:rsidR="00BC7AB6">
        <w:rPr>
          <w:lang w:val="fr-FR"/>
        </w:rPr>
        <w:t>…</w:t>
      </w:r>
      <w:r>
        <w:rPr>
          <w:lang w:val="fr-FR"/>
        </w:rPr>
        <w:t xml:space="preserve"> kg</w:t>
      </w:r>
      <w:r w:rsidR="008C0BF4">
        <w:rPr>
          <w:lang w:val="fr-FR"/>
        </w:rPr>
        <w:t> </w:t>
      </w:r>
      <w:r>
        <w:rPr>
          <w:lang w:val="fr-FR"/>
        </w:rPr>
        <w:t xml:space="preserve">» par </w:t>
      </w:r>
    </w:p>
    <w:p w14:paraId="7B24FFC0" w14:textId="77777777" w:rsidR="00AB6E4A" w:rsidRPr="009862FC" w:rsidRDefault="00AB6E4A" w:rsidP="00AB6E4A">
      <w:pPr>
        <w:pStyle w:val="SingleTxtG"/>
      </w:pPr>
      <w:r>
        <w:rPr>
          <w:lang w:val="fr-FR"/>
        </w:rPr>
        <w:t>«</w:t>
      </w:r>
      <w:r w:rsidR="00BC7AB6">
        <w:rPr>
          <w:lang w:val="fr-FR"/>
        </w:rPr>
        <w:t> </w:t>
      </w:r>
      <w:r>
        <w:rPr>
          <w:b/>
          <w:bCs/>
          <w:lang w:val="fr-FR"/>
        </w:rPr>
        <w:t>Charge de frigorigène</w:t>
      </w:r>
      <w:r>
        <w:rPr>
          <w:lang w:val="fr-FR"/>
        </w:rPr>
        <w:t xml:space="preserve"> </w:t>
      </w:r>
    </w:p>
    <w:p w14:paraId="5574503A" w14:textId="77777777" w:rsidR="00AB6E4A" w:rsidRPr="009862FC" w:rsidRDefault="00AB6E4A" w:rsidP="009736DE">
      <w:pPr>
        <w:pStyle w:val="SingleTxtG"/>
        <w:tabs>
          <w:tab w:val="right" w:leader="dot" w:pos="8504"/>
        </w:tabs>
      </w:pPr>
      <w:r>
        <w:rPr>
          <w:lang w:val="fr-FR"/>
        </w:rPr>
        <w:t>Fluide frigorigène (dénomination ISO/</w:t>
      </w:r>
      <w:proofErr w:type="gramStart"/>
      <w:r>
        <w:rPr>
          <w:lang w:val="fr-FR"/>
        </w:rPr>
        <w:t>ASHRAE)</w:t>
      </w:r>
      <w:r w:rsidRPr="00BC7AB6">
        <w:rPr>
          <w:sz w:val="18"/>
          <w:szCs w:val="18"/>
          <w:vertAlign w:val="superscript"/>
          <w:lang w:val="fr-FR"/>
        </w:rPr>
        <w:t>a</w:t>
      </w:r>
      <w:proofErr w:type="gramEnd"/>
      <w:r w:rsidR="00BC7AB6">
        <w:rPr>
          <w:sz w:val="18"/>
          <w:szCs w:val="18"/>
          <w:vertAlign w:val="superscript"/>
          <w:lang w:val="fr-FR"/>
        </w:rPr>
        <w:t> </w:t>
      </w:r>
      <w:r>
        <w:rPr>
          <w:lang w:val="fr-FR"/>
        </w:rPr>
        <w:t xml:space="preserve">: </w:t>
      </w:r>
      <w:r w:rsidR="00051B0C">
        <w:rPr>
          <w:lang w:val="fr-FR"/>
        </w:rPr>
        <w:tab/>
      </w:r>
    </w:p>
    <w:p w14:paraId="6A369510" w14:textId="77777777" w:rsidR="00AB6E4A" w:rsidRPr="009862FC" w:rsidRDefault="00AB6E4A" w:rsidP="009736DE">
      <w:pPr>
        <w:pStyle w:val="SingleTxtG"/>
        <w:tabs>
          <w:tab w:val="right" w:leader="dot" w:pos="8504"/>
        </w:tabs>
      </w:pPr>
      <w:r>
        <w:rPr>
          <w:lang w:val="fr-FR"/>
        </w:rPr>
        <w:t xml:space="preserve">Masse nominale en fluide frigorigène </w:t>
      </w:r>
      <w:r w:rsidR="009736DE">
        <w:rPr>
          <w:lang w:val="fr-FR"/>
        </w:rPr>
        <w:tab/>
      </w:r>
      <w:r w:rsidR="00BC7AB6">
        <w:rPr>
          <w:lang w:val="fr-FR"/>
        </w:rPr>
        <w:t> </w:t>
      </w:r>
      <w:r>
        <w:rPr>
          <w:lang w:val="fr-FR"/>
        </w:rPr>
        <w:t>».</w:t>
      </w:r>
    </w:p>
    <w:p w14:paraId="4B017867" w14:textId="77777777" w:rsidR="00BC7AB6" w:rsidRDefault="00AB6E4A" w:rsidP="00AB6E4A">
      <w:pPr>
        <w:pStyle w:val="SingleTxtG"/>
        <w:rPr>
          <w:lang w:val="fr-FR"/>
        </w:rPr>
      </w:pPr>
      <w:r>
        <w:rPr>
          <w:lang w:val="fr-FR"/>
        </w:rPr>
        <w:t>La note de bas de page se lit comme suit</w:t>
      </w:r>
      <w:r w:rsidR="00BC7AB6">
        <w:rPr>
          <w:lang w:val="fr-FR"/>
        </w:rPr>
        <w:t> </w:t>
      </w:r>
      <w:r>
        <w:rPr>
          <w:lang w:val="fr-FR"/>
        </w:rPr>
        <w:t xml:space="preserve">: </w:t>
      </w:r>
    </w:p>
    <w:p w14:paraId="1274EF59" w14:textId="77777777" w:rsidR="00BC7AB6" w:rsidRDefault="00BC7AB6" w:rsidP="00BC7AB6">
      <w:pPr>
        <w:pStyle w:val="SingleTxtG"/>
        <w:rPr>
          <w:spacing w:val="4"/>
          <w:w w:val="103"/>
          <w:kern w:val="14"/>
        </w:rPr>
      </w:pPr>
      <w:r>
        <w:rPr>
          <w:lang w:val="fr-FR"/>
        </w:rPr>
        <w:t>« </w:t>
      </w:r>
      <w:proofErr w:type="gramStart"/>
      <w:r w:rsidRPr="008C0BF4">
        <w:rPr>
          <w:sz w:val="18"/>
          <w:szCs w:val="18"/>
          <w:vertAlign w:val="superscript"/>
          <w:lang w:val="fr-FR"/>
        </w:rPr>
        <w:t>a</w:t>
      </w:r>
      <w:proofErr w:type="gramEnd"/>
      <w:r>
        <w:rPr>
          <w:lang w:val="fr-FR"/>
        </w:rPr>
        <w:tab/>
      </w:r>
      <w:r w:rsidRPr="008C0BF4">
        <w:rPr>
          <w:iCs/>
          <w:lang w:val="fr-FR"/>
        </w:rPr>
        <w:t>Le cas échéant</w:t>
      </w:r>
      <w:r>
        <w:rPr>
          <w:i/>
          <w:iCs/>
          <w:lang w:val="fr-FR"/>
        </w:rPr>
        <w:t>. </w:t>
      </w:r>
      <w:r>
        <w:rPr>
          <w:lang w:val="fr-FR"/>
        </w:rPr>
        <w:t>».</w:t>
      </w:r>
    </w:p>
    <w:p w14:paraId="2B0EDA56" w14:textId="77777777" w:rsidR="00F9573C" w:rsidRPr="00051B0C" w:rsidRDefault="00051B0C" w:rsidP="00051B0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051B0C" w:rsidSect="0091485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AB210" w14:textId="77777777" w:rsidR="00EF11C4" w:rsidRDefault="00EF11C4" w:rsidP="00F95C08">
      <w:pPr>
        <w:spacing w:line="240" w:lineRule="auto"/>
      </w:pPr>
    </w:p>
  </w:endnote>
  <w:endnote w:type="continuationSeparator" w:id="0">
    <w:p w14:paraId="6E956ECC" w14:textId="77777777" w:rsidR="00EF11C4" w:rsidRPr="00AC3823" w:rsidRDefault="00EF11C4" w:rsidP="00AC3823">
      <w:pPr>
        <w:pStyle w:val="Footer"/>
      </w:pPr>
    </w:p>
  </w:endnote>
  <w:endnote w:type="continuationNotice" w:id="1">
    <w:p w14:paraId="2633F8A4" w14:textId="77777777" w:rsidR="00EF11C4" w:rsidRDefault="00EF11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88242" w14:textId="77777777" w:rsidR="00914850" w:rsidRPr="00914850" w:rsidRDefault="00914850" w:rsidP="00914850">
    <w:pPr>
      <w:pStyle w:val="Footer"/>
      <w:tabs>
        <w:tab w:val="right" w:pos="9638"/>
      </w:tabs>
    </w:pPr>
    <w:r w:rsidRPr="00914850">
      <w:rPr>
        <w:b/>
        <w:sz w:val="18"/>
      </w:rPr>
      <w:fldChar w:fldCharType="begin"/>
    </w:r>
    <w:r w:rsidRPr="00914850">
      <w:rPr>
        <w:b/>
        <w:sz w:val="18"/>
      </w:rPr>
      <w:instrText xml:space="preserve"> PAGE  \* MERGEFORMAT </w:instrText>
    </w:r>
    <w:r w:rsidRPr="00914850">
      <w:rPr>
        <w:b/>
        <w:sz w:val="18"/>
      </w:rPr>
      <w:fldChar w:fldCharType="separate"/>
    </w:r>
    <w:r w:rsidRPr="00914850">
      <w:rPr>
        <w:b/>
        <w:noProof/>
        <w:sz w:val="18"/>
      </w:rPr>
      <w:t>2</w:t>
    </w:r>
    <w:r w:rsidRPr="00914850">
      <w:rPr>
        <w:b/>
        <w:sz w:val="18"/>
      </w:rPr>
      <w:fldChar w:fldCharType="end"/>
    </w:r>
    <w:r>
      <w:rPr>
        <w:b/>
        <w:sz w:val="18"/>
      </w:rPr>
      <w:tab/>
    </w:r>
    <w:r>
      <w:t>GE.19-12251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642E" w14:textId="77777777" w:rsidR="00914850" w:rsidRPr="00914850" w:rsidRDefault="00914850" w:rsidP="00914850">
    <w:pPr>
      <w:pStyle w:val="Footer"/>
      <w:tabs>
        <w:tab w:val="right" w:pos="9638"/>
      </w:tabs>
      <w:rPr>
        <w:b/>
        <w:sz w:val="18"/>
      </w:rPr>
    </w:pPr>
    <w:r>
      <w:t>GE.19-12251</w:t>
    </w:r>
    <w:r>
      <w:tab/>
    </w:r>
    <w:r w:rsidRPr="00914850">
      <w:rPr>
        <w:b/>
        <w:sz w:val="18"/>
      </w:rPr>
      <w:fldChar w:fldCharType="begin"/>
    </w:r>
    <w:r w:rsidRPr="00914850">
      <w:rPr>
        <w:b/>
        <w:sz w:val="18"/>
      </w:rPr>
      <w:instrText xml:space="preserve"> PAGE  \* MERGEFORMAT </w:instrText>
    </w:r>
    <w:r w:rsidRPr="00914850">
      <w:rPr>
        <w:b/>
        <w:sz w:val="18"/>
      </w:rPr>
      <w:fldChar w:fldCharType="separate"/>
    </w:r>
    <w:r w:rsidRPr="00914850">
      <w:rPr>
        <w:b/>
        <w:noProof/>
        <w:sz w:val="18"/>
      </w:rPr>
      <w:t>3</w:t>
    </w:r>
    <w:r w:rsidRPr="0091485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CE499" w14:textId="77777777" w:rsidR="007F20FA" w:rsidRPr="00914850" w:rsidRDefault="00914850" w:rsidP="0091485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99366CF" wp14:editId="46DBDE3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12251  (</w:t>
    </w:r>
    <w:proofErr w:type="gramEnd"/>
    <w:r>
      <w:rPr>
        <w:sz w:val="20"/>
      </w:rPr>
      <w:t>F)    270819    060919</w:t>
    </w:r>
    <w:r>
      <w:rPr>
        <w:sz w:val="20"/>
      </w:rPr>
      <w:br/>
    </w:r>
    <w:r w:rsidRPr="00914850">
      <w:rPr>
        <w:rFonts w:ascii="C39T30Lfz" w:hAnsi="C39T30Lfz"/>
        <w:sz w:val="56"/>
      </w:rPr>
      <w:t></w:t>
    </w:r>
    <w:r w:rsidRPr="00914850">
      <w:rPr>
        <w:rFonts w:ascii="C39T30Lfz" w:hAnsi="C39T30Lfz"/>
        <w:sz w:val="56"/>
      </w:rPr>
      <w:t></w:t>
    </w:r>
    <w:r w:rsidRPr="00914850">
      <w:rPr>
        <w:rFonts w:ascii="C39T30Lfz" w:hAnsi="C39T30Lfz"/>
        <w:sz w:val="56"/>
      </w:rPr>
      <w:t></w:t>
    </w:r>
    <w:r w:rsidRPr="00914850">
      <w:rPr>
        <w:rFonts w:ascii="C39T30Lfz" w:hAnsi="C39T30Lfz"/>
        <w:sz w:val="56"/>
      </w:rPr>
      <w:t></w:t>
    </w:r>
    <w:r w:rsidRPr="00914850">
      <w:rPr>
        <w:rFonts w:ascii="C39T30Lfz" w:hAnsi="C39T30Lfz"/>
        <w:sz w:val="56"/>
      </w:rPr>
      <w:t></w:t>
    </w:r>
    <w:r w:rsidRPr="00914850">
      <w:rPr>
        <w:rFonts w:ascii="C39T30Lfz" w:hAnsi="C39T30Lfz"/>
        <w:sz w:val="56"/>
      </w:rPr>
      <w:t></w:t>
    </w:r>
    <w:r w:rsidRPr="00914850">
      <w:rPr>
        <w:rFonts w:ascii="C39T30Lfz" w:hAnsi="C39T30Lfz"/>
        <w:sz w:val="56"/>
      </w:rPr>
      <w:t></w:t>
    </w:r>
    <w:r w:rsidRPr="00914850">
      <w:rPr>
        <w:rFonts w:ascii="C39T30Lfz" w:hAnsi="C39T30Lfz"/>
        <w:sz w:val="56"/>
      </w:rPr>
      <w:t></w:t>
    </w:r>
    <w:r w:rsidRPr="0091485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BE843E8" wp14:editId="1882256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37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37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FECF5" w14:textId="77777777" w:rsidR="00EF11C4" w:rsidRPr="00AC3823" w:rsidRDefault="00EF11C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C9C4BA" w14:textId="77777777" w:rsidR="00EF11C4" w:rsidRPr="00AC3823" w:rsidRDefault="00EF11C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9C6E0EC" w14:textId="77777777" w:rsidR="00EF11C4" w:rsidRPr="00AC3823" w:rsidRDefault="00EF11C4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853E4" w14:textId="12C1AF04" w:rsidR="00914850" w:rsidRPr="00914850" w:rsidRDefault="00A40BA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ECE/TRANS/WP.11/237/Corr.1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AF6D" w14:textId="3521B623" w:rsidR="00914850" w:rsidRPr="00914850" w:rsidRDefault="00A40BA8" w:rsidP="0091485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ECE/TRANS/WP.11/237/Corr.1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C4"/>
    <w:rsid w:val="00017F94"/>
    <w:rsid w:val="00023842"/>
    <w:rsid w:val="000334F9"/>
    <w:rsid w:val="00045FEB"/>
    <w:rsid w:val="00051B0C"/>
    <w:rsid w:val="0007796D"/>
    <w:rsid w:val="000B7790"/>
    <w:rsid w:val="00111F2F"/>
    <w:rsid w:val="0014365E"/>
    <w:rsid w:val="00143C66"/>
    <w:rsid w:val="00176178"/>
    <w:rsid w:val="00192A6D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C0BF4"/>
    <w:rsid w:val="00914850"/>
    <w:rsid w:val="009446C0"/>
    <w:rsid w:val="009705C8"/>
    <w:rsid w:val="009736DE"/>
    <w:rsid w:val="00980898"/>
    <w:rsid w:val="009C1CF4"/>
    <w:rsid w:val="009F6B74"/>
    <w:rsid w:val="00A3029F"/>
    <w:rsid w:val="00A30353"/>
    <w:rsid w:val="00A40BA8"/>
    <w:rsid w:val="00AB6E4A"/>
    <w:rsid w:val="00AC3823"/>
    <w:rsid w:val="00AD51DF"/>
    <w:rsid w:val="00AE323C"/>
    <w:rsid w:val="00AF0CB5"/>
    <w:rsid w:val="00B00181"/>
    <w:rsid w:val="00B00B0D"/>
    <w:rsid w:val="00B45F2E"/>
    <w:rsid w:val="00B72062"/>
    <w:rsid w:val="00B765F7"/>
    <w:rsid w:val="00BA0CA9"/>
    <w:rsid w:val="00BC7AB6"/>
    <w:rsid w:val="00C02897"/>
    <w:rsid w:val="00C51741"/>
    <w:rsid w:val="00C97039"/>
    <w:rsid w:val="00D3439C"/>
    <w:rsid w:val="00DB1831"/>
    <w:rsid w:val="00DD3BFD"/>
    <w:rsid w:val="00DF6678"/>
    <w:rsid w:val="00E0299A"/>
    <w:rsid w:val="00E85C74"/>
    <w:rsid w:val="00EA6547"/>
    <w:rsid w:val="00EF11C4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1C26AB"/>
  <w15:docId w15:val="{CC654AAA-C853-4AB0-BAA6-FA6319B0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AB6E4A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AB6E4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23GChar">
    <w:name w:val="_ H_2/3_G Char"/>
    <w:link w:val="H23G"/>
    <w:rsid w:val="00AB6E4A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ECE/TRANS/WP.11/237/Corr.1</vt:lpstr>
      <vt:lpstr>ECE/TRANS/WP.11/237/Corr.1</vt:lpstr>
    </vt:vector>
  </TitlesOfParts>
  <Company>DCM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ECE/TRANS/WP.11/237/Corr.1</dc:title>
  <dc:subject/>
  <dc:creator>Nathalie VITTOZ</dc:creator>
  <cp:keywords/>
  <cp:lastModifiedBy>Marie-Claude Collet</cp:lastModifiedBy>
  <cp:revision>3</cp:revision>
  <cp:lastPrinted>2019-09-18T11:30:00Z</cp:lastPrinted>
  <dcterms:created xsi:type="dcterms:W3CDTF">2019-09-18T11:30:00Z</dcterms:created>
  <dcterms:modified xsi:type="dcterms:W3CDTF">2019-09-18T11:30:00Z</dcterms:modified>
</cp:coreProperties>
</file>