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A5439" w:rsidRPr="00DB58B5" w:rsidTr="001E7B12">
        <w:trPr>
          <w:trHeight w:hRule="exact" w:val="851"/>
        </w:trPr>
        <w:tc>
          <w:tcPr>
            <w:tcW w:w="1276" w:type="dxa"/>
            <w:tcBorders>
              <w:bottom w:val="single" w:sz="4" w:space="0" w:color="auto"/>
            </w:tcBorders>
          </w:tcPr>
          <w:p w:rsidR="001A5439" w:rsidRPr="00DB58B5" w:rsidRDefault="001A5439" w:rsidP="001E7B12"/>
        </w:tc>
        <w:tc>
          <w:tcPr>
            <w:tcW w:w="2268" w:type="dxa"/>
            <w:tcBorders>
              <w:bottom w:val="single" w:sz="4" w:space="0" w:color="auto"/>
            </w:tcBorders>
            <w:vAlign w:val="bottom"/>
          </w:tcPr>
          <w:p w:rsidR="001A5439" w:rsidRPr="00DB58B5" w:rsidRDefault="001A5439" w:rsidP="001E7B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A5439" w:rsidRPr="00DB58B5" w:rsidRDefault="001A5439" w:rsidP="001E7B12">
            <w:pPr>
              <w:jc w:val="right"/>
            </w:pPr>
            <w:r w:rsidRPr="00BD0F5B">
              <w:rPr>
                <w:sz w:val="40"/>
              </w:rPr>
              <w:t>ECE</w:t>
            </w:r>
            <w:r>
              <w:t>/TRANS/WP.11/2019/</w:t>
            </w:r>
            <w:r w:rsidR="00FC6252">
              <w:t>11</w:t>
            </w:r>
          </w:p>
        </w:tc>
      </w:tr>
      <w:tr w:rsidR="001A5439" w:rsidRPr="00DB58B5" w:rsidTr="001E7B12">
        <w:trPr>
          <w:trHeight w:hRule="exact" w:val="2835"/>
        </w:trPr>
        <w:tc>
          <w:tcPr>
            <w:tcW w:w="1276" w:type="dxa"/>
            <w:tcBorders>
              <w:top w:val="single" w:sz="4" w:space="0" w:color="auto"/>
              <w:bottom w:val="single" w:sz="12" w:space="0" w:color="auto"/>
            </w:tcBorders>
          </w:tcPr>
          <w:p w:rsidR="001A5439" w:rsidRPr="00DB58B5" w:rsidRDefault="001A5439" w:rsidP="001E7B12">
            <w:pPr>
              <w:spacing w:before="120"/>
              <w:jc w:val="center"/>
            </w:pPr>
            <w:r>
              <w:rPr>
                <w:noProof/>
                <w:lang w:eastAsia="fr-CH"/>
              </w:rPr>
              <w:drawing>
                <wp:inline distT="0" distB="0" distL="0" distR="0" wp14:anchorId="48F6B909" wp14:editId="3C25682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A5439" w:rsidRPr="00740562" w:rsidRDefault="001A5439" w:rsidP="001E7B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A5439" w:rsidRDefault="001A5439" w:rsidP="001E7B12">
            <w:pPr>
              <w:spacing w:before="240" w:line="240" w:lineRule="exact"/>
            </w:pPr>
            <w:proofErr w:type="spellStart"/>
            <w:r>
              <w:t>Distr</w:t>
            </w:r>
            <w:proofErr w:type="spellEnd"/>
            <w:r>
              <w:t xml:space="preserve">. </w:t>
            </w:r>
            <w:proofErr w:type="gramStart"/>
            <w:r>
              <w:t>générale</w:t>
            </w:r>
            <w:proofErr w:type="gramEnd"/>
          </w:p>
          <w:p w:rsidR="001A5439" w:rsidRDefault="004E65BD" w:rsidP="001E7B12">
            <w:pPr>
              <w:spacing w:line="240" w:lineRule="exact"/>
            </w:pPr>
            <w:r>
              <w:t>2</w:t>
            </w:r>
            <w:r w:rsidR="007508CC">
              <w:t>4</w:t>
            </w:r>
            <w:r w:rsidR="001A5439">
              <w:t xml:space="preserve"> juillet 2019</w:t>
            </w:r>
          </w:p>
          <w:p w:rsidR="001A5439" w:rsidRDefault="001A5439" w:rsidP="001E7B12">
            <w:pPr>
              <w:spacing w:line="240" w:lineRule="exact"/>
            </w:pPr>
          </w:p>
          <w:p w:rsidR="001A5439" w:rsidRPr="00DB58B5" w:rsidRDefault="001A5439" w:rsidP="001E7B12">
            <w:pPr>
              <w:spacing w:line="240" w:lineRule="exact"/>
            </w:pPr>
            <w:r>
              <w:t>Original : français</w:t>
            </w:r>
          </w:p>
        </w:tc>
      </w:tr>
    </w:tbl>
    <w:p w:rsidR="001A5439" w:rsidRDefault="001A5439" w:rsidP="001A5439">
      <w:pPr>
        <w:spacing w:before="120"/>
        <w:rPr>
          <w:b/>
          <w:sz w:val="28"/>
          <w:szCs w:val="28"/>
        </w:rPr>
      </w:pPr>
      <w:r w:rsidRPr="00883605">
        <w:rPr>
          <w:b/>
          <w:sz w:val="28"/>
          <w:szCs w:val="28"/>
        </w:rPr>
        <w:t>Commission économique pour l’Europe</w:t>
      </w:r>
    </w:p>
    <w:p w:rsidR="001A5439" w:rsidRPr="009E01B8" w:rsidRDefault="001A5439" w:rsidP="001A5439">
      <w:pPr>
        <w:spacing w:before="120"/>
        <w:rPr>
          <w:sz w:val="28"/>
          <w:szCs w:val="28"/>
        </w:rPr>
      </w:pPr>
      <w:r w:rsidRPr="009E01B8">
        <w:rPr>
          <w:sz w:val="28"/>
          <w:szCs w:val="28"/>
        </w:rPr>
        <w:t>Comité des transports intérieurs</w:t>
      </w:r>
    </w:p>
    <w:p w:rsidR="001A5439" w:rsidRPr="009E01B8" w:rsidRDefault="001A5439" w:rsidP="001A5439">
      <w:pPr>
        <w:spacing w:before="120"/>
        <w:rPr>
          <w:b/>
          <w:sz w:val="24"/>
          <w:szCs w:val="24"/>
        </w:rPr>
      </w:pPr>
      <w:r w:rsidRPr="009E01B8">
        <w:rPr>
          <w:b/>
          <w:sz w:val="24"/>
          <w:szCs w:val="24"/>
        </w:rPr>
        <w:t>Groupe de travail d</w:t>
      </w:r>
      <w:r>
        <w:rPr>
          <w:b/>
          <w:sz w:val="24"/>
          <w:szCs w:val="24"/>
        </w:rPr>
        <w:t>u transport</w:t>
      </w:r>
      <w:r>
        <w:rPr>
          <w:b/>
          <w:sz w:val="24"/>
          <w:szCs w:val="24"/>
        </w:rPr>
        <w:br/>
      </w:r>
      <w:r w:rsidRPr="009E01B8">
        <w:rPr>
          <w:b/>
          <w:sz w:val="24"/>
          <w:szCs w:val="24"/>
        </w:rPr>
        <w:t>de</w:t>
      </w:r>
      <w:r>
        <w:rPr>
          <w:b/>
          <w:sz w:val="24"/>
          <w:szCs w:val="24"/>
        </w:rPr>
        <w:t>s denrées périssables</w:t>
      </w:r>
    </w:p>
    <w:p w:rsidR="001A5439" w:rsidRPr="00265E07" w:rsidRDefault="001A5439" w:rsidP="001A5439">
      <w:pPr>
        <w:spacing w:before="120"/>
        <w:rPr>
          <w:b/>
        </w:rPr>
      </w:pPr>
      <w:r>
        <w:rPr>
          <w:b/>
          <w:color w:val="212121"/>
          <w:lang w:val="fr-FR" w:eastAsia="en-GB"/>
        </w:rPr>
        <w:t xml:space="preserve">Soixante-quinzième </w:t>
      </w:r>
      <w:r w:rsidRPr="00265E07">
        <w:rPr>
          <w:b/>
        </w:rPr>
        <w:t>session</w:t>
      </w:r>
    </w:p>
    <w:p w:rsidR="001A5439" w:rsidRPr="00265E07" w:rsidRDefault="001A5439" w:rsidP="001A5439">
      <w:pPr>
        <w:rPr>
          <w:bCs/>
          <w:lang w:val="fr-FR"/>
        </w:rPr>
      </w:pPr>
      <w:r w:rsidRPr="00265E07">
        <w:t xml:space="preserve">Genève, </w:t>
      </w:r>
      <w:r>
        <w:t>8-11 octobre 2019</w:t>
      </w:r>
    </w:p>
    <w:p w:rsidR="00D95259" w:rsidRDefault="00D95259" w:rsidP="001A5439">
      <w:pPr>
        <w:pStyle w:val="Standard"/>
        <w:rPr>
          <w:b/>
          <w:lang w:val="fr-FR"/>
        </w:rPr>
      </w:pPr>
      <w:r>
        <w:t xml:space="preserve">Point </w:t>
      </w:r>
      <w:r>
        <w:t>4</w:t>
      </w:r>
      <w:r>
        <w:t xml:space="preserve"> </w:t>
      </w:r>
      <w:r>
        <w:t>e</w:t>
      </w:r>
      <w:r>
        <w:t>) de l’ordre du jour provisoire</w:t>
      </w:r>
      <w:bookmarkStart w:id="0" w:name="_GoBack"/>
      <w:bookmarkEnd w:id="0"/>
    </w:p>
    <w:p w:rsidR="001A5439" w:rsidRPr="00D95259" w:rsidRDefault="00D95259" w:rsidP="001A5439">
      <w:pPr>
        <w:pStyle w:val="Standard"/>
        <w:rPr>
          <w:b/>
          <w:bCs/>
          <w:lang w:val="fr-FR"/>
        </w:rPr>
      </w:pPr>
      <w:r w:rsidRPr="00D95259">
        <w:rPr>
          <w:b/>
          <w:bCs/>
          <w:lang w:val="fr-FR"/>
        </w:rPr>
        <w:t xml:space="preserve">État et mise en œuvre de l’Accord relatif aux transports </w:t>
      </w:r>
      <w:r w:rsidRPr="00D95259">
        <w:rPr>
          <w:b/>
          <w:bCs/>
          <w:lang w:val="fr-FR"/>
        </w:rPr>
        <w:br/>
      </w:r>
      <w:r w:rsidRPr="00D95259">
        <w:rPr>
          <w:b/>
          <w:bCs/>
          <w:lang w:val="fr-FR"/>
        </w:rPr>
        <w:t xml:space="preserve">internationaux de denrées périssables et aux engins spéciaux </w:t>
      </w:r>
      <w:r w:rsidRPr="00D95259">
        <w:rPr>
          <w:b/>
          <w:bCs/>
          <w:lang w:val="fr-FR"/>
        </w:rPr>
        <w:br/>
      </w:r>
      <w:r w:rsidRPr="00D95259">
        <w:rPr>
          <w:b/>
          <w:bCs/>
          <w:lang w:val="fr-FR"/>
        </w:rPr>
        <w:t>à utiliser pour ces transports (ATP</w:t>
      </w:r>
      <w:proofErr w:type="gramStart"/>
      <w:r w:rsidRPr="00D95259">
        <w:rPr>
          <w:b/>
          <w:bCs/>
          <w:lang w:val="fr-FR"/>
        </w:rPr>
        <w:t>):</w:t>
      </w:r>
      <w:proofErr w:type="gramEnd"/>
    </w:p>
    <w:p w:rsidR="00446FE5" w:rsidRPr="00D95259" w:rsidRDefault="00D95259" w:rsidP="001A5439">
      <w:pPr>
        <w:rPr>
          <w:b/>
          <w:bCs/>
          <w:lang w:val="fr-FR"/>
        </w:rPr>
      </w:pPr>
      <w:proofErr w:type="gramStart"/>
      <w:r w:rsidRPr="00D95259">
        <w:rPr>
          <w:b/>
          <w:bCs/>
          <w:lang w:val="fr-FR"/>
        </w:rPr>
        <w:t>é</w:t>
      </w:r>
      <w:r w:rsidRPr="00D95259">
        <w:rPr>
          <w:b/>
          <w:bCs/>
          <w:lang w:val="fr-FR"/>
        </w:rPr>
        <w:t>change</w:t>
      </w:r>
      <w:proofErr w:type="gramEnd"/>
      <w:r w:rsidRPr="00D95259">
        <w:rPr>
          <w:b/>
          <w:bCs/>
          <w:lang w:val="fr-FR"/>
        </w:rPr>
        <w:t xml:space="preserve"> de bonnes pratiques pour une meilleure application de l’ATP</w:t>
      </w:r>
    </w:p>
    <w:p w:rsidR="001A5439" w:rsidRDefault="001A5439" w:rsidP="001A5439">
      <w:pPr>
        <w:pStyle w:val="HChG"/>
        <w:rPr>
          <w:lang w:val="fr-FR"/>
        </w:rPr>
      </w:pPr>
      <w:r>
        <w:rPr>
          <w:lang w:val="fr-FR"/>
        </w:rPr>
        <w:tab/>
      </w:r>
      <w:r>
        <w:rPr>
          <w:lang w:val="fr-FR"/>
        </w:rPr>
        <w:tab/>
        <w:t>Procédure de mesure de la puissance des groupes réfrigérants et frigorifiques bi-températures à émetteur unique</w:t>
      </w:r>
    </w:p>
    <w:p w:rsidR="001A5439" w:rsidRDefault="001A5439" w:rsidP="001A5439">
      <w:pPr>
        <w:pStyle w:val="H1G"/>
        <w:rPr>
          <w:lang w:val="fr-FR"/>
        </w:rPr>
      </w:pPr>
      <w:r>
        <w:rPr>
          <w:lang w:val="fr-FR"/>
        </w:rPr>
        <w:tab/>
      </w:r>
      <w:r>
        <w:rPr>
          <w:lang w:val="fr-FR"/>
        </w:rPr>
        <w:tab/>
        <w:t>Communication d</w:t>
      </w:r>
      <w:r w:rsidR="00FC6252">
        <w:rPr>
          <w:lang w:val="fr-FR"/>
        </w:rPr>
        <w:t>u Gouvernement de</w:t>
      </w:r>
      <w:r>
        <w:rPr>
          <w:lang w:val="fr-FR"/>
        </w:rPr>
        <w:t xml:space="preserve"> la France</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1A5439" w:rsidTr="001A5439">
        <w:trPr>
          <w:jc w:val="center"/>
        </w:trPr>
        <w:tc>
          <w:tcPr>
            <w:tcW w:w="9628" w:type="dxa"/>
            <w:shd w:val="clear" w:color="auto" w:fill="auto"/>
          </w:tcPr>
          <w:p w:rsidR="001A5439" w:rsidRDefault="001A5439" w:rsidP="006E5E26">
            <w:pPr>
              <w:spacing w:before="240" w:after="120"/>
              <w:ind w:left="255"/>
              <w:rPr>
                <w:i/>
                <w:sz w:val="24"/>
              </w:rPr>
            </w:pPr>
            <w:r w:rsidRPr="00C6263E">
              <w:rPr>
                <w:i/>
                <w:sz w:val="24"/>
              </w:rPr>
              <w:t>Résumé</w:t>
            </w:r>
          </w:p>
          <w:p w:rsidR="001A5439" w:rsidRDefault="001A5439" w:rsidP="001A5439">
            <w:pPr>
              <w:tabs>
                <w:tab w:val="left" w:pos="2868"/>
              </w:tabs>
              <w:spacing w:before="120" w:after="120"/>
              <w:ind w:left="255"/>
              <w:rPr>
                <w:rFonts w:eastAsia="Calibri"/>
                <w:lang w:val="fr-FR" w:eastAsia="ar-SA"/>
              </w:rPr>
            </w:pPr>
            <w:r>
              <w:rPr>
                <w:rFonts w:eastAsia="Calibri"/>
                <w:b/>
                <w:lang w:eastAsia="en-US"/>
              </w:rPr>
              <w:t>Résumé analytique :</w:t>
            </w:r>
            <w:r>
              <w:rPr>
                <w:rFonts w:eastAsia="Calibri"/>
                <w:b/>
                <w:lang w:eastAsia="en-US"/>
              </w:rPr>
              <w:tab/>
            </w:r>
            <w:r>
              <w:rPr>
                <w:rFonts w:eastAsia="Calibri"/>
                <w:lang w:val="fr-FR" w:eastAsia="ar-SA"/>
              </w:rPr>
              <w:t xml:space="preserve">L'ATP ne propose pas une méthodologie de test des groupes bi-températures à </w:t>
            </w:r>
            <w:r>
              <w:rPr>
                <w:rFonts w:eastAsia="Calibri"/>
                <w:lang w:val="fr-FR" w:eastAsia="ar-SA"/>
              </w:rPr>
              <w:tab/>
              <w:t xml:space="preserve">émetteur unique. D'autre part, il est important d'intégrer le dimensionnement des </w:t>
            </w:r>
            <w:r>
              <w:rPr>
                <w:rFonts w:eastAsia="Calibri"/>
                <w:lang w:val="fr-FR" w:eastAsia="ar-SA"/>
              </w:rPr>
              <w:tab/>
              <w:t xml:space="preserve">engins car la méthode usuelle de 1998 ou celle prescrite par l'ATP ne tiennent pas </w:t>
            </w:r>
            <w:r>
              <w:rPr>
                <w:rFonts w:eastAsia="Calibri"/>
                <w:lang w:val="fr-FR" w:eastAsia="ar-SA"/>
              </w:rPr>
              <w:tab/>
              <w:t>compte des spécificités de ces groupes.</w:t>
            </w:r>
          </w:p>
          <w:p w:rsidR="001A5439" w:rsidRDefault="001A5439" w:rsidP="001A5439">
            <w:pPr>
              <w:tabs>
                <w:tab w:val="left" w:pos="2868"/>
              </w:tabs>
              <w:spacing w:before="120" w:after="120"/>
              <w:ind w:left="255"/>
              <w:rPr>
                <w:rFonts w:eastAsia="Calibri"/>
                <w:lang w:val="fr-FR" w:eastAsia="en-US"/>
              </w:rPr>
            </w:pPr>
            <w:r>
              <w:rPr>
                <w:rFonts w:eastAsia="Calibri"/>
                <w:b/>
                <w:lang w:eastAsia="en-US"/>
              </w:rPr>
              <w:t>Mesure à prendre :</w:t>
            </w:r>
            <w:r>
              <w:rPr>
                <w:rFonts w:eastAsia="Calibri"/>
                <w:b/>
                <w:lang w:eastAsia="en-US"/>
              </w:rPr>
              <w:tab/>
            </w:r>
            <w:r>
              <w:rPr>
                <w:rFonts w:eastAsia="Calibri"/>
                <w:lang w:eastAsia="en-US"/>
              </w:rPr>
              <w:t>L</w:t>
            </w:r>
            <w:r>
              <w:rPr>
                <w:rFonts w:eastAsia="Calibri"/>
                <w:lang w:val="fr-FR" w:eastAsia="en-US"/>
              </w:rPr>
              <w:t xml:space="preserve">a méthodologie d’essai des groupes bi-températures à émetteur unique doit tenir </w:t>
            </w:r>
            <w:r>
              <w:rPr>
                <w:rFonts w:eastAsia="Calibri"/>
                <w:lang w:val="fr-FR" w:eastAsia="en-US"/>
              </w:rPr>
              <w:tab/>
              <w:t xml:space="preserve">compte des typologies des groupes de production de froid tout en adaptant les </w:t>
            </w:r>
            <w:r>
              <w:rPr>
                <w:rFonts w:eastAsia="Calibri"/>
                <w:lang w:val="fr-FR" w:eastAsia="en-US"/>
              </w:rPr>
              <w:tab/>
              <w:t>prescriptions de l’ATP aux contraintes imposées par la technologie.</w:t>
            </w:r>
          </w:p>
          <w:p w:rsidR="001A5439" w:rsidRPr="00C6263E" w:rsidRDefault="001A5439" w:rsidP="001A5439">
            <w:pPr>
              <w:tabs>
                <w:tab w:val="left" w:pos="2868"/>
              </w:tabs>
              <w:spacing w:before="120"/>
              <w:ind w:left="255"/>
              <w:rPr>
                <w:i/>
                <w:sz w:val="24"/>
              </w:rPr>
            </w:pPr>
            <w:r>
              <w:rPr>
                <w:rFonts w:eastAsia="Calibri"/>
                <w:b/>
                <w:lang w:eastAsia="en-US"/>
              </w:rPr>
              <w:t>Documents connexes </w:t>
            </w:r>
            <w:r>
              <w:rPr>
                <w:rFonts w:eastAsia="Calibri"/>
                <w:lang w:eastAsia="en-US"/>
              </w:rPr>
              <w:t>:</w:t>
            </w:r>
            <w:r>
              <w:rPr>
                <w:rFonts w:eastAsia="Calibri"/>
                <w:lang w:eastAsia="en-US"/>
              </w:rPr>
              <w:tab/>
              <w:t>Aucun.</w:t>
            </w:r>
          </w:p>
        </w:tc>
      </w:tr>
      <w:tr w:rsidR="001A5439" w:rsidTr="001A5439">
        <w:trPr>
          <w:trHeight w:val="66"/>
          <w:jc w:val="center"/>
        </w:trPr>
        <w:tc>
          <w:tcPr>
            <w:tcW w:w="9628" w:type="dxa"/>
            <w:shd w:val="clear" w:color="auto" w:fill="auto"/>
          </w:tcPr>
          <w:p w:rsidR="001A5439" w:rsidRDefault="001A5439" w:rsidP="006E5E26"/>
        </w:tc>
      </w:tr>
    </w:tbl>
    <w:p w:rsidR="001A5439" w:rsidRDefault="001A5439" w:rsidP="001A5439">
      <w:pPr>
        <w:pStyle w:val="HChG"/>
      </w:pPr>
      <w:r>
        <w:tab/>
      </w:r>
      <w:r>
        <w:tab/>
        <w:t>Introduction</w:t>
      </w:r>
      <w:bookmarkStart w:id="1" w:name="OLE_LINK2"/>
      <w:bookmarkStart w:id="2" w:name="OLE_LINK1"/>
      <w:bookmarkEnd w:id="1"/>
      <w:bookmarkEnd w:id="2"/>
    </w:p>
    <w:p w:rsidR="001A5439" w:rsidRPr="008C5861" w:rsidRDefault="008C5861" w:rsidP="008C5861">
      <w:pPr>
        <w:pStyle w:val="SingleTxtG"/>
        <w:rPr>
          <w:lang w:val="fr-FR"/>
        </w:rPr>
      </w:pPr>
      <w:r>
        <w:rPr>
          <w:lang w:val="fr-FR" w:eastAsia="ar-SA"/>
        </w:rPr>
        <w:t>1.</w:t>
      </w:r>
      <w:r>
        <w:rPr>
          <w:lang w:val="fr-FR" w:eastAsia="ar-SA"/>
        </w:rPr>
        <w:tab/>
      </w:r>
      <w:r w:rsidR="001A5439">
        <w:rPr>
          <w:lang w:val="fr-FR" w:eastAsia="ar-SA"/>
        </w:rPr>
        <w:t xml:space="preserve">Apparaissent sur le marché des groupes des solutions bi-températures, c’est-à-dire des </w:t>
      </w:r>
      <w:r w:rsidR="001A5439">
        <w:rPr>
          <w:lang w:eastAsia="fr-FR"/>
        </w:rPr>
        <w:t xml:space="preserve">groupes qui ne permettent pas une totale réversibilité des températures maintenues dans les deux différents compartiments sous température dirigée de l’engin de transport. La majorité des groupes bi-températures sont dotés de deux échangeurs interconnectés à une unité de condensation ou à une source de froid. Dans certains cas, la solution consiste en un échangeur principal exclusivement raccordé à l’extérieur de la cellule isotherme et en un échangeur secondaire qui régule les échanges thermiques entre les deux compartiments sous température dirigée. Il est à noter que les compartiments doivent être étanches entre eux, </w:t>
      </w:r>
      <w:r w:rsidR="001A5439">
        <w:rPr>
          <w:lang w:eastAsia="fr-FR"/>
        </w:rPr>
        <w:lastRenderedPageBreak/>
        <w:t xml:space="preserve">c’est-à-dire sans échange de matière possible d’un compartiment à un autre. </w:t>
      </w:r>
      <w:proofErr w:type="spellStart"/>
      <w:r w:rsidR="001A5439">
        <w:rPr>
          <w:lang w:eastAsia="fr-FR"/>
        </w:rPr>
        <w:t>A fin</w:t>
      </w:r>
      <w:proofErr w:type="spellEnd"/>
      <w:r w:rsidR="001A5439">
        <w:rPr>
          <w:lang w:eastAsia="fr-FR"/>
        </w:rPr>
        <w:t xml:space="preserve"> de simplification, on désignera par la suite une telle solution par « Groupe bi-températures à émetteur unique ».</w:t>
      </w:r>
    </w:p>
    <w:p w:rsidR="001A5439" w:rsidRPr="0000376E" w:rsidRDefault="008C5861" w:rsidP="008C5861">
      <w:pPr>
        <w:pStyle w:val="SingleTxtG"/>
      </w:pPr>
      <w:r>
        <w:t>2.</w:t>
      </w:r>
      <w:r>
        <w:tab/>
      </w:r>
      <w:r w:rsidR="001A5439" w:rsidRPr="0000376E">
        <w:t>L’ATP ne propose pas une méthodologie de test des groupes bi-températures à émetteur unique. D’autre part il est important d’intégrer le dimensionnement des engins par les autorités compétentes car la méthode usuelle de 1998 ou celle prescrite par l’ATP ne tiennent pas compte des spécificités de ces groupes.</w:t>
      </w:r>
    </w:p>
    <w:p w:rsidR="001A5439" w:rsidRDefault="008C5861" w:rsidP="008C5861">
      <w:pPr>
        <w:pStyle w:val="SingleTxtG"/>
        <w:rPr>
          <w:lang w:val="fr-FR"/>
        </w:rPr>
      </w:pPr>
      <w:r>
        <w:rPr>
          <w:lang w:val="fr-FR" w:eastAsia="ar-SA"/>
        </w:rPr>
        <w:t>3.</w:t>
      </w:r>
      <w:r>
        <w:rPr>
          <w:lang w:val="fr-FR" w:eastAsia="ar-SA"/>
        </w:rPr>
        <w:tab/>
      </w:r>
      <w:r w:rsidR="001A5439">
        <w:rPr>
          <w:lang w:val="fr-FR" w:eastAsia="ar-SA"/>
        </w:rPr>
        <w:t xml:space="preserve">Deux </w:t>
      </w:r>
      <w:r w:rsidR="001A5439" w:rsidRPr="0000376E">
        <w:t>typologies</w:t>
      </w:r>
      <w:r w:rsidR="001A5439">
        <w:rPr>
          <w:lang w:val="fr-FR" w:eastAsia="ar-SA"/>
        </w:rPr>
        <w:t xml:space="preserve"> de groupes sont potentiellement concernées avec les groupes </w:t>
      </w:r>
      <w:r w:rsidR="0000376E">
        <w:rPr>
          <w:lang w:val="fr-FR" w:eastAsia="ar-SA"/>
        </w:rPr>
        <w:t>réfrigérants</w:t>
      </w:r>
      <w:r w:rsidR="001A5439">
        <w:rPr>
          <w:lang w:val="fr-FR" w:eastAsia="ar-SA"/>
        </w:rPr>
        <w:t xml:space="preserve"> et les groupes frigorifiques.</w:t>
      </w:r>
    </w:p>
    <w:p w:rsidR="001A5439" w:rsidRDefault="008C5861" w:rsidP="008C5861">
      <w:pPr>
        <w:pStyle w:val="SingleTxtG"/>
        <w:rPr>
          <w:lang w:val="fr-FR"/>
        </w:rPr>
      </w:pPr>
      <w:r>
        <w:rPr>
          <w:lang w:val="fr-FR" w:eastAsia="ar-SA"/>
        </w:rPr>
        <w:t>4.</w:t>
      </w:r>
      <w:r>
        <w:rPr>
          <w:lang w:val="fr-FR" w:eastAsia="ar-SA"/>
        </w:rPr>
        <w:tab/>
      </w:r>
      <w:r w:rsidR="001A5439">
        <w:rPr>
          <w:lang w:val="fr-FR" w:eastAsia="ar-SA"/>
        </w:rPr>
        <w:t xml:space="preserve">Au contraire des groupes frigorifiques, les groupes réfrigérants peuvent être constitués par des échangeurs à convection naturelle. La performance de ces </w:t>
      </w:r>
      <w:r w:rsidR="001A5439" w:rsidRPr="0000376E">
        <w:t>échangeurs</w:t>
      </w:r>
      <w:r w:rsidR="001A5439">
        <w:rPr>
          <w:lang w:val="fr-FR" w:eastAsia="ar-SA"/>
        </w:rPr>
        <w:t xml:space="preserve"> est notab</w:t>
      </w:r>
      <w:r w:rsidR="0000376E">
        <w:rPr>
          <w:lang w:val="fr-FR" w:eastAsia="ar-SA"/>
        </w:rPr>
        <w:t>lement</w:t>
      </w:r>
      <w:r w:rsidR="001A5439">
        <w:rPr>
          <w:lang w:val="fr-FR" w:eastAsia="ar-SA"/>
        </w:rPr>
        <w:t xml:space="preserve"> impactée par l’environnement dans lequel ils se trouvent (leur positionnement dans l’espace de la caisse, la géométrie de la caisse, etc…).</w:t>
      </w:r>
    </w:p>
    <w:p w:rsidR="001A5439" w:rsidRPr="008C5861" w:rsidRDefault="008C5861" w:rsidP="008C5861">
      <w:pPr>
        <w:pStyle w:val="SingleTxtG"/>
        <w:rPr>
          <w:lang w:val="fr-FR"/>
        </w:rPr>
      </w:pPr>
      <w:r>
        <w:rPr>
          <w:lang w:val="fr-FR" w:eastAsia="ar-SA"/>
        </w:rPr>
        <w:t>5.</w:t>
      </w:r>
      <w:r>
        <w:rPr>
          <w:lang w:val="fr-FR" w:eastAsia="ar-SA"/>
        </w:rPr>
        <w:tab/>
      </w:r>
      <w:r w:rsidR="001A5439">
        <w:rPr>
          <w:lang w:val="fr-FR" w:eastAsia="ar-SA"/>
        </w:rPr>
        <w:t xml:space="preserve">La </w:t>
      </w:r>
      <w:r w:rsidR="001A5439" w:rsidRPr="0000376E">
        <w:t>méthodologie</w:t>
      </w:r>
      <w:r w:rsidR="001A5439">
        <w:rPr>
          <w:lang w:val="fr-FR" w:eastAsia="ar-SA"/>
        </w:rPr>
        <w:t xml:space="preserve"> d’essai des groupes multi-températures nécessite de disposer chaque échangeur dans des calorimètres distincts dont l’isolation thermique ne doit pas dépasser un certain seuil. Or, dans le cas des </w:t>
      </w:r>
      <w:r w:rsidR="001A5439">
        <w:rPr>
          <w:color w:val="000000"/>
          <w:lang w:eastAsia="fr-FR"/>
        </w:rPr>
        <w:t xml:space="preserve">groupes bi-températures à émetteur unique, le principe repose sur un affaiblissement maitrisé de l’isolation thermique entre les deux compartiments sous température contrôlée. Cette spécificité ne permet donc pas de se conformer </w:t>
      </w:r>
      <w:r w:rsidR="001A5439">
        <w:rPr>
          <w:lang w:val="fr-FR" w:eastAsia="ar-SA"/>
        </w:rPr>
        <w:t>aux prescriptions de l’ATP en date du 6 janvier 2018.</w:t>
      </w:r>
    </w:p>
    <w:p w:rsidR="001A5439" w:rsidRDefault="008C5861" w:rsidP="008C5861">
      <w:pPr>
        <w:pStyle w:val="SingleTxtG"/>
        <w:rPr>
          <w:lang w:val="fr-FR"/>
        </w:rPr>
      </w:pPr>
      <w:r>
        <w:rPr>
          <w:lang w:val="fr-FR" w:eastAsia="ar-SA"/>
        </w:rPr>
        <w:t>6.</w:t>
      </w:r>
      <w:r>
        <w:rPr>
          <w:lang w:val="fr-FR" w:eastAsia="ar-SA"/>
        </w:rPr>
        <w:tab/>
      </w:r>
      <w:r w:rsidR="001A5439">
        <w:rPr>
          <w:lang w:val="fr-FR" w:eastAsia="ar-SA"/>
        </w:rPr>
        <w:t xml:space="preserve">La </w:t>
      </w:r>
      <w:r w:rsidR="001A5439" w:rsidRPr="0000376E">
        <w:t>puissance</w:t>
      </w:r>
      <w:r w:rsidR="001A5439">
        <w:rPr>
          <w:lang w:val="fr-FR" w:eastAsia="ar-SA"/>
        </w:rPr>
        <w:t xml:space="preserve"> des </w:t>
      </w:r>
      <w:r w:rsidR="001A5439" w:rsidRPr="0000376E">
        <w:t>groupes</w:t>
      </w:r>
      <w:r w:rsidR="001A5439">
        <w:rPr>
          <w:lang w:val="fr-FR" w:eastAsia="ar-SA"/>
        </w:rPr>
        <w:t xml:space="preserve"> réfrigérants évolue en fonction de l’état de leur réserve de froid. Cette variation ne permet pas de maintenir une puissance frigorifique constante tout au long d’un essai ATP.</w:t>
      </w:r>
    </w:p>
    <w:p w:rsidR="0000376E" w:rsidRDefault="001A5439" w:rsidP="0000376E">
      <w:pPr>
        <w:pStyle w:val="HChG"/>
      </w:pPr>
      <w:r>
        <w:tab/>
        <w:t>I.</w:t>
      </w:r>
      <w:r>
        <w:tab/>
        <w:t>Proposition</w:t>
      </w:r>
    </w:p>
    <w:p w:rsidR="001A5439" w:rsidRPr="0073257E" w:rsidRDefault="0000376E" w:rsidP="0000376E">
      <w:pPr>
        <w:pStyle w:val="SingleTxtG"/>
        <w:rPr>
          <w:lang w:val="fr-FR"/>
        </w:rPr>
      </w:pPr>
      <w:r>
        <w:rPr>
          <w:lang w:val="fr-FR" w:eastAsia="ar-SA"/>
        </w:rPr>
        <w:t>7.</w:t>
      </w:r>
      <w:r>
        <w:rPr>
          <w:lang w:val="fr-FR" w:eastAsia="ar-SA"/>
        </w:rPr>
        <w:tab/>
      </w:r>
      <w:r w:rsidR="001A5439">
        <w:rPr>
          <w:lang w:val="fr-FR" w:eastAsia="ar-SA"/>
        </w:rPr>
        <w:t>Principe de la méthodologie d’essai d’un groupe bi-températures à émetteur unique</w:t>
      </w:r>
      <w:r>
        <w:rPr>
          <w:lang w:val="fr-FR" w:eastAsia="ar-SA"/>
        </w:rPr>
        <w:t>.</w:t>
      </w:r>
    </w:p>
    <w:p w:rsidR="001A5439" w:rsidRDefault="009A7231" w:rsidP="0000376E">
      <w:pPr>
        <w:pStyle w:val="SingleTxtG"/>
        <w:rPr>
          <w:lang w:val="fr-FR" w:eastAsia="ar-SA"/>
        </w:rPr>
      </w:pPr>
      <w:r>
        <w:rPr>
          <w:lang w:val="fr-FR" w:eastAsia="ar-SA"/>
        </w:rPr>
        <w:t>8.</w:t>
      </w:r>
      <w:r>
        <w:rPr>
          <w:lang w:val="fr-FR" w:eastAsia="ar-SA"/>
        </w:rPr>
        <w:tab/>
      </w:r>
      <w:r w:rsidR="001A5439">
        <w:rPr>
          <w:lang w:val="fr-FR" w:eastAsia="ar-SA"/>
        </w:rPr>
        <w:t xml:space="preserve">D’une manière générale et </w:t>
      </w:r>
      <w:r w:rsidR="001A5439" w:rsidRPr="0000376E">
        <w:t>pour</w:t>
      </w:r>
      <w:r w:rsidR="001A5439">
        <w:rPr>
          <w:lang w:val="fr-FR" w:eastAsia="ar-SA"/>
        </w:rPr>
        <w:t xml:space="preserve"> les essais, deux distinctions sont faites entre les typologies de groupes de production de froid :</w:t>
      </w:r>
    </w:p>
    <w:p w:rsidR="001A5439" w:rsidRDefault="001A5439" w:rsidP="0000376E">
      <w:pPr>
        <w:pStyle w:val="Bullet1G"/>
      </w:pPr>
      <w:proofErr w:type="gramStart"/>
      <w:r>
        <w:rPr>
          <w:lang w:val="fr-FR" w:eastAsia="ar-SA"/>
        </w:rPr>
        <w:t>soit</w:t>
      </w:r>
      <w:proofErr w:type="gramEnd"/>
      <w:r>
        <w:rPr>
          <w:lang w:val="fr-FR" w:eastAsia="ar-SA"/>
        </w:rPr>
        <w:t xml:space="preserve"> le laboratoire d’essais vérifie la puissance frigorifique fournie par les échangeurs, soit il la détermine.</w:t>
      </w:r>
    </w:p>
    <w:p w:rsidR="001A5439" w:rsidRDefault="009A7231" w:rsidP="0000376E">
      <w:pPr>
        <w:pStyle w:val="SingleTxtG"/>
        <w:rPr>
          <w:lang w:val="fr-FR" w:eastAsia="ar-SA"/>
        </w:rPr>
      </w:pPr>
      <w:r>
        <w:rPr>
          <w:lang w:val="fr-FR" w:eastAsia="ar-SA"/>
        </w:rPr>
        <w:t>9.</w:t>
      </w:r>
      <w:r>
        <w:rPr>
          <w:lang w:val="fr-FR" w:eastAsia="ar-SA"/>
        </w:rPr>
        <w:tab/>
      </w:r>
      <w:r w:rsidR="001A5439">
        <w:rPr>
          <w:lang w:val="fr-FR" w:eastAsia="ar-SA"/>
        </w:rPr>
        <w:t>Dans le cas d’engins réfrigérants, la température limite à ne pas dépasser est celle indiquée dans le tableau récapitulatif ci-dessous.</w:t>
      </w:r>
    </w:p>
    <w:p w:rsidR="001A5439" w:rsidRDefault="009A7231" w:rsidP="0000376E">
      <w:pPr>
        <w:pStyle w:val="SingleTxtG"/>
        <w:rPr>
          <w:lang w:val="fr-FR" w:eastAsia="ar-SA"/>
        </w:rPr>
      </w:pPr>
      <w:r>
        <w:rPr>
          <w:lang w:val="fr-FR" w:eastAsia="ar-SA"/>
        </w:rPr>
        <w:t>10.</w:t>
      </w:r>
      <w:r>
        <w:rPr>
          <w:lang w:val="fr-FR" w:eastAsia="ar-SA"/>
        </w:rPr>
        <w:tab/>
      </w:r>
      <w:r w:rsidR="001A5439">
        <w:rPr>
          <w:lang w:val="fr-FR" w:eastAsia="ar-SA"/>
        </w:rPr>
        <w:t xml:space="preserve">Dans le cas d’engins </w:t>
      </w:r>
      <w:r w:rsidR="001A5439" w:rsidRPr="0000376E">
        <w:t>frigorifiques</w:t>
      </w:r>
      <w:r w:rsidR="001A5439">
        <w:rPr>
          <w:lang w:val="fr-FR" w:eastAsia="ar-SA"/>
        </w:rPr>
        <w:t>, les températures à maintenir doivent être égales aux objectifs en température à ± 1°C.</w:t>
      </w:r>
    </w:p>
    <w:p w:rsidR="001A5439" w:rsidRDefault="009A7231" w:rsidP="00102B06">
      <w:pPr>
        <w:pStyle w:val="SingleTxtG"/>
        <w:spacing w:after="240"/>
        <w:rPr>
          <w:lang w:val="fr-FR" w:eastAsia="ar-SA"/>
        </w:rPr>
      </w:pPr>
      <w:r>
        <w:rPr>
          <w:lang w:val="fr-FR" w:eastAsia="ar-SA"/>
        </w:rPr>
        <w:t>11</w:t>
      </w:r>
      <w:r w:rsidR="00F41369">
        <w:rPr>
          <w:lang w:val="fr-FR" w:eastAsia="ar-SA"/>
        </w:rPr>
        <w:t>.</w:t>
      </w:r>
      <w:r>
        <w:rPr>
          <w:lang w:val="fr-FR" w:eastAsia="ar-SA"/>
        </w:rPr>
        <w:tab/>
      </w:r>
      <w:r w:rsidR="001A5439">
        <w:rPr>
          <w:lang w:val="fr-FR" w:eastAsia="ar-SA"/>
        </w:rPr>
        <w:t xml:space="preserve">L’ensemble des essais à </w:t>
      </w:r>
      <w:r w:rsidR="001A5439" w:rsidRPr="0000376E">
        <w:t>effectuer</w:t>
      </w:r>
      <w:r w:rsidR="001A5439">
        <w:rPr>
          <w:lang w:val="fr-FR" w:eastAsia="ar-SA"/>
        </w:rPr>
        <w:t xml:space="preserve"> se trouve consigné dans le tableau ci-dessous :</w:t>
      </w:r>
    </w:p>
    <w:tbl>
      <w:tblPr>
        <w:tblW w:w="5000" w:type="pct"/>
        <w:tblLook w:val="04A0" w:firstRow="1" w:lastRow="0" w:firstColumn="1" w:lastColumn="0" w:noHBand="0" w:noVBand="1"/>
      </w:tblPr>
      <w:tblGrid>
        <w:gridCol w:w="916"/>
        <w:gridCol w:w="1211"/>
        <w:gridCol w:w="1152"/>
        <w:gridCol w:w="1675"/>
        <w:gridCol w:w="1666"/>
        <w:gridCol w:w="1313"/>
        <w:gridCol w:w="1695"/>
      </w:tblGrid>
      <w:tr w:rsidR="00102B06" w:rsidRPr="00680D01" w:rsidTr="00102B06">
        <w:trPr>
          <w:trHeight w:val="675"/>
        </w:trPr>
        <w:tc>
          <w:tcPr>
            <w:tcW w:w="476" w:type="pct"/>
            <w:vMerge w:val="restart"/>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680D01">
              <w:rPr>
                <w:rFonts w:asciiTheme="majorBidi" w:hAnsiTheme="majorBidi" w:cstheme="majorBidi"/>
                <w:b/>
                <w:bCs/>
                <w:color w:val="000000"/>
                <w:lang w:val="en-GB"/>
              </w:rPr>
              <w:t>Numéro</w:t>
            </w:r>
            <w:proofErr w:type="spellEnd"/>
            <w:r w:rsidRPr="00680D01">
              <w:rPr>
                <w:rFonts w:asciiTheme="majorBidi" w:hAnsiTheme="majorBidi" w:cstheme="majorBidi"/>
                <w:b/>
                <w:bCs/>
                <w:color w:val="000000"/>
                <w:lang w:val="en-GB"/>
              </w:rPr>
              <w:t xml:space="preserve"> </w:t>
            </w:r>
            <w:proofErr w:type="spellStart"/>
            <w:r w:rsidRPr="00680D01">
              <w:rPr>
                <w:rFonts w:asciiTheme="majorBidi" w:hAnsiTheme="majorBidi" w:cstheme="majorBidi"/>
                <w:b/>
                <w:bCs/>
                <w:color w:val="000000"/>
                <w:lang w:val="en-GB"/>
              </w:rPr>
              <w:t>d'essai</w:t>
            </w:r>
            <w:proofErr w:type="spellEnd"/>
          </w:p>
        </w:tc>
        <w:tc>
          <w:tcPr>
            <w:tcW w:w="629" w:type="pct"/>
            <w:tcBorders>
              <w:top w:val="single" w:sz="4" w:space="0" w:color="000000"/>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680D01">
              <w:rPr>
                <w:rFonts w:asciiTheme="majorBidi" w:hAnsiTheme="majorBidi" w:cstheme="majorBidi"/>
                <w:b/>
                <w:bCs/>
                <w:color w:val="000000"/>
                <w:lang w:val="en-GB"/>
              </w:rPr>
              <w:t>Echangeur</w:t>
            </w:r>
            <w:proofErr w:type="spellEnd"/>
            <w:r w:rsidRPr="00680D01">
              <w:rPr>
                <w:rFonts w:asciiTheme="majorBidi" w:hAnsiTheme="majorBidi" w:cstheme="majorBidi"/>
                <w:b/>
                <w:bCs/>
                <w:color w:val="000000"/>
                <w:lang w:val="en-GB"/>
              </w:rPr>
              <w:t xml:space="preserve"> N°1</w:t>
            </w:r>
          </w:p>
        </w:tc>
        <w:tc>
          <w:tcPr>
            <w:tcW w:w="598" w:type="pct"/>
            <w:tcBorders>
              <w:top w:val="single" w:sz="4" w:space="0" w:color="000000"/>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680D01">
              <w:rPr>
                <w:rFonts w:asciiTheme="majorBidi" w:hAnsiTheme="majorBidi" w:cstheme="majorBidi"/>
                <w:b/>
                <w:bCs/>
                <w:color w:val="000000"/>
                <w:lang w:val="en-GB"/>
              </w:rPr>
              <w:t>Echangeur</w:t>
            </w:r>
            <w:proofErr w:type="spellEnd"/>
            <w:r w:rsidRPr="00680D01">
              <w:rPr>
                <w:rFonts w:asciiTheme="majorBidi" w:hAnsiTheme="majorBidi" w:cstheme="majorBidi"/>
                <w:b/>
                <w:bCs/>
                <w:color w:val="000000"/>
                <w:lang w:val="en-GB"/>
              </w:rPr>
              <w:t xml:space="preserve"> N°2</w:t>
            </w:r>
          </w:p>
        </w:tc>
        <w:tc>
          <w:tcPr>
            <w:tcW w:w="1735" w:type="pct"/>
            <w:gridSpan w:val="2"/>
            <w:tcBorders>
              <w:top w:val="single" w:sz="4" w:space="0" w:color="000000"/>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680D01">
              <w:rPr>
                <w:rFonts w:asciiTheme="majorBidi" w:hAnsiTheme="majorBidi" w:cstheme="majorBidi"/>
                <w:b/>
                <w:bCs/>
                <w:color w:val="000000"/>
                <w:lang w:val="en-GB"/>
              </w:rPr>
              <w:t>Réfrigérant</w:t>
            </w:r>
            <w:proofErr w:type="spellEnd"/>
          </w:p>
        </w:tc>
        <w:tc>
          <w:tcPr>
            <w:tcW w:w="1563" w:type="pct"/>
            <w:gridSpan w:val="2"/>
            <w:tcBorders>
              <w:top w:val="single" w:sz="4" w:space="0" w:color="000000"/>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680D01">
              <w:rPr>
                <w:rFonts w:asciiTheme="majorBidi" w:hAnsiTheme="majorBidi" w:cstheme="majorBidi"/>
                <w:b/>
                <w:bCs/>
                <w:color w:val="000000"/>
                <w:lang w:val="en-GB"/>
              </w:rPr>
              <w:t>Frigorifique</w:t>
            </w:r>
            <w:proofErr w:type="spellEnd"/>
          </w:p>
        </w:tc>
      </w:tr>
      <w:tr w:rsidR="00102B06" w:rsidRPr="00680D01" w:rsidTr="00102B06">
        <w:trPr>
          <w:trHeight w:val="675"/>
        </w:trPr>
        <w:tc>
          <w:tcPr>
            <w:tcW w:w="476" w:type="pct"/>
            <w:vMerge/>
            <w:tcBorders>
              <w:top w:val="single" w:sz="4" w:space="0" w:color="000000"/>
              <w:left w:val="single" w:sz="4" w:space="0" w:color="000000"/>
              <w:bottom w:val="single" w:sz="4" w:space="0" w:color="000000"/>
              <w:right w:val="single" w:sz="4" w:space="0" w:color="000000"/>
            </w:tcBorders>
            <w:vAlign w:val="center"/>
            <w:hideMark/>
          </w:tcPr>
          <w:p w:rsidR="00680D01" w:rsidRPr="00680D01" w:rsidRDefault="00680D01" w:rsidP="00680D01">
            <w:pPr>
              <w:suppressAutoHyphens w:val="0"/>
              <w:kinsoku/>
              <w:overflowPunct/>
              <w:autoSpaceDE/>
              <w:autoSpaceDN/>
              <w:adjustRightInd/>
              <w:snapToGrid/>
              <w:spacing w:line="240" w:lineRule="auto"/>
              <w:rPr>
                <w:rFonts w:asciiTheme="majorBidi" w:hAnsiTheme="majorBidi" w:cstheme="majorBidi"/>
                <w:b/>
                <w:bCs/>
                <w:color w:val="000000"/>
                <w:lang w:val="en-GB"/>
              </w:rPr>
            </w:pPr>
          </w:p>
        </w:tc>
        <w:tc>
          <w:tcPr>
            <w:tcW w:w="1227" w:type="pct"/>
            <w:gridSpan w:val="2"/>
            <w:tcBorders>
              <w:top w:val="single" w:sz="4" w:space="0" w:color="000000"/>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680D01">
              <w:rPr>
                <w:rFonts w:asciiTheme="majorBidi" w:hAnsiTheme="majorBidi" w:cstheme="majorBidi"/>
                <w:b/>
                <w:bCs/>
                <w:color w:val="000000"/>
                <w:lang w:val="en-GB"/>
              </w:rPr>
              <w:t>Objectif de T° [°C]</w:t>
            </w:r>
          </w:p>
        </w:tc>
        <w:tc>
          <w:tcPr>
            <w:tcW w:w="870" w:type="pct"/>
            <w:tcBorders>
              <w:top w:val="nil"/>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680D01">
              <w:rPr>
                <w:rFonts w:asciiTheme="majorBidi" w:hAnsiTheme="majorBidi" w:cstheme="majorBidi"/>
                <w:b/>
                <w:bCs/>
                <w:color w:val="000000"/>
                <w:lang w:val="en-GB"/>
              </w:rPr>
              <w:t>Q0 [W]</w:t>
            </w:r>
          </w:p>
        </w:tc>
        <w:tc>
          <w:tcPr>
            <w:tcW w:w="864" w:type="pct"/>
            <w:tcBorders>
              <w:top w:val="nil"/>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680D01">
              <w:rPr>
                <w:rFonts w:asciiTheme="majorBidi" w:hAnsiTheme="majorBidi" w:cstheme="majorBidi"/>
                <w:b/>
                <w:bCs/>
                <w:color w:val="000000"/>
                <w:lang w:val="en-GB"/>
              </w:rPr>
              <w:t>Couplage</w:t>
            </w:r>
            <w:proofErr w:type="spellEnd"/>
            <w:r w:rsidRPr="00680D01">
              <w:rPr>
                <w:rFonts w:asciiTheme="majorBidi" w:hAnsiTheme="majorBidi" w:cstheme="majorBidi"/>
                <w:b/>
                <w:bCs/>
                <w:color w:val="000000"/>
                <w:lang w:val="en-GB"/>
              </w:rPr>
              <w:t xml:space="preserve"> des </w:t>
            </w:r>
            <w:proofErr w:type="spellStart"/>
            <w:r w:rsidRPr="00680D01">
              <w:rPr>
                <w:rFonts w:asciiTheme="majorBidi" w:hAnsiTheme="majorBidi" w:cstheme="majorBidi"/>
                <w:b/>
                <w:bCs/>
                <w:color w:val="000000"/>
                <w:lang w:val="en-GB"/>
              </w:rPr>
              <w:t>compartiments</w:t>
            </w:r>
            <w:proofErr w:type="spellEnd"/>
          </w:p>
        </w:tc>
        <w:tc>
          <w:tcPr>
            <w:tcW w:w="682" w:type="pct"/>
            <w:tcBorders>
              <w:top w:val="nil"/>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680D01">
              <w:rPr>
                <w:rFonts w:asciiTheme="majorBidi" w:hAnsiTheme="majorBidi" w:cstheme="majorBidi"/>
                <w:b/>
                <w:bCs/>
                <w:color w:val="000000"/>
                <w:lang w:val="en-GB"/>
              </w:rPr>
              <w:t>Q0 [W]</w:t>
            </w:r>
          </w:p>
        </w:tc>
        <w:tc>
          <w:tcPr>
            <w:tcW w:w="880" w:type="pct"/>
            <w:tcBorders>
              <w:top w:val="nil"/>
              <w:left w:val="nil"/>
              <w:bottom w:val="single" w:sz="4" w:space="0" w:color="000000"/>
              <w:right w:val="single" w:sz="4" w:space="0" w:color="000000"/>
            </w:tcBorders>
            <w:shd w:val="clear" w:color="D9D9D9" w:fill="D9D9D9"/>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680D01">
              <w:rPr>
                <w:rFonts w:asciiTheme="majorBidi" w:hAnsiTheme="majorBidi" w:cstheme="majorBidi"/>
                <w:b/>
                <w:bCs/>
                <w:color w:val="000000"/>
                <w:lang w:val="en-GB"/>
              </w:rPr>
              <w:t>Couplage</w:t>
            </w:r>
            <w:proofErr w:type="spellEnd"/>
            <w:r w:rsidRPr="00680D01">
              <w:rPr>
                <w:rFonts w:asciiTheme="majorBidi" w:hAnsiTheme="majorBidi" w:cstheme="majorBidi"/>
                <w:b/>
                <w:bCs/>
                <w:color w:val="000000"/>
                <w:lang w:val="en-GB"/>
              </w:rPr>
              <w:t xml:space="preserve"> des </w:t>
            </w:r>
            <w:proofErr w:type="spellStart"/>
            <w:r w:rsidRPr="00680D01">
              <w:rPr>
                <w:rFonts w:asciiTheme="majorBidi" w:hAnsiTheme="majorBidi" w:cstheme="majorBidi"/>
                <w:b/>
                <w:bCs/>
                <w:color w:val="000000"/>
                <w:lang w:val="en-GB"/>
              </w:rPr>
              <w:t>compartiments</w:t>
            </w:r>
            <w:proofErr w:type="spellEnd"/>
          </w:p>
        </w:tc>
      </w:tr>
      <w:tr w:rsidR="00102B06" w:rsidRPr="00102B06" w:rsidTr="00102B06">
        <w:trPr>
          <w:trHeight w:val="675"/>
        </w:trPr>
        <w:tc>
          <w:tcPr>
            <w:tcW w:w="476"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1</w:t>
            </w:r>
          </w:p>
        </w:tc>
        <w:tc>
          <w:tcPr>
            <w:tcW w:w="629"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0</w:t>
            </w:r>
          </w:p>
        </w:tc>
        <w:tc>
          <w:tcPr>
            <w:tcW w:w="598"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12(*)</w:t>
            </w:r>
          </w:p>
        </w:tc>
        <w:tc>
          <w:tcPr>
            <w:tcW w:w="870"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proofErr w:type="spellStart"/>
            <w:r w:rsidRPr="00680D01">
              <w:rPr>
                <w:rFonts w:asciiTheme="majorBidi" w:hAnsiTheme="majorBidi" w:cstheme="majorBidi"/>
                <w:color w:val="000000"/>
                <w:lang w:val="en-GB"/>
              </w:rPr>
              <w:t>Déclarée</w:t>
            </w:r>
            <w:proofErr w:type="spellEnd"/>
          </w:p>
        </w:tc>
        <w:tc>
          <w:tcPr>
            <w:tcW w:w="864"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Distant</w:t>
            </w:r>
          </w:p>
        </w:tc>
        <w:tc>
          <w:tcPr>
            <w:tcW w:w="682"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Max</w:t>
            </w:r>
          </w:p>
        </w:tc>
        <w:tc>
          <w:tcPr>
            <w:tcW w:w="880"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Distant</w:t>
            </w:r>
          </w:p>
        </w:tc>
      </w:tr>
      <w:tr w:rsidR="00102B06" w:rsidRPr="00102B06" w:rsidTr="00102B06">
        <w:trPr>
          <w:trHeight w:val="675"/>
        </w:trPr>
        <w:tc>
          <w:tcPr>
            <w:tcW w:w="476" w:type="pc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2</w:t>
            </w:r>
          </w:p>
        </w:tc>
        <w:tc>
          <w:tcPr>
            <w:tcW w:w="629" w:type="pct"/>
            <w:tcBorders>
              <w:top w:val="nil"/>
              <w:left w:val="nil"/>
              <w:bottom w:val="single" w:sz="4" w:space="0" w:color="000000"/>
              <w:right w:val="single" w:sz="4" w:space="0" w:color="000000"/>
            </w:tcBorders>
            <w:shd w:val="clear" w:color="auto" w:fill="BFBFBF" w:themeFill="background1" w:themeFillShade="BF"/>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-20</w:t>
            </w:r>
          </w:p>
        </w:tc>
        <w:tc>
          <w:tcPr>
            <w:tcW w:w="598" w:type="pct"/>
            <w:tcBorders>
              <w:top w:val="nil"/>
              <w:left w:val="nil"/>
              <w:bottom w:val="single" w:sz="4" w:space="0" w:color="000000"/>
              <w:right w:val="single" w:sz="4" w:space="0" w:color="000000"/>
            </w:tcBorders>
            <w:shd w:val="clear" w:color="auto" w:fill="BFBFBF" w:themeFill="background1" w:themeFillShade="BF"/>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12(*)</w:t>
            </w:r>
          </w:p>
        </w:tc>
        <w:tc>
          <w:tcPr>
            <w:tcW w:w="870" w:type="pct"/>
            <w:tcBorders>
              <w:top w:val="nil"/>
              <w:left w:val="nil"/>
              <w:bottom w:val="single" w:sz="4" w:space="0" w:color="000000"/>
              <w:right w:val="single" w:sz="4" w:space="0" w:color="000000"/>
            </w:tcBorders>
            <w:shd w:val="clear" w:color="auto" w:fill="BFBFBF" w:themeFill="background1" w:themeFillShade="BF"/>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proofErr w:type="spellStart"/>
            <w:r w:rsidRPr="00680D01">
              <w:rPr>
                <w:rFonts w:asciiTheme="majorBidi" w:hAnsiTheme="majorBidi" w:cstheme="majorBidi"/>
                <w:color w:val="000000"/>
                <w:lang w:val="en-GB"/>
              </w:rPr>
              <w:t>Déclarée</w:t>
            </w:r>
            <w:proofErr w:type="spellEnd"/>
          </w:p>
        </w:tc>
        <w:tc>
          <w:tcPr>
            <w:tcW w:w="864" w:type="pct"/>
            <w:tcBorders>
              <w:top w:val="nil"/>
              <w:left w:val="nil"/>
              <w:bottom w:val="single" w:sz="4" w:space="0" w:color="000000"/>
              <w:right w:val="single" w:sz="4" w:space="0" w:color="000000"/>
            </w:tcBorders>
            <w:shd w:val="clear" w:color="auto" w:fill="BFBFBF" w:themeFill="background1" w:themeFillShade="BF"/>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Distant</w:t>
            </w:r>
          </w:p>
        </w:tc>
        <w:tc>
          <w:tcPr>
            <w:tcW w:w="682" w:type="pct"/>
            <w:tcBorders>
              <w:top w:val="nil"/>
              <w:left w:val="nil"/>
              <w:bottom w:val="single" w:sz="4" w:space="0" w:color="000000"/>
              <w:right w:val="single" w:sz="4" w:space="0" w:color="000000"/>
            </w:tcBorders>
            <w:shd w:val="clear" w:color="auto" w:fill="BFBFBF" w:themeFill="background1" w:themeFillShade="BF"/>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Max</w:t>
            </w:r>
          </w:p>
        </w:tc>
        <w:tc>
          <w:tcPr>
            <w:tcW w:w="880" w:type="pct"/>
            <w:tcBorders>
              <w:top w:val="nil"/>
              <w:left w:val="nil"/>
              <w:bottom w:val="single" w:sz="4" w:space="0" w:color="000000"/>
              <w:right w:val="single" w:sz="4" w:space="0" w:color="000000"/>
            </w:tcBorders>
            <w:shd w:val="clear" w:color="auto" w:fill="BFBFBF" w:themeFill="background1" w:themeFillShade="BF"/>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Distant</w:t>
            </w:r>
          </w:p>
        </w:tc>
      </w:tr>
      <w:tr w:rsidR="00102B06" w:rsidRPr="00102B06" w:rsidTr="00102B06">
        <w:trPr>
          <w:trHeight w:val="675"/>
        </w:trPr>
        <w:tc>
          <w:tcPr>
            <w:tcW w:w="476"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3</w:t>
            </w:r>
          </w:p>
        </w:tc>
        <w:tc>
          <w:tcPr>
            <w:tcW w:w="629"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-20</w:t>
            </w:r>
          </w:p>
        </w:tc>
        <w:tc>
          <w:tcPr>
            <w:tcW w:w="598"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0</w:t>
            </w:r>
          </w:p>
        </w:tc>
        <w:tc>
          <w:tcPr>
            <w:tcW w:w="870"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proofErr w:type="spellStart"/>
            <w:r w:rsidRPr="00680D01">
              <w:rPr>
                <w:rFonts w:asciiTheme="majorBidi" w:hAnsiTheme="majorBidi" w:cstheme="majorBidi"/>
                <w:color w:val="000000"/>
                <w:lang w:val="en-GB"/>
              </w:rPr>
              <w:t>Déclarée</w:t>
            </w:r>
            <w:proofErr w:type="spellEnd"/>
          </w:p>
        </w:tc>
        <w:tc>
          <w:tcPr>
            <w:tcW w:w="864"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 xml:space="preserve">Distant </w:t>
            </w:r>
            <w:proofErr w:type="spellStart"/>
            <w:r w:rsidRPr="00680D01">
              <w:rPr>
                <w:rFonts w:asciiTheme="majorBidi" w:hAnsiTheme="majorBidi" w:cstheme="majorBidi"/>
                <w:color w:val="000000"/>
                <w:lang w:val="en-GB"/>
              </w:rPr>
              <w:t>ou</w:t>
            </w:r>
            <w:proofErr w:type="spellEnd"/>
            <w:r w:rsidRPr="00680D01">
              <w:rPr>
                <w:rFonts w:asciiTheme="majorBidi" w:hAnsiTheme="majorBidi" w:cstheme="majorBidi"/>
                <w:color w:val="000000"/>
                <w:lang w:val="en-GB"/>
              </w:rPr>
              <w:t xml:space="preserve"> </w:t>
            </w:r>
            <w:proofErr w:type="spellStart"/>
            <w:r w:rsidRPr="00680D01">
              <w:rPr>
                <w:rFonts w:asciiTheme="majorBidi" w:hAnsiTheme="majorBidi" w:cstheme="majorBidi"/>
                <w:color w:val="000000"/>
                <w:lang w:val="en-GB"/>
              </w:rPr>
              <w:t>jumelé</w:t>
            </w:r>
            <w:proofErr w:type="spellEnd"/>
          </w:p>
        </w:tc>
        <w:tc>
          <w:tcPr>
            <w:tcW w:w="682"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proofErr w:type="spellStart"/>
            <w:r w:rsidRPr="00680D01">
              <w:rPr>
                <w:rFonts w:asciiTheme="majorBidi" w:hAnsiTheme="majorBidi" w:cstheme="majorBidi"/>
                <w:color w:val="000000"/>
                <w:lang w:val="en-GB"/>
              </w:rPr>
              <w:t>Déclarée</w:t>
            </w:r>
            <w:proofErr w:type="spellEnd"/>
          </w:p>
        </w:tc>
        <w:tc>
          <w:tcPr>
            <w:tcW w:w="880" w:type="pct"/>
            <w:tcBorders>
              <w:top w:val="nil"/>
              <w:left w:val="nil"/>
              <w:bottom w:val="single" w:sz="4" w:space="0" w:color="000000"/>
              <w:right w:val="single" w:sz="4" w:space="0" w:color="000000"/>
            </w:tcBorders>
            <w:shd w:val="clear" w:color="auto" w:fill="F2F2F2" w:themeFill="background1" w:themeFillShade="F2"/>
            <w:vAlign w:val="center"/>
            <w:hideMark/>
          </w:tcPr>
          <w:p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680D01">
              <w:rPr>
                <w:rFonts w:asciiTheme="majorBidi" w:hAnsiTheme="majorBidi" w:cstheme="majorBidi"/>
                <w:color w:val="000000"/>
                <w:lang w:val="en-GB"/>
              </w:rPr>
              <w:t xml:space="preserve">Distant </w:t>
            </w:r>
            <w:proofErr w:type="spellStart"/>
            <w:r w:rsidRPr="00680D01">
              <w:rPr>
                <w:rFonts w:asciiTheme="majorBidi" w:hAnsiTheme="majorBidi" w:cstheme="majorBidi"/>
                <w:color w:val="000000"/>
                <w:lang w:val="en-GB"/>
              </w:rPr>
              <w:t>ou</w:t>
            </w:r>
            <w:proofErr w:type="spellEnd"/>
            <w:r w:rsidRPr="00680D01">
              <w:rPr>
                <w:rFonts w:asciiTheme="majorBidi" w:hAnsiTheme="majorBidi" w:cstheme="majorBidi"/>
                <w:color w:val="000000"/>
                <w:lang w:val="en-GB"/>
              </w:rPr>
              <w:t xml:space="preserve"> </w:t>
            </w:r>
            <w:proofErr w:type="spellStart"/>
            <w:r w:rsidRPr="00680D01">
              <w:rPr>
                <w:rFonts w:asciiTheme="majorBidi" w:hAnsiTheme="majorBidi" w:cstheme="majorBidi"/>
                <w:color w:val="000000"/>
                <w:lang w:val="en-GB"/>
              </w:rPr>
              <w:t>jumelé</w:t>
            </w:r>
            <w:proofErr w:type="spellEnd"/>
          </w:p>
        </w:tc>
      </w:tr>
    </w:tbl>
    <w:p w:rsidR="00102B06" w:rsidRDefault="00102B06" w:rsidP="00102B06">
      <w:pPr>
        <w:pStyle w:val="SingleTxtG"/>
        <w:spacing w:before="240"/>
        <w:rPr>
          <w:lang w:val="fr-FR" w:eastAsia="ar-SA"/>
        </w:rPr>
      </w:pPr>
      <w:r w:rsidRPr="00102B06">
        <w:rPr>
          <w:lang w:val="fr-FR" w:eastAsia="ar-SA"/>
        </w:rPr>
        <w:lastRenderedPageBreak/>
        <w:t>(*) Les équipements du laboratoire doivent permettre d'atteindre cette consigne en température par apport calorifique seul, y compris celui des parois du calorimètre. Aucun refroidissement additionnel au groupe testé n'est autorisé.</w:t>
      </w:r>
    </w:p>
    <w:p w:rsidR="001A5439" w:rsidRPr="00F62B37" w:rsidRDefault="00F41369" w:rsidP="0000376E">
      <w:pPr>
        <w:pStyle w:val="SingleTxtG"/>
        <w:rPr>
          <w:b/>
          <w:bCs/>
          <w:lang w:val="fr-FR" w:eastAsia="ar-SA"/>
        </w:rPr>
      </w:pPr>
      <w:r w:rsidRPr="00F62B37">
        <w:rPr>
          <w:b/>
          <w:bCs/>
          <w:lang w:val="fr-FR" w:eastAsia="ar-SA"/>
        </w:rPr>
        <w:t>12.</w:t>
      </w:r>
      <w:r w:rsidR="001A5439" w:rsidRPr="00F62B37">
        <w:rPr>
          <w:b/>
          <w:bCs/>
          <w:lang w:val="fr-FR" w:eastAsia="ar-SA"/>
        </w:rPr>
        <w:tab/>
        <w:t xml:space="preserve">La durée des </w:t>
      </w:r>
      <w:r w:rsidR="001A5439" w:rsidRPr="00F62B37">
        <w:rPr>
          <w:b/>
          <w:bCs/>
        </w:rPr>
        <w:t>essais</w:t>
      </w:r>
      <w:r w:rsidR="001A5439" w:rsidRPr="00F62B37">
        <w:rPr>
          <w:b/>
          <w:bCs/>
          <w:lang w:val="fr-FR" w:eastAsia="ar-SA"/>
        </w:rPr>
        <w:t xml:space="preserve"> doit démontrer que les engins réfrigérants souscrivent aux </w:t>
      </w:r>
      <w:r w:rsidR="001A5439" w:rsidRPr="00F62B37">
        <w:rPr>
          <w:b/>
          <w:bCs/>
          <w:lang w:val="fr-FR" w:eastAsia="ar-SA"/>
        </w:rPr>
        <w:tab/>
        <w:t>objectifs en température sur au moins une période de 12 heures et de 4 heures dans celle des groupes frigorifiques.</w:t>
      </w:r>
    </w:p>
    <w:p w:rsidR="001A5439" w:rsidRPr="00F41369" w:rsidRDefault="001A5439" w:rsidP="0000376E">
      <w:pPr>
        <w:pStyle w:val="SingleTxtG"/>
        <w:rPr>
          <w:u w:val="single"/>
        </w:rPr>
      </w:pPr>
      <w:r w:rsidRPr="00F41369">
        <w:rPr>
          <w:u w:val="single"/>
        </w:rPr>
        <w:t>Attention :</w:t>
      </w:r>
    </w:p>
    <w:p w:rsidR="001A5439" w:rsidRDefault="00E067FF" w:rsidP="0000376E">
      <w:pPr>
        <w:pStyle w:val="Bullet1G"/>
        <w:rPr>
          <w:lang w:val="fr-FR" w:eastAsia="ar-SA"/>
        </w:rPr>
      </w:pPr>
      <w:r>
        <w:rPr>
          <w:lang w:val="fr-FR" w:eastAsia="ar-SA"/>
        </w:rPr>
        <w:t>A</w:t>
      </w:r>
      <w:r w:rsidR="001A5439">
        <w:rPr>
          <w:lang w:val="fr-FR" w:eastAsia="ar-SA"/>
        </w:rPr>
        <w:t>u risque de gel des produits transportés (risque sanitaire)</w:t>
      </w:r>
      <w:r w:rsidR="0000376E">
        <w:rPr>
          <w:lang w:val="fr-FR" w:eastAsia="ar-SA"/>
        </w:rPr>
        <w:t> ;</w:t>
      </w:r>
    </w:p>
    <w:p w:rsidR="001A5439" w:rsidRDefault="00E067FF" w:rsidP="0000376E">
      <w:pPr>
        <w:pStyle w:val="Bullet1G"/>
        <w:rPr>
          <w:lang w:val="fr-FR" w:eastAsia="ar-SA"/>
        </w:rPr>
      </w:pPr>
      <w:r>
        <w:rPr>
          <w:lang w:val="fr-FR" w:eastAsia="ar-SA"/>
        </w:rPr>
        <w:t>A</w:t>
      </w:r>
      <w:r w:rsidR="001A5439">
        <w:rPr>
          <w:lang w:val="fr-FR" w:eastAsia="ar-SA"/>
        </w:rPr>
        <w:t xml:space="preserve"> l’impact du volume de la caisse sur les puissances frigorifiques dans le cas d’une ventilation passive (risque sanitaire à intégrer dans le dimensionnement des engins).</w:t>
      </w:r>
    </w:p>
    <w:p w:rsidR="001A5439" w:rsidRPr="0073257E" w:rsidRDefault="00F41369" w:rsidP="0073257E">
      <w:pPr>
        <w:pStyle w:val="SingleTxtG"/>
        <w:rPr>
          <w:lang w:val="fr-FR"/>
        </w:rPr>
      </w:pPr>
      <w:r>
        <w:rPr>
          <w:lang w:val="fr-FR" w:eastAsia="ar-SA"/>
        </w:rPr>
        <w:t>13.</w:t>
      </w:r>
      <w:r>
        <w:rPr>
          <w:lang w:val="fr-FR" w:eastAsia="ar-SA"/>
        </w:rPr>
        <w:tab/>
      </w:r>
      <w:r w:rsidR="001A5439">
        <w:rPr>
          <w:lang w:val="fr-FR" w:eastAsia="ar-SA"/>
        </w:rPr>
        <w:t xml:space="preserve">Principe du </w:t>
      </w:r>
      <w:r w:rsidR="001A5439" w:rsidRPr="0000376E">
        <w:t>dimensionnement</w:t>
      </w:r>
      <w:r w:rsidR="001A5439">
        <w:rPr>
          <w:lang w:val="fr-FR" w:eastAsia="ar-SA"/>
        </w:rPr>
        <w:t xml:space="preserve"> des engins dotés d’un groupe bi-températures frigorifiques à émetteur unique</w:t>
      </w:r>
    </w:p>
    <w:p w:rsidR="001A5439" w:rsidRDefault="00F41369" w:rsidP="0000376E">
      <w:pPr>
        <w:pStyle w:val="SingleTxtG"/>
        <w:rPr>
          <w:lang w:val="fr-FR" w:eastAsia="ar-SA"/>
        </w:rPr>
      </w:pPr>
      <w:r>
        <w:rPr>
          <w:lang w:val="fr-FR" w:eastAsia="ar-SA"/>
        </w:rPr>
        <w:t>14.</w:t>
      </w:r>
      <w:r>
        <w:rPr>
          <w:lang w:val="fr-FR" w:eastAsia="ar-SA"/>
        </w:rPr>
        <w:tab/>
      </w:r>
      <w:r w:rsidR="001A5439">
        <w:rPr>
          <w:lang w:val="fr-FR" w:eastAsia="ar-SA"/>
        </w:rPr>
        <w:t xml:space="preserve">L’idée est de transposer les puissances mesurées sur les </w:t>
      </w:r>
      <w:r w:rsidR="001A5439" w:rsidRPr="0000376E">
        <w:t>groupes</w:t>
      </w:r>
      <w:r w:rsidR="001A5439">
        <w:rPr>
          <w:lang w:val="fr-FR" w:eastAsia="ar-SA"/>
        </w:rPr>
        <w:t xml:space="preserve"> bi-températures à émetteur unique à celles nécessaires à ce jour selon la méthode prescrite par l’ATP dans sa section 7 pour les groupes multi-températures avec une modification du point 7.3.5 :</w:t>
      </w:r>
    </w:p>
    <w:p w:rsidR="001A5439" w:rsidRDefault="0000376E" w:rsidP="001A5439">
      <w:pPr>
        <w:pStyle w:val="SingleTxtG"/>
        <w:tabs>
          <w:tab w:val="left" w:pos="1362"/>
        </w:tabs>
        <w:ind w:left="0" w:firstLine="708"/>
        <w:rPr>
          <w:lang w:val="fr-FR" w:eastAsia="ar-SA"/>
        </w:rPr>
      </w:pPr>
      <w:r>
        <w:rPr>
          <w:lang w:val="fr-FR" w:eastAsia="ar-SA"/>
        </w:rPr>
        <w:tab/>
      </w:r>
      <w:r w:rsidR="001A5439">
        <w:rPr>
          <w:noProof/>
          <w:lang w:val="fr-FR" w:eastAsia="ar-SA"/>
        </w:rPr>
        <w:drawing>
          <wp:inline distT="0" distB="0" distL="0" distR="0" wp14:anchorId="1B78A4EB" wp14:editId="7E5B8D88">
            <wp:extent cx="1762199" cy="162000"/>
            <wp:effectExtent l="0" t="0" r="9451" b="9450"/>
            <wp:docPr id="5" name="Image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62199" cy="162000"/>
                    </a:xfrm>
                    <a:prstGeom prst="rect">
                      <a:avLst/>
                    </a:prstGeom>
                    <a:ln>
                      <a:noFill/>
                      <a:prstDash/>
                    </a:ln>
                  </pic:spPr>
                </pic:pic>
              </a:graphicData>
            </a:graphic>
          </wp:inline>
        </w:drawing>
      </w:r>
    </w:p>
    <w:p w:rsidR="001A5439" w:rsidRDefault="00F41369" w:rsidP="0000376E">
      <w:pPr>
        <w:pStyle w:val="SingleTxtG"/>
        <w:rPr>
          <w:lang w:val="fr-FR" w:eastAsia="ar-SA"/>
        </w:rPr>
      </w:pPr>
      <w:r>
        <w:rPr>
          <w:lang w:val="fr-FR" w:eastAsia="ar-SA"/>
        </w:rPr>
        <w:t>15.</w:t>
      </w:r>
      <w:r>
        <w:rPr>
          <w:lang w:val="fr-FR" w:eastAsia="ar-SA"/>
        </w:rPr>
        <w:tab/>
      </w:r>
      <w:r w:rsidR="001A5439">
        <w:rPr>
          <w:lang w:val="fr-FR" w:eastAsia="ar-SA"/>
        </w:rPr>
        <w:t xml:space="preserve">Modification qui donne le </w:t>
      </w:r>
      <w:r w:rsidR="001A5439" w:rsidRPr="0000376E">
        <w:t>tableau</w:t>
      </w:r>
      <w:r w:rsidR="001A5439">
        <w:rPr>
          <w:lang w:val="fr-FR" w:eastAsia="ar-SA"/>
        </w:rPr>
        <w:t xml:space="preserve"> de correspondance suivant :</w:t>
      </w:r>
    </w:p>
    <w:tbl>
      <w:tblPr>
        <w:tblW w:w="5000" w:type="pct"/>
        <w:tblLook w:val="04A0" w:firstRow="1" w:lastRow="0" w:firstColumn="1" w:lastColumn="0" w:noHBand="0" w:noVBand="1"/>
      </w:tblPr>
      <w:tblGrid>
        <w:gridCol w:w="2262"/>
        <w:gridCol w:w="2265"/>
        <w:gridCol w:w="1123"/>
        <w:gridCol w:w="1716"/>
        <w:gridCol w:w="1309"/>
        <w:gridCol w:w="953"/>
      </w:tblGrid>
      <w:tr w:rsidR="00102B06" w:rsidRPr="00102B06" w:rsidTr="00102B06">
        <w:trPr>
          <w:trHeight w:val="675"/>
        </w:trPr>
        <w:tc>
          <w:tcPr>
            <w:tcW w:w="2934" w:type="pct"/>
            <w:gridSpan w:val="3"/>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ATP, Annex 1, Appendix 2, §7.2</w:t>
            </w:r>
          </w:p>
        </w:tc>
        <w:tc>
          <w:tcPr>
            <w:tcW w:w="891" w:type="pct"/>
            <w:tcBorders>
              <w:top w:val="single" w:sz="4" w:space="0" w:color="000000"/>
              <w:left w:val="nil"/>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Heat exchanger 1</w:t>
            </w:r>
          </w:p>
        </w:tc>
        <w:tc>
          <w:tcPr>
            <w:tcW w:w="680" w:type="pct"/>
            <w:tcBorders>
              <w:top w:val="single" w:sz="4" w:space="0" w:color="000000"/>
              <w:left w:val="nil"/>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Heat exchanger 2</w:t>
            </w:r>
          </w:p>
        </w:tc>
        <w:tc>
          <w:tcPr>
            <w:tcW w:w="495" w:type="pct"/>
            <w:tcBorders>
              <w:top w:val="single" w:sz="4" w:space="0" w:color="000000"/>
              <w:left w:val="nil"/>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Cooling capacity</w:t>
            </w:r>
          </w:p>
        </w:tc>
      </w:tr>
      <w:tr w:rsidR="00102B06" w:rsidRPr="00102B06" w:rsidTr="00102B06">
        <w:trPr>
          <w:trHeight w:val="675"/>
        </w:trPr>
        <w:tc>
          <w:tcPr>
            <w:tcW w:w="1175" w:type="pct"/>
            <w:tcBorders>
              <w:top w:val="nil"/>
              <w:left w:val="single" w:sz="4" w:space="0" w:color="000000"/>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Test naming</w:t>
            </w:r>
          </w:p>
        </w:tc>
        <w:tc>
          <w:tcPr>
            <w:tcW w:w="1176" w:type="pct"/>
            <w:tcBorders>
              <w:top w:val="nil"/>
              <w:left w:val="nil"/>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What</w:t>
            </w:r>
          </w:p>
        </w:tc>
        <w:tc>
          <w:tcPr>
            <w:tcW w:w="583" w:type="pct"/>
            <w:tcBorders>
              <w:top w:val="nil"/>
              <w:left w:val="nil"/>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Goal</w:t>
            </w:r>
          </w:p>
        </w:tc>
        <w:tc>
          <w:tcPr>
            <w:tcW w:w="1571" w:type="pct"/>
            <w:gridSpan w:val="2"/>
            <w:tcBorders>
              <w:top w:val="single" w:sz="4" w:space="0" w:color="000000"/>
              <w:left w:val="nil"/>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Test number</w:t>
            </w:r>
          </w:p>
        </w:tc>
        <w:tc>
          <w:tcPr>
            <w:tcW w:w="495" w:type="pct"/>
            <w:tcBorders>
              <w:top w:val="nil"/>
              <w:left w:val="nil"/>
              <w:bottom w:val="single" w:sz="4" w:space="0" w:color="000000"/>
              <w:right w:val="single" w:sz="4" w:space="0" w:color="000000"/>
            </w:tcBorders>
            <w:shd w:val="clear" w:color="D9D9D9" w:fill="D9D9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w:t>
            </w:r>
          </w:p>
        </w:tc>
      </w:tr>
      <w:tr w:rsidR="00102B06" w:rsidRPr="00102B06" w:rsidTr="00102B06">
        <w:trPr>
          <w:trHeight w:val="675"/>
        </w:trPr>
        <w:tc>
          <w:tcPr>
            <w:tcW w:w="1175"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Pnominal</w:t>
            </w:r>
            <w:proofErr w:type="spellEnd"/>
          </w:p>
        </w:tc>
        <w:tc>
          <w:tcPr>
            <w:tcW w:w="1176" w:type="pct"/>
            <w:tcBorders>
              <w:top w:val="nil"/>
              <w:left w:val="nil"/>
              <w:bottom w:val="single" w:sz="4" w:space="0" w:color="000000"/>
              <w:right w:val="nil"/>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Unit</w:t>
            </w:r>
          </w:p>
        </w:tc>
        <w:tc>
          <w:tcPr>
            <w:tcW w:w="583"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(0/0)</w:t>
            </w:r>
          </w:p>
        </w:tc>
        <w:tc>
          <w:tcPr>
            <w:tcW w:w="891" w:type="pct"/>
            <w:tcBorders>
              <w:top w:val="nil"/>
              <w:left w:val="nil"/>
              <w:bottom w:val="single" w:sz="4" w:space="0" w:color="000000"/>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1</w:t>
            </w:r>
          </w:p>
        </w:tc>
        <w:tc>
          <w:tcPr>
            <w:tcW w:w="680" w:type="pct"/>
            <w:tcBorders>
              <w:top w:val="nil"/>
              <w:left w:val="nil"/>
              <w:bottom w:val="single" w:sz="4" w:space="0" w:color="000000"/>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
        </w:tc>
        <w:tc>
          <w:tcPr>
            <w:tcW w:w="495" w:type="pct"/>
            <w:tcBorders>
              <w:top w:val="nil"/>
              <w:left w:val="nil"/>
              <w:bottom w:val="single" w:sz="4" w:space="0" w:color="000000"/>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t>
            </w:r>
          </w:p>
        </w:tc>
      </w:tr>
      <w:tr w:rsidR="00102B06" w:rsidRPr="00102B06" w:rsidTr="00102B06">
        <w:trPr>
          <w:trHeight w:val="675"/>
        </w:trPr>
        <w:tc>
          <w:tcPr>
            <w:tcW w:w="1175"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Pnominal</w:t>
            </w:r>
            <w:proofErr w:type="spellEnd"/>
          </w:p>
        </w:tc>
        <w:tc>
          <w:tcPr>
            <w:tcW w:w="1176" w:type="pct"/>
            <w:tcBorders>
              <w:top w:val="nil"/>
              <w:left w:val="nil"/>
              <w:bottom w:val="single" w:sz="4" w:space="0" w:color="000000"/>
              <w:right w:val="nil"/>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Unit</w:t>
            </w:r>
          </w:p>
        </w:tc>
        <w:tc>
          <w:tcPr>
            <w:tcW w:w="583"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(-20/-20)</w:t>
            </w:r>
          </w:p>
        </w:tc>
        <w:tc>
          <w:tcPr>
            <w:tcW w:w="891" w:type="pct"/>
            <w:tcBorders>
              <w:top w:val="nil"/>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3</w:t>
            </w:r>
          </w:p>
        </w:tc>
        <w:tc>
          <w:tcPr>
            <w:tcW w:w="680" w:type="pct"/>
            <w:tcBorders>
              <w:top w:val="nil"/>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3</w:t>
            </w:r>
          </w:p>
        </w:tc>
        <w:tc>
          <w:tcPr>
            <w:tcW w:w="495" w:type="pct"/>
            <w:tcBorders>
              <w:top w:val="nil"/>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t>
            </w:r>
          </w:p>
        </w:tc>
      </w:tr>
      <w:tr w:rsidR="00102B06" w:rsidRPr="00102B06" w:rsidTr="00102B06">
        <w:trPr>
          <w:trHeight w:val="675"/>
        </w:trPr>
        <w:tc>
          <w:tcPr>
            <w:tcW w:w="1175" w:type="pct"/>
            <w:tcBorders>
              <w:top w:val="nil"/>
              <w:left w:val="single" w:sz="4" w:space="0" w:color="000000"/>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Pindividual</w:t>
            </w:r>
            <w:proofErr w:type="spellEnd"/>
          </w:p>
        </w:tc>
        <w:tc>
          <w:tcPr>
            <w:tcW w:w="1176" w:type="pct"/>
            <w:tcBorders>
              <w:top w:val="nil"/>
              <w:left w:val="nil"/>
              <w:bottom w:val="nil"/>
              <w:right w:val="nil"/>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Heat exchanger 1</w:t>
            </w:r>
          </w:p>
        </w:tc>
        <w:tc>
          <w:tcPr>
            <w:tcW w:w="583" w:type="pct"/>
            <w:tcBorders>
              <w:top w:val="nil"/>
              <w:left w:val="single" w:sz="4" w:space="0" w:color="000000"/>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(0/</w:t>
            </w:r>
            <w:proofErr w:type="spellStart"/>
            <w:r w:rsidRPr="00102B06">
              <w:rPr>
                <w:rFonts w:asciiTheme="majorBidi" w:hAnsiTheme="majorBidi" w:cstheme="majorBidi"/>
                <w:color w:val="000000"/>
                <w:lang w:val="en-GB"/>
              </w:rPr>
              <w:t>Nul</w:t>
            </w:r>
            <w:proofErr w:type="spellEnd"/>
            <w:r w:rsidRPr="00102B06">
              <w:rPr>
                <w:rFonts w:asciiTheme="majorBidi" w:hAnsiTheme="majorBidi" w:cstheme="majorBidi"/>
                <w:color w:val="000000"/>
                <w:lang w:val="en-GB"/>
              </w:rPr>
              <w:t>)</w:t>
            </w:r>
          </w:p>
        </w:tc>
        <w:tc>
          <w:tcPr>
            <w:tcW w:w="891"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1</w:t>
            </w:r>
          </w:p>
        </w:tc>
        <w:tc>
          <w:tcPr>
            <w:tcW w:w="680"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
        </w:tc>
        <w:tc>
          <w:tcPr>
            <w:tcW w:w="495"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t>
            </w:r>
          </w:p>
        </w:tc>
      </w:tr>
      <w:tr w:rsidR="00102B06" w:rsidRPr="00102B06" w:rsidTr="00102B06">
        <w:trPr>
          <w:trHeight w:val="675"/>
        </w:trPr>
        <w:tc>
          <w:tcPr>
            <w:tcW w:w="1175" w:type="pct"/>
            <w:tcBorders>
              <w:top w:val="single" w:sz="4" w:space="0" w:color="000000"/>
              <w:left w:val="single" w:sz="4" w:space="0" w:color="000000"/>
              <w:bottom w:val="nil"/>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Pindividual</w:t>
            </w:r>
            <w:proofErr w:type="spellEnd"/>
          </w:p>
        </w:tc>
        <w:tc>
          <w:tcPr>
            <w:tcW w:w="1176" w:type="pct"/>
            <w:tcBorders>
              <w:top w:val="single" w:sz="4" w:space="0" w:color="000000"/>
              <w:left w:val="nil"/>
              <w:bottom w:val="single" w:sz="4" w:space="0" w:color="000000"/>
              <w:right w:val="nil"/>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Heat exchanger 1</w:t>
            </w:r>
          </w:p>
        </w:tc>
        <w:tc>
          <w:tcPr>
            <w:tcW w:w="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(-20/</w:t>
            </w:r>
            <w:proofErr w:type="spellStart"/>
            <w:r w:rsidRPr="00102B06">
              <w:rPr>
                <w:rFonts w:asciiTheme="majorBidi" w:hAnsiTheme="majorBidi" w:cstheme="majorBidi"/>
                <w:color w:val="000000"/>
                <w:lang w:val="en-GB"/>
              </w:rPr>
              <w:t>Nul</w:t>
            </w:r>
            <w:proofErr w:type="spellEnd"/>
            <w:r w:rsidRPr="00102B06">
              <w:rPr>
                <w:rFonts w:asciiTheme="majorBidi" w:hAnsiTheme="majorBidi" w:cstheme="majorBidi"/>
                <w:color w:val="000000"/>
                <w:lang w:val="en-GB"/>
              </w:rPr>
              <w:t>)</w:t>
            </w:r>
          </w:p>
        </w:tc>
        <w:tc>
          <w:tcPr>
            <w:tcW w:w="891"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2</w:t>
            </w:r>
          </w:p>
        </w:tc>
        <w:tc>
          <w:tcPr>
            <w:tcW w:w="680"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
        </w:tc>
        <w:tc>
          <w:tcPr>
            <w:tcW w:w="495"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t>
            </w:r>
          </w:p>
        </w:tc>
      </w:tr>
      <w:tr w:rsidR="00102B06" w:rsidRPr="00102B06" w:rsidTr="00102B06">
        <w:trPr>
          <w:trHeight w:val="675"/>
        </w:trPr>
        <w:tc>
          <w:tcPr>
            <w:tcW w:w="1175" w:type="pct"/>
            <w:tcBorders>
              <w:top w:val="single" w:sz="4" w:space="0" w:color="000000"/>
              <w:left w:val="single" w:sz="4" w:space="0" w:color="000000"/>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Pindividual</w:t>
            </w:r>
            <w:proofErr w:type="spellEnd"/>
          </w:p>
        </w:tc>
        <w:tc>
          <w:tcPr>
            <w:tcW w:w="1176" w:type="pct"/>
            <w:tcBorders>
              <w:top w:val="nil"/>
              <w:left w:val="nil"/>
              <w:bottom w:val="nil"/>
              <w:right w:val="nil"/>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Heat exchanger 2</w:t>
            </w:r>
          </w:p>
        </w:tc>
        <w:tc>
          <w:tcPr>
            <w:tcW w:w="583" w:type="pct"/>
            <w:tcBorders>
              <w:top w:val="nil"/>
              <w:left w:val="single" w:sz="4" w:space="0" w:color="000000"/>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roofErr w:type="spellStart"/>
            <w:r w:rsidRPr="00102B06">
              <w:rPr>
                <w:rFonts w:asciiTheme="majorBidi" w:hAnsiTheme="majorBidi" w:cstheme="majorBidi"/>
                <w:color w:val="000000"/>
                <w:lang w:val="en-GB"/>
              </w:rPr>
              <w:t>Nul</w:t>
            </w:r>
            <w:proofErr w:type="spellEnd"/>
            <w:r w:rsidRPr="00102B06">
              <w:rPr>
                <w:rFonts w:asciiTheme="majorBidi" w:hAnsiTheme="majorBidi" w:cstheme="majorBidi"/>
                <w:color w:val="000000"/>
                <w:lang w:val="en-GB"/>
              </w:rPr>
              <w:t>/0)</w:t>
            </w:r>
          </w:p>
        </w:tc>
        <w:tc>
          <w:tcPr>
            <w:tcW w:w="891"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
        </w:tc>
        <w:tc>
          <w:tcPr>
            <w:tcW w:w="680"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3</w:t>
            </w:r>
          </w:p>
        </w:tc>
        <w:tc>
          <w:tcPr>
            <w:tcW w:w="495"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t>
            </w:r>
          </w:p>
        </w:tc>
      </w:tr>
      <w:tr w:rsidR="00102B06" w:rsidRPr="00102B06" w:rsidTr="00102B06">
        <w:trPr>
          <w:trHeight w:val="675"/>
        </w:trPr>
        <w:tc>
          <w:tcPr>
            <w:tcW w:w="1175" w:type="pct"/>
            <w:tcBorders>
              <w:top w:val="single" w:sz="4" w:space="0" w:color="000000"/>
              <w:left w:val="single" w:sz="4" w:space="0" w:color="000000"/>
              <w:bottom w:val="nil"/>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Pindividual</w:t>
            </w:r>
            <w:proofErr w:type="spellEnd"/>
          </w:p>
        </w:tc>
        <w:tc>
          <w:tcPr>
            <w:tcW w:w="1176" w:type="pct"/>
            <w:tcBorders>
              <w:top w:val="single" w:sz="4" w:space="0" w:color="000000"/>
              <w:left w:val="nil"/>
              <w:bottom w:val="single" w:sz="4" w:space="0" w:color="000000"/>
              <w:right w:val="nil"/>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Heat exchanger 2</w:t>
            </w:r>
          </w:p>
        </w:tc>
        <w:tc>
          <w:tcPr>
            <w:tcW w:w="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roofErr w:type="spellStart"/>
            <w:r w:rsidRPr="00102B06">
              <w:rPr>
                <w:rFonts w:asciiTheme="majorBidi" w:hAnsiTheme="majorBidi" w:cstheme="majorBidi"/>
                <w:color w:val="000000"/>
                <w:lang w:val="en-GB"/>
              </w:rPr>
              <w:t>Nul</w:t>
            </w:r>
            <w:proofErr w:type="spellEnd"/>
            <w:r w:rsidRPr="00102B06">
              <w:rPr>
                <w:rFonts w:asciiTheme="majorBidi" w:hAnsiTheme="majorBidi" w:cstheme="majorBidi"/>
                <w:color w:val="000000"/>
                <w:lang w:val="en-GB"/>
              </w:rPr>
              <w:t>/-20)</w:t>
            </w:r>
          </w:p>
        </w:tc>
        <w:tc>
          <w:tcPr>
            <w:tcW w:w="891"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
        </w:tc>
        <w:tc>
          <w:tcPr>
            <w:tcW w:w="680"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
        </w:tc>
        <w:tc>
          <w:tcPr>
            <w:tcW w:w="495"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t>
            </w:r>
          </w:p>
        </w:tc>
      </w:tr>
      <w:tr w:rsidR="00102B06" w:rsidRPr="00102B06" w:rsidTr="00102B06">
        <w:trPr>
          <w:trHeight w:val="675"/>
        </w:trPr>
        <w:tc>
          <w:tcPr>
            <w:tcW w:w="1175" w:type="pct"/>
            <w:tcBorders>
              <w:top w:val="single" w:sz="4" w:space="0" w:color="000000"/>
              <w:left w:val="single" w:sz="4" w:space="0" w:color="000000"/>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Premaining</w:t>
            </w:r>
            <w:proofErr w:type="spellEnd"/>
          </w:p>
        </w:tc>
        <w:tc>
          <w:tcPr>
            <w:tcW w:w="1176" w:type="pct"/>
            <w:tcBorders>
              <w:top w:val="nil"/>
              <w:left w:val="nil"/>
              <w:bottom w:val="nil"/>
              <w:right w:val="nil"/>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Heat exchanger 1</w:t>
            </w:r>
          </w:p>
        </w:tc>
        <w:tc>
          <w:tcPr>
            <w:tcW w:w="583" w:type="pct"/>
            <w:tcBorders>
              <w:top w:val="nil"/>
              <w:left w:val="single" w:sz="4" w:space="0" w:color="000000"/>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(-20/0)</w:t>
            </w:r>
          </w:p>
        </w:tc>
        <w:tc>
          <w:tcPr>
            <w:tcW w:w="891"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3</w:t>
            </w:r>
          </w:p>
        </w:tc>
        <w:tc>
          <w:tcPr>
            <w:tcW w:w="680"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3</w:t>
            </w:r>
          </w:p>
        </w:tc>
        <w:tc>
          <w:tcPr>
            <w:tcW w:w="495" w:type="pct"/>
            <w:tcBorders>
              <w:top w:val="nil"/>
              <w:left w:val="nil"/>
              <w:bottom w:val="nil"/>
              <w:right w:val="single" w:sz="4" w:space="0" w:color="000000"/>
            </w:tcBorders>
            <w:shd w:val="clear" w:color="auto" w:fill="F2F2F2" w:themeFill="background1" w:themeFillShade="F2"/>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Iem</w:t>
            </w:r>
            <w:proofErr w:type="spellEnd"/>
            <w:r w:rsidRPr="00102B06">
              <w:rPr>
                <w:rFonts w:asciiTheme="majorBidi" w:hAnsiTheme="majorBidi" w:cstheme="majorBidi"/>
                <w:b/>
                <w:bCs/>
                <w:color w:val="000000"/>
                <w:lang w:val="en-GB"/>
              </w:rPr>
              <w:t xml:space="preserve"> 7.2</w:t>
            </w:r>
          </w:p>
        </w:tc>
      </w:tr>
      <w:tr w:rsidR="00102B06" w:rsidRPr="00102B06" w:rsidTr="00102B06">
        <w:trPr>
          <w:trHeight w:val="675"/>
        </w:trPr>
        <w:tc>
          <w:tcPr>
            <w:tcW w:w="11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proofErr w:type="spellStart"/>
            <w:r w:rsidRPr="00102B06">
              <w:rPr>
                <w:rFonts w:asciiTheme="majorBidi" w:hAnsiTheme="majorBidi" w:cstheme="majorBidi"/>
                <w:b/>
                <w:bCs/>
                <w:color w:val="000000"/>
                <w:lang w:val="en-GB"/>
              </w:rPr>
              <w:t>Premaining</w:t>
            </w:r>
            <w:proofErr w:type="spellEnd"/>
          </w:p>
        </w:tc>
        <w:tc>
          <w:tcPr>
            <w:tcW w:w="1176" w:type="pct"/>
            <w:tcBorders>
              <w:top w:val="single" w:sz="4" w:space="0" w:color="000000"/>
              <w:left w:val="nil"/>
              <w:bottom w:val="single" w:sz="4" w:space="0" w:color="000000"/>
              <w:right w:val="nil"/>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Heat exchanger 2</w:t>
            </w:r>
          </w:p>
        </w:tc>
        <w:tc>
          <w:tcPr>
            <w:tcW w:w="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(0/-20)</w:t>
            </w:r>
          </w:p>
        </w:tc>
        <w:tc>
          <w:tcPr>
            <w:tcW w:w="891"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
        </w:tc>
        <w:tc>
          <w:tcPr>
            <w:tcW w:w="680"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lang w:val="en-GB"/>
              </w:rPr>
            </w:pPr>
            <w:r w:rsidRPr="00102B06">
              <w:rPr>
                <w:rFonts w:asciiTheme="majorBidi" w:hAnsiTheme="majorBidi" w:cstheme="majorBidi"/>
                <w:color w:val="000000"/>
                <w:lang w:val="en-GB"/>
              </w:rPr>
              <w:t>/</w:t>
            </w:r>
          </w:p>
        </w:tc>
        <w:tc>
          <w:tcPr>
            <w:tcW w:w="495"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102B06">
              <w:rPr>
                <w:rFonts w:asciiTheme="majorBidi" w:hAnsiTheme="majorBidi" w:cstheme="majorBidi"/>
                <w:b/>
                <w:bCs/>
                <w:color w:val="000000"/>
                <w:lang w:val="en-GB"/>
              </w:rPr>
              <w:t>/</w:t>
            </w:r>
          </w:p>
        </w:tc>
      </w:tr>
    </w:tbl>
    <w:p w:rsidR="001A5439" w:rsidRDefault="00F41369" w:rsidP="0073257E">
      <w:pPr>
        <w:pStyle w:val="SingleTxtG"/>
        <w:spacing w:before="240"/>
        <w:rPr>
          <w:lang w:val="fr-FR"/>
        </w:rPr>
      </w:pPr>
      <w:r>
        <w:rPr>
          <w:lang w:val="fr-FR" w:eastAsia="ar-SA"/>
        </w:rPr>
        <w:t>16.</w:t>
      </w:r>
      <w:r>
        <w:rPr>
          <w:lang w:val="fr-FR" w:eastAsia="ar-SA"/>
        </w:rPr>
        <w:tab/>
      </w:r>
      <w:r w:rsidR="001A5439">
        <w:rPr>
          <w:lang w:val="fr-FR" w:eastAsia="ar-SA"/>
        </w:rPr>
        <w:t xml:space="preserve">Principe du </w:t>
      </w:r>
      <w:r w:rsidR="001A5439" w:rsidRPr="0000376E">
        <w:t>dimensionnement</w:t>
      </w:r>
      <w:r w:rsidR="001A5439">
        <w:rPr>
          <w:lang w:val="fr-FR" w:eastAsia="ar-SA"/>
        </w:rPr>
        <w:t xml:space="preserve"> des engins dotés d’un groupe bi-températures réfrigérant à émetteur unique</w:t>
      </w:r>
      <w:r>
        <w:rPr>
          <w:lang w:val="fr-FR" w:eastAsia="ar-SA"/>
        </w:rPr>
        <w:t>.</w:t>
      </w:r>
    </w:p>
    <w:p w:rsidR="001A5439" w:rsidRDefault="00F41369" w:rsidP="0000376E">
      <w:pPr>
        <w:pStyle w:val="SingleTxtG"/>
        <w:rPr>
          <w:lang w:val="fr-FR" w:eastAsia="ar-SA"/>
        </w:rPr>
      </w:pPr>
      <w:r>
        <w:rPr>
          <w:lang w:val="fr-FR" w:eastAsia="ar-SA"/>
        </w:rPr>
        <w:t>17.</w:t>
      </w:r>
      <w:r>
        <w:rPr>
          <w:lang w:val="fr-FR" w:eastAsia="ar-SA"/>
        </w:rPr>
        <w:tab/>
      </w:r>
      <w:r w:rsidR="001A5439">
        <w:rPr>
          <w:lang w:val="fr-FR" w:eastAsia="ar-SA"/>
        </w:rPr>
        <w:t xml:space="preserve">L’idée est de </w:t>
      </w:r>
      <w:r w:rsidR="001A5439" w:rsidRPr="0000376E">
        <w:t>considérer</w:t>
      </w:r>
      <w:r w:rsidR="001A5439">
        <w:rPr>
          <w:lang w:val="fr-FR" w:eastAsia="ar-SA"/>
        </w:rPr>
        <w:t xml:space="preserve"> comme un engin les caissons calorimétriques utilisés pour effectuer les essais et d’appliquer les dispositions de l’annexe 1, appendice 1, section 6</w:t>
      </w:r>
      <w:r w:rsidR="00D95259">
        <w:rPr>
          <w:lang w:val="fr-FR" w:eastAsia="ar-SA"/>
        </w:rPr>
        <w:t xml:space="preserve"> </w:t>
      </w:r>
      <w:r w:rsidR="001A5439">
        <w:rPr>
          <w:lang w:val="fr-FR" w:eastAsia="ar-SA"/>
        </w:rPr>
        <w:t>c</w:t>
      </w:r>
      <w:r w:rsidR="00D95259">
        <w:rPr>
          <w:lang w:val="fr-FR" w:eastAsia="ar-SA"/>
        </w:rPr>
        <w:t>)</w:t>
      </w:r>
      <w:r w:rsidR="001A5439">
        <w:rPr>
          <w:lang w:val="fr-FR" w:eastAsia="ar-SA"/>
        </w:rPr>
        <w:t>, à l’engin ainsi constitué. A ce titre, seule sera considérée la surface moyenne des caissons calorimétriques.</w:t>
      </w:r>
    </w:p>
    <w:p w:rsidR="001A5439" w:rsidRPr="0000376E" w:rsidRDefault="001A5439" w:rsidP="0000376E">
      <w:pPr>
        <w:pStyle w:val="HChG"/>
      </w:pPr>
      <w:r w:rsidRPr="0000376E">
        <w:lastRenderedPageBreak/>
        <w:tab/>
        <w:t>II.</w:t>
      </w:r>
      <w:r w:rsidRPr="0000376E">
        <w:tab/>
        <w:t>Justification</w:t>
      </w:r>
    </w:p>
    <w:p w:rsidR="001A5439" w:rsidRDefault="00F41369" w:rsidP="008C5861">
      <w:pPr>
        <w:pStyle w:val="SingleTxtG"/>
        <w:rPr>
          <w:lang w:val="fr-FR"/>
        </w:rPr>
      </w:pPr>
      <w:r>
        <w:rPr>
          <w:lang w:val="fr-FR"/>
        </w:rPr>
        <w:t>18.</w:t>
      </w:r>
      <w:r>
        <w:rPr>
          <w:lang w:val="fr-FR"/>
        </w:rPr>
        <w:tab/>
      </w:r>
      <w:r w:rsidR="001A5439">
        <w:rPr>
          <w:lang w:val="fr-FR"/>
        </w:rPr>
        <w:t xml:space="preserve">Les points de considération </w:t>
      </w:r>
      <w:r w:rsidR="001A5439" w:rsidRPr="0000376E">
        <w:t>ci</w:t>
      </w:r>
      <w:r w:rsidR="001A5439">
        <w:rPr>
          <w:lang w:val="fr-FR"/>
        </w:rPr>
        <w:t>-dessus mettent en évidence que la méthodologie d’essai des groupes bi-températures à émetteur unique doit tenir compte des typologies des groupes de production de froid tout en adaptant les prescriptions de l’ATP aux contraintes imposées par la technologie.</w:t>
      </w:r>
    </w:p>
    <w:p w:rsidR="001A5439" w:rsidRDefault="001A5439" w:rsidP="001A5439">
      <w:pPr>
        <w:pStyle w:val="HChG"/>
      </w:pPr>
      <w:r>
        <w:tab/>
        <w:t>III.</w:t>
      </w:r>
      <w:r>
        <w:tab/>
        <w:t>Coûts</w:t>
      </w:r>
    </w:p>
    <w:p w:rsidR="001A5439" w:rsidRDefault="00F41369" w:rsidP="008C5861">
      <w:pPr>
        <w:pStyle w:val="SingleTxtG"/>
        <w:rPr>
          <w:lang w:val="fr-FR"/>
        </w:rPr>
      </w:pPr>
      <w:r>
        <w:rPr>
          <w:lang w:val="fr-FR"/>
        </w:rPr>
        <w:t>19.</w:t>
      </w:r>
      <w:r>
        <w:rPr>
          <w:lang w:val="fr-FR"/>
        </w:rPr>
        <w:tab/>
      </w:r>
      <w:r w:rsidR="001A5439">
        <w:rPr>
          <w:lang w:val="fr-FR"/>
        </w:rPr>
        <w:t xml:space="preserve">Les stations d’essais officielles ATP </w:t>
      </w:r>
      <w:r w:rsidR="001A5439" w:rsidRPr="0000376E">
        <w:t>devront</w:t>
      </w:r>
      <w:r w:rsidR="001A5439">
        <w:rPr>
          <w:lang w:val="fr-FR"/>
        </w:rPr>
        <w:t xml:space="preserve"> adapter leurs méthodes d’essais afin de se conformer à la méthodologie décrite ci-dessus. Ces impacts, inévitables pour répondre au besoin des constructeurs, ne devraient nécessiter qu’un investissement raisonnable.</w:t>
      </w:r>
    </w:p>
    <w:p w:rsidR="001A5439" w:rsidRDefault="001A5439" w:rsidP="001A5439">
      <w:pPr>
        <w:pStyle w:val="HChG"/>
      </w:pPr>
      <w:r>
        <w:tab/>
        <w:t>IV.</w:t>
      </w:r>
      <w:r>
        <w:tab/>
        <w:t>Faisabilité</w:t>
      </w:r>
    </w:p>
    <w:p w:rsidR="001A5439" w:rsidRDefault="00F41369" w:rsidP="008C5861">
      <w:pPr>
        <w:pStyle w:val="SingleTxtG"/>
      </w:pPr>
      <w:r>
        <w:rPr>
          <w:lang w:val="fr-FR"/>
        </w:rPr>
        <w:t>20.</w:t>
      </w:r>
      <w:r>
        <w:rPr>
          <w:lang w:val="fr-FR"/>
        </w:rPr>
        <w:tab/>
      </w:r>
      <w:r w:rsidR="001A5439">
        <w:rPr>
          <w:lang w:val="fr-FR"/>
        </w:rPr>
        <w:t>Une période d’observation du principe de la méthode proposée ci-dessus devrait être prise en compte par les stations d’essais officielles ATP pour en maîtriser l’application.</w:t>
      </w:r>
    </w:p>
    <w:p w:rsidR="001A5439" w:rsidRDefault="001434E5" w:rsidP="001434E5">
      <w:pPr>
        <w:pStyle w:val="HChG"/>
      </w:pPr>
      <w:r>
        <w:rPr>
          <w:sz w:val="26"/>
          <w:szCs w:val="26"/>
        </w:rPr>
        <w:tab/>
      </w:r>
      <w:r w:rsidR="001A5439">
        <w:rPr>
          <w:sz w:val="26"/>
          <w:szCs w:val="26"/>
        </w:rPr>
        <w:t>V.</w:t>
      </w:r>
      <w:r>
        <w:rPr>
          <w:sz w:val="26"/>
          <w:szCs w:val="26"/>
        </w:rPr>
        <w:tab/>
      </w:r>
      <w:r w:rsidR="001A5439">
        <w:t>Applicabilité</w:t>
      </w:r>
    </w:p>
    <w:p w:rsidR="001A5439" w:rsidRDefault="00F41369" w:rsidP="001434E5">
      <w:pPr>
        <w:pStyle w:val="SingleTxtG"/>
        <w:rPr>
          <w:lang w:val="fr-FR"/>
        </w:rPr>
      </w:pPr>
      <w:r>
        <w:rPr>
          <w:lang w:val="fr-FR"/>
        </w:rPr>
        <w:t>21.</w:t>
      </w:r>
      <w:r>
        <w:rPr>
          <w:lang w:val="fr-FR"/>
        </w:rPr>
        <w:tab/>
      </w:r>
      <w:r w:rsidR="001A5439">
        <w:rPr>
          <w:lang w:val="fr-FR"/>
        </w:rPr>
        <w:t xml:space="preserve">Aucun </w:t>
      </w:r>
      <w:r w:rsidR="001A5439" w:rsidRPr="001434E5">
        <w:t>problème</w:t>
      </w:r>
      <w:r w:rsidR="001A5439">
        <w:rPr>
          <w:lang w:val="fr-FR"/>
        </w:rPr>
        <w:t xml:space="preserve"> n’est à prévoir en ce qui concerne l’application du principe de la méthode proposée ci-dessus.</w:t>
      </w:r>
    </w:p>
    <w:p w:rsidR="001434E5" w:rsidRPr="001434E5" w:rsidRDefault="001434E5" w:rsidP="001434E5">
      <w:pPr>
        <w:spacing w:before="240"/>
        <w:jc w:val="center"/>
        <w:rPr>
          <w:u w:val="single"/>
          <w:lang w:val="fr-FR"/>
        </w:rPr>
      </w:pPr>
      <w:r>
        <w:rPr>
          <w:u w:val="single"/>
          <w:lang w:val="fr-FR"/>
        </w:rPr>
        <w:tab/>
      </w:r>
      <w:r>
        <w:rPr>
          <w:u w:val="single"/>
          <w:lang w:val="fr-FR"/>
        </w:rPr>
        <w:tab/>
      </w:r>
      <w:r>
        <w:rPr>
          <w:u w:val="single"/>
          <w:lang w:val="fr-FR"/>
        </w:rPr>
        <w:tab/>
      </w:r>
    </w:p>
    <w:sectPr w:rsidR="001434E5" w:rsidRPr="001434E5" w:rsidSect="001A5439">
      <w:headerReference w:type="even" r:id="rId10"/>
      <w:headerReference w:type="defaul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439" w:rsidRDefault="001A5439" w:rsidP="00F95C08">
      <w:pPr>
        <w:spacing w:line="240" w:lineRule="auto"/>
      </w:pPr>
    </w:p>
  </w:endnote>
  <w:endnote w:type="continuationSeparator" w:id="0">
    <w:p w:rsidR="001A5439" w:rsidRPr="00AC3823" w:rsidRDefault="001A5439" w:rsidP="00AC3823">
      <w:pPr>
        <w:pStyle w:val="Footer"/>
      </w:pPr>
    </w:p>
  </w:endnote>
  <w:endnote w:type="continuationNotice" w:id="1">
    <w:p w:rsidR="001A5439" w:rsidRDefault="001A54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439" w:rsidRPr="00AC3823" w:rsidRDefault="001A5439" w:rsidP="00AC3823">
      <w:pPr>
        <w:pStyle w:val="Footer"/>
        <w:tabs>
          <w:tab w:val="right" w:pos="2155"/>
        </w:tabs>
        <w:spacing w:after="80" w:line="240" w:lineRule="atLeast"/>
        <w:ind w:left="680"/>
        <w:rPr>
          <w:u w:val="single"/>
        </w:rPr>
      </w:pPr>
      <w:r>
        <w:rPr>
          <w:u w:val="single"/>
        </w:rPr>
        <w:tab/>
      </w:r>
    </w:p>
  </w:footnote>
  <w:footnote w:type="continuationSeparator" w:id="0">
    <w:p w:rsidR="001A5439" w:rsidRPr="00AC3823" w:rsidRDefault="001A5439" w:rsidP="00AC3823">
      <w:pPr>
        <w:pStyle w:val="Footer"/>
        <w:tabs>
          <w:tab w:val="right" w:pos="2155"/>
        </w:tabs>
        <w:spacing w:after="80" w:line="240" w:lineRule="atLeast"/>
        <w:ind w:left="680"/>
        <w:rPr>
          <w:u w:val="single"/>
        </w:rPr>
      </w:pPr>
      <w:r>
        <w:rPr>
          <w:u w:val="single"/>
        </w:rPr>
        <w:tab/>
      </w:r>
    </w:p>
  </w:footnote>
  <w:footnote w:type="continuationNotice" w:id="1">
    <w:p w:rsidR="001A5439" w:rsidRPr="00AC3823" w:rsidRDefault="001A54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439" w:rsidRDefault="001A5439">
    <w:pPr>
      <w:pStyle w:val="Header"/>
    </w:pPr>
    <w:r>
      <w:t>ECE/TRANS/WP.11/2019/</w:t>
    </w:r>
    <w:r w:rsidR="00FC6252">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76E" w:rsidRDefault="0000376E" w:rsidP="0000376E">
    <w:pPr>
      <w:pStyle w:val="Header"/>
      <w:jc w:val="right"/>
    </w:pPr>
    <w:r>
      <w:t>ECE/TRANS/WP.11/2019</w:t>
    </w:r>
    <w:r w:rsidR="00FC6252">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2A00E6"/>
    <w:multiLevelType w:val="hybridMultilevel"/>
    <w:tmpl w:val="5D8077C2"/>
    <w:lvl w:ilvl="0" w:tplc="67E8B92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87D1055"/>
    <w:multiLevelType w:val="multilevel"/>
    <w:tmpl w:val="7C8A55EC"/>
    <w:styleLink w:val="WW8Num5"/>
    <w:lvl w:ilvl="0">
      <w:numFmt w:val="bullet"/>
      <w:lvlText w:val="-"/>
      <w:lvlJc w:val="left"/>
      <w:pPr>
        <w:ind w:left="1494" w:hanging="360"/>
      </w:pPr>
      <w:rPr>
        <w:rFonts w:ascii="Times New Roman" w:eastAsia="Times New Roman" w:hAnsi="Times New Roman" w:cs="Times New Roman"/>
        <w:lang w:val="fr-FR" w:eastAsia="ar-S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cs="Wingdings"/>
      </w:rPr>
    </w:lvl>
    <w:lvl w:ilvl="3">
      <w:numFmt w:val="bullet"/>
      <w:lvlText w:val=""/>
      <w:lvlJc w:val="left"/>
      <w:pPr>
        <w:ind w:left="3654" w:hanging="360"/>
      </w:pPr>
      <w:rPr>
        <w:rFonts w:ascii="Symbol" w:hAnsi="Symbol" w:cs="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cs="Wingdings"/>
      </w:rPr>
    </w:lvl>
    <w:lvl w:ilvl="6">
      <w:numFmt w:val="bullet"/>
      <w:lvlText w:val=""/>
      <w:lvlJc w:val="left"/>
      <w:pPr>
        <w:ind w:left="5814" w:hanging="360"/>
      </w:pPr>
      <w:rPr>
        <w:rFonts w:ascii="Symbol" w:hAnsi="Symbol" w:cs="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cs="Wingdings"/>
      </w:rPr>
    </w:lvl>
  </w:abstractNum>
  <w:abstractNum w:abstractNumId="13" w15:restartNumberingAfterBreak="0">
    <w:nsid w:val="2C8806BB"/>
    <w:multiLevelType w:val="multilevel"/>
    <w:tmpl w:val="A6106804"/>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32DD0657"/>
    <w:multiLevelType w:val="hybridMultilevel"/>
    <w:tmpl w:val="4E6A98A6"/>
    <w:lvl w:ilvl="0" w:tplc="D6FC17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B449BC"/>
    <w:multiLevelType w:val="hybridMultilevel"/>
    <w:tmpl w:val="8A0A2080"/>
    <w:lvl w:ilvl="0" w:tplc="6E30B8F8">
      <w:start w:val="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6"/>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3"/>
  </w:num>
  <w:num w:numId="16">
    <w:abstractNumId w:val="12"/>
  </w:num>
  <w:num w:numId="17">
    <w:abstractNumId w:val="12"/>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39"/>
    <w:rsid w:val="0000376E"/>
    <w:rsid w:val="00017F94"/>
    <w:rsid w:val="00023842"/>
    <w:rsid w:val="000334F9"/>
    <w:rsid w:val="0007796D"/>
    <w:rsid w:val="000B7790"/>
    <w:rsid w:val="000C390E"/>
    <w:rsid w:val="00102B06"/>
    <w:rsid w:val="00103267"/>
    <w:rsid w:val="00111F2F"/>
    <w:rsid w:val="001434E5"/>
    <w:rsid w:val="0014365E"/>
    <w:rsid w:val="0014660A"/>
    <w:rsid w:val="00150DB2"/>
    <w:rsid w:val="00176178"/>
    <w:rsid w:val="001A5439"/>
    <w:rsid w:val="001F525A"/>
    <w:rsid w:val="00223272"/>
    <w:rsid w:val="0024779E"/>
    <w:rsid w:val="00291F1D"/>
    <w:rsid w:val="0029407C"/>
    <w:rsid w:val="002D4779"/>
    <w:rsid w:val="00350987"/>
    <w:rsid w:val="00353ED5"/>
    <w:rsid w:val="00382A1F"/>
    <w:rsid w:val="00390178"/>
    <w:rsid w:val="003D1AD0"/>
    <w:rsid w:val="00420FFE"/>
    <w:rsid w:val="00446FE5"/>
    <w:rsid w:val="00452396"/>
    <w:rsid w:val="004D1CEB"/>
    <w:rsid w:val="004E65BD"/>
    <w:rsid w:val="00536F32"/>
    <w:rsid w:val="005505B7"/>
    <w:rsid w:val="00573BE5"/>
    <w:rsid w:val="00586ED3"/>
    <w:rsid w:val="00596AA9"/>
    <w:rsid w:val="006122C4"/>
    <w:rsid w:val="00680D01"/>
    <w:rsid w:val="006E2C9B"/>
    <w:rsid w:val="0071601D"/>
    <w:rsid w:val="0073257E"/>
    <w:rsid w:val="007508CC"/>
    <w:rsid w:val="0076624F"/>
    <w:rsid w:val="00766CEC"/>
    <w:rsid w:val="0079527C"/>
    <w:rsid w:val="007A62E6"/>
    <w:rsid w:val="007D0A06"/>
    <w:rsid w:val="0080684C"/>
    <w:rsid w:val="00815502"/>
    <w:rsid w:val="00871C75"/>
    <w:rsid w:val="008776DC"/>
    <w:rsid w:val="008C5861"/>
    <w:rsid w:val="008F2A1D"/>
    <w:rsid w:val="0093050C"/>
    <w:rsid w:val="00957790"/>
    <w:rsid w:val="009705C8"/>
    <w:rsid w:val="009A7231"/>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3439C"/>
    <w:rsid w:val="00D40AEB"/>
    <w:rsid w:val="00D95259"/>
    <w:rsid w:val="00DA22F4"/>
    <w:rsid w:val="00DB1831"/>
    <w:rsid w:val="00DD3BFD"/>
    <w:rsid w:val="00DF6678"/>
    <w:rsid w:val="00E067FF"/>
    <w:rsid w:val="00E22CF2"/>
    <w:rsid w:val="00E33F14"/>
    <w:rsid w:val="00E52D9F"/>
    <w:rsid w:val="00F12269"/>
    <w:rsid w:val="00F164B0"/>
    <w:rsid w:val="00F41369"/>
    <w:rsid w:val="00F62B37"/>
    <w:rsid w:val="00F660DF"/>
    <w:rsid w:val="00F80094"/>
    <w:rsid w:val="00F95C08"/>
    <w:rsid w:val="00FA01DD"/>
    <w:rsid w:val="00FC62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BF3A0"/>
  <w15:chartTrackingRefBased/>
  <w15:docId w15:val="{6D9272C5-452F-4364-82CE-85C00196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439"/>
    <w:pPr>
      <w:suppressAutoHyphens/>
      <w:kinsoku w:val="0"/>
      <w:overflowPunct w:val="0"/>
      <w:autoSpaceDE w:val="0"/>
      <w:autoSpaceDN w:val="0"/>
      <w:adjustRightInd w:val="0"/>
      <w:snapToGrid w:val="0"/>
      <w:spacing w:after="0" w:line="240" w:lineRule="atLeast"/>
    </w:pPr>
    <w:rPr>
      <w:rFonts w:eastAsia="Times New Roman"/>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style>
  <w:style w:type="paragraph" w:customStyle="1" w:styleId="Standard">
    <w:name w:val="Standard"/>
    <w:rsid w:val="001A5439"/>
    <w:pPr>
      <w:suppressAutoHyphens/>
      <w:autoSpaceDN w:val="0"/>
      <w:snapToGrid w:val="0"/>
      <w:spacing w:after="0" w:line="240" w:lineRule="atLeast"/>
      <w:textAlignment w:val="baseline"/>
    </w:pPr>
    <w:rPr>
      <w:rFonts w:eastAsia="Calibri"/>
      <w:kern w:val="3"/>
      <w:lang w:eastAsia="en-US"/>
    </w:rPr>
  </w:style>
  <w:style w:type="numbering" w:customStyle="1" w:styleId="WWNum17">
    <w:name w:val="WWNum17"/>
    <w:basedOn w:val="NoList"/>
    <w:rsid w:val="001A5439"/>
    <w:pPr>
      <w:numPr>
        <w:numId w:val="15"/>
      </w:numPr>
    </w:pPr>
  </w:style>
  <w:style w:type="numbering" w:customStyle="1" w:styleId="WW8Num5">
    <w:name w:val="WW8Num5"/>
    <w:basedOn w:val="NoList"/>
    <w:rsid w:val="001A543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00702">
      <w:bodyDiv w:val="1"/>
      <w:marLeft w:val="0"/>
      <w:marRight w:val="0"/>
      <w:marTop w:val="0"/>
      <w:marBottom w:val="0"/>
      <w:divBdr>
        <w:top w:val="none" w:sz="0" w:space="0" w:color="auto"/>
        <w:left w:val="none" w:sz="0" w:space="0" w:color="auto"/>
        <w:bottom w:val="none" w:sz="0" w:space="0" w:color="auto"/>
        <w:right w:val="none" w:sz="0" w:space="0" w:color="auto"/>
      </w:divBdr>
    </w:div>
    <w:div w:id="1604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A993-C001-41B6-A4DA-E902CDAE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1205</Words>
  <Characters>6403</Characters>
  <Application>Microsoft Office Word</Application>
  <DocSecurity>0</DocSecurity>
  <Lines>148</Lines>
  <Paragraphs>108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12</cp:revision>
  <cp:lastPrinted>2014-05-14T10:59:00Z</cp:lastPrinted>
  <dcterms:created xsi:type="dcterms:W3CDTF">2019-07-17T06:19:00Z</dcterms:created>
  <dcterms:modified xsi:type="dcterms:W3CDTF">2019-07-24T10:22:00Z</dcterms:modified>
</cp:coreProperties>
</file>