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A2788B" w:rsidP="00A2788B">
            <w:pPr>
              <w:jc w:val="right"/>
              <w:rPr>
                <w:lang w:val="en-GB"/>
              </w:rPr>
            </w:pPr>
            <w:r w:rsidRPr="00A2788B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/TRANS/2019/15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C40DA6" wp14:editId="4C4C5B6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Default="00A2788B" w:rsidP="00A2788B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A2788B" w:rsidRDefault="00F92197" w:rsidP="00A2788B">
            <w:pPr>
              <w:spacing w:line="240" w:lineRule="exact"/>
              <w:rPr>
                <w:lang w:val="en-GB"/>
              </w:rPr>
            </w:pPr>
            <w:r>
              <w:rPr>
                <w:lang w:val="fr-CH"/>
              </w:rPr>
              <w:t>7</w:t>
            </w:r>
            <w:r w:rsidR="00A2788B">
              <w:rPr>
                <w:lang w:val="en-GB"/>
              </w:rPr>
              <w:t xml:space="preserve"> December 2018</w:t>
            </w:r>
          </w:p>
          <w:p w:rsidR="00A2788B" w:rsidRDefault="00A2788B" w:rsidP="00A2788B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:rsidR="00A2788B" w:rsidRPr="00635870" w:rsidRDefault="00924E84" w:rsidP="00A2788B">
            <w:pPr>
              <w:spacing w:line="240" w:lineRule="exact"/>
              <w:rPr>
                <w:lang w:val="en-GB"/>
              </w:rPr>
            </w:pPr>
            <w:proofErr w:type="spellStart"/>
            <w:r w:rsidRPr="00924E84">
              <w:t>Original</w:t>
            </w:r>
            <w:proofErr w:type="spellEnd"/>
            <w:r w:rsidRPr="00924E84">
              <w:t xml:space="preserve">: </w:t>
            </w:r>
            <w:proofErr w:type="spellStart"/>
            <w:r w:rsidRPr="00924E84">
              <w:t>English</w:t>
            </w:r>
            <w:proofErr w:type="spellEnd"/>
            <w:r w:rsidRPr="00924E84">
              <w:t xml:space="preserve">, </w:t>
            </w:r>
            <w:proofErr w:type="spellStart"/>
            <w:r w:rsidRPr="00924E84">
              <w:t>French</w:t>
            </w:r>
            <w:proofErr w:type="spellEnd"/>
            <w:r w:rsidRPr="00924E84">
              <w:t xml:space="preserve"> </w:t>
            </w:r>
            <w:proofErr w:type="spellStart"/>
            <w:r w:rsidRPr="00924E84">
              <w:t>and</w:t>
            </w:r>
            <w:proofErr w:type="spellEnd"/>
            <w:r w:rsidRPr="00924E84">
              <w:t xml:space="preserve"> Russian</w:t>
            </w:r>
            <w:bookmarkStart w:id="0" w:name="_GoBack"/>
            <w:bookmarkEnd w:id="0"/>
          </w:p>
        </w:tc>
      </w:tr>
    </w:tbl>
    <w:p w:rsidR="00A2788B" w:rsidRPr="00B610B6" w:rsidRDefault="00A2788B" w:rsidP="00A2788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2788B" w:rsidRPr="00BC5430" w:rsidRDefault="00A2788B" w:rsidP="00A2788B">
      <w:pPr>
        <w:spacing w:before="120"/>
        <w:rPr>
          <w:sz w:val="28"/>
          <w:szCs w:val="28"/>
        </w:rPr>
      </w:pPr>
      <w:r w:rsidRPr="00BC5430">
        <w:rPr>
          <w:sz w:val="28"/>
          <w:szCs w:val="28"/>
        </w:rPr>
        <w:t>Комитет по внутреннему транспорту</w:t>
      </w:r>
    </w:p>
    <w:p w:rsidR="00A2788B" w:rsidRPr="00B610B6" w:rsidRDefault="00A2788B" w:rsidP="00A2788B">
      <w:pPr>
        <w:spacing w:before="120"/>
        <w:rPr>
          <w:b/>
          <w:bCs/>
          <w:szCs w:val="20"/>
        </w:rPr>
      </w:pPr>
      <w:r w:rsidRPr="00BC5430">
        <w:rPr>
          <w:b/>
          <w:bCs/>
          <w:szCs w:val="20"/>
        </w:rPr>
        <w:t>Вос</w:t>
      </w:r>
      <w:r>
        <w:rPr>
          <w:b/>
          <w:bCs/>
          <w:szCs w:val="20"/>
        </w:rPr>
        <w:t>емьдесят первая</w:t>
      </w:r>
      <w:r w:rsidRPr="00BC5430">
        <w:rPr>
          <w:b/>
          <w:bCs/>
          <w:szCs w:val="20"/>
        </w:rPr>
        <w:t xml:space="preserve"> сессия</w:t>
      </w:r>
    </w:p>
    <w:p w:rsidR="00A2788B" w:rsidRPr="00B610B6" w:rsidRDefault="00A2788B" w:rsidP="00A2788B">
      <w:pPr>
        <w:rPr>
          <w:szCs w:val="20"/>
        </w:rPr>
      </w:pPr>
      <w:r>
        <w:rPr>
          <w:szCs w:val="20"/>
        </w:rPr>
        <w:t>Женева, 19–22</w:t>
      </w:r>
      <w:r w:rsidRPr="00BC5430">
        <w:rPr>
          <w:szCs w:val="20"/>
        </w:rPr>
        <w:t xml:space="preserve"> февраля 201</w:t>
      </w:r>
      <w:r>
        <w:rPr>
          <w:szCs w:val="20"/>
        </w:rPr>
        <w:t>9</w:t>
      </w:r>
      <w:r w:rsidRPr="00BC5430">
        <w:rPr>
          <w:szCs w:val="20"/>
        </w:rPr>
        <w:t xml:space="preserve"> года</w:t>
      </w:r>
    </w:p>
    <w:p w:rsidR="009454B9" w:rsidRPr="00084BD8" w:rsidRDefault="009454B9" w:rsidP="009454B9">
      <w:pPr>
        <w:rPr>
          <w:b/>
          <w:bCs/>
        </w:rPr>
      </w:pPr>
      <w:r>
        <w:t>Пункт 5 g) предварительной повестки дня</w:t>
      </w:r>
      <w:r>
        <w:rPr>
          <w:b/>
          <w:bCs/>
        </w:rPr>
        <w:t xml:space="preserve"> </w:t>
      </w:r>
    </w:p>
    <w:p w:rsidR="009454B9" w:rsidRPr="00F831FD" w:rsidRDefault="009454B9" w:rsidP="009454B9">
      <w:pPr>
        <w:rPr>
          <w:b/>
          <w:bCs/>
        </w:rPr>
      </w:pPr>
      <w:r>
        <w:rPr>
          <w:b/>
          <w:bCs/>
        </w:rPr>
        <w:t xml:space="preserve">Стратегические вопросы, связанные </w:t>
      </w:r>
      <w:r>
        <w:rPr>
          <w:b/>
          <w:bCs/>
        </w:rPr>
        <w:br/>
        <w:t xml:space="preserve">с разными видами транспорта и тематическими </w:t>
      </w:r>
      <w:r>
        <w:rPr>
          <w:b/>
          <w:bCs/>
        </w:rPr>
        <w:br/>
        <w:t>направлениями: внутренний водный транспорт</w:t>
      </w:r>
    </w:p>
    <w:p w:rsidR="00A2788B" w:rsidRPr="00BC5430" w:rsidRDefault="00A2788B" w:rsidP="00A2788B">
      <w:pPr>
        <w:pStyle w:val="HChGR"/>
      </w:pPr>
      <w:r w:rsidRPr="00BC5430">
        <w:tab/>
      </w:r>
      <w:r w:rsidRPr="00BC5430">
        <w:tab/>
      </w:r>
      <w:r w:rsidRPr="000204F5">
        <w:t>Проект резолюции Комитета по внутреннему транспорту</w:t>
      </w:r>
      <w:r>
        <w:t>, посвященной внутреннему водному транспорту</w:t>
      </w:r>
    </w:p>
    <w:p w:rsidR="00A2788B" w:rsidRPr="0068367F" w:rsidRDefault="00A2788B" w:rsidP="009454B9">
      <w:pPr>
        <w:pStyle w:val="H1GR"/>
        <w:spacing w:before="240"/>
      </w:pPr>
      <w:r w:rsidRPr="00BC5430">
        <w:tab/>
      </w:r>
      <w:r w:rsidRPr="00BC5430">
        <w:tab/>
        <w:t>Записка секретариата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37"/>
      </w:tblGrid>
      <w:tr w:rsidR="00A2788B" w:rsidRPr="00A32B20" w:rsidTr="00262C4D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2788B" w:rsidRPr="00A32B20" w:rsidRDefault="00A2788B" w:rsidP="00262C4D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A32B20">
              <w:tab/>
            </w:r>
            <w:r w:rsidRPr="00A32B20">
              <w:rPr>
                <w:i/>
                <w:sz w:val="24"/>
              </w:rPr>
              <w:t>Резюме</w:t>
            </w:r>
          </w:p>
        </w:tc>
      </w:tr>
      <w:tr w:rsidR="00A2788B" w:rsidRPr="00A32B20" w:rsidTr="00262C4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C6827" w:rsidRPr="00A32B20" w:rsidRDefault="00A2788B" w:rsidP="009454B9">
            <w:pPr>
              <w:pStyle w:val="SingleTxtGR"/>
            </w:pPr>
            <w:r w:rsidRPr="0068367F">
              <w:tab/>
            </w:r>
            <w:r w:rsidR="007C6827">
              <w:t xml:space="preserve">Рабочая группа по внутреннему водному транспорту на своей шестьдесят второй сессии подготовила проект резолюции </w:t>
            </w:r>
            <w:r w:rsidR="007C6827" w:rsidRPr="007C6827">
              <w:t xml:space="preserve">Комитета по внутреннему транспорту </w:t>
            </w:r>
            <w:r w:rsidR="007C6827">
              <w:t xml:space="preserve">(КВТ) в поддержку декларации министров </w:t>
            </w:r>
            <w:r w:rsidR="007C6827" w:rsidRPr="005C2040">
              <w:t>«</w:t>
            </w:r>
            <w:r w:rsidR="007C6827">
              <w:t>Судоходство</w:t>
            </w:r>
            <w:r w:rsidR="007C6827" w:rsidRPr="005C2040">
              <w:t xml:space="preserve"> </w:t>
            </w:r>
            <w:r w:rsidR="007C6827">
              <w:t>по</w:t>
            </w:r>
            <w:r w:rsidR="007C6827" w:rsidRPr="005C2040">
              <w:t xml:space="preserve"> </w:t>
            </w:r>
            <w:r w:rsidR="007C6827">
              <w:t>внутренним</w:t>
            </w:r>
            <w:r w:rsidR="007C6827" w:rsidRPr="005C2040">
              <w:t xml:space="preserve"> </w:t>
            </w:r>
            <w:r w:rsidR="007C6827">
              <w:t>водным</w:t>
            </w:r>
            <w:r w:rsidR="007C6827" w:rsidRPr="005C2040">
              <w:t xml:space="preserve"> </w:t>
            </w:r>
            <w:r w:rsidR="007C6827">
              <w:t>путям</w:t>
            </w:r>
            <w:r w:rsidR="007C6827" w:rsidRPr="005C2040">
              <w:t xml:space="preserve"> </w:t>
            </w:r>
            <w:r w:rsidR="007C6827">
              <w:t>во</w:t>
            </w:r>
            <w:r w:rsidR="007C6827" w:rsidRPr="005C2040">
              <w:t xml:space="preserve"> </w:t>
            </w:r>
            <w:r w:rsidR="007C6827">
              <w:t>всемирном</w:t>
            </w:r>
            <w:r w:rsidR="007C6827" w:rsidRPr="005C2040">
              <w:t xml:space="preserve"> </w:t>
            </w:r>
            <w:r w:rsidR="007C6827">
              <w:t>контексте</w:t>
            </w:r>
            <w:r w:rsidR="007C6827" w:rsidRPr="005C2040">
              <w:t>»,</w:t>
            </w:r>
            <w:r w:rsidR="007C6827">
              <w:t xml:space="preserve"> принятой на Международной конференции по внутреннему водному транспорту «Внутреннее судоходство объединяет», проведенной 18–19 апреля 2018 года во Вроцлаве (Польша) совместно ЕЭК ООН и Министерством морского хозяйства и внутреннего судоходства Польши.</w:t>
            </w:r>
          </w:p>
        </w:tc>
      </w:tr>
      <w:tr w:rsidR="009454B9" w:rsidRPr="00A32B20" w:rsidTr="00262C4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454B9" w:rsidRPr="0068367F" w:rsidRDefault="009454B9" w:rsidP="00262C4D">
            <w:pPr>
              <w:pStyle w:val="SingleTxtGR"/>
            </w:pPr>
            <w:r w:rsidRPr="0068367F">
              <w:tab/>
            </w:r>
            <w:r>
              <w:t>Декларация</w:t>
            </w:r>
            <w:r w:rsidRPr="005C2040">
              <w:t xml:space="preserve"> </w:t>
            </w:r>
            <w:r>
              <w:t>министров</w:t>
            </w:r>
            <w:r w:rsidRPr="005C2040">
              <w:t xml:space="preserve"> </w:t>
            </w:r>
            <w:r>
              <w:t>консолидировала</w:t>
            </w:r>
            <w:r w:rsidRPr="003803A8">
              <w:t xml:space="preserve"> </w:t>
            </w:r>
            <w:r>
              <w:t>прогресс</w:t>
            </w:r>
            <w:r w:rsidRPr="003803A8">
              <w:t xml:space="preserve">, </w:t>
            </w:r>
            <w:r>
              <w:t>достигнутый</w:t>
            </w:r>
            <w:r w:rsidRPr="003803A8">
              <w:t xml:space="preserve"> </w:t>
            </w:r>
            <w:r>
              <w:t>после</w:t>
            </w:r>
            <w:r w:rsidRPr="003803A8">
              <w:t xml:space="preserve"> </w:t>
            </w:r>
            <w:r>
              <w:t>проведения</w:t>
            </w:r>
            <w:r w:rsidRPr="003803A8">
              <w:t xml:space="preserve"> </w:t>
            </w:r>
            <w:r w:rsidRPr="00006E2B">
              <w:t>Общеевропейск</w:t>
            </w:r>
            <w:r>
              <w:t>ой</w:t>
            </w:r>
            <w:r w:rsidRPr="00006E2B">
              <w:t xml:space="preserve"> конференци</w:t>
            </w:r>
            <w:r>
              <w:t>и</w:t>
            </w:r>
            <w:r w:rsidRPr="00006E2B">
              <w:t xml:space="preserve"> по внутреннему водному транспорту</w:t>
            </w:r>
            <w:r>
              <w:t xml:space="preserve"> </w:t>
            </w:r>
            <w:r w:rsidRPr="00006E2B">
              <w:t>13 и 14 сентября 2006 года</w:t>
            </w:r>
            <w:r>
              <w:t xml:space="preserve"> в Бухаресте и предложила</w:t>
            </w:r>
            <w:r w:rsidRPr="003803A8">
              <w:t xml:space="preserve"> </w:t>
            </w:r>
            <w:r>
              <w:t>согласованные</w:t>
            </w:r>
            <w:r w:rsidRPr="003803A8">
              <w:t xml:space="preserve"> </w:t>
            </w:r>
            <w:r>
              <w:t>действия</w:t>
            </w:r>
            <w:r w:rsidRPr="003803A8">
              <w:t xml:space="preserve"> </w:t>
            </w:r>
            <w:r>
              <w:t>во</w:t>
            </w:r>
            <w:r w:rsidRPr="003803A8">
              <w:t xml:space="preserve"> </w:t>
            </w:r>
            <w:r>
              <w:t>всемирном</w:t>
            </w:r>
            <w:r w:rsidRPr="003803A8">
              <w:t xml:space="preserve"> </w:t>
            </w:r>
            <w:r>
              <w:t>масштабе в свете целей в области устойчивого развития с обеспечением участия в них всех регионов и стран, имеющих судоходные водные пути.</w:t>
            </w:r>
          </w:p>
        </w:tc>
      </w:tr>
      <w:tr w:rsidR="00A2788B" w:rsidRPr="00A32B20" w:rsidTr="00262C4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2788B" w:rsidRPr="00A32B20" w:rsidRDefault="00A2788B" w:rsidP="003F4851">
            <w:pPr>
              <w:pStyle w:val="SingleTxtGR"/>
            </w:pPr>
            <w:r w:rsidRPr="0068367F">
              <w:tab/>
            </w:r>
            <w:r w:rsidR="002B3ED2">
              <w:t xml:space="preserve">Следуя подходу, использованному в резолюциях КВТ № </w:t>
            </w:r>
            <w:r w:rsidR="002B3ED2" w:rsidRPr="00F42B2B">
              <w:t xml:space="preserve">250 </w:t>
            </w:r>
            <w:r w:rsidR="002B3ED2">
              <w:t>и</w:t>
            </w:r>
            <w:r w:rsidR="002B3ED2" w:rsidRPr="00F42B2B">
              <w:t xml:space="preserve"> 258</w:t>
            </w:r>
            <w:r w:rsidR="002B3ED2">
              <w:t>, Комитет</w:t>
            </w:r>
            <w:r w:rsidR="002B3ED2" w:rsidRPr="00576330">
              <w:t xml:space="preserve">, возможно, пожелает </w:t>
            </w:r>
            <w:r w:rsidR="002B3ED2" w:rsidRPr="002B3ED2">
              <w:rPr>
                <w:b/>
              </w:rPr>
              <w:t>принять</w:t>
            </w:r>
            <w:r w:rsidR="002B3ED2">
              <w:t xml:space="preserve"> резолюцию, текст которой приведен ниже. Комитет</w:t>
            </w:r>
            <w:r w:rsidR="002B3ED2" w:rsidRPr="00576330">
              <w:t xml:space="preserve">, возможно, </w:t>
            </w:r>
            <w:r w:rsidR="002B3ED2">
              <w:t>также</w:t>
            </w:r>
            <w:r w:rsidR="002B3ED2" w:rsidRPr="00576330">
              <w:t xml:space="preserve"> пожелает</w:t>
            </w:r>
            <w:r w:rsidR="002B3ED2">
              <w:t xml:space="preserve"> </w:t>
            </w:r>
            <w:r w:rsidR="002B3ED2" w:rsidRPr="002B3ED2">
              <w:t>обратиться к государствам-членам</w:t>
            </w:r>
            <w:r w:rsidR="002B3ED2">
              <w:t>, имеющим интересы в области внутреннего судоходства, с призывом подписать министерскую декларацию, если они еще не сделали это.</w:t>
            </w:r>
          </w:p>
        </w:tc>
      </w:tr>
      <w:tr w:rsidR="00A2788B" w:rsidRPr="00A32B20" w:rsidTr="00262C4D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2788B" w:rsidRPr="00A32B20" w:rsidRDefault="00A2788B" w:rsidP="00262C4D"/>
        </w:tc>
      </w:tr>
    </w:tbl>
    <w:p w:rsidR="007C6827" w:rsidRPr="000204F5" w:rsidRDefault="00A2788B" w:rsidP="007C682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BC5430">
        <w:lastRenderedPageBreak/>
        <w:tab/>
      </w:r>
      <w:r w:rsidR="0083374A">
        <w:rPr>
          <w:b/>
          <w:sz w:val="28"/>
          <w:lang w:val="en-GB"/>
        </w:rPr>
        <w:tab/>
      </w:r>
      <w:r w:rsidR="007C6827" w:rsidRPr="000204F5">
        <w:rPr>
          <w:b/>
          <w:sz w:val="28"/>
        </w:rPr>
        <w:t>Содействие развитию внутреннего водного транспорта</w:t>
      </w:r>
    </w:p>
    <w:p w:rsidR="007C6827" w:rsidRPr="000204F5" w:rsidRDefault="007C6827" w:rsidP="007C6827">
      <w:pPr>
        <w:keepNext/>
        <w:keepLines/>
        <w:tabs>
          <w:tab w:val="right" w:pos="851"/>
        </w:tabs>
        <w:spacing w:before="240" w:line="240" w:lineRule="exact"/>
        <w:ind w:left="1134" w:right="1134" w:hanging="1134"/>
        <w:rPr>
          <w:b/>
        </w:rPr>
      </w:pPr>
      <w:r w:rsidRPr="000204F5">
        <w:rPr>
          <w:b/>
        </w:rPr>
        <w:tab/>
      </w:r>
      <w:r w:rsidRPr="000204F5">
        <w:rPr>
          <w:b/>
        </w:rPr>
        <w:tab/>
        <w:t>Резолюция № …</w:t>
      </w:r>
    </w:p>
    <w:p w:rsidR="007C6827" w:rsidRPr="000204F5" w:rsidRDefault="007C6827" w:rsidP="007C6827">
      <w:pPr>
        <w:spacing w:after="120"/>
        <w:rPr>
          <w:rFonts w:eastAsia="Calibri" w:cs="Arial"/>
          <w:szCs w:val="22"/>
        </w:rPr>
      </w:pPr>
      <w:r w:rsidRPr="000204F5">
        <w:rPr>
          <w:rFonts w:eastAsia="Calibri" w:cs="Arial"/>
          <w:szCs w:val="22"/>
        </w:rPr>
        <w:tab/>
      </w:r>
      <w:r w:rsidRPr="000204F5">
        <w:rPr>
          <w:rFonts w:eastAsia="Calibri" w:cs="Arial"/>
          <w:szCs w:val="22"/>
        </w:rPr>
        <w:tab/>
        <w:t>(принятая Комитетом по внутреннему транспорту…)</w:t>
      </w:r>
    </w:p>
    <w:p w:rsidR="007C6827" w:rsidRPr="000204F5" w:rsidRDefault="007C6827" w:rsidP="007C6827">
      <w:pPr>
        <w:spacing w:after="120"/>
        <w:ind w:left="1134" w:right="1134" w:firstLine="567"/>
        <w:jc w:val="both"/>
        <w:rPr>
          <w:i/>
        </w:rPr>
      </w:pPr>
      <w:r w:rsidRPr="000204F5">
        <w:rPr>
          <w:i/>
        </w:rPr>
        <w:t>Комитет по внутреннему водному транспорту</w:t>
      </w:r>
      <w:r w:rsidRPr="000204F5">
        <w:t>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ab/>
      </w:r>
      <w:r w:rsidR="007C6827" w:rsidRPr="000204F5">
        <w:rPr>
          <w:i/>
          <w:iCs/>
        </w:rPr>
        <w:t xml:space="preserve">вновь подтверждая </w:t>
      </w:r>
      <w:r w:rsidR="007C6827" w:rsidRPr="000204F5">
        <w:t>приверженность достижению таких целей в области устойчивого развития, имеющих важное значение для внутреннего водного транспорта, как формирование устойчивой инфраструктуры сети внутренних водных путей, обеспечение безопасности, а также физической и экономической доступности внутреннего водного транспорта в увязке с энергетикой и охраной окружающей среды, а также со стимулированием нововведений,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i/>
        </w:rPr>
      </w:pPr>
      <w:r>
        <w:rPr>
          <w:i/>
        </w:rPr>
        <w:tab/>
      </w:r>
      <w:r w:rsidR="007C6827" w:rsidRPr="000204F5">
        <w:rPr>
          <w:i/>
        </w:rPr>
        <w:t xml:space="preserve">напоминая </w:t>
      </w:r>
      <w:r w:rsidR="007C6827" w:rsidRPr="000204F5">
        <w:t xml:space="preserve">о </w:t>
      </w:r>
      <w:bookmarkStart w:id="1" w:name="OLE_LINK19"/>
      <w:bookmarkStart w:id="2" w:name="OLE_LINK20"/>
      <w:r w:rsidR="007C6827" w:rsidRPr="000204F5">
        <w:t xml:space="preserve">декларации министров </w:t>
      </w:r>
      <w:bookmarkEnd w:id="1"/>
      <w:bookmarkEnd w:id="2"/>
      <w:r w:rsidR="007C6827" w:rsidRPr="000204F5">
        <w:t>«Судоходство по внутренним водным путям во всемирном контексте», принятой на Международной министерской конференции по внутреннему водному транспорту (18 и 19 апреля 2018 года, Вроцлав, Польша),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i/>
          <w:iCs/>
          <w:szCs w:val="22"/>
        </w:rPr>
        <w:tab/>
      </w:r>
      <w:r w:rsidR="007C6827" w:rsidRPr="000204F5">
        <w:rPr>
          <w:rFonts w:eastAsia="Arial Unicode MS" w:cs="Arial"/>
          <w:i/>
          <w:iCs/>
          <w:szCs w:val="22"/>
        </w:rPr>
        <w:t>будучи убежден</w:t>
      </w:r>
      <w:r w:rsidR="007C6827" w:rsidRPr="000204F5">
        <w:rPr>
          <w:rFonts w:eastAsia="Arial Unicode MS" w:cs="Arial"/>
          <w:szCs w:val="22"/>
        </w:rPr>
        <w:t xml:space="preserve">, что итоги этой Конференции имеют практическую ценность с точки зрения безопасности, охраны окружающей среды, логистики, привлекательности и преимуществ для экономики, и </w:t>
      </w:r>
      <w:r w:rsidR="007C6827" w:rsidRPr="000204F5">
        <w:rPr>
          <w:rFonts w:eastAsia="Arial Unicode MS" w:cs="Arial"/>
          <w:i/>
          <w:iCs/>
          <w:szCs w:val="22"/>
        </w:rPr>
        <w:t xml:space="preserve">вновь заявляя </w:t>
      </w:r>
      <w:r w:rsidR="007C6827" w:rsidRPr="000204F5">
        <w:rPr>
          <w:rFonts w:eastAsia="Arial Unicode MS" w:cs="Arial"/>
          <w:iCs/>
          <w:szCs w:val="22"/>
        </w:rPr>
        <w:t>о</w:t>
      </w:r>
      <w:r w:rsidR="007C6827" w:rsidRPr="000204F5">
        <w:rPr>
          <w:rFonts w:eastAsia="Arial Unicode MS" w:cs="Arial"/>
          <w:szCs w:val="22"/>
        </w:rPr>
        <w:t xml:space="preserve"> своей поддержке целей и действий, предусмотренных вышеупомянутой </w:t>
      </w:r>
      <w:r w:rsidR="007C6827" w:rsidRPr="000204F5">
        <w:rPr>
          <w:rFonts w:eastAsia="Calibri" w:cs="Arial"/>
          <w:szCs w:val="22"/>
        </w:rPr>
        <w:t>декларацией министров,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rFonts w:eastAsia="Calibri" w:cs="Arial"/>
          <w:szCs w:val="22"/>
        </w:rPr>
      </w:pPr>
      <w:r>
        <w:rPr>
          <w:rFonts w:eastAsia="Arial Unicode MS" w:cs="Arial"/>
          <w:i/>
          <w:iCs/>
          <w:szCs w:val="22"/>
        </w:rPr>
        <w:tab/>
      </w:r>
      <w:r w:rsidR="007C6827" w:rsidRPr="000204F5">
        <w:rPr>
          <w:rFonts w:eastAsia="Arial Unicode MS" w:cs="Arial"/>
          <w:i/>
          <w:iCs/>
          <w:szCs w:val="22"/>
        </w:rPr>
        <w:t>с удовлетворением принимая</w:t>
      </w:r>
      <w:r w:rsidR="007C6827" w:rsidRPr="000204F5">
        <w:rPr>
          <w:rFonts w:eastAsia="Arial Unicode MS" w:cs="Arial"/>
          <w:szCs w:val="22"/>
        </w:rPr>
        <w:t xml:space="preserve"> </w:t>
      </w:r>
      <w:r w:rsidR="007C6827" w:rsidRPr="000204F5">
        <w:rPr>
          <w:rFonts w:eastAsia="Arial Unicode MS" w:cs="Arial"/>
          <w:i/>
          <w:iCs/>
          <w:szCs w:val="22"/>
        </w:rPr>
        <w:t>к сведению</w:t>
      </w:r>
      <w:r w:rsidR="007C6827" w:rsidRPr="000204F5">
        <w:rPr>
          <w:rFonts w:eastAsia="Arial Unicode MS" w:cs="Arial"/>
          <w:szCs w:val="22"/>
        </w:rPr>
        <w:t xml:space="preserve"> итоги Конференции министров по случаю </w:t>
      </w:r>
      <w:r w:rsidR="007C6827" w:rsidRPr="000204F5">
        <w:rPr>
          <w:rFonts w:eastAsia="Calibri" w:cs="Arial"/>
          <w:szCs w:val="22"/>
        </w:rPr>
        <w:t xml:space="preserve">семидесятой годовщины Конвенции о режиме судоходства на Дунае (29 июня 2018 года, Белград) и </w:t>
      </w:r>
      <w:r w:rsidR="003F4851">
        <w:rPr>
          <w:rFonts w:eastAsia="Calibri" w:cs="Arial"/>
          <w:szCs w:val="22"/>
        </w:rPr>
        <w:t xml:space="preserve">итоги </w:t>
      </w:r>
      <w:r w:rsidR="007C6827" w:rsidRPr="000204F5">
        <w:rPr>
          <w:rFonts w:eastAsia="Calibri" w:cs="Arial"/>
          <w:szCs w:val="22"/>
        </w:rPr>
        <w:t>шесто</w:t>
      </w:r>
      <w:r w:rsidR="003F4851">
        <w:rPr>
          <w:rFonts w:eastAsia="Calibri" w:cs="Arial"/>
          <w:szCs w:val="22"/>
        </w:rPr>
        <w:t>го</w:t>
      </w:r>
      <w:r w:rsidR="007C6827" w:rsidRPr="000204F5">
        <w:rPr>
          <w:rFonts w:eastAsia="Calibri" w:cs="Arial"/>
          <w:szCs w:val="22"/>
        </w:rPr>
        <w:t xml:space="preserve"> конгресс</w:t>
      </w:r>
      <w:r w:rsidR="003F4851">
        <w:rPr>
          <w:rFonts w:eastAsia="Calibri" w:cs="Arial"/>
          <w:szCs w:val="22"/>
        </w:rPr>
        <w:t>а</w:t>
      </w:r>
      <w:r w:rsidR="007C6827" w:rsidRPr="000204F5">
        <w:rPr>
          <w:rFonts w:eastAsia="Calibri" w:cs="Arial"/>
          <w:szCs w:val="22"/>
        </w:rPr>
        <w:t xml:space="preserve"> Центральной комиссии судоходства по Рейну (ЦКСР) по случаю сто пятидесятой годовщины </w:t>
      </w:r>
      <w:proofErr w:type="spellStart"/>
      <w:r w:rsidR="007C6827" w:rsidRPr="000204F5">
        <w:rPr>
          <w:rFonts w:eastAsia="Calibri" w:cs="Arial"/>
          <w:szCs w:val="22"/>
        </w:rPr>
        <w:t>Мангеймского</w:t>
      </w:r>
      <w:proofErr w:type="spellEnd"/>
      <w:r w:rsidR="007C6827" w:rsidRPr="000204F5">
        <w:rPr>
          <w:rFonts w:eastAsia="Calibri" w:cs="Arial"/>
          <w:szCs w:val="22"/>
        </w:rPr>
        <w:t xml:space="preserve"> акта, состо</w:t>
      </w:r>
      <w:r w:rsidR="003F4851">
        <w:rPr>
          <w:rFonts w:eastAsia="Calibri" w:cs="Arial"/>
          <w:szCs w:val="22"/>
        </w:rPr>
        <w:t>явшегося</w:t>
      </w:r>
      <w:r w:rsidR="007C6827" w:rsidRPr="000204F5">
        <w:rPr>
          <w:rFonts w:eastAsia="Calibri" w:cs="Arial"/>
          <w:szCs w:val="22"/>
        </w:rPr>
        <w:t xml:space="preserve"> 17 октября 2018 года в Мангейме (Германия),</w:t>
      </w:r>
    </w:p>
    <w:p w:rsidR="007C6827" w:rsidRPr="000204F5" w:rsidRDefault="009454B9" w:rsidP="007C6827">
      <w:pPr>
        <w:spacing w:after="120"/>
        <w:ind w:left="1134" w:right="1134"/>
        <w:jc w:val="both"/>
      </w:pPr>
      <w:r>
        <w:rPr>
          <w:i/>
          <w:iCs/>
        </w:rPr>
        <w:tab/>
      </w:r>
      <w:r w:rsidR="007C6827" w:rsidRPr="000204F5">
        <w:rPr>
          <w:i/>
          <w:iCs/>
        </w:rPr>
        <w:t>принимая во внимание</w:t>
      </w:r>
      <w:r w:rsidR="007C6827" w:rsidRPr="000204F5">
        <w:t xml:space="preserve"> всеобщую цель, состоящую в развитии эффективных, сбалансированных и гибких транспортных систем, отвечающих экономическим, социальным и экологическим потребностям правительств стран – членов ЕЭК, а также их потребностям в области безопасности,</w:t>
      </w:r>
    </w:p>
    <w:p w:rsidR="007C6827" w:rsidRPr="000204F5" w:rsidRDefault="009454B9" w:rsidP="007C6827">
      <w:pPr>
        <w:spacing w:after="120"/>
        <w:ind w:left="1134" w:right="1134"/>
        <w:jc w:val="both"/>
      </w:pPr>
      <w:r>
        <w:tab/>
      </w:r>
      <w:r w:rsidR="007C6827" w:rsidRPr="000204F5">
        <w:rPr>
          <w:i/>
          <w:iCs/>
        </w:rPr>
        <w:t>осознавая</w:t>
      </w:r>
      <w:r w:rsidR="007C6827" w:rsidRPr="000204F5">
        <w:t xml:space="preserve"> важную роль внутреннего водного транспорта как значительной части сбалансированной транспортной системы, особенно его уровень безопасности, эффективность с точки зрения энергозатрат и стоимости, низкий уровень выбросов и отсутствие перегруженности, вклад в сокращение транспортных и логистических затрат, </w:t>
      </w:r>
    </w:p>
    <w:p w:rsidR="007C6827" w:rsidRPr="000204F5" w:rsidRDefault="009454B9" w:rsidP="007C6827">
      <w:pPr>
        <w:spacing w:after="120"/>
        <w:ind w:left="1134" w:right="1134"/>
        <w:jc w:val="both"/>
      </w:pPr>
      <w:r>
        <w:tab/>
      </w:r>
      <w:r w:rsidR="007C6827" w:rsidRPr="000204F5">
        <w:rPr>
          <w:i/>
          <w:iCs/>
        </w:rPr>
        <w:t>учитывая</w:t>
      </w:r>
      <w:r w:rsidR="007C6827" w:rsidRPr="000204F5">
        <w:rPr>
          <w:iCs/>
        </w:rPr>
        <w:t>,</w:t>
      </w:r>
      <w:r w:rsidR="007C6827" w:rsidRPr="000204F5">
        <w:rPr>
          <w:i/>
          <w:iCs/>
        </w:rPr>
        <w:t xml:space="preserve"> </w:t>
      </w:r>
      <w:r w:rsidR="007C6827" w:rsidRPr="000204F5">
        <w:t>что</w:t>
      </w:r>
      <w:r w:rsidR="007C6827" w:rsidRPr="000204F5">
        <w:rPr>
          <w:i/>
          <w:iCs/>
        </w:rPr>
        <w:t xml:space="preserve"> </w:t>
      </w:r>
      <w:r w:rsidR="007C6827" w:rsidRPr="000204F5">
        <w:t>изменения в законодательной базе и институциональной структуре внутреннего водного транспорта в Европе, недавние перемены и тенденции стимулируют новые возможности и вызовы в данном секторе,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7C6827" w:rsidRPr="000204F5">
        <w:rPr>
          <w:rFonts w:eastAsia="Calibri" w:cs="Arial"/>
          <w:i/>
          <w:iCs/>
          <w:szCs w:val="22"/>
        </w:rPr>
        <w:t>признавая</w:t>
      </w:r>
      <w:r w:rsidR="007C6827" w:rsidRPr="000204F5">
        <w:rPr>
          <w:rFonts w:eastAsia="Calibri" w:cs="Arial"/>
          <w:szCs w:val="22"/>
        </w:rPr>
        <w:t xml:space="preserve"> роль передовых технологий, инноваций и перехода на цифровые технологии в обеспечении безопасности плавания и более эффективной интеграции логистики,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rFonts w:eastAsia="Arial Unicode MS" w:cs="Arial"/>
          <w:szCs w:val="22"/>
        </w:rPr>
      </w:pPr>
      <w:r>
        <w:rPr>
          <w:rFonts w:eastAsia="Calibri" w:cs="Arial"/>
          <w:szCs w:val="22"/>
        </w:rPr>
        <w:tab/>
      </w:r>
      <w:r w:rsidR="007C6827" w:rsidRPr="000204F5">
        <w:rPr>
          <w:rFonts w:eastAsia="Calibri" w:cs="Arial"/>
          <w:i/>
          <w:iCs/>
          <w:szCs w:val="22"/>
        </w:rPr>
        <w:t>признавая</w:t>
      </w:r>
      <w:r w:rsidR="007C6827" w:rsidRPr="000204F5">
        <w:rPr>
          <w:rFonts w:eastAsia="Calibri" w:cs="Arial"/>
          <w:szCs w:val="22"/>
        </w:rPr>
        <w:t xml:space="preserve"> необходимость объединения усилий для реализации значительного, пока не использованного потенциала отрасли и, соответственно, получения весомой политической поддержки на самом высоком уровне,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bCs/>
          <w:i/>
        </w:rPr>
      </w:pPr>
      <w:r>
        <w:rPr>
          <w:bCs/>
          <w:i/>
        </w:rPr>
        <w:tab/>
      </w:r>
      <w:r w:rsidR="007C6827" w:rsidRPr="000204F5">
        <w:rPr>
          <w:bCs/>
          <w:i/>
        </w:rPr>
        <w:t xml:space="preserve">будучи убежден, </w:t>
      </w:r>
      <w:r w:rsidR="007C6827" w:rsidRPr="000204F5">
        <w:rPr>
          <w:bCs/>
          <w:iCs/>
        </w:rPr>
        <w:t xml:space="preserve">что ЕЭК в сотрудничестве с другими соответствующими международными организациями сможет оказать максимально возможную </w:t>
      </w:r>
      <w:r w:rsidR="007C6827" w:rsidRPr="000204F5">
        <w:rPr>
          <w:bCs/>
          <w:iCs/>
        </w:rPr>
        <w:lastRenderedPageBreak/>
        <w:t xml:space="preserve">поддержку в реализации задач, указанных министрами во </w:t>
      </w:r>
      <w:proofErr w:type="spellStart"/>
      <w:r w:rsidR="007C6827" w:rsidRPr="000204F5">
        <w:rPr>
          <w:bCs/>
          <w:iCs/>
        </w:rPr>
        <w:t>вроцлавской</w:t>
      </w:r>
      <w:proofErr w:type="spellEnd"/>
      <w:r w:rsidR="007C6827" w:rsidRPr="000204F5">
        <w:rPr>
          <w:bCs/>
          <w:iCs/>
        </w:rPr>
        <w:t xml:space="preserve"> декларации, и что это следует сделать,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iCs/>
        </w:rPr>
      </w:pPr>
      <w:r>
        <w:rPr>
          <w:i/>
        </w:rPr>
        <w:tab/>
      </w:r>
      <w:r w:rsidR="007C6827" w:rsidRPr="000204F5">
        <w:rPr>
          <w:i/>
        </w:rPr>
        <w:t xml:space="preserve">обращается </w:t>
      </w:r>
      <w:r w:rsidR="007C6827" w:rsidRPr="000204F5">
        <w:t>к</w:t>
      </w:r>
      <w:r w:rsidR="007C6827" w:rsidRPr="000204F5">
        <w:rPr>
          <w:i/>
        </w:rPr>
        <w:t xml:space="preserve"> </w:t>
      </w:r>
      <w:r w:rsidR="007C6827" w:rsidRPr="000204F5">
        <w:rPr>
          <w:iCs/>
        </w:rPr>
        <w:t xml:space="preserve">государствам-участникам </w:t>
      </w:r>
      <w:r w:rsidR="007C6827" w:rsidRPr="000204F5">
        <w:rPr>
          <w:i/>
        </w:rPr>
        <w:t>с просьбой</w:t>
      </w:r>
      <w:r w:rsidR="007C6827" w:rsidRPr="000204F5">
        <w:rPr>
          <w:iCs/>
        </w:rPr>
        <w:t xml:space="preserve"> разработать национальные планы действий по реализации целей и стратегических мероприятий, предусмотренных </w:t>
      </w:r>
      <w:proofErr w:type="spellStart"/>
      <w:r w:rsidR="007C6827" w:rsidRPr="000204F5">
        <w:rPr>
          <w:iCs/>
        </w:rPr>
        <w:t>вроцлавской</w:t>
      </w:r>
      <w:proofErr w:type="spellEnd"/>
      <w:r w:rsidR="007C6827" w:rsidRPr="000204F5">
        <w:rPr>
          <w:iCs/>
        </w:rPr>
        <w:t xml:space="preserve"> декларацией, и </w:t>
      </w:r>
      <w:bookmarkStart w:id="3" w:name="OLE_LINK23"/>
      <w:bookmarkStart w:id="4" w:name="OLE_LINK24"/>
      <w:r w:rsidR="007C6827" w:rsidRPr="000204F5">
        <w:rPr>
          <w:iCs/>
        </w:rPr>
        <w:t xml:space="preserve">информировать </w:t>
      </w:r>
      <w:bookmarkStart w:id="5" w:name="OLE_LINK21"/>
      <w:bookmarkStart w:id="6" w:name="OLE_LINK22"/>
      <w:r w:rsidR="007C6827" w:rsidRPr="000204F5">
        <w:rPr>
          <w:iCs/>
        </w:rPr>
        <w:t>Рабочую группу по внутреннему водному транспорту</w:t>
      </w:r>
      <w:bookmarkEnd w:id="3"/>
      <w:bookmarkEnd w:id="4"/>
      <w:bookmarkEnd w:id="5"/>
      <w:bookmarkEnd w:id="6"/>
      <w:r w:rsidR="007C6827" w:rsidRPr="000204F5">
        <w:rPr>
          <w:iCs/>
        </w:rPr>
        <w:t xml:space="preserve"> о прогрессе в этой области,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iCs/>
        </w:rPr>
      </w:pPr>
      <w:r>
        <w:rPr>
          <w:i/>
        </w:rPr>
        <w:tab/>
      </w:r>
      <w:r w:rsidR="007C6827" w:rsidRPr="000204F5">
        <w:rPr>
          <w:i/>
        </w:rPr>
        <w:t xml:space="preserve">обращается </w:t>
      </w:r>
      <w:r w:rsidR="007C6827" w:rsidRPr="000204F5">
        <w:t>к</w:t>
      </w:r>
      <w:r w:rsidR="007C6827" w:rsidRPr="000204F5">
        <w:rPr>
          <w:i/>
        </w:rPr>
        <w:t xml:space="preserve"> </w:t>
      </w:r>
      <w:r w:rsidR="007C6827" w:rsidRPr="000204F5">
        <w:rPr>
          <w:iCs/>
        </w:rPr>
        <w:t xml:space="preserve">государствам-участникам, речным комиссиям, а также </w:t>
      </w:r>
      <w:r w:rsidR="007C6827" w:rsidRPr="000204F5">
        <w:rPr>
          <w:i/>
        </w:rPr>
        <w:t>к</w:t>
      </w:r>
      <w:r w:rsidR="007C6827" w:rsidRPr="000204F5">
        <w:rPr>
          <w:iCs/>
        </w:rPr>
        <w:t xml:space="preserve"> общественным организациям и другим заинтересованным сторонам </w:t>
      </w:r>
      <w:r w:rsidR="007C6827" w:rsidRPr="000204F5">
        <w:rPr>
          <w:i/>
        </w:rPr>
        <w:t xml:space="preserve">с просьбой </w:t>
      </w:r>
      <w:r w:rsidR="007C6827" w:rsidRPr="000204F5">
        <w:rPr>
          <w:iCs/>
        </w:rPr>
        <w:t>поддерживать стратегический диалог по аспектам оптимальной практики и мерам, связанным с реализацией поставленных целей на основе задействования возможностей ЕЭК,</w:t>
      </w:r>
    </w:p>
    <w:p w:rsidR="007C6827" w:rsidRPr="000204F5" w:rsidRDefault="009454B9" w:rsidP="007C6827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ab/>
      </w:r>
      <w:r w:rsidR="007C6827" w:rsidRPr="000204F5">
        <w:rPr>
          <w:i/>
          <w:iCs/>
        </w:rPr>
        <w:t>просит</w:t>
      </w:r>
      <w:r w:rsidR="007C6827" w:rsidRPr="000204F5">
        <w:t xml:space="preserve"> </w:t>
      </w:r>
      <w:r w:rsidR="007C6827" w:rsidRPr="000204F5">
        <w:rPr>
          <w:iCs/>
        </w:rPr>
        <w:t xml:space="preserve">Рабочую группу по внутреннему водному транспорту в соответствии с ее стратегией на 2016–2021 годы, одобренной Комитетом по внутреннему транспорту 24 февраля 2017 года, и в тесном сотрудничестве с </w:t>
      </w:r>
      <w:r w:rsidR="003F4851">
        <w:rPr>
          <w:iCs/>
        </w:rPr>
        <w:t xml:space="preserve">государствами-членами ЕЭК, </w:t>
      </w:r>
      <w:r w:rsidR="007C6827" w:rsidRPr="000204F5">
        <w:rPr>
          <w:iCs/>
        </w:rPr>
        <w:t xml:space="preserve">Европейской комиссией, Центральной комиссией судоходства по Рейну, Дунайской комиссией, </w:t>
      </w:r>
      <w:proofErr w:type="spellStart"/>
      <w:r w:rsidR="007C6827" w:rsidRPr="000204F5">
        <w:rPr>
          <w:iCs/>
        </w:rPr>
        <w:t>Мозельской</w:t>
      </w:r>
      <w:proofErr w:type="spellEnd"/>
      <w:r w:rsidR="007C6827" w:rsidRPr="000204F5">
        <w:rPr>
          <w:iCs/>
        </w:rPr>
        <w:t xml:space="preserve"> комиссией и </w:t>
      </w:r>
      <w:r w:rsidR="007C6827" w:rsidRPr="000204F5">
        <w:t>Международной комиссией по бассейну реки Сава приступить к реализации упомянутых выше целей и стратегических мероприятий и внести надлежащие поправки в свою программу работы,</w:t>
      </w:r>
    </w:p>
    <w:p w:rsidR="007C6827" w:rsidRPr="000204F5" w:rsidRDefault="009454B9" w:rsidP="007C6827">
      <w:pPr>
        <w:spacing w:after="120"/>
        <w:ind w:left="1134" w:right="1134"/>
        <w:jc w:val="both"/>
      </w:pPr>
      <w:r>
        <w:tab/>
      </w:r>
      <w:r w:rsidR="007C6827" w:rsidRPr="000204F5">
        <w:rPr>
          <w:i/>
          <w:iCs/>
        </w:rPr>
        <w:t>просит</w:t>
      </w:r>
      <w:r w:rsidR="007C6827" w:rsidRPr="000204F5">
        <w:t xml:space="preserve"> </w:t>
      </w:r>
      <w:r w:rsidR="007C6827" w:rsidRPr="000204F5">
        <w:rPr>
          <w:iCs/>
        </w:rPr>
        <w:t>Рабочую группу по внутреннему водному транспорту</w:t>
      </w:r>
      <w:r w:rsidR="007C6827" w:rsidRPr="000204F5">
        <w:rPr>
          <w:i/>
        </w:rPr>
        <w:t xml:space="preserve"> </w:t>
      </w:r>
      <w:r w:rsidR="007C6827" w:rsidRPr="000204F5">
        <w:rPr>
          <w:iCs/>
        </w:rPr>
        <w:t>регулярно информировать Комитет по внутреннему транспорту о ходе реализации этой резолюции.</w:t>
      </w:r>
    </w:p>
    <w:p w:rsidR="001E65D9" w:rsidRPr="00A2788B" w:rsidRDefault="007C6827" w:rsidP="007C6827">
      <w:pPr>
        <w:pStyle w:val="SingleTxtG"/>
        <w:spacing w:before="240" w:after="0"/>
        <w:jc w:val="center"/>
        <w:rPr>
          <w:lang w:val="ru-RU"/>
        </w:rPr>
      </w:pPr>
      <w:r w:rsidRPr="000204F5">
        <w:rPr>
          <w:u w:val="single"/>
          <w:lang w:val="ru-RU"/>
        </w:rPr>
        <w:tab/>
      </w:r>
      <w:r w:rsidRPr="000204F5">
        <w:rPr>
          <w:u w:val="single"/>
          <w:lang w:val="ru-RU"/>
        </w:rPr>
        <w:tab/>
      </w:r>
      <w:r w:rsidRPr="000204F5">
        <w:rPr>
          <w:u w:val="single"/>
          <w:lang w:val="ru-RU"/>
        </w:rPr>
        <w:tab/>
      </w:r>
    </w:p>
    <w:sectPr w:rsidR="001E65D9" w:rsidRPr="00A2788B" w:rsidSect="00A2788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8B" w:rsidRDefault="00A2788B">
      <w:r>
        <w:rPr>
          <w:lang w:val="en-US"/>
        </w:rPr>
        <w:tab/>
      </w:r>
      <w:r>
        <w:separator/>
      </w:r>
    </w:p>
  </w:endnote>
  <w:endnote w:type="continuationSeparator" w:id="0">
    <w:p w:rsidR="00A2788B" w:rsidRDefault="00A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8B" w:rsidRPr="00A2788B" w:rsidRDefault="00A2788B">
    <w:pPr>
      <w:pStyle w:val="Footer"/>
      <w:rPr>
        <w:sz w:val="18"/>
      </w:rPr>
    </w:pPr>
    <w:r w:rsidRPr="00A2788B">
      <w:rPr>
        <w:b/>
        <w:sz w:val="18"/>
      </w:rPr>
      <w:fldChar w:fldCharType="begin"/>
    </w:r>
    <w:r w:rsidRPr="00A2788B">
      <w:rPr>
        <w:b/>
        <w:sz w:val="18"/>
      </w:rPr>
      <w:instrText xml:space="preserve"> PAGE  \* MERGEFORMAT </w:instrText>
    </w:r>
    <w:r w:rsidRPr="00A2788B">
      <w:rPr>
        <w:b/>
        <w:sz w:val="18"/>
      </w:rPr>
      <w:fldChar w:fldCharType="separate"/>
    </w:r>
    <w:r w:rsidR="0083374A">
      <w:rPr>
        <w:b/>
        <w:noProof/>
        <w:sz w:val="18"/>
      </w:rPr>
      <w:t>2</w:t>
    </w:r>
    <w:r w:rsidRPr="00A2788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8B" w:rsidRPr="00A2788B" w:rsidRDefault="00A2788B">
    <w:pPr>
      <w:pStyle w:val="Footer"/>
      <w:rPr>
        <w:b/>
        <w:sz w:val="18"/>
      </w:rPr>
    </w:pPr>
    <w:r>
      <w:tab/>
    </w:r>
    <w:r w:rsidRPr="00A2788B">
      <w:rPr>
        <w:b/>
        <w:sz w:val="18"/>
      </w:rPr>
      <w:fldChar w:fldCharType="begin"/>
    </w:r>
    <w:r w:rsidRPr="00A2788B">
      <w:rPr>
        <w:b/>
        <w:sz w:val="18"/>
      </w:rPr>
      <w:instrText xml:space="preserve"> PAGE  \* MERGEFORMAT </w:instrText>
    </w:r>
    <w:r w:rsidRPr="00A2788B">
      <w:rPr>
        <w:b/>
        <w:sz w:val="18"/>
      </w:rPr>
      <w:fldChar w:fldCharType="separate"/>
    </w:r>
    <w:r w:rsidR="0083374A">
      <w:rPr>
        <w:b/>
        <w:noProof/>
        <w:sz w:val="18"/>
      </w:rPr>
      <w:t>3</w:t>
    </w:r>
    <w:r w:rsidRPr="00A2788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8B" w:rsidRPr="00F5542C" w:rsidRDefault="00A2788B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A2788B" w:rsidRPr="00C960A3" w:rsidRDefault="00A2788B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8B" w:rsidRPr="00A2788B" w:rsidRDefault="00A2788B">
    <w:pPr>
      <w:pStyle w:val="Header"/>
    </w:pPr>
    <w:r>
      <w:t>ECE/TRANS/2019/15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8B" w:rsidRPr="00A2788B" w:rsidRDefault="00A2788B" w:rsidP="00A2788B">
    <w:pPr>
      <w:pStyle w:val="Header"/>
      <w:jc w:val="right"/>
    </w:pPr>
    <w:r>
      <w:t>ECE/TRANS/2019/15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88B"/>
    <w:rsid w:val="00005C1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90231"/>
    <w:rsid w:val="00192175"/>
    <w:rsid w:val="001A7D40"/>
    <w:rsid w:val="001B6807"/>
    <w:rsid w:val="001D07F7"/>
    <w:rsid w:val="001E60B9"/>
    <w:rsid w:val="001E65D9"/>
    <w:rsid w:val="002019BD"/>
    <w:rsid w:val="00266E81"/>
    <w:rsid w:val="0027199D"/>
    <w:rsid w:val="002739FB"/>
    <w:rsid w:val="00284644"/>
    <w:rsid w:val="0028492B"/>
    <w:rsid w:val="002A1D1D"/>
    <w:rsid w:val="002B329F"/>
    <w:rsid w:val="002B3ED2"/>
    <w:rsid w:val="002C6A71"/>
    <w:rsid w:val="002D15EA"/>
    <w:rsid w:val="002E0CE6"/>
    <w:rsid w:val="00313F7D"/>
    <w:rsid w:val="0031437F"/>
    <w:rsid w:val="00332891"/>
    <w:rsid w:val="00360477"/>
    <w:rsid w:val="003951D3"/>
    <w:rsid w:val="003978C6"/>
    <w:rsid w:val="003B40A9"/>
    <w:rsid w:val="003C016E"/>
    <w:rsid w:val="003C2457"/>
    <w:rsid w:val="003F4851"/>
    <w:rsid w:val="004019C3"/>
    <w:rsid w:val="00403234"/>
    <w:rsid w:val="00446DCB"/>
    <w:rsid w:val="004525F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84828"/>
    <w:rsid w:val="005B1B28"/>
    <w:rsid w:val="005C678A"/>
    <w:rsid w:val="005F3E04"/>
    <w:rsid w:val="006115AA"/>
    <w:rsid w:val="00611AFA"/>
    <w:rsid w:val="00632B65"/>
    <w:rsid w:val="00635E86"/>
    <w:rsid w:val="0065427C"/>
    <w:rsid w:val="00694C37"/>
    <w:rsid w:val="006C2F45"/>
    <w:rsid w:val="006E7183"/>
    <w:rsid w:val="006F1996"/>
    <w:rsid w:val="00735BA8"/>
    <w:rsid w:val="007442BE"/>
    <w:rsid w:val="0074530B"/>
    <w:rsid w:val="0075279B"/>
    <w:rsid w:val="00753748"/>
    <w:rsid w:val="007C6827"/>
    <w:rsid w:val="007D493D"/>
    <w:rsid w:val="007E38C3"/>
    <w:rsid w:val="007E549E"/>
    <w:rsid w:val="007E71C9"/>
    <w:rsid w:val="0082208A"/>
    <w:rsid w:val="008305D7"/>
    <w:rsid w:val="0083374A"/>
    <w:rsid w:val="008727A1"/>
    <w:rsid w:val="00891C08"/>
    <w:rsid w:val="008A5FA8"/>
    <w:rsid w:val="008A7E23"/>
    <w:rsid w:val="008F1E55"/>
    <w:rsid w:val="00924E84"/>
    <w:rsid w:val="009454B9"/>
    <w:rsid w:val="00962CAE"/>
    <w:rsid w:val="00964EEA"/>
    <w:rsid w:val="00966A00"/>
    <w:rsid w:val="00993668"/>
    <w:rsid w:val="009A1446"/>
    <w:rsid w:val="009C30BB"/>
    <w:rsid w:val="009F00A6"/>
    <w:rsid w:val="00A05D51"/>
    <w:rsid w:val="00A2446A"/>
    <w:rsid w:val="00A2454C"/>
    <w:rsid w:val="00A2788B"/>
    <w:rsid w:val="00A820BB"/>
    <w:rsid w:val="00AB5BF0"/>
    <w:rsid w:val="00AD52F7"/>
    <w:rsid w:val="00B14EF2"/>
    <w:rsid w:val="00B15891"/>
    <w:rsid w:val="00B55EEF"/>
    <w:rsid w:val="00B614FD"/>
    <w:rsid w:val="00BB1AF9"/>
    <w:rsid w:val="00BB55D7"/>
    <w:rsid w:val="00BD3CAE"/>
    <w:rsid w:val="00C037E9"/>
    <w:rsid w:val="00C03CA2"/>
    <w:rsid w:val="00C065D3"/>
    <w:rsid w:val="00C20D2F"/>
    <w:rsid w:val="00C27435"/>
    <w:rsid w:val="00C373B1"/>
    <w:rsid w:val="00C41BBC"/>
    <w:rsid w:val="00C67731"/>
    <w:rsid w:val="00C75CB2"/>
    <w:rsid w:val="00C807EC"/>
    <w:rsid w:val="00C92A84"/>
    <w:rsid w:val="00C960A3"/>
    <w:rsid w:val="00CA609E"/>
    <w:rsid w:val="00CC7ED4"/>
    <w:rsid w:val="00CE3D6F"/>
    <w:rsid w:val="00CF320B"/>
    <w:rsid w:val="00D01358"/>
    <w:rsid w:val="00D02797"/>
    <w:rsid w:val="00D800D0"/>
    <w:rsid w:val="00D802E3"/>
    <w:rsid w:val="00DA5686"/>
    <w:rsid w:val="00DF18FA"/>
    <w:rsid w:val="00DF49CA"/>
    <w:rsid w:val="00E007F3"/>
    <w:rsid w:val="00E03C1F"/>
    <w:rsid w:val="00E051CA"/>
    <w:rsid w:val="00E11679"/>
    <w:rsid w:val="00E37BFE"/>
    <w:rsid w:val="00E46A04"/>
    <w:rsid w:val="00E517EB"/>
    <w:rsid w:val="00EC6B9F"/>
    <w:rsid w:val="00F12C64"/>
    <w:rsid w:val="00F2792C"/>
    <w:rsid w:val="00F5542C"/>
    <w:rsid w:val="00F71F63"/>
    <w:rsid w:val="00F87506"/>
    <w:rsid w:val="00F92197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9BC689BB-0918-423B-84DB-BFD4214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qFormat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styleId="BalloonText">
    <w:name w:val="Balloon Text"/>
    <w:basedOn w:val="Normal"/>
    <w:link w:val="BalloonTextChar"/>
    <w:rsid w:val="00A2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88B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ingleTxtG">
    <w:name w:val="_ Single Txt_G"/>
    <w:basedOn w:val="Normal"/>
    <w:link w:val="SingleTxtGChar"/>
    <w:qFormat/>
    <w:rsid w:val="007C6827"/>
    <w:pPr>
      <w:suppressAutoHyphens/>
      <w:spacing w:after="120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locked/>
    <w:rsid w:val="007C68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va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Ivanova</dc:creator>
  <cp:lastModifiedBy>AB</cp:lastModifiedBy>
  <cp:revision>3</cp:revision>
  <cp:lastPrinted>2008-10-22T13:09:00Z</cp:lastPrinted>
  <dcterms:created xsi:type="dcterms:W3CDTF">2018-12-06T16:30:00Z</dcterms:created>
  <dcterms:modified xsi:type="dcterms:W3CDTF">2018-12-07T08:59:00Z</dcterms:modified>
</cp:coreProperties>
</file>