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17A3" w14:textId="67F3A4FE" w:rsidR="00F8067A" w:rsidRPr="00BE7600"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BB776D">
        <w:rPr>
          <w:rFonts w:ascii="Arial" w:eastAsia="Arial" w:hAnsi="Arial" w:cs="Arial"/>
          <w:bCs/>
          <w:noProof/>
          <w:szCs w:val="24"/>
          <w:lang w:val="fr-FR"/>
        </w:rPr>
        <w:drawing>
          <wp:anchor distT="0" distB="0" distL="114300" distR="114300" simplePos="0" relativeHeight="251659264" behindDoc="0" locked="0" layoutInCell="1" allowOverlap="1" wp14:anchorId="1B98A430" wp14:editId="49DF97C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2351FA">
        <w:rPr>
          <w:rFonts w:ascii="Arial" w:eastAsia="Arial" w:hAnsi="Arial" w:cs="Arial"/>
          <w:bCs/>
          <w:szCs w:val="24"/>
          <w:lang w:val="en-US" w:eastAsia="de-DE"/>
        </w:rPr>
        <w:t>CCNR-ZKR/ADN/WP.15/AC.2/</w:t>
      </w:r>
      <w:r w:rsidR="00DC378F">
        <w:rPr>
          <w:rFonts w:ascii="Arial" w:eastAsia="Arial" w:hAnsi="Arial" w:cs="Arial"/>
          <w:bCs/>
          <w:szCs w:val="24"/>
          <w:lang w:val="en-US" w:eastAsia="de-DE"/>
        </w:rPr>
        <w:t>34</w:t>
      </w:r>
      <w:r w:rsidR="00C31727">
        <w:rPr>
          <w:rFonts w:ascii="Arial" w:eastAsia="Arial" w:hAnsi="Arial" w:cs="Arial"/>
          <w:bCs/>
          <w:szCs w:val="24"/>
          <w:lang w:val="en-US" w:eastAsia="de-DE"/>
        </w:rPr>
        <w:t>/INF.</w:t>
      </w:r>
      <w:r w:rsidR="00A603E2">
        <w:rPr>
          <w:rFonts w:ascii="Arial" w:eastAsia="Arial" w:hAnsi="Arial" w:cs="Arial"/>
          <w:bCs/>
          <w:szCs w:val="24"/>
          <w:lang w:val="en-US" w:eastAsia="de-DE"/>
        </w:rPr>
        <w:t>5</w:t>
      </w:r>
    </w:p>
    <w:p w14:paraId="3AD69668" w14:textId="6AD4C4D1" w:rsidR="00F8067A" w:rsidRPr="00BB776D" w:rsidRDefault="00A603E2"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9</w:t>
      </w:r>
      <w:r w:rsidR="00F8067A" w:rsidRPr="007E13BB">
        <w:rPr>
          <w:rFonts w:ascii="Arial" w:eastAsia="Arial" w:hAnsi="Arial" w:cs="Arial"/>
          <w:szCs w:val="24"/>
          <w:lang w:eastAsia="de-DE"/>
        </w:rPr>
        <w:t xml:space="preserve">. </w:t>
      </w:r>
      <w:r w:rsidR="00CA2CDA" w:rsidRPr="007E13BB">
        <w:rPr>
          <w:rFonts w:ascii="Arial" w:eastAsia="Arial" w:hAnsi="Arial" w:cs="Arial"/>
          <w:szCs w:val="24"/>
          <w:lang w:eastAsia="de-DE"/>
        </w:rPr>
        <w:t>Januar</w:t>
      </w:r>
      <w:r w:rsidR="00F8067A" w:rsidRPr="007E13BB">
        <w:rPr>
          <w:rFonts w:ascii="Arial" w:eastAsia="Arial" w:hAnsi="Arial" w:cs="Arial"/>
          <w:szCs w:val="24"/>
          <w:lang w:eastAsia="de-DE"/>
        </w:rPr>
        <w:t xml:space="preserve"> 201</w:t>
      </w:r>
      <w:r w:rsidR="00CA2CDA" w:rsidRPr="007E13BB">
        <w:rPr>
          <w:rFonts w:ascii="Arial" w:eastAsia="Arial" w:hAnsi="Arial" w:cs="Arial"/>
          <w:szCs w:val="24"/>
          <w:lang w:eastAsia="de-DE"/>
        </w:rPr>
        <w:t>9</w:t>
      </w:r>
    </w:p>
    <w:p w14:paraId="5554F33D" w14:textId="41118633" w:rsidR="00F8067A" w:rsidRPr="00BB776D"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BB776D">
        <w:rPr>
          <w:rFonts w:ascii="Arial" w:eastAsia="Arial" w:hAnsi="Arial" w:cs="Arial"/>
          <w:sz w:val="16"/>
          <w:szCs w:val="24"/>
          <w:lang w:eastAsia="de-DE"/>
        </w:rPr>
        <w:t xml:space="preserve">Or. </w:t>
      </w:r>
      <w:r w:rsidR="00BE7600">
        <w:rPr>
          <w:rFonts w:ascii="Arial" w:eastAsia="Arial" w:hAnsi="Arial" w:cs="Arial"/>
          <w:sz w:val="16"/>
          <w:szCs w:val="24"/>
          <w:lang w:eastAsia="de-DE"/>
        </w:rPr>
        <w:t>DEUTSCH</w:t>
      </w:r>
    </w:p>
    <w:p w14:paraId="370454BC"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1FE296EA"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GEMEINSAME EXPERTENTAGUNG FÜR DIE DEM</w:t>
      </w:r>
    </w:p>
    <w:p w14:paraId="52C45F2E"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ÜBEREINKOMMEN ÜBER DIE INTERNATIONALE BEFÖRDERUNG</w:t>
      </w:r>
    </w:p>
    <w:p w14:paraId="52844F30"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VON GEFÄHRLICHEN GÜTERN AUF BINNENWASSERSTRASSEN</w:t>
      </w:r>
    </w:p>
    <w:p w14:paraId="38DEB85C"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BEIGEFÜGTE VERORDNUNG (ADN)</w:t>
      </w:r>
    </w:p>
    <w:p w14:paraId="535365AE"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(SICHERHEITSAUSSCHUSS)</w:t>
      </w:r>
    </w:p>
    <w:p w14:paraId="4170B042" w14:textId="1B04BE7E"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sz w:val="16"/>
          <w:szCs w:val="24"/>
        </w:rPr>
      </w:pPr>
      <w:r w:rsidRPr="00BB776D">
        <w:rPr>
          <w:rFonts w:ascii="Arial" w:hAnsi="Arial"/>
          <w:sz w:val="16"/>
          <w:szCs w:val="24"/>
        </w:rPr>
        <w:t>(3</w:t>
      </w:r>
      <w:r w:rsidR="002351FA">
        <w:rPr>
          <w:rFonts w:ascii="Arial" w:hAnsi="Arial"/>
          <w:sz w:val="16"/>
          <w:szCs w:val="24"/>
        </w:rPr>
        <w:t>4</w:t>
      </w:r>
      <w:r w:rsidRPr="00BB776D">
        <w:rPr>
          <w:rFonts w:ascii="Arial" w:hAnsi="Arial"/>
          <w:sz w:val="16"/>
          <w:szCs w:val="24"/>
        </w:rPr>
        <w:t>. Tagung, Genf, 2</w:t>
      </w:r>
      <w:r w:rsidR="002351FA">
        <w:rPr>
          <w:rFonts w:ascii="Arial" w:hAnsi="Arial"/>
          <w:sz w:val="16"/>
          <w:szCs w:val="24"/>
        </w:rPr>
        <w:t>1</w:t>
      </w:r>
      <w:r w:rsidRPr="00BB776D">
        <w:rPr>
          <w:rFonts w:ascii="Arial" w:hAnsi="Arial"/>
          <w:sz w:val="16"/>
          <w:szCs w:val="24"/>
        </w:rPr>
        <w:t xml:space="preserve">. bis </w:t>
      </w:r>
      <w:r w:rsidR="002351FA">
        <w:rPr>
          <w:rFonts w:ascii="Arial" w:hAnsi="Arial"/>
          <w:sz w:val="16"/>
          <w:szCs w:val="24"/>
        </w:rPr>
        <w:t>25</w:t>
      </w:r>
      <w:r w:rsidRPr="00BB776D">
        <w:rPr>
          <w:rFonts w:ascii="Arial" w:hAnsi="Arial"/>
          <w:sz w:val="16"/>
          <w:szCs w:val="24"/>
        </w:rPr>
        <w:t xml:space="preserve">. </w:t>
      </w:r>
      <w:r w:rsidR="002351FA">
        <w:rPr>
          <w:rFonts w:ascii="Arial" w:hAnsi="Arial"/>
          <w:sz w:val="16"/>
          <w:szCs w:val="24"/>
        </w:rPr>
        <w:t>Januar 2019</w:t>
      </w:r>
      <w:r w:rsidRPr="00BB776D">
        <w:rPr>
          <w:rFonts w:ascii="Arial" w:hAnsi="Arial"/>
          <w:sz w:val="16"/>
          <w:szCs w:val="24"/>
        </w:rPr>
        <w:t>)</w:t>
      </w:r>
    </w:p>
    <w:p w14:paraId="1B26AAF9" w14:textId="61E4EC7F"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B776D">
        <w:rPr>
          <w:rFonts w:ascii="Arial" w:hAnsi="Arial" w:cs="Arial"/>
          <w:sz w:val="16"/>
          <w:szCs w:val="16"/>
          <w:lang w:eastAsia="en-US"/>
        </w:rPr>
        <w:t xml:space="preserve">Punkt </w:t>
      </w:r>
      <w:r w:rsidR="00BC7F14">
        <w:rPr>
          <w:rFonts w:ascii="Arial" w:hAnsi="Arial" w:cs="Arial"/>
          <w:sz w:val="16"/>
          <w:szCs w:val="16"/>
          <w:lang w:eastAsia="en-US"/>
        </w:rPr>
        <w:t>5</w:t>
      </w:r>
      <w:r w:rsidR="00982F17" w:rsidRPr="00BB776D">
        <w:rPr>
          <w:rFonts w:ascii="Arial" w:hAnsi="Arial" w:cs="Arial"/>
          <w:sz w:val="16"/>
          <w:szCs w:val="16"/>
          <w:lang w:eastAsia="en-US"/>
        </w:rPr>
        <w:t xml:space="preserve"> b)</w:t>
      </w:r>
      <w:r w:rsidRPr="00BB776D">
        <w:rPr>
          <w:rFonts w:ascii="Arial" w:hAnsi="Arial" w:cs="Arial"/>
          <w:sz w:val="16"/>
          <w:szCs w:val="16"/>
          <w:lang w:eastAsia="en-US"/>
        </w:rPr>
        <w:t xml:space="preserve"> zur vorläufigen Tagesordnung</w:t>
      </w:r>
    </w:p>
    <w:p w14:paraId="3579C183" w14:textId="77777777" w:rsidR="00F8067A" w:rsidRPr="00BB776D" w:rsidRDefault="00F8067A" w:rsidP="00F8067A">
      <w:pPr>
        <w:ind w:left="3960" w:firstLine="9"/>
        <w:rPr>
          <w:rFonts w:ascii="Arial" w:hAnsi="Arial" w:cs="Arial"/>
          <w:b/>
          <w:sz w:val="16"/>
          <w:szCs w:val="16"/>
          <w:lang w:eastAsia="en-US"/>
        </w:rPr>
      </w:pPr>
      <w:r w:rsidRPr="00BB776D">
        <w:rPr>
          <w:rFonts w:ascii="Arial" w:hAnsi="Arial" w:cs="Arial"/>
          <w:b/>
          <w:sz w:val="16"/>
          <w:szCs w:val="16"/>
          <w:lang w:eastAsia="en-US"/>
        </w:rPr>
        <w:t>Vorschläge für Änderungen der dem ADN beigefügten Verordnung: Weitere Vorschläge</w:t>
      </w:r>
    </w:p>
    <w:p w14:paraId="1B019B21"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7A900FB"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997554F"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DB06D0C" w14:textId="2FC5E44E" w:rsidR="00130FAA" w:rsidRPr="00BB776D" w:rsidRDefault="0085713F" w:rsidP="00997F07">
      <w:pPr>
        <w:pStyle w:val="HChG"/>
        <w:tabs>
          <w:tab w:val="clear" w:pos="851"/>
        </w:tabs>
        <w:ind w:right="567"/>
        <w:rPr>
          <w:snapToGrid w:val="0"/>
          <w:sz w:val="24"/>
          <w:szCs w:val="24"/>
          <w:lang w:val="de-DE"/>
        </w:rPr>
      </w:pPr>
      <w:r w:rsidRPr="00BB776D">
        <w:rPr>
          <w:lang w:val="de-DE" w:eastAsia="en-GB"/>
        </w:rPr>
        <w:tab/>
      </w:r>
      <w:r w:rsidR="00183978">
        <w:rPr>
          <w:lang w:val="de-DE" w:eastAsia="en-GB"/>
        </w:rPr>
        <w:t>Vorschläge für das Anpassen von</w:t>
      </w:r>
      <w:r w:rsidR="00DE5BE0" w:rsidRPr="00DE5BE0">
        <w:rPr>
          <w:lang w:val="de-DE" w:eastAsia="en-GB"/>
        </w:rPr>
        <w:t xml:space="preserve"> Verweisen auf das CEVNI im ADN</w:t>
      </w:r>
    </w:p>
    <w:p w14:paraId="54544BC9" w14:textId="6818D92B" w:rsidR="00130FAA" w:rsidRPr="00BB776D" w:rsidRDefault="00130FAA" w:rsidP="000F0250">
      <w:pPr>
        <w:keepNext/>
        <w:keepLines/>
        <w:widowControl/>
        <w:suppressAutoHyphens/>
        <w:overflowPunct/>
        <w:autoSpaceDE/>
        <w:autoSpaceDN/>
        <w:adjustRightInd/>
        <w:snapToGrid w:val="0"/>
        <w:spacing w:before="360" w:after="240" w:line="270" w:lineRule="exact"/>
        <w:ind w:right="-142" w:firstLine="0"/>
        <w:jc w:val="left"/>
        <w:textAlignment w:val="auto"/>
        <w:rPr>
          <w:b/>
          <w:sz w:val="18"/>
          <w:vertAlign w:val="superscript"/>
        </w:rPr>
      </w:pPr>
      <w:r w:rsidRPr="00BB776D">
        <w:rPr>
          <w:b/>
          <w:sz w:val="24"/>
        </w:rPr>
        <w:t>Eingereicht von der Zentralkommission für die Rheinschifffahrt (ZKR)</w:t>
      </w:r>
    </w:p>
    <w:p w14:paraId="40EC4379" w14:textId="77777777" w:rsidR="00130FAA" w:rsidRPr="00BB776D" w:rsidRDefault="00130FAA" w:rsidP="00130FAA">
      <w:pPr>
        <w:keepNext/>
        <w:keepLines/>
        <w:widowControl/>
        <w:tabs>
          <w:tab w:val="right" w:pos="851"/>
        </w:tabs>
        <w:suppressAutoHyphens/>
        <w:overflowPunct/>
        <w:autoSpaceDE/>
        <w:autoSpaceDN/>
        <w:adjustRightInd/>
        <w:spacing w:before="360" w:after="240" w:line="270" w:lineRule="exact"/>
        <w:ind w:right="1134"/>
        <w:jc w:val="left"/>
        <w:textAlignment w:val="auto"/>
        <w:rPr>
          <w:b/>
          <w:sz w:val="28"/>
          <w:lang w:eastAsia="en-US"/>
        </w:rPr>
      </w:pPr>
      <w:r w:rsidRPr="00BB776D">
        <w:rPr>
          <w:b/>
          <w:sz w:val="28"/>
          <w:lang w:eastAsia="en-GB"/>
        </w:rPr>
        <w:tab/>
        <w:t>I.</w:t>
      </w:r>
      <w:r w:rsidRPr="00BB776D">
        <w:rPr>
          <w:b/>
          <w:sz w:val="28"/>
          <w:lang w:eastAsia="en-GB"/>
        </w:rPr>
        <w:tab/>
      </w:r>
      <w:r w:rsidR="00DF3A4A" w:rsidRPr="00BB776D">
        <w:rPr>
          <w:b/>
          <w:sz w:val="28"/>
          <w:lang w:eastAsia="en-GB"/>
        </w:rPr>
        <w:t>Einleitung</w:t>
      </w:r>
    </w:p>
    <w:p w14:paraId="42E5508C" w14:textId="18A48C10" w:rsidR="002C327D" w:rsidRPr="00BB776D" w:rsidRDefault="002C327D" w:rsidP="002C327D">
      <w:pPr>
        <w:widowControl/>
        <w:tabs>
          <w:tab w:val="left" w:pos="1701"/>
        </w:tabs>
        <w:suppressAutoHyphens/>
        <w:overflowPunct/>
        <w:autoSpaceDE/>
        <w:autoSpaceDN/>
        <w:adjustRightInd/>
        <w:spacing w:after="120" w:line="240" w:lineRule="atLeast"/>
        <w:ind w:right="1134" w:firstLine="0"/>
        <w:textAlignment w:val="auto"/>
        <w:rPr>
          <w:lang w:eastAsia="en-GB"/>
        </w:rPr>
      </w:pPr>
      <w:r w:rsidRPr="00BB776D">
        <w:rPr>
          <w:lang w:eastAsia="en-GB"/>
        </w:rPr>
        <w:t>1.</w:t>
      </w:r>
      <w:r w:rsidRPr="00BB776D">
        <w:rPr>
          <w:lang w:eastAsia="en-GB"/>
        </w:rPr>
        <w:tab/>
      </w:r>
      <w:r w:rsidR="00F42407" w:rsidRPr="00BB776D">
        <w:rPr>
          <w:lang w:eastAsia="en-GB"/>
        </w:rPr>
        <w:t xml:space="preserve">Das Sekretariat der ZKR </w:t>
      </w:r>
      <w:r w:rsidRPr="00BB776D">
        <w:rPr>
          <w:lang w:eastAsia="en-GB"/>
        </w:rPr>
        <w:t xml:space="preserve">möchte </w:t>
      </w:r>
      <w:r w:rsidR="00F42407" w:rsidRPr="00BB776D">
        <w:rPr>
          <w:lang w:eastAsia="en-GB"/>
        </w:rPr>
        <w:t>den</w:t>
      </w:r>
      <w:r w:rsidRPr="00BB776D">
        <w:rPr>
          <w:lang w:eastAsia="en-GB"/>
        </w:rPr>
        <w:t xml:space="preserve"> ADN</w:t>
      </w:r>
      <w:r w:rsidR="00F42407" w:rsidRPr="00BB776D">
        <w:rPr>
          <w:lang w:eastAsia="en-GB"/>
        </w:rPr>
        <w:t xml:space="preserve"> </w:t>
      </w:r>
      <w:r w:rsidRPr="00BB776D">
        <w:rPr>
          <w:lang w:eastAsia="en-GB"/>
        </w:rPr>
        <w:t>Sicherheits</w:t>
      </w:r>
      <w:r w:rsidR="00F42407" w:rsidRPr="00BB776D">
        <w:rPr>
          <w:lang w:eastAsia="en-GB"/>
        </w:rPr>
        <w:t>ausschuss</w:t>
      </w:r>
      <w:r w:rsidRPr="00BB776D">
        <w:rPr>
          <w:lang w:eastAsia="en-GB"/>
        </w:rPr>
        <w:t xml:space="preserve"> auf </w:t>
      </w:r>
      <w:r w:rsidR="000B53FD">
        <w:rPr>
          <w:lang w:eastAsia="en-GB"/>
        </w:rPr>
        <w:t>die unterschiedlichen Arten der Verweise auf d</w:t>
      </w:r>
      <w:r w:rsidR="005A65FE">
        <w:rPr>
          <w:lang w:eastAsia="en-GB"/>
        </w:rPr>
        <w:t>en</w:t>
      </w:r>
      <w:r w:rsidR="000B53FD">
        <w:rPr>
          <w:lang w:eastAsia="en-GB"/>
        </w:rPr>
        <w:t xml:space="preserve"> CEVNI im ADN hinweisen u</w:t>
      </w:r>
      <w:r w:rsidR="00006435">
        <w:rPr>
          <w:lang w:eastAsia="en-GB"/>
        </w:rPr>
        <w:t xml:space="preserve">nd </w:t>
      </w:r>
      <w:r w:rsidR="001D6EC2">
        <w:rPr>
          <w:lang w:eastAsia="en-GB"/>
        </w:rPr>
        <w:t>vorschlagen</w:t>
      </w:r>
      <w:r w:rsidR="00006435">
        <w:rPr>
          <w:lang w:eastAsia="en-GB"/>
        </w:rPr>
        <w:t>, diese zu H</w:t>
      </w:r>
      <w:r w:rsidR="000B53FD">
        <w:rPr>
          <w:lang w:eastAsia="en-GB"/>
        </w:rPr>
        <w:t>armonisieren</w:t>
      </w:r>
      <w:r w:rsidR="00A503B5">
        <w:rPr>
          <w:lang w:eastAsia="en-GB"/>
        </w:rPr>
        <w:t xml:space="preserve"> und dabei den rechtlichen Charakter des CEVNI entsprechend zu würdigen</w:t>
      </w:r>
      <w:r w:rsidR="000B53FD">
        <w:rPr>
          <w:lang w:eastAsia="en-GB"/>
        </w:rPr>
        <w:t>.</w:t>
      </w:r>
    </w:p>
    <w:p w14:paraId="724FF1A9" w14:textId="77777777" w:rsidR="00130FAA" w:rsidRPr="00BB776D" w:rsidRDefault="00130FAA" w:rsidP="00697F7B">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GB"/>
        </w:rPr>
      </w:pPr>
      <w:r w:rsidRPr="00BB776D">
        <w:rPr>
          <w:b/>
          <w:sz w:val="28"/>
          <w:lang w:eastAsia="en-GB"/>
        </w:rPr>
        <w:tab/>
        <w:t>II.</w:t>
      </w:r>
      <w:r w:rsidRPr="00BB776D">
        <w:rPr>
          <w:b/>
          <w:sz w:val="28"/>
          <w:lang w:eastAsia="en-GB"/>
        </w:rPr>
        <w:tab/>
      </w:r>
      <w:r w:rsidR="00DF3A4A" w:rsidRPr="00BB776D">
        <w:rPr>
          <w:b/>
          <w:sz w:val="28"/>
          <w:lang w:eastAsia="en-GB"/>
        </w:rPr>
        <w:t>Hintergrund</w:t>
      </w:r>
    </w:p>
    <w:p w14:paraId="0CAD5D2E" w14:textId="5DEB6F2E" w:rsidR="00C41906" w:rsidRDefault="005A65FE" w:rsidP="00D66731">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2</w:t>
      </w:r>
      <w:r w:rsidR="000B53FD">
        <w:rPr>
          <w:lang w:eastAsia="en-US"/>
        </w:rPr>
        <w:t>.</w:t>
      </w:r>
      <w:r w:rsidR="000B53FD">
        <w:rPr>
          <w:lang w:eastAsia="en-US"/>
        </w:rPr>
        <w:tab/>
      </w:r>
      <w:r w:rsidR="00467A4B">
        <w:rPr>
          <w:lang w:eastAsia="en-US"/>
        </w:rPr>
        <w:t>Da</w:t>
      </w:r>
      <w:r>
        <w:rPr>
          <w:lang w:eastAsia="en-US"/>
        </w:rPr>
        <w:t>s ADN enthält an 9 Stellen Verweise auf den CEVNI</w:t>
      </w:r>
      <w:r w:rsidR="00182428">
        <w:rPr>
          <w:lang w:eastAsia="en-US"/>
        </w:rPr>
        <w:t xml:space="preserve"> (siehe hierzu auch Anlage 1)</w:t>
      </w:r>
      <w:r>
        <w:rPr>
          <w:lang w:eastAsia="en-US"/>
        </w:rPr>
        <w:t>.</w:t>
      </w:r>
      <w:r w:rsidR="00467A4B">
        <w:rPr>
          <w:lang w:eastAsia="en-US"/>
        </w:rPr>
        <w:t xml:space="preserve"> </w:t>
      </w:r>
      <w:r>
        <w:rPr>
          <w:lang w:eastAsia="en-US"/>
        </w:rPr>
        <w:t xml:space="preserve">Das ZKR Sekretariat ist der Auffassung, dass es erforderlich ist, diese Verweise im Einzelnen inhaltlich zu prüfen und ggf. </w:t>
      </w:r>
      <w:r w:rsidR="00C350C3">
        <w:rPr>
          <w:lang w:eastAsia="en-US"/>
        </w:rPr>
        <w:t>anzupassen,</w:t>
      </w:r>
      <w:r>
        <w:rPr>
          <w:lang w:eastAsia="en-US"/>
        </w:rPr>
        <w:t xml:space="preserve"> um </w:t>
      </w:r>
      <w:r w:rsidR="00467A4B">
        <w:rPr>
          <w:lang w:eastAsia="en-US"/>
        </w:rPr>
        <w:t>rechtliche Widerspr</w:t>
      </w:r>
      <w:r>
        <w:rPr>
          <w:lang w:eastAsia="en-US"/>
        </w:rPr>
        <w:t>ü</w:t>
      </w:r>
      <w:r w:rsidR="00467A4B">
        <w:rPr>
          <w:lang w:eastAsia="en-US"/>
        </w:rPr>
        <w:t>ch</w:t>
      </w:r>
      <w:r>
        <w:rPr>
          <w:lang w:eastAsia="en-US"/>
        </w:rPr>
        <w:t xml:space="preserve">e </w:t>
      </w:r>
      <w:r w:rsidR="00006435">
        <w:rPr>
          <w:lang w:eastAsia="en-US"/>
        </w:rPr>
        <w:t xml:space="preserve">zwischen dem CEVNI und den </w:t>
      </w:r>
      <w:r w:rsidR="00006435" w:rsidRPr="00B131C5">
        <w:rPr>
          <w:lang w:eastAsia="en-US"/>
        </w:rPr>
        <w:t>Polizeivorschriften</w:t>
      </w:r>
      <w:r w:rsidR="00006435">
        <w:rPr>
          <w:lang w:eastAsia="en-US"/>
        </w:rPr>
        <w:t xml:space="preserve"> </w:t>
      </w:r>
      <w:r>
        <w:rPr>
          <w:lang w:eastAsia="en-US"/>
        </w:rPr>
        <w:t>zu vermeiden</w:t>
      </w:r>
      <w:r w:rsidR="00467A4B">
        <w:rPr>
          <w:lang w:eastAsia="en-US"/>
        </w:rPr>
        <w:t xml:space="preserve">. </w:t>
      </w:r>
    </w:p>
    <w:p w14:paraId="1F5FA626" w14:textId="2050F05B" w:rsidR="00467A4B" w:rsidRDefault="007E13BB" w:rsidP="00D66731">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3</w:t>
      </w:r>
      <w:r w:rsidR="00467A4B">
        <w:rPr>
          <w:lang w:eastAsia="en-US"/>
        </w:rPr>
        <w:t>.</w:t>
      </w:r>
      <w:r w:rsidR="00467A4B">
        <w:rPr>
          <w:lang w:eastAsia="en-US"/>
        </w:rPr>
        <w:tab/>
      </w:r>
      <w:r w:rsidR="005A65FE">
        <w:rPr>
          <w:lang w:eastAsia="en-US"/>
        </w:rPr>
        <w:t xml:space="preserve">Das ZKR Sekretariat hat </w:t>
      </w:r>
      <w:r w:rsidR="00467A4B">
        <w:rPr>
          <w:lang w:eastAsia="en-US"/>
        </w:rPr>
        <w:t xml:space="preserve">diese </w:t>
      </w:r>
      <w:r w:rsidR="005A65FE">
        <w:rPr>
          <w:lang w:eastAsia="en-US"/>
        </w:rPr>
        <w:t>Prüfung</w:t>
      </w:r>
      <w:r w:rsidR="001D6EC2">
        <w:rPr>
          <w:lang w:eastAsia="en-US"/>
        </w:rPr>
        <w:t xml:space="preserve"> durchgeführt und dabei</w:t>
      </w:r>
      <w:r w:rsidR="00467A4B">
        <w:rPr>
          <w:lang w:eastAsia="en-US"/>
        </w:rPr>
        <w:t xml:space="preserve"> </w:t>
      </w:r>
      <w:r w:rsidR="005A65FE">
        <w:rPr>
          <w:lang w:eastAsia="en-US"/>
        </w:rPr>
        <w:t>besonders berücksichtigt</w:t>
      </w:r>
      <w:r w:rsidR="00467A4B">
        <w:rPr>
          <w:lang w:eastAsia="en-US"/>
        </w:rPr>
        <w:t xml:space="preserve">, dass es sich beim </w:t>
      </w:r>
      <w:r w:rsidR="00467A4B" w:rsidRPr="00467A4B">
        <w:rPr>
          <w:lang w:eastAsia="en-US"/>
        </w:rPr>
        <w:t xml:space="preserve">CEVNI </w:t>
      </w:r>
      <w:r w:rsidR="00467A4B">
        <w:rPr>
          <w:lang w:eastAsia="en-US"/>
        </w:rPr>
        <w:t xml:space="preserve">um </w:t>
      </w:r>
      <w:r w:rsidR="00467A4B" w:rsidRPr="00467A4B">
        <w:rPr>
          <w:lang w:eastAsia="en-US"/>
        </w:rPr>
        <w:t>kein</w:t>
      </w:r>
      <w:r w:rsidR="00467A4B">
        <w:rPr>
          <w:lang w:eastAsia="en-US"/>
        </w:rPr>
        <w:t>en</w:t>
      </w:r>
      <w:r w:rsidR="00467A4B" w:rsidRPr="00467A4B">
        <w:rPr>
          <w:lang w:eastAsia="en-US"/>
        </w:rPr>
        <w:t xml:space="preserve"> internationale</w:t>
      </w:r>
      <w:r w:rsidR="001D6EC2">
        <w:rPr>
          <w:lang w:eastAsia="en-US"/>
        </w:rPr>
        <w:t>n</w:t>
      </w:r>
      <w:r w:rsidR="00467A4B" w:rsidRPr="00467A4B">
        <w:rPr>
          <w:lang w:eastAsia="en-US"/>
        </w:rPr>
        <w:t xml:space="preserve"> Vertrag sowie keine aus einem internationalen Vertrag resultierende Verordnung </w:t>
      </w:r>
      <w:r w:rsidR="00467A4B">
        <w:rPr>
          <w:lang w:eastAsia="en-US"/>
        </w:rPr>
        <w:t>handelt</w:t>
      </w:r>
      <w:r w:rsidR="00467A4B" w:rsidRPr="00467A4B">
        <w:rPr>
          <w:lang w:eastAsia="en-US"/>
        </w:rPr>
        <w:t xml:space="preserve">. </w:t>
      </w:r>
      <w:r w:rsidR="005A65FE">
        <w:rPr>
          <w:lang w:eastAsia="en-US"/>
        </w:rPr>
        <w:t>Stattdessen</w:t>
      </w:r>
      <w:r w:rsidR="00467A4B" w:rsidRPr="00467A4B">
        <w:rPr>
          <w:lang w:eastAsia="en-US"/>
        </w:rPr>
        <w:t xml:space="preserve"> hande</w:t>
      </w:r>
      <w:r w:rsidR="00467A4B">
        <w:rPr>
          <w:lang w:eastAsia="en-US"/>
        </w:rPr>
        <w:t>lt</w:t>
      </w:r>
      <w:r w:rsidR="00467A4B" w:rsidRPr="00467A4B">
        <w:rPr>
          <w:lang w:eastAsia="en-US"/>
        </w:rPr>
        <w:t xml:space="preserve"> </w:t>
      </w:r>
      <w:r w:rsidR="005A65FE">
        <w:rPr>
          <w:lang w:eastAsia="en-US"/>
        </w:rPr>
        <w:t xml:space="preserve">es </w:t>
      </w:r>
      <w:r w:rsidR="00467A4B" w:rsidRPr="00467A4B">
        <w:rPr>
          <w:lang w:eastAsia="en-US"/>
        </w:rPr>
        <w:t xml:space="preserve">sich </w:t>
      </w:r>
      <w:r w:rsidR="005A65FE">
        <w:rPr>
          <w:lang w:eastAsia="en-US"/>
        </w:rPr>
        <w:t>beim CEVNI</w:t>
      </w:r>
      <w:r w:rsidR="00467A4B" w:rsidRPr="00467A4B">
        <w:rPr>
          <w:lang w:eastAsia="en-US"/>
        </w:rPr>
        <w:t xml:space="preserve"> um einen unverbindlichen Mustertext für Polizeivorschriften, welcher durch eine UNECE-Resolution den Mitgliedsstaaten empfohlen werde</w:t>
      </w:r>
      <w:r w:rsidR="00467A4B">
        <w:rPr>
          <w:lang w:eastAsia="en-US"/>
        </w:rPr>
        <w:t>.</w:t>
      </w:r>
      <w:r w:rsidR="00467A4B" w:rsidRPr="00467A4B">
        <w:t xml:space="preserve"> </w:t>
      </w:r>
      <w:r w:rsidR="00182428">
        <w:t>So kann d</w:t>
      </w:r>
      <w:r w:rsidR="00467A4B" w:rsidRPr="00467A4B">
        <w:rPr>
          <w:lang w:eastAsia="en-US"/>
        </w:rPr>
        <w:t xml:space="preserve">as CEVNI </w:t>
      </w:r>
      <w:r w:rsidR="00182428">
        <w:rPr>
          <w:lang w:eastAsia="en-US"/>
        </w:rPr>
        <w:t xml:space="preserve">zum Beispiel </w:t>
      </w:r>
      <w:r w:rsidR="00467A4B" w:rsidRPr="00467A4B">
        <w:rPr>
          <w:lang w:eastAsia="en-US"/>
        </w:rPr>
        <w:t xml:space="preserve">nicht zu den „örtlichen, regionalen oder internationalen Vorschriften, die generell für die Güterbeförderung auf Binnenwasserstraßen gelten“ </w:t>
      </w:r>
      <w:r w:rsidR="00182428">
        <w:rPr>
          <w:lang w:eastAsia="en-US"/>
        </w:rPr>
        <w:t xml:space="preserve">(siehe auch Unterabschnitt 1.1.4.6 ADN) </w:t>
      </w:r>
      <w:r w:rsidR="00467A4B" w:rsidRPr="00467A4B">
        <w:rPr>
          <w:lang w:eastAsia="en-US"/>
        </w:rPr>
        <w:t>gezählt werden.</w:t>
      </w:r>
      <w:r w:rsidR="00467A4B">
        <w:rPr>
          <w:lang w:eastAsia="en-US"/>
        </w:rPr>
        <w:t xml:space="preserve"> </w:t>
      </w:r>
    </w:p>
    <w:p w14:paraId="1BD23BE9" w14:textId="65456D3A" w:rsidR="00467A4B" w:rsidRDefault="007E13BB" w:rsidP="00D66731">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4</w:t>
      </w:r>
      <w:r w:rsidR="00467A4B">
        <w:rPr>
          <w:lang w:eastAsia="en-US"/>
        </w:rPr>
        <w:t>.</w:t>
      </w:r>
      <w:r w:rsidR="00467A4B">
        <w:rPr>
          <w:lang w:eastAsia="en-US"/>
        </w:rPr>
        <w:tab/>
      </w:r>
      <w:r w:rsidR="00AE0C2F">
        <w:rPr>
          <w:lang w:eastAsia="en-US"/>
        </w:rPr>
        <w:t>Der rechtliche Status eines Mustertextes m</w:t>
      </w:r>
      <w:r w:rsidR="00A503B5">
        <w:rPr>
          <w:lang w:eastAsia="en-US"/>
        </w:rPr>
        <w:t>uss</w:t>
      </w:r>
      <w:r w:rsidR="00AE0C2F">
        <w:rPr>
          <w:lang w:eastAsia="en-US"/>
        </w:rPr>
        <w:t xml:space="preserve"> daher bei einem Verweis im ADN berücksichtigt werden. Eine Verwendung wie zum Beispiel in Absatz 7.1.5.0.1 ist </w:t>
      </w:r>
      <w:r w:rsidR="00A503B5">
        <w:rPr>
          <w:lang w:eastAsia="en-US"/>
        </w:rPr>
        <w:t>formal</w:t>
      </w:r>
      <w:r w:rsidR="00AE0C2F">
        <w:rPr>
          <w:lang w:eastAsia="en-US"/>
        </w:rPr>
        <w:t xml:space="preserve">rechtlich </w:t>
      </w:r>
      <w:r w:rsidR="00A503B5">
        <w:rPr>
          <w:lang w:eastAsia="en-US"/>
        </w:rPr>
        <w:t xml:space="preserve">nicht </w:t>
      </w:r>
      <w:r w:rsidR="00AE0C2F">
        <w:rPr>
          <w:lang w:eastAsia="en-US"/>
        </w:rPr>
        <w:t>korrekt, da sich aus dem CEVNI selbst keine Verpflichtungen ergeben, sondern lediglich aus den jeweiligen Polizeiverordnungen.</w:t>
      </w:r>
    </w:p>
    <w:p w14:paraId="3E7B845C" w14:textId="77777777" w:rsidR="00A603E2" w:rsidRDefault="00A603E2">
      <w:pPr>
        <w:widowControl/>
        <w:overflowPunct/>
        <w:autoSpaceDE/>
        <w:autoSpaceDN/>
        <w:adjustRightInd/>
        <w:ind w:left="0" w:firstLine="0"/>
        <w:jc w:val="left"/>
        <w:textAlignment w:val="auto"/>
        <w:rPr>
          <w:lang w:eastAsia="en-US"/>
        </w:rPr>
      </w:pPr>
      <w:r>
        <w:rPr>
          <w:lang w:eastAsia="en-US"/>
        </w:rPr>
        <w:br w:type="page"/>
      </w:r>
    </w:p>
    <w:p w14:paraId="76DBB6B3" w14:textId="7F8F7B56" w:rsidR="00AE0C2F" w:rsidRPr="00AE0C2F" w:rsidRDefault="00183978" w:rsidP="00AE0C2F">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lastRenderedPageBreak/>
        <w:t>„</w:t>
      </w:r>
      <w:r w:rsidR="00AE0C2F" w:rsidRPr="00AE0C2F">
        <w:rPr>
          <w:lang w:eastAsia="en-US"/>
        </w:rPr>
        <w:t>7.1.5.0.1</w:t>
      </w:r>
    </w:p>
    <w:p w14:paraId="65FCECBB" w14:textId="50E3D876" w:rsidR="00AE0C2F" w:rsidRDefault="00AE0C2F" w:rsidP="00AE0C2F">
      <w:pPr>
        <w:widowControl/>
        <w:tabs>
          <w:tab w:val="left" w:pos="1701"/>
        </w:tabs>
        <w:suppressAutoHyphens/>
        <w:overflowPunct/>
        <w:autoSpaceDE/>
        <w:autoSpaceDN/>
        <w:adjustRightInd/>
        <w:spacing w:after="120" w:line="240" w:lineRule="atLeast"/>
        <w:ind w:right="1134" w:firstLine="0"/>
        <w:textAlignment w:val="auto"/>
        <w:rPr>
          <w:lang w:eastAsia="en-US"/>
        </w:rPr>
      </w:pPr>
      <w:r w:rsidRPr="00AE0C2F">
        <w:rPr>
          <w:lang w:eastAsia="en-US"/>
        </w:rPr>
        <w:t>Schiffe, welche die in Kapitel 3.2 Tabelle A aufgeführten gefährlichen Güter befördern, müssen die in der Spalte (12) dieser Tabelle angegebene Bezeichnung gemäß Kapitel 3 des CEVNI führen.</w:t>
      </w:r>
      <w:r w:rsidR="00183978">
        <w:rPr>
          <w:lang w:eastAsia="en-US"/>
        </w:rPr>
        <w:t>“</w:t>
      </w:r>
      <w:r w:rsidR="00F92014">
        <w:rPr>
          <w:lang w:eastAsia="en-US"/>
        </w:rPr>
        <w:t>.</w:t>
      </w:r>
    </w:p>
    <w:p w14:paraId="3543CBF2" w14:textId="65C04386" w:rsidR="00467A4B" w:rsidRDefault="007E13BB" w:rsidP="00D66731">
      <w:pPr>
        <w:widowControl/>
        <w:tabs>
          <w:tab w:val="left" w:pos="1701"/>
        </w:tabs>
        <w:suppressAutoHyphens/>
        <w:overflowPunct/>
        <w:autoSpaceDE/>
        <w:autoSpaceDN/>
        <w:adjustRightInd/>
        <w:spacing w:after="120" w:line="240" w:lineRule="atLeast"/>
        <w:ind w:right="1134" w:firstLine="0"/>
        <w:textAlignment w:val="auto"/>
        <w:rPr>
          <w:lang w:eastAsia="en-GB"/>
        </w:rPr>
      </w:pPr>
      <w:r w:rsidRPr="00997F07">
        <w:rPr>
          <w:lang w:eastAsia="en-US"/>
        </w:rPr>
        <w:t>5</w:t>
      </w:r>
      <w:r w:rsidR="001D6EC2" w:rsidRPr="00997F07">
        <w:rPr>
          <w:lang w:eastAsia="en-US"/>
        </w:rPr>
        <w:t>.</w:t>
      </w:r>
      <w:r w:rsidR="001D6EC2" w:rsidRPr="00997F07">
        <w:rPr>
          <w:lang w:eastAsia="en-US"/>
        </w:rPr>
        <w:tab/>
      </w:r>
      <w:r w:rsidR="00A315D2" w:rsidRPr="00997F07">
        <w:rPr>
          <w:lang w:eastAsia="en-US"/>
        </w:rPr>
        <w:t>Zur Vermeidung von Wiedersprüchen zwischen den örtlichen, regionalen oder internationalen Vorschriften, wie zum Beispiel de</w:t>
      </w:r>
      <w:r w:rsidR="00CD4D0F" w:rsidRPr="00997F07">
        <w:rPr>
          <w:lang w:eastAsia="en-US"/>
        </w:rPr>
        <w:t>n</w:t>
      </w:r>
      <w:r w:rsidR="00A315D2" w:rsidRPr="00997F07">
        <w:rPr>
          <w:lang w:eastAsia="en-US"/>
        </w:rPr>
        <w:t xml:space="preserve"> Polizeiverordnungen, </w:t>
      </w:r>
      <w:r w:rsidR="00A32928" w:rsidRPr="00997F07">
        <w:rPr>
          <w:lang w:eastAsia="en-US"/>
        </w:rPr>
        <w:t>und</w:t>
      </w:r>
      <w:r w:rsidR="00A315D2" w:rsidRPr="00997F07">
        <w:rPr>
          <w:lang w:eastAsia="en-US"/>
        </w:rPr>
        <w:t xml:space="preserve"> dem CEVNI sollte daher g</w:t>
      </w:r>
      <w:r w:rsidR="001D6EC2" w:rsidRPr="00997F07">
        <w:rPr>
          <w:lang w:eastAsia="en-US"/>
        </w:rPr>
        <w:t xml:space="preserve">rundsätzlich </w:t>
      </w:r>
      <w:r w:rsidR="00A32928" w:rsidRPr="00997F07">
        <w:rPr>
          <w:lang w:eastAsia="en-US"/>
        </w:rPr>
        <w:t xml:space="preserve">zuerst </w:t>
      </w:r>
      <w:r w:rsidR="00C350C3" w:rsidRPr="00997F07">
        <w:rPr>
          <w:lang w:eastAsia="en-US"/>
        </w:rPr>
        <w:t xml:space="preserve">auf </w:t>
      </w:r>
      <w:r w:rsidR="001D6EC2" w:rsidRPr="00997F07">
        <w:rPr>
          <w:lang w:eastAsia="en-US"/>
        </w:rPr>
        <w:t xml:space="preserve">die örtlichen, regionalen oder internationalen </w:t>
      </w:r>
      <w:r w:rsidR="00A32928" w:rsidRPr="00997F07">
        <w:rPr>
          <w:lang w:eastAsia="en-US"/>
        </w:rPr>
        <w:t xml:space="preserve">geltenden </w:t>
      </w:r>
      <w:r w:rsidR="001D6EC2" w:rsidRPr="00997F07">
        <w:rPr>
          <w:lang w:eastAsia="en-US"/>
        </w:rPr>
        <w:t xml:space="preserve">Vorschriften </w:t>
      </w:r>
      <w:r w:rsidR="00C350C3" w:rsidRPr="00997F07">
        <w:rPr>
          <w:lang w:eastAsia="en-US"/>
        </w:rPr>
        <w:t>verwiesen werden</w:t>
      </w:r>
      <w:r w:rsidR="001D6EC2" w:rsidRPr="00997F07">
        <w:rPr>
          <w:lang w:eastAsia="en-US"/>
        </w:rPr>
        <w:t xml:space="preserve">. Falls </w:t>
      </w:r>
      <w:r w:rsidR="00A32928" w:rsidRPr="00997F07">
        <w:rPr>
          <w:lang w:eastAsia="en-US"/>
        </w:rPr>
        <w:t>keine</w:t>
      </w:r>
      <w:r w:rsidR="00A32928" w:rsidRPr="00997F07">
        <w:t xml:space="preserve"> </w:t>
      </w:r>
      <w:r w:rsidR="00A32928" w:rsidRPr="00997F07">
        <w:rPr>
          <w:lang w:eastAsia="en-US"/>
        </w:rPr>
        <w:t>örtlichen, regionalen oder internationalen Vorschriften</w:t>
      </w:r>
      <w:r w:rsidR="001D6EC2" w:rsidRPr="00997F07">
        <w:rPr>
          <w:lang w:eastAsia="en-US"/>
        </w:rPr>
        <w:t xml:space="preserve"> </w:t>
      </w:r>
      <w:r w:rsidR="00997F07">
        <w:rPr>
          <w:lang w:eastAsia="en-US"/>
        </w:rPr>
        <w:t>anwendbar</w:t>
      </w:r>
      <w:r w:rsidR="00A32928" w:rsidRPr="00997F07">
        <w:rPr>
          <w:lang w:eastAsia="en-US"/>
        </w:rPr>
        <w:t xml:space="preserve"> sind</w:t>
      </w:r>
      <w:r w:rsidR="001D6EC2" w:rsidRPr="00997F07">
        <w:rPr>
          <w:lang w:eastAsia="en-US"/>
        </w:rPr>
        <w:t>, k</w:t>
      </w:r>
      <w:r w:rsidR="00C350C3" w:rsidRPr="00997F07">
        <w:rPr>
          <w:lang w:eastAsia="en-US"/>
        </w:rPr>
        <w:t>önnen die entsprechenden Regelungen</w:t>
      </w:r>
      <w:r w:rsidR="001D6EC2" w:rsidRPr="00997F07">
        <w:rPr>
          <w:lang w:eastAsia="en-US"/>
        </w:rPr>
        <w:t xml:space="preserve"> </w:t>
      </w:r>
      <w:r w:rsidR="00C350C3" w:rsidRPr="00997F07">
        <w:rPr>
          <w:lang w:eastAsia="en-US"/>
        </w:rPr>
        <w:t>des</w:t>
      </w:r>
      <w:r w:rsidR="001D6EC2" w:rsidRPr="00997F07">
        <w:rPr>
          <w:lang w:eastAsia="en-US"/>
        </w:rPr>
        <w:t xml:space="preserve"> CEVNI </w:t>
      </w:r>
      <w:r w:rsidR="00A32928" w:rsidRPr="00997F07">
        <w:rPr>
          <w:lang w:eastAsia="en-US"/>
        </w:rPr>
        <w:t>hilfsweise an d</w:t>
      </w:r>
      <w:r w:rsidR="00650640" w:rsidRPr="00997F07">
        <w:rPr>
          <w:lang w:eastAsia="en-US"/>
        </w:rPr>
        <w:t>eren</w:t>
      </w:r>
      <w:r w:rsidR="00A32928" w:rsidRPr="00997F07">
        <w:rPr>
          <w:lang w:eastAsia="en-US"/>
        </w:rPr>
        <w:t xml:space="preserve"> Stelle treten</w:t>
      </w:r>
      <w:r w:rsidR="001D6EC2" w:rsidRPr="00997F07">
        <w:rPr>
          <w:lang w:eastAsia="en-US"/>
        </w:rPr>
        <w:t>.</w:t>
      </w:r>
    </w:p>
    <w:p w14:paraId="209E13A1" w14:textId="35B4547C" w:rsidR="00130FAA" w:rsidRPr="002B61F9" w:rsidRDefault="002B61F9" w:rsidP="002B61F9">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GB"/>
        </w:rPr>
      </w:pPr>
      <w:r>
        <w:rPr>
          <w:b/>
          <w:sz w:val="28"/>
          <w:lang w:eastAsia="en-GB"/>
        </w:rPr>
        <w:tab/>
      </w:r>
      <w:r w:rsidRPr="002B61F9">
        <w:rPr>
          <w:b/>
          <w:sz w:val="28"/>
          <w:lang w:eastAsia="en-GB"/>
        </w:rPr>
        <w:t>III.</w:t>
      </w:r>
      <w:r w:rsidRPr="002B61F9">
        <w:rPr>
          <w:b/>
          <w:sz w:val="28"/>
          <w:lang w:eastAsia="en-GB"/>
        </w:rPr>
        <w:tab/>
      </w:r>
      <w:r w:rsidR="00130FAA" w:rsidRPr="002B61F9">
        <w:rPr>
          <w:b/>
          <w:sz w:val="28"/>
          <w:lang w:eastAsia="en-GB"/>
        </w:rPr>
        <w:t>Vorschläge</w:t>
      </w:r>
    </w:p>
    <w:p w14:paraId="1AA39E2D" w14:textId="043B2368" w:rsidR="00A503B5" w:rsidRDefault="007E13BB" w:rsidP="00697F7B">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6</w:t>
      </w:r>
      <w:r w:rsidR="00130FAA" w:rsidRPr="00BB776D">
        <w:rPr>
          <w:lang w:eastAsia="en-US"/>
        </w:rPr>
        <w:t>.</w:t>
      </w:r>
      <w:r w:rsidR="00130FAA" w:rsidRPr="00BB776D">
        <w:rPr>
          <w:lang w:eastAsia="en-US"/>
        </w:rPr>
        <w:tab/>
      </w:r>
      <w:r w:rsidR="00A503B5">
        <w:rPr>
          <w:lang w:eastAsia="en-US"/>
        </w:rPr>
        <w:t>Das ZKR Sekretariat schlägt daher folgende Änderungen vor (Siehe hierzu auch Anlage 1)</w:t>
      </w:r>
      <w:r w:rsidR="00A06A74" w:rsidRPr="00997F07">
        <w:rPr>
          <w:lang w:eastAsia="en-US"/>
        </w:rPr>
        <w:t>.</w:t>
      </w:r>
    </w:p>
    <w:p w14:paraId="6B63D004" w14:textId="7F004954" w:rsidR="00130FAA" w:rsidRPr="00BB776D" w:rsidRDefault="007E13BB" w:rsidP="00697F7B">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7</w:t>
      </w:r>
      <w:r w:rsidR="00A503B5">
        <w:rPr>
          <w:lang w:eastAsia="en-US"/>
        </w:rPr>
        <w:t>.</w:t>
      </w:r>
      <w:r w:rsidR="006A0ADF">
        <w:rPr>
          <w:lang w:eastAsia="en-US"/>
        </w:rPr>
        <w:tab/>
        <w:t>Der ADN Sicherheitsausschuss wird gebeten, diese Vorschläge bei seiner nächsten Sitzung zu Beraten.</w:t>
      </w:r>
    </w:p>
    <w:p w14:paraId="7782B4CC" w14:textId="77777777" w:rsidR="002B61F9" w:rsidRDefault="002B61F9">
      <w:pPr>
        <w:widowControl/>
        <w:overflowPunct/>
        <w:autoSpaceDE/>
        <w:autoSpaceDN/>
        <w:adjustRightInd/>
        <w:ind w:left="0" w:firstLine="0"/>
        <w:jc w:val="left"/>
        <w:textAlignment w:val="auto"/>
      </w:pPr>
      <w:r>
        <w:br w:type="page"/>
      </w:r>
    </w:p>
    <w:p w14:paraId="37A02166" w14:textId="5B2C3EC8" w:rsidR="00471ED0" w:rsidRPr="00A603E2" w:rsidRDefault="00471ED0" w:rsidP="00A603E2">
      <w:pPr>
        <w:widowControl/>
        <w:overflowPunct/>
        <w:autoSpaceDE/>
        <w:autoSpaceDN/>
        <w:adjustRightInd/>
        <w:spacing w:line="276" w:lineRule="auto"/>
        <w:ind w:left="0" w:firstLine="0"/>
        <w:jc w:val="left"/>
        <w:textAlignment w:val="auto"/>
        <w:rPr>
          <w:rFonts w:eastAsia="Calibri"/>
          <w:b/>
          <w:sz w:val="24"/>
          <w:szCs w:val="24"/>
        </w:rPr>
      </w:pPr>
      <w:r w:rsidRPr="00A603E2">
        <w:rPr>
          <w:rFonts w:eastAsia="Calibri"/>
          <w:b/>
          <w:sz w:val="24"/>
          <w:szCs w:val="24"/>
        </w:rPr>
        <w:lastRenderedPageBreak/>
        <w:t>Anlage</w:t>
      </w:r>
      <w:r w:rsidRPr="00A603E2">
        <w:rPr>
          <w:rFonts w:eastAsia="Calibri"/>
          <w:b/>
          <w:sz w:val="24"/>
          <w:szCs w:val="24"/>
          <w:lang w:eastAsia="en-US"/>
        </w:rPr>
        <w:t xml:space="preserve"> 1</w:t>
      </w:r>
    </w:p>
    <w:p w14:paraId="5A50A449" w14:textId="77777777" w:rsidR="00471ED0" w:rsidRPr="002A27EC" w:rsidRDefault="00471ED0" w:rsidP="002A27EC">
      <w:pPr>
        <w:widowControl/>
        <w:overflowPunct/>
        <w:autoSpaceDE/>
        <w:autoSpaceDN/>
        <w:adjustRightInd/>
        <w:spacing w:line="276" w:lineRule="auto"/>
        <w:ind w:left="0" w:firstLine="0"/>
        <w:jc w:val="right"/>
        <w:textAlignment w:val="auto"/>
        <w:rPr>
          <w:rFonts w:eastAsia="Calibri"/>
        </w:rPr>
      </w:pPr>
    </w:p>
    <w:p w14:paraId="6D69C805" w14:textId="491CF96F" w:rsidR="002B61F9" w:rsidRDefault="002B61F9" w:rsidP="00471ED0">
      <w:pPr>
        <w:widowControl/>
        <w:overflowPunct/>
        <w:autoSpaceDE/>
        <w:autoSpaceDN/>
        <w:adjustRightInd/>
        <w:spacing w:line="276" w:lineRule="auto"/>
        <w:ind w:left="0" w:firstLine="0"/>
        <w:jc w:val="center"/>
        <w:textAlignment w:val="auto"/>
        <w:rPr>
          <w:rFonts w:eastAsia="Calibri"/>
          <w:b/>
          <w:sz w:val="24"/>
          <w:szCs w:val="24"/>
        </w:rPr>
      </w:pPr>
      <w:r w:rsidRPr="00F92014">
        <w:rPr>
          <w:rFonts w:eastAsia="Calibri"/>
          <w:b/>
          <w:sz w:val="24"/>
          <w:szCs w:val="24"/>
        </w:rPr>
        <w:t>Fundstellen im ADN</w:t>
      </w:r>
      <w:r w:rsidR="00A503B5" w:rsidRPr="00F92014">
        <w:rPr>
          <w:rFonts w:eastAsia="Calibri"/>
          <w:b/>
          <w:sz w:val="24"/>
          <w:szCs w:val="24"/>
        </w:rPr>
        <w:t xml:space="preserve"> und Änderungsvorschläge</w:t>
      </w:r>
    </w:p>
    <w:p w14:paraId="5D074D24" w14:textId="77777777" w:rsidR="003F102A" w:rsidRPr="00F92014" w:rsidRDefault="003F102A" w:rsidP="00471ED0">
      <w:pPr>
        <w:widowControl/>
        <w:overflowPunct/>
        <w:autoSpaceDE/>
        <w:autoSpaceDN/>
        <w:adjustRightInd/>
        <w:spacing w:line="276" w:lineRule="auto"/>
        <w:ind w:left="0" w:firstLine="0"/>
        <w:jc w:val="center"/>
        <w:textAlignment w:val="auto"/>
        <w:rPr>
          <w:rFonts w:eastAsia="Calibri"/>
          <w:b/>
          <w:sz w:val="24"/>
          <w:szCs w:val="24"/>
        </w:rPr>
      </w:pPr>
    </w:p>
    <w:p w14:paraId="0E2B64BA"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31C3DF41" w14:textId="30710EB1" w:rsidR="002B61F9" w:rsidRPr="003F102A" w:rsidRDefault="002B61F9" w:rsidP="002B61F9">
      <w:pPr>
        <w:widowControl/>
        <w:overflowPunct/>
        <w:autoSpaceDE/>
        <w:autoSpaceDN/>
        <w:adjustRightInd/>
        <w:spacing w:line="276" w:lineRule="auto"/>
        <w:ind w:left="0" w:firstLine="0"/>
        <w:textAlignment w:val="auto"/>
        <w:rPr>
          <w:rFonts w:eastAsia="Calibri"/>
          <w:b/>
          <w:u w:val="single"/>
        </w:rPr>
      </w:pPr>
      <w:r w:rsidRPr="003F102A">
        <w:rPr>
          <w:rFonts w:eastAsia="Calibri"/>
          <w:b/>
          <w:u w:val="single"/>
        </w:rPr>
        <w:t>Kap</w:t>
      </w:r>
      <w:r w:rsidR="00F92014" w:rsidRPr="003F102A">
        <w:rPr>
          <w:rFonts w:eastAsia="Calibri"/>
          <w:b/>
          <w:u w:val="single"/>
        </w:rPr>
        <w:t>itel</w:t>
      </w:r>
      <w:r w:rsidRPr="003F102A">
        <w:rPr>
          <w:rFonts w:eastAsia="Calibri"/>
          <w:b/>
          <w:u w:val="single"/>
        </w:rPr>
        <w:t xml:space="preserve"> 1.2 Begriffsbestimmungen</w:t>
      </w:r>
    </w:p>
    <w:p w14:paraId="4258967B"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5B91CCAA" w14:textId="77777777" w:rsidR="002B61F9" w:rsidRPr="00447600" w:rsidRDefault="002B61F9" w:rsidP="002B61F9">
      <w:pPr>
        <w:widowControl/>
        <w:overflowPunct/>
        <w:autoSpaceDE/>
        <w:autoSpaceDN/>
        <w:adjustRightInd/>
        <w:spacing w:line="276" w:lineRule="auto"/>
        <w:ind w:left="0" w:firstLine="0"/>
        <w:textAlignment w:val="auto"/>
        <w:rPr>
          <w:rFonts w:eastAsia="Calibri"/>
          <w:lang w:eastAsia="en-US"/>
        </w:rPr>
      </w:pPr>
      <w:r w:rsidRPr="00F92014">
        <w:rPr>
          <w:rFonts w:eastAsia="Calibri"/>
          <w:b/>
          <w:i/>
          <w:lang w:eastAsia="en-US"/>
        </w:rPr>
        <w:t>CEVNI</w:t>
      </w:r>
      <w:r w:rsidRPr="00447600">
        <w:rPr>
          <w:rFonts w:eastAsia="Calibri"/>
          <w:lang w:eastAsia="en-US"/>
        </w:rPr>
        <w:t>: Europäischer Binnenwasserstraßen-Code (Code Européen des Voies de Navigation Intérieure).</w:t>
      </w:r>
    </w:p>
    <w:p w14:paraId="036589C0" w14:textId="77777777" w:rsidR="002B61F9" w:rsidRPr="00447600" w:rsidRDefault="002B61F9" w:rsidP="002B61F9">
      <w:pPr>
        <w:widowControl/>
        <w:overflowPunct/>
        <w:autoSpaceDE/>
        <w:autoSpaceDN/>
        <w:adjustRightInd/>
        <w:spacing w:line="276" w:lineRule="auto"/>
        <w:ind w:left="0" w:firstLine="0"/>
        <w:textAlignment w:val="auto"/>
        <w:rPr>
          <w:rFonts w:eastAsia="Calibri"/>
          <w:lang w:eastAsia="en-US"/>
        </w:rPr>
      </w:pPr>
    </w:p>
    <w:p w14:paraId="6962451E"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r w:rsidRPr="00F92014">
        <w:rPr>
          <w:rFonts w:eastAsia="Calibri"/>
          <w:b/>
          <w:i/>
          <w:lang w:eastAsia="en-US"/>
        </w:rPr>
        <w:t>Schiffsführer</w:t>
      </w:r>
      <w:r w:rsidRPr="00A503B5">
        <w:rPr>
          <w:rFonts w:eastAsia="Calibri"/>
          <w:lang w:eastAsia="en-US"/>
        </w:rPr>
        <w:t>: Eine Person im Sinne des § 1.02 des Europäischen Binnenwasserstraßen-Codes (CEVNI).</w:t>
      </w:r>
    </w:p>
    <w:p w14:paraId="7A027CD7"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4C7C485A" w14:textId="77777777" w:rsidR="002B61F9" w:rsidRPr="003F102A" w:rsidRDefault="002B61F9" w:rsidP="002B61F9">
      <w:pPr>
        <w:widowControl/>
        <w:overflowPunct/>
        <w:autoSpaceDE/>
        <w:autoSpaceDN/>
        <w:adjustRightInd/>
        <w:spacing w:line="276" w:lineRule="auto"/>
        <w:ind w:left="0" w:firstLine="0"/>
        <w:textAlignment w:val="auto"/>
        <w:rPr>
          <w:rFonts w:eastAsia="Calibri"/>
          <w:b/>
          <w:u w:val="single"/>
        </w:rPr>
      </w:pPr>
      <w:r w:rsidRPr="003F102A">
        <w:rPr>
          <w:rFonts w:eastAsia="Calibri"/>
          <w:b/>
          <w:u w:val="single"/>
        </w:rPr>
        <w:t>Kapitel 7.1</w:t>
      </w:r>
    </w:p>
    <w:p w14:paraId="56F09576"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5A24CE2D" w14:textId="342F23D7" w:rsidR="00471ED0" w:rsidRPr="00F92014" w:rsidRDefault="002B61F9" w:rsidP="002B61F9">
      <w:pPr>
        <w:widowControl/>
        <w:overflowPunct/>
        <w:autoSpaceDE/>
        <w:autoSpaceDN/>
        <w:adjustRightInd/>
        <w:spacing w:line="276" w:lineRule="auto"/>
        <w:ind w:left="0" w:firstLine="0"/>
        <w:textAlignment w:val="auto"/>
        <w:rPr>
          <w:rFonts w:eastAsia="Calibri"/>
          <w:b/>
        </w:rPr>
      </w:pPr>
      <w:r w:rsidRPr="00F92014">
        <w:rPr>
          <w:rFonts w:eastAsia="Calibri"/>
          <w:b/>
        </w:rPr>
        <w:t>7.1.5.0.1</w:t>
      </w:r>
    </w:p>
    <w:p w14:paraId="66A2B7DE" w14:textId="30269F54"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 xml:space="preserve">Schiffe, welche die in Kapitel 3.2 Tabelle A aufgeführten gefährlichen Güter befördern, müssen die in der Spalte (12) dieser Tabelle angegebene Bezeichnung gemäß </w:t>
      </w:r>
      <w:r w:rsidR="006A0ADF" w:rsidRPr="006A0ADF">
        <w:rPr>
          <w:rFonts w:eastAsia="Calibri"/>
          <w:u w:val="single"/>
          <w:lang w:eastAsia="en-US"/>
        </w:rPr>
        <w:t xml:space="preserve">den örtlichen, regionalen oder internationalen Polizeivorschiften </w:t>
      </w:r>
      <w:bookmarkStart w:id="1" w:name="_Hlk532911355"/>
      <w:r w:rsidR="00A32928">
        <w:rPr>
          <w:rFonts w:eastAsia="Calibri"/>
          <w:u w:val="single"/>
          <w:lang w:eastAsia="en-US"/>
        </w:rPr>
        <w:t xml:space="preserve">oder </w:t>
      </w:r>
      <w:r w:rsidR="001D6EC2">
        <w:rPr>
          <w:rFonts w:eastAsia="Calibri"/>
          <w:u w:val="single"/>
          <w:lang w:eastAsia="en-US"/>
        </w:rPr>
        <w:t>sofern diese nicht</w:t>
      </w:r>
      <w:r w:rsidR="00AC2316">
        <w:rPr>
          <w:rFonts w:eastAsia="Calibri"/>
          <w:u w:val="single"/>
          <w:lang w:eastAsia="en-US"/>
        </w:rPr>
        <w:t xml:space="preserve"> in anwendbar </w:t>
      </w:r>
      <w:r w:rsidR="00A32928">
        <w:rPr>
          <w:rFonts w:eastAsia="Calibri"/>
          <w:u w:val="single"/>
          <w:lang w:eastAsia="en-US"/>
        </w:rPr>
        <w:t xml:space="preserve">sind </w:t>
      </w:r>
      <w:bookmarkEnd w:id="1"/>
      <w:r w:rsidRPr="00A503B5">
        <w:rPr>
          <w:rFonts w:eastAsia="Calibri"/>
          <w:lang w:eastAsia="en-US"/>
        </w:rPr>
        <w:t>Kapitel 3 des CEVNI führen.</w:t>
      </w:r>
    </w:p>
    <w:p w14:paraId="0B749DFD"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01503B7F" w14:textId="151C0BEC" w:rsidR="00471ED0" w:rsidRDefault="002B61F9" w:rsidP="002B61F9">
      <w:pPr>
        <w:widowControl/>
        <w:overflowPunct/>
        <w:autoSpaceDE/>
        <w:autoSpaceDN/>
        <w:adjustRightInd/>
        <w:spacing w:line="276" w:lineRule="auto"/>
        <w:ind w:left="0" w:firstLine="0"/>
        <w:textAlignment w:val="auto"/>
        <w:rPr>
          <w:rFonts w:eastAsia="Calibri"/>
          <w:b/>
          <w:lang w:eastAsia="en-US"/>
        </w:rPr>
      </w:pPr>
      <w:r w:rsidRPr="00F92014">
        <w:rPr>
          <w:rFonts w:eastAsia="Calibri"/>
          <w:b/>
        </w:rPr>
        <w:t>7.1.5.0.5</w:t>
      </w:r>
    </w:p>
    <w:p w14:paraId="13DD9A53" w14:textId="54BB2950" w:rsidR="002B61F9"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 xml:space="preserve">Abweichend von Absatz 7.1.5.0.1 und gemäß </w:t>
      </w:r>
      <w:r w:rsidR="006A0ADF" w:rsidRPr="006A0ADF">
        <w:rPr>
          <w:rFonts w:eastAsia="Calibri"/>
          <w:u w:val="single"/>
          <w:lang w:eastAsia="en-US"/>
        </w:rPr>
        <w:t xml:space="preserve">den örtlichen, regionalen oder internationalen </w:t>
      </w:r>
      <w:r w:rsidR="006A0ADF" w:rsidRPr="00A06A74">
        <w:rPr>
          <w:rFonts w:eastAsia="Calibri"/>
          <w:u w:val="single"/>
          <w:lang w:eastAsia="en-US"/>
        </w:rPr>
        <w:t xml:space="preserve">Polizeivorschiften </w:t>
      </w:r>
      <w:r w:rsidR="00A32928" w:rsidRPr="00A32928">
        <w:rPr>
          <w:rFonts w:eastAsia="Calibri"/>
          <w:u w:val="single"/>
          <w:lang w:eastAsia="en-US"/>
        </w:rPr>
        <w:t xml:space="preserve">oder sofern diese nicht </w:t>
      </w:r>
      <w:r w:rsidR="000C0741">
        <w:rPr>
          <w:rFonts w:eastAsia="Calibri"/>
          <w:u w:val="single"/>
          <w:lang w:eastAsia="en-US"/>
        </w:rPr>
        <w:t>anwendbar</w:t>
      </w:r>
      <w:r w:rsidR="00A32928" w:rsidRPr="00A32928">
        <w:rPr>
          <w:rFonts w:eastAsia="Calibri"/>
          <w:u w:val="single"/>
          <w:lang w:eastAsia="en-US"/>
        </w:rPr>
        <w:t xml:space="preserve"> sind gemäß</w:t>
      </w:r>
      <w:r w:rsidR="006A0ADF">
        <w:rPr>
          <w:rFonts w:eastAsia="Calibri"/>
          <w:u w:val="single"/>
          <w:lang w:eastAsia="en-US"/>
        </w:rPr>
        <w:t xml:space="preserve"> </w:t>
      </w:r>
      <w:r w:rsidRPr="002A27EC">
        <w:rPr>
          <w:rFonts w:eastAsia="Calibri"/>
        </w:rPr>
        <w:t>den</w:t>
      </w:r>
      <w:r w:rsidRPr="00A503B5">
        <w:rPr>
          <w:rFonts w:eastAsia="Calibri"/>
          <w:lang w:eastAsia="en-US"/>
        </w:rPr>
        <w:t xml:space="preserve"> Fußnoten zu § 3.14 des CEVNI kann die zuständige Behörde zulassen, dass anstelle der Bezeichnung nach Absatz 7.1.5.0.1 Seeschiffe, die nur zeitweilig in Binnenschifffahrtszonen im Gebiet dieser Vertragspartei verkehren, die Nacht- und Tagbezeichnung verwenden, die in den vom Sicherheitsausschuss der IMO angenommenen Empfehlungen für die Sicherheit der Beförderung gefährlicher Ladungen und vergleichbarer Handlungen in Hafengebieten vorgeschrieben sind (bei Nacht ein von allen Seiten sichtbares festes rotes Licht und bei Tag die Flagge „B“ des internationalen Zeichencodes). Die Vertragspartei, die eine solche zeitweilige Abweichung erteilt hat, informiert hierüber den Exekutiv-Sekretär der Wirtschaftskommission der Vereinten Nationen für Europa (UNECE), der sie dem Verwaltungsausschuss zur Kenntnis bringt.</w:t>
      </w:r>
    </w:p>
    <w:p w14:paraId="181962E4"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20F3881E" w14:textId="77777777" w:rsidR="002B61F9" w:rsidRPr="003F102A" w:rsidRDefault="002B61F9" w:rsidP="002B61F9">
      <w:pPr>
        <w:widowControl/>
        <w:overflowPunct/>
        <w:autoSpaceDE/>
        <w:autoSpaceDN/>
        <w:adjustRightInd/>
        <w:spacing w:line="276" w:lineRule="auto"/>
        <w:ind w:left="0" w:firstLine="0"/>
        <w:textAlignment w:val="auto"/>
        <w:rPr>
          <w:rFonts w:eastAsia="Calibri"/>
          <w:b/>
          <w:u w:val="single"/>
        </w:rPr>
      </w:pPr>
      <w:r w:rsidRPr="003F102A">
        <w:rPr>
          <w:rFonts w:eastAsia="Calibri"/>
          <w:b/>
          <w:u w:val="single"/>
        </w:rPr>
        <w:t>Kapitel 7.2</w:t>
      </w:r>
    </w:p>
    <w:p w14:paraId="39B99EB9"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043CF509" w14:textId="0A241F75" w:rsidR="00471ED0" w:rsidRPr="00F92014" w:rsidRDefault="002B61F9" w:rsidP="002B61F9">
      <w:pPr>
        <w:widowControl/>
        <w:overflowPunct/>
        <w:autoSpaceDE/>
        <w:autoSpaceDN/>
        <w:adjustRightInd/>
        <w:spacing w:line="276" w:lineRule="auto"/>
        <w:ind w:left="0" w:firstLine="0"/>
        <w:textAlignment w:val="auto"/>
        <w:rPr>
          <w:rFonts w:eastAsia="Calibri"/>
          <w:b/>
        </w:rPr>
      </w:pPr>
      <w:r w:rsidRPr="00F92014">
        <w:rPr>
          <w:rFonts w:eastAsia="Calibri"/>
          <w:b/>
        </w:rPr>
        <w:t>7.2.5.0.1</w:t>
      </w:r>
    </w:p>
    <w:p w14:paraId="210ADF0C" w14:textId="2B2CCD10" w:rsidR="002B61F9"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 xml:space="preserve">Schiffe, welche die in Kapitel 3.2 Tabelle C aufgeführten Stoffe befördern, müssen die in der Spalte (19) angegebene Anzahl blauer Kegel oder blauer Lichter gemäß </w:t>
      </w:r>
      <w:r w:rsidR="006A0ADF" w:rsidRPr="006A0ADF">
        <w:rPr>
          <w:rFonts w:eastAsia="Calibri"/>
          <w:u w:val="single"/>
          <w:lang w:eastAsia="en-US"/>
        </w:rPr>
        <w:t xml:space="preserve">den örtlichen, regionalen oder internationalen </w:t>
      </w:r>
      <w:r w:rsidR="006A0ADF" w:rsidRPr="00A06A74">
        <w:rPr>
          <w:rFonts w:eastAsia="Calibri"/>
          <w:u w:val="single"/>
          <w:lang w:eastAsia="en-US"/>
        </w:rPr>
        <w:t>Polizeivorschiften</w:t>
      </w:r>
      <w:r w:rsidR="006A0ADF" w:rsidRPr="00A06A74">
        <w:rPr>
          <w:rFonts w:eastAsia="Calibri"/>
          <w:lang w:eastAsia="en-US"/>
        </w:rPr>
        <w:t xml:space="preserve"> </w:t>
      </w:r>
      <w:r w:rsidR="00A32928" w:rsidRPr="00A32928">
        <w:rPr>
          <w:rFonts w:eastAsia="Calibri"/>
          <w:u w:val="single"/>
          <w:lang w:eastAsia="en-US"/>
        </w:rPr>
        <w:t xml:space="preserve">oder sofern diese nicht </w:t>
      </w:r>
      <w:r w:rsidR="000C0741">
        <w:rPr>
          <w:rFonts w:eastAsia="Calibri"/>
          <w:u w:val="single"/>
          <w:lang w:eastAsia="en-US"/>
        </w:rPr>
        <w:t xml:space="preserve">anwendbar </w:t>
      </w:r>
      <w:r w:rsidR="00A32928" w:rsidRPr="00A32928">
        <w:rPr>
          <w:rFonts w:eastAsia="Calibri"/>
          <w:u w:val="single"/>
          <w:lang w:eastAsia="en-US"/>
        </w:rPr>
        <w:t>sind gemäß</w:t>
      </w:r>
      <w:r w:rsidR="00A32928" w:rsidRPr="00A32928">
        <w:rPr>
          <w:rFonts w:eastAsia="Calibri"/>
          <w:lang w:eastAsia="en-US"/>
        </w:rPr>
        <w:t xml:space="preserve"> </w:t>
      </w:r>
      <w:r w:rsidRPr="002A27EC">
        <w:rPr>
          <w:rFonts w:eastAsia="Calibri"/>
        </w:rPr>
        <w:t>CEVNI</w:t>
      </w:r>
      <w:r w:rsidRPr="00A503B5">
        <w:rPr>
          <w:rFonts w:eastAsia="Calibri"/>
          <w:lang w:eastAsia="en-US"/>
        </w:rPr>
        <w:t xml:space="preserve"> führen. Wenn auf Grund der beförderten Ladung keine blauen Kegel/Lichter erforderlich sind, aber die Konzentration an entzündbaren oder giftigen Gasen und Dämpfen innerhalb der Ladetanks, über 20 % der UEG der letzten Ladung, für welche diese Bezeichnung notwendig war, liegt oder die national zulässigen Expositionsgrenzwerte überschreitet, wird die Anzahl der blauen Kegel oder blauen Lichter von der letzten bezeichnungspflichtigen Ladung bestimmt.</w:t>
      </w:r>
    </w:p>
    <w:p w14:paraId="391B9FE8"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1E482A59" w14:textId="77777777" w:rsidR="00F92014" w:rsidRDefault="00F92014">
      <w:pPr>
        <w:widowControl/>
        <w:overflowPunct/>
        <w:autoSpaceDE/>
        <w:autoSpaceDN/>
        <w:adjustRightInd/>
        <w:ind w:left="0" w:firstLine="0"/>
        <w:jc w:val="left"/>
        <w:textAlignment w:val="auto"/>
        <w:rPr>
          <w:rFonts w:eastAsia="Calibri"/>
        </w:rPr>
      </w:pPr>
      <w:r>
        <w:rPr>
          <w:rFonts w:eastAsia="Calibri"/>
        </w:rPr>
        <w:br w:type="page"/>
      </w:r>
    </w:p>
    <w:p w14:paraId="1B0D01C2" w14:textId="70022B68" w:rsidR="00471ED0" w:rsidRPr="00F92014" w:rsidRDefault="002B61F9" w:rsidP="002B61F9">
      <w:pPr>
        <w:widowControl/>
        <w:overflowPunct/>
        <w:autoSpaceDE/>
        <w:autoSpaceDN/>
        <w:adjustRightInd/>
        <w:spacing w:line="276" w:lineRule="auto"/>
        <w:ind w:left="0" w:firstLine="0"/>
        <w:textAlignment w:val="auto"/>
        <w:rPr>
          <w:rFonts w:eastAsia="Calibri"/>
          <w:b/>
        </w:rPr>
      </w:pPr>
      <w:r w:rsidRPr="00F92014">
        <w:rPr>
          <w:rFonts w:eastAsia="Calibri"/>
          <w:b/>
        </w:rPr>
        <w:lastRenderedPageBreak/>
        <w:t>7.2.5.0.3</w:t>
      </w:r>
    </w:p>
    <w:p w14:paraId="6A68C279" w14:textId="1C035936" w:rsidR="002B61F9"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 xml:space="preserve">Abweichend von Absatz 7.2.5.0.1 und gemäß </w:t>
      </w:r>
      <w:r w:rsidR="006A0ADF" w:rsidRPr="006A0ADF">
        <w:rPr>
          <w:rFonts w:eastAsia="Calibri"/>
          <w:u w:val="single"/>
          <w:lang w:eastAsia="en-US"/>
        </w:rPr>
        <w:t xml:space="preserve">den örtlichen, regionalen oder internationalen </w:t>
      </w:r>
      <w:r w:rsidR="006A0ADF" w:rsidRPr="00A06A74">
        <w:rPr>
          <w:rFonts w:eastAsia="Calibri"/>
          <w:u w:val="single"/>
          <w:lang w:eastAsia="en-US"/>
        </w:rPr>
        <w:t xml:space="preserve">Polizeivorschiften </w:t>
      </w:r>
      <w:r w:rsidR="00A32928" w:rsidRPr="00A32928">
        <w:rPr>
          <w:rFonts w:eastAsia="Calibri"/>
          <w:u w:val="single"/>
          <w:lang w:eastAsia="en-US"/>
        </w:rPr>
        <w:t xml:space="preserve">oder sofern diese nicht </w:t>
      </w:r>
      <w:r w:rsidR="004928ED">
        <w:rPr>
          <w:rFonts w:eastAsia="Calibri"/>
          <w:u w:val="single"/>
          <w:lang w:eastAsia="en-US"/>
        </w:rPr>
        <w:t>in anwendbar</w:t>
      </w:r>
      <w:r w:rsidR="004928ED" w:rsidRPr="00A32928">
        <w:rPr>
          <w:rFonts w:eastAsia="Calibri"/>
          <w:u w:val="single"/>
          <w:lang w:eastAsia="en-US"/>
        </w:rPr>
        <w:t xml:space="preserve"> </w:t>
      </w:r>
      <w:r w:rsidR="00A32928" w:rsidRPr="00A32928">
        <w:rPr>
          <w:rFonts w:eastAsia="Calibri"/>
          <w:u w:val="single"/>
          <w:lang w:eastAsia="en-US"/>
        </w:rPr>
        <w:t>sind gemäß</w:t>
      </w:r>
      <w:r w:rsidR="006A0ADF" w:rsidRPr="006A0ADF">
        <w:rPr>
          <w:rFonts w:eastAsia="Calibri"/>
          <w:lang w:eastAsia="en-US"/>
        </w:rPr>
        <w:t xml:space="preserve"> </w:t>
      </w:r>
      <w:r w:rsidRPr="002A27EC">
        <w:rPr>
          <w:rFonts w:eastAsia="Calibri"/>
        </w:rPr>
        <w:t>den</w:t>
      </w:r>
      <w:r w:rsidRPr="00A503B5">
        <w:rPr>
          <w:rFonts w:eastAsia="Calibri"/>
          <w:lang w:eastAsia="en-US"/>
        </w:rPr>
        <w:t xml:space="preserve"> Fußnoten zu § 3.14 des CEVNI kann die zuständige Behörde zulassen, dass anstelle der Bezeichnung nach Absatz 7.2.5.0.1 Seeschiffe, die nur zeitweilig in Binnenschifffahrtszonen im Gebiet dieser Vertragspartei verkehren, die Nacht- und Tagbezeichnung verwenden, die in den vom Sicherheitsausschuss der IMO angenommenen Empfehlungen für die Sicherheit der Beförderung gefährlicher Ladungen und vergleichbarer Handlungen in Hafengebieten vorgeschrieben sind (bei Nacht ein von allen Seiten sichtbares festes rotes Licht und bei Tag die Flagge „B“ des internationalen Zeichencodes) angenommen worden sind. Die Vertragspartei, die eine solche zeitweilige Abweichung erteilt hat, informiert hierüber den Exekutiv-Sekretär der Wirtschaftskommission der Vereinten Nation für Europa (UNECE), der sie dem Verwaltungsausschuss zur Kenntnis bringt.</w:t>
      </w:r>
    </w:p>
    <w:p w14:paraId="5448A67C"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p>
    <w:p w14:paraId="6512820E" w14:textId="77777777" w:rsidR="006A0ADF" w:rsidRDefault="006A0ADF" w:rsidP="002B61F9">
      <w:pPr>
        <w:widowControl/>
        <w:overflowPunct/>
        <w:autoSpaceDE/>
        <w:autoSpaceDN/>
        <w:adjustRightInd/>
        <w:spacing w:line="276" w:lineRule="auto"/>
        <w:ind w:left="0" w:firstLine="0"/>
        <w:textAlignment w:val="auto"/>
        <w:rPr>
          <w:rFonts w:eastAsia="Calibri"/>
          <w:lang w:eastAsia="en-US"/>
        </w:rPr>
      </w:pPr>
    </w:p>
    <w:p w14:paraId="4FF98887" w14:textId="77777777" w:rsidR="002B61F9" w:rsidRPr="004928ED" w:rsidRDefault="002B61F9" w:rsidP="002B61F9">
      <w:pPr>
        <w:widowControl/>
        <w:overflowPunct/>
        <w:autoSpaceDE/>
        <w:autoSpaceDN/>
        <w:adjustRightInd/>
        <w:spacing w:line="276" w:lineRule="auto"/>
        <w:ind w:left="0" w:firstLine="0"/>
        <w:textAlignment w:val="auto"/>
        <w:rPr>
          <w:rFonts w:eastAsia="Calibri"/>
          <w:b/>
          <w:u w:val="single"/>
        </w:rPr>
      </w:pPr>
      <w:r w:rsidRPr="004928ED">
        <w:rPr>
          <w:rFonts w:eastAsia="Calibri"/>
          <w:b/>
          <w:u w:val="single"/>
        </w:rPr>
        <w:t>Kapitel 8.1</w:t>
      </w:r>
    </w:p>
    <w:p w14:paraId="32F78473"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0227D697" w14:textId="487EF868" w:rsidR="00471ED0" w:rsidRPr="004928ED" w:rsidRDefault="002B61F9" w:rsidP="002B61F9">
      <w:pPr>
        <w:widowControl/>
        <w:overflowPunct/>
        <w:autoSpaceDE/>
        <w:autoSpaceDN/>
        <w:adjustRightInd/>
        <w:spacing w:line="276" w:lineRule="auto"/>
        <w:ind w:left="0" w:firstLine="0"/>
        <w:textAlignment w:val="auto"/>
        <w:rPr>
          <w:rFonts w:eastAsia="Calibri"/>
          <w:b/>
        </w:rPr>
      </w:pPr>
      <w:r w:rsidRPr="004928ED">
        <w:rPr>
          <w:rFonts w:eastAsia="Calibri"/>
          <w:b/>
        </w:rPr>
        <w:t>8.1.2.6</w:t>
      </w:r>
    </w:p>
    <w:p w14:paraId="0F4A277A" w14:textId="47821D8C"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 xml:space="preserve">Für Trockengüter-Schubleichter, die keine gefährlichen Güter befördern, ist das Mitführen des Zulassungszeugnisses nicht erforderlich, sofern die Tafel </w:t>
      </w:r>
      <w:r w:rsidRPr="00DF122A">
        <w:rPr>
          <w:rFonts w:eastAsia="Calibri"/>
          <w:lang w:eastAsia="en-US"/>
        </w:rPr>
        <w:t xml:space="preserve">nach </w:t>
      </w:r>
      <w:r w:rsidR="00DF122A" w:rsidRPr="00DF122A">
        <w:rPr>
          <w:rFonts w:eastAsia="Calibri"/>
          <w:u w:val="single"/>
          <w:lang w:eastAsia="en-US"/>
        </w:rPr>
        <w:t>einem Muster de</w:t>
      </w:r>
      <w:r w:rsidR="00DF122A">
        <w:rPr>
          <w:rFonts w:eastAsia="Calibri"/>
          <w:u w:val="single"/>
          <w:lang w:eastAsia="en-US"/>
        </w:rPr>
        <w:t>r</w:t>
      </w:r>
      <w:r w:rsidR="00DF122A" w:rsidRPr="00DF122A">
        <w:rPr>
          <w:rFonts w:eastAsia="Calibri"/>
          <w:u w:val="single"/>
          <w:lang w:eastAsia="en-US"/>
        </w:rPr>
        <w:t xml:space="preserve"> örtlichen, regionalen oder internationalen </w:t>
      </w:r>
      <w:r w:rsidR="00DF122A" w:rsidRPr="00A06A74">
        <w:rPr>
          <w:rFonts w:eastAsia="Calibri"/>
          <w:u w:val="single"/>
          <w:lang w:eastAsia="en-US"/>
        </w:rPr>
        <w:t xml:space="preserve">Polizeivorschiften </w:t>
      </w:r>
      <w:r w:rsidR="00CA2CDA" w:rsidRPr="00DF122A">
        <w:rPr>
          <w:rFonts w:eastAsia="Calibri"/>
          <w:u w:val="single"/>
          <w:lang w:eastAsia="en-US"/>
        </w:rPr>
        <w:t xml:space="preserve"> </w:t>
      </w:r>
      <w:r w:rsidR="005028A2" w:rsidRPr="005028A2">
        <w:rPr>
          <w:rFonts w:eastAsia="Calibri"/>
          <w:u w:val="single"/>
          <w:lang w:eastAsia="en-US"/>
        </w:rPr>
        <w:t xml:space="preserve">oder sofern diese nicht </w:t>
      </w:r>
      <w:r w:rsidR="004928ED">
        <w:rPr>
          <w:rFonts w:eastAsia="Calibri"/>
          <w:u w:val="single"/>
          <w:lang w:eastAsia="en-US"/>
        </w:rPr>
        <w:t>anwendbar</w:t>
      </w:r>
      <w:r w:rsidR="005028A2" w:rsidRPr="005028A2">
        <w:rPr>
          <w:rFonts w:eastAsia="Calibri"/>
          <w:u w:val="single"/>
          <w:lang w:eastAsia="en-US"/>
        </w:rPr>
        <w:t xml:space="preserve"> sind gemäß</w:t>
      </w:r>
      <w:r w:rsidR="00DF122A" w:rsidRPr="00DF122A">
        <w:rPr>
          <w:rFonts w:eastAsia="Calibri"/>
          <w:u w:val="single"/>
          <w:lang w:eastAsia="en-US"/>
        </w:rPr>
        <w:t xml:space="preserve"> </w:t>
      </w:r>
      <w:r w:rsidR="00DF122A">
        <w:rPr>
          <w:rFonts w:eastAsia="Calibri"/>
          <w:u w:val="single"/>
          <w:lang w:eastAsia="en-US"/>
        </w:rPr>
        <w:t>§</w:t>
      </w:r>
      <w:r w:rsidR="00DF122A" w:rsidRPr="00DF122A">
        <w:rPr>
          <w:rFonts w:eastAsia="Calibri"/>
          <w:u w:val="single"/>
          <w:lang w:eastAsia="en-US"/>
        </w:rPr>
        <w:t xml:space="preserve"> 1.10 Nr. 5 des</w:t>
      </w:r>
      <w:r w:rsidR="00DF122A">
        <w:rPr>
          <w:rFonts w:eastAsia="Calibri"/>
          <w:lang w:eastAsia="en-US"/>
        </w:rPr>
        <w:t xml:space="preserve"> </w:t>
      </w:r>
      <w:r w:rsidRPr="00DF122A">
        <w:rPr>
          <w:rFonts w:eastAsia="Calibri"/>
          <w:lang w:eastAsia="en-US"/>
        </w:rPr>
        <w:t>CEVNI</w:t>
      </w:r>
      <w:r w:rsidRPr="00A503B5">
        <w:rPr>
          <w:rFonts w:eastAsia="Calibri"/>
          <w:lang w:eastAsia="en-US"/>
        </w:rPr>
        <w:t xml:space="preserve"> in gleichen Schriftzeichen durch folgende Angaben ergänzt wird:</w:t>
      </w:r>
    </w:p>
    <w:p w14:paraId="2AD92E5E"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Nr. des Zulassungszeugnisses: ...</w:t>
      </w:r>
    </w:p>
    <w:p w14:paraId="68D484B8"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Ausgestellt durch: ...</w:t>
      </w:r>
    </w:p>
    <w:p w14:paraId="3BF46601"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Gültig bis: ...</w:t>
      </w:r>
    </w:p>
    <w:p w14:paraId="772E0783" w14:textId="6B186D44"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Das Zulassungszeugnis und die Anlage gemäß Absatz 1.16.1.4 sind in diesem Falle beim Eigner des Schubleichters aufzubewahren.</w:t>
      </w:r>
    </w:p>
    <w:p w14:paraId="440FC0EB" w14:textId="0F052479" w:rsidR="002B61F9"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Die Übereinstimmung der auf der Tafel vermerkten Angaben mit denjenigen des Zulassungszeugnisses muss durch eine zuständige Behörde festgestellt und deren Zeichen auf der Tafel eingeschlagen werden.</w:t>
      </w:r>
    </w:p>
    <w:p w14:paraId="5354F366"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p>
    <w:p w14:paraId="7D0A67CB" w14:textId="08D402E0" w:rsidR="00471ED0" w:rsidRPr="004928ED" w:rsidRDefault="002B61F9" w:rsidP="002B61F9">
      <w:pPr>
        <w:widowControl/>
        <w:overflowPunct/>
        <w:autoSpaceDE/>
        <w:autoSpaceDN/>
        <w:adjustRightInd/>
        <w:spacing w:line="276" w:lineRule="auto"/>
        <w:ind w:left="0" w:firstLine="0"/>
        <w:textAlignment w:val="auto"/>
        <w:rPr>
          <w:rFonts w:eastAsia="Calibri"/>
          <w:b/>
        </w:rPr>
      </w:pPr>
      <w:r w:rsidRPr="004928ED">
        <w:rPr>
          <w:rFonts w:eastAsia="Calibri"/>
          <w:b/>
        </w:rPr>
        <w:t>8.1.2.7</w:t>
      </w:r>
    </w:p>
    <w:p w14:paraId="2C274A35" w14:textId="513F676F"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 xml:space="preserve">Für Trockengüter- oder Tankschubleichter, die gefährliche Güter befördern, ist das Mitführen des Zulassungszeugnisses nicht erforderlich, sofern die Tafel nach </w:t>
      </w:r>
      <w:r w:rsidR="00DF122A" w:rsidRPr="00DF122A">
        <w:rPr>
          <w:rFonts w:eastAsia="Calibri"/>
          <w:u w:val="single"/>
          <w:lang w:eastAsia="en-US"/>
        </w:rPr>
        <w:t>einem Muster de</w:t>
      </w:r>
      <w:r w:rsidR="00DF122A">
        <w:rPr>
          <w:rFonts w:eastAsia="Calibri"/>
          <w:u w:val="single"/>
          <w:lang w:eastAsia="en-US"/>
        </w:rPr>
        <w:t>r</w:t>
      </w:r>
      <w:r w:rsidR="00DF122A" w:rsidRPr="00DF122A">
        <w:rPr>
          <w:rFonts w:eastAsia="Calibri"/>
          <w:u w:val="single"/>
          <w:lang w:eastAsia="en-US"/>
        </w:rPr>
        <w:t xml:space="preserve"> örtlichen, regionalen oder internationalen </w:t>
      </w:r>
      <w:r w:rsidR="00DF122A" w:rsidRPr="00A06A74">
        <w:rPr>
          <w:rFonts w:eastAsia="Calibri"/>
          <w:u w:val="single"/>
          <w:lang w:eastAsia="en-US"/>
        </w:rPr>
        <w:t>Polizeivorschiften</w:t>
      </w:r>
      <w:r w:rsidR="00C15CB3" w:rsidRPr="00DF122A">
        <w:rPr>
          <w:rFonts w:eastAsia="Calibri"/>
          <w:u w:val="single"/>
          <w:lang w:eastAsia="en-US"/>
        </w:rPr>
        <w:t xml:space="preserve"> </w:t>
      </w:r>
      <w:r w:rsidR="005028A2" w:rsidRPr="005028A2">
        <w:rPr>
          <w:rFonts w:eastAsia="Calibri"/>
          <w:u w:val="single"/>
          <w:lang w:eastAsia="en-US"/>
        </w:rPr>
        <w:t xml:space="preserve">oder sofern diese nicht </w:t>
      </w:r>
      <w:r w:rsidR="00B2202B">
        <w:rPr>
          <w:rFonts w:eastAsia="Calibri"/>
          <w:u w:val="single"/>
          <w:lang w:eastAsia="en-US"/>
        </w:rPr>
        <w:t>anwendbar</w:t>
      </w:r>
      <w:r w:rsidR="005028A2" w:rsidRPr="005028A2">
        <w:rPr>
          <w:rFonts w:eastAsia="Calibri"/>
          <w:u w:val="single"/>
          <w:lang w:eastAsia="en-US"/>
        </w:rPr>
        <w:t xml:space="preserve"> sind gemäß</w:t>
      </w:r>
      <w:r w:rsidR="00DF122A" w:rsidRPr="00DF122A">
        <w:rPr>
          <w:rFonts w:eastAsia="Calibri"/>
          <w:u w:val="single"/>
          <w:lang w:eastAsia="en-US"/>
        </w:rPr>
        <w:t xml:space="preserve"> </w:t>
      </w:r>
      <w:r w:rsidR="00DF122A">
        <w:rPr>
          <w:rFonts w:eastAsia="Calibri"/>
          <w:u w:val="single"/>
          <w:lang w:eastAsia="en-US"/>
        </w:rPr>
        <w:t>§</w:t>
      </w:r>
      <w:r w:rsidR="00DF122A" w:rsidRPr="00DF122A">
        <w:rPr>
          <w:rFonts w:eastAsia="Calibri"/>
          <w:u w:val="single"/>
          <w:lang w:eastAsia="en-US"/>
        </w:rPr>
        <w:t xml:space="preserve"> 1.10 Nr. 5 des</w:t>
      </w:r>
      <w:r w:rsidR="00DF122A" w:rsidRPr="00A503B5">
        <w:rPr>
          <w:rFonts w:eastAsia="Calibri"/>
          <w:lang w:eastAsia="en-US"/>
        </w:rPr>
        <w:t xml:space="preserve"> </w:t>
      </w:r>
      <w:r w:rsidRPr="00A503B5">
        <w:rPr>
          <w:rFonts w:eastAsia="Calibri"/>
          <w:lang w:eastAsia="en-US"/>
        </w:rPr>
        <w:t>CEVNI durch eine zweite Metall- oder Kunststofftafel mit einer fotooptischen Kopie des gesamten Zulassungszeugnisses ergänzt wird. Eine fotooptische Kopie der Anlage gemäß Absatz 1.16.1.4 ist nicht erforderlich.</w:t>
      </w:r>
    </w:p>
    <w:p w14:paraId="66221298" w14:textId="55A81FE1"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Das Zulassungszeugnis und die Anlage gemäß Absatz 1.16.1.4 sind in diesem Fall beim Eigner des Schubleichters aufzubewahren.</w:t>
      </w:r>
    </w:p>
    <w:p w14:paraId="4E046D95" w14:textId="6720704C" w:rsidR="002B61F9"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Die Übereinstimmung der Kopie auf der Tafel mit dem Zulassungszeugnis muss durch eine zuständige Behörde festgestellt und deren Zeichen auf der Tafel eingeschlagen werden.</w:t>
      </w:r>
    </w:p>
    <w:p w14:paraId="6280F0E5"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p>
    <w:p w14:paraId="349C5621" w14:textId="77777777" w:rsidR="00F92014" w:rsidRDefault="00F92014">
      <w:pPr>
        <w:widowControl/>
        <w:overflowPunct/>
        <w:autoSpaceDE/>
        <w:autoSpaceDN/>
        <w:adjustRightInd/>
        <w:ind w:left="0" w:firstLine="0"/>
        <w:jc w:val="left"/>
        <w:textAlignment w:val="auto"/>
        <w:rPr>
          <w:rFonts w:eastAsia="Calibri"/>
          <w:b/>
          <w:u w:val="single"/>
        </w:rPr>
      </w:pPr>
      <w:r>
        <w:rPr>
          <w:rFonts w:eastAsia="Calibri"/>
          <w:b/>
          <w:u w:val="single"/>
        </w:rPr>
        <w:br w:type="page"/>
      </w:r>
    </w:p>
    <w:p w14:paraId="1AECD728" w14:textId="518D4BA8" w:rsidR="002B61F9" w:rsidRPr="00B2202B" w:rsidRDefault="002B61F9" w:rsidP="002B61F9">
      <w:pPr>
        <w:widowControl/>
        <w:overflowPunct/>
        <w:autoSpaceDE/>
        <w:autoSpaceDN/>
        <w:adjustRightInd/>
        <w:spacing w:line="276" w:lineRule="auto"/>
        <w:ind w:left="0" w:firstLine="0"/>
        <w:textAlignment w:val="auto"/>
        <w:rPr>
          <w:rFonts w:eastAsia="Calibri"/>
          <w:b/>
          <w:u w:val="single"/>
        </w:rPr>
      </w:pPr>
      <w:r w:rsidRPr="00B2202B">
        <w:rPr>
          <w:rFonts w:eastAsia="Calibri"/>
          <w:b/>
          <w:u w:val="single"/>
        </w:rPr>
        <w:lastRenderedPageBreak/>
        <w:t>Kapitel 8.2</w:t>
      </w:r>
    </w:p>
    <w:p w14:paraId="0B06CDD6" w14:textId="77777777" w:rsidR="002B61F9" w:rsidRPr="00A503B5" w:rsidRDefault="002B61F9" w:rsidP="002B61F9">
      <w:pPr>
        <w:widowControl/>
        <w:overflowPunct/>
        <w:autoSpaceDE/>
        <w:autoSpaceDN/>
        <w:adjustRightInd/>
        <w:spacing w:line="276" w:lineRule="auto"/>
        <w:ind w:left="0" w:firstLine="0"/>
        <w:textAlignment w:val="auto"/>
        <w:rPr>
          <w:rFonts w:eastAsia="Calibri"/>
          <w:lang w:eastAsia="en-US"/>
        </w:rPr>
      </w:pPr>
    </w:p>
    <w:p w14:paraId="328BB159" w14:textId="77777777" w:rsidR="00471ED0" w:rsidRPr="00B2202B" w:rsidRDefault="002B61F9" w:rsidP="00471ED0">
      <w:pPr>
        <w:widowControl/>
        <w:overflowPunct/>
        <w:autoSpaceDE/>
        <w:autoSpaceDN/>
        <w:adjustRightInd/>
        <w:spacing w:line="276" w:lineRule="auto"/>
        <w:ind w:left="0" w:firstLine="0"/>
        <w:textAlignment w:val="auto"/>
        <w:rPr>
          <w:rFonts w:eastAsia="Calibri"/>
          <w:b/>
        </w:rPr>
      </w:pPr>
      <w:r w:rsidRPr="00B2202B">
        <w:rPr>
          <w:rFonts w:eastAsia="Calibri"/>
          <w:b/>
        </w:rPr>
        <w:t>8.2.2.7.1.6</w:t>
      </w:r>
    </w:p>
    <w:p w14:paraId="3347BF64"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Die zuständige Behörde oder eine von dieser bestimmte Prüfungsstelle muss jede Prüfung beaufsichtigen. Jegliche Manipulation und Täuschung muss weitestgehend ausgeschlossen sein. Eine Authentifizierung des Teilnehmers muss sichergestellt sein.</w:t>
      </w:r>
    </w:p>
    <w:p w14:paraId="2F3930CB"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Bei der schriftlichen Prüfung ist die Verwendung von Unterlagen mit Ausnahme von Texten der Gefahrgutverordnungen und des CEVNI oder darauf beruhender Polizeiverordnungen nicht zugelassen. Nicht programmierbare Taschenrechner sind bei Aufbaukursen erlaubt, sie sind von der zuständigen Behörde oder durch die von ihr bestimmte Prüfungsstelle zur Verfügung zu stellen.</w:t>
      </w:r>
    </w:p>
    <w:p w14:paraId="32E25FCD" w14:textId="06330F69" w:rsidR="002B61F9"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Die Prüfungsunterlagen (Fragen und Antworten) müssen durch einen Ausdruck oder elektronisch als Datei erfasst und aufbewahrt werden.</w:t>
      </w:r>
    </w:p>
    <w:p w14:paraId="6FE2D163"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p>
    <w:p w14:paraId="01FE759F"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p>
    <w:p w14:paraId="6B87A8AC" w14:textId="2579CFB4" w:rsidR="00471ED0" w:rsidRPr="00B2202B" w:rsidRDefault="00471ED0" w:rsidP="00471ED0">
      <w:pPr>
        <w:widowControl/>
        <w:overflowPunct/>
        <w:autoSpaceDE/>
        <w:autoSpaceDN/>
        <w:adjustRightInd/>
        <w:spacing w:line="276" w:lineRule="auto"/>
        <w:ind w:left="0" w:firstLine="0"/>
        <w:textAlignment w:val="auto"/>
        <w:rPr>
          <w:rFonts w:eastAsia="Calibri"/>
          <w:b/>
          <w:u w:val="single"/>
        </w:rPr>
      </w:pPr>
      <w:r w:rsidRPr="00B2202B">
        <w:rPr>
          <w:rFonts w:eastAsia="Calibri"/>
          <w:b/>
          <w:u w:val="single"/>
        </w:rPr>
        <w:t>Kapitel 8.6</w:t>
      </w:r>
    </w:p>
    <w:p w14:paraId="19F30219" w14:textId="77777777" w:rsidR="00471ED0" w:rsidRPr="002A27EC" w:rsidRDefault="00471ED0" w:rsidP="00471ED0">
      <w:pPr>
        <w:widowControl/>
        <w:overflowPunct/>
        <w:autoSpaceDE/>
        <w:autoSpaceDN/>
        <w:adjustRightInd/>
        <w:spacing w:line="276" w:lineRule="auto"/>
        <w:ind w:left="0" w:firstLine="0"/>
        <w:textAlignment w:val="auto"/>
        <w:rPr>
          <w:rFonts w:eastAsia="Calibri"/>
        </w:rPr>
      </w:pPr>
    </w:p>
    <w:p w14:paraId="604C5CA8" w14:textId="26B039BD"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8.6.2 Bescheinigung über besondere Kenntnisse des ADN gemäß Unterabschnitt 8.2.1.2, 8.2.1.5 oder 8.2.1.7</w:t>
      </w:r>
    </w:p>
    <w:p w14:paraId="169422F3" w14:textId="77777777"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p>
    <w:p w14:paraId="4E5ECA0A" w14:textId="151A93AD" w:rsidR="00471ED0" w:rsidRPr="00A503B5" w:rsidRDefault="00471ED0" w:rsidP="00471ED0">
      <w:pPr>
        <w:widowControl/>
        <w:overflowPunct/>
        <w:autoSpaceDE/>
        <w:autoSpaceDN/>
        <w:adjustRightInd/>
        <w:spacing w:line="276" w:lineRule="auto"/>
        <w:ind w:left="0" w:firstLine="0"/>
        <w:textAlignment w:val="auto"/>
        <w:rPr>
          <w:rFonts w:eastAsia="Calibri"/>
          <w:lang w:eastAsia="en-US"/>
        </w:rPr>
      </w:pPr>
      <w:r w:rsidRPr="00A503B5">
        <w:rPr>
          <w:rFonts w:eastAsia="Calibri"/>
          <w:lang w:eastAsia="en-US"/>
        </w:rPr>
        <w:t>** Das für Schifffahrt im internationalen Verkehr verwendete Unterscheidungszeichen (CEVNI – Anlage I).</w:t>
      </w:r>
    </w:p>
    <w:p w14:paraId="2329F494" w14:textId="13D1ED21" w:rsidR="00751575" w:rsidRPr="00A503B5" w:rsidRDefault="00F8067A" w:rsidP="009F01B6">
      <w:pPr>
        <w:keepNext/>
        <w:keepLines/>
        <w:widowControl/>
        <w:tabs>
          <w:tab w:val="right" w:pos="851"/>
        </w:tabs>
        <w:suppressAutoHyphens/>
        <w:overflowPunct/>
        <w:autoSpaceDE/>
        <w:autoSpaceDN/>
        <w:adjustRightInd/>
        <w:spacing w:before="360" w:after="240" w:line="300" w:lineRule="exact"/>
        <w:ind w:right="1134"/>
        <w:jc w:val="center"/>
        <w:textAlignment w:val="auto"/>
      </w:pPr>
      <w:r w:rsidRPr="00A503B5">
        <w:t>***</w:t>
      </w:r>
    </w:p>
    <w:sectPr w:rsidR="00751575" w:rsidRPr="00A503B5"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1518" w14:textId="77777777" w:rsidR="006440A9" w:rsidRDefault="006440A9" w:rsidP="0011702A">
      <w:r>
        <w:separator/>
      </w:r>
    </w:p>
  </w:endnote>
  <w:endnote w:type="continuationSeparator" w:id="0">
    <w:p w14:paraId="0AE661A7" w14:textId="77777777" w:rsidR="006440A9" w:rsidRDefault="006440A9" w:rsidP="0011702A">
      <w:r>
        <w:continuationSeparator/>
      </w:r>
    </w:p>
  </w:endnote>
  <w:endnote w:type="continuationNotice" w:id="1">
    <w:p w14:paraId="1768DB05" w14:textId="77777777" w:rsidR="006440A9" w:rsidRDefault="00644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F34" w14:textId="51C254B6" w:rsidR="002A27EC" w:rsidRDefault="009E6FA9" w:rsidP="00997F07">
    <w:pPr>
      <w:pStyle w:val="Footer"/>
      <w:jc w:val="right"/>
    </w:pPr>
    <w:r>
      <w:rPr>
        <w:rFonts w:ascii="Arial" w:hAnsi="Arial"/>
        <w:noProof/>
        <w:sz w:val="12"/>
        <w:szCs w:val="24"/>
        <w:lang w:val="fr-FR"/>
      </w:rPr>
      <w:t>m</w:t>
    </w:r>
    <w:r w:rsidRPr="00F8067A">
      <w:rPr>
        <w:rFonts w:ascii="Arial" w:hAnsi="Arial"/>
        <w:noProof/>
        <w:sz w:val="12"/>
        <w:szCs w:val="24"/>
        <w:lang w:val="fr-FR"/>
      </w:rPr>
      <w:t>m/adn_wp15_ac2_</w:t>
    </w:r>
    <w:r w:rsidR="00DC378F">
      <w:rPr>
        <w:rFonts w:ascii="Arial" w:hAnsi="Arial"/>
        <w:noProof/>
        <w:sz w:val="12"/>
        <w:szCs w:val="24"/>
        <w:lang w:val="fr-FR"/>
      </w:rPr>
      <w:t>34</w:t>
    </w:r>
    <w:r w:rsidRPr="00F8067A">
      <w:rPr>
        <w:rFonts w:ascii="Arial" w:hAnsi="Arial"/>
        <w:noProof/>
        <w:sz w:val="12"/>
        <w:szCs w:val="24"/>
        <w:lang w:val="fr-FR"/>
      </w:rPr>
      <w:t>_</w:t>
    </w:r>
    <w:r>
      <w:rPr>
        <w:rFonts w:ascii="Arial" w:hAnsi="Arial"/>
        <w:noProof/>
        <w:sz w:val="12"/>
        <w:szCs w:val="24"/>
        <w:lang w:val="fr-FR"/>
      </w:rPr>
      <w:t>INF</w:t>
    </w:r>
    <w:r w:rsidR="00A603E2">
      <w:rPr>
        <w:rFonts w:ascii="Arial" w:hAnsi="Arial"/>
        <w:noProof/>
        <w:sz w:val="12"/>
        <w:szCs w:val="24"/>
        <w:lang w:val="fr-FR"/>
      </w:rPr>
      <w:t>5</w:t>
    </w:r>
    <w:r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33DC" w14:textId="0ED04F09" w:rsidR="00F8067A" w:rsidRPr="00F8067A" w:rsidRDefault="00697F7B" w:rsidP="00697F7B">
    <w:pPr>
      <w:pStyle w:val="Footer"/>
      <w:tabs>
        <w:tab w:val="clear" w:pos="9072"/>
        <w:tab w:val="left" w:pos="2634"/>
        <w:tab w:val="right" w:pos="9070"/>
      </w:tabs>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m/adn_wp15_ac2_</w:t>
    </w:r>
    <w:r w:rsidR="00A603E2">
      <w:rPr>
        <w:rFonts w:ascii="Arial" w:hAnsi="Arial"/>
        <w:noProof/>
        <w:sz w:val="12"/>
        <w:szCs w:val="24"/>
        <w:lang w:val="fr-FR"/>
      </w:rPr>
      <w:t>34</w:t>
    </w:r>
    <w:r w:rsidR="00F8067A" w:rsidRPr="00F8067A">
      <w:rPr>
        <w:rFonts w:ascii="Arial" w:hAnsi="Arial"/>
        <w:noProof/>
        <w:sz w:val="12"/>
        <w:szCs w:val="24"/>
        <w:lang w:val="fr-FR"/>
      </w:rPr>
      <w:t>_</w:t>
    </w:r>
    <w:r w:rsidR="00A603E2">
      <w:rPr>
        <w:rFonts w:ascii="Arial" w:hAnsi="Arial"/>
        <w:noProof/>
        <w:sz w:val="12"/>
        <w:szCs w:val="24"/>
        <w:lang w:val="fr-FR"/>
      </w:rPr>
      <w:t>INF.5d</w:t>
    </w:r>
    <w:r w:rsidR="00F8067A" w:rsidRPr="00F8067A">
      <w:rPr>
        <w:rFonts w:ascii="Arial" w:hAnsi="Arial"/>
        <w:noProof/>
        <w:sz w:val="12"/>
        <w:szCs w:val="24"/>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A8F0" w14:textId="77777777" w:rsidR="006440A9" w:rsidRDefault="006440A9" w:rsidP="0011702A">
      <w:r>
        <w:separator/>
      </w:r>
    </w:p>
  </w:footnote>
  <w:footnote w:type="continuationSeparator" w:id="0">
    <w:p w14:paraId="2CCE5706" w14:textId="77777777" w:rsidR="006440A9" w:rsidRDefault="006440A9" w:rsidP="0011702A">
      <w:r>
        <w:continuationSeparator/>
      </w:r>
    </w:p>
  </w:footnote>
  <w:footnote w:type="continuationNotice" w:id="1">
    <w:p w14:paraId="64513CF0" w14:textId="77777777" w:rsidR="006440A9" w:rsidRDefault="00644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BAE6" w14:textId="72D6215E"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DC378F">
      <w:rPr>
        <w:rFonts w:ascii="Arial" w:hAnsi="Arial"/>
        <w:snapToGrid w:val="0"/>
        <w:sz w:val="16"/>
        <w:szCs w:val="16"/>
        <w:lang w:val="en-US"/>
      </w:rPr>
      <w:t>34</w:t>
    </w:r>
    <w:r w:rsidR="002B61F9">
      <w:rPr>
        <w:rFonts w:ascii="Arial" w:hAnsi="Arial"/>
        <w:snapToGrid w:val="0"/>
        <w:sz w:val="16"/>
        <w:szCs w:val="16"/>
        <w:lang w:val="en-US"/>
      </w:rPr>
      <w:t>/</w:t>
    </w:r>
    <w:r w:rsidR="00C31727">
      <w:rPr>
        <w:rFonts w:ascii="Arial" w:hAnsi="Arial"/>
        <w:snapToGrid w:val="0"/>
        <w:sz w:val="16"/>
        <w:szCs w:val="16"/>
        <w:lang w:val="en-US"/>
      </w:rPr>
      <w:t>INF.</w:t>
    </w:r>
    <w:r w:rsidR="00A603E2">
      <w:rPr>
        <w:rFonts w:ascii="Arial" w:hAnsi="Arial"/>
        <w:snapToGrid w:val="0"/>
        <w:sz w:val="16"/>
        <w:szCs w:val="16"/>
        <w:lang w:val="en-US"/>
      </w:rPr>
      <w:t>5</w:t>
    </w:r>
  </w:p>
  <w:p w14:paraId="1AC4CCB1" w14:textId="77777777"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r w:rsidRPr="002B61F9">
      <w:rPr>
        <w:rFonts w:ascii="Arial" w:hAnsi="Arial"/>
        <w:snapToGrid w:val="0"/>
        <w:sz w:val="16"/>
        <w:szCs w:val="16"/>
        <w:lang w:val="en-US"/>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497109">
      <w:rPr>
        <w:rFonts w:ascii="Arial" w:hAnsi="Arial"/>
        <w:noProof/>
        <w:snapToGrid w:val="0"/>
        <w:sz w:val="16"/>
        <w:szCs w:val="16"/>
      </w:rPr>
      <w:t>4</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534E" w14:textId="3F37EA52"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DC378F">
      <w:rPr>
        <w:rFonts w:ascii="Arial" w:hAnsi="Arial"/>
        <w:snapToGrid w:val="0"/>
        <w:sz w:val="16"/>
        <w:szCs w:val="16"/>
        <w:lang w:val="en-US"/>
      </w:rPr>
      <w:t>34</w:t>
    </w:r>
    <w:r w:rsidR="00B9072B" w:rsidRPr="00F8067A">
      <w:rPr>
        <w:rFonts w:ascii="Arial" w:hAnsi="Arial"/>
        <w:snapToGrid w:val="0"/>
        <w:sz w:val="16"/>
        <w:szCs w:val="16"/>
        <w:lang w:val="en-US"/>
      </w:rPr>
      <w:t>/</w:t>
    </w:r>
    <w:r w:rsidR="00C31727">
      <w:rPr>
        <w:rFonts w:ascii="Arial" w:hAnsi="Arial"/>
        <w:snapToGrid w:val="0"/>
        <w:sz w:val="16"/>
        <w:szCs w:val="16"/>
        <w:lang w:val="en-US"/>
      </w:rPr>
      <w:t>INF.</w:t>
    </w:r>
    <w:r w:rsidR="00A603E2">
      <w:rPr>
        <w:rFonts w:ascii="Arial" w:hAnsi="Arial"/>
        <w:snapToGrid w:val="0"/>
        <w:sz w:val="16"/>
        <w:szCs w:val="16"/>
        <w:lang w:val="en-US"/>
      </w:rPr>
      <w:t>5</w:t>
    </w:r>
  </w:p>
  <w:p w14:paraId="6E98A722"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497109">
      <w:rPr>
        <w:rFonts w:ascii="Arial" w:hAnsi="Arial"/>
        <w:noProof/>
        <w:snapToGrid w:val="0"/>
        <w:sz w:val="16"/>
        <w:szCs w:val="16"/>
      </w:rPr>
      <w:t>5</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435"/>
    <w:rsid w:val="00006820"/>
    <w:rsid w:val="000143A3"/>
    <w:rsid w:val="00014D4F"/>
    <w:rsid w:val="00016593"/>
    <w:rsid w:val="00026176"/>
    <w:rsid w:val="0003284B"/>
    <w:rsid w:val="00034828"/>
    <w:rsid w:val="0004134B"/>
    <w:rsid w:val="000463CE"/>
    <w:rsid w:val="00047E84"/>
    <w:rsid w:val="00052E7E"/>
    <w:rsid w:val="000563D5"/>
    <w:rsid w:val="00056B10"/>
    <w:rsid w:val="000625E5"/>
    <w:rsid w:val="00076F9A"/>
    <w:rsid w:val="00080275"/>
    <w:rsid w:val="00080F60"/>
    <w:rsid w:val="00090A58"/>
    <w:rsid w:val="0009215A"/>
    <w:rsid w:val="00095D13"/>
    <w:rsid w:val="00097410"/>
    <w:rsid w:val="000A1A85"/>
    <w:rsid w:val="000A324C"/>
    <w:rsid w:val="000A46AB"/>
    <w:rsid w:val="000A6549"/>
    <w:rsid w:val="000B3573"/>
    <w:rsid w:val="000B4C63"/>
    <w:rsid w:val="000B53FD"/>
    <w:rsid w:val="000C0741"/>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6242"/>
    <w:rsid w:val="000F79E4"/>
    <w:rsid w:val="001013D7"/>
    <w:rsid w:val="00106FC3"/>
    <w:rsid w:val="00113A60"/>
    <w:rsid w:val="00114102"/>
    <w:rsid w:val="0011545F"/>
    <w:rsid w:val="0011702A"/>
    <w:rsid w:val="0012236C"/>
    <w:rsid w:val="00124B75"/>
    <w:rsid w:val="00125E83"/>
    <w:rsid w:val="00126AA9"/>
    <w:rsid w:val="00130FAA"/>
    <w:rsid w:val="00131CD7"/>
    <w:rsid w:val="0013626E"/>
    <w:rsid w:val="00142046"/>
    <w:rsid w:val="00143354"/>
    <w:rsid w:val="00144FA5"/>
    <w:rsid w:val="00156782"/>
    <w:rsid w:val="00156903"/>
    <w:rsid w:val="00156ACE"/>
    <w:rsid w:val="0016790C"/>
    <w:rsid w:val="001729A2"/>
    <w:rsid w:val="001739E9"/>
    <w:rsid w:val="00176072"/>
    <w:rsid w:val="0017767A"/>
    <w:rsid w:val="00182428"/>
    <w:rsid w:val="00183978"/>
    <w:rsid w:val="001878DE"/>
    <w:rsid w:val="00190390"/>
    <w:rsid w:val="001A078E"/>
    <w:rsid w:val="001B4F22"/>
    <w:rsid w:val="001B7B3E"/>
    <w:rsid w:val="001C0E5C"/>
    <w:rsid w:val="001C1D1B"/>
    <w:rsid w:val="001C269B"/>
    <w:rsid w:val="001C4ED8"/>
    <w:rsid w:val="001D1B0A"/>
    <w:rsid w:val="001D6EC2"/>
    <w:rsid w:val="001E133B"/>
    <w:rsid w:val="001E4D07"/>
    <w:rsid w:val="001F4AAA"/>
    <w:rsid w:val="001F6ABC"/>
    <w:rsid w:val="0020240A"/>
    <w:rsid w:val="00202E6D"/>
    <w:rsid w:val="0020431D"/>
    <w:rsid w:val="00205465"/>
    <w:rsid w:val="002132D2"/>
    <w:rsid w:val="00223DF9"/>
    <w:rsid w:val="0023288F"/>
    <w:rsid w:val="002351FA"/>
    <w:rsid w:val="00235B56"/>
    <w:rsid w:val="00240203"/>
    <w:rsid w:val="002431F2"/>
    <w:rsid w:val="002473E1"/>
    <w:rsid w:val="00250FDB"/>
    <w:rsid w:val="00255192"/>
    <w:rsid w:val="002568D2"/>
    <w:rsid w:val="00257C39"/>
    <w:rsid w:val="0027402D"/>
    <w:rsid w:val="0027414F"/>
    <w:rsid w:val="00274F93"/>
    <w:rsid w:val="00283323"/>
    <w:rsid w:val="00291CB3"/>
    <w:rsid w:val="002A27EC"/>
    <w:rsid w:val="002A337E"/>
    <w:rsid w:val="002A53A6"/>
    <w:rsid w:val="002B61F9"/>
    <w:rsid w:val="002C0469"/>
    <w:rsid w:val="002C327D"/>
    <w:rsid w:val="002D1A01"/>
    <w:rsid w:val="002D1BFB"/>
    <w:rsid w:val="002E024B"/>
    <w:rsid w:val="002E3745"/>
    <w:rsid w:val="002E3EB3"/>
    <w:rsid w:val="002E6A16"/>
    <w:rsid w:val="002E7227"/>
    <w:rsid w:val="002F4FC6"/>
    <w:rsid w:val="00300790"/>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2E7"/>
    <w:rsid w:val="00370BB8"/>
    <w:rsid w:val="00377CE8"/>
    <w:rsid w:val="0038428F"/>
    <w:rsid w:val="00387545"/>
    <w:rsid w:val="0039080F"/>
    <w:rsid w:val="003931FE"/>
    <w:rsid w:val="00394699"/>
    <w:rsid w:val="003958AE"/>
    <w:rsid w:val="00397E52"/>
    <w:rsid w:val="003A2337"/>
    <w:rsid w:val="003B0DF4"/>
    <w:rsid w:val="003B23DA"/>
    <w:rsid w:val="003C61C4"/>
    <w:rsid w:val="003D0FA5"/>
    <w:rsid w:val="003D3605"/>
    <w:rsid w:val="003E6E61"/>
    <w:rsid w:val="003F102A"/>
    <w:rsid w:val="00400ADD"/>
    <w:rsid w:val="00401179"/>
    <w:rsid w:val="00406965"/>
    <w:rsid w:val="00410285"/>
    <w:rsid w:val="004176F9"/>
    <w:rsid w:val="00420664"/>
    <w:rsid w:val="00427609"/>
    <w:rsid w:val="00427804"/>
    <w:rsid w:val="00430CD0"/>
    <w:rsid w:val="00432779"/>
    <w:rsid w:val="00432E08"/>
    <w:rsid w:val="00446085"/>
    <w:rsid w:val="00447600"/>
    <w:rsid w:val="00466FB5"/>
    <w:rsid w:val="00467A4B"/>
    <w:rsid w:val="00471ED0"/>
    <w:rsid w:val="00472198"/>
    <w:rsid w:val="00476E9E"/>
    <w:rsid w:val="004819A4"/>
    <w:rsid w:val="0048292C"/>
    <w:rsid w:val="004836F9"/>
    <w:rsid w:val="004847DC"/>
    <w:rsid w:val="004928ED"/>
    <w:rsid w:val="00492FA6"/>
    <w:rsid w:val="00497109"/>
    <w:rsid w:val="0049746A"/>
    <w:rsid w:val="004A0752"/>
    <w:rsid w:val="004A3FE7"/>
    <w:rsid w:val="004A46B8"/>
    <w:rsid w:val="004B0D93"/>
    <w:rsid w:val="004B7EA6"/>
    <w:rsid w:val="004C18DE"/>
    <w:rsid w:val="004D4CA5"/>
    <w:rsid w:val="004D4E53"/>
    <w:rsid w:val="004E622A"/>
    <w:rsid w:val="004F3058"/>
    <w:rsid w:val="004F4DE3"/>
    <w:rsid w:val="004F5608"/>
    <w:rsid w:val="005028A2"/>
    <w:rsid w:val="00506F69"/>
    <w:rsid w:val="0051476B"/>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B794D"/>
    <w:rsid w:val="005C1940"/>
    <w:rsid w:val="005C558D"/>
    <w:rsid w:val="005C5935"/>
    <w:rsid w:val="005C7246"/>
    <w:rsid w:val="005C7902"/>
    <w:rsid w:val="005D3B31"/>
    <w:rsid w:val="005D6AB5"/>
    <w:rsid w:val="005E1804"/>
    <w:rsid w:val="005E5104"/>
    <w:rsid w:val="005E5EF7"/>
    <w:rsid w:val="005F26AD"/>
    <w:rsid w:val="005F58DF"/>
    <w:rsid w:val="0060269E"/>
    <w:rsid w:val="00603AD9"/>
    <w:rsid w:val="006047AC"/>
    <w:rsid w:val="00607B11"/>
    <w:rsid w:val="006111A3"/>
    <w:rsid w:val="00611C20"/>
    <w:rsid w:val="0061668A"/>
    <w:rsid w:val="00620982"/>
    <w:rsid w:val="006256AF"/>
    <w:rsid w:val="00626C86"/>
    <w:rsid w:val="006276DC"/>
    <w:rsid w:val="00630422"/>
    <w:rsid w:val="006373FA"/>
    <w:rsid w:val="00642215"/>
    <w:rsid w:val="00643AEA"/>
    <w:rsid w:val="006440A9"/>
    <w:rsid w:val="00650640"/>
    <w:rsid w:val="00651386"/>
    <w:rsid w:val="00661FED"/>
    <w:rsid w:val="0066312D"/>
    <w:rsid w:val="00666284"/>
    <w:rsid w:val="00670028"/>
    <w:rsid w:val="0067290A"/>
    <w:rsid w:val="00690A5F"/>
    <w:rsid w:val="0069164E"/>
    <w:rsid w:val="006924C5"/>
    <w:rsid w:val="00692C58"/>
    <w:rsid w:val="006970A1"/>
    <w:rsid w:val="00697F7B"/>
    <w:rsid w:val="006A0959"/>
    <w:rsid w:val="006A0ADF"/>
    <w:rsid w:val="006A507B"/>
    <w:rsid w:val="006A73AD"/>
    <w:rsid w:val="006A7F94"/>
    <w:rsid w:val="006B57B7"/>
    <w:rsid w:val="006B6FC7"/>
    <w:rsid w:val="006B7C55"/>
    <w:rsid w:val="006C4EA0"/>
    <w:rsid w:val="006D1972"/>
    <w:rsid w:val="006D78CA"/>
    <w:rsid w:val="006E498C"/>
    <w:rsid w:val="006F3C42"/>
    <w:rsid w:val="00702BE6"/>
    <w:rsid w:val="00706883"/>
    <w:rsid w:val="0072229D"/>
    <w:rsid w:val="007225A1"/>
    <w:rsid w:val="007306F5"/>
    <w:rsid w:val="00742BD3"/>
    <w:rsid w:val="00751575"/>
    <w:rsid w:val="00754516"/>
    <w:rsid w:val="0075583E"/>
    <w:rsid w:val="00760FB2"/>
    <w:rsid w:val="007652AB"/>
    <w:rsid w:val="007705CB"/>
    <w:rsid w:val="00773B7E"/>
    <w:rsid w:val="0079124E"/>
    <w:rsid w:val="00792E94"/>
    <w:rsid w:val="007A0E7B"/>
    <w:rsid w:val="007A19A7"/>
    <w:rsid w:val="007A584D"/>
    <w:rsid w:val="007B5D5A"/>
    <w:rsid w:val="007C1AA7"/>
    <w:rsid w:val="007C5305"/>
    <w:rsid w:val="007D1EF9"/>
    <w:rsid w:val="007D2FA0"/>
    <w:rsid w:val="007D6265"/>
    <w:rsid w:val="007D7EEA"/>
    <w:rsid w:val="007E13BB"/>
    <w:rsid w:val="007E7F2A"/>
    <w:rsid w:val="00805AEB"/>
    <w:rsid w:val="00810504"/>
    <w:rsid w:val="0081450F"/>
    <w:rsid w:val="00826787"/>
    <w:rsid w:val="00830B0E"/>
    <w:rsid w:val="00831771"/>
    <w:rsid w:val="00834438"/>
    <w:rsid w:val="00835551"/>
    <w:rsid w:val="00837FB8"/>
    <w:rsid w:val="00841328"/>
    <w:rsid w:val="00852BEF"/>
    <w:rsid w:val="00854070"/>
    <w:rsid w:val="00854209"/>
    <w:rsid w:val="0085713F"/>
    <w:rsid w:val="0086477D"/>
    <w:rsid w:val="00876F50"/>
    <w:rsid w:val="00880498"/>
    <w:rsid w:val="00886A07"/>
    <w:rsid w:val="00894221"/>
    <w:rsid w:val="008957C7"/>
    <w:rsid w:val="00896081"/>
    <w:rsid w:val="008967B7"/>
    <w:rsid w:val="008A1D67"/>
    <w:rsid w:val="008B3106"/>
    <w:rsid w:val="008B5544"/>
    <w:rsid w:val="008B7C4B"/>
    <w:rsid w:val="008D3CEC"/>
    <w:rsid w:val="008E6B36"/>
    <w:rsid w:val="008F4B57"/>
    <w:rsid w:val="00903D48"/>
    <w:rsid w:val="0090748A"/>
    <w:rsid w:val="00912A46"/>
    <w:rsid w:val="009422FA"/>
    <w:rsid w:val="00945BEF"/>
    <w:rsid w:val="0094733D"/>
    <w:rsid w:val="00953866"/>
    <w:rsid w:val="00962147"/>
    <w:rsid w:val="00962E31"/>
    <w:rsid w:val="00965DC5"/>
    <w:rsid w:val="00966C68"/>
    <w:rsid w:val="00966CE6"/>
    <w:rsid w:val="0096789B"/>
    <w:rsid w:val="009706B9"/>
    <w:rsid w:val="009733A6"/>
    <w:rsid w:val="00975B09"/>
    <w:rsid w:val="009771C0"/>
    <w:rsid w:val="009777E8"/>
    <w:rsid w:val="0098158C"/>
    <w:rsid w:val="00981925"/>
    <w:rsid w:val="00982F17"/>
    <w:rsid w:val="0099031A"/>
    <w:rsid w:val="00991BA0"/>
    <w:rsid w:val="00997F07"/>
    <w:rsid w:val="009A2C98"/>
    <w:rsid w:val="009A4FC8"/>
    <w:rsid w:val="009B6F47"/>
    <w:rsid w:val="009C6524"/>
    <w:rsid w:val="009C79C4"/>
    <w:rsid w:val="009D2885"/>
    <w:rsid w:val="009E281C"/>
    <w:rsid w:val="009E3EBD"/>
    <w:rsid w:val="009E6FA9"/>
    <w:rsid w:val="009E795B"/>
    <w:rsid w:val="009F01B6"/>
    <w:rsid w:val="009F0973"/>
    <w:rsid w:val="009F2DD9"/>
    <w:rsid w:val="00A005D6"/>
    <w:rsid w:val="00A04A9E"/>
    <w:rsid w:val="00A06A74"/>
    <w:rsid w:val="00A0723D"/>
    <w:rsid w:val="00A07FC1"/>
    <w:rsid w:val="00A1389E"/>
    <w:rsid w:val="00A17F67"/>
    <w:rsid w:val="00A21A7D"/>
    <w:rsid w:val="00A2645D"/>
    <w:rsid w:val="00A27409"/>
    <w:rsid w:val="00A315D2"/>
    <w:rsid w:val="00A32928"/>
    <w:rsid w:val="00A349BD"/>
    <w:rsid w:val="00A410D7"/>
    <w:rsid w:val="00A44AF1"/>
    <w:rsid w:val="00A503B5"/>
    <w:rsid w:val="00A57CE8"/>
    <w:rsid w:val="00A603E2"/>
    <w:rsid w:val="00A60437"/>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2316"/>
    <w:rsid w:val="00AC3059"/>
    <w:rsid w:val="00AC338A"/>
    <w:rsid w:val="00AD14D7"/>
    <w:rsid w:val="00AD59A0"/>
    <w:rsid w:val="00AD68F2"/>
    <w:rsid w:val="00AD69C2"/>
    <w:rsid w:val="00AE0C2F"/>
    <w:rsid w:val="00AE32E7"/>
    <w:rsid w:val="00AE33F4"/>
    <w:rsid w:val="00AE50D2"/>
    <w:rsid w:val="00AE73A7"/>
    <w:rsid w:val="00AE7E9E"/>
    <w:rsid w:val="00AF7C57"/>
    <w:rsid w:val="00AF7DC9"/>
    <w:rsid w:val="00B02145"/>
    <w:rsid w:val="00B041A6"/>
    <w:rsid w:val="00B0524A"/>
    <w:rsid w:val="00B12922"/>
    <w:rsid w:val="00B131C5"/>
    <w:rsid w:val="00B17A75"/>
    <w:rsid w:val="00B2202B"/>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746"/>
    <w:rsid w:val="00BB0A40"/>
    <w:rsid w:val="00BB1891"/>
    <w:rsid w:val="00BB35ED"/>
    <w:rsid w:val="00BB776D"/>
    <w:rsid w:val="00BC224B"/>
    <w:rsid w:val="00BC7F14"/>
    <w:rsid w:val="00BD6076"/>
    <w:rsid w:val="00BD7109"/>
    <w:rsid w:val="00BD77CE"/>
    <w:rsid w:val="00BE7600"/>
    <w:rsid w:val="00BF6A72"/>
    <w:rsid w:val="00BF7D16"/>
    <w:rsid w:val="00BF7DFC"/>
    <w:rsid w:val="00C01D3D"/>
    <w:rsid w:val="00C03ED4"/>
    <w:rsid w:val="00C04C77"/>
    <w:rsid w:val="00C05CED"/>
    <w:rsid w:val="00C1260A"/>
    <w:rsid w:val="00C15CB3"/>
    <w:rsid w:val="00C161A1"/>
    <w:rsid w:val="00C16233"/>
    <w:rsid w:val="00C24FA8"/>
    <w:rsid w:val="00C27690"/>
    <w:rsid w:val="00C31727"/>
    <w:rsid w:val="00C32E06"/>
    <w:rsid w:val="00C350C3"/>
    <w:rsid w:val="00C41906"/>
    <w:rsid w:val="00C4703A"/>
    <w:rsid w:val="00C509C1"/>
    <w:rsid w:val="00C532C5"/>
    <w:rsid w:val="00C61186"/>
    <w:rsid w:val="00C64A71"/>
    <w:rsid w:val="00C7003A"/>
    <w:rsid w:val="00C72A39"/>
    <w:rsid w:val="00C75E20"/>
    <w:rsid w:val="00C8138A"/>
    <w:rsid w:val="00C82985"/>
    <w:rsid w:val="00C84D0A"/>
    <w:rsid w:val="00C90787"/>
    <w:rsid w:val="00C93A09"/>
    <w:rsid w:val="00C93E1E"/>
    <w:rsid w:val="00C945EC"/>
    <w:rsid w:val="00C95218"/>
    <w:rsid w:val="00CA2B03"/>
    <w:rsid w:val="00CA2CDA"/>
    <w:rsid w:val="00CA3D31"/>
    <w:rsid w:val="00CA71CC"/>
    <w:rsid w:val="00CB17EE"/>
    <w:rsid w:val="00CB257D"/>
    <w:rsid w:val="00CC546D"/>
    <w:rsid w:val="00CC62F9"/>
    <w:rsid w:val="00CD4D0F"/>
    <w:rsid w:val="00CD7A4F"/>
    <w:rsid w:val="00CE1F32"/>
    <w:rsid w:val="00CE77BC"/>
    <w:rsid w:val="00CF2359"/>
    <w:rsid w:val="00CF3E33"/>
    <w:rsid w:val="00CF645B"/>
    <w:rsid w:val="00D03FC5"/>
    <w:rsid w:val="00D04647"/>
    <w:rsid w:val="00D064E0"/>
    <w:rsid w:val="00D12EA3"/>
    <w:rsid w:val="00D163DC"/>
    <w:rsid w:val="00D16A29"/>
    <w:rsid w:val="00D2514D"/>
    <w:rsid w:val="00D33B77"/>
    <w:rsid w:val="00D35074"/>
    <w:rsid w:val="00D4056A"/>
    <w:rsid w:val="00D52AF0"/>
    <w:rsid w:val="00D52F95"/>
    <w:rsid w:val="00D6320C"/>
    <w:rsid w:val="00D64560"/>
    <w:rsid w:val="00D65991"/>
    <w:rsid w:val="00D66731"/>
    <w:rsid w:val="00D7150D"/>
    <w:rsid w:val="00D80CB1"/>
    <w:rsid w:val="00D8467E"/>
    <w:rsid w:val="00D92E0F"/>
    <w:rsid w:val="00D94CED"/>
    <w:rsid w:val="00D97C9F"/>
    <w:rsid w:val="00DA1F54"/>
    <w:rsid w:val="00DA28E2"/>
    <w:rsid w:val="00DA312C"/>
    <w:rsid w:val="00DA3AF6"/>
    <w:rsid w:val="00DA54C3"/>
    <w:rsid w:val="00DB57E7"/>
    <w:rsid w:val="00DB6161"/>
    <w:rsid w:val="00DC378F"/>
    <w:rsid w:val="00DC66D9"/>
    <w:rsid w:val="00DE5BE0"/>
    <w:rsid w:val="00DF03F9"/>
    <w:rsid w:val="00DF122A"/>
    <w:rsid w:val="00DF3A4A"/>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770E"/>
    <w:rsid w:val="00E93323"/>
    <w:rsid w:val="00E93819"/>
    <w:rsid w:val="00EA0422"/>
    <w:rsid w:val="00EA2C25"/>
    <w:rsid w:val="00EA7A70"/>
    <w:rsid w:val="00EB4ADF"/>
    <w:rsid w:val="00EB4D3D"/>
    <w:rsid w:val="00EC1F5D"/>
    <w:rsid w:val="00EC5B0D"/>
    <w:rsid w:val="00ED49D7"/>
    <w:rsid w:val="00ED557F"/>
    <w:rsid w:val="00EE4226"/>
    <w:rsid w:val="00EE457F"/>
    <w:rsid w:val="00EE5CAB"/>
    <w:rsid w:val="00EF00ED"/>
    <w:rsid w:val="00EF022A"/>
    <w:rsid w:val="00EF57CD"/>
    <w:rsid w:val="00EF7231"/>
    <w:rsid w:val="00F04331"/>
    <w:rsid w:val="00F07812"/>
    <w:rsid w:val="00F10631"/>
    <w:rsid w:val="00F10D47"/>
    <w:rsid w:val="00F12E99"/>
    <w:rsid w:val="00F265D6"/>
    <w:rsid w:val="00F31FEF"/>
    <w:rsid w:val="00F330E1"/>
    <w:rsid w:val="00F42407"/>
    <w:rsid w:val="00F42DC0"/>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801E0"/>
    <w:rsid w:val="00F8067A"/>
    <w:rsid w:val="00F8608C"/>
    <w:rsid w:val="00F87B83"/>
    <w:rsid w:val="00F92014"/>
    <w:rsid w:val="00F9235F"/>
    <w:rsid w:val="00F92AB9"/>
    <w:rsid w:val="00F92BF9"/>
    <w:rsid w:val="00F93402"/>
    <w:rsid w:val="00F9656C"/>
    <w:rsid w:val="00FA532B"/>
    <w:rsid w:val="00FA712F"/>
    <w:rsid w:val="00FA7596"/>
    <w:rsid w:val="00FA7DE6"/>
    <w:rsid w:val="00FB264C"/>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14CCB23"/>
  <w15:docId w15:val="{EF4D562E-E795-47F5-8724-0E55520D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A49E-2AED-4AE8-AF24-41F5B146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7770</Characters>
  <Application>Microsoft Office Word</Application>
  <DocSecurity>4</DocSecurity>
  <Lines>64</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2019-01-10T08:26:00Z</cp:lastPrinted>
  <dcterms:created xsi:type="dcterms:W3CDTF">2019-01-10T09:57:00Z</dcterms:created>
  <dcterms:modified xsi:type="dcterms:W3CDTF">2019-01-10T09:57:00Z</dcterms:modified>
</cp:coreProperties>
</file>