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4829E7" w:rsidRPr="004829E7" w:rsidTr="004829E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17253" w:rsidRPr="00367E6A" w:rsidRDefault="0031725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17253" w:rsidRPr="00367E6A" w:rsidRDefault="00317253" w:rsidP="00F01516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317253" w:rsidRPr="004829E7" w:rsidRDefault="00AA63E3" w:rsidP="002B56D7">
            <w:pPr>
              <w:jc w:val="right"/>
              <w:rPr>
                <w:lang w:val="en-GB"/>
              </w:rPr>
            </w:pPr>
            <w:r w:rsidRPr="004829E7">
              <w:rPr>
                <w:sz w:val="40"/>
                <w:lang w:val="en-GB"/>
              </w:rPr>
              <w:t>INF.</w:t>
            </w:r>
            <w:r w:rsidR="008F6E1F">
              <w:rPr>
                <w:sz w:val="40"/>
                <w:lang w:val="en-GB"/>
              </w:rPr>
              <w:t>6</w:t>
            </w:r>
          </w:p>
        </w:tc>
      </w:tr>
    </w:tbl>
    <w:p w:rsidR="00317253" w:rsidRPr="00367E6A" w:rsidRDefault="00317253" w:rsidP="000312C0">
      <w:pPr>
        <w:spacing w:before="120"/>
        <w:rPr>
          <w:b/>
          <w:sz w:val="28"/>
          <w:szCs w:val="28"/>
        </w:rPr>
      </w:pPr>
      <w:r w:rsidRPr="00367E6A">
        <w:rPr>
          <w:b/>
          <w:sz w:val="28"/>
          <w:szCs w:val="28"/>
        </w:rPr>
        <w:t>Commission économique pour l’Europe</w:t>
      </w:r>
    </w:p>
    <w:p w:rsidR="00317253" w:rsidRPr="004829E7" w:rsidRDefault="00317253" w:rsidP="004829E7">
      <w:pPr>
        <w:tabs>
          <w:tab w:val="left" w:pos="7088"/>
        </w:tabs>
        <w:spacing w:before="120"/>
      </w:pPr>
      <w:r w:rsidRPr="00367E6A">
        <w:rPr>
          <w:sz w:val="28"/>
          <w:szCs w:val="28"/>
        </w:rPr>
        <w:t>Comité des transports intérieurs</w:t>
      </w:r>
      <w:r w:rsidR="004829E7">
        <w:rPr>
          <w:sz w:val="28"/>
          <w:szCs w:val="28"/>
        </w:rPr>
        <w:tab/>
      </w:r>
      <w:r w:rsidR="004829E7">
        <w:t>10 juillet 2019</w:t>
      </w:r>
    </w:p>
    <w:p w:rsidR="004829E7" w:rsidRPr="004829E7" w:rsidRDefault="00317253" w:rsidP="004829E7">
      <w:pPr>
        <w:tabs>
          <w:tab w:val="left" w:pos="7088"/>
        </w:tabs>
        <w:spacing w:before="120"/>
        <w:rPr>
          <w:bCs/>
        </w:rPr>
      </w:pPr>
      <w:r w:rsidRPr="004829E7">
        <w:rPr>
          <w:b/>
        </w:rPr>
        <w:t xml:space="preserve">Groupe de travail des transports de marchandises </w:t>
      </w:r>
      <w:r w:rsidR="004829E7">
        <w:rPr>
          <w:b/>
        </w:rPr>
        <w:t>dangereuses</w:t>
      </w:r>
      <w:r w:rsidR="004829E7">
        <w:rPr>
          <w:b/>
        </w:rPr>
        <w:tab/>
      </w:r>
      <w:r w:rsidR="004829E7" w:rsidRPr="004829E7">
        <w:rPr>
          <w:bCs/>
        </w:rPr>
        <w:t>Original : français et anglais</w:t>
      </w:r>
    </w:p>
    <w:p w:rsidR="00317253" w:rsidRPr="004829E7" w:rsidRDefault="004829E7" w:rsidP="004829E7">
      <w:pPr>
        <w:tabs>
          <w:tab w:val="left" w:pos="7088"/>
        </w:tabs>
        <w:spacing w:before="120"/>
        <w:rPr>
          <w:bCs/>
        </w:rPr>
      </w:pPr>
      <w:r w:rsidRPr="004829E7">
        <w:rPr>
          <w:b/>
        </w:rPr>
        <w:t>Réunion commune d’experts sur le Règlement annexé</w:t>
      </w:r>
      <w:r>
        <w:rPr>
          <w:bCs/>
        </w:rPr>
        <w:tab/>
      </w:r>
    </w:p>
    <w:p w:rsidR="00317253" w:rsidRPr="00A17EEC" w:rsidRDefault="00317253" w:rsidP="004829E7">
      <w:pPr>
        <w:rPr>
          <w:b/>
        </w:rPr>
      </w:pPr>
      <w:proofErr w:type="gramStart"/>
      <w:r w:rsidRPr="00A17EEC">
        <w:rPr>
          <w:b/>
        </w:rPr>
        <w:t>à</w:t>
      </w:r>
      <w:proofErr w:type="gramEnd"/>
      <w:r w:rsidRPr="00A17EEC">
        <w:rPr>
          <w:b/>
        </w:rPr>
        <w:t xml:space="preserve"> l’Accord européen relatif au transport international</w:t>
      </w:r>
      <w:r w:rsidRPr="00A17EEC">
        <w:rPr>
          <w:b/>
        </w:rPr>
        <w:br/>
        <w:t xml:space="preserve">des marchandises </w:t>
      </w:r>
      <w:r w:rsidRPr="00A17EEC">
        <w:rPr>
          <w:b/>
          <w:bCs/>
          <w:iCs/>
        </w:rPr>
        <w:t>dangereuses par voies de navigation</w:t>
      </w:r>
      <w:r w:rsidRPr="00A17EEC">
        <w:rPr>
          <w:b/>
          <w:bCs/>
          <w:iCs/>
        </w:rPr>
        <w:br/>
        <w:t xml:space="preserve">intérieures (ADN) </w:t>
      </w:r>
      <w:r w:rsidRPr="00A17EEC">
        <w:rPr>
          <w:b/>
          <w:bCs/>
        </w:rPr>
        <w:t>(Comité de sécurité de l’ADN)</w:t>
      </w:r>
    </w:p>
    <w:p w:rsidR="00317253" w:rsidRPr="00234E40" w:rsidRDefault="00317253" w:rsidP="00122AA2">
      <w:pPr>
        <w:spacing w:before="120"/>
        <w:rPr>
          <w:b/>
        </w:rPr>
      </w:pPr>
      <w:r>
        <w:rPr>
          <w:b/>
        </w:rPr>
        <w:t xml:space="preserve">Trente-cinquième </w:t>
      </w:r>
      <w:r w:rsidRPr="00234E40">
        <w:rPr>
          <w:b/>
        </w:rPr>
        <w:t>session</w:t>
      </w:r>
    </w:p>
    <w:p w:rsidR="00317253" w:rsidRDefault="00317253" w:rsidP="00A50EC6">
      <w:r>
        <w:t>Genève, 26-30 août 2019</w:t>
      </w:r>
    </w:p>
    <w:p w:rsidR="00317253" w:rsidRDefault="00317253" w:rsidP="00A50EC6">
      <w:r w:rsidRPr="00B93E72">
        <w:t>Point</w:t>
      </w:r>
      <w:r>
        <w:t xml:space="preserve"> 4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317253" w:rsidRDefault="00317253" w:rsidP="00B30CFB">
      <w:pPr>
        <w:rPr>
          <w:b/>
        </w:rPr>
      </w:pPr>
      <w:r w:rsidRPr="00A50EC6">
        <w:rPr>
          <w:b/>
        </w:rPr>
        <w:t>Propositions d’amendements au Règlement annexé à l’ADN</w:t>
      </w:r>
      <w:r>
        <w:rPr>
          <w:b/>
        </w:rPr>
        <w:t xml:space="preserve"> </w:t>
      </w:r>
      <w:r w:rsidRPr="00A50EC6">
        <w:rPr>
          <w:b/>
        </w:rPr>
        <w:t>:</w:t>
      </w:r>
    </w:p>
    <w:p w:rsidR="00317253" w:rsidRPr="00A50EC6" w:rsidRDefault="00317253" w:rsidP="004829E7">
      <w:pPr>
        <w:pBdr>
          <w:bottom w:val="single" w:sz="4" w:space="5" w:color="auto"/>
        </w:pBdr>
        <w:rPr>
          <w:b/>
        </w:rPr>
      </w:pPr>
      <w:proofErr w:type="gramStart"/>
      <w:r>
        <w:rPr>
          <w:b/>
        </w:rPr>
        <w:t>autres</w:t>
      </w:r>
      <w:proofErr w:type="gramEnd"/>
      <w:r>
        <w:rPr>
          <w:b/>
        </w:rPr>
        <w:t xml:space="preserve"> propositions</w:t>
      </w:r>
    </w:p>
    <w:p w:rsidR="00317253" w:rsidRPr="001B2AD1" w:rsidRDefault="00317253" w:rsidP="001B2AD1">
      <w:pPr>
        <w:pStyle w:val="HChG"/>
        <w:rPr>
          <w:lang w:val="fr-FR"/>
        </w:rPr>
      </w:pPr>
      <w:r w:rsidRPr="00C63AC1">
        <w:tab/>
      </w:r>
      <w:r w:rsidRPr="00C63AC1">
        <w:tab/>
      </w:r>
      <w:r w:rsidRPr="001B2AD1">
        <w:rPr>
          <w:lang w:val="fr-FR"/>
        </w:rPr>
        <w:t xml:space="preserve">Correctif </w:t>
      </w:r>
      <w:r w:rsidR="001B2AD1" w:rsidRPr="001B2AD1">
        <w:rPr>
          <w:lang w:val="fr-FR"/>
        </w:rPr>
        <w:t>au 7.2.2.19.3 de l’ADN</w:t>
      </w:r>
      <w:r w:rsidR="006105B0" w:rsidRPr="001B2AD1">
        <w:rPr>
          <w:lang w:val="fr-FR"/>
        </w:rPr>
        <w:t xml:space="preserve"> – </w:t>
      </w:r>
      <w:r w:rsidR="006105B0" w:rsidRPr="001B2AD1">
        <w:rPr>
          <w:i/>
          <w:iCs/>
          <w:lang w:val="fr-FR"/>
        </w:rPr>
        <w:t xml:space="preserve">Correction to </w:t>
      </w:r>
      <w:r w:rsidR="001B2AD1" w:rsidRPr="001B2AD1">
        <w:rPr>
          <w:i/>
          <w:iCs/>
          <w:lang w:val="fr-FR"/>
        </w:rPr>
        <w:t>A</w:t>
      </w:r>
      <w:r w:rsidR="001B2AD1">
        <w:rPr>
          <w:i/>
          <w:iCs/>
          <w:lang w:val="fr-FR"/>
        </w:rPr>
        <w:t>DN 7.2.2.19.3</w:t>
      </w:r>
    </w:p>
    <w:p w:rsidR="00317253" w:rsidRPr="00374BCF" w:rsidRDefault="00317253" w:rsidP="00CF39C4">
      <w:pPr>
        <w:pStyle w:val="H1G"/>
        <w:keepNext w:val="0"/>
        <w:rPr>
          <w:rFonts w:ascii="(Utiliser une police de caractè" w:hAnsi="(Utiliser une police de caractè"/>
        </w:rPr>
      </w:pPr>
      <w:r w:rsidRPr="001B2AD1">
        <w:rPr>
          <w:lang w:val="fr-FR"/>
        </w:rPr>
        <w:tab/>
      </w:r>
      <w:r w:rsidRPr="001B2AD1">
        <w:rPr>
          <w:lang w:val="fr-FR"/>
        </w:rPr>
        <w:tab/>
      </w:r>
      <w:r>
        <w:t>Communication du Gouvernement de la France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317253" w:rsidRPr="00A87087" w:rsidTr="00B344AF">
        <w:trPr>
          <w:jc w:val="center"/>
        </w:trPr>
        <w:tc>
          <w:tcPr>
            <w:tcW w:w="2330" w:type="dxa"/>
            <w:tcBorders>
              <w:bottom w:val="nil"/>
            </w:tcBorders>
          </w:tcPr>
          <w:p w:rsidR="00317253" w:rsidRPr="00A87087" w:rsidRDefault="00317253" w:rsidP="00607E5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i/>
                <w:lang w:eastAsia="fr-FR"/>
              </w:rPr>
            </w:pPr>
            <w:bookmarkStart w:id="0" w:name="_Hlk515009299"/>
            <w:r w:rsidRPr="002B64A7">
              <w:rPr>
                <w:i/>
                <w:sz w:val="24"/>
                <w:szCs w:val="24"/>
                <w:lang w:eastAsia="fr-FR"/>
              </w:rPr>
              <w:t>Résumé</w:t>
            </w:r>
          </w:p>
        </w:tc>
        <w:tc>
          <w:tcPr>
            <w:tcW w:w="7309" w:type="dxa"/>
            <w:tcBorders>
              <w:bottom w:val="nil"/>
            </w:tcBorders>
          </w:tcPr>
          <w:p w:rsidR="00317253" w:rsidRPr="00A87087" w:rsidRDefault="00317253" w:rsidP="00607E5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lang w:eastAsia="fr-FR"/>
              </w:rPr>
            </w:pPr>
          </w:p>
        </w:tc>
      </w:tr>
      <w:tr w:rsidR="00317253" w:rsidRPr="006105B0" w:rsidTr="00AF67F5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317253" w:rsidRPr="00A87087" w:rsidRDefault="00317253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Résumé analytique :</w:t>
            </w:r>
          </w:p>
        </w:tc>
        <w:tc>
          <w:tcPr>
            <w:tcW w:w="7309" w:type="dxa"/>
            <w:tcBorders>
              <w:top w:val="nil"/>
              <w:bottom w:val="nil"/>
            </w:tcBorders>
          </w:tcPr>
          <w:p w:rsidR="006105B0" w:rsidRPr="006105B0" w:rsidRDefault="00317253" w:rsidP="006105B0">
            <w:pPr>
              <w:suppressAutoHyphens w:val="0"/>
              <w:autoSpaceDE w:val="0"/>
              <w:autoSpaceDN w:val="0"/>
              <w:adjustRightInd w:val="0"/>
              <w:spacing w:before="40" w:after="120" w:line="240" w:lineRule="auto"/>
              <w:jc w:val="both"/>
              <w:rPr>
                <w:rFonts w:cs="Arial"/>
                <w:i/>
                <w:iCs/>
                <w:lang w:eastAsia="fr-FR"/>
              </w:rPr>
            </w:pPr>
            <w:r>
              <w:t>L</w:t>
            </w:r>
            <w:r w:rsidRPr="005562AD">
              <w:t xml:space="preserve">e document </w:t>
            </w:r>
            <w:r w:rsidR="001B2AD1">
              <w:t xml:space="preserve">propose de corriger un </w:t>
            </w:r>
            <w:r w:rsidR="0024327B">
              <w:t xml:space="preserve">oubli </w:t>
            </w:r>
            <w:r w:rsidR="001B2AD1">
              <w:t>concernant un amendement de conséquence au 7.2.2.19.3</w:t>
            </w:r>
            <w:r w:rsidR="0024327B">
              <w:t xml:space="preserve"> du Règlement Annexé à l’ADN</w:t>
            </w:r>
            <w:r w:rsidR="006105B0">
              <w:t xml:space="preserve">. / </w:t>
            </w:r>
            <w:r w:rsidR="006105B0" w:rsidRPr="0006393C">
              <w:rPr>
                <w:i/>
                <w:iCs/>
                <w:lang w:val="fr-CH"/>
              </w:rPr>
              <w:t xml:space="preserve">This document proposes to correct a lack </w:t>
            </w:r>
            <w:r w:rsidR="001B2AD1" w:rsidRPr="0006393C">
              <w:rPr>
                <w:i/>
                <w:iCs/>
                <w:lang w:val="fr-CH"/>
              </w:rPr>
              <w:t>regarding a consequential amendment in 7.2.2.19.3</w:t>
            </w:r>
            <w:r w:rsidR="006105B0" w:rsidRPr="0006393C">
              <w:rPr>
                <w:i/>
                <w:iCs/>
                <w:lang w:val="fr-CH"/>
              </w:rPr>
              <w:t xml:space="preserve"> of the Annexed Regulations.</w:t>
            </w:r>
          </w:p>
        </w:tc>
      </w:tr>
      <w:tr w:rsidR="00317253" w:rsidRPr="0006393C" w:rsidTr="00AF67F5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317253" w:rsidRPr="00A87087" w:rsidRDefault="00317253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Mesure à prendre :</w:t>
            </w:r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:rsidR="00317253" w:rsidRPr="0006393C" w:rsidRDefault="00317253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  <w:rPr>
                <w:lang w:val="en-GB" w:eastAsia="fr-FR"/>
              </w:rPr>
            </w:pPr>
            <w:r w:rsidRPr="0006393C">
              <w:rPr>
                <w:lang w:val="en-GB"/>
              </w:rPr>
              <w:t xml:space="preserve">Voir paragraphe </w:t>
            </w:r>
            <w:r w:rsidR="00AF67F5" w:rsidRPr="0006393C">
              <w:rPr>
                <w:lang w:val="en-GB"/>
              </w:rPr>
              <w:t>4</w:t>
            </w:r>
            <w:r w:rsidR="006105B0" w:rsidRPr="0006393C">
              <w:rPr>
                <w:lang w:val="en-GB"/>
              </w:rPr>
              <w:t xml:space="preserve"> / </w:t>
            </w:r>
            <w:r w:rsidR="006105B0" w:rsidRPr="006105B0">
              <w:rPr>
                <w:i/>
                <w:iCs/>
                <w:lang w:val="en-GB"/>
              </w:rPr>
              <w:t xml:space="preserve">Refer to in paragraph </w:t>
            </w:r>
            <w:r w:rsidR="00AF67F5">
              <w:rPr>
                <w:i/>
                <w:iCs/>
                <w:lang w:val="en-GB"/>
              </w:rPr>
              <w:t>4</w:t>
            </w:r>
          </w:p>
        </w:tc>
      </w:tr>
      <w:tr w:rsidR="00317253" w:rsidRPr="00A87087" w:rsidTr="00C8584D">
        <w:trPr>
          <w:jc w:val="center"/>
        </w:trPr>
        <w:tc>
          <w:tcPr>
            <w:tcW w:w="2330" w:type="dxa"/>
            <w:tcBorders>
              <w:top w:val="nil"/>
            </w:tcBorders>
          </w:tcPr>
          <w:p w:rsidR="00317253" w:rsidRPr="00A87087" w:rsidRDefault="00317253" w:rsidP="002B64A7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A87087">
              <w:rPr>
                <w:b/>
                <w:lang w:eastAsia="fr-FR"/>
              </w:rPr>
              <w:t>Documents connexes</w:t>
            </w:r>
            <w:r>
              <w:rPr>
                <w:b/>
                <w:lang w:eastAsia="fr-FR"/>
              </w:rPr>
              <w:t> :</w:t>
            </w:r>
          </w:p>
        </w:tc>
        <w:tc>
          <w:tcPr>
            <w:tcW w:w="7309" w:type="dxa"/>
            <w:tcBorders>
              <w:top w:val="nil"/>
            </w:tcBorders>
          </w:tcPr>
          <w:p w:rsidR="00317253" w:rsidRPr="006105B0" w:rsidRDefault="00317253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  <w:rPr>
                <w:lang w:eastAsia="fr-FR"/>
              </w:rPr>
            </w:pPr>
            <w:r w:rsidRPr="005562AD">
              <w:rPr>
                <w:lang w:eastAsia="de-DE"/>
              </w:rPr>
              <w:t>Néant</w:t>
            </w:r>
            <w:r w:rsidR="006105B0">
              <w:rPr>
                <w:lang w:eastAsia="de-DE"/>
              </w:rPr>
              <w:t xml:space="preserve"> / </w:t>
            </w:r>
            <w:r w:rsidR="006105B0" w:rsidRPr="006105B0">
              <w:rPr>
                <w:i/>
                <w:iCs/>
                <w:lang w:val="en-GB" w:eastAsia="de-DE"/>
              </w:rPr>
              <w:t>None</w:t>
            </w:r>
          </w:p>
        </w:tc>
      </w:tr>
    </w:tbl>
    <w:bookmarkEnd w:id="0"/>
    <w:p w:rsidR="00317253" w:rsidRPr="00FF1E43" w:rsidRDefault="00317253" w:rsidP="00E30A6C">
      <w:pPr>
        <w:pStyle w:val="HChG"/>
      </w:pPr>
      <w:r>
        <w:tab/>
      </w:r>
      <w:r>
        <w:tab/>
      </w:r>
      <w:r w:rsidRPr="00FF1E43">
        <w:t>Introduction</w:t>
      </w:r>
      <w:r w:rsidR="00E61B02">
        <w:t xml:space="preserve"> / </w:t>
      </w:r>
      <w:r w:rsidR="00E61B02" w:rsidRPr="00E61B02">
        <w:rPr>
          <w:i/>
          <w:iCs/>
        </w:rPr>
        <w:t>Introduction</w:t>
      </w:r>
    </w:p>
    <w:p w:rsidR="00317253" w:rsidRDefault="00317253" w:rsidP="00E73E0F">
      <w:pPr>
        <w:pStyle w:val="SingleTxtG"/>
      </w:pPr>
      <w:r w:rsidRPr="00DD38E9">
        <w:t>1.</w:t>
      </w:r>
      <w:r w:rsidRPr="00DD38E9">
        <w:tab/>
      </w:r>
      <w:r>
        <w:t>L</w:t>
      </w:r>
      <w:r w:rsidR="0024327B">
        <w:t>e</w:t>
      </w:r>
      <w:r w:rsidR="00F935B1">
        <w:t xml:space="preserve"> 9.3.3.10.2 du Règlement Annexé à l’ADN</w:t>
      </w:r>
      <w:r w:rsidR="0024327B">
        <w:t xml:space="preserve"> </w:t>
      </w:r>
      <w:r w:rsidR="00F935B1">
        <w:t>2017</w:t>
      </w:r>
      <w:r w:rsidR="0024327B">
        <w:t xml:space="preserve"> </w:t>
      </w:r>
      <w:r w:rsidR="00F935B1">
        <w:t xml:space="preserve">contenait des </w:t>
      </w:r>
      <w:r w:rsidR="00E73E0F">
        <w:t>prescriptions</w:t>
      </w:r>
      <w:r w:rsidR="00F935B1">
        <w:t xml:space="preserve"> relatives à la hauteur des arêtes inférieures </w:t>
      </w:r>
      <w:r w:rsidR="00E73E0F">
        <w:t>des ouvertures de portes situées dans les parois latérales des superstructures</w:t>
      </w:r>
      <w:r w:rsidR="0024327B">
        <w:t>.</w:t>
      </w:r>
      <w:r w:rsidR="00E73E0F">
        <w:t xml:space="preserve"> Ces prescriptions étaient applicables aux bateaux utilisés pour la propulsion dans le cadre du 7.2.2.19.3.</w:t>
      </w:r>
    </w:p>
    <w:p w:rsidR="00E73E0F" w:rsidRPr="00E73E0F" w:rsidRDefault="0024327B" w:rsidP="0024327B">
      <w:pPr>
        <w:pStyle w:val="SingleTxtG"/>
        <w:rPr>
          <w:i/>
          <w:iCs/>
          <w:lang w:val="en-GB"/>
        </w:rPr>
      </w:pPr>
      <w:r w:rsidRPr="0006393C">
        <w:rPr>
          <w:i/>
          <w:iCs/>
        </w:rPr>
        <w:tab/>
      </w:r>
      <w:r w:rsidR="00E73E0F">
        <w:rPr>
          <w:i/>
          <w:iCs/>
          <w:lang w:val="en-GB"/>
        </w:rPr>
        <w:t>9.3.3.10.2 o</w:t>
      </w:r>
      <w:r w:rsidR="00E73E0F" w:rsidRPr="00E73E0F">
        <w:rPr>
          <w:i/>
          <w:iCs/>
          <w:lang w:val="en-GB"/>
        </w:rPr>
        <w:t>f the Annexed regulations</w:t>
      </w:r>
      <w:r w:rsidR="00E73E0F">
        <w:rPr>
          <w:i/>
          <w:iCs/>
          <w:lang w:val="en-GB"/>
        </w:rPr>
        <w:t xml:space="preserve"> to ADN 2017 was containing requirements dealing with the height of </w:t>
      </w:r>
      <w:r w:rsidR="00E73E0F" w:rsidRPr="00E73E0F">
        <w:rPr>
          <w:i/>
          <w:iCs/>
          <w:lang w:val="en-GB"/>
        </w:rPr>
        <w:t>the lower edges of door-openings in the sidewalls of superstructures</w:t>
      </w:r>
      <w:r w:rsidR="00E73E0F">
        <w:rPr>
          <w:i/>
          <w:iCs/>
          <w:lang w:val="en-GB"/>
        </w:rPr>
        <w:t>. These requirements were applicable to the vessels used for the propulsion in the framework of 7.2.2.19.3.</w:t>
      </w:r>
    </w:p>
    <w:p w:rsidR="0024327B" w:rsidRDefault="00317253" w:rsidP="00E61B02">
      <w:pPr>
        <w:pStyle w:val="SingleTxtG"/>
      </w:pPr>
      <w:r>
        <w:t>2</w:t>
      </w:r>
      <w:r w:rsidRPr="00DD38E9">
        <w:t>.</w:t>
      </w:r>
      <w:r w:rsidRPr="00DD38E9">
        <w:tab/>
      </w:r>
      <w:r w:rsidR="00E73E0F">
        <w:t xml:space="preserve">Les </w:t>
      </w:r>
      <w:r w:rsidR="00E61B02">
        <w:t>amendements apporté</w:t>
      </w:r>
      <w:r w:rsidR="00E73E0F">
        <w:t>s au 9.3.x.10 du Règlement annexé à l’ADN 2019 ont pour conséquence que les prescriptions</w:t>
      </w:r>
      <w:r w:rsidR="00E61B02">
        <w:t xml:space="preserve"> relatives à la hauteur des arêtes inférieures des ouvertures de portes situées dans les parois latérales des superstructures se trouvent à présent au 9.3.x.10.4 au lieu du 9.</w:t>
      </w:r>
      <w:proofErr w:type="gramStart"/>
      <w:r w:rsidR="00E61B02">
        <w:t>3.x.</w:t>
      </w:r>
      <w:proofErr w:type="gramEnd"/>
      <w:r w:rsidR="00E61B02">
        <w:t>10.2.</w:t>
      </w:r>
      <w:r w:rsidR="00E73E0F">
        <w:t xml:space="preserve"> </w:t>
      </w:r>
      <w:r w:rsidR="00E61B02">
        <w:t>Ce changement de référence n’a pas été répercuté dans le texte du 7.2.2.</w:t>
      </w:r>
      <w:proofErr w:type="gramStart"/>
      <w:r w:rsidR="00E61B02">
        <w:t>19.3.</w:t>
      </w:r>
      <w:r w:rsidR="006105B0">
        <w:t>.</w:t>
      </w:r>
      <w:proofErr w:type="gramEnd"/>
    </w:p>
    <w:p w:rsidR="0024327B" w:rsidRDefault="006105B0" w:rsidP="00E61B02">
      <w:pPr>
        <w:pStyle w:val="SingleTxtG"/>
        <w:rPr>
          <w:i/>
          <w:iCs/>
          <w:lang w:val="en-GB"/>
        </w:rPr>
      </w:pPr>
      <w:r w:rsidRPr="006105B0">
        <w:rPr>
          <w:i/>
          <w:iCs/>
        </w:rPr>
        <w:tab/>
      </w:r>
      <w:r w:rsidR="00E61B02">
        <w:rPr>
          <w:i/>
          <w:iCs/>
          <w:lang w:val="en-GB"/>
        </w:rPr>
        <w:t xml:space="preserve">The amendments to 9.3.x.10 of the Annexed regulations to ADN 2019 make that the requirements related to the height of </w:t>
      </w:r>
      <w:r w:rsidR="00E61B02" w:rsidRPr="00E73E0F">
        <w:rPr>
          <w:i/>
          <w:iCs/>
          <w:lang w:val="en-GB"/>
        </w:rPr>
        <w:t>the lower edges of door-openings in the sidewalls of superstructures</w:t>
      </w:r>
      <w:r w:rsidR="00E61B02" w:rsidRPr="006105B0">
        <w:rPr>
          <w:i/>
          <w:iCs/>
          <w:lang w:val="en-GB"/>
        </w:rPr>
        <w:t xml:space="preserve"> </w:t>
      </w:r>
      <w:r w:rsidR="00E61B02">
        <w:rPr>
          <w:i/>
          <w:iCs/>
          <w:lang w:val="en-GB"/>
        </w:rPr>
        <w:t>are now located in 9.3.x.10.4 instead of 9.</w:t>
      </w:r>
      <w:proofErr w:type="gramStart"/>
      <w:r w:rsidR="00E61B02">
        <w:rPr>
          <w:i/>
          <w:iCs/>
          <w:lang w:val="en-GB"/>
        </w:rPr>
        <w:t>3.x.</w:t>
      </w:r>
      <w:proofErr w:type="gramEnd"/>
      <w:r w:rsidR="00E61B02">
        <w:rPr>
          <w:i/>
          <w:iCs/>
          <w:lang w:val="en-GB"/>
        </w:rPr>
        <w:t xml:space="preserve">10.2. This change has not been </w:t>
      </w:r>
      <w:proofErr w:type="gramStart"/>
      <w:r w:rsidR="00E61B02">
        <w:rPr>
          <w:i/>
          <w:iCs/>
          <w:lang w:val="en-GB"/>
        </w:rPr>
        <w:t>taken into account</w:t>
      </w:r>
      <w:proofErr w:type="gramEnd"/>
      <w:r w:rsidR="00E61B02">
        <w:rPr>
          <w:i/>
          <w:iCs/>
          <w:lang w:val="en-GB"/>
        </w:rPr>
        <w:t xml:space="preserve"> in the text of 7.2.2.19.3</w:t>
      </w:r>
      <w:r w:rsidRPr="006105B0">
        <w:rPr>
          <w:i/>
          <w:iCs/>
          <w:lang w:val="en-GB"/>
        </w:rPr>
        <w:t>.</w:t>
      </w:r>
    </w:p>
    <w:p w:rsidR="00E61B02" w:rsidRPr="00AE1716" w:rsidRDefault="00E61B02" w:rsidP="00BD48AD">
      <w:pPr>
        <w:pStyle w:val="HChG"/>
      </w:pPr>
      <w:r w:rsidRPr="006105B0">
        <w:rPr>
          <w:lang w:val="en-GB"/>
        </w:rPr>
        <w:lastRenderedPageBreak/>
        <w:tab/>
      </w:r>
      <w:bookmarkStart w:id="1" w:name="_GoBack"/>
      <w:bookmarkEnd w:id="1"/>
      <w:r w:rsidRPr="006105B0">
        <w:rPr>
          <w:lang w:val="en-GB"/>
        </w:rPr>
        <w:tab/>
      </w:r>
      <w:r>
        <w:t xml:space="preserve">Propositions / </w:t>
      </w:r>
      <w:proofErr w:type="spellStart"/>
      <w:r w:rsidRPr="00E61B02">
        <w:rPr>
          <w:i/>
          <w:iCs/>
        </w:rPr>
        <w:t>Proposals</w:t>
      </w:r>
      <w:proofErr w:type="spellEnd"/>
    </w:p>
    <w:p w:rsidR="00FC50F3" w:rsidRDefault="00FC50F3" w:rsidP="00BD48AD">
      <w:pPr>
        <w:pStyle w:val="SingleTxtG"/>
        <w:keepNext/>
        <w:keepLines/>
      </w:pPr>
      <w:r w:rsidRPr="006105B0">
        <w:t>3.</w:t>
      </w:r>
      <w:r w:rsidRPr="006105B0">
        <w:tab/>
      </w:r>
      <w:r>
        <w:t>Il est donc proposé d’apporter la modification suivante au texte du 7.2.2.19.3 :</w:t>
      </w:r>
    </w:p>
    <w:p w:rsidR="00FC50F3" w:rsidRPr="00FC50F3" w:rsidRDefault="00FC50F3" w:rsidP="00BD48AD">
      <w:pPr>
        <w:pStyle w:val="SingleTxtG"/>
        <w:keepNext/>
        <w:keepLines/>
        <w:ind w:left="2268" w:hanging="1134"/>
      </w:pPr>
      <w:r>
        <w:t>« </w:t>
      </w:r>
      <w:r w:rsidR="00AF67F5">
        <w:t>7.2.2.19.3</w:t>
      </w:r>
      <w:r>
        <w:tab/>
      </w:r>
      <w:r w:rsidRPr="00FC50F3">
        <w:t>Lorsqu’un convoi poussé ou une formation à couple comporte un bateau-citerne transportant</w:t>
      </w:r>
      <w:r>
        <w:t xml:space="preserve"> </w:t>
      </w:r>
      <w:r w:rsidRPr="00FC50F3">
        <w:t>des matières dangereuses, les bateaux utilisés pour la propulsion doivent satisfaire aux</w:t>
      </w:r>
      <w:r>
        <w:t xml:space="preserve"> </w:t>
      </w:r>
      <w:r w:rsidRPr="00FC50F3">
        <w:t>prescriptions des paragraphes ci-dessous</w:t>
      </w:r>
      <w:r>
        <w:t> :</w:t>
      </w:r>
    </w:p>
    <w:p w:rsidR="00FC50F3" w:rsidRDefault="00FC50F3" w:rsidP="00FC50F3">
      <w:pPr>
        <w:pStyle w:val="SingleTxtG"/>
        <w:ind w:left="2268"/>
      </w:pPr>
      <w:r w:rsidRPr="00FC50F3">
        <w:t>1.16.1.1, 1.16.1.2, 1.16.1.3, 1.16.1.4, 7.2.2.5, 8.1.4, 8.1.5, 8.1.6.1, 8.1.6.3, 8.1.7, 8.3.5,</w:t>
      </w:r>
      <w:r>
        <w:t xml:space="preserve"> </w:t>
      </w:r>
      <w:r w:rsidRPr="00FC50F3">
        <w:t xml:space="preserve">9.3.3.0.1, 9.3.3.0.3 d), 9.3.3.0.5, 9.3.3.10.1, </w:t>
      </w:r>
      <w:r w:rsidRPr="00FC50F3">
        <w:rPr>
          <w:rFonts w:ascii="(Utiliser une police de caractè" w:hAnsi="(Utiliser une police de caractè"/>
          <w:b/>
          <w:bCs/>
          <w:dstrike/>
          <w:u w:val="single"/>
        </w:rPr>
        <w:t>9.3.3.10.2</w:t>
      </w:r>
      <w:r w:rsidRPr="00FC50F3">
        <w:rPr>
          <w:b/>
          <w:bCs/>
          <w:u w:val="single"/>
        </w:rPr>
        <w:t xml:space="preserve"> 9.3.3.10.4</w:t>
      </w:r>
      <w:r>
        <w:t xml:space="preserve">, </w:t>
      </w:r>
      <w:r w:rsidRPr="00FC50F3">
        <w:t>9.3.3.10.5, 9.3.3.12.4, 9.3.3.12.6,</w:t>
      </w:r>
      <w:r>
        <w:t xml:space="preserve"> </w:t>
      </w:r>
      <w:r w:rsidRPr="00FC50F3">
        <w:t>9.3.3.16.1, 9.3.3.16.2, 9.3.3.17.1 à 9.3.3.17.4, 9.3.3.31.1 à 9.3.3.31.5, 9.3.3.32.2, 9.3.3.34.1,</w:t>
      </w:r>
      <w:r>
        <w:t xml:space="preserve"> </w:t>
      </w:r>
      <w:r w:rsidRPr="00FC50F3">
        <w:t>9.3.3.34.2, 9.3.3.40.1, (toutefois, une seule pompe à incendie ou de ballastage suffit),</w:t>
      </w:r>
      <w:r>
        <w:t xml:space="preserve"> </w:t>
      </w:r>
      <w:r w:rsidRPr="00FC50F3">
        <w:t>9.3.3.40.2, 9.3.3.41, 9.3.3.51, 9.3.3.52.1 à 9.3.3.52.8, 9.3.3.71 et 9.3.3.74.</w:t>
      </w:r>
      <w:r>
        <w:t> »</w:t>
      </w:r>
    </w:p>
    <w:p w:rsidR="00E61B02" w:rsidRPr="00FC50F3" w:rsidRDefault="00FC50F3" w:rsidP="00FC50F3">
      <w:pPr>
        <w:pStyle w:val="SingleTxtG"/>
        <w:rPr>
          <w:i/>
          <w:iCs/>
          <w:lang w:val="en-GB"/>
        </w:rPr>
      </w:pPr>
      <w:r w:rsidRPr="006105B0">
        <w:rPr>
          <w:i/>
          <w:iCs/>
        </w:rPr>
        <w:tab/>
      </w:r>
      <w:r>
        <w:rPr>
          <w:i/>
          <w:iCs/>
          <w:lang w:val="en-GB"/>
        </w:rPr>
        <w:t xml:space="preserve">It is therefore propose to modify the text of 7.2.2.19.3 as </w:t>
      </w:r>
      <w:proofErr w:type="gramStart"/>
      <w:r>
        <w:rPr>
          <w:i/>
          <w:iCs/>
          <w:lang w:val="en-GB"/>
        </w:rPr>
        <w:t>follow:</w:t>
      </w:r>
      <w:r w:rsidRPr="006105B0">
        <w:rPr>
          <w:i/>
          <w:iCs/>
          <w:lang w:val="en-GB"/>
        </w:rPr>
        <w:t>.</w:t>
      </w:r>
      <w:proofErr w:type="gramEnd"/>
    </w:p>
    <w:p w:rsidR="00FC50F3" w:rsidRPr="00FC50F3" w:rsidRDefault="00FC50F3" w:rsidP="00FC50F3">
      <w:pPr>
        <w:pStyle w:val="SingleTxtG"/>
        <w:ind w:left="2268" w:hanging="1134"/>
        <w:rPr>
          <w:i/>
          <w:iCs/>
          <w:lang w:val="en-GB"/>
        </w:rPr>
      </w:pPr>
      <w:r>
        <w:rPr>
          <w:i/>
          <w:iCs/>
          <w:lang w:val="en-GB"/>
        </w:rPr>
        <w:t>“</w:t>
      </w:r>
      <w:r w:rsidR="00AF67F5">
        <w:rPr>
          <w:i/>
          <w:iCs/>
          <w:lang w:val="en-GB"/>
        </w:rPr>
        <w:t>7.2.2.19.3</w:t>
      </w:r>
      <w:r>
        <w:rPr>
          <w:i/>
          <w:iCs/>
          <w:lang w:val="en-GB"/>
        </w:rPr>
        <w:tab/>
      </w:r>
      <w:r w:rsidRPr="00FC50F3">
        <w:rPr>
          <w:i/>
          <w:iCs/>
          <w:lang w:val="en-GB"/>
        </w:rPr>
        <w:t>When a pushed convoy or a side-by-side formation comprises a tank vessel carrying</w:t>
      </w:r>
      <w:r>
        <w:rPr>
          <w:i/>
          <w:iCs/>
          <w:lang w:val="en-GB"/>
        </w:rPr>
        <w:t xml:space="preserve"> </w:t>
      </w:r>
      <w:r w:rsidRPr="00FC50F3">
        <w:rPr>
          <w:i/>
          <w:iCs/>
          <w:lang w:val="en-GB"/>
        </w:rPr>
        <w:t>dangerous substances, vessels used for propulsion shall meet the requirements of the</w:t>
      </w:r>
      <w:r>
        <w:rPr>
          <w:i/>
          <w:iCs/>
          <w:lang w:val="en-GB"/>
        </w:rPr>
        <w:t xml:space="preserve"> </w:t>
      </w:r>
      <w:r w:rsidRPr="00FC50F3">
        <w:rPr>
          <w:i/>
          <w:iCs/>
          <w:lang w:val="en-GB"/>
        </w:rPr>
        <w:t>following paragraphs:</w:t>
      </w:r>
    </w:p>
    <w:p w:rsidR="00E61B02" w:rsidRPr="00FC50F3" w:rsidRDefault="00FC50F3" w:rsidP="00FC50F3">
      <w:pPr>
        <w:pStyle w:val="SingleTxtG"/>
        <w:ind w:left="2268"/>
        <w:rPr>
          <w:i/>
          <w:iCs/>
          <w:lang w:val="en-GB"/>
        </w:rPr>
      </w:pPr>
      <w:r w:rsidRPr="00FC50F3">
        <w:rPr>
          <w:i/>
          <w:iCs/>
          <w:lang w:val="en-GB"/>
        </w:rPr>
        <w:t>1.16.1.1, 1.16.1.2, 1.16.1.3, 1.16.1.4, 7.2.2.5, 8.1.4, 8.1.5, 8.1.6.1, 8.1.6.3, 8.1.7, 8.3.5,</w:t>
      </w:r>
      <w:r>
        <w:rPr>
          <w:i/>
          <w:iCs/>
          <w:lang w:val="en-GB"/>
        </w:rPr>
        <w:t xml:space="preserve"> </w:t>
      </w:r>
      <w:r w:rsidRPr="00FC50F3">
        <w:rPr>
          <w:i/>
          <w:iCs/>
          <w:lang w:val="en-GB"/>
        </w:rPr>
        <w:t xml:space="preserve">9.3.3.0.1, 9.3.3.0.3 (d), 9.3.3.0.5, 9.3.3.10.1, </w:t>
      </w:r>
      <w:r w:rsidRPr="00FC50F3">
        <w:rPr>
          <w:rFonts w:ascii="(Utiliser une police de caractè" w:hAnsi="(Utiliser une police de caractè"/>
          <w:b/>
          <w:bCs/>
          <w:i/>
          <w:iCs/>
          <w:dstrike/>
          <w:u w:val="single"/>
          <w:lang w:val="en-GB"/>
        </w:rPr>
        <w:t>9.3.3.10.2</w:t>
      </w:r>
      <w:r w:rsidRPr="00FC50F3">
        <w:rPr>
          <w:b/>
          <w:bCs/>
          <w:i/>
          <w:iCs/>
          <w:u w:val="single"/>
          <w:lang w:val="en-GB"/>
        </w:rPr>
        <w:t xml:space="preserve"> 9.3.3.10.4</w:t>
      </w:r>
      <w:r w:rsidRPr="00FC50F3">
        <w:rPr>
          <w:i/>
          <w:iCs/>
          <w:lang w:val="en-GB"/>
        </w:rPr>
        <w:t>, 9.3.3.10.5, 9.3.3.12.4, 9.3.3.12.6,</w:t>
      </w:r>
      <w:r>
        <w:rPr>
          <w:i/>
          <w:iCs/>
          <w:lang w:val="en-GB"/>
        </w:rPr>
        <w:t xml:space="preserve"> </w:t>
      </w:r>
      <w:r w:rsidRPr="00FC50F3">
        <w:rPr>
          <w:i/>
          <w:iCs/>
          <w:lang w:val="en-GB"/>
        </w:rPr>
        <w:t>9.3.3.16.1, 9.3.3.16.2, 9.3.3.17.1 to 9.3.3.17.4, 9.3.3.31.1 to 9.3.3.31.5, 9.3.3.32.2, 9.3.3.34.1,</w:t>
      </w:r>
      <w:r>
        <w:rPr>
          <w:i/>
          <w:iCs/>
          <w:lang w:val="en-GB"/>
        </w:rPr>
        <w:t xml:space="preserve"> </w:t>
      </w:r>
      <w:r w:rsidRPr="00FC50F3">
        <w:rPr>
          <w:i/>
          <w:iCs/>
          <w:lang w:val="en-GB"/>
        </w:rPr>
        <w:t>9.3.3.34.2, 9.3.3.40.1, (however, one single fire or ballast pump shall be sufficient),</w:t>
      </w:r>
      <w:r>
        <w:rPr>
          <w:i/>
          <w:iCs/>
          <w:lang w:val="en-GB"/>
        </w:rPr>
        <w:t xml:space="preserve"> </w:t>
      </w:r>
      <w:r w:rsidRPr="00FC50F3">
        <w:rPr>
          <w:i/>
          <w:iCs/>
          <w:lang w:val="en-GB"/>
        </w:rPr>
        <w:t>9.3.3.40.2, 9.3.3.41, 9.3.3.51, 9.3.3.52.1 to 9.3.3.52.8, 9.3.3.71 and 9.3.3.74.</w:t>
      </w:r>
      <w:r>
        <w:rPr>
          <w:i/>
          <w:iCs/>
          <w:lang w:val="en-GB"/>
        </w:rPr>
        <w:t>”</w:t>
      </w:r>
    </w:p>
    <w:p w:rsidR="00317253" w:rsidRPr="00AE1716" w:rsidRDefault="00317253" w:rsidP="006105B0">
      <w:pPr>
        <w:pStyle w:val="HChG"/>
        <w:keepNext w:val="0"/>
        <w:keepLines w:val="0"/>
      </w:pPr>
      <w:r w:rsidRPr="00FC50F3">
        <w:rPr>
          <w:lang w:val="en-GB"/>
        </w:rPr>
        <w:tab/>
      </w:r>
      <w:r w:rsidRPr="00FC50F3">
        <w:rPr>
          <w:lang w:val="en-GB"/>
        </w:rPr>
        <w:tab/>
      </w:r>
      <w:r w:rsidRPr="00AE1716">
        <w:t>Suites à donner</w:t>
      </w:r>
      <w:r w:rsidR="00AF67F5">
        <w:t xml:space="preserve"> / </w:t>
      </w:r>
      <w:r w:rsidR="00AF67F5" w:rsidRPr="00AF67F5">
        <w:rPr>
          <w:i/>
          <w:iCs/>
        </w:rPr>
        <w:t>Follow-up</w:t>
      </w:r>
    </w:p>
    <w:p w:rsidR="006105B0" w:rsidRDefault="00AF67F5" w:rsidP="00AF67F5">
      <w:pPr>
        <w:pStyle w:val="SingleTxtG"/>
      </w:pPr>
      <w:r>
        <w:t>4</w:t>
      </w:r>
      <w:r w:rsidR="006105B0" w:rsidRPr="006105B0">
        <w:t>.</w:t>
      </w:r>
      <w:r w:rsidR="006105B0" w:rsidRPr="006105B0">
        <w:tab/>
      </w:r>
      <w:r>
        <w:t>Le Comité est invité à examiner la proposition figurant au paragraphe 3 et à lui donner les suites qu’il jugera appropriées</w:t>
      </w:r>
      <w:r w:rsidR="006105B0">
        <w:t>.</w:t>
      </w:r>
      <w:r>
        <w:t xml:space="preserve"> Il est également demandé au Secrétariat de déterminer s’il s’agit d’un amendement ou d’une correction.</w:t>
      </w:r>
    </w:p>
    <w:p w:rsidR="006105B0" w:rsidRPr="006105B0" w:rsidRDefault="00AF67F5" w:rsidP="00AF67F5">
      <w:pPr>
        <w:pStyle w:val="SingleTxtG"/>
        <w:ind w:firstLine="567"/>
        <w:rPr>
          <w:i/>
          <w:iCs/>
          <w:lang w:val="en-GB"/>
        </w:rPr>
      </w:pPr>
      <w:r>
        <w:rPr>
          <w:i/>
          <w:iCs/>
          <w:lang w:val="en-GB"/>
        </w:rPr>
        <w:t xml:space="preserve">The Committee is invited to consider the proposal contained in paragraph 3, and to </w:t>
      </w:r>
      <w:proofErr w:type="gramStart"/>
      <w:r>
        <w:rPr>
          <w:i/>
          <w:iCs/>
          <w:lang w:val="en-GB"/>
        </w:rPr>
        <w:t>take action</w:t>
      </w:r>
      <w:proofErr w:type="gramEnd"/>
      <w:r>
        <w:rPr>
          <w:i/>
          <w:iCs/>
          <w:lang w:val="en-GB"/>
        </w:rPr>
        <w:t xml:space="preserve"> as it will deem appropriate. It is asked the Secretariat to identify whether this change is an amendment or a correction.</w:t>
      </w:r>
    </w:p>
    <w:p w:rsidR="00317253" w:rsidRPr="006105B0" w:rsidRDefault="00317253" w:rsidP="00AE1716">
      <w:pPr>
        <w:pStyle w:val="SingleTxtG"/>
        <w:spacing w:before="240" w:after="0"/>
        <w:jc w:val="center"/>
        <w:rPr>
          <w:lang w:val="en-GB"/>
        </w:rPr>
      </w:pP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</w:p>
    <w:sectPr w:rsidR="00317253" w:rsidRPr="006105B0" w:rsidSect="0048358D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AE" w:rsidRDefault="004729AE"/>
  </w:endnote>
  <w:endnote w:type="continuationSeparator" w:id="0">
    <w:p w:rsidR="004729AE" w:rsidRDefault="004729AE"/>
  </w:endnote>
  <w:endnote w:type="continuationNotice" w:id="1">
    <w:p w:rsidR="004729AE" w:rsidRDefault="00472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7E" w:rsidRPr="0029776B" w:rsidRDefault="002A307E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7E" w:rsidRPr="0029776B" w:rsidRDefault="002A307E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AE" w:rsidRPr="00D27D5E" w:rsidRDefault="004729A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29AE" w:rsidRPr="00A80554" w:rsidRDefault="004729AE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4729AE" w:rsidRDefault="00472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7E" w:rsidRPr="00BD48AD" w:rsidRDefault="002A307E" w:rsidP="006105B0">
    <w:pPr>
      <w:pStyle w:val="Header"/>
      <w:rPr>
        <w:lang w:val="en-GB"/>
      </w:rPr>
    </w:pPr>
    <w:r w:rsidRPr="00BD48AD">
      <w:rPr>
        <w:lang w:val="en-GB"/>
      </w:rPr>
      <w:t>INF.</w:t>
    </w:r>
    <w:r w:rsidR="0006393C">
      <w:rPr>
        <w:lang w:val="en-GB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7E" w:rsidRPr="006236CA" w:rsidRDefault="002A307E" w:rsidP="00201711">
    <w:pPr>
      <w:pStyle w:val="Header"/>
      <w:jc w:val="right"/>
      <w:rPr>
        <w:lang w:val="en-GB"/>
      </w:rPr>
    </w:pPr>
    <w:r w:rsidRPr="00F419FD">
      <w:rPr>
        <w:lang w:val="en-GB"/>
      </w:rPr>
      <w:t>ECE/TRANS/WP.15/AC.2/2019/</w:t>
    </w:r>
    <w:r>
      <w:rPr>
        <w:lang w:val="en-GB"/>
      </w:rPr>
      <w:t>24</w:t>
    </w:r>
    <w:r w:rsidRPr="00201711">
      <w:rPr>
        <w:color w:val="FF0000"/>
        <w:shd w:val="clear" w:color="auto" w:fill="FFFF99"/>
        <w:lang w:val="en-GB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F6F24"/>
    <w:multiLevelType w:val="hybridMultilevel"/>
    <w:tmpl w:val="EE469BEE"/>
    <w:lvl w:ilvl="0" w:tplc="B48A7E6E">
      <w:start w:val="7"/>
      <w:numFmt w:val="bullet"/>
      <w:lvlText w:val="•"/>
      <w:lvlJc w:val="left"/>
      <w:pPr>
        <w:ind w:left="178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3BB30E1B"/>
    <w:multiLevelType w:val="hybridMultilevel"/>
    <w:tmpl w:val="BC0A6D6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1A"/>
    <w:rsid w:val="0000195C"/>
    <w:rsid w:val="00003FFB"/>
    <w:rsid w:val="0000754C"/>
    <w:rsid w:val="000121D3"/>
    <w:rsid w:val="000131A5"/>
    <w:rsid w:val="0001457A"/>
    <w:rsid w:val="00016AC5"/>
    <w:rsid w:val="00022BD7"/>
    <w:rsid w:val="00030ADE"/>
    <w:rsid w:val="000312C0"/>
    <w:rsid w:val="00033A63"/>
    <w:rsid w:val="0004058B"/>
    <w:rsid w:val="000472A1"/>
    <w:rsid w:val="000507A8"/>
    <w:rsid w:val="0006085A"/>
    <w:rsid w:val="000613E7"/>
    <w:rsid w:val="0006393C"/>
    <w:rsid w:val="0006415C"/>
    <w:rsid w:val="000643B7"/>
    <w:rsid w:val="00066716"/>
    <w:rsid w:val="00067441"/>
    <w:rsid w:val="00071432"/>
    <w:rsid w:val="00072E86"/>
    <w:rsid w:val="000758B9"/>
    <w:rsid w:val="00081790"/>
    <w:rsid w:val="000828C8"/>
    <w:rsid w:val="00094EF2"/>
    <w:rsid w:val="000963EA"/>
    <w:rsid w:val="000964C7"/>
    <w:rsid w:val="000A49E0"/>
    <w:rsid w:val="000A7EC2"/>
    <w:rsid w:val="000B09A4"/>
    <w:rsid w:val="000B34CA"/>
    <w:rsid w:val="000C0699"/>
    <w:rsid w:val="000C6E67"/>
    <w:rsid w:val="000D7088"/>
    <w:rsid w:val="000D7E12"/>
    <w:rsid w:val="000E68FB"/>
    <w:rsid w:val="000F41F2"/>
    <w:rsid w:val="00104ADE"/>
    <w:rsid w:val="00114764"/>
    <w:rsid w:val="00114946"/>
    <w:rsid w:val="00114DAF"/>
    <w:rsid w:val="00115943"/>
    <w:rsid w:val="00122AA2"/>
    <w:rsid w:val="00127A72"/>
    <w:rsid w:val="0013180D"/>
    <w:rsid w:val="00135C0D"/>
    <w:rsid w:val="0013653F"/>
    <w:rsid w:val="00143574"/>
    <w:rsid w:val="00147C56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65B2D"/>
    <w:rsid w:val="001703B7"/>
    <w:rsid w:val="0017182C"/>
    <w:rsid w:val="00171EA3"/>
    <w:rsid w:val="00177007"/>
    <w:rsid w:val="00177C0F"/>
    <w:rsid w:val="001850B8"/>
    <w:rsid w:val="00186EE9"/>
    <w:rsid w:val="00190399"/>
    <w:rsid w:val="00192EEB"/>
    <w:rsid w:val="00197152"/>
    <w:rsid w:val="001A20FB"/>
    <w:rsid w:val="001A37C7"/>
    <w:rsid w:val="001A73B7"/>
    <w:rsid w:val="001B2AD1"/>
    <w:rsid w:val="001B645E"/>
    <w:rsid w:val="001B6AF6"/>
    <w:rsid w:val="001B6F40"/>
    <w:rsid w:val="001C08A0"/>
    <w:rsid w:val="001C38EE"/>
    <w:rsid w:val="001C4BBB"/>
    <w:rsid w:val="001C64DD"/>
    <w:rsid w:val="001C6AE3"/>
    <w:rsid w:val="001D7DF9"/>
    <w:rsid w:val="001D7F8A"/>
    <w:rsid w:val="001E3FEB"/>
    <w:rsid w:val="001E4A02"/>
    <w:rsid w:val="001F3CC1"/>
    <w:rsid w:val="001F412D"/>
    <w:rsid w:val="001F5816"/>
    <w:rsid w:val="001F779C"/>
    <w:rsid w:val="00201711"/>
    <w:rsid w:val="002023CD"/>
    <w:rsid w:val="00203B6A"/>
    <w:rsid w:val="002041A8"/>
    <w:rsid w:val="0020607F"/>
    <w:rsid w:val="002069D5"/>
    <w:rsid w:val="00212D4F"/>
    <w:rsid w:val="00216861"/>
    <w:rsid w:val="0022098E"/>
    <w:rsid w:val="00223B89"/>
    <w:rsid w:val="00224CE7"/>
    <w:rsid w:val="00225A8C"/>
    <w:rsid w:val="0022734F"/>
    <w:rsid w:val="00232C61"/>
    <w:rsid w:val="00234E40"/>
    <w:rsid w:val="002403AA"/>
    <w:rsid w:val="00241AAF"/>
    <w:rsid w:val="0024327B"/>
    <w:rsid w:val="00260A9C"/>
    <w:rsid w:val="00261C6B"/>
    <w:rsid w:val="00263C23"/>
    <w:rsid w:val="002659F1"/>
    <w:rsid w:val="00265FE8"/>
    <w:rsid w:val="0026662C"/>
    <w:rsid w:val="0027037E"/>
    <w:rsid w:val="00271C7C"/>
    <w:rsid w:val="00287E79"/>
    <w:rsid w:val="0029101B"/>
    <w:rsid w:val="002928F9"/>
    <w:rsid w:val="00296ADD"/>
    <w:rsid w:val="00296FC6"/>
    <w:rsid w:val="0029776B"/>
    <w:rsid w:val="002A1905"/>
    <w:rsid w:val="002A29C3"/>
    <w:rsid w:val="002A307E"/>
    <w:rsid w:val="002A5D07"/>
    <w:rsid w:val="002A5F7F"/>
    <w:rsid w:val="002B2881"/>
    <w:rsid w:val="002B56D7"/>
    <w:rsid w:val="002B64A7"/>
    <w:rsid w:val="002C555D"/>
    <w:rsid w:val="002D0474"/>
    <w:rsid w:val="002D7928"/>
    <w:rsid w:val="002E398E"/>
    <w:rsid w:val="002F2735"/>
    <w:rsid w:val="003016B7"/>
    <w:rsid w:val="00304272"/>
    <w:rsid w:val="00306511"/>
    <w:rsid w:val="00317253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47BF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74BCF"/>
    <w:rsid w:val="00391403"/>
    <w:rsid w:val="00394D72"/>
    <w:rsid w:val="00397250"/>
    <w:rsid w:val="003974E1"/>
    <w:rsid w:val="003976D5"/>
    <w:rsid w:val="003A1FEF"/>
    <w:rsid w:val="003A462C"/>
    <w:rsid w:val="003A656C"/>
    <w:rsid w:val="003B4CD4"/>
    <w:rsid w:val="003B5981"/>
    <w:rsid w:val="003B6B20"/>
    <w:rsid w:val="003C322F"/>
    <w:rsid w:val="003C532D"/>
    <w:rsid w:val="003C5A95"/>
    <w:rsid w:val="003C5C5B"/>
    <w:rsid w:val="003D0BCD"/>
    <w:rsid w:val="003D1DF3"/>
    <w:rsid w:val="003D46A7"/>
    <w:rsid w:val="003D6C68"/>
    <w:rsid w:val="003D76E4"/>
    <w:rsid w:val="003F118A"/>
    <w:rsid w:val="003F6E0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277B"/>
    <w:rsid w:val="00434168"/>
    <w:rsid w:val="0044289E"/>
    <w:rsid w:val="00445274"/>
    <w:rsid w:val="00454017"/>
    <w:rsid w:val="00461870"/>
    <w:rsid w:val="00471DA9"/>
    <w:rsid w:val="004729AE"/>
    <w:rsid w:val="00475DD2"/>
    <w:rsid w:val="004829E7"/>
    <w:rsid w:val="0048358D"/>
    <w:rsid w:val="00486E96"/>
    <w:rsid w:val="00491EC7"/>
    <w:rsid w:val="00493296"/>
    <w:rsid w:val="0049374F"/>
    <w:rsid w:val="00497A70"/>
    <w:rsid w:val="00497E7A"/>
    <w:rsid w:val="004A29A3"/>
    <w:rsid w:val="004A324B"/>
    <w:rsid w:val="004A331B"/>
    <w:rsid w:val="004A3778"/>
    <w:rsid w:val="004A5C90"/>
    <w:rsid w:val="004B154F"/>
    <w:rsid w:val="004B38FA"/>
    <w:rsid w:val="004B4325"/>
    <w:rsid w:val="004C3B4F"/>
    <w:rsid w:val="004D0EB7"/>
    <w:rsid w:val="004D53B7"/>
    <w:rsid w:val="004E1AC3"/>
    <w:rsid w:val="004E551E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53C99"/>
    <w:rsid w:val="005562AD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3132"/>
    <w:rsid w:val="0059410B"/>
    <w:rsid w:val="00595BE4"/>
    <w:rsid w:val="00595C56"/>
    <w:rsid w:val="005A041A"/>
    <w:rsid w:val="005B738F"/>
    <w:rsid w:val="005B76A3"/>
    <w:rsid w:val="005C6014"/>
    <w:rsid w:val="005D3F2A"/>
    <w:rsid w:val="005E5D1F"/>
    <w:rsid w:val="005E5E79"/>
    <w:rsid w:val="005F25D1"/>
    <w:rsid w:val="005F302D"/>
    <w:rsid w:val="005F59DB"/>
    <w:rsid w:val="00603391"/>
    <w:rsid w:val="006049FD"/>
    <w:rsid w:val="00605683"/>
    <w:rsid w:val="006071E2"/>
    <w:rsid w:val="00607E56"/>
    <w:rsid w:val="006105B0"/>
    <w:rsid w:val="00611D43"/>
    <w:rsid w:val="00612D48"/>
    <w:rsid w:val="00616B45"/>
    <w:rsid w:val="0061708F"/>
    <w:rsid w:val="006210B6"/>
    <w:rsid w:val="006236CA"/>
    <w:rsid w:val="00625F01"/>
    <w:rsid w:val="00630D9B"/>
    <w:rsid w:val="00631953"/>
    <w:rsid w:val="0063313E"/>
    <w:rsid w:val="0063675E"/>
    <w:rsid w:val="006439EC"/>
    <w:rsid w:val="00654B07"/>
    <w:rsid w:val="00657BC9"/>
    <w:rsid w:val="00665D5C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2603"/>
    <w:rsid w:val="006B4590"/>
    <w:rsid w:val="006B56EC"/>
    <w:rsid w:val="006C3041"/>
    <w:rsid w:val="006C340C"/>
    <w:rsid w:val="006C7BA8"/>
    <w:rsid w:val="006D21A0"/>
    <w:rsid w:val="006D36A8"/>
    <w:rsid w:val="006D638D"/>
    <w:rsid w:val="006D7511"/>
    <w:rsid w:val="006E0743"/>
    <w:rsid w:val="006E19BA"/>
    <w:rsid w:val="006E3296"/>
    <w:rsid w:val="006E32C5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866"/>
    <w:rsid w:val="00745CA1"/>
    <w:rsid w:val="00745CE8"/>
    <w:rsid w:val="007514EF"/>
    <w:rsid w:val="007527B6"/>
    <w:rsid w:val="00753BDA"/>
    <w:rsid w:val="00766A94"/>
    <w:rsid w:val="007673E8"/>
    <w:rsid w:val="00780EAE"/>
    <w:rsid w:val="007811F7"/>
    <w:rsid w:val="007817A1"/>
    <w:rsid w:val="007820F2"/>
    <w:rsid w:val="00783F37"/>
    <w:rsid w:val="00785026"/>
    <w:rsid w:val="00786EF4"/>
    <w:rsid w:val="007904AF"/>
    <w:rsid w:val="00790F2F"/>
    <w:rsid w:val="00795138"/>
    <w:rsid w:val="007A6076"/>
    <w:rsid w:val="007C1A44"/>
    <w:rsid w:val="007D78D5"/>
    <w:rsid w:val="007E29D3"/>
    <w:rsid w:val="007E2F66"/>
    <w:rsid w:val="007F0F13"/>
    <w:rsid w:val="007F55CB"/>
    <w:rsid w:val="00807F24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60C9D"/>
    <w:rsid w:val="00871051"/>
    <w:rsid w:val="00883D70"/>
    <w:rsid w:val="00884E9C"/>
    <w:rsid w:val="008A7152"/>
    <w:rsid w:val="008B44C4"/>
    <w:rsid w:val="008B7879"/>
    <w:rsid w:val="008B7E08"/>
    <w:rsid w:val="008C1BBA"/>
    <w:rsid w:val="008C2211"/>
    <w:rsid w:val="008C7684"/>
    <w:rsid w:val="008D0723"/>
    <w:rsid w:val="008D0C3F"/>
    <w:rsid w:val="008D1AC7"/>
    <w:rsid w:val="008D2167"/>
    <w:rsid w:val="008D3919"/>
    <w:rsid w:val="008E0B16"/>
    <w:rsid w:val="008E3F2C"/>
    <w:rsid w:val="008E5107"/>
    <w:rsid w:val="008E7FAE"/>
    <w:rsid w:val="008F1725"/>
    <w:rsid w:val="008F60FF"/>
    <w:rsid w:val="008F6E1F"/>
    <w:rsid w:val="008F7D34"/>
    <w:rsid w:val="00905A77"/>
    <w:rsid w:val="009066AE"/>
    <w:rsid w:val="00911BF7"/>
    <w:rsid w:val="00922301"/>
    <w:rsid w:val="00922FBA"/>
    <w:rsid w:val="00926E87"/>
    <w:rsid w:val="00932D7A"/>
    <w:rsid w:val="009416C9"/>
    <w:rsid w:val="00952247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0C05"/>
    <w:rsid w:val="009D3A8C"/>
    <w:rsid w:val="009E01B8"/>
    <w:rsid w:val="009E698E"/>
    <w:rsid w:val="009E7956"/>
    <w:rsid w:val="00A11C63"/>
    <w:rsid w:val="00A134EB"/>
    <w:rsid w:val="00A1547F"/>
    <w:rsid w:val="00A17EEC"/>
    <w:rsid w:val="00A2492E"/>
    <w:rsid w:val="00A31F07"/>
    <w:rsid w:val="00A41235"/>
    <w:rsid w:val="00A44CBA"/>
    <w:rsid w:val="00A45EBB"/>
    <w:rsid w:val="00A50EC6"/>
    <w:rsid w:val="00A60EBA"/>
    <w:rsid w:val="00A6502C"/>
    <w:rsid w:val="00A70163"/>
    <w:rsid w:val="00A71439"/>
    <w:rsid w:val="00A73DB7"/>
    <w:rsid w:val="00A74D73"/>
    <w:rsid w:val="00A778A5"/>
    <w:rsid w:val="00A80554"/>
    <w:rsid w:val="00A86837"/>
    <w:rsid w:val="00A87087"/>
    <w:rsid w:val="00A92C6B"/>
    <w:rsid w:val="00A963DD"/>
    <w:rsid w:val="00AA0176"/>
    <w:rsid w:val="00AA3C96"/>
    <w:rsid w:val="00AA5B1E"/>
    <w:rsid w:val="00AA63E3"/>
    <w:rsid w:val="00AA72C3"/>
    <w:rsid w:val="00AA77E5"/>
    <w:rsid w:val="00AB6447"/>
    <w:rsid w:val="00AC67A1"/>
    <w:rsid w:val="00AC7977"/>
    <w:rsid w:val="00AD1E14"/>
    <w:rsid w:val="00AD3F23"/>
    <w:rsid w:val="00AE1716"/>
    <w:rsid w:val="00AE352C"/>
    <w:rsid w:val="00AE4F08"/>
    <w:rsid w:val="00AE5E87"/>
    <w:rsid w:val="00AE69A8"/>
    <w:rsid w:val="00AE768C"/>
    <w:rsid w:val="00AE7BCA"/>
    <w:rsid w:val="00AF1446"/>
    <w:rsid w:val="00AF2F6F"/>
    <w:rsid w:val="00AF52DB"/>
    <w:rsid w:val="00AF67F5"/>
    <w:rsid w:val="00B01F28"/>
    <w:rsid w:val="00B07DE2"/>
    <w:rsid w:val="00B15FBD"/>
    <w:rsid w:val="00B20A81"/>
    <w:rsid w:val="00B255B8"/>
    <w:rsid w:val="00B278CF"/>
    <w:rsid w:val="00B30CFB"/>
    <w:rsid w:val="00B3131C"/>
    <w:rsid w:val="00B318CC"/>
    <w:rsid w:val="00B32A61"/>
    <w:rsid w:val="00B32E2D"/>
    <w:rsid w:val="00B344AF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5D99"/>
    <w:rsid w:val="00B924CA"/>
    <w:rsid w:val="00B936CC"/>
    <w:rsid w:val="00B93E72"/>
    <w:rsid w:val="00B94939"/>
    <w:rsid w:val="00BA0ABA"/>
    <w:rsid w:val="00BA51BE"/>
    <w:rsid w:val="00BA6916"/>
    <w:rsid w:val="00BC5D40"/>
    <w:rsid w:val="00BD0B53"/>
    <w:rsid w:val="00BD48AD"/>
    <w:rsid w:val="00BD50B3"/>
    <w:rsid w:val="00BD5B50"/>
    <w:rsid w:val="00BE3741"/>
    <w:rsid w:val="00BE4659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27A69"/>
    <w:rsid w:val="00C33100"/>
    <w:rsid w:val="00C34C11"/>
    <w:rsid w:val="00C358CC"/>
    <w:rsid w:val="00C4302B"/>
    <w:rsid w:val="00C45121"/>
    <w:rsid w:val="00C45E97"/>
    <w:rsid w:val="00C47E51"/>
    <w:rsid w:val="00C51BB4"/>
    <w:rsid w:val="00C63AC1"/>
    <w:rsid w:val="00C732D1"/>
    <w:rsid w:val="00C836BC"/>
    <w:rsid w:val="00C8584D"/>
    <w:rsid w:val="00C93371"/>
    <w:rsid w:val="00C940E9"/>
    <w:rsid w:val="00CA047F"/>
    <w:rsid w:val="00CA3500"/>
    <w:rsid w:val="00CA5CBD"/>
    <w:rsid w:val="00CB2BEA"/>
    <w:rsid w:val="00CB6267"/>
    <w:rsid w:val="00CC02A7"/>
    <w:rsid w:val="00CD1A71"/>
    <w:rsid w:val="00CD1FBB"/>
    <w:rsid w:val="00CD4C90"/>
    <w:rsid w:val="00CD792C"/>
    <w:rsid w:val="00CE4371"/>
    <w:rsid w:val="00CE6A8E"/>
    <w:rsid w:val="00CF39C4"/>
    <w:rsid w:val="00CF4311"/>
    <w:rsid w:val="00CF4AC2"/>
    <w:rsid w:val="00CF6435"/>
    <w:rsid w:val="00D016B5"/>
    <w:rsid w:val="00D034F1"/>
    <w:rsid w:val="00D10BD3"/>
    <w:rsid w:val="00D11B17"/>
    <w:rsid w:val="00D218FC"/>
    <w:rsid w:val="00D27297"/>
    <w:rsid w:val="00D27D5E"/>
    <w:rsid w:val="00D31640"/>
    <w:rsid w:val="00D32F79"/>
    <w:rsid w:val="00D34270"/>
    <w:rsid w:val="00D40906"/>
    <w:rsid w:val="00D41B47"/>
    <w:rsid w:val="00D428F9"/>
    <w:rsid w:val="00D4384A"/>
    <w:rsid w:val="00D440EE"/>
    <w:rsid w:val="00D47F24"/>
    <w:rsid w:val="00D52A86"/>
    <w:rsid w:val="00D60301"/>
    <w:rsid w:val="00D64213"/>
    <w:rsid w:val="00D70305"/>
    <w:rsid w:val="00D71CA8"/>
    <w:rsid w:val="00D72874"/>
    <w:rsid w:val="00D75A23"/>
    <w:rsid w:val="00D84247"/>
    <w:rsid w:val="00D8534F"/>
    <w:rsid w:val="00D866A8"/>
    <w:rsid w:val="00D86AD1"/>
    <w:rsid w:val="00D96366"/>
    <w:rsid w:val="00DA1820"/>
    <w:rsid w:val="00DA57D4"/>
    <w:rsid w:val="00DA6BC7"/>
    <w:rsid w:val="00DB3C8E"/>
    <w:rsid w:val="00DB4793"/>
    <w:rsid w:val="00DB5C62"/>
    <w:rsid w:val="00DB68F9"/>
    <w:rsid w:val="00DC158C"/>
    <w:rsid w:val="00DC51E3"/>
    <w:rsid w:val="00DD051B"/>
    <w:rsid w:val="00DD1928"/>
    <w:rsid w:val="00DD38E9"/>
    <w:rsid w:val="00DD5D73"/>
    <w:rsid w:val="00DE01E3"/>
    <w:rsid w:val="00DE0AF7"/>
    <w:rsid w:val="00DE24A4"/>
    <w:rsid w:val="00DE6D90"/>
    <w:rsid w:val="00DE6FC3"/>
    <w:rsid w:val="00DF0007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D63"/>
    <w:rsid w:val="00E15EC6"/>
    <w:rsid w:val="00E22F40"/>
    <w:rsid w:val="00E30A2E"/>
    <w:rsid w:val="00E30A6C"/>
    <w:rsid w:val="00E53D77"/>
    <w:rsid w:val="00E5407C"/>
    <w:rsid w:val="00E55D71"/>
    <w:rsid w:val="00E60E30"/>
    <w:rsid w:val="00E61B02"/>
    <w:rsid w:val="00E6288C"/>
    <w:rsid w:val="00E653A2"/>
    <w:rsid w:val="00E65B70"/>
    <w:rsid w:val="00E6627D"/>
    <w:rsid w:val="00E73AEE"/>
    <w:rsid w:val="00E73E0F"/>
    <w:rsid w:val="00E74F8B"/>
    <w:rsid w:val="00E80E5A"/>
    <w:rsid w:val="00E81E94"/>
    <w:rsid w:val="00E82607"/>
    <w:rsid w:val="00E87C4C"/>
    <w:rsid w:val="00E90A2D"/>
    <w:rsid w:val="00E93CE6"/>
    <w:rsid w:val="00E95AF8"/>
    <w:rsid w:val="00E97EE2"/>
    <w:rsid w:val="00EA0C87"/>
    <w:rsid w:val="00EA2677"/>
    <w:rsid w:val="00EA31C2"/>
    <w:rsid w:val="00EA4D5A"/>
    <w:rsid w:val="00EA5169"/>
    <w:rsid w:val="00EA7AF9"/>
    <w:rsid w:val="00EB16FF"/>
    <w:rsid w:val="00EB4C54"/>
    <w:rsid w:val="00EC0734"/>
    <w:rsid w:val="00EC3132"/>
    <w:rsid w:val="00EC3FA6"/>
    <w:rsid w:val="00EC60C5"/>
    <w:rsid w:val="00ED0008"/>
    <w:rsid w:val="00ED1849"/>
    <w:rsid w:val="00ED265E"/>
    <w:rsid w:val="00ED5F4B"/>
    <w:rsid w:val="00ED7BEB"/>
    <w:rsid w:val="00EE2EA3"/>
    <w:rsid w:val="00EE335B"/>
    <w:rsid w:val="00EE43A7"/>
    <w:rsid w:val="00EF041A"/>
    <w:rsid w:val="00EF5998"/>
    <w:rsid w:val="00EF7C76"/>
    <w:rsid w:val="00F01516"/>
    <w:rsid w:val="00F0189E"/>
    <w:rsid w:val="00F12577"/>
    <w:rsid w:val="00F14D09"/>
    <w:rsid w:val="00F2271B"/>
    <w:rsid w:val="00F227C9"/>
    <w:rsid w:val="00F337B3"/>
    <w:rsid w:val="00F35A1F"/>
    <w:rsid w:val="00F36202"/>
    <w:rsid w:val="00F37523"/>
    <w:rsid w:val="00F419FD"/>
    <w:rsid w:val="00F524AA"/>
    <w:rsid w:val="00F560CD"/>
    <w:rsid w:val="00F57129"/>
    <w:rsid w:val="00F647E2"/>
    <w:rsid w:val="00F90CFE"/>
    <w:rsid w:val="00F935B1"/>
    <w:rsid w:val="00F96586"/>
    <w:rsid w:val="00FA40A9"/>
    <w:rsid w:val="00FA43E0"/>
    <w:rsid w:val="00FA5A79"/>
    <w:rsid w:val="00FA6422"/>
    <w:rsid w:val="00FB00CB"/>
    <w:rsid w:val="00FB0BFE"/>
    <w:rsid w:val="00FB2419"/>
    <w:rsid w:val="00FB31A1"/>
    <w:rsid w:val="00FB4C51"/>
    <w:rsid w:val="00FB6AC1"/>
    <w:rsid w:val="00FB72A4"/>
    <w:rsid w:val="00FC0CDC"/>
    <w:rsid w:val="00FC50F3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ABF557"/>
  <w15:chartTrackingRefBased/>
  <w15:docId w15:val="{9E5A72B6-B57D-4ECA-B413-931A304C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FR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fr-CH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  <w:rPr>
      <w:lang w:val="fr-CH"/>
    </w:r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 w:cs="Times New Roman"/>
      <w:sz w:val="18"/>
      <w:vertAlign w:val="superscript"/>
      <w:lang w:val="fr-CH" w:eastAsia="x-none"/>
    </w:rPr>
  </w:style>
  <w:style w:type="character" w:styleId="EndnoteReference">
    <w:name w:val="endnote reference"/>
    <w:aliases w:val="1_G"/>
    <w:rsid w:val="000964C7"/>
    <w:rPr>
      <w:rFonts w:ascii="Times New Roman" w:hAnsi="Times New Roman" w:cs="Times New Roman"/>
      <w:sz w:val="18"/>
      <w:vertAlign w:val="superscript"/>
      <w:lang w:val="fr-CH" w:eastAsia="x-none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  <w:lang w:val="fr-CH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 w:cs="Times New Roman"/>
      <w:b/>
      <w:sz w:val="18"/>
      <w:lang w:val="fr-CH" w:eastAsia="x-none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rFonts w:cs="Times New Roman"/>
      <w:color w:val="auto"/>
      <w:u w:val="none"/>
    </w:rPr>
  </w:style>
  <w:style w:type="character" w:styleId="FollowedHyperlink">
    <w:name w:val="FollowedHyperlink"/>
    <w:semiHidden/>
    <w:rsid w:val="000964C7"/>
    <w:rPr>
      <w:rFonts w:cs="Times New Roman"/>
      <w:color w:val="auto"/>
      <w:u w:val="none"/>
    </w:rPr>
  </w:style>
  <w:style w:type="character" w:customStyle="1" w:styleId="H1GChar">
    <w:name w:val="_ H_1_G Char"/>
    <w:link w:val="H1G"/>
    <w:locked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locked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locked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locked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963EA"/>
    <w:rPr>
      <w:lang w:val="fr-CH"/>
    </w:rPr>
  </w:style>
  <w:style w:type="character" w:customStyle="1" w:styleId="CommentTextChar">
    <w:name w:val="Comment Text Char"/>
    <w:link w:val="CommentText"/>
    <w:locked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/>
      <w:sz w:val="16"/>
      <w:lang w:val="fr-CH"/>
    </w:rPr>
  </w:style>
  <w:style w:type="character" w:customStyle="1" w:styleId="BalloonTextChar">
    <w:name w:val="Balloon Text Char"/>
    <w:link w:val="BalloonText"/>
    <w:locked/>
    <w:rsid w:val="001A37C7"/>
    <w:rPr>
      <w:rFonts w:ascii="Tahoma" w:hAnsi="Tahoma"/>
      <w:sz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/>
    </w:rPr>
  </w:style>
  <w:style w:type="character" w:customStyle="1" w:styleId="Heading1Char">
    <w:name w:val="Heading 1 Char"/>
    <w:aliases w:val="Table_G Char"/>
    <w:link w:val="Heading1"/>
    <w:locked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</w:rPr>
  </w:style>
  <w:style w:type="character" w:customStyle="1" w:styleId="CommentSubjectChar">
    <w:name w:val="Comment Subject Char"/>
    <w:link w:val="CommentSubject"/>
    <w:locked/>
    <w:rsid w:val="00742FD7"/>
    <w:rPr>
      <w:b/>
      <w:lang w:val="fr-CH" w:eastAsia="en-US"/>
    </w:rPr>
  </w:style>
  <w:style w:type="paragraph" w:styleId="Revision">
    <w:name w:val="Revision"/>
    <w:hidden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locked/>
    <w:rsid w:val="0052158A"/>
    <w:rPr>
      <w:lang w:val="fr-CH" w:eastAsia="en-US"/>
    </w:rPr>
  </w:style>
  <w:style w:type="paragraph" w:customStyle="1" w:styleId="SingleTxt">
    <w:name w:val="__Single Txt"/>
    <w:basedOn w:val="Normal"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3</TotalTime>
  <Pages>2</Pages>
  <Words>624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UNECE</dc:creator>
  <cp:keywords/>
  <dc:description/>
  <cp:lastModifiedBy>Alibech Mireles Diaz</cp:lastModifiedBy>
  <cp:revision>4</cp:revision>
  <cp:lastPrinted>2019-07-08T13:21:00Z</cp:lastPrinted>
  <dcterms:created xsi:type="dcterms:W3CDTF">2019-07-10T07:26:00Z</dcterms:created>
  <dcterms:modified xsi:type="dcterms:W3CDTF">2019-07-15T07:51:00Z</dcterms:modified>
</cp:coreProperties>
</file>