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900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900A9" w:rsidP="00A900A9">
            <w:pPr>
              <w:jc w:val="right"/>
            </w:pPr>
            <w:r w:rsidRPr="00A900A9">
              <w:rPr>
                <w:sz w:val="40"/>
              </w:rPr>
              <w:t>ECE</w:t>
            </w:r>
            <w:r>
              <w:t>/TRANS/WP.15/AC.2/2019/15</w:t>
            </w:r>
          </w:p>
        </w:tc>
      </w:tr>
      <w:tr w:rsidR="002D5AAC" w:rsidRPr="00A900A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900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900A9" w:rsidRDefault="00A900A9" w:rsidP="00A90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A900A9" w:rsidRDefault="00A900A9" w:rsidP="00A90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900A9" w:rsidRPr="008D53B6" w:rsidRDefault="00A900A9" w:rsidP="00A900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900A9" w:rsidRPr="009C7537" w:rsidRDefault="00A900A9" w:rsidP="00A900A9">
      <w:pPr>
        <w:spacing w:before="120"/>
        <w:rPr>
          <w:sz w:val="28"/>
          <w:szCs w:val="28"/>
        </w:rPr>
      </w:pPr>
      <w:r w:rsidRPr="009C7537">
        <w:rPr>
          <w:sz w:val="28"/>
          <w:szCs w:val="28"/>
        </w:rPr>
        <w:t>Комитет по внутреннему транспорту</w:t>
      </w:r>
    </w:p>
    <w:p w:rsidR="00A900A9" w:rsidRPr="009C7537" w:rsidRDefault="00A900A9" w:rsidP="00A900A9">
      <w:pPr>
        <w:spacing w:before="120"/>
        <w:rPr>
          <w:b/>
          <w:sz w:val="24"/>
          <w:szCs w:val="24"/>
        </w:rPr>
      </w:pPr>
      <w:r w:rsidRPr="009C7537">
        <w:rPr>
          <w:b/>
          <w:bCs/>
          <w:sz w:val="24"/>
          <w:szCs w:val="24"/>
        </w:rPr>
        <w:t>Рабочая группа по перевозкам опасных грузов</w:t>
      </w:r>
    </w:p>
    <w:p w:rsidR="00A900A9" w:rsidRPr="008B16B6" w:rsidRDefault="00A900A9" w:rsidP="00A900A9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A900A9" w:rsidRPr="008B16B6" w:rsidRDefault="00A900A9" w:rsidP="00A900A9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A900A9" w:rsidRDefault="00A900A9" w:rsidP="00A900A9">
      <w:r>
        <w:t>Женева, 21–25 января 2019 года</w:t>
      </w:r>
    </w:p>
    <w:p w:rsidR="00A900A9" w:rsidRPr="008B16B6" w:rsidRDefault="00A900A9" w:rsidP="00A900A9">
      <w:r>
        <w:t>Пункт 5 b) предварительной повестки дня</w:t>
      </w:r>
    </w:p>
    <w:p w:rsidR="00A900A9" w:rsidRPr="008B16B6" w:rsidRDefault="00A900A9" w:rsidP="00A900A9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</w:p>
    <w:p w:rsidR="00A900A9" w:rsidRDefault="00A900A9" w:rsidP="00A900A9">
      <w:pPr>
        <w:suppressAutoHyphens w:val="0"/>
        <w:spacing w:line="240" w:lineRule="auto"/>
      </w:pPr>
      <w:r>
        <w:rPr>
          <w:b/>
          <w:bCs/>
        </w:rPr>
        <w:t>другие предложения</w:t>
      </w:r>
    </w:p>
    <w:p w:rsidR="00A900A9" w:rsidRPr="00A900A9" w:rsidRDefault="00A900A9" w:rsidP="00A900A9">
      <w:pPr>
        <w:pStyle w:val="HChGR"/>
      </w:pPr>
      <w:r>
        <w:tab/>
      </w:r>
      <w:r>
        <w:tab/>
      </w:r>
      <w:r w:rsidRPr="00A900A9">
        <w:t>Бункеровка СПГ</w:t>
      </w:r>
    </w:p>
    <w:p w:rsidR="00A900A9" w:rsidRDefault="00A900A9" w:rsidP="00A900A9">
      <w:pPr>
        <w:pStyle w:val="H1GR"/>
      </w:pPr>
      <w:r w:rsidRPr="00A900A9">
        <w:tab/>
      </w:r>
      <w:r w:rsidRPr="00A900A9">
        <w:tab/>
        <w:t>Передано правительством Нидерландов</w:t>
      </w:r>
      <w:r w:rsidRPr="00A900A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900A9">
        <w:rPr>
          <w:b w:val="0"/>
          <w:sz w:val="20"/>
        </w:rPr>
        <w:t xml:space="preserve"> </w:t>
      </w:r>
      <w:r w:rsidRPr="00A900A9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900A9" w:rsidRPr="00A900A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900A9" w:rsidRPr="00A900A9" w:rsidRDefault="00A900A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900A9">
              <w:rPr>
                <w:rFonts w:cs="Times New Roman"/>
              </w:rPr>
              <w:tab/>
            </w:r>
            <w:r w:rsidRPr="00A900A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900A9" w:rsidRPr="00A900A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900A9" w:rsidRDefault="00A900A9" w:rsidP="00A900A9">
            <w:pPr>
              <w:pStyle w:val="SingleTxtGR"/>
              <w:ind w:left="2835" w:hanging="2580"/>
            </w:pPr>
            <w:r w:rsidRPr="00A900A9">
              <w:rPr>
                <w:b/>
              </w:rPr>
              <w:t>Существо предложения:</w:t>
            </w:r>
            <w:r>
              <w:tab/>
            </w:r>
            <w:r w:rsidRPr="00A900A9">
              <w:t>В свете все более широкого использования сжиженного природного газа (СПГ) в качества топлива для морских судов и судов внутреннего плавания делегация Нидерландов сочла желательным изучить вопрос о том, какие требования ВОПОГ должны применяться к бункеровке этим топливом. В настоящем документе приводятся четыре поправки к Правилам, прилагаемым к ВОПОГ, касающиеся бункеровки СПГ.</w:t>
            </w:r>
          </w:p>
          <w:p w:rsidR="00A900A9" w:rsidRDefault="00A900A9" w:rsidP="00A900A9">
            <w:pPr>
              <w:pStyle w:val="SingleTxtGR"/>
              <w:ind w:left="2835" w:hanging="2580"/>
            </w:pPr>
            <w:r w:rsidRPr="00A900A9">
              <w:rPr>
                <w:b/>
              </w:rPr>
              <w:t>Предлагаемое решение:</w:t>
            </w:r>
            <w:r>
              <w:tab/>
            </w:r>
            <w:r w:rsidRPr="00A900A9">
              <w:t>В пункте 8 сформулирована просьба к Комитету по вопросам безопасности ВОПОГ принять четыре предлагаемые поправки.</w:t>
            </w:r>
          </w:p>
          <w:p w:rsidR="00A900A9" w:rsidRPr="00A900A9" w:rsidRDefault="00A900A9" w:rsidP="00A900A9">
            <w:pPr>
              <w:pStyle w:val="SingleTxtGR"/>
              <w:ind w:left="2835" w:hanging="2580"/>
            </w:pPr>
            <w:r w:rsidRPr="00A900A9">
              <w:rPr>
                <w:b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A900A9" w:rsidRPr="00A900A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900A9" w:rsidRPr="00A900A9" w:rsidRDefault="00A900A9" w:rsidP="00850215">
            <w:pPr>
              <w:rPr>
                <w:rFonts w:cs="Times New Roman"/>
              </w:rPr>
            </w:pPr>
          </w:p>
        </w:tc>
      </w:tr>
    </w:tbl>
    <w:p w:rsidR="00A900A9" w:rsidRDefault="00A900A9" w:rsidP="00A900A9">
      <w:pPr>
        <w:pStyle w:val="SingleTxtGR"/>
      </w:pPr>
    </w:p>
    <w:p w:rsidR="00A900A9" w:rsidRDefault="00A900A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900A9" w:rsidRPr="00A900A9" w:rsidRDefault="00A900A9" w:rsidP="00A900A9">
      <w:pPr>
        <w:pStyle w:val="HChG"/>
        <w:rPr>
          <w:lang w:val="ru-RU"/>
        </w:rPr>
      </w:pPr>
      <w:r>
        <w:rPr>
          <w:bCs/>
          <w:lang w:val="ru-RU"/>
        </w:rPr>
        <w:lastRenderedPageBreak/>
        <w:tab/>
      </w:r>
      <w:r>
        <w:rPr>
          <w:bCs/>
          <w:lang w:val="ru-RU"/>
        </w:rPr>
        <w:tab/>
        <w:t>Введение</w:t>
      </w:r>
    </w:p>
    <w:p w:rsidR="00A900A9" w:rsidRDefault="00A900A9" w:rsidP="00A900A9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Правилах, прилагаемых к ВОПОГ, содержится ряд конкретных требования, касающихся бункеровки. В разделе 1.2.1 содержится отдельное определение судов снабжения, а в главе 7.2 приведены определенные исключения для судов снабжения и в ряде случаев для других судов, доставляющих продукты, необходимые для эксплуатации судов. «Судно снабжения» определяется как танкер открытого типа N грузоподъемностью до 300 тонн. Под другими судами, доставляющими продукты, необходимые для эксплуатации судов, до недавнего времени понимались только суда, снабжающие другие суда внутреннего плавания и морские суд</w:t>
      </w:r>
      <w:r w:rsidR="00E96E13">
        <w:rPr>
          <w:lang w:val="ru-RU"/>
        </w:rPr>
        <w:t>а</w:t>
      </w:r>
      <w:r>
        <w:rPr>
          <w:lang w:val="ru-RU"/>
        </w:rPr>
        <w:t xml:space="preserve"> газойлем или тяжелым печным топливом.</w:t>
      </w:r>
    </w:p>
    <w:p w:rsidR="00A900A9" w:rsidRPr="00835723" w:rsidRDefault="00A900A9" w:rsidP="00A900A9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Как в секторе внутреннего судоходства, так и в секторе морских перевозок ввиду долгосрочных планов операторов и нормативных положений, направленных, например, на сокращение выбросов в атмосферу вредных веществ (в частности серы), СПГ становится одним из реальных альтернативных видов топлива. Это, естественно, ведет к росту спроса на бункерную инфраструктуру для СПГ, а также на бункерные суда. Суда внутреннего плавания, эксплуатируемые как суда для бункеровки СПГ, могут рассматриваться в качестве «других судов, доставляющих продукты, необходимые для эксплуатации судов», в соответствии с Правилами, прилагаемыми к ВОПОГ.</w:t>
      </w:r>
    </w:p>
    <w:p w:rsidR="00A900A9" w:rsidRPr="008B16B6" w:rsidRDefault="00A900A9" w:rsidP="00A900A9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Ввиду этих изменений, произошедших на рынке СПГ, делегация Нидерландов сочла целесообразным проверить, какие положения уже применяются, должны применяться или более не должны применяться к судам</w:t>
      </w:r>
      <w:r w:rsidRPr="00835723">
        <w:rPr>
          <w:lang w:val="ru-RU"/>
        </w:rPr>
        <w:t xml:space="preserve"> </w:t>
      </w:r>
      <w:r>
        <w:rPr>
          <w:lang w:val="ru-RU"/>
        </w:rPr>
        <w:t>для бункеровки СПГ в качестве «других судов, доставляющих продукты, необходимые для эксплуатации судов». Цель этой работы заключалась в том, чтобы сохранить нынешний уровень безопасности при бункеровке СПГ на европейских внутренних водных путях и в портах. Результаты проделанной работы приведены в нижеследующих пунктах.</w:t>
      </w:r>
    </w:p>
    <w:p w:rsidR="00A900A9" w:rsidRPr="008B16B6" w:rsidRDefault="00A900A9" w:rsidP="00A900A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Другие суда, доставляющие продукты, необходимые для эксплуатации судов: требования ВОПОГ к судам для бункеровки СПГ (поправки)</w:t>
      </w:r>
    </w:p>
    <w:p w:rsidR="00A900A9" w:rsidRPr="008B16B6" w:rsidRDefault="00A900A9" w:rsidP="00A900A9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Подраздел 7.2.4.7.2 гласит, что «передача продуктов, необходимых для эксплуатации судов, в бункера других судов не </w:t>
      </w:r>
      <w:proofErr w:type="spellStart"/>
      <w:r>
        <w:rPr>
          <w:lang w:val="ru-RU"/>
        </w:rPr>
        <w:t>рассматрива</w:t>
      </w:r>
      <w:proofErr w:type="spellEnd"/>
      <w:r>
        <w:rPr>
          <w:lang w:val="ru-RU"/>
        </w:rPr>
        <w:t>[e]</w:t>
      </w:r>
      <w:proofErr w:type="spellStart"/>
      <w:r>
        <w:rPr>
          <w:lang w:val="ru-RU"/>
        </w:rPr>
        <w:t>тся</w:t>
      </w:r>
      <w:proofErr w:type="spellEnd"/>
      <w:r>
        <w:rPr>
          <w:lang w:val="ru-RU"/>
        </w:rPr>
        <w:t xml:space="preserve"> как </w:t>
      </w:r>
      <w:proofErr w:type="spellStart"/>
      <w:r>
        <w:rPr>
          <w:lang w:val="ru-RU"/>
        </w:rPr>
        <w:t>операци</w:t>
      </w:r>
      <w:proofErr w:type="spellEnd"/>
      <w:r>
        <w:rPr>
          <w:lang w:val="ru-RU"/>
        </w:rPr>
        <w:t>[я] по погрузке или разгрузке по смыслу пункта 7.2.4.7.1», из чего можно сделать вывод, что бункеровка СПГ не должна в обязательном порядке происходить в местах, назначенных или утвержденных для этой цели компетентным органом. Ввиду опасных свойств СПГ делегация Нидерландов считает целесообразным ограничить зону проведения этих мероприятий местами, назначенными или утвержденными компетентным органом. В этой связи предлагается следующая поправка к Правилам, прилагаемым к ВОПОГ (новый текст выделен жирным шрифтом и подчеркиванием, а исключенный текст зачеркнут):</w:t>
      </w:r>
    </w:p>
    <w:p w:rsidR="00A900A9" w:rsidRPr="008B16B6" w:rsidRDefault="00A900A9" w:rsidP="00A900A9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«7.2.4.7.2</w:t>
      </w:r>
      <w:r>
        <w:rPr>
          <w:lang w:val="ru-RU"/>
        </w:rPr>
        <w:tab/>
        <w:t xml:space="preserve">Прием неупакованных маслосодержащих жидких отходов, образующихся при эксплуатации судов, которые поступили с других судов, и передача продуктов, необходимых для эксплуатации судов, </w:t>
      </w:r>
      <w:r>
        <w:rPr>
          <w:b/>
          <w:bCs/>
          <w:u w:val="single"/>
          <w:lang w:val="ru-RU"/>
        </w:rPr>
        <w:t>за исключением сжиженного природного газа (СПГ),</w:t>
      </w:r>
      <w:r>
        <w:rPr>
          <w:lang w:val="ru-RU"/>
        </w:rPr>
        <w:t xml:space="preserve"> в бункера других судов не </w:t>
      </w:r>
      <w:r>
        <w:rPr>
          <w:b/>
          <w:bCs/>
          <w:u w:val="single"/>
          <w:lang w:val="ru-RU"/>
        </w:rPr>
        <w:t xml:space="preserve">считаются </w:t>
      </w:r>
      <w:r>
        <w:rPr>
          <w:strike/>
          <w:lang w:val="ru-RU"/>
        </w:rPr>
        <w:t>рассматриваются как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операци</w:t>
      </w:r>
      <w:r>
        <w:rPr>
          <w:strike/>
          <w:lang w:val="ru-RU"/>
        </w:rPr>
        <w:t>и</w:t>
      </w:r>
      <w:r>
        <w:rPr>
          <w:b/>
          <w:bCs/>
          <w:u w:val="single"/>
          <w:lang w:val="ru-RU"/>
        </w:rPr>
        <w:t>ями</w:t>
      </w:r>
      <w:proofErr w:type="spellEnd"/>
      <w:r>
        <w:rPr>
          <w:lang w:val="ru-RU"/>
        </w:rPr>
        <w:t xml:space="preserve"> по погрузке или разгрузке по смыслу пункта 7.2.4.7.1 выше или </w:t>
      </w:r>
      <w:proofErr w:type="spellStart"/>
      <w:r>
        <w:rPr>
          <w:lang w:val="ru-RU"/>
        </w:rPr>
        <w:t>операци</w:t>
      </w:r>
      <w:r>
        <w:rPr>
          <w:strike/>
          <w:lang w:val="ru-RU"/>
        </w:rPr>
        <w:t>и</w:t>
      </w:r>
      <w:r>
        <w:rPr>
          <w:b/>
          <w:bCs/>
          <w:u w:val="single"/>
          <w:lang w:val="ru-RU"/>
        </w:rPr>
        <w:t>ями</w:t>
      </w:r>
      <w:proofErr w:type="spellEnd"/>
      <w:r>
        <w:rPr>
          <w:lang w:val="ru-RU"/>
        </w:rPr>
        <w:t xml:space="preserve"> по перегрузке груза по смыслу подраздела 7.2.4.9».</w:t>
      </w:r>
    </w:p>
    <w:p w:rsidR="00A900A9" w:rsidRPr="008B16B6" w:rsidRDefault="00A900A9" w:rsidP="00A900A9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Подраздел 7.2.4.17 регламентирует условия, при которых входы или отверстия некоторых помещений должны оставаться з</w:t>
      </w:r>
      <w:r w:rsidR="00E14EEB">
        <w:rPr>
          <w:lang w:val="ru-RU"/>
        </w:rPr>
        <w:t>акрытыми. В то же время пунктом </w:t>
      </w:r>
      <w:r>
        <w:rPr>
          <w:lang w:val="ru-RU"/>
        </w:rPr>
        <w:t>7.2.4.17.3 предусматривается изъятие, касающееся передачи продуктов, необходимых для эксплуатации судов. По мнению делегации Нидерландов, это также нежелательно ввиду опасных свойств СПГ и делает необходимым внесение поправок в Правила, прилагаемые к ВОПОГ (новый текст выделен жирным шрифтом и подчеркиванием):</w:t>
      </w:r>
    </w:p>
    <w:p w:rsidR="00A900A9" w:rsidRPr="008B16B6" w:rsidRDefault="00A900A9" w:rsidP="00A900A9">
      <w:pPr>
        <w:pStyle w:val="SingleTxtG"/>
        <w:ind w:left="2268" w:hanging="1134"/>
        <w:rPr>
          <w:lang w:val="ru-RU"/>
        </w:rPr>
      </w:pPr>
      <w:r>
        <w:rPr>
          <w:lang w:val="ru-RU"/>
        </w:rPr>
        <w:lastRenderedPageBreak/>
        <w:t>«7.2.4.17.3</w:t>
      </w:r>
      <w:r>
        <w:rPr>
          <w:lang w:val="ru-RU"/>
        </w:rPr>
        <w:tab/>
        <w:t xml:space="preserve">Положения пунктов 7.2.4.17.1 и 7.2.4.17.2 выше не применяются во время приема маслосодержащих отходов, образующихся при эксплуатации судов, и приема на борт продуктов, необходимых для эксплуатации судов, </w:t>
      </w:r>
      <w:r>
        <w:rPr>
          <w:b/>
          <w:bCs/>
          <w:u w:val="single"/>
          <w:lang w:val="ru-RU"/>
        </w:rPr>
        <w:t>за исключением сжиженного природного газа (СПГ)</w:t>
      </w:r>
      <w:r w:rsidR="00E14EEB">
        <w:rPr>
          <w:lang w:val="ru-RU"/>
        </w:rPr>
        <w:t>»</w:t>
      </w:r>
      <w:r>
        <w:rPr>
          <w:lang w:val="ru-RU"/>
        </w:rPr>
        <w:t>.</w:t>
      </w:r>
    </w:p>
    <w:p w:rsidR="00A900A9" w:rsidRPr="008B16B6" w:rsidRDefault="00A900A9" w:rsidP="00A900A9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В соответствии с подразделом 7.2.4.29 при перевозке охлажденных сжиженных газов во время погрузки и разгрузки под соединение с берегом устанавливается поддон. Поскольку при бункеровке с судна на судно соединения с берегом не происходит, делегация Нидерландов предлагает исключить в подразделе 7.2.4.29 упоминание берега, чтобы, таким образом, установка поддона была обязательной при любом соединении погрузочно-разгрузочных трубопроводов (исключенный текст зачеркнут).</w:t>
      </w:r>
    </w:p>
    <w:p w:rsidR="00A900A9" w:rsidRPr="008B16B6" w:rsidRDefault="00A900A9" w:rsidP="00A900A9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«7.2.4.29</w:t>
      </w:r>
      <w:r>
        <w:rPr>
          <w:lang w:val="ru-RU"/>
        </w:rPr>
        <w:tab/>
        <w:t xml:space="preserve">Во время погрузки или разгрузки поддон, указанный в пункте 9.3.1.21.11, устанавливается под соединением </w:t>
      </w:r>
      <w:r>
        <w:rPr>
          <w:strike/>
          <w:lang w:val="ru-RU"/>
        </w:rPr>
        <w:t>с берегом</w:t>
      </w:r>
      <w:r>
        <w:rPr>
          <w:lang w:val="ru-RU"/>
        </w:rPr>
        <w:t xml:space="preserve"> используемых погрузочно-разгрузочных трубопроводов, и обеспечивается водяная пленка, как указано в пункте 9.3.1.21.11».</w:t>
      </w:r>
    </w:p>
    <w:p w:rsidR="00A900A9" w:rsidRPr="008B16B6" w:rsidRDefault="00A900A9" w:rsidP="00A900A9">
      <w:pPr>
        <w:pStyle w:val="SingleTxtG"/>
        <w:rPr>
          <w:lang w:val="ru-RU"/>
        </w:rPr>
      </w:pPr>
      <w:proofErr w:type="gramStart"/>
      <w:r>
        <w:rPr>
          <w:lang w:val="ru-RU"/>
        </w:rPr>
        <w:t>7.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подготовки этого документа делегация Франции обратила внимание делегации Нидерландов на стандарт ISO 20519:2017, которым установлены технические требования к заправке топливом судов, работающих на сжиженном природном газе. Посредством (пересматриваемой в настоящий момент) статьи 3 Регламента (EU) 2018/674 настоящий стандарт был инкорпорирован в законодательство ЕС. В целях приведения к единообразию законодательства, применимого к бункеровке СПГ (международные стандарты, Правила, прилагаемые к ВОПОГ, законодательство ЕС) в Европе, делегация Нидерландов предлагает включить ссылку на данный стандарт в подраздел 8.1.6.2 Правил, прилагаемых к ВОПОГ (новый текст выделен жирным шрифтом и подчеркиванием).</w:t>
      </w:r>
    </w:p>
    <w:p w:rsidR="00A900A9" w:rsidRPr="008B16B6" w:rsidRDefault="00A900A9" w:rsidP="00A900A9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«8.1.6.2</w:t>
      </w:r>
      <w:r>
        <w:rPr>
          <w:lang w:val="ru-RU"/>
        </w:rPr>
        <w:tab/>
        <w:t>Шланги в сборе, используемые для погрузки, разгрузки или передачи продуктов, необходимых для эксплуатации судна, и остаточного груза, должны соответствовать европейскому стандарту EN 12115:2011-04 (Резиновые и термопластические ш</w:t>
      </w:r>
      <w:r w:rsidR="00E14EEB">
        <w:rPr>
          <w:lang w:val="ru-RU"/>
        </w:rPr>
        <w:t xml:space="preserve">ланги и шланги в сборе), или </w:t>
      </w:r>
      <w:r w:rsidR="00E14EEB" w:rsidRPr="00E14EEB">
        <w:rPr>
          <w:spacing w:val="-8"/>
          <w:lang w:val="ru-RU"/>
        </w:rPr>
        <w:t>EN </w:t>
      </w:r>
      <w:r w:rsidRPr="00E14EEB">
        <w:rPr>
          <w:spacing w:val="-8"/>
          <w:lang w:val="ru-RU"/>
        </w:rPr>
        <w:t>13765:2010-08 (Термопластические многослойные (</w:t>
      </w:r>
      <w:proofErr w:type="spellStart"/>
      <w:r w:rsidRPr="00E14EEB">
        <w:rPr>
          <w:spacing w:val="-8"/>
          <w:lang w:val="ru-RU"/>
        </w:rPr>
        <w:t>невулканизированные</w:t>
      </w:r>
      <w:proofErr w:type="spellEnd"/>
      <w:r w:rsidRPr="00E14EEB">
        <w:rPr>
          <w:spacing w:val="-8"/>
          <w:lang w:val="ru-RU"/>
        </w:rPr>
        <w:t>)</w:t>
      </w:r>
      <w:r>
        <w:rPr>
          <w:lang w:val="ru-RU"/>
        </w:rPr>
        <w:t xml:space="preserve"> шланги и шланги в сборе), или EN ISO 10380:2003-10 (Гофрированные металлические шланги и шланги в сборе). Они должны проверяться и </w:t>
      </w:r>
      <w:r w:rsidRPr="00E14EEB">
        <w:rPr>
          <w:spacing w:val="-4"/>
          <w:lang w:val="ru-RU"/>
        </w:rPr>
        <w:t>осматриваться в соответствии с таблицей А.1 стандарта EN 12115:2011-04,</w:t>
      </w:r>
      <w:r>
        <w:rPr>
          <w:lang w:val="ru-RU"/>
        </w:rPr>
        <w:t xml:space="preserve"> или таблицей К.1 стандарта EN 13765:2010-08, или пунктом 7 стандарта EN ISO 10380:2003-10 не реже одного раза в год в соответствии с инструкциями изготовителя лицами, уполномоченными для этой цели компетентным органом. Свидетельство о такой проверке должно находиться на борту судна. </w:t>
      </w:r>
      <w:r>
        <w:rPr>
          <w:b/>
          <w:bCs/>
          <w:u w:val="single"/>
          <w:lang w:val="ru-RU"/>
        </w:rPr>
        <w:t xml:space="preserve">Шланги в сборе, используемые для загрузки, разгрузки или передачи сжиженного природного газа для эксплуатации судна, должны соответствовать частям 5.3–5.7 стандарта EN </w:t>
      </w:r>
      <w:r w:rsidR="00E96E13">
        <w:rPr>
          <w:b/>
          <w:bCs/>
          <w:u w:val="single"/>
          <w:lang w:val="en-US"/>
        </w:rPr>
        <w:t>ISO</w:t>
      </w:r>
      <w:r w:rsidR="00E96E13" w:rsidRPr="00E96E13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 xml:space="preserve">20519:2017 (Суда и морские технологии </w:t>
      </w:r>
      <w:r w:rsidR="00E14EEB">
        <w:rPr>
          <w:b/>
          <w:bCs/>
          <w:u w:val="single"/>
          <w:lang w:val="ru-RU"/>
        </w:rPr>
        <w:t>–</w:t>
      </w:r>
      <w:r>
        <w:rPr>
          <w:b/>
          <w:bCs/>
          <w:u w:val="single"/>
          <w:lang w:val="ru-RU"/>
        </w:rPr>
        <w:t xml:space="preserve"> Спецификация на бункеровку судов, использующих сжиженный природный газ в качестве топлива) и должны проверяться в </w:t>
      </w:r>
      <w:r w:rsidRPr="00E96E13">
        <w:rPr>
          <w:b/>
          <w:bCs/>
          <w:spacing w:val="-2"/>
          <w:u w:val="single"/>
          <w:lang w:val="ru-RU"/>
        </w:rPr>
        <w:t xml:space="preserve">соответствии с положениями части 5.8 стандарта EN </w:t>
      </w:r>
      <w:r w:rsidR="00E96E13" w:rsidRPr="00E96E13">
        <w:rPr>
          <w:b/>
          <w:bCs/>
          <w:spacing w:val="-2"/>
          <w:u w:val="single"/>
          <w:lang w:val="en-US"/>
        </w:rPr>
        <w:t>ISO</w:t>
      </w:r>
      <w:r w:rsidR="00E96E13" w:rsidRPr="00E96E13">
        <w:rPr>
          <w:b/>
          <w:bCs/>
          <w:spacing w:val="-2"/>
          <w:u w:val="single"/>
          <w:lang w:val="ru-RU"/>
        </w:rPr>
        <w:t xml:space="preserve"> </w:t>
      </w:r>
      <w:r w:rsidRPr="00E96E13">
        <w:rPr>
          <w:b/>
          <w:bCs/>
          <w:spacing w:val="-2"/>
          <w:u w:val="single"/>
          <w:lang w:val="ru-RU"/>
        </w:rPr>
        <w:t>20519:2017</w:t>
      </w:r>
      <w:r w:rsidRPr="00E96E13">
        <w:rPr>
          <w:bCs/>
          <w:spacing w:val="-2"/>
          <w:lang w:val="ru-RU"/>
        </w:rPr>
        <w:t>».</w:t>
      </w:r>
    </w:p>
    <w:p w:rsidR="00A900A9" w:rsidRPr="009C7537" w:rsidRDefault="00A900A9" w:rsidP="00A900A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Последующие действия</w:t>
      </w:r>
    </w:p>
    <w:p w:rsidR="00E12C5F" w:rsidRDefault="00A900A9" w:rsidP="00A900A9">
      <w:pPr>
        <w:pStyle w:val="SingleTxtGR"/>
      </w:pPr>
      <w:r>
        <w:t>8.</w:t>
      </w:r>
      <w:r>
        <w:tab/>
        <w:t>Делегация Нидерландов просит Комитет по вопросам безопасности ВОПОГ рассмотреть поправки, предлагаемые в пунктах 4–7, и принять меры, которые он сочтет целесообразными.</w:t>
      </w:r>
    </w:p>
    <w:p w:rsidR="00A900A9" w:rsidRPr="00A900A9" w:rsidRDefault="00A900A9" w:rsidP="00A900A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00A9" w:rsidRPr="00A900A9" w:rsidSect="00A900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5F" w:rsidRPr="00A312BC" w:rsidRDefault="00566B5F" w:rsidP="00A312BC"/>
  </w:endnote>
  <w:endnote w:type="continuationSeparator" w:id="0">
    <w:p w:rsidR="00566B5F" w:rsidRPr="00A312BC" w:rsidRDefault="00566B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A9" w:rsidRPr="00A900A9" w:rsidRDefault="00A900A9">
    <w:pPr>
      <w:pStyle w:val="Footer"/>
    </w:pPr>
    <w:r w:rsidRPr="00A900A9">
      <w:rPr>
        <w:b/>
        <w:sz w:val="18"/>
      </w:rPr>
      <w:fldChar w:fldCharType="begin"/>
    </w:r>
    <w:r w:rsidRPr="00A900A9">
      <w:rPr>
        <w:b/>
        <w:sz w:val="18"/>
      </w:rPr>
      <w:instrText xml:space="preserve"> PAGE  \* MERGEFORMAT </w:instrText>
    </w:r>
    <w:r w:rsidRPr="00A900A9">
      <w:rPr>
        <w:b/>
        <w:sz w:val="18"/>
      </w:rPr>
      <w:fldChar w:fldCharType="separate"/>
    </w:r>
    <w:r w:rsidR="00F77345">
      <w:rPr>
        <w:b/>
        <w:noProof/>
        <w:sz w:val="18"/>
      </w:rPr>
      <w:t>2</w:t>
    </w:r>
    <w:r w:rsidRPr="00A900A9">
      <w:rPr>
        <w:b/>
        <w:sz w:val="18"/>
      </w:rPr>
      <w:fldChar w:fldCharType="end"/>
    </w:r>
    <w:r>
      <w:rPr>
        <w:b/>
        <w:sz w:val="18"/>
      </w:rPr>
      <w:tab/>
    </w:r>
    <w:r>
      <w:t>GE.18-18215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A9" w:rsidRPr="00A900A9" w:rsidRDefault="00A900A9" w:rsidP="00A900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GE.18-18215</w:t>
    </w:r>
    <w:r>
      <w:tab/>
    </w:r>
    <w:r w:rsidRPr="00A900A9">
      <w:rPr>
        <w:b/>
        <w:sz w:val="18"/>
      </w:rPr>
      <w:fldChar w:fldCharType="begin"/>
    </w:r>
    <w:r w:rsidRPr="00A900A9">
      <w:rPr>
        <w:b/>
        <w:sz w:val="18"/>
      </w:rPr>
      <w:instrText xml:space="preserve"> PAGE  \* MERGEFORMAT </w:instrText>
    </w:r>
    <w:r w:rsidRPr="00A900A9">
      <w:rPr>
        <w:b/>
        <w:sz w:val="18"/>
      </w:rPr>
      <w:fldChar w:fldCharType="separate"/>
    </w:r>
    <w:r w:rsidR="00F77345">
      <w:rPr>
        <w:b/>
        <w:noProof/>
        <w:sz w:val="18"/>
      </w:rPr>
      <w:t>3</w:t>
    </w:r>
    <w:r w:rsidRPr="00A900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900A9" w:rsidRDefault="00A900A9" w:rsidP="00A900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18215  (</w:t>
    </w:r>
    <w:proofErr w:type="gramEnd"/>
    <w:r>
      <w:t>R)</w:t>
    </w:r>
    <w:r w:rsidR="00E14EEB">
      <w:t xml:space="preserve">  021118  051118</w:t>
    </w:r>
    <w:r>
      <w:br/>
    </w:r>
    <w:r w:rsidRPr="00A900A9">
      <w:rPr>
        <w:rFonts w:ascii="C39T30Lfz" w:hAnsi="C39T30Lfz"/>
        <w:kern w:val="14"/>
        <w:sz w:val="56"/>
      </w:rPr>
      <w:t></w:t>
    </w:r>
    <w:r w:rsidRPr="00A900A9">
      <w:rPr>
        <w:rFonts w:ascii="C39T30Lfz" w:hAnsi="C39T30Lfz"/>
        <w:kern w:val="14"/>
        <w:sz w:val="56"/>
      </w:rPr>
      <w:t></w:t>
    </w:r>
    <w:r w:rsidRPr="00A900A9">
      <w:rPr>
        <w:rFonts w:ascii="C39T30Lfz" w:hAnsi="C39T30Lfz"/>
        <w:kern w:val="14"/>
        <w:sz w:val="56"/>
      </w:rPr>
      <w:t></w:t>
    </w:r>
    <w:r w:rsidRPr="00A900A9">
      <w:rPr>
        <w:rFonts w:ascii="C39T30Lfz" w:hAnsi="C39T30Lfz"/>
        <w:kern w:val="14"/>
        <w:sz w:val="56"/>
      </w:rPr>
      <w:t></w:t>
    </w:r>
    <w:r w:rsidRPr="00A900A9">
      <w:rPr>
        <w:rFonts w:ascii="C39T30Lfz" w:hAnsi="C39T30Lfz"/>
        <w:kern w:val="14"/>
        <w:sz w:val="56"/>
      </w:rPr>
      <w:t></w:t>
    </w:r>
    <w:r w:rsidRPr="00A900A9">
      <w:rPr>
        <w:rFonts w:ascii="C39T30Lfz" w:hAnsi="C39T30Lfz"/>
        <w:kern w:val="14"/>
        <w:sz w:val="56"/>
      </w:rPr>
      <w:t></w:t>
    </w:r>
    <w:r w:rsidRPr="00A900A9">
      <w:rPr>
        <w:rFonts w:ascii="C39T30Lfz" w:hAnsi="C39T30Lfz"/>
        <w:kern w:val="14"/>
        <w:sz w:val="56"/>
      </w:rPr>
      <w:t></w:t>
    </w:r>
    <w:r w:rsidRPr="00A900A9">
      <w:rPr>
        <w:rFonts w:ascii="C39T30Lfz" w:hAnsi="C39T30Lfz"/>
        <w:kern w:val="14"/>
        <w:sz w:val="56"/>
      </w:rPr>
      <w:t></w:t>
    </w:r>
    <w:r w:rsidRPr="00A900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5F" w:rsidRPr="001075E9" w:rsidRDefault="00566B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6B5F" w:rsidRDefault="00566B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00A9" w:rsidRPr="00A900A9" w:rsidRDefault="00A900A9">
      <w:pPr>
        <w:pStyle w:val="FootnoteText"/>
        <w:rPr>
          <w:sz w:val="20"/>
        </w:rPr>
      </w:pPr>
      <w:r>
        <w:tab/>
      </w:r>
      <w:r w:rsidRPr="00A900A9">
        <w:rPr>
          <w:rStyle w:val="FootnoteReference"/>
          <w:sz w:val="20"/>
          <w:vertAlign w:val="baseline"/>
        </w:rPr>
        <w:t>*</w:t>
      </w:r>
      <w:r w:rsidRPr="00A900A9">
        <w:rPr>
          <w:rStyle w:val="FootnoteReference"/>
          <w:vertAlign w:val="baseline"/>
        </w:rPr>
        <w:tab/>
      </w:r>
      <w:r w:rsidRPr="00A900A9">
        <w:t>Распространено на немецком языке Центральной комиссией судоходства по Рейну под условным обозначением CCNR/ZKR/ADN/WP.15/AC.2/2019/15.</w:t>
      </w:r>
    </w:p>
  </w:footnote>
  <w:footnote w:id="2">
    <w:p w:rsidR="00A900A9" w:rsidRPr="00A900A9" w:rsidRDefault="00A900A9">
      <w:pPr>
        <w:pStyle w:val="FootnoteText"/>
        <w:rPr>
          <w:sz w:val="20"/>
        </w:rPr>
      </w:pPr>
      <w:r>
        <w:tab/>
      </w:r>
      <w:r w:rsidRPr="00A900A9">
        <w:rPr>
          <w:rStyle w:val="FootnoteReference"/>
          <w:sz w:val="20"/>
          <w:vertAlign w:val="baseline"/>
        </w:rPr>
        <w:t>**</w:t>
      </w:r>
      <w:r w:rsidRPr="00A900A9">
        <w:rPr>
          <w:rStyle w:val="FootnoteReference"/>
          <w:vertAlign w:val="baseline"/>
        </w:rPr>
        <w:tab/>
      </w:r>
      <w:r w:rsidRPr="00A900A9"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A9" w:rsidRPr="00A900A9" w:rsidRDefault="006454F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77345">
      <w:t>ECE/TRANS/WP.15/AC.2/2019/15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A9" w:rsidRPr="00A900A9" w:rsidRDefault="006454FF" w:rsidP="00A900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7345">
      <w:t>ECE/TRANS/WP.15/AC.2/2019/15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5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3D16"/>
    <w:rsid w:val="00424203"/>
    <w:rsid w:val="00452493"/>
    <w:rsid w:val="00453318"/>
    <w:rsid w:val="00454AF2"/>
    <w:rsid w:val="00454E07"/>
    <w:rsid w:val="00472C5C"/>
    <w:rsid w:val="004C2622"/>
    <w:rsid w:val="004E05B7"/>
    <w:rsid w:val="0050108D"/>
    <w:rsid w:val="00513081"/>
    <w:rsid w:val="00517901"/>
    <w:rsid w:val="00526683"/>
    <w:rsid w:val="005639C1"/>
    <w:rsid w:val="00566B5F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4F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00A9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4EEB"/>
    <w:rsid w:val="00E73F76"/>
    <w:rsid w:val="00E96E13"/>
    <w:rsid w:val="00EA2C9F"/>
    <w:rsid w:val="00EA420E"/>
    <w:rsid w:val="00ED0BDA"/>
    <w:rsid w:val="00EE142A"/>
    <w:rsid w:val="00EF1360"/>
    <w:rsid w:val="00EF3220"/>
    <w:rsid w:val="00F2523A"/>
    <w:rsid w:val="00F43903"/>
    <w:rsid w:val="00F7734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D62148-3E1D-4B58-A704-F9890D68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900A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ingleTxtG">
    <w:name w:val="_ Single Txt_G"/>
    <w:basedOn w:val="Normal"/>
    <w:link w:val="SingleTxtGChar"/>
    <w:qFormat/>
    <w:rsid w:val="00A900A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A900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A900A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4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ECE/TRANS/WP.15/AC.2/2019/15</vt:lpstr>
      <vt:lpstr>ECE/TRANS/WP.15/AC.2/2019/15</vt:lpstr>
      <vt:lpstr>A/</vt:lpstr>
    </vt:vector>
  </TitlesOfParts>
  <Company>DCM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ECE/TRANS/WP.15/AC.2/2019/15</dc:title>
  <dc:subject/>
  <dc:creator>Marina KOROTKOVA</dc:creator>
  <cp:keywords/>
  <cp:lastModifiedBy>Marie-Claude Collet</cp:lastModifiedBy>
  <cp:revision>2</cp:revision>
  <cp:lastPrinted>2018-11-05T09:39:00Z</cp:lastPrinted>
  <dcterms:created xsi:type="dcterms:W3CDTF">2018-12-03T08:15:00Z</dcterms:created>
  <dcterms:modified xsi:type="dcterms:W3CDTF">2018-12-03T08:15:00Z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