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B7110" w14:paraId="39D3C80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935AAD" w14:textId="77777777" w:rsidR="002D5AAC" w:rsidRDefault="002D5AAC" w:rsidP="008B71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0A8C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B8C7BF" w14:textId="77777777" w:rsidR="002D5AAC" w:rsidRPr="008B7110" w:rsidRDefault="008B7110" w:rsidP="008B7110">
            <w:pPr>
              <w:jc w:val="right"/>
              <w:rPr>
                <w:lang w:val="en-US"/>
              </w:rPr>
            </w:pPr>
            <w:r w:rsidRPr="008B7110">
              <w:rPr>
                <w:sz w:val="40"/>
                <w:lang w:val="en-US"/>
              </w:rPr>
              <w:t>ECE</w:t>
            </w:r>
            <w:r w:rsidRPr="008B7110">
              <w:rPr>
                <w:lang w:val="en-US"/>
              </w:rPr>
              <w:t>/TRANS/WP.15/AC.1/156/Add.1</w:t>
            </w:r>
          </w:p>
        </w:tc>
      </w:tr>
      <w:tr w:rsidR="002D5AAC" w:rsidRPr="008B7110" w14:paraId="66DF0EA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AE67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F49BB6" wp14:editId="280670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B8012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105782" w14:textId="77777777" w:rsidR="002D5AAC" w:rsidRDefault="008B71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F9EE1E" w14:textId="77777777" w:rsidR="008B7110" w:rsidRDefault="008B7110" w:rsidP="008B71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October 2019</w:t>
            </w:r>
          </w:p>
          <w:p w14:paraId="6330D135" w14:textId="77777777" w:rsidR="008B7110" w:rsidRDefault="008B7110" w:rsidP="008B71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D6D610" w14:textId="77777777" w:rsidR="008B7110" w:rsidRPr="008D53B6" w:rsidRDefault="008B7110" w:rsidP="008B71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4243FC" w14:textId="77777777" w:rsidR="008B711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736E52E" w14:textId="77777777" w:rsidR="00F078EE" w:rsidRPr="00F078EE" w:rsidRDefault="00F078EE" w:rsidP="00F078EE">
      <w:pPr>
        <w:spacing w:before="120"/>
        <w:outlineLvl w:val="0"/>
        <w:rPr>
          <w:sz w:val="28"/>
          <w:szCs w:val="28"/>
        </w:rPr>
      </w:pPr>
      <w:r w:rsidRPr="00F078EE">
        <w:rPr>
          <w:sz w:val="28"/>
          <w:szCs w:val="28"/>
        </w:rPr>
        <w:t>Комитет по внутреннему транспорту</w:t>
      </w:r>
    </w:p>
    <w:p w14:paraId="6002C5E3" w14:textId="77777777" w:rsidR="00F078EE" w:rsidRPr="00F078EE" w:rsidRDefault="00F078EE" w:rsidP="00F078EE">
      <w:pPr>
        <w:spacing w:before="120"/>
        <w:outlineLvl w:val="0"/>
        <w:rPr>
          <w:b/>
          <w:sz w:val="24"/>
          <w:szCs w:val="24"/>
        </w:rPr>
      </w:pPr>
      <w:r w:rsidRPr="00F078EE">
        <w:rPr>
          <w:b/>
          <w:bCs/>
          <w:sz w:val="24"/>
          <w:szCs w:val="24"/>
        </w:rPr>
        <w:t>Рабочая группа по перевозкам опасных грузов</w:t>
      </w:r>
    </w:p>
    <w:p w14:paraId="656E8DCC" w14:textId="77777777" w:rsidR="00F078EE" w:rsidRPr="001A2293" w:rsidRDefault="00F078EE" w:rsidP="00F078EE">
      <w:pPr>
        <w:spacing w:before="120"/>
        <w:rPr>
          <w:b/>
        </w:rPr>
      </w:pPr>
      <w:r w:rsidRPr="001A2293"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 w:rsidRPr="001A2293">
        <w:rPr>
          <w:b/>
          <w:bCs/>
        </w:rPr>
        <w:t>и Рабочей группы по перевозкам опасных грузов</w:t>
      </w:r>
    </w:p>
    <w:p w14:paraId="5D42C05F" w14:textId="77777777" w:rsidR="00F078EE" w:rsidRPr="001A2293" w:rsidRDefault="00F078EE" w:rsidP="00F078EE">
      <w:pPr>
        <w:pStyle w:val="HChG"/>
      </w:pPr>
      <w:r w:rsidRPr="001A2293">
        <w:tab/>
      </w:r>
      <w:r w:rsidRPr="001A2293">
        <w:tab/>
      </w:r>
      <w:r w:rsidRPr="001A2293">
        <w:rPr>
          <w:bCs/>
        </w:rPr>
        <w:t>Доклад Совместного совещания Комиссии экспертов МПОГ и Рабочей группы по перевозкам опасных грузов о работе его осенней сессии 2019 года</w:t>
      </w:r>
      <w:r w:rsidRPr="00F078E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078EE">
        <w:rPr>
          <w:b w:val="0"/>
          <w:bCs/>
          <w:szCs w:val="28"/>
        </w:rPr>
        <w:t>,</w:t>
      </w:r>
    </w:p>
    <w:p w14:paraId="64DAE09D" w14:textId="77777777" w:rsidR="00F078EE" w:rsidRPr="001A2293" w:rsidRDefault="00F078EE" w:rsidP="00F078EE">
      <w:pPr>
        <w:pStyle w:val="H56G"/>
      </w:pPr>
      <w:r w:rsidRPr="001A2293">
        <w:tab/>
      </w:r>
      <w:r w:rsidRPr="001A2293">
        <w:tab/>
        <w:t>состоявшейся в Женеве −</w:t>
      </w:r>
      <w:r>
        <w:t xml:space="preserve"> </w:t>
      </w:r>
      <w:r w:rsidRPr="001A2293">
        <w:t>17</w:t>
      </w:r>
      <w:r>
        <w:t>–</w:t>
      </w:r>
      <w:r w:rsidRPr="001A2293">
        <w:t>26 сентября 2019 года</w:t>
      </w:r>
    </w:p>
    <w:p w14:paraId="3BE7DAA6" w14:textId="77777777" w:rsidR="00F078EE" w:rsidRPr="001A2293" w:rsidRDefault="00F078EE" w:rsidP="00F078EE">
      <w:pPr>
        <w:pStyle w:val="H23G"/>
      </w:pPr>
      <w:r w:rsidRPr="001A2293">
        <w:tab/>
      </w:r>
      <w:r w:rsidRPr="001A2293">
        <w:tab/>
      </w:r>
      <w:r w:rsidRPr="001A2293">
        <w:rPr>
          <w:bCs/>
        </w:rPr>
        <w:t>Добавление</w:t>
      </w:r>
      <w:r w:rsidRPr="00F078E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48BBF68F" w14:textId="77777777" w:rsidR="00F078EE" w:rsidRPr="001A2293" w:rsidRDefault="00F078EE" w:rsidP="00F078EE">
      <w:pPr>
        <w:pStyle w:val="H1G"/>
      </w:pPr>
      <w:r w:rsidRPr="001A2293">
        <w:tab/>
      </w:r>
      <w:r w:rsidRPr="001A2293">
        <w:tab/>
      </w:r>
      <w:r w:rsidRPr="001A2293">
        <w:rPr>
          <w:bCs/>
        </w:rPr>
        <w:t>Приложение I</w:t>
      </w:r>
    </w:p>
    <w:p w14:paraId="6DEEA722" w14:textId="77777777" w:rsidR="00F078EE" w:rsidRPr="001A2293" w:rsidRDefault="00F078EE" w:rsidP="00F078EE">
      <w:pPr>
        <w:pStyle w:val="H1G"/>
      </w:pPr>
      <w:r w:rsidRPr="001A2293">
        <w:tab/>
      </w:r>
      <w:r w:rsidRPr="001A2293">
        <w:tab/>
      </w:r>
      <w:r w:rsidRPr="001A2293">
        <w:rPr>
          <w:bCs/>
        </w:rPr>
        <w:t>Доклад Рабочей группы по цистернам</w:t>
      </w:r>
    </w:p>
    <w:p w14:paraId="778EC5B9" w14:textId="77777777" w:rsidR="00F078EE" w:rsidRPr="001A2293" w:rsidRDefault="00F078EE" w:rsidP="00F078EE">
      <w:pPr>
        <w:pStyle w:val="SingleTxtG"/>
      </w:pPr>
      <w:r w:rsidRPr="001A2293">
        <w:t>1.</w:t>
      </w:r>
      <w:r w:rsidRPr="001A2293">
        <w:tab/>
        <w:t>Рабочая группа по цистернам провела свое совещание 17–19 сентября 2019 года в Женеве на основе мандата, предоставленного Совместным совещанием МПОГ/ДОПОГ/ВОПОГ, под председательством г-на Арне Бейла (Соединенное Королевство); обязанности секретаря исполнял г-н Кес де Путтер (Нидерланды). Соответствующие документы были представлены на пленарной сессии и переданы на рассмотрение Рабочей группы.</w:t>
      </w:r>
    </w:p>
    <w:p w14:paraId="3B444C82" w14:textId="77777777" w:rsidR="00F078EE" w:rsidRPr="001A2293" w:rsidRDefault="00F078EE" w:rsidP="00F078EE">
      <w:pPr>
        <w:pStyle w:val="SingleTxtG"/>
      </w:pPr>
      <w:r w:rsidRPr="001A2293">
        <w:t>2.</w:t>
      </w:r>
      <w:r w:rsidRPr="001A2293">
        <w:tab/>
        <w:t>Рабочая группа по цистернам, состоящая из 32 экспертов от 12 стран и 5</w:t>
      </w:r>
      <w:r>
        <w:t> </w:t>
      </w:r>
      <w:r w:rsidRPr="001A2293">
        <w:t>неправительственных организаций и Европейской комиссии, рассмотрела следующие официальные и неофициальные документы:</w:t>
      </w:r>
    </w:p>
    <w:p w14:paraId="4637EC45" w14:textId="77777777" w:rsidR="00F078EE" w:rsidRPr="001A2293" w:rsidRDefault="00F078EE" w:rsidP="00F078EE">
      <w:pPr>
        <w:suppressAutoHyphens w:val="0"/>
        <w:spacing w:line="240" w:lineRule="auto"/>
        <w:rPr>
          <w:i/>
        </w:rPr>
      </w:pPr>
      <w:r w:rsidRPr="001A2293">
        <w:rPr>
          <w:i/>
        </w:rPr>
        <w:br w:type="page"/>
      </w:r>
    </w:p>
    <w:p w14:paraId="6A6FF31F" w14:textId="77777777" w:rsidR="00F078EE" w:rsidRPr="00F078EE" w:rsidRDefault="00F078EE" w:rsidP="00F078EE">
      <w:pPr>
        <w:pStyle w:val="SingleTxtG"/>
        <w:tabs>
          <w:tab w:val="left" w:pos="3119"/>
        </w:tabs>
        <w:ind w:left="2835" w:hanging="1701"/>
        <w:jc w:val="left"/>
      </w:pPr>
      <w:r w:rsidRPr="00F078EE">
        <w:rPr>
          <w:i/>
        </w:rPr>
        <w:lastRenderedPageBreak/>
        <w:t>Документы</w:t>
      </w:r>
      <w:r w:rsidRPr="00F078EE">
        <w:t>:</w:t>
      </w:r>
      <w:r w:rsidRPr="00F078EE">
        <w:tab/>
        <w:t>ECE/TRANS/WP.15/AC.1/2019/24 (Соединенное Королевство) ECE/TRANS/WP.15/AC.1/2019/25 (Соединенное Королевство) ECE/TRANS/WP.15/AC.1/2019/26 (Соединенное Королевство) ECE/TRANS/WP.15/AC.1/2019/39 (Соединенное Королевство) ECE/TRANS/WP.15/AC.1/2019/40 (Соединенное Королевство) ECE/TRANS/WP.15/AC.1/2019/49 (Нидерланды)</w:t>
      </w:r>
    </w:p>
    <w:p w14:paraId="63CEE738" w14:textId="77777777" w:rsidR="00F078EE" w:rsidRPr="00F078EE" w:rsidRDefault="00F078EE" w:rsidP="00F078EE">
      <w:pPr>
        <w:pStyle w:val="SingleTxtG"/>
        <w:tabs>
          <w:tab w:val="left" w:pos="3969"/>
        </w:tabs>
        <w:ind w:left="3969" w:hanging="2835"/>
        <w:jc w:val="left"/>
      </w:pPr>
      <w:r w:rsidRPr="00F078EE">
        <w:rPr>
          <w:i/>
        </w:rPr>
        <w:t>Неофициальные документы</w:t>
      </w:r>
      <w:r w:rsidRPr="00F078EE">
        <w:t>:</w:t>
      </w:r>
      <w:r>
        <w:tab/>
      </w:r>
      <w:r w:rsidRPr="00F078EE">
        <w:t>INF.4 (ОТИФ),</w:t>
      </w:r>
      <w:r>
        <w:br/>
      </w:r>
      <w:r w:rsidRPr="00F078EE">
        <w:t>INF.15 (секретариат),</w:t>
      </w:r>
      <w:r>
        <w:br/>
      </w:r>
      <w:r w:rsidRPr="00F078EE">
        <w:t>INF.17, INF.18 и INF.19 (Соединенное Королевство),</w:t>
      </w:r>
      <w:r>
        <w:br/>
      </w:r>
      <w:r w:rsidRPr="00F078EE">
        <w:t>INF.33 (Швейцария),</w:t>
      </w:r>
      <w:r>
        <w:br/>
      </w:r>
      <w:r w:rsidRPr="00F078EE">
        <w:t>INF.38 и INF.39 (Франция)</w:t>
      </w:r>
    </w:p>
    <w:p w14:paraId="13892BF5" w14:textId="77777777" w:rsidR="00F078EE" w:rsidRPr="00F078EE" w:rsidRDefault="00F078EE" w:rsidP="00F078EE">
      <w:pPr>
        <w:pStyle w:val="SingleTxtG"/>
      </w:pPr>
      <w:r w:rsidRPr="00F078EE">
        <w:t>3.</w:t>
      </w:r>
      <w:r w:rsidRPr="00F078EE">
        <w:tab/>
        <w:t>Ввиду ограниченности времени не удалось обсудить неофициальные документы INF.21 (Польша), INF.27 (Франция), INF.29 (Франция) и INF.37 (Польша).</w:t>
      </w:r>
    </w:p>
    <w:p w14:paraId="10681CF7" w14:textId="77777777" w:rsidR="00F078EE" w:rsidRPr="00F078EE" w:rsidRDefault="00F078EE" w:rsidP="00F078EE">
      <w:pPr>
        <w:pStyle w:val="H23G"/>
      </w:pPr>
      <w:r>
        <w:tab/>
      </w:r>
      <w:r w:rsidRPr="00F078EE">
        <w:t>Пункт 1:</w:t>
      </w:r>
      <w:r w:rsidRPr="00F078EE">
        <w:tab/>
        <w:t>Уточнения в отношении защиты, требующейся для фитингов и</w:t>
      </w:r>
      <w:r>
        <w:t> </w:t>
      </w:r>
      <w:r w:rsidRPr="00F078EE">
        <w:t>вспомогательных приспособлений, установленных в верхней части вакуумных цистерн для отходов</w:t>
      </w:r>
    </w:p>
    <w:p w14:paraId="052BE3BC" w14:textId="77777777" w:rsidR="00F078EE" w:rsidRPr="001A2293" w:rsidRDefault="00F078EE" w:rsidP="00F078EE">
      <w:pPr>
        <w:pStyle w:val="SingleTxtG"/>
        <w:tabs>
          <w:tab w:val="left" w:pos="3119"/>
        </w:tabs>
        <w:ind w:left="2835" w:hanging="1701"/>
        <w:jc w:val="left"/>
      </w:pPr>
      <w:r w:rsidRPr="00F078EE">
        <w:rPr>
          <w:i/>
        </w:rPr>
        <w:t>Документ</w:t>
      </w:r>
      <w:r w:rsidRPr="001A2293">
        <w:t>:</w:t>
      </w:r>
      <w:r w:rsidRPr="001A2293">
        <w:tab/>
        <w:t xml:space="preserve">ECE/TRANS/WP.15/AC.1/2019/24 (Соединенное Королевство) </w:t>
      </w:r>
    </w:p>
    <w:p w14:paraId="7FCC5904" w14:textId="77777777" w:rsidR="00F078EE" w:rsidRPr="001A2293" w:rsidRDefault="00F078EE" w:rsidP="00F078EE">
      <w:pPr>
        <w:pStyle w:val="SingleTxtG"/>
        <w:tabs>
          <w:tab w:val="left" w:pos="3969"/>
        </w:tabs>
        <w:ind w:left="3969" w:hanging="2835"/>
        <w:jc w:val="left"/>
      </w:pPr>
      <w:r w:rsidRPr="00F078EE">
        <w:rPr>
          <w:i/>
        </w:rPr>
        <w:t>Неофициальный документ</w:t>
      </w:r>
      <w:r w:rsidRPr="001A2293">
        <w:t>:</w:t>
      </w:r>
      <w:r w:rsidRPr="001A2293">
        <w:tab/>
        <w:t>INF.33 (Швейцария)</w:t>
      </w:r>
    </w:p>
    <w:p w14:paraId="5D7FF7B8" w14:textId="77777777" w:rsidR="00F078EE" w:rsidRPr="001A2293" w:rsidRDefault="00F078EE" w:rsidP="00F078EE">
      <w:pPr>
        <w:pStyle w:val="SingleTxtG"/>
      </w:pPr>
      <w:r w:rsidRPr="001A2293">
        <w:t>4.</w:t>
      </w:r>
      <w:r w:rsidRPr="001A2293">
        <w:tab/>
        <w:t>Была предложена дополнительная формулировка для разъяснения в документе ECE/TRANS/WP.15/AC.1/2019/24 того, что пункт 6.8.2.1.28 применяется к вакуумным цистернам для отходов с дополнительными положениями на основе предложений Рабочей группы по цистернам, высказанных на предыдущих сессиях. В</w:t>
      </w:r>
      <w:r>
        <w:t> </w:t>
      </w:r>
      <w:r w:rsidRPr="001A2293">
        <w:t>неофициальном документе INF.33 содержатся альтернативные предложения на тот счет, что положения пункта 6.8.2.1.28 не подлежат соблюдению в отношении вакуумных цистерн для отходов.</w:t>
      </w:r>
    </w:p>
    <w:p w14:paraId="114F450F" w14:textId="77777777" w:rsidR="00F078EE" w:rsidRPr="001A2293" w:rsidRDefault="00F078EE" w:rsidP="00F078EE">
      <w:pPr>
        <w:pStyle w:val="SingleTxtG"/>
      </w:pPr>
      <w:r w:rsidRPr="001A2293">
        <w:t>5.</w:t>
      </w:r>
      <w:r w:rsidRPr="001A2293">
        <w:tab/>
        <w:t>Мнени</w:t>
      </w:r>
      <w:r>
        <w:t>я</w:t>
      </w:r>
      <w:r w:rsidRPr="001A2293">
        <w:t xml:space="preserve"> экспертов о необходимости такой защиты разделил</w:t>
      </w:r>
      <w:r>
        <w:t>и</w:t>
      </w:r>
      <w:r w:rsidRPr="001A2293">
        <w:t xml:space="preserve">сь, и несколько экспертов высказали </w:t>
      </w:r>
      <w:r>
        <w:t>в том смысле</w:t>
      </w:r>
      <w:r w:rsidRPr="001A2293">
        <w:t>, что применение пункта 6.8.2.1.28 никогда не предполагалось в случае, если оборудование помещено в так называемую «защищенную зону», тогда как другие сочли, что необходимо применять дополнительную защиту в соответствии с пунктом 6.8.2.1.28.</w:t>
      </w:r>
    </w:p>
    <w:p w14:paraId="2919038D" w14:textId="77777777" w:rsidR="00F078EE" w:rsidRPr="001A2293" w:rsidRDefault="00F078EE" w:rsidP="00F078EE">
      <w:pPr>
        <w:pStyle w:val="SingleTxtG"/>
      </w:pPr>
      <w:r w:rsidRPr="001A2293">
        <w:t>6.</w:t>
      </w:r>
      <w:r w:rsidRPr="001A2293">
        <w:tab/>
        <w:t>Рабочая группа отметила, что положения главы 6.10 дополняют или изменяют положения главы 6.8 в отношении вакуумных цистерн для отходов. Однако пункт</w:t>
      </w:r>
      <w:r w:rsidR="00EC1D9E">
        <w:t> </w:t>
      </w:r>
      <w:r w:rsidRPr="001A2293">
        <w:t>6.8.2.1.28 не был изменен или дополнен, и в таковом виде его можно считать применимым. Тем не менее Группа также отметила, что в пункте 6.8.2.1.28 предусмотрена гибкость в отношении альтернативных подходов к защите фитингов и вспомогательных приспособлений, которые могут быть установлены в верхней части цистерны. Было также отмечено, что вопрос о применении пункта 6.8.2.1.28 к вакуумным цистернам для отходов может быть вновь обсужден на основе любых представленных сведений.</w:t>
      </w:r>
    </w:p>
    <w:p w14:paraId="3FAA0D6B" w14:textId="77777777" w:rsidR="00F078EE" w:rsidRPr="001A2293" w:rsidRDefault="00F078EE" w:rsidP="00F078EE">
      <w:pPr>
        <w:pStyle w:val="H23G"/>
      </w:pPr>
      <w:r w:rsidRPr="001A2293">
        <w:tab/>
      </w:r>
      <w:r w:rsidRPr="001A2293">
        <w:rPr>
          <w:bCs/>
        </w:rPr>
        <w:t>Пункт 2:</w:t>
      </w:r>
      <w:r w:rsidRPr="001A2293">
        <w:tab/>
      </w:r>
      <w:r w:rsidRPr="001A2293">
        <w:rPr>
          <w:bCs/>
        </w:rPr>
        <w:t>Толкование применимых требований к конструкции открывающихся днищ вакуумных цистерн для отходов (ВЦО)</w:t>
      </w:r>
    </w:p>
    <w:p w14:paraId="79D18980" w14:textId="77777777" w:rsidR="00F078EE" w:rsidRPr="001A2293" w:rsidRDefault="00F078EE" w:rsidP="00F078EE">
      <w:pPr>
        <w:pStyle w:val="SingleTxtG"/>
        <w:tabs>
          <w:tab w:val="left" w:pos="3119"/>
        </w:tabs>
        <w:ind w:left="2835" w:hanging="1701"/>
        <w:jc w:val="left"/>
      </w:pPr>
      <w:r w:rsidRPr="00F078EE">
        <w:rPr>
          <w:i/>
        </w:rPr>
        <w:t>Документ</w:t>
      </w:r>
      <w:r w:rsidRPr="001A2293">
        <w:t>:</w:t>
      </w:r>
      <w:r w:rsidRPr="001A2293">
        <w:tab/>
        <w:t>ECE/TRANS/WP.15/AC.1/2019/25 (Соединенное Королевство)</w:t>
      </w:r>
    </w:p>
    <w:p w14:paraId="7694E636" w14:textId="77777777" w:rsidR="00F078EE" w:rsidRPr="001A2293" w:rsidRDefault="00F078EE" w:rsidP="00F078EE">
      <w:pPr>
        <w:pStyle w:val="SingleTxtG"/>
        <w:tabs>
          <w:tab w:val="left" w:pos="3969"/>
        </w:tabs>
        <w:ind w:left="3969" w:hanging="2835"/>
        <w:jc w:val="left"/>
      </w:pPr>
      <w:r w:rsidRPr="00F078EE">
        <w:rPr>
          <w:i/>
        </w:rPr>
        <w:t>Неофициальный документ</w:t>
      </w:r>
      <w:r w:rsidRPr="001A2293">
        <w:t>:</w:t>
      </w:r>
      <w:r w:rsidRPr="001A2293">
        <w:tab/>
        <w:t>INF.18 (Соединенное Королевство)</w:t>
      </w:r>
    </w:p>
    <w:p w14:paraId="4950A96A" w14:textId="77777777" w:rsidR="00F078EE" w:rsidRPr="001A2293" w:rsidRDefault="00F078EE" w:rsidP="00F078EE">
      <w:pPr>
        <w:pStyle w:val="SingleTxtG"/>
        <w:rPr>
          <w:b/>
        </w:rPr>
      </w:pPr>
      <w:r w:rsidRPr="001A2293">
        <w:t>7.</w:t>
      </w:r>
      <w:r w:rsidRPr="001A2293">
        <w:tab/>
        <w:t>Представитель Соединенного Королевства запросил мнение экспертов Рабочей группы по цистернам относительно различных запорных устройств для открывающихся днищ, в частности необходимости защиты гидравлических запоров центрального типа.</w:t>
      </w:r>
    </w:p>
    <w:p w14:paraId="368034D4" w14:textId="77777777" w:rsidR="00F078EE" w:rsidRPr="001A2293" w:rsidRDefault="00F078EE" w:rsidP="00F078EE">
      <w:pPr>
        <w:pStyle w:val="SingleTxtG"/>
      </w:pPr>
      <w:r w:rsidRPr="001A2293">
        <w:t>8.</w:t>
      </w:r>
      <w:r w:rsidRPr="001A2293">
        <w:tab/>
        <w:t xml:space="preserve">Несколько экспертов пояснили, что конструкция </w:t>
      </w:r>
      <w:r>
        <w:t>«</w:t>
      </w:r>
      <w:r w:rsidRPr="001A2293">
        <w:t>запора центрального типа</w:t>
      </w:r>
      <w:r>
        <w:t>»</w:t>
      </w:r>
      <w:r w:rsidRPr="001A2293">
        <w:t xml:space="preserve"> используется в их странах без аварий и без дополнительной защиты. Однако было отмечено, что такие запоры являются более прочными, чем приведенный в документе пример. Представитель Соединенного Королевства поблагодарил экспертов за их мнения.</w:t>
      </w:r>
    </w:p>
    <w:p w14:paraId="6F778360" w14:textId="77777777" w:rsidR="00F078EE" w:rsidRPr="001A2293" w:rsidRDefault="00F078EE" w:rsidP="00F078EE">
      <w:pPr>
        <w:pStyle w:val="H23G"/>
      </w:pPr>
      <w:bookmarkStart w:id="0" w:name="_GoBack"/>
      <w:bookmarkEnd w:id="0"/>
      <w:r w:rsidRPr="001A2293">
        <w:lastRenderedPageBreak/>
        <w:tab/>
      </w:r>
      <w:r w:rsidRPr="001A2293">
        <w:rPr>
          <w:bCs/>
        </w:rPr>
        <w:t>Пункт 3:</w:t>
      </w:r>
      <w:r w:rsidRPr="001A2293">
        <w:tab/>
      </w:r>
      <w:r w:rsidRPr="001A2293">
        <w:rPr>
          <w:bCs/>
        </w:rPr>
        <w:t>Вакуумные цистерны для отходов (ВЦО) – отвод паров с выпускных патрубков насосов/эксгаустеров в место, где они не будут создавать опасности</w:t>
      </w:r>
    </w:p>
    <w:p w14:paraId="56F7FC53" w14:textId="77777777" w:rsidR="00F078EE" w:rsidRPr="001A2293" w:rsidRDefault="00F078EE" w:rsidP="00EC2C13">
      <w:pPr>
        <w:pStyle w:val="SingleTxtG"/>
        <w:tabs>
          <w:tab w:val="left" w:pos="3119"/>
        </w:tabs>
        <w:spacing w:line="230" w:lineRule="atLeast"/>
        <w:ind w:left="2835" w:hanging="1701"/>
        <w:jc w:val="left"/>
      </w:pPr>
      <w:r w:rsidRPr="00F078EE">
        <w:rPr>
          <w:i/>
        </w:rPr>
        <w:t>Документ</w:t>
      </w:r>
      <w:r w:rsidRPr="001A2293">
        <w:t>:</w:t>
      </w:r>
      <w:r w:rsidRPr="001A2293">
        <w:tab/>
        <w:t>ECE/TRANS/WP.15/AC.1/2019/26 (Соединенное Королевство)</w:t>
      </w:r>
    </w:p>
    <w:p w14:paraId="0297DF23" w14:textId="77777777" w:rsidR="00F078EE" w:rsidRPr="001A2293" w:rsidRDefault="00F078EE" w:rsidP="00EC2C13">
      <w:pPr>
        <w:pStyle w:val="SingleTxtG"/>
        <w:tabs>
          <w:tab w:val="left" w:pos="1134"/>
        </w:tabs>
        <w:spacing w:line="230" w:lineRule="atLeast"/>
      </w:pPr>
      <w:r w:rsidRPr="001A2293">
        <w:t>9.</w:t>
      </w:r>
      <w:r w:rsidRPr="001A2293">
        <w:tab/>
        <w:t>Рабочая группа отметила, что токсичные или воспламеняющиеся пары, отводимые вакуумным насосом или эксгаустером, следует направлять в безопасное место. Было предложено добавить в пункт 6.10.3.8 формулировку для разъяснения того, что в тех случаях, когда используется выпускной патрубок в нижней части цистерны, к нему следует присоединять шланг для отвода паров в безопасное место.</w:t>
      </w:r>
    </w:p>
    <w:p w14:paraId="1757F32C" w14:textId="77777777" w:rsidR="00F078EE" w:rsidRPr="001A2293" w:rsidRDefault="00F078EE" w:rsidP="00EC2C13">
      <w:pPr>
        <w:pStyle w:val="SingleTxtG"/>
        <w:tabs>
          <w:tab w:val="left" w:pos="1134"/>
        </w:tabs>
        <w:spacing w:line="230" w:lineRule="atLeast"/>
      </w:pPr>
      <w:r w:rsidRPr="001A2293">
        <w:t>10.</w:t>
      </w:r>
      <w:r w:rsidRPr="001A2293">
        <w:tab/>
        <w:t>Рабочая группа сочла, что нынешняя формулировка пункта 6.10.3.8 не запрещает использовать выпускной патрубок в нижней части цистерны при наличии шланга или без него. Оператор цистерны должен решить, куда безопасно направлять пары. Было также высказано мнение, что предлагаемая формулировка будет носить слишком ограничительный характер и создаст впечатление, что можно использовать только выпускной патрубок в нижней части цистерны. Поскольку нынешняя формулировка не носит ограничительного характера и допускает различные решения, предлагаемая формулировка была сочтена излишней, однако было решено, что в отношении применения пункта 6.10.3.8 а) было бы целесообразно включить соответствующее примечание.</w:t>
      </w:r>
    </w:p>
    <w:p w14:paraId="24188DF8" w14:textId="77777777" w:rsidR="00F078EE" w:rsidRPr="001A2293" w:rsidRDefault="00F078EE" w:rsidP="00F078EE">
      <w:pPr>
        <w:pStyle w:val="H23G"/>
      </w:pPr>
      <w:r w:rsidRPr="001A2293">
        <w:tab/>
      </w:r>
      <w:r w:rsidRPr="001A2293">
        <w:tab/>
      </w:r>
      <w:r w:rsidRPr="001A2293">
        <w:rPr>
          <w:bCs/>
        </w:rPr>
        <w:t>Предложение 1:</w:t>
      </w:r>
    </w:p>
    <w:p w14:paraId="5D0B294D" w14:textId="77777777" w:rsidR="00F078EE" w:rsidRPr="001A2293" w:rsidRDefault="00CC3476" w:rsidP="00F078EE">
      <w:pPr>
        <w:spacing w:before="120" w:after="120"/>
        <w:ind w:left="1134" w:right="1134"/>
      </w:pPr>
      <w:r>
        <w:tab/>
      </w:r>
      <w:r>
        <w:tab/>
      </w:r>
      <w:r w:rsidR="00F078EE" w:rsidRPr="001A2293">
        <w:t>Включить в пункт 6.10.3.8 а) новое примечание следующего содержания:</w:t>
      </w:r>
    </w:p>
    <w:p w14:paraId="103C5062" w14:textId="77777777" w:rsidR="00F078EE" w:rsidRPr="001A2293" w:rsidRDefault="00F078EE" w:rsidP="00F078EE">
      <w:pPr>
        <w:pStyle w:val="SingleTxtG"/>
        <w:tabs>
          <w:tab w:val="left" w:pos="1134"/>
        </w:tabs>
        <w:rPr>
          <w:i/>
        </w:rPr>
      </w:pPr>
      <w:r w:rsidRPr="00F078EE">
        <w:rPr>
          <w:iCs/>
        </w:rPr>
        <w:t>«</w:t>
      </w:r>
      <w:r w:rsidRPr="001A2293">
        <w:rPr>
          <w:i/>
          <w:iCs/>
        </w:rPr>
        <w:t>Примечание: это требование может быть выполнено, например, путем использования вертикальной трубы или низкоуровневого выпускного патрубка с соединением, позволяющим, при необходимости, подсоединить шланг.</w:t>
      </w:r>
      <w:r w:rsidRPr="00F078EE">
        <w:rPr>
          <w:iCs/>
        </w:rPr>
        <w:t>».</w:t>
      </w:r>
    </w:p>
    <w:p w14:paraId="74E4782B" w14:textId="77777777" w:rsidR="00F078EE" w:rsidRPr="001A2293" w:rsidRDefault="00F078EE" w:rsidP="00F078EE">
      <w:pPr>
        <w:pStyle w:val="H23G"/>
      </w:pPr>
      <w:r w:rsidRPr="001A2293">
        <w:tab/>
      </w:r>
      <w:r w:rsidRPr="001A2293">
        <w:rPr>
          <w:bCs/>
        </w:rPr>
        <w:t>Пункт 4:</w:t>
      </w:r>
      <w:r w:rsidRPr="001A2293">
        <w:tab/>
      </w:r>
      <w:r w:rsidRPr="001A2293">
        <w:rPr>
          <w:bCs/>
        </w:rPr>
        <w:t>Форма поперечного сечения корпусов в соответствии с пунктом 6.8.2.1.18 ДОПОГ – Руководство, касающееся применения предлагаемого добавления к</w:t>
      </w:r>
      <w:r>
        <w:rPr>
          <w:bCs/>
        </w:rPr>
        <w:t> </w:t>
      </w:r>
      <w:r w:rsidRPr="001A2293">
        <w:rPr>
          <w:bCs/>
        </w:rPr>
        <w:t>сноске 3 к пункту 6.8.2.1.18 ДОПОГ</w:t>
      </w:r>
    </w:p>
    <w:p w14:paraId="7BE30F24" w14:textId="77777777" w:rsidR="00F078EE" w:rsidRPr="001A2293" w:rsidRDefault="00F078EE" w:rsidP="00EC2C13">
      <w:pPr>
        <w:pStyle w:val="SingleTxtG"/>
        <w:tabs>
          <w:tab w:val="left" w:pos="3119"/>
        </w:tabs>
        <w:spacing w:line="230" w:lineRule="atLeast"/>
        <w:ind w:left="2835" w:hanging="1701"/>
        <w:jc w:val="left"/>
      </w:pPr>
      <w:r w:rsidRPr="00F078EE">
        <w:rPr>
          <w:i/>
        </w:rPr>
        <w:t>Документ</w:t>
      </w:r>
      <w:r w:rsidRPr="001A2293">
        <w:t>:</w:t>
      </w:r>
      <w:r w:rsidRPr="001A2293">
        <w:tab/>
        <w:t>ECE/TRANS/WP.15/AC.1/2019/39 (Соединенное Королевство)</w:t>
      </w:r>
    </w:p>
    <w:p w14:paraId="50C8CC4B" w14:textId="77777777" w:rsidR="00F078EE" w:rsidRPr="001A2293" w:rsidRDefault="00F078EE" w:rsidP="00EC2C13">
      <w:pPr>
        <w:spacing w:before="120" w:after="120" w:line="230" w:lineRule="atLeast"/>
        <w:ind w:left="1134" w:right="1134"/>
        <w:jc w:val="both"/>
      </w:pPr>
      <w:r w:rsidRPr="001A2293">
        <w:t>11.</w:t>
      </w:r>
      <w:r w:rsidRPr="001A2293">
        <w:tab/>
        <w:t>Поправка к сноске 3 к пункту 6.8.2.1.18 была принята, но оставлена в квадратных скобках в ожидании включения требований к конструкции в пересмотренный стандарт EN 13094. Поскольку пересмотр</w:t>
      </w:r>
      <w:r>
        <w:t>енный</w:t>
      </w:r>
      <w:r w:rsidRPr="001A2293">
        <w:t xml:space="preserve"> стандарта EN 13094 вряд ли будет опубликован для изданий МПОГ/ДОПОГ 2021 года, Рабочая группа решила, что WP.15 следует включить в него руководство, содержащее соответствующие положения этого стандарта.</w:t>
      </w:r>
    </w:p>
    <w:p w14:paraId="42522898" w14:textId="77777777" w:rsidR="00F078EE" w:rsidRPr="001A2293" w:rsidRDefault="00F078EE" w:rsidP="00EC2C13">
      <w:pPr>
        <w:pStyle w:val="SingleTxtG"/>
        <w:spacing w:line="230" w:lineRule="atLeast"/>
      </w:pPr>
      <w:r w:rsidRPr="001A2293">
        <w:t>12.</w:t>
      </w:r>
      <w:r w:rsidRPr="001A2293">
        <w:tab/>
        <w:t>Хотя было подтверждено, что пересмотр стандарта EN 13094 еще не завершен, соответствующие положения были согласованы, и предлагаемые изменения необходимо отразить в пересмотренном варианте документа ECE/TRANS/WP.15/</w:t>
      </w:r>
      <w:r>
        <w:br/>
      </w:r>
      <w:r w:rsidRPr="001A2293">
        <w:t>AC.1/2019/39. В ходе совещания Рабочей группы по цистернам изменения были перенесены в пересмотренный вариант руководства для представления на пленарном заседании. После одобрения на пленарном заседании секретариату будет предложено препроводить этот документ Рабочей группе по перевозкам опасных грузов для рассмотрения на ее сессии в ноябре 2019 года.</w:t>
      </w:r>
    </w:p>
    <w:p w14:paraId="64EC36C5" w14:textId="77777777" w:rsidR="00F078EE" w:rsidRPr="001A2293" w:rsidRDefault="00F078EE" w:rsidP="00F078EE">
      <w:pPr>
        <w:pStyle w:val="H23G"/>
      </w:pPr>
      <w:bookmarkStart w:id="1" w:name="_Hlk21353111"/>
      <w:r w:rsidRPr="001A2293">
        <w:tab/>
      </w:r>
      <w:r w:rsidRPr="001A2293">
        <w:rPr>
          <w:bCs/>
        </w:rPr>
        <w:t>Пункт 5:</w:t>
      </w:r>
      <w:r w:rsidRPr="001A2293">
        <w:tab/>
      </w:r>
      <w:r w:rsidRPr="001A2293">
        <w:rPr>
          <w:bCs/>
        </w:rPr>
        <w:t>Доклад о работе одиннадцатого совещания неофициальной рабочей группы по</w:t>
      </w:r>
      <w:r>
        <w:rPr>
          <w:bCs/>
        </w:rPr>
        <w:t> </w:t>
      </w:r>
      <w:r w:rsidRPr="001A2293">
        <w:rPr>
          <w:bCs/>
        </w:rPr>
        <w:t>проверке и утверждению цистерн</w:t>
      </w:r>
      <w:bookmarkEnd w:id="1"/>
    </w:p>
    <w:p w14:paraId="54FDFE74" w14:textId="77777777" w:rsidR="00F078EE" w:rsidRPr="001A2293" w:rsidRDefault="00F078EE" w:rsidP="00F078EE">
      <w:pPr>
        <w:pStyle w:val="SingleTxtG"/>
        <w:tabs>
          <w:tab w:val="left" w:pos="3119"/>
        </w:tabs>
        <w:ind w:left="2835" w:hanging="1701"/>
        <w:jc w:val="left"/>
      </w:pPr>
      <w:r w:rsidRPr="00F078EE">
        <w:rPr>
          <w:i/>
        </w:rPr>
        <w:t>Документ</w:t>
      </w:r>
      <w:r w:rsidRPr="001A2293">
        <w:t>:</w:t>
      </w:r>
      <w:r w:rsidRPr="001A2293">
        <w:tab/>
        <w:t>ECE/TRANS/WP.15/AC.1/2019/40 (Соединенное Королевство)</w:t>
      </w:r>
    </w:p>
    <w:p w14:paraId="2F178EA5" w14:textId="77777777" w:rsidR="00F078EE" w:rsidRPr="001A2293" w:rsidRDefault="00F078EE" w:rsidP="00F078EE">
      <w:pPr>
        <w:pStyle w:val="SingleTxtG"/>
        <w:tabs>
          <w:tab w:val="left" w:pos="3969"/>
        </w:tabs>
        <w:ind w:left="3969" w:hanging="2835"/>
        <w:jc w:val="left"/>
      </w:pPr>
      <w:bookmarkStart w:id="2" w:name="_Hlk21354343"/>
      <w:r w:rsidRPr="00F078EE">
        <w:rPr>
          <w:i/>
        </w:rPr>
        <w:t>Неофициальные документы</w:t>
      </w:r>
      <w:r w:rsidRPr="001A2293">
        <w:t>:</w:t>
      </w:r>
      <w:r w:rsidRPr="001A2293">
        <w:tab/>
        <w:t>INF.16 (Германия),</w:t>
      </w:r>
      <w:r w:rsidR="00EC2C13">
        <w:br/>
      </w:r>
      <w:r w:rsidRPr="001A2293">
        <w:t>INF.17 и INF.19 (Соединенное Королевство)</w:t>
      </w:r>
      <w:bookmarkEnd w:id="2"/>
    </w:p>
    <w:p w14:paraId="35C81600" w14:textId="77777777" w:rsidR="00F078EE" w:rsidRPr="001A2293" w:rsidRDefault="00F078EE" w:rsidP="00F078EE">
      <w:pPr>
        <w:spacing w:before="120" w:after="120"/>
        <w:ind w:left="1134" w:right="1134"/>
        <w:jc w:val="both"/>
      </w:pPr>
      <w:r w:rsidRPr="001A2293">
        <w:t>13.</w:t>
      </w:r>
      <w:r w:rsidRPr="001A2293">
        <w:tab/>
        <w:t>Председатель неофициальной рабочей группы представил доклады о работе одиннадцатой и двенадцатой сессий неофициальной рабочей группы, которые состоялись соответственно в Лондоне и Мадриде, в документах ECE/TRANS/WP.15/</w:t>
      </w:r>
      <w:r w:rsidR="00EC2C13">
        <w:br/>
      </w:r>
      <w:r w:rsidRPr="001A2293">
        <w:t>AC.1/2019/40 и INF.17</w:t>
      </w:r>
      <w:r>
        <w:t>,</w:t>
      </w:r>
      <w:r w:rsidRPr="001A2293">
        <w:t xml:space="preserve"> </w:t>
      </w:r>
      <w:r>
        <w:t>а также</w:t>
      </w:r>
      <w:r w:rsidRPr="001A2293">
        <w:t xml:space="preserve"> документ INF.19, содержащий все пересмотренные формулировки главы 6.8 и разделов 1.8.7 и 1.8.6. Кроме того, предложения о внесении последующих поправок в главу 6.2 были включены в документ INF.16. </w:t>
      </w:r>
    </w:p>
    <w:p w14:paraId="5800D178" w14:textId="77777777" w:rsidR="00F078EE" w:rsidRPr="001A2293" w:rsidRDefault="00F078EE" w:rsidP="00F078EE">
      <w:pPr>
        <w:spacing w:before="120" w:after="120"/>
        <w:ind w:left="1134" w:right="1134"/>
        <w:jc w:val="both"/>
      </w:pPr>
      <w:r w:rsidRPr="001A2293">
        <w:lastRenderedPageBreak/>
        <w:t>В ходе обсуждения были затронуты следующие ключевые вопросы:</w:t>
      </w:r>
    </w:p>
    <w:p w14:paraId="3270CFC5" w14:textId="77777777" w:rsidR="00F078EE" w:rsidRPr="001A2293" w:rsidRDefault="00F078EE" w:rsidP="00F078EE">
      <w:pPr>
        <w:spacing w:before="120" w:after="120"/>
        <w:ind w:left="1134" w:right="1134" w:firstLine="567"/>
        <w:jc w:val="both"/>
      </w:pPr>
      <w:r w:rsidRPr="001A2293">
        <w:t>a)</w:t>
      </w:r>
      <w:r w:rsidRPr="001A2293">
        <w:tab/>
      </w:r>
      <w:r w:rsidR="00EC2C13">
        <w:t>п</w:t>
      </w:r>
      <w:r w:rsidRPr="001A2293">
        <w:t>редэксплуатационная проверка: было добавлено примечание с целью учесть, например, положения директивы о переносном оборудовании, работающем под давлением (TPED), в которой указывается, что соглашения о взаимном признании должны приниматься во внимание при принятии решения о применении такой проверки</w:t>
      </w:r>
      <w:r w:rsidR="00EC2C13">
        <w:t>;</w:t>
      </w:r>
    </w:p>
    <w:p w14:paraId="2CDF96FA" w14:textId="77777777" w:rsidR="00F078EE" w:rsidRPr="001A2293" w:rsidRDefault="00F078EE" w:rsidP="00F078EE">
      <w:pPr>
        <w:spacing w:before="120" w:after="120"/>
        <w:ind w:left="1134" w:right="1134" w:firstLine="567"/>
        <w:jc w:val="both"/>
      </w:pPr>
      <w:r w:rsidRPr="001A2293">
        <w:t>b)</w:t>
      </w:r>
      <w:r w:rsidRPr="001A2293">
        <w:tab/>
      </w:r>
      <w:r w:rsidR="00EC2C13">
        <w:t>и</w:t>
      </w:r>
      <w:r w:rsidRPr="001A2293">
        <w:t xml:space="preserve">спользование одного проверяющего органа: было решено, что ссылку на положение о том, что для целей проверки следует использовать один проверяющий орган для предотвращения так называемого </w:t>
      </w:r>
      <w:r w:rsidR="00EC2C13">
        <w:t>«</w:t>
      </w:r>
      <w:r w:rsidRPr="001A2293">
        <w:t>цистернового туризма</w:t>
      </w:r>
      <w:r w:rsidR="00EC2C13">
        <w:t>»</w:t>
      </w:r>
      <w:r w:rsidRPr="001A2293">
        <w:t>, было бы более уместно включить в главы 6.2 и 6.8, нежели чем в раздел 1.8.7</w:t>
      </w:r>
      <w:r w:rsidR="00EC2C13">
        <w:t>;</w:t>
      </w:r>
    </w:p>
    <w:p w14:paraId="18AFC991" w14:textId="77777777" w:rsidR="00F078EE" w:rsidRPr="001A2293" w:rsidRDefault="00F078EE" w:rsidP="00F078EE">
      <w:pPr>
        <w:spacing w:before="120" w:after="120"/>
        <w:ind w:left="1134" w:right="1134" w:firstLine="567"/>
        <w:jc w:val="both"/>
      </w:pPr>
      <w:r w:rsidRPr="001A2293">
        <w:t>с)</w:t>
      </w:r>
      <w:r w:rsidRPr="001A2293">
        <w:tab/>
      </w:r>
      <w:r w:rsidR="00EC2C13">
        <w:t>б</w:t>
      </w:r>
      <w:r w:rsidRPr="001A2293">
        <w:t>ыли обсуждены последствия для взаимного признания,</w:t>
      </w:r>
      <w:r w:rsidR="00EC2C13">
        <w:br/>
      </w:r>
      <w:r w:rsidRPr="001A2293">
        <w:t>и в пункт 1.8.6.2.5.3 были внесены изменения для уточнения намерений, изложенных в этом предложении</w:t>
      </w:r>
      <w:r w:rsidR="00EC2C13">
        <w:t>;</w:t>
      </w:r>
    </w:p>
    <w:p w14:paraId="2AD483DD" w14:textId="77777777" w:rsidR="00F078EE" w:rsidRPr="001A2293" w:rsidRDefault="00F078EE" w:rsidP="00F078EE">
      <w:pPr>
        <w:spacing w:before="120" w:after="120"/>
        <w:ind w:left="1134" w:right="1134" w:firstLine="567"/>
        <w:jc w:val="both"/>
      </w:pPr>
      <w:r w:rsidRPr="001A2293">
        <w:t>d)</w:t>
      </w:r>
      <w:r w:rsidRPr="001A2293">
        <w:tab/>
      </w:r>
      <w:r w:rsidR="00EC2C13">
        <w:t>б</w:t>
      </w:r>
      <w:r w:rsidRPr="001A2293">
        <w:t>ыло также признано, что следует разработать переходные меры по введению новых механизмов.</w:t>
      </w:r>
    </w:p>
    <w:p w14:paraId="35D37400" w14:textId="77777777" w:rsidR="00F078EE" w:rsidRPr="001A2293" w:rsidRDefault="00F078EE" w:rsidP="00F078EE">
      <w:pPr>
        <w:pStyle w:val="ListParagraph"/>
        <w:spacing w:before="120" w:after="120"/>
        <w:ind w:left="1134" w:right="1134"/>
        <w:jc w:val="both"/>
        <w:rPr>
          <w:lang w:val="ru-RU"/>
        </w:rPr>
      </w:pPr>
      <w:r w:rsidRPr="001A2293">
        <w:rPr>
          <w:lang w:val="ru-RU"/>
        </w:rPr>
        <w:t>14.</w:t>
      </w:r>
      <w:r w:rsidRPr="001A2293">
        <w:rPr>
          <w:lang w:val="ru-RU"/>
        </w:rPr>
        <w:tab/>
        <w:t>Был обсужден текст, который остался в квадратных скобках, и рассмотрены замечания, высказанные экспертами. В этой связи были подготовлены неофициальные документы INF.16/Rev.1 и INF.19/Rev.1, которые были представлены на рассмотрение пленарного заседания.</w:t>
      </w:r>
    </w:p>
    <w:p w14:paraId="0C15FF1E" w14:textId="77777777" w:rsidR="00F078EE" w:rsidRPr="001A2293" w:rsidRDefault="00F078EE" w:rsidP="00F078EE">
      <w:pPr>
        <w:spacing w:before="120" w:after="120"/>
        <w:ind w:left="1134" w:right="1134"/>
        <w:jc w:val="both"/>
      </w:pPr>
      <w:r w:rsidRPr="001A2293">
        <w:t>15.</w:t>
      </w:r>
      <w:r w:rsidRPr="001A2293">
        <w:tab/>
        <w:t>В целях доработки формулировки и препровождения официального документа сессии Совместного совещания в марте 2020 года всем делегациям было настоятельно предложено изучить эти предложения и направить письменные замечания и предложения на английском языке по электронной почте до конца октября 2019 года председателю неофициальной рабочей группы для рассмотрения этой группой.</w:t>
      </w:r>
    </w:p>
    <w:p w14:paraId="42E8D094" w14:textId="77777777" w:rsidR="00F078EE" w:rsidRPr="001A2293" w:rsidRDefault="00F078EE" w:rsidP="00F078EE">
      <w:pPr>
        <w:pStyle w:val="H23G"/>
      </w:pPr>
      <w:r w:rsidRPr="001A2293">
        <w:tab/>
      </w:r>
      <w:r w:rsidRPr="001A2293">
        <w:rPr>
          <w:bCs/>
        </w:rPr>
        <w:t>Пункт 6:</w:t>
      </w:r>
      <w:r w:rsidRPr="001A2293">
        <w:tab/>
      </w:r>
      <w:r w:rsidRPr="001A2293">
        <w:rPr>
          <w:bCs/>
        </w:rPr>
        <w:t>Нагревательные элементы на цистернах из армированных волокном пластмасс (волокнита)</w:t>
      </w:r>
    </w:p>
    <w:p w14:paraId="78969DD2" w14:textId="77777777" w:rsidR="00F078EE" w:rsidRPr="001A2293" w:rsidRDefault="00F078EE" w:rsidP="00EC2C13">
      <w:pPr>
        <w:pStyle w:val="SingleTxtG"/>
        <w:tabs>
          <w:tab w:val="left" w:pos="3119"/>
        </w:tabs>
        <w:ind w:left="2835" w:hanging="1701"/>
        <w:jc w:val="left"/>
      </w:pPr>
      <w:r w:rsidRPr="00EC2C13">
        <w:rPr>
          <w:i/>
        </w:rPr>
        <w:t>Документ</w:t>
      </w:r>
      <w:r w:rsidRPr="001A2293">
        <w:t>:</w:t>
      </w:r>
      <w:r w:rsidRPr="001A2293">
        <w:tab/>
        <w:t>ECE/TRANS/WP.15/AC.1/2019/49 (Нидерланды)</w:t>
      </w:r>
    </w:p>
    <w:p w14:paraId="45317C3F" w14:textId="77777777" w:rsidR="00F078EE" w:rsidRPr="001A2293" w:rsidRDefault="00F078EE" w:rsidP="00F078EE">
      <w:pPr>
        <w:pStyle w:val="SingleTxtG"/>
      </w:pPr>
      <w:r w:rsidRPr="001A2293">
        <w:t>16.</w:t>
      </w:r>
      <w:r w:rsidRPr="001A2293">
        <w:tab/>
        <w:t>В документе было предложено перенести требование о нагревательных элементах из главы 6.9 в главу 4.4 во избежание неправильного толкования. В</w:t>
      </w:r>
      <w:r w:rsidR="00EC2C13">
        <w:t> </w:t>
      </w:r>
      <w:r w:rsidRPr="001A2293">
        <w:t>соответствии с толкованием, изложенным на предыдущей сессии Рабочей группы по цистернам, в некоторых странах цистернам из волокнита с нагревательными элементами не выдаются свидетельства о периодическом или промежуточном осмотре.</w:t>
      </w:r>
    </w:p>
    <w:p w14:paraId="16785993" w14:textId="77777777" w:rsidR="00F078EE" w:rsidRPr="001A2293" w:rsidRDefault="00F078EE" w:rsidP="00F078EE">
      <w:pPr>
        <w:pStyle w:val="SingleTxtG"/>
      </w:pPr>
      <w:r w:rsidRPr="001A2293">
        <w:t>17.</w:t>
      </w:r>
      <w:r w:rsidRPr="001A2293">
        <w:tab/>
        <w:t>Большинство экспертов с пониманием отнеслись к такой ситуации, однако они предпочли дождаться результатов работы, проводимой в настоящее время в Подкомитете экспертов Организации Объединенных Наций по перевозке опасных грузов (Подкомитет по ПОГ). Было высказано мнение, что потребуются дополнительные требования для защиты цистерны от возможных негативных последствий высоких температур и давления.</w:t>
      </w:r>
    </w:p>
    <w:p w14:paraId="22112A54" w14:textId="77777777" w:rsidR="00F078EE" w:rsidRPr="001A2293" w:rsidRDefault="00F078EE" w:rsidP="00F078EE">
      <w:pPr>
        <w:pStyle w:val="SingleTxtG"/>
      </w:pPr>
      <w:r w:rsidRPr="001A2293">
        <w:t>18.</w:t>
      </w:r>
      <w:r w:rsidRPr="001A2293">
        <w:tab/>
        <w:t>Предлагаемые поправки были сочтены преждевременными, поскольку в настоящее время вопрос о цистернах из волокнита находится на рассмотрении Подкомитета по ПОГ. В качестве временной меры было предложено, чтобы операторы приводили нагревательные элементы в нерабочее состояние до завершения работы Рабочей группы по волокниту Подкомитета по ПОГ.</w:t>
      </w:r>
    </w:p>
    <w:p w14:paraId="0791AEC3" w14:textId="77777777" w:rsidR="00F078EE" w:rsidRPr="001A2293" w:rsidRDefault="00F078EE" w:rsidP="00F078EE">
      <w:pPr>
        <w:pStyle w:val="H23G"/>
      </w:pPr>
      <w:r w:rsidRPr="001A2293">
        <w:tab/>
      </w:r>
      <w:r w:rsidRPr="001A2293">
        <w:rPr>
          <w:bCs/>
        </w:rPr>
        <w:t>Пункт 7:</w:t>
      </w:r>
      <w:r w:rsidRPr="001A2293">
        <w:tab/>
      </w:r>
      <w:r w:rsidRPr="001A2293">
        <w:rPr>
          <w:bCs/>
        </w:rPr>
        <w:t>Согласование вариантов на различных языках</w:t>
      </w:r>
    </w:p>
    <w:p w14:paraId="7AEA24EF" w14:textId="77777777" w:rsidR="00F078EE" w:rsidRPr="001A2293" w:rsidRDefault="00F078EE" w:rsidP="00EC2C13">
      <w:pPr>
        <w:pStyle w:val="SingleTxtG"/>
        <w:tabs>
          <w:tab w:val="left" w:pos="3969"/>
        </w:tabs>
        <w:ind w:left="3969" w:hanging="2835"/>
        <w:jc w:val="left"/>
      </w:pPr>
      <w:r w:rsidRPr="00EC2C13">
        <w:rPr>
          <w:i/>
        </w:rPr>
        <w:t>Неофициальный документ</w:t>
      </w:r>
      <w:r w:rsidRPr="001A2293">
        <w:t>:</w:t>
      </w:r>
      <w:r w:rsidRPr="001A2293">
        <w:tab/>
        <w:t>INF.4 (ОТИФ)</w:t>
      </w:r>
    </w:p>
    <w:p w14:paraId="0397EA93" w14:textId="77777777" w:rsidR="00F078EE" w:rsidRPr="001A2293" w:rsidRDefault="00F078EE" w:rsidP="00F078EE">
      <w:pPr>
        <w:pStyle w:val="SingleTxtG"/>
        <w:spacing w:before="120"/>
        <w:rPr>
          <w:bCs/>
          <w:iCs/>
        </w:rPr>
      </w:pPr>
      <w:r w:rsidRPr="001A2293">
        <w:t>19.</w:t>
      </w:r>
      <w:r w:rsidRPr="001A2293">
        <w:tab/>
        <w:t xml:space="preserve">Рабочая группа по цистернам проверила предложения секретариата ОТИФ по согласованию формулировок, используемых в вариантах на различных языках. </w:t>
      </w:r>
      <w:r>
        <w:t>П</w:t>
      </w:r>
      <w:r w:rsidRPr="001A2293">
        <w:t xml:space="preserve">оправки к определению вагона-цистерны в разделе 1.2.1 (варианты на английском языке) и предложенная формулировка пункта 6.8.2.1.11 (варианты на английском языке) </w:t>
      </w:r>
      <w:r>
        <w:t xml:space="preserve">были признаны </w:t>
      </w:r>
      <w:r w:rsidRPr="001A2293">
        <w:t>правильными.</w:t>
      </w:r>
    </w:p>
    <w:p w14:paraId="760EC5B7" w14:textId="77777777" w:rsidR="00F078EE" w:rsidRPr="001A2293" w:rsidRDefault="00F078EE" w:rsidP="00F078EE">
      <w:pPr>
        <w:pStyle w:val="SingleTxtG"/>
        <w:spacing w:before="120"/>
      </w:pPr>
      <w:r w:rsidRPr="001A2293">
        <w:t>20.</w:t>
      </w:r>
      <w:r w:rsidRPr="001A2293">
        <w:tab/>
        <w:t>Что касается поправки к пункту 6.8.2.2.2 относительно отверстий для очистки в нижней части корпуса, то группа сочла это предложение неуместным. Вместе с тем было отмечено, что необходимо внести поправку в нынешний текст варианта на немецком языке, с тем чтобы привести его в соответствие с текстом на английском и французском языках.</w:t>
      </w:r>
    </w:p>
    <w:p w14:paraId="2FC40627" w14:textId="77777777" w:rsidR="00F078EE" w:rsidRPr="001A2293" w:rsidRDefault="00F078EE" w:rsidP="00F078EE">
      <w:pPr>
        <w:pStyle w:val="H23G"/>
        <w:rPr>
          <w:b w:val="0"/>
        </w:rPr>
      </w:pPr>
      <w:r w:rsidRPr="001A2293">
        <w:tab/>
      </w:r>
      <w:r w:rsidRPr="001A2293">
        <w:tab/>
      </w:r>
      <w:r w:rsidRPr="001A2293">
        <w:rPr>
          <w:bCs/>
        </w:rPr>
        <w:t>Предложение 2:</w:t>
      </w:r>
    </w:p>
    <w:p w14:paraId="0E2CC5A3" w14:textId="77777777" w:rsidR="00F078EE" w:rsidRPr="001A2293" w:rsidRDefault="00EC2C13" w:rsidP="00F078EE">
      <w:pPr>
        <w:pStyle w:val="SingleTxtG"/>
        <w:spacing w:before="120"/>
      </w:pPr>
      <w:r>
        <w:tab/>
      </w:r>
      <w:r>
        <w:tab/>
      </w:r>
      <w:r w:rsidR="00F078EE" w:rsidRPr="001A2293">
        <w:t xml:space="preserve">Только в английском варианте </w:t>
      </w:r>
      <w:r w:rsidR="00F078EE">
        <w:t xml:space="preserve">текста </w:t>
      </w:r>
      <w:r w:rsidR="00F078EE" w:rsidRPr="001A2293">
        <w:t>МПОГ в подразделе 1.2.1 в определении термина «Вагон-цистерна» заменить слово «котлов» словом «цистерн».</w:t>
      </w:r>
    </w:p>
    <w:p w14:paraId="66A6ABEB" w14:textId="77777777" w:rsidR="00F078EE" w:rsidRPr="001A2293" w:rsidRDefault="00F078EE" w:rsidP="00F078EE">
      <w:pPr>
        <w:pStyle w:val="H23G"/>
        <w:rPr>
          <w:b w:val="0"/>
        </w:rPr>
      </w:pPr>
      <w:r w:rsidRPr="001A2293">
        <w:tab/>
      </w:r>
      <w:r w:rsidRPr="001A2293">
        <w:tab/>
      </w:r>
      <w:r w:rsidRPr="001A2293">
        <w:rPr>
          <w:bCs/>
        </w:rPr>
        <w:t>Предложение 3:</w:t>
      </w:r>
      <w:bookmarkStart w:id="3" w:name="_Hlk19798911"/>
      <w:bookmarkEnd w:id="3"/>
    </w:p>
    <w:p w14:paraId="231E4EEF" w14:textId="77777777" w:rsidR="00F078EE" w:rsidRPr="001A2293" w:rsidRDefault="00EC2C13" w:rsidP="00F078EE">
      <w:pPr>
        <w:pStyle w:val="SingleTxtG"/>
        <w:spacing w:before="120"/>
      </w:pPr>
      <w:r>
        <w:tab/>
      </w:r>
      <w:r>
        <w:tab/>
      </w:r>
      <w:r w:rsidR="00F078EE" w:rsidRPr="001A2293">
        <w:t>В пункте 6.8.2.1.11 МПОГ/ДОПОГ на английском языке заменить слова «сварных цистерн» на слова «сварных котлов/корпусов».</w:t>
      </w:r>
    </w:p>
    <w:p w14:paraId="5CC6E444" w14:textId="77777777" w:rsidR="00F078EE" w:rsidRPr="001A2293" w:rsidRDefault="00F078EE" w:rsidP="00F078EE">
      <w:pPr>
        <w:pStyle w:val="H23G"/>
        <w:rPr>
          <w:b w:val="0"/>
        </w:rPr>
      </w:pPr>
      <w:r w:rsidRPr="001A2293">
        <w:tab/>
      </w:r>
      <w:r w:rsidRPr="001A2293">
        <w:tab/>
      </w:r>
      <w:r w:rsidRPr="001A2293">
        <w:rPr>
          <w:bCs/>
        </w:rPr>
        <w:t>Предложение 4:</w:t>
      </w:r>
    </w:p>
    <w:p w14:paraId="552FDC71" w14:textId="77777777" w:rsidR="00F078EE" w:rsidRPr="00EC2C13" w:rsidRDefault="00EC2C13" w:rsidP="00EC2C13">
      <w:pPr>
        <w:pStyle w:val="Default"/>
        <w:suppressAutoHyphens/>
        <w:spacing w:after="120" w:line="240" w:lineRule="atLeast"/>
        <w:ind w:left="1134" w:right="1134"/>
        <w:rPr>
          <w:rFonts w:ascii="Times New Roman" w:hAnsi="Times New Roman" w:cs="Times New Roman"/>
          <w:bCs/>
          <w:spacing w:val="-2"/>
          <w:sz w:val="20"/>
          <w:szCs w:val="20"/>
          <w:lang w:val="ru-RU"/>
        </w:rPr>
      </w:pPr>
      <w:r w:rsidRPr="00EC2C13">
        <w:rPr>
          <w:rFonts w:ascii="Times New Roman" w:hAnsi="Times New Roman" w:cs="Times New Roman"/>
          <w:spacing w:val="-2"/>
          <w:sz w:val="20"/>
          <w:szCs w:val="20"/>
          <w:lang w:val="ru-RU"/>
        </w:rPr>
        <w:tab/>
      </w:r>
      <w:r w:rsidRPr="00EC2C13">
        <w:rPr>
          <w:rFonts w:ascii="Times New Roman" w:hAnsi="Times New Roman" w:cs="Times New Roman"/>
          <w:spacing w:val="-2"/>
          <w:sz w:val="20"/>
          <w:szCs w:val="20"/>
          <w:lang w:val="ru-RU"/>
        </w:rPr>
        <w:tab/>
      </w:r>
      <w:r w:rsidR="00F078EE" w:rsidRPr="00EC2C1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В последнем абзаце пункта 6.8.2.2.2 МПОГ на немецком языке третье предложение изменить следующим образом (новая формулировка выделена </w:t>
      </w:r>
      <w:r w:rsidR="00F078EE" w:rsidRPr="00EC2C13"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>курсивом</w:t>
      </w:r>
      <w:r w:rsidR="00F078EE" w:rsidRPr="00EC2C13">
        <w:rPr>
          <w:rFonts w:ascii="Times New Roman" w:hAnsi="Times New Roman" w:cs="Times New Roman"/>
          <w:spacing w:val="-2"/>
          <w:sz w:val="20"/>
          <w:szCs w:val="20"/>
          <w:lang w:val="ru-RU"/>
        </w:rPr>
        <w:t>):</w:t>
      </w:r>
    </w:p>
    <w:p w14:paraId="2828CFCA" w14:textId="77777777" w:rsidR="00F078EE" w:rsidRPr="00B94FDA" w:rsidRDefault="00EC2C13" w:rsidP="00F078EE">
      <w:pPr>
        <w:pStyle w:val="SingleTxtG"/>
        <w:rPr>
          <w:lang w:val="en-US"/>
        </w:rPr>
      </w:pPr>
      <w:r w:rsidRPr="00EC2C13">
        <w:rPr>
          <w:lang w:val="en-US"/>
        </w:rPr>
        <w:t>«</w:t>
      </w:r>
      <w:r w:rsidR="00F078EE" w:rsidRPr="00B94FDA">
        <w:rPr>
          <w:lang w:val="en-US"/>
        </w:rPr>
        <w:t xml:space="preserve">… sind jedoch Reinigungsöffnungen (Handlöcher) </w:t>
      </w:r>
      <w:r w:rsidR="00F078EE" w:rsidRPr="00B94FDA">
        <w:rPr>
          <w:i/>
          <w:iCs/>
          <w:lang w:val="en-US"/>
        </w:rPr>
        <w:t>im unteren</w:t>
      </w:r>
      <w:r w:rsidR="00F078EE" w:rsidRPr="00B94FDA">
        <w:rPr>
          <w:lang w:val="en-US"/>
        </w:rPr>
        <w:t xml:space="preserve"> </w:t>
      </w:r>
      <w:r w:rsidR="00F078EE" w:rsidRPr="00CC3476">
        <w:rPr>
          <w:i/>
          <w:lang w:val="en-US"/>
        </w:rPr>
        <w:t>Teil</w:t>
      </w:r>
      <w:r w:rsidR="00F078EE" w:rsidRPr="00B94FDA">
        <w:rPr>
          <w:lang w:val="en-US"/>
        </w:rPr>
        <w:t xml:space="preserve"> des Tanks zugelassen.</w:t>
      </w:r>
      <w:r w:rsidRPr="00EC2C13">
        <w:rPr>
          <w:lang w:val="en-US"/>
        </w:rPr>
        <w:t>»</w:t>
      </w:r>
      <w:r w:rsidR="00F078EE" w:rsidRPr="00B94FDA">
        <w:rPr>
          <w:lang w:val="en-US"/>
        </w:rPr>
        <w:t>.</w:t>
      </w:r>
    </w:p>
    <w:p w14:paraId="40B85212" w14:textId="77777777" w:rsidR="00F078EE" w:rsidRPr="001A2293" w:rsidRDefault="00F078EE" w:rsidP="00F078EE">
      <w:pPr>
        <w:pStyle w:val="H23G"/>
      </w:pPr>
      <w:r w:rsidRPr="00B94FDA">
        <w:rPr>
          <w:lang w:val="en-US"/>
        </w:rPr>
        <w:tab/>
      </w:r>
      <w:r w:rsidRPr="001A2293">
        <w:rPr>
          <w:bCs/>
        </w:rPr>
        <w:t>Пункт 8:</w:t>
      </w:r>
      <w:r w:rsidRPr="001A2293">
        <w:tab/>
      </w:r>
      <w:r w:rsidRPr="001A2293">
        <w:rPr>
          <w:bCs/>
        </w:rPr>
        <w:t>Смена груза в автоцистернах</w:t>
      </w:r>
    </w:p>
    <w:p w14:paraId="7A3166A2" w14:textId="77777777" w:rsidR="00F078EE" w:rsidRPr="001A2293" w:rsidRDefault="00F078EE" w:rsidP="00EC2C13">
      <w:pPr>
        <w:pStyle w:val="SingleTxtG"/>
        <w:tabs>
          <w:tab w:val="left" w:pos="3969"/>
        </w:tabs>
        <w:ind w:left="3969" w:hanging="2835"/>
        <w:jc w:val="left"/>
      </w:pPr>
      <w:r w:rsidRPr="00EC2C13">
        <w:rPr>
          <w:i/>
        </w:rPr>
        <w:t>Неофициальный документ</w:t>
      </w:r>
      <w:r w:rsidRPr="001A2293">
        <w:t>:</w:t>
      </w:r>
      <w:r w:rsidRPr="001A2293">
        <w:tab/>
        <w:t>INF.15 (секретариат)</w:t>
      </w:r>
    </w:p>
    <w:p w14:paraId="543B5CD8" w14:textId="77777777" w:rsidR="00F078EE" w:rsidRPr="001A2293" w:rsidRDefault="00F078EE" w:rsidP="00F078EE">
      <w:pPr>
        <w:pStyle w:val="SingleTxtG"/>
        <w:spacing w:before="120"/>
      </w:pPr>
      <w:r w:rsidRPr="001A2293">
        <w:t>21.</w:t>
      </w:r>
      <w:r w:rsidRPr="001A2293">
        <w:tab/>
        <w:t>Рабочая группа по цистернам приняла к сведению просьбу Рабочей группы по перевозке опасных грузов (WP.15) рассмотреть документ ECE/TRANS/WP.15/2019/9 и неофициальный документ INF.18 (106-я сессия).</w:t>
      </w:r>
    </w:p>
    <w:p w14:paraId="0465BE63" w14:textId="77777777" w:rsidR="00F078EE" w:rsidRPr="001A2293" w:rsidRDefault="00F078EE" w:rsidP="00EC2C13">
      <w:pPr>
        <w:pStyle w:val="SingleTxtG"/>
      </w:pPr>
      <w:r w:rsidRPr="001A2293">
        <w:t>22.</w:t>
      </w:r>
      <w:r w:rsidRPr="001A2293">
        <w:tab/>
        <w:t>В документе ECE/TRANS/WP.15/2019/9 описан случай, когда автоцистерна, предназначенная для перевозки углеводородов, несет табличку оранжевого цвета, относящуюся к предыдущему грузу, который по своим свойствам отличается от нынешнего груза. Перед сменой груза цистерна не очищалась, и остатки предыдущего груза остаются в одной из трех секций и в патрубках системы опорожнения. Вопросы, возникшие в связи со сменой груза без очистки цистерны, сводились к следующему: следует ли это разрешить и целесообразно ли регулировать в правилах присутствие паров в пустом пространстве над новым грузом и в системах опорожнения.</w:t>
      </w:r>
    </w:p>
    <w:p w14:paraId="4E458F5D" w14:textId="77777777" w:rsidR="00F078EE" w:rsidRPr="001A2293" w:rsidRDefault="00F078EE" w:rsidP="00F078EE">
      <w:pPr>
        <w:pStyle w:val="SingleTxtG"/>
      </w:pPr>
      <w:r w:rsidRPr="001A2293">
        <w:t>23.</w:t>
      </w:r>
      <w:r w:rsidRPr="001A2293">
        <w:tab/>
        <w:t>Было подтверждено, что при перевозке бензовозами имеет место смена груза в отсеках. Было также отмечено, что осеки этих цистерн опорожняются весьма хорошо</w:t>
      </w:r>
      <w:r>
        <w:t xml:space="preserve"> и</w:t>
      </w:r>
      <w:r w:rsidRPr="001A2293">
        <w:t xml:space="preserve"> что в цистерне остается лишь не</w:t>
      </w:r>
      <w:r>
        <w:t xml:space="preserve">много </w:t>
      </w:r>
      <w:r w:rsidRPr="001A2293">
        <w:t>топлива. Было также подтверждено, что в зависимости от конструкции системы опорожнения другие виды углеводородов остаются в ней, особенно в измерительных приборах. Их очистку</w:t>
      </w:r>
      <w:r>
        <w:t>,</w:t>
      </w:r>
      <w:r w:rsidRPr="001A2293">
        <w:t xml:space="preserve"> как правило</w:t>
      </w:r>
      <w:r>
        <w:t>,</w:t>
      </w:r>
      <w:r w:rsidRPr="001A2293">
        <w:t xml:space="preserve"> не производят с целью избежать после нее остатков воды.</w:t>
      </w:r>
    </w:p>
    <w:p w14:paraId="5D99D3DA" w14:textId="77777777" w:rsidR="00F078EE" w:rsidRPr="001A2293" w:rsidRDefault="00F078EE" w:rsidP="00F078EE">
      <w:pPr>
        <w:pStyle w:val="SingleTxtG"/>
      </w:pPr>
      <w:r w:rsidRPr="001A2293">
        <w:t>24.</w:t>
      </w:r>
      <w:r w:rsidRPr="001A2293">
        <w:tab/>
        <w:t>Было отмечено, что лишь небольшое количество бензина в биодизельном топливе может изменить его температуру вспышки, превратив его в легковоспламеняющееся вещество.</w:t>
      </w:r>
    </w:p>
    <w:p w14:paraId="71612FB4" w14:textId="77777777" w:rsidR="00F078EE" w:rsidRPr="001A2293" w:rsidRDefault="00F078EE" w:rsidP="00F078EE">
      <w:pPr>
        <w:pStyle w:val="SingleTxtG"/>
      </w:pPr>
      <w:r w:rsidRPr="001A2293">
        <w:t>25.</w:t>
      </w:r>
      <w:r w:rsidRPr="001A2293">
        <w:tab/>
        <w:t xml:space="preserve">Присутствие табличек оранжевого </w:t>
      </w:r>
      <w:r w:rsidR="00CC3476">
        <w:t>цвета</w:t>
      </w:r>
      <w:r w:rsidRPr="001A2293">
        <w:t>, оставшихся от предыдущего груза, в данном случае бензина (1203/33), хотя при этом перевозилось биодизельное топливо</w:t>
      </w:r>
      <w:r w:rsidR="00EC2C13">
        <w:t> </w:t>
      </w:r>
      <w:r w:rsidRPr="001A2293">
        <w:t xml:space="preserve">(Фаме), было признано правильным в соответствии с пунктом 5.3.2.1.7 в силу наличия пустого неочищенного отсека, в котором ранее находился бензин. Вопрос о том, будет ли требование </w:t>
      </w:r>
      <w:r w:rsidR="00CC3476">
        <w:t>«</w:t>
      </w:r>
      <w:r w:rsidRPr="001A2293">
        <w:t>порожняя неочищенная тара</w:t>
      </w:r>
      <w:r w:rsidR="00CC3476">
        <w:t>»</w:t>
      </w:r>
      <w:r w:rsidRPr="001A2293">
        <w:t xml:space="preserve"> применяться также к остаткам в системе опорожнения, остался без ответа. С другой стороны, в случае устройств для добавления присадок, предусмотренных специальным</w:t>
      </w:r>
      <w:r w:rsidR="00CC3476">
        <w:br/>
      </w:r>
      <w:r w:rsidRPr="001A2293">
        <w:t>положением 664 g), наличие присадок не влияет на размещение маркировки или больших знаков опасности.</w:t>
      </w:r>
    </w:p>
    <w:p w14:paraId="3870009B" w14:textId="77777777" w:rsidR="00F078EE" w:rsidRPr="001A2293" w:rsidRDefault="00F078EE" w:rsidP="00F078EE">
      <w:pPr>
        <w:pStyle w:val="SingleTxtG"/>
      </w:pPr>
      <w:r w:rsidRPr="001A2293">
        <w:t>26.</w:t>
      </w:r>
      <w:r w:rsidRPr="001A2293">
        <w:tab/>
        <w:t xml:space="preserve">Было признано, что необходимо провести дополнительное обсуждение и что </w:t>
      </w:r>
      <w:r>
        <w:t xml:space="preserve">соответствующие </w:t>
      </w:r>
      <w:r w:rsidRPr="001A2293">
        <w:t>разъяснения могут оказаться полезными, но при этом следует позаботиться о том, чтобы не усложнять правила.</w:t>
      </w:r>
    </w:p>
    <w:p w14:paraId="3BD409A9" w14:textId="77777777" w:rsidR="00F078EE" w:rsidRPr="001A2293" w:rsidRDefault="00F078EE" w:rsidP="00F078EE">
      <w:pPr>
        <w:pStyle w:val="H23G"/>
      </w:pPr>
      <w:r w:rsidRPr="001A2293">
        <w:tab/>
      </w:r>
      <w:r w:rsidRPr="001A2293">
        <w:rPr>
          <w:bCs/>
        </w:rPr>
        <w:t>Пункт 9:</w:t>
      </w:r>
      <w:r w:rsidRPr="001A2293">
        <w:tab/>
      </w:r>
      <w:r w:rsidRPr="001A2293">
        <w:rPr>
          <w:bCs/>
        </w:rPr>
        <w:t>Изменение терминологии, используемой в пункте 6.8.2.1.20</w:t>
      </w:r>
    </w:p>
    <w:p w14:paraId="50835995" w14:textId="77777777" w:rsidR="00F078EE" w:rsidRPr="001A2293" w:rsidRDefault="00F078EE" w:rsidP="00F078EE">
      <w:pPr>
        <w:pStyle w:val="SingleTxtG"/>
        <w:tabs>
          <w:tab w:val="left" w:pos="3119"/>
        </w:tabs>
      </w:pPr>
      <w:r w:rsidRPr="00EC2C13">
        <w:rPr>
          <w:i/>
        </w:rPr>
        <w:t>Неофициальный документ</w:t>
      </w:r>
      <w:r w:rsidRPr="001A2293">
        <w:t>:</w:t>
      </w:r>
      <w:r w:rsidRPr="001A2293">
        <w:tab/>
        <w:t>INF.38 (Франция)</w:t>
      </w:r>
    </w:p>
    <w:p w14:paraId="5A108404" w14:textId="77777777" w:rsidR="00F078EE" w:rsidRPr="001A2293" w:rsidRDefault="00F078EE" w:rsidP="00F078EE">
      <w:pPr>
        <w:pStyle w:val="SingleTxtG"/>
      </w:pPr>
      <w:r w:rsidRPr="001A2293">
        <w:t>27.</w:t>
      </w:r>
      <w:r w:rsidRPr="001A2293">
        <w:tab/>
        <w:t>Рабочая группа по цистернам рассмотрела этот документ и приняла предложенную поправку.</w:t>
      </w:r>
    </w:p>
    <w:p w14:paraId="46A573F4" w14:textId="77777777" w:rsidR="00F078EE" w:rsidRPr="001A2293" w:rsidRDefault="00F078EE" w:rsidP="00F078EE">
      <w:pPr>
        <w:pStyle w:val="H23G"/>
        <w:rPr>
          <w:b w:val="0"/>
        </w:rPr>
      </w:pPr>
      <w:r w:rsidRPr="001A2293">
        <w:tab/>
      </w:r>
      <w:r w:rsidRPr="001A2293">
        <w:tab/>
      </w:r>
      <w:r w:rsidRPr="001A2293">
        <w:rPr>
          <w:bCs/>
        </w:rPr>
        <w:t>Предложение 5:</w:t>
      </w:r>
    </w:p>
    <w:p w14:paraId="545E4410" w14:textId="77777777" w:rsidR="00F078EE" w:rsidRPr="001A2293" w:rsidRDefault="00EC2C13" w:rsidP="00F078EE">
      <w:pPr>
        <w:pStyle w:val="SingleTxtG"/>
      </w:pPr>
      <w:r>
        <w:tab/>
      </w:r>
      <w:r>
        <w:tab/>
      </w:r>
      <w:r w:rsidR="00F078EE" w:rsidRPr="001A2293">
        <w:t xml:space="preserve">В пункте 6.8.2.1.20 b) 1 ДОПОГ исключить слово </w:t>
      </w:r>
      <w:r>
        <w:t>«</w:t>
      </w:r>
      <w:r w:rsidR="00F078EE" w:rsidRPr="001A2293">
        <w:t>пространства</w:t>
      </w:r>
      <w:r>
        <w:t>»</w:t>
      </w:r>
      <w:r w:rsidR="00F078EE" w:rsidRPr="001A2293">
        <w:t xml:space="preserve"> следующим образом (исключенная формулировка зачеркнута);</w:t>
      </w:r>
    </w:p>
    <w:p w14:paraId="3F65ED48" w14:textId="77777777" w:rsidR="00F078EE" w:rsidRPr="001A2293" w:rsidRDefault="00EC2C13" w:rsidP="00F078EE">
      <w:pPr>
        <w:pStyle w:val="SingleTxtG"/>
      </w:pPr>
      <w:r>
        <w:t>«</w:t>
      </w:r>
      <w:r w:rsidR="00F078EE" w:rsidRPr="001A2293">
        <w:t xml:space="preserve">объем </w:t>
      </w:r>
      <w:r w:rsidR="00F078EE" w:rsidRPr="001A2293">
        <w:rPr>
          <w:strike/>
        </w:rPr>
        <w:t>пространства</w:t>
      </w:r>
      <w:r w:rsidR="00F078EE" w:rsidRPr="001A2293">
        <w:t xml:space="preserve"> между двумя перегородками или волногасящими переборками составляет не более 7 500 л.</w:t>
      </w:r>
      <w:r>
        <w:t>»</w:t>
      </w:r>
      <w:r w:rsidR="00F078EE">
        <w:t>.</w:t>
      </w:r>
    </w:p>
    <w:p w14:paraId="444CCA55" w14:textId="77777777" w:rsidR="00F078EE" w:rsidRPr="001A2293" w:rsidRDefault="00F078EE" w:rsidP="00F078EE">
      <w:pPr>
        <w:pStyle w:val="H23G"/>
      </w:pPr>
      <w:r w:rsidRPr="001A2293">
        <w:tab/>
      </w:r>
      <w:r w:rsidRPr="001A2293">
        <w:rPr>
          <w:bCs/>
        </w:rPr>
        <w:t>Пункт 10:</w:t>
      </w:r>
      <w:r w:rsidRPr="001A2293">
        <w:tab/>
      </w:r>
      <w:r w:rsidRPr="001A2293">
        <w:rPr>
          <w:bCs/>
        </w:rPr>
        <w:t xml:space="preserve">Поправка к главе 1.6 </w:t>
      </w:r>
      <w:r>
        <w:rPr>
          <w:bCs/>
        </w:rPr>
        <w:t>–</w:t>
      </w:r>
      <w:r w:rsidRPr="001A2293">
        <w:rPr>
          <w:bCs/>
        </w:rPr>
        <w:t xml:space="preserve"> Переходные меры, касающиеся цистерн</w:t>
      </w:r>
    </w:p>
    <w:p w14:paraId="50FAFD4A" w14:textId="77777777" w:rsidR="00F078EE" w:rsidRPr="001A2293" w:rsidRDefault="00F078EE" w:rsidP="00F078EE">
      <w:pPr>
        <w:pStyle w:val="SingleTxtG"/>
        <w:tabs>
          <w:tab w:val="left" w:pos="3119"/>
        </w:tabs>
      </w:pPr>
      <w:r w:rsidRPr="00EC2C13">
        <w:rPr>
          <w:i/>
        </w:rPr>
        <w:t>Неофициальный документ</w:t>
      </w:r>
      <w:r w:rsidRPr="001A2293">
        <w:t>:</w:t>
      </w:r>
      <w:r w:rsidRPr="001A2293">
        <w:tab/>
        <w:t>INF.39 (Франция)</w:t>
      </w:r>
    </w:p>
    <w:p w14:paraId="47D3D4A0" w14:textId="77777777" w:rsidR="00F078EE" w:rsidRPr="001A2293" w:rsidRDefault="00F078EE" w:rsidP="00F078EE">
      <w:pPr>
        <w:spacing w:before="120" w:after="120"/>
        <w:ind w:left="1134" w:right="1133"/>
        <w:jc w:val="both"/>
      </w:pPr>
      <w:r w:rsidRPr="001A2293">
        <w:t>28.</w:t>
      </w:r>
      <w:r w:rsidRPr="001A2293">
        <w:tab/>
        <w:t xml:space="preserve">Было предложено исключить из комплекта технической документации на цистерну переходные меры </w:t>
      </w:r>
      <w:r>
        <w:t xml:space="preserve">из пунктов </w:t>
      </w:r>
      <w:r w:rsidRPr="001A2293">
        <w:t>1.6.3.16 и 1.6.4.18. Вместе с тем Рабочая группа по цистернам сочла, что для цистерн, введенных в эксплуатацию до 2007 года, которые могут не иметь свидетельства об официальном утверждении типа в комплекте технической документации, исключение переходной меры может привести к несоблюдению подраздела 6.8.3.1. Было предложено изменить переходную меру, с тем чтобы учесть это обстоятельство.</w:t>
      </w:r>
    </w:p>
    <w:p w14:paraId="2490E8AD" w14:textId="77777777" w:rsidR="00F078EE" w:rsidRPr="001A2293" w:rsidRDefault="00F078EE" w:rsidP="00F078EE">
      <w:pPr>
        <w:spacing w:before="120" w:after="120"/>
        <w:ind w:left="1134" w:right="1133"/>
        <w:jc w:val="both"/>
      </w:pPr>
      <w:r w:rsidRPr="001A2293">
        <w:t>29.</w:t>
      </w:r>
      <w:r w:rsidRPr="001A2293">
        <w:tab/>
        <w:t>Рабочая группа по цистернам отметила, что в переходных мерах, предусмотренных в пунктах 1.6.3.3.2 и 1.6.3.27 МПОГ, в издании МПОГ 2021 года последний пункт следует исключить.</w:t>
      </w:r>
    </w:p>
    <w:p w14:paraId="663AF390" w14:textId="77777777" w:rsidR="00F078EE" w:rsidRPr="001A2293" w:rsidRDefault="00F078EE" w:rsidP="00F078EE">
      <w:pPr>
        <w:spacing w:before="120" w:after="120"/>
        <w:ind w:left="1134" w:right="1133"/>
        <w:jc w:val="both"/>
      </w:pPr>
      <w:r w:rsidRPr="001A2293">
        <w:t>30.</w:t>
      </w:r>
      <w:r w:rsidRPr="001A2293">
        <w:tab/>
        <w:t xml:space="preserve">Учитывая временные ограничения, группа решила, что эти переходные меры требуют дальнейшего рассмотрения на основе нового документа, который следует представить сессии Рабочей группы по танкам в марте 2020 года. </w:t>
      </w:r>
    </w:p>
    <w:p w14:paraId="7E9EB66C" w14:textId="77777777" w:rsidR="00F078EE" w:rsidRPr="001A2293" w:rsidRDefault="00F078EE" w:rsidP="00EC2C13">
      <w:pPr>
        <w:pStyle w:val="SingleTxtG"/>
        <w:spacing w:before="240" w:after="0"/>
        <w:jc w:val="center"/>
        <w:rPr>
          <w:u w:val="single"/>
        </w:rPr>
      </w:pPr>
      <w:r w:rsidRPr="001A2293">
        <w:rPr>
          <w:u w:val="single"/>
        </w:rPr>
        <w:tab/>
      </w:r>
      <w:r w:rsidRPr="001A2293">
        <w:rPr>
          <w:u w:val="single"/>
        </w:rPr>
        <w:tab/>
      </w:r>
      <w:r w:rsidRPr="001A2293">
        <w:rPr>
          <w:u w:val="single"/>
        </w:rPr>
        <w:tab/>
      </w:r>
      <w:r w:rsidR="00EC2C13">
        <w:rPr>
          <w:u w:val="single"/>
        </w:rPr>
        <w:tab/>
      </w:r>
    </w:p>
    <w:p w14:paraId="29C948A5" w14:textId="77777777" w:rsidR="00E12C5F" w:rsidRPr="008D53B6" w:rsidRDefault="00E12C5F" w:rsidP="00D9145B"/>
    <w:sectPr w:rsidR="00E12C5F" w:rsidRPr="008D53B6" w:rsidSect="008B71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B275" w14:textId="77777777" w:rsidR="002D5EC1" w:rsidRPr="00A312BC" w:rsidRDefault="002D5EC1" w:rsidP="00A312BC"/>
  </w:endnote>
  <w:endnote w:type="continuationSeparator" w:id="0">
    <w:p w14:paraId="4EA6F90F" w14:textId="77777777" w:rsidR="002D5EC1" w:rsidRPr="00A312BC" w:rsidRDefault="002D5E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EF8" w14:textId="77777777" w:rsidR="008B7110" w:rsidRPr="008B7110" w:rsidRDefault="008B7110">
    <w:pPr>
      <w:pStyle w:val="Footer"/>
    </w:pPr>
    <w:r w:rsidRPr="008B7110">
      <w:rPr>
        <w:b/>
        <w:sz w:val="18"/>
      </w:rPr>
      <w:fldChar w:fldCharType="begin"/>
    </w:r>
    <w:r w:rsidRPr="008B7110">
      <w:rPr>
        <w:b/>
        <w:sz w:val="18"/>
      </w:rPr>
      <w:instrText xml:space="preserve"> PAGE  \* MERGEFORMAT </w:instrText>
    </w:r>
    <w:r w:rsidRPr="008B7110">
      <w:rPr>
        <w:b/>
        <w:sz w:val="18"/>
      </w:rPr>
      <w:fldChar w:fldCharType="separate"/>
    </w:r>
    <w:r w:rsidRPr="008B7110">
      <w:rPr>
        <w:b/>
        <w:noProof/>
        <w:sz w:val="18"/>
      </w:rPr>
      <w:t>2</w:t>
    </w:r>
    <w:r w:rsidRPr="008B7110">
      <w:rPr>
        <w:b/>
        <w:sz w:val="18"/>
      </w:rPr>
      <w:fldChar w:fldCharType="end"/>
    </w:r>
    <w:r>
      <w:rPr>
        <w:b/>
        <w:sz w:val="18"/>
      </w:rPr>
      <w:tab/>
    </w:r>
    <w:r>
      <w:t>GE.19-17676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F202" w14:textId="77777777" w:rsidR="008B7110" w:rsidRPr="008B7110" w:rsidRDefault="008B7110" w:rsidP="008B711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GE.19-17676</w:t>
    </w:r>
    <w:r>
      <w:tab/>
    </w:r>
    <w:r w:rsidRPr="008B7110">
      <w:rPr>
        <w:b/>
        <w:sz w:val="18"/>
      </w:rPr>
      <w:fldChar w:fldCharType="begin"/>
    </w:r>
    <w:r w:rsidRPr="008B7110">
      <w:rPr>
        <w:b/>
        <w:sz w:val="18"/>
      </w:rPr>
      <w:instrText xml:space="preserve"> PAGE  \* MERGEFORMAT </w:instrText>
    </w:r>
    <w:r w:rsidRPr="008B7110">
      <w:rPr>
        <w:b/>
        <w:sz w:val="18"/>
      </w:rPr>
      <w:fldChar w:fldCharType="separate"/>
    </w:r>
    <w:r w:rsidRPr="008B7110">
      <w:rPr>
        <w:b/>
        <w:noProof/>
        <w:sz w:val="18"/>
      </w:rPr>
      <w:t>3</w:t>
    </w:r>
    <w:r w:rsidRPr="008B71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BBB3" w14:textId="7567C6A6" w:rsidR="00042B72" w:rsidRPr="008B7110" w:rsidRDefault="008B7110" w:rsidP="008B711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15D386" wp14:editId="7960A9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19-17676  (R)</w:t>
    </w:r>
    <w:r w:rsidR="00F64150">
      <w:t xml:space="preserve">  1</w:t>
    </w:r>
    <w:r w:rsidR="007C4015">
      <w:t>2</w:t>
    </w:r>
    <w:r w:rsidR="00F64150">
      <w:t>1119  131119</w:t>
    </w:r>
    <w:r>
      <w:br/>
    </w:r>
    <w:r w:rsidRPr="008B7110">
      <w:rPr>
        <w:rFonts w:ascii="C39T30Lfz" w:hAnsi="C39T30Lfz"/>
        <w:kern w:val="14"/>
        <w:sz w:val="56"/>
      </w:rPr>
      <w:t></w:t>
    </w:r>
    <w:r w:rsidRPr="008B7110">
      <w:rPr>
        <w:rFonts w:ascii="C39T30Lfz" w:hAnsi="C39T30Lfz"/>
        <w:kern w:val="14"/>
        <w:sz w:val="56"/>
      </w:rPr>
      <w:t></w:t>
    </w:r>
    <w:r w:rsidRPr="008B7110">
      <w:rPr>
        <w:rFonts w:ascii="C39T30Lfz" w:hAnsi="C39T30Lfz"/>
        <w:kern w:val="14"/>
        <w:sz w:val="56"/>
      </w:rPr>
      <w:t></w:t>
    </w:r>
    <w:r w:rsidRPr="008B7110">
      <w:rPr>
        <w:rFonts w:ascii="C39T30Lfz" w:hAnsi="C39T30Lfz"/>
        <w:kern w:val="14"/>
        <w:sz w:val="56"/>
      </w:rPr>
      <w:t></w:t>
    </w:r>
    <w:r w:rsidRPr="008B7110">
      <w:rPr>
        <w:rFonts w:ascii="C39T30Lfz" w:hAnsi="C39T30Lfz"/>
        <w:kern w:val="14"/>
        <w:sz w:val="56"/>
      </w:rPr>
      <w:t></w:t>
    </w:r>
    <w:r w:rsidRPr="008B7110">
      <w:rPr>
        <w:rFonts w:ascii="C39T30Lfz" w:hAnsi="C39T30Lfz"/>
        <w:kern w:val="14"/>
        <w:sz w:val="56"/>
      </w:rPr>
      <w:t></w:t>
    </w:r>
    <w:r w:rsidRPr="008B7110">
      <w:rPr>
        <w:rFonts w:ascii="C39T30Lfz" w:hAnsi="C39T30Lfz"/>
        <w:kern w:val="14"/>
        <w:sz w:val="56"/>
      </w:rPr>
      <w:t></w:t>
    </w:r>
    <w:r w:rsidRPr="008B7110">
      <w:rPr>
        <w:rFonts w:ascii="C39T30Lfz" w:hAnsi="C39T30Lfz"/>
        <w:kern w:val="14"/>
        <w:sz w:val="56"/>
      </w:rPr>
      <w:t></w:t>
    </w:r>
    <w:r w:rsidRPr="008B711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1AD796" wp14:editId="65CD57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6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6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4EF4" w14:textId="77777777" w:rsidR="002D5EC1" w:rsidRPr="001075E9" w:rsidRDefault="002D5E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6DA01A" w14:textId="77777777" w:rsidR="002D5EC1" w:rsidRDefault="002D5E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A88A6C" w14:textId="77777777" w:rsidR="00F078EE" w:rsidRPr="001A2293" w:rsidRDefault="00F078EE" w:rsidP="00F078EE">
      <w:pPr>
        <w:pStyle w:val="FootnoteText"/>
      </w:pPr>
      <w:r>
        <w:tab/>
      </w:r>
      <w:r w:rsidRPr="00F078EE">
        <w:rPr>
          <w:sz w:val="20"/>
        </w:rPr>
        <w:t>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OTIF/RID/RC/2019-B. Если не указано иное, другие документы, упоминаемые в настоящем докладе под условным обозначением ECE/TRANS/WP.15/AC.1/, после которого указаны год и порядковый номер, были распространены ОТИФ под условным обозначением OTIF/RID/RC/, после которого указаны год и тот же порядковый номер.</w:t>
      </w:r>
    </w:p>
  </w:footnote>
  <w:footnote w:id="2">
    <w:p w14:paraId="09D3022B" w14:textId="77777777" w:rsidR="00F078EE" w:rsidRPr="001A2293" w:rsidRDefault="00F078EE" w:rsidP="00F078EE">
      <w:pPr>
        <w:pStyle w:val="FootnoteText"/>
      </w:pPr>
      <w:r>
        <w:tab/>
      </w:r>
      <w:r w:rsidRPr="00F078E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OTIF/RID/RC/2019-B/Add.1.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CE54" w14:textId="18F275B6" w:rsidR="008B7110" w:rsidRPr="008B7110" w:rsidRDefault="00AB6AE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16676">
      <w:t>ECE/TRANS/WP.15/AC.1/156/Add.1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9A61" w14:textId="4860F645" w:rsidR="008B7110" w:rsidRPr="008B7110" w:rsidRDefault="00AB6AED" w:rsidP="008B711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16676">
      <w:t>ECE/TRANS/WP.15/AC.1/156/Add.1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0401"/>
    <w:multiLevelType w:val="hybridMultilevel"/>
    <w:tmpl w:val="B04AA754"/>
    <w:lvl w:ilvl="0" w:tplc="83A48D4C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1F3001B"/>
    <w:multiLevelType w:val="hybridMultilevel"/>
    <w:tmpl w:val="393E8D9E"/>
    <w:lvl w:ilvl="0" w:tplc="83A48D4C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6676"/>
    <w:rsid w:val="00255343"/>
    <w:rsid w:val="0027151D"/>
    <w:rsid w:val="002A2EFC"/>
    <w:rsid w:val="002B0106"/>
    <w:rsid w:val="002B74B1"/>
    <w:rsid w:val="002C0E18"/>
    <w:rsid w:val="002D5AAC"/>
    <w:rsid w:val="002D5EC1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015"/>
    <w:rsid w:val="00806737"/>
    <w:rsid w:val="00825F8D"/>
    <w:rsid w:val="00834B71"/>
    <w:rsid w:val="0086445C"/>
    <w:rsid w:val="00894693"/>
    <w:rsid w:val="008A08D7"/>
    <w:rsid w:val="008A37C8"/>
    <w:rsid w:val="008B6909"/>
    <w:rsid w:val="008B7110"/>
    <w:rsid w:val="008D53B6"/>
    <w:rsid w:val="008F7609"/>
    <w:rsid w:val="00906890"/>
    <w:rsid w:val="00911BE4"/>
    <w:rsid w:val="009330D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6AE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3476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1D9E"/>
    <w:rsid w:val="00EC2C13"/>
    <w:rsid w:val="00ED0BDA"/>
    <w:rsid w:val="00EE142A"/>
    <w:rsid w:val="00EF1360"/>
    <w:rsid w:val="00EF3220"/>
    <w:rsid w:val="00F078EE"/>
    <w:rsid w:val="00F2523A"/>
    <w:rsid w:val="00F43903"/>
    <w:rsid w:val="00F6415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0CA4B"/>
  <w15:docId w15:val="{D2AB4BDD-5BCA-4C22-B3DD-F0B1186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F078E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F078EE"/>
    <w:rPr>
      <w:lang w:val="ru-RU" w:eastAsia="en-US"/>
    </w:rPr>
  </w:style>
  <w:style w:type="character" w:customStyle="1" w:styleId="H1GChar">
    <w:name w:val="_ H_1_G Char"/>
    <w:link w:val="H1G"/>
    <w:rsid w:val="00F078EE"/>
    <w:rPr>
      <w:b/>
      <w:sz w:val="24"/>
      <w:lang w:val="ru-RU" w:eastAsia="ru-RU"/>
    </w:rPr>
  </w:style>
  <w:style w:type="paragraph" w:customStyle="1" w:styleId="Default">
    <w:name w:val="Default"/>
    <w:rsid w:val="00F078E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character" w:customStyle="1" w:styleId="H23GChar">
    <w:name w:val="_ H_2/3_G Char"/>
    <w:link w:val="H23G"/>
    <w:locked/>
    <w:rsid w:val="00F078EE"/>
    <w:rPr>
      <w:b/>
      <w:lang w:val="ru-RU" w:eastAsia="ru-RU"/>
    </w:rPr>
  </w:style>
  <w:style w:type="paragraph" w:styleId="ListParagraph">
    <w:name w:val="List Paragraph"/>
    <w:basedOn w:val="Normal"/>
    <w:uiPriority w:val="34"/>
    <w:qFormat/>
    <w:rsid w:val="00F078EE"/>
    <w:pPr>
      <w:ind w:left="720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2410</Words>
  <Characters>13429</Characters>
  <Application>Microsoft Office Word</Application>
  <DocSecurity>0</DocSecurity>
  <Lines>239</Lines>
  <Paragraphs>103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ECE/TRANS/WP.15/AC.1/156/Add.1</vt:lpstr>
      <vt:lpstr>ECE/TRANS/WP.15/AC.1/156/Add.1</vt:lpstr>
      <vt:lpstr>A/</vt:lpstr>
    </vt:vector>
  </TitlesOfParts>
  <Company>DCM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ECE/TRANS/WP.15/AC.1/156/Add.1</dc:title>
  <dc:subject/>
  <dc:creator>Uliana ANTIPOVA</dc:creator>
  <cp:keywords/>
  <cp:lastModifiedBy>Christine Barrio-Champeau</cp:lastModifiedBy>
  <cp:revision>2</cp:revision>
  <cp:lastPrinted>2019-11-13T07:18:00Z</cp:lastPrinted>
  <dcterms:created xsi:type="dcterms:W3CDTF">2019-12-18T15:08:00Z</dcterms:created>
  <dcterms:modified xsi:type="dcterms:W3CDTF">2019-12-18T15:08:00Z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