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1141F" w:rsidTr="00C97039">
        <w:trPr>
          <w:trHeight w:hRule="exact" w:val="851"/>
        </w:trPr>
        <w:tc>
          <w:tcPr>
            <w:tcW w:w="1276" w:type="dxa"/>
            <w:tcBorders>
              <w:bottom w:val="single" w:sz="4" w:space="0" w:color="auto"/>
            </w:tcBorders>
          </w:tcPr>
          <w:p w:rsidR="00F35BAF" w:rsidRPr="00DB58B5" w:rsidRDefault="00F35BAF" w:rsidP="00733C6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733C65" w:rsidRDefault="00733C65" w:rsidP="00733C65">
            <w:pPr>
              <w:jc w:val="right"/>
              <w:rPr>
                <w:lang w:val="en-US"/>
              </w:rPr>
            </w:pPr>
            <w:r w:rsidRPr="00733C65">
              <w:rPr>
                <w:sz w:val="40"/>
                <w:lang w:val="en-US"/>
              </w:rPr>
              <w:t>ECE</w:t>
            </w:r>
            <w:r w:rsidRPr="00733C65">
              <w:rPr>
                <w:lang w:val="en-US"/>
              </w:rPr>
              <w:t>/TRANS/WP.15/AC.1/155/Add.1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33C65" w:rsidP="00C97039">
            <w:pPr>
              <w:spacing w:before="240"/>
            </w:pPr>
            <w:r>
              <w:t>Distr. générale</w:t>
            </w:r>
          </w:p>
          <w:p w:rsidR="00733C65" w:rsidRDefault="00733C65" w:rsidP="00733C65">
            <w:pPr>
              <w:spacing w:line="240" w:lineRule="exact"/>
            </w:pPr>
            <w:r>
              <w:t>8 juillet 2019</w:t>
            </w:r>
          </w:p>
          <w:p w:rsidR="00733C65" w:rsidRDefault="00733C65" w:rsidP="00733C65">
            <w:pPr>
              <w:spacing w:line="240" w:lineRule="exact"/>
            </w:pPr>
            <w:r>
              <w:t>Français</w:t>
            </w:r>
          </w:p>
          <w:p w:rsidR="00733C65" w:rsidRPr="00DB58B5" w:rsidRDefault="00733C65" w:rsidP="00733C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33C65" w:rsidRPr="00733C65" w:rsidRDefault="00733C65" w:rsidP="00733C65">
      <w:pPr>
        <w:spacing w:before="120"/>
        <w:rPr>
          <w:b/>
          <w:sz w:val="24"/>
          <w:szCs w:val="24"/>
        </w:rPr>
      </w:pPr>
      <w:r w:rsidRPr="00733C65">
        <w:rPr>
          <w:b/>
          <w:bCs/>
          <w:sz w:val="24"/>
          <w:szCs w:val="24"/>
          <w:lang w:val="fr-FR"/>
        </w:rPr>
        <w:t>Groupe de travail des transports de marchandises dangereuses</w:t>
      </w:r>
    </w:p>
    <w:p w:rsidR="00733C65" w:rsidRPr="00733C65" w:rsidRDefault="00733C65" w:rsidP="00733C65">
      <w:pPr>
        <w:spacing w:before="120"/>
        <w:rPr>
          <w:b/>
        </w:rPr>
      </w:pPr>
      <w:r w:rsidRPr="00733C65">
        <w:rPr>
          <w:b/>
          <w:bCs/>
          <w:lang w:val="fr-FR"/>
        </w:rPr>
        <w:t xml:space="preserve">Réunion commune de la Commission d’experts du RID et du Groupe </w:t>
      </w:r>
      <w:r w:rsidR="0054234D">
        <w:rPr>
          <w:b/>
          <w:bCs/>
          <w:lang w:val="fr-FR"/>
        </w:rPr>
        <w:br/>
      </w:r>
      <w:r w:rsidRPr="00733C65">
        <w:rPr>
          <w:b/>
          <w:bCs/>
          <w:lang w:val="fr-FR"/>
        </w:rPr>
        <w:t>de travail des transports de marchandises dangereuses</w:t>
      </w:r>
    </w:p>
    <w:p w:rsidR="00733C65" w:rsidRPr="00733C65" w:rsidRDefault="00733C65" w:rsidP="00733C65">
      <w:r w:rsidRPr="00733C65">
        <w:rPr>
          <w:lang w:val="fr-FR"/>
        </w:rPr>
        <w:t>Genève, 17-27</w:t>
      </w:r>
      <w:r>
        <w:rPr>
          <w:lang w:val="fr-FR"/>
        </w:rPr>
        <w:t> </w:t>
      </w:r>
      <w:r w:rsidRPr="00733C65">
        <w:rPr>
          <w:lang w:val="fr-FR"/>
        </w:rPr>
        <w:t>septembre 2019</w:t>
      </w:r>
    </w:p>
    <w:p w:rsidR="00733C65" w:rsidRPr="00733C65" w:rsidRDefault="00733C65" w:rsidP="00733C65">
      <w:r w:rsidRPr="00733C65">
        <w:rPr>
          <w:lang w:val="fr-FR"/>
        </w:rPr>
        <w:t>Point 1 de l’ordre du jour provisoire</w:t>
      </w:r>
    </w:p>
    <w:p w:rsidR="00733C65" w:rsidRPr="00733C65" w:rsidRDefault="00733C65" w:rsidP="00733C65">
      <w:pPr>
        <w:rPr>
          <w:b/>
        </w:rPr>
      </w:pPr>
      <w:r w:rsidRPr="00733C65">
        <w:rPr>
          <w:b/>
          <w:bCs/>
          <w:lang w:val="fr-FR"/>
        </w:rPr>
        <w:t>Adoption de l’ordre du jour</w:t>
      </w:r>
    </w:p>
    <w:p w:rsidR="00733C65" w:rsidRPr="00C06927" w:rsidRDefault="00733C65" w:rsidP="00733C65">
      <w:pPr>
        <w:pStyle w:val="HChG"/>
      </w:pPr>
      <w:r>
        <w:rPr>
          <w:lang w:val="fr-FR"/>
        </w:rPr>
        <w:tab/>
      </w:r>
      <w:r>
        <w:rPr>
          <w:lang w:val="fr-FR"/>
        </w:rPr>
        <w:tab/>
        <w:t>Ordre du jour provisoire de la session d’automne 2019</w:t>
      </w:r>
    </w:p>
    <w:p w:rsidR="00733C65" w:rsidRPr="00C06927" w:rsidRDefault="00733C65" w:rsidP="00733C65">
      <w:pPr>
        <w:pStyle w:val="H23G"/>
      </w:pPr>
      <w:r>
        <w:rPr>
          <w:lang w:val="fr-FR"/>
        </w:rPr>
        <w:tab/>
      </w:r>
      <w:r>
        <w:rPr>
          <w:lang w:val="fr-FR"/>
        </w:rPr>
        <w:tab/>
        <w:t>Additif</w:t>
      </w:r>
    </w:p>
    <w:p w:rsidR="00733C65" w:rsidRPr="00C06927" w:rsidRDefault="00733C65" w:rsidP="00733C65">
      <w:pPr>
        <w:pStyle w:val="H1G"/>
      </w:pPr>
      <w:r>
        <w:rPr>
          <w:lang w:val="fr-FR"/>
        </w:rPr>
        <w:tab/>
      </w:r>
      <w:r>
        <w:rPr>
          <w:lang w:val="fr-FR"/>
        </w:rPr>
        <w:tab/>
        <w:t>Annotations et liste des documents</w:t>
      </w:r>
    </w:p>
    <w:p w:rsidR="00733C65" w:rsidRPr="00C06927" w:rsidRDefault="00733C65" w:rsidP="00733C65">
      <w:pPr>
        <w:pStyle w:val="HChG"/>
      </w:pPr>
      <w:r>
        <w:rPr>
          <w:lang w:val="fr-FR"/>
        </w:rPr>
        <w:tab/>
        <w:t>1.</w:t>
      </w:r>
      <w:r>
        <w:rPr>
          <w:lang w:val="fr-FR"/>
        </w:rPr>
        <w:tab/>
        <w:t>Adoption de l’ordre du jour</w:t>
      </w:r>
    </w:p>
    <w:p w:rsidR="00733C65" w:rsidRPr="00C06927" w:rsidRDefault="00733C65" w:rsidP="00733C65">
      <w:pPr>
        <w:pStyle w:val="SingleTxtG"/>
        <w:ind w:firstLine="567"/>
      </w:pPr>
      <w:r>
        <w:rPr>
          <w:lang w:val="fr-FR"/>
        </w:rPr>
        <w:t>Le premier point de l’ordre du jour concerne son adoption. La Réunion commune disposera également du rapport sur sa session de printemps 2019, tenue à Berne du 18 au 22 mars 2019 (ECE/TRANS/WP.15/AC.1/154-OTIF/RID/RC/2019-A et Add 1).</w:t>
      </w:r>
    </w:p>
    <w:p w:rsidR="00733C65" w:rsidRPr="00C06927" w:rsidRDefault="00733C65" w:rsidP="00733C65">
      <w:pPr>
        <w:pStyle w:val="SingleTxtG"/>
        <w:keepNext/>
        <w:ind w:firstLine="567"/>
      </w:pPr>
      <w:r>
        <w:rPr>
          <w:lang w:val="fr-FR"/>
        </w:rPr>
        <w:t xml:space="preserve">Il convient de rappeler les points suivants : </w:t>
      </w:r>
    </w:p>
    <w:p w:rsidR="00733C65" w:rsidRPr="00C06927" w:rsidRDefault="00733C65" w:rsidP="00733C65">
      <w:pPr>
        <w:pStyle w:val="SingleTxtG"/>
        <w:ind w:firstLine="567"/>
      </w:pPr>
      <w:r>
        <w:rPr>
          <w:lang w:val="fr-FR"/>
        </w:rPr>
        <w:t>a)</w:t>
      </w:r>
      <w:r>
        <w:rPr>
          <w:lang w:val="fr-FR"/>
        </w:rPr>
        <w:tab/>
        <w:t>À la session d’automne 2018, M. C. Pfauvadel (France) a été élu Président de la Réunion commune et M</w:t>
      </w:r>
      <w:r w:rsidRPr="00733C65">
        <w:rPr>
          <w:vertAlign w:val="superscript"/>
          <w:lang w:val="fr-FR"/>
        </w:rPr>
        <w:t>me</w:t>
      </w:r>
      <w:r>
        <w:rPr>
          <w:lang w:val="fr-FR"/>
        </w:rPr>
        <w:t> S. García Wolfrum (Espagne) a été élue Vice-Présidente ;</w:t>
      </w:r>
    </w:p>
    <w:p w:rsidR="00733C65" w:rsidRPr="00C06927" w:rsidRDefault="00733C65" w:rsidP="00733C65">
      <w:pPr>
        <w:pStyle w:val="SingleTxtG"/>
        <w:ind w:firstLine="567"/>
      </w:pPr>
      <w:r>
        <w:rPr>
          <w:lang w:val="fr-FR"/>
        </w:rPr>
        <w:t>b)</w:t>
      </w:r>
      <w:r>
        <w:rPr>
          <w:lang w:val="fr-FR"/>
        </w:rPr>
        <w:tab/>
        <w:t>Les documents de la CEE (autres que les ordres du jour ou les rapports) portant la cote ECE/TRANS/WP.15/AC.1/ sont diffusés par l’Organisation intergouvernementale pour les transports internationaux ferroviaires (OTIF) en langue allemande sous la cote OTIF/RID/RC/ suivie du même numéro de document. Par souci d’économie, les documents pertinents ne sont pas disponibles en salle. Les délégués sont priés de se rendre à la réunion munis de leur exemplaire desdits documents ;</w:t>
      </w:r>
    </w:p>
    <w:p w:rsidR="00733C65" w:rsidRPr="00C06927" w:rsidRDefault="00733C65" w:rsidP="00733C65">
      <w:pPr>
        <w:pStyle w:val="SingleTxtG"/>
        <w:ind w:firstLine="567"/>
      </w:pPr>
      <w:r>
        <w:rPr>
          <w:lang w:val="fr-FR"/>
        </w:rPr>
        <w:t>c)</w:t>
      </w:r>
      <w:r>
        <w:rPr>
          <w:lang w:val="fr-FR"/>
        </w:rPr>
        <w:tab/>
        <w:t>La documentation est disponible sur le site Web de la CEE (www.unece.org/trans/danger/danger.htm) en anglais, français et russe ;</w:t>
      </w:r>
    </w:p>
    <w:p w:rsidR="00733C65" w:rsidRPr="00C06927" w:rsidRDefault="00733C65" w:rsidP="00733C65">
      <w:pPr>
        <w:pStyle w:val="SingleTxtG"/>
        <w:ind w:firstLine="567"/>
      </w:pPr>
      <w:r>
        <w:rPr>
          <w:lang w:val="fr-FR"/>
        </w:rPr>
        <w:t>d)</w:t>
      </w:r>
      <w:r>
        <w:rPr>
          <w:lang w:val="fr-FR"/>
        </w:rPr>
        <w:tab/>
        <w:t>La Réunion commune souhaitera éventuellement, si nécessaire, qu’un groupe de travail spécial se réunisse au cours de la première semaine, en dehors des heures de séance plénière, pour examiner les documents relatifs aux normes (point 3), conformément au mandat que la Réunion commune fixera ;</w:t>
      </w:r>
    </w:p>
    <w:p w:rsidR="00733C65" w:rsidRPr="00C06927" w:rsidRDefault="00733C65" w:rsidP="00733C65">
      <w:pPr>
        <w:pStyle w:val="SingleTxtG"/>
        <w:ind w:firstLine="567"/>
      </w:pPr>
      <w:r>
        <w:rPr>
          <w:lang w:val="fr-FR"/>
        </w:rPr>
        <w:t>e)</w:t>
      </w:r>
      <w:r>
        <w:rPr>
          <w:lang w:val="fr-FR"/>
        </w:rPr>
        <w:tab/>
        <w:t>Les documents relatifs aux citernes (point 2) seront examinés par le Groupe de travail des citernes durant la première semaine de la session, après examen de ce point en séance plénière ;</w:t>
      </w:r>
    </w:p>
    <w:p w:rsidR="00733C65" w:rsidRPr="00C06927" w:rsidRDefault="00733C65" w:rsidP="00733C65">
      <w:pPr>
        <w:pStyle w:val="SingleTxtG"/>
        <w:ind w:firstLine="567"/>
      </w:pPr>
      <w:r>
        <w:rPr>
          <w:lang w:val="fr-FR"/>
        </w:rPr>
        <w:lastRenderedPageBreak/>
        <w:t>f)</w:t>
      </w:r>
      <w:r>
        <w:rPr>
          <w:lang w:val="fr-FR"/>
        </w:rPr>
        <w:tab/>
        <w:t>Le lien pour l’inscription en ligne des délégués est le suivant</w:t>
      </w:r>
      <w:r w:rsidR="00E7783B">
        <w:rPr>
          <w:lang w:val="fr-FR"/>
        </w:rPr>
        <w:t> </w:t>
      </w:r>
      <w:r>
        <w:rPr>
          <w:lang w:val="fr-FR"/>
        </w:rPr>
        <w:t>: https://uncdb.unece.org/app/ext/meeting-registration?id=adVsuC.</w:t>
      </w:r>
    </w:p>
    <w:p w:rsidR="00733C65" w:rsidRPr="00C06927" w:rsidRDefault="00733C65" w:rsidP="00733C65">
      <w:pPr>
        <w:pStyle w:val="HChG"/>
      </w:pPr>
      <w:r>
        <w:rPr>
          <w:lang w:val="fr-FR"/>
        </w:rPr>
        <w:tab/>
        <w:t>2.</w:t>
      </w:r>
      <w:r>
        <w:rPr>
          <w:lang w:val="fr-FR"/>
        </w:rPr>
        <w:tab/>
        <w:t xml:space="preserve">Citernes </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733C65" w:rsidTr="00733C65">
        <w:tc>
          <w:tcPr>
            <w:tcW w:w="3402" w:type="dxa"/>
          </w:tcPr>
          <w:p w:rsidR="00733C65" w:rsidRPr="00733C65" w:rsidRDefault="00733C65" w:rsidP="00733C65">
            <w:pPr>
              <w:spacing w:after="120"/>
            </w:pPr>
            <w:r w:rsidRPr="00733C65">
              <w:rPr>
                <w:lang w:val="fr-FR"/>
              </w:rPr>
              <w:t>ECE/TRANS/WP.15/AC.1/2019/24 (Royaume-Uni)</w:t>
            </w:r>
          </w:p>
        </w:tc>
        <w:tc>
          <w:tcPr>
            <w:tcW w:w="5103" w:type="dxa"/>
          </w:tcPr>
          <w:p w:rsidR="00733C65" w:rsidRPr="00733C65" w:rsidRDefault="00733C65" w:rsidP="00733C65">
            <w:pPr>
              <w:spacing w:after="120"/>
            </w:pPr>
            <w:r w:rsidRPr="00733C65">
              <w:rPr>
                <w:lang w:val="fr-FR"/>
              </w:rPr>
              <w:t>Citernes : Clarification de la protection requise pour les raccords et accessoires montés sur la partie supérieure des citernes à déchets opérant sous vide</w:t>
            </w:r>
          </w:p>
        </w:tc>
      </w:tr>
      <w:tr w:rsidR="00733C65" w:rsidRPr="00733C65" w:rsidTr="00733C65">
        <w:tc>
          <w:tcPr>
            <w:tcW w:w="3402" w:type="dxa"/>
          </w:tcPr>
          <w:p w:rsidR="00733C65" w:rsidRPr="00733C65" w:rsidRDefault="00733C65" w:rsidP="00733C65">
            <w:pPr>
              <w:spacing w:after="120"/>
            </w:pPr>
            <w:r w:rsidRPr="00733C65">
              <w:rPr>
                <w:lang w:val="fr-FR"/>
              </w:rPr>
              <w:t>ECE/TRANS/WP.15/AC.1/2019/25 (Royaume-Uni)</w:t>
            </w:r>
          </w:p>
        </w:tc>
        <w:tc>
          <w:tcPr>
            <w:tcW w:w="5103" w:type="dxa"/>
          </w:tcPr>
          <w:p w:rsidR="00733C65" w:rsidRPr="00733C65" w:rsidRDefault="00733C65" w:rsidP="00733C65">
            <w:pPr>
              <w:spacing w:after="120"/>
            </w:pPr>
            <w:r w:rsidRPr="00733C65">
              <w:rPr>
                <w:lang w:val="fr-FR"/>
              </w:rPr>
              <w:t>Citernes : Interprétation des prescriptions relatives à la construction applicables aux fonds ouvrants des citernes à déchets opérant sous vide</w:t>
            </w:r>
          </w:p>
        </w:tc>
      </w:tr>
      <w:tr w:rsidR="00733C65" w:rsidRPr="00733C65" w:rsidTr="00733C65">
        <w:tc>
          <w:tcPr>
            <w:tcW w:w="3402" w:type="dxa"/>
          </w:tcPr>
          <w:p w:rsidR="00733C65" w:rsidRPr="00733C65" w:rsidRDefault="00733C65" w:rsidP="00733C65">
            <w:pPr>
              <w:spacing w:after="120"/>
            </w:pPr>
            <w:r w:rsidRPr="00733C65">
              <w:rPr>
                <w:lang w:val="fr-FR"/>
              </w:rPr>
              <w:t>ECE/TRANS/WP.15/AC.1/2019/26 (Royaume-Uni)</w:t>
            </w:r>
          </w:p>
        </w:tc>
        <w:tc>
          <w:tcPr>
            <w:tcW w:w="5103" w:type="dxa"/>
          </w:tcPr>
          <w:p w:rsidR="00733C65" w:rsidRPr="00733C65" w:rsidRDefault="00733C65" w:rsidP="00733C65">
            <w:pPr>
              <w:spacing w:after="120"/>
            </w:pPr>
            <w:r w:rsidRPr="00733C65">
              <w:rPr>
                <w:lang w:val="fr-FR"/>
              </w:rPr>
              <w:t xml:space="preserve">Citernes : Citernes à déchets opérant sous vide </w:t>
            </w:r>
            <w:r>
              <w:rPr>
                <w:lang w:val="fr-FR"/>
              </w:rPr>
              <w:t>−</w:t>
            </w:r>
            <w:r w:rsidRPr="00733C65">
              <w:rPr>
                <w:lang w:val="fr-FR"/>
              </w:rPr>
              <w:t xml:space="preserve"> détourner toute vapeur provenant de l’embouchure du dispositif pompe/exhausteur vers un endroit où elle ne pourra pas causer de danger </w:t>
            </w:r>
          </w:p>
        </w:tc>
      </w:tr>
      <w:tr w:rsidR="00733C65" w:rsidRPr="00733C65" w:rsidTr="00733C65">
        <w:tc>
          <w:tcPr>
            <w:tcW w:w="3402" w:type="dxa"/>
          </w:tcPr>
          <w:p w:rsidR="00733C65" w:rsidRPr="00733C65" w:rsidRDefault="00733C65" w:rsidP="00733C65">
            <w:pPr>
              <w:spacing w:after="120"/>
            </w:pPr>
            <w:r w:rsidRPr="00733C65">
              <w:rPr>
                <w:lang w:val="fr-FR"/>
              </w:rPr>
              <w:t>ECE/TRANS/WP.15/AC.1/2019/39 (Royaume-Uni)</w:t>
            </w:r>
          </w:p>
        </w:tc>
        <w:tc>
          <w:tcPr>
            <w:tcW w:w="5103" w:type="dxa"/>
          </w:tcPr>
          <w:p w:rsidR="00733C65" w:rsidRPr="00733C65" w:rsidRDefault="00733C65" w:rsidP="00733C65">
            <w:pPr>
              <w:spacing w:after="120"/>
            </w:pPr>
            <w:r w:rsidRPr="00733C65">
              <w:rPr>
                <w:lang w:val="fr-FR"/>
              </w:rPr>
              <w:t xml:space="preserve">Forme en coupe transversale des réservoirs conformément au paragraphe 6.8.2.1.18 de l’ADR </w:t>
            </w:r>
            <w:r>
              <w:rPr>
                <w:lang w:val="fr-FR"/>
              </w:rPr>
              <w:t>−</w:t>
            </w:r>
            <w:r w:rsidRPr="00733C65">
              <w:rPr>
                <w:lang w:val="fr-FR"/>
              </w:rPr>
              <w:t xml:space="preserve"> Lignes directrices pour l’application de l’ajout proposé à la note de bas de page 3 concernant le paragraphe 6.8.2.1.18</w:t>
            </w:r>
          </w:p>
        </w:tc>
      </w:tr>
      <w:tr w:rsidR="00733C65" w:rsidRPr="00733C65" w:rsidTr="00733C65">
        <w:tc>
          <w:tcPr>
            <w:tcW w:w="3402" w:type="dxa"/>
          </w:tcPr>
          <w:p w:rsidR="00733C65" w:rsidRPr="00733C65" w:rsidRDefault="00733C65" w:rsidP="00733C65">
            <w:pPr>
              <w:spacing w:after="120"/>
            </w:pPr>
            <w:r w:rsidRPr="00733C65">
              <w:rPr>
                <w:lang w:val="fr-FR"/>
              </w:rPr>
              <w:t>ECE/TRANS/WP.15/AC.1/2019/40 (Royaume-Uni)</w:t>
            </w:r>
          </w:p>
        </w:tc>
        <w:tc>
          <w:tcPr>
            <w:tcW w:w="5103" w:type="dxa"/>
          </w:tcPr>
          <w:p w:rsidR="00733C65" w:rsidRPr="00733C65" w:rsidRDefault="00733C65" w:rsidP="00733C65">
            <w:pPr>
              <w:spacing w:after="120"/>
            </w:pPr>
            <w:r w:rsidRPr="00733C65">
              <w:rPr>
                <w:lang w:val="fr-FR"/>
              </w:rPr>
              <w:t>Rapport du groupe de travail informel du contrôle et de l’agrément des citernes sur sa onzième session</w:t>
            </w:r>
          </w:p>
        </w:tc>
      </w:tr>
      <w:tr w:rsidR="00733C65" w:rsidRPr="00733C65" w:rsidTr="00733C65">
        <w:tc>
          <w:tcPr>
            <w:tcW w:w="3402" w:type="dxa"/>
          </w:tcPr>
          <w:p w:rsidR="00733C65" w:rsidRPr="00733C65" w:rsidRDefault="00733C65" w:rsidP="00733C65">
            <w:pPr>
              <w:spacing w:after="120"/>
            </w:pPr>
            <w:r w:rsidRPr="00733C65">
              <w:rPr>
                <w:lang w:val="fr-FR"/>
              </w:rPr>
              <w:t xml:space="preserve">ECE/TRANS/WP.15/AC.1/2019/49 </w:t>
            </w:r>
            <w:r>
              <w:rPr>
                <w:lang w:val="fr-FR"/>
              </w:rPr>
              <w:br/>
            </w:r>
            <w:r w:rsidRPr="00733C65">
              <w:rPr>
                <w:lang w:val="fr-FR"/>
              </w:rPr>
              <w:t>(Pays-Bas)</w:t>
            </w:r>
          </w:p>
        </w:tc>
        <w:tc>
          <w:tcPr>
            <w:tcW w:w="5103" w:type="dxa"/>
          </w:tcPr>
          <w:p w:rsidR="00733C65" w:rsidRPr="00733C65" w:rsidRDefault="00733C65" w:rsidP="00733C65">
            <w:pPr>
              <w:spacing w:after="120"/>
            </w:pPr>
            <w:r w:rsidRPr="00733C65">
              <w:rPr>
                <w:lang w:val="fr-FR"/>
              </w:rPr>
              <w:t>Éléments chauffants pour les citernes en matière plastique renforcée de fibres</w:t>
            </w:r>
          </w:p>
        </w:tc>
      </w:tr>
    </w:tbl>
    <w:p w:rsidR="00733C65" w:rsidRPr="00C06927" w:rsidRDefault="00733C65" w:rsidP="00733C65">
      <w:pPr>
        <w:pStyle w:val="HChG"/>
      </w:pPr>
      <w:r>
        <w:rPr>
          <w:lang w:val="fr-FR"/>
        </w:rPr>
        <w:tab/>
        <w:t>3.</w:t>
      </w:r>
      <w:r>
        <w:rPr>
          <w:lang w:val="fr-FR"/>
        </w:rPr>
        <w:tab/>
        <w:t>Normes</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C06927" w:rsidTr="00733C65">
        <w:tc>
          <w:tcPr>
            <w:tcW w:w="3402" w:type="dxa"/>
          </w:tcPr>
          <w:p w:rsidR="00733C65" w:rsidRPr="00E008D9" w:rsidRDefault="00733C65" w:rsidP="00733C65">
            <w:pPr>
              <w:spacing w:after="120"/>
            </w:pPr>
            <w:r>
              <w:rPr>
                <w:lang w:val="fr-FR"/>
              </w:rPr>
              <w:t>ECE/TRANS/WP.15/AC.1/2019/35 (Finlande)</w:t>
            </w:r>
          </w:p>
        </w:tc>
        <w:tc>
          <w:tcPr>
            <w:tcW w:w="5103" w:type="dxa"/>
          </w:tcPr>
          <w:p w:rsidR="00733C65" w:rsidRPr="00C06927" w:rsidRDefault="00733C65" w:rsidP="00733C65">
            <w:pPr>
              <w:spacing w:after="120"/>
            </w:pPr>
            <w:r>
              <w:rPr>
                <w:lang w:val="fr-FR"/>
              </w:rPr>
              <w:t xml:space="preserve">Version (année) des normes EN ISO/IEC 17025 </w:t>
            </w:r>
            <w:r>
              <w:rPr>
                <w:lang w:val="fr-FR"/>
              </w:rPr>
              <w:br/>
              <w:t>et EN ISO/IEC 17020</w:t>
            </w:r>
          </w:p>
        </w:tc>
      </w:tr>
      <w:tr w:rsidR="00733C65" w:rsidRPr="00C06927" w:rsidTr="00733C65">
        <w:tc>
          <w:tcPr>
            <w:tcW w:w="3402" w:type="dxa"/>
          </w:tcPr>
          <w:p w:rsidR="00733C65" w:rsidRPr="00E008D9" w:rsidRDefault="00733C65" w:rsidP="00733C65">
            <w:pPr>
              <w:spacing w:after="120"/>
            </w:pPr>
            <w:r>
              <w:rPr>
                <w:lang w:val="fr-FR"/>
              </w:rPr>
              <w:t>ECE/TRANS/WP.15/AC.1/2019/36 (Finlande)</w:t>
            </w:r>
          </w:p>
        </w:tc>
        <w:tc>
          <w:tcPr>
            <w:tcW w:w="5103" w:type="dxa"/>
          </w:tcPr>
          <w:p w:rsidR="00733C65" w:rsidRPr="00C06927" w:rsidRDefault="00733C65" w:rsidP="00733C65">
            <w:pPr>
              <w:spacing w:after="120"/>
            </w:pPr>
            <w:r>
              <w:rPr>
                <w:lang w:val="fr-FR"/>
              </w:rPr>
              <w:t xml:space="preserve">Paragraphe 8.1.3 des normes EN ISO/IEC 17020 </w:t>
            </w:r>
            <w:r>
              <w:rPr>
                <w:lang w:val="fr-FR"/>
              </w:rPr>
              <w:br/>
              <w:t>et EN ISO/IEC 17025</w:t>
            </w:r>
          </w:p>
        </w:tc>
      </w:tr>
      <w:tr w:rsidR="00733C65" w:rsidRPr="00C06927" w:rsidTr="00733C65">
        <w:tc>
          <w:tcPr>
            <w:tcW w:w="3402" w:type="dxa"/>
          </w:tcPr>
          <w:p w:rsidR="00733C65" w:rsidRPr="000F612B" w:rsidRDefault="00733C65" w:rsidP="00733C65">
            <w:pPr>
              <w:spacing w:after="120"/>
              <w:rPr>
                <w:lang w:val="en-US"/>
              </w:rPr>
            </w:pPr>
            <w:r w:rsidRPr="000F612B">
              <w:rPr>
                <w:lang w:val="en-US"/>
              </w:rPr>
              <w:t>ECE/TRANS/WP.15/AC.1/2019/46 (CEN)</w:t>
            </w:r>
          </w:p>
        </w:tc>
        <w:tc>
          <w:tcPr>
            <w:tcW w:w="5103" w:type="dxa"/>
          </w:tcPr>
          <w:p w:rsidR="00733C65" w:rsidRPr="00C06927" w:rsidRDefault="00733C65" w:rsidP="00733C65">
            <w:pPr>
              <w:spacing w:after="120"/>
            </w:pPr>
            <w:r>
              <w:rPr>
                <w:lang w:val="fr-FR"/>
              </w:rPr>
              <w:t>Information sur les travaux en cours au CEN</w:t>
            </w:r>
          </w:p>
        </w:tc>
      </w:tr>
    </w:tbl>
    <w:p w:rsidR="00733C65" w:rsidRPr="00C06927" w:rsidRDefault="00733C65" w:rsidP="00733C65">
      <w:pPr>
        <w:pStyle w:val="HChG"/>
      </w:pPr>
      <w:r>
        <w:rPr>
          <w:lang w:val="fr-FR"/>
        </w:rPr>
        <w:tab/>
        <w:t>4.</w:t>
      </w:r>
      <w:r>
        <w:rPr>
          <w:lang w:val="fr-FR"/>
        </w:rPr>
        <w:tab/>
        <w:t xml:space="preserve">Harmonisation avec les Recommandations relatives </w:t>
      </w:r>
      <w:r>
        <w:rPr>
          <w:lang w:val="fr-FR"/>
        </w:rPr>
        <w:br/>
        <w:t xml:space="preserve">au transport des marchandises dangereuses </w:t>
      </w:r>
      <w:r>
        <w:rPr>
          <w:lang w:val="fr-FR"/>
        </w:rPr>
        <w:br/>
        <w:t>de l’Organisation des Nations Unies</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733C65" w:rsidTr="00733C65">
        <w:tc>
          <w:tcPr>
            <w:tcW w:w="3402" w:type="dxa"/>
          </w:tcPr>
          <w:p w:rsidR="00733C65" w:rsidRPr="00733C65" w:rsidRDefault="00733C65" w:rsidP="00733C65">
            <w:pPr>
              <w:spacing w:after="120"/>
            </w:pPr>
            <w:r w:rsidRPr="00733C65">
              <w:rPr>
                <w:lang w:val="fr-FR"/>
              </w:rPr>
              <w:t xml:space="preserve">ECE/TRANS/WP.15/AC.1/2019/22 </w:t>
            </w:r>
            <w:r>
              <w:rPr>
                <w:lang w:val="fr-FR"/>
              </w:rPr>
              <w:br/>
            </w:r>
            <w:r w:rsidRPr="00733C65">
              <w:rPr>
                <w:lang w:val="fr-FR"/>
              </w:rPr>
              <w:t>et -/Add.1 (secrétariat)</w:t>
            </w:r>
          </w:p>
        </w:tc>
        <w:tc>
          <w:tcPr>
            <w:tcW w:w="5103" w:type="dxa"/>
          </w:tcPr>
          <w:p w:rsidR="00733C65" w:rsidRPr="00733C65" w:rsidRDefault="00733C65" w:rsidP="00733C65">
            <w:pPr>
              <w:spacing w:after="120"/>
            </w:pPr>
            <w:r w:rsidRPr="00733C65">
              <w:rPr>
                <w:lang w:val="fr-FR"/>
              </w:rPr>
              <w:t>Rapport du Groupe de travail spécial de l’harmonisation des Règlements RID/ADR/ADN avec les Recommandations de l’ONU relatives au transport des marchandises dangereuses</w:t>
            </w:r>
          </w:p>
        </w:tc>
      </w:tr>
      <w:tr w:rsidR="00733C65" w:rsidRPr="00733C65" w:rsidTr="00733C65">
        <w:tc>
          <w:tcPr>
            <w:tcW w:w="3402" w:type="dxa"/>
          </w:tcPr>
          <w:p w:rsidR="00733C65" w:rsidRPr="00733C65" w:rsidRDefault="00733C65" w:rsidP="00733C65">
            <w:pPr>
              <w:spacing w:after="120"/>
            </w:pPr>
            <w:r w:rsidRPr="00733C65">
              <w:rPr>
                <w:lang w:val="fr-FR"/>
              </w:rPr>
              <w:t>ECE/TRANS/WP.15/AC.1/2019/28 (Allemagne)</w:t>
            </w:r>
          </w:p>
        </w:tc>
        <w:tc>
          <w:tcPr>
            <w:tcW w:w="5103" w:type="dxa"/>
          </w:tcPr>
          <w:p w:rsidR="00733C65" w:rsidRPr="00733C65" w:rsidRDefault="00733C65" w:rsidP="00733C65">
            <w:pPr>
              <w:spacing w:after="120"/>
            </w:pPr>
            <w:r w:rsidRPr="00733C65">
              <w:rPr>
                <w:lang w:val="fr-FR"/>
              </w:rPr>
              <w:t xml:space="preserve">Chapitre 3.3 </w:t>
            </w:r>
            <w:r>
              <w:rPr>
                <w:lang w:val="fr-FR"/>
              </w:rPr>
              <w:t>−</w:t>
            </w:r>
            <w:r w:rsidRPr="00733C65">
              <w:rPr>
                <w:lang w:val="fr-FR"/>
              </w:rPr>
              <w:t xml:space="preserve"> Nouvelles dispositions spéciales 393 et 394</w:t>
            </w:r>
            <w:r w:rsidR="00BC3706">
              <w:rPr>
                <w:lang w:val="fr-FR"/>
              </w:rPr>
              <w:t> </w:t>
            </w:r>
            <w:r w:rsidRPr="00733C65">
              <w:rPr>
                <w:lang w:val="fr-FR"/>
              </w:rPr>
              <w:t>: stabilité chimique de la nitrocellulose</w:t>
            </w:r>
          </w:p>
        </w:tc>
      </w:tr>
      <w:tr w:rsidR="00733C65" w:rsidRPr="00733C65" w:rsidTr="00733C65">
        <w:tc>
          <w:tcPr>
            <w:tcW w:w="3402" w:type="dxa"/>
          </w:tcPr>
          <w:p w:rsidR="00733C65" w:rsidRPr="00733C65" w:rsidRDefault="00733C65" w:rsidP="00733C65">
            <w:pPr>
              <w:spacing w:after="120"/>
              <w:rPr>
                <w:lang w:val="en-US"/>
              </w:rPr>
            </w:pPr>
            <w:r w:rsidRPr="00733C65">
              <w:rPr>
                <w:lang w:val="en-US"/>
              </w:rPr>
              <w:t>ECE/TRANS/WP.15/AC.1/2019/31 (OTIF)</w:t>
            </w:r>
          </w:p>
        </w:tc>
        <w:tc>
          <w:tcPr>
            <w:tcW w:w="5103" w:type="dxa"/>
          </w:tcPr>
          <w:p w:rsidR="00733C65" w:rsidRPr="00733C65" w:rsidRDefault="00733C65" w:rsidP="00733C65">
            <w:pPr>
              <w:spacing w:after="120"/>
            </w:pPr>
            <w:r w:rsidRPr="00733C65">
              <w:rPr>
                <w:lang w:val="fr-FR"/>
              </w:rPr>
              <w:t>Utilisation du terme «</w:t>
            </w:r>
            <w:r>
              <w:rPr>
                <w:lang w:val="fr-FR"/>
              </w:rPr>
              <w:t> </w:t>
            </w:r>
            <w:r w:rsidRPr="00733C65">
              <w:rPr>
                <w:lang w:val="fr-FR"/>
              </w:rPr>
              <w:t>moyen de transport</w:t>
            </w:r>
            <w:r>
              <w:rPr>
                <w:lang w:val="fr-FR"/>
              </w:rPr>
              <w:t> </w:t>
            </w:r>
            <w:r w:rsidRPr="00733C65">
              <w:rPr>
                <w:lang w:val="fr-FR"/>
              </w:rPr>
              <w:t>»</w:t>
            </w:r>
          </w:p>
        </w:tc>
      </w:tr>
    </w:tbl>
    <w:p w:rsidR="00733C65" w:rsidRPr="00C06927" w:rsidRDefault="00733C65" w:rsidP="00733C65">
      <w:pPr>
        <w:pStyle w:val="HChG"/>
      </w:pPr>
      <w:r>
        <w:rPr>
          <w:lang w:val="fr-FR"/>
        </w:rPr>
        <w:lastRenderedPageBreak/>
        <w:tab/>
        <w:t>5.</w:t>
      </w:r>
      <w:r>
        <w:rPr>
          <w:lang w:val="fr-FR"/>
        </w:rPr>
        <w:tab/>
        <w:t>Propositions diverses d’amendements au RID/ADR/ADN</w:t>
      </w:r>
    </w:p>
    <w:p w:rsidR="00733C65" w:rsidRPr="00C06927" w:rsidRDefault="00733C65" w:rsidP="00733C65">
      <w:pPr>
        <w:pStyle w:val="H1G"/>
      </w:pPr>
      <w:r>
        <w:rPr>
          <w:lang w:val="fr-FR"/>
        </w:rPr>
        <w:tab/>
        <w:t>a)</w:t>
      </w:r>
      <w:r>
        <w:rPr>
          <w:lang w:val="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ECE/TRANS/WP.15/AC.1/2019/23 (Ukraine)</w:t>
            </w:r>
          </w:p>
        </w:tc>
        <w:tc>
          <w:tcPr>
            <w:tcW w:w="5103" w:type="dxa"/>
          </w:tcPr>
          <w:p w:rsidR="00733C65" w:rsidRPr="00733C65" w:rsidRDefault="00733C65" w:rsidP="00733C65">
            <w:pPr>
              <w:spacing w:after="120"/>
            </w:pPr>
            <w:r w:rsidRPr="00733C65">
              <w:rPr>
                <w:lang w:val="fr-FR"/>
              </w:rPr>
              <w:t>Proposition d’amendement au 5.4.1.1.1</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ECE/TRANS/WP.15/AC.1/2019/38 (Suède/Suisse)</w:t>
            </w:r>
          </w:p>
        </w:tc>
        <w:tc>
          <w:tcPr>
            <w:tcW w:w="5103" w:type="dxa"/>
          </w:tcPr>
          <w:p w:rsidR="00733C65" w:rsidRPr="00733C65" w:rsidRDefault="00733C65" w:rsidP="00733C65">
            <w:pPr>
              <w:spacing w:after="120"/>
              <w:rPr>
                <w:w w:val="105"/>
              </w:rPr>
            </w:pPr>
            <w:r w:rsidRPr="00733C65">
              <w:rPr>
                <w:lang w:val="fr-FR"/>
              </w:rPr>
              <w:t>Marquage des wagons et conteneurs chargés de marchandises en quantités limitées</w:t>
            </w:r>
          </w:p>
        </w:tc>
      </w:tr>
    </w:tbl>
    <w:p w:rsidR="00733C65" w:rsidRPr="00C06927" w:rsidRDefault="00733C65" w:rsidP="00733C65">
      <w:pPr>
        <w:pStyle w:val="H1G"/>
      </w:pPr>
      <w:r>
        <w:rPr>
          <w:lang w:val="fr-FR"/>
        </w:rPr>
        <w:tab/>
        <w:t>b)</w:t>
      </w:r>
      <w:r>
        <w:rPr>
          <w:lang w:val="fr-FR"/>
        </w:rPr>
        <w:tab/>
        <w:t>Nouvelles propositions</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ECE/TRANS/WP.15/AC.1/2019/27 (Portugal)</w:t>
            </w:r>
          </w:p>
        </w:tc>
        <w:tc>
          <w:tcPr>
            <w:tcW w:w="5103" w:type="dxa"/>
          </w:tcPr>
          <w:p w:rsidR="00733C65" w:rsidRPr="00733C65" w:rsidRDefault="00733C65" w:rsidP="00733C65">
            <w:pPr>
              <w:spacing w:after="120"/>
            </w:pPr>
            <w:r w:rsidRPr="00733C65">
              <w:rPr>
                <w:lang w:val="fr-FR"/>
              </w:rPr>
              <w:t>Proposition d’amendement au chapitre 1.2 du RID/ADR</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ECE/TRANS/WP.15/AC.1/2019/29 (France)</w:t>
            </w:r>
          </w:p>
        </w:tc>
        <w:tc>
          <w:tcPr>
            <w:tcW w:w="5103" w:type="dxa"/>
          </w:tcPr>
          <w:p w:rsidR="00733C65" w:rsidRPr="00733C65" w:rsidRDefault="00733C65" w:rsidP="00733C65">
            <w:pPr>
              <w:spacing w:after="120"/>
            </w:pPr>
            <w:r w:rsidRPr="00733C65">
              <w:rPr>
                <w:lang w:val="fr-FR"/>
              </w:rPr>
              <w:t xml:space="preserve">Évaluation séparée des robinets et autres accessoires démontables ayant une fonction directe de sécurité </w:t>
            </w:r>
            <w:r>
              <w:rPr>
                <w:lang w:val="fr-FR"/>
              </w:rPr>
              <w:br/>
            </w:r>
            <w:r w:rsidRPr="00733C65">
              <w:rPr>
                <w:lang w:val="fr-FR"/>
              </w:rPr>
              <w:t>sur les récipients à pression «</w:t>
            </w:r>
            <w:r>
              <w:rPr>
                <w:lang w:val="fr-FR"/>
              </w:rPr>
              <w:t> </w:t>
            </w:r>
            <w:r w:rsidRPr="00733C65">
              <w:rPr>
                <w:lang w:val="fr-FR"/>
              </w:rPr>
              <w:t>UN</w:t>
            </w:r>
            <w:r>
              <w:rPr>
                <w:lang w:val="fr-FR"/>
              </w:rPr>
              <w:t> </w:t>
            </w:r>
            <w:r w:rsidRPr="00733C65">
              <w:rPr>
                <w:lang w:val="fr-FR"/>
              </w:rPr>
              <w:t xml:space="preserve">» </w:t>
            </w:r>
          </w:p>
        </w:tc>
      </w:tr>
      <w:tr w:rsidR="00733C65" w:rsidRPr="00733C65" w:rsidTr="00733C65">
        <w:trPr>
          <w:cantSplit/>
        </w:trPr>
        <w:tc>
          <w:tcPr>
            <w:tcW w:w="3402" w:type="dxa"/>
          </w:tcPr>
          <w:p w:rsidR="00733C65" w:rsidRPr="00733C65" w:rsidRDefault="00733C65" w:rsidP="00733C65">
            <w:pPr>
              <w:spacing w:after="120"/>
              <w:rPr>
                <w:lang w:val="en-US"/>
              </w:rPr>
            </w:pPr>
            <w:r w:rsidRPr="00733C65">
              <w:rPr>
                <w:lang w:val="en-US"/>
              </w:rPr>
              <w:t>ECE/TRANS/WP.15/AC.1/2019/30 (ITCO)</w:t>
            </w:r>
          </w:p>
        </w:tc>
        <w:tc>
          <w:tcPr>
            <w:tcW w:w="5103" w:type="dxa"/>
          </w:tcPr>
          <w:p w:rsidR="00733C65" w:rsidRPr="00733C65" w:rsidRDefault="00733C65" w:rsidP="00733C65">
            <w:pPr>
              <w:spacing w:after="120"/>
            </w:pPr>
            <w:r w:rsidRPr="00733C65">
              <w:rPr>
                <w:lang w:val="fr-FR"/>
              </w:rPr>
              <w:t>Modification de la section 1.2.1 (Définitions)</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ECE/TRANS/WP.15/AC.1/2019/32 (Espagne)</w:t>
            </w:r>
          </w:p>
        </w:tc>
        <w:tc>
          <w:tcPr>
            <w:tcW w:w="5103" w:type="dxa"/>
          </w:tcPr>
          <w:p w:rsidR="00733C65" w:rsidRPr="00733C65" w:rsidRDefault="00733C65" w:rsidP="00733C65">
            <w:pPr>
              <w:spacing w:after="120"/>
            </w:pPr>
            <w:r w:rsidRPr="00733C65">
              <w:rPr>
                <w:lang w:val="fr-FR"/>
              </w:rPr>
              <w:t xml:space="preserve">Différences entre les noms et descriptions correspondant </w:t>
            </w:r>
            <w:r>
              <w:rPr>
                <w:lang w:val="fr-FR"/>
              </w:rPr>
              <w:br/>
            </w:r>
            <w:r w:rsidRPr="00733C65">
              <w:rPr>
                <w:lang w:val="fr-FR"/>
              </w:rPr>
              <w:t xml:space="preserve">aux numéros ONU énumérés dans le Règlement type </w:t>
            </w:r>
            <w:r>
              <w:rPr>
                <w:lang w:val="fr-FR"/>
              </w:rPr>
              <w:br/>
            </w:r>
            <w:r w:rsidRPr="00733C65">
              <w:rPr>
                <w:lang w:val="fr-FR"/>
              </w:rPr>
              <w:t>et le RID/l’ADR</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ECE/TRANS/WP.15/AC.1/2019/33 (Espagne)</w:t>
            </w:r>
          </w:p>
        </w:tc>
        <w:tc>
          <w:tcPr>
            <w:tcW w:w="5103" w:type="dxa"/>
          </w:tcPr>
          <w:p w:rsidR="00733C65" w:rsidRPr="00733C65" w:rsidRDefault="00733C65" w:rsidP="00733C65">
            <w:pPr>
              <w:spacing w:after="120"/>
            </w:pPr>
            <w:r w:rsidRPr="00733C65">
              <w:rPr>
                <w:lang w:val="fr-FR"/>
              </w:rPr>
              <w:t>Harmonisation de la disposition spéciale 593 avec le 5.5.3</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ECE/TRANS/WP.15/AC.1/2019/42 (Italie)</w:t>
            </w:r>
          </w:p>
        </w:tc>
        <w:tc>
          <w:tcPr>
            <w:tcW w:w="5103" w:type="dxa"/>
          </w:tcPr>
          <w:p w:rsidR="00733C65" w:rsidRPr="00733C65" w:rsidRDefault="00733C65" w:rsidP="00733C65">
            <w:pPr>
              <w:spacing w:after="120"/>
            </w:pPr>
            <w:r w:rsidRPr="00733C65">
              <w:rPr>
                <w:lang w:val="fr-FR"/>
              </w:rPr>
              <w:t>N</w:t>
            </w:r>
            <w:r w:rsidRPr="00733C65">
              <w:rPr>
                <w:vertAlign w:val="superscript"/>
                <w:lang w:val="fr-FR"/>
              </w:rPr>
              <w:t>o</w:t>
            </w:r>
            <w:r>
              <w:rPr>
                <w:lang w:val="fr-FR"/>
              </w:rPr>
              <w:t> </w:t>
            </w:r>
            <w:r w:rsidRPr="00733C65">
              <w:rPr>
                <w:lang w:val="fr-FR"/>
              </w:rPr>
              <w:t>ONU 3082 Matière dangereuse du point de vue de l’environnement, liquide, n.s.a.</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ECE/TRANS/WP.15/AC.1/2019/43 (Italie)</w:t>
            </w:r>
          </w:p>
        </w:tc>
        <w:tc>
          <w:tcPr>
            <w:tcW w:w="5103" w:type="dxa"/>
          </w:tcPr>
          <w:p w:rsidR="00733C65" w:rsidRPr="00733C65" w:rsidRDefault="00733C65" w:rsidP="00733C65">
            <w:pPr>
              <w:spacing w:after="120"/>
            </w:pPr>
            <w:r w:rsidRPr="00733C65">
              <w:rPr>
                <w:lang w:val="fr-FR"/>
              </w:rPr>
              <w:t>Transports dans une chaîne de transport comportant un parcours maritime</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ECE/TRANS/WP.15/AC.1/2019/45 (Suisse)</w:t>
            </w:r>
          </w:p>
        </w:tc>
        <w:tc>
          <w:tcPr>
            <w:tcW w:w="5103" w:type="dxa"/>
          </w:tcPr>
          <w:p w:rsidR="00733C65" w:rsidRPr="00733C65" w:rsidRDefault="00733C65" w:rsidP="00733C65">
            <w:pPr>
              <w:spacing w:after="120"/>
            </w:pPr>
            <w:r w:rsidRPr="00733C65">
              <w:rPr>
                <w:lang w:val="fr-FR"/>
              </w:rPr>
              <w:t>Dispositions du 5.5.3 applicables au transport de neige carbonique (N</w:t>
            </w:r>
            <w:r w:rsidRPr="00733C65">
              <w:rPr>
                <w:vertAlign w:val="superscript"/>
                <w:lang w:val="fr-FR"/>
              </w:rPr>
              <w:t>o</w:t>
            </w:r>
            <w:r>
              <w:rPr>
                <w:lang w:val="fr-FR"/>
              </w:rPr>
              <w:t> </w:t>
            </w:r>
            <w:r w:rsidRPr="00733C65">
              <w:rPr>
                <w:lang w:val="fr-FR"/>
              </w:rPr>
              <w:t>ONU 1845) en tant qu’envoi</w:t>
            </w:r>
          </w:p>
        </w:tc>
      </w:tr>
      <w:tr w:rsidR="00733C65" w:rsidRPr="00733C65" w:rsidTr="00733C65">
        <w:trPr>
          <w:cantSplit/>
        </w:trPr>
        <w:tc>
          <w:tcPr>
            <w:tcW w:w="3402" w:type="dxa"/>
          </w:tcPr>
          <w:p w:rsidR="00733C65" w:rsidRPr="00733C65" w:rsidRDefault="00733C65" w:rsidP="00733C65">
            <w:pPr>
              <w:spacing w:after="120"/>
            </w:pPr>
            <w:r w:rsidRPr="00733C65">
              <w:rPr>
                <w:lang w:val="fr-FR"/>
              </w:rPr>
              <w:t>ECE/TRANS/WP.15/AC.1/2019/47 (Suisse)</w:t>
            </w:r>
          </w:p>
        </w:tc>
        <w:tc>
          <w:tcPr>
            <w:tcW w:w="5103" w:type="dxa"/>
          </w:tcPr>
          <w:p w:rsidR="00733C65" w:rsidRPr="00733C65" w:rsidRDefault="00733C65" w:rsidP="00733C65">
            <w:pPr>
              <w:spacing w:after="120"/>
            </w:pPr>
            <w:r w:rsidRPr="00733C65">
              <w:rPr>
                <w:lang w:val="fr-FR"/>
              </w:rPr>
              <w:t>Classification des matières de la classe 9 autres que les matières dangereuses pour l’environnement</w:t>
            </w:r>
          </w:p>
        </w:tc>
      </w:tr>
      <w:tr w:rsidR="00733C65" w:rsidRPr="00733C65" w:rsidTr="00733C65">
        <w:trPr>
          <w:cantSplit/>
        </w:trPr>
        <w:tc>
          <w:tcPr>
            <w:tcW w:w="3402" w:type="dxa"/>
          </w:tcPr>
          <w:p w:rsidR="00733C65" w:rsidRPr="00733C65" w:rsidRDefault="00733C65" w:rsidP="00733C65">
            <w:pPr>
              <w:spacing w:after="120"/>
              <w:rPr>
                <w:lang w:val="en-US"/>
              </w:rPr>
            </w:pPr>
            <w:r w:rsidRPr="00733C65">
              <w:rPr>
                <w:lang w:val="en-US"/>
              </w:rPr>
              <w:t>ECE/TRANS/WP.15/AC.1/2019/48 (UIC)</w:t>
            </w:r>
          </w:p>
        </w:tc>
        <w:tc>
          <w:tcPr>
            <w:tcW w:w="5103" w:type="dxa"/>
          </w:tcPr>
          <w:p w:rsidR="00733C65" w:rsidRPr="00733C65" w:rsidRDefault="00733C65" w:rsidP="00733C65">
            <w:pPr>
              <w:spacing w:after="120"/>
            </w:pPr>
            <w:r w:rsidRPr="00733C65">
              <w:rPr>
                <w:lang w:val="fr-FR"/>
              </w:rPr>
              <w:t>Mise à jour des références à la documentation technique de l’UIC en ce qui concerne le transport combiné</w:t>
            </w:r>
          </w:p>
        </w:tc>
      </w:tr>
    </w:tbl>
    <w:p w:rsidR="00733C65" w:rsidRPr="00C06927" w:rsidRDefault="00733C65" w:rsidP="00733C65">
      <w:pPr>
        <w:pStyle w:val="HChG"/>
      </w:pPr>
      <w:r>
        <w:rPr>
          <w:lang w:val="fr-FR"/>
        </w:rPr>
        <w:tab/>
        <w:t>6.</w:t>
      </w:r>
      <w:r>
        <w:rPr>
          <w:lang w:val="fr-FR"/>
        </w:rPr>
        <w:tab/>
        <w:t>Interprétation du RID/ADR/ADN</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C06927" w:rsidTr="00733C65">
        <w:trPr>
          <w:cantSplit/>
        </w:trPr>
        <w:tc>
          <w:tcPr>
            <w:tcW w:w="3402" w:type="dxa"/>
          </w:tcPr>
          <w:p w:rsidR="00733C65" w:rsidRPr="00C06927" w:rsidRDefault="00733C65" w:rsidP="00733C65">
            <w:pPr>
              <w:spacing w:after="120"/>
            </w:pPr>
            <w:r>
              <w:rPr>
                <w:lang w:val="fr-FR"/>
              </w:rPr>
              <w:t>ECE/TRANS/WP.15/AC.1/2019/41 (Italie)</w:t>
            </w:r>
          </w:p>
        </w:tc>
        <w:tc>
          <w:tcPr>
            <w:tcW w:w="5103" w:type="dxa"/>
          </w:tcPr>
          <w:p w:rsidR="00733C65" w:rsidRPr="00C06927" w:rsidRDefault="00733C65" w:rsidP="00733C65">
            <w:pPr>
              <w:spacing w:after="120"/>
            </w:pPr>
            <w:r>
              <w:rPr>
                <w:lang w:val="fr-FR"/>
              </w:rPr>
              <w:t>Liquides de référence</w:t>
            </w:r>
          </w:p>
        </w:tc>
      </w:tr>
    </w:tbl>
    <w:p w:rsidR="00733C65" w:rsidRPr="00C06927" w:rsidRDefault="00733C65" w:rsidP="00733C65">
      <w:pPr>
        <w:pStyle w:val="HChG"/>
      </w:pPr>
      <w:r>
        <w:rPr>
          <w:lang w:val="fr-FR"/>
        </w:rPr>
        <w:tab/>
        <w:t>7.</w:t>
      </w:r>
      <w:r>
        <w:rPr>
          <w:lang w:val="fr-FR"/>
        </w:rPr>
        <w:tab/>
        <w:t>Rapports des groupes de travail informels</w:t>
      </w:r>
    </w:p>
    <w:tbl>
      <w:tblPr>
        <w:tblW w:w="8505" w:type="dxa"/>
        <w:tblInd w:w="1134" w:type="dxa"/>
        <w:tblLayout w:type="fixed"/>
        <w:tblCellMar>
          <w:left w:w="0" w:type="dxa"/>
          <w:right w:w="0" w:type="dxa"/>
        </w:tblCellMar>
        <w:tblLook w:val="01E0" w:firstRow="1" w:lastRow="1" w:firstColumn="1" w:lastColumn="1" w:noHBand="0" w:noVBand="0"/>
      </w:tblPr>
      <w:tblGrid>
        <w:gridCol w:w="3402"/>
        <w:gridCol w:w="5103"/>
      </w:tblGrid>
      <w:tr w:rsidR="00733C65" w:rsidRPr="00733C65" w:rsidTr="00733C65">
        <w:trPr>
          <w:cantSplit/>
        </w:trPr>
        <w:tc>
          <w:tcPr>
            <w:tcW w:w="3402" w:type="dxa"/>
          </w:tcPr>
          <w:p w:rsidR="00733C65" w:rsidRPr="00733C65" w:rsidRDefault="00733C65" w:rsidP="00733C65">
            <w:pPr>
              <w:spacing w:after="120"/>
              <w:rPr>
                <w:lang w:val="en-US"/>
              </w:rPr>
            </w:pPr>
            <w:r w:rsidRPr="00733C65">
              <w:rPr>
                <w:lang w:val="en-US"/>
              </w:rPr>
              <w:t>ECE/TRANS/WP.15/AC.1/2019/34 (FEAD)</w:t>
            </w:r>
          </w:p>
        </w:tc>
        <w:tc>
          <w:tcPr>
            <w:tcW w:w="5103" w:type="dxa"/>
          </w:tcPr>
          <w:p w:rsidR="00733C65" w:rsidRPr="00733C65" w:rsidRDefault="00733C65" w:rsidP="00733C65">
            <w:pPr>
              <w:spacing w:after="120"/>
            </w:pPr>
            <w:r w:rsidRPr="00733C65">
              <w:rPr>
                <w:lang w:val="fr-FR"/>
              </w:rPr>
              <w:t>Groupe de travail informel des transports de déchets dangereux</w:t>
            </w:r>
            <w:r w:rsidR="00B92311">
              <w:rPr>
                <w:lang w:val="fr-FR"/>
              </w:rPr>
              <w:t> </w:t>
            </w:r>
            <w:r w:rsidRPr="00733C65">
              <w:rPr>
                <w:lang w:val="fr-FR"/>
              </w:rPr>
              <w:t>: réunion tenue à Bruxelles (2 et 3</w:t>
            </w:r>
            <w:r>
              <w:rPr>
                <w:lang w:val="fr-FR"/>
              </w:rPr>
              <w:t> </w:t>
            </w:r>
            <w:r w:rsidRPr="00733C65">
              <w:rPr>
                <w:lang w:val="fr-FR"/>
              </w:rPr>
              <w:t>avril 2019)</w:t>
            </w:r>
          </w:p>
        </w:tc>
      </w:tr>
      <w:tr w:rsidR="00733C65" w:rsidRPr="00733C65" w:rsidTr="00733C65">
        <w:trPr>
          <w:cantSplit/>
        </w:trPr>
        <w:tc>
          <w:tcPr>
            <w:tcW w:w="3402" w:type="dxa"/>
          </w:tcPr>
          <w:p w:rsidR="00733C65" w:rsidRPr="00733C65" w:rsidRDefault="00733C65" w:rsidP="00733C65">
            <w:pPr>
              <w:spacing w:after="120"/>
              <w:rPr>
                <w:lang w:val="en-US"/>
              </w:rPr>
            </w:pPr>
            <w:r w:rsidRPr="00733C65">
              <w:rPr>
                <w:lang w:val="en-US"/>
              </w:rPr>
              <w:t>ECE/TRANS/WP.15/AC.1/2019/37 (EIGA)</w:t>
            </w:r>
          </w:p>
        </w:tc>
        <w:tc>
          <w:tcPr>
            <w:tcW w:w="5103" w:type="dxa"/>
          </w:tcPr>
          <w:p w:rsidR="00733C65" w:rsidRPr="00733C65" w:rsidRDefault="00733C65" w:rsidP="00733C65">
            <w:pPr>
              <w:spacing w:after="120"/>
            </w:pPr>
            <w:r w:rsidRPr="00733C65">
              <w:rPr>
                <w:lang w:val="fr-FR"/>
              </w:rPr>
              <w:t>Transport de récipients à pression agréés par le Département des transports des États-Unis d’Amérique (DoT)</w:t>
            </w:r>
          </w:p>
        </w:tc>
      </w:tr>
      <w:tr w:rsidR="00733C65" w:rsidRPr="00733C65" w:rsidTr="00733C65">
        <w:trPr>
          <w:cantSplit/>
        </w:trPr>
        <w:tc>
          <w:tcPr>
            <w:tcW w:w="3402" w:type="dxa"/>
          </w:tcPr>
          <w:p w:rsidR="00733C65" w:rsidRPr="00733C65" w:rsidRDefault="00733C65" w:rsidP="00733C65">
            <w:pPr>
              <w:spacing w:after="120"/>
            </w:pPr>
            <w:r w:rsidRPr="00733C65">
              <w:rPr>
                <w:lang w:val="fr-FR"/>
              </w:rPr>
              <w:lastRenderedPageBreak/>
              <w:t>ECE/TRANS/WP.15/AC.1/2019/44 (Allemagne)</w:t>
            </w:r>
          </w:p>
        </w:tc>
        <w:tc>
          <w:tcPr>
            <w:tcW w:w="5103" w:type="dxa"/>
          </w:tcPr>
          <w:p w:rsidR="00733C65" w:rsidRPr="00733C65" w:rsidRDefault="00733C65" w:rsidP="00733C65">
            <w:pPr>
              <w:spacing w:after="120"/>
            </w:pPr>
            <w:r w:rsidRPr="00733C65">
              <w:rPr>
                <w:lang w:val="fr-FR"/>
              </w:rPr>
              <w:t>Groupe de travail informel de la télématique</w:t>
            </w:r>
            <w:r>
              <w:rPr>
                <w:lang w:val="fr-FR"/>
              </w:rPr>
              <w:t> </w:t>
            </w:r>
            <w:r w:rsidRPr="00733C65">
              <w:rPr>
                <w:lang w:val="fr-FR"/>
              </w:rPr>
              <w:t>: Lignes directrices pour l’application du paragraphe</w:t>
            </w:r>
            <w:r>
              <w:rPr>
                <w:lang w:val="fr-FR"/>
              </w:rPr>
              <w:t> </w:t>
            </w:r>
            <w:r w:rsidRPr="00733C65">
              <w:rPr>
                <w:lang w:val="fr-FR"/>
              </w:rPr>
              <w:t>5.4.0.2 du RID/ADR/ADN, comme convenu lors de la réunion de Tegernsee (6 et 7</w:t>
            </w:r>
            <w:r>
              <w:rPr>
                <w:lang w:val="fr-FR"/>
              </w:rPr>
              <w:t> </w:t>
            </w:r>
            <w:r w:rsidRPr="00733C65">
              <w:rPr>
                <w:lang w:val="fr-FR"/>
              </w:rPr>
              <w:t>juin 2019)</w:t>
            </w:r>
          </w:p>
        </w:tc>
      </w:tr>
    </w:tbl>
    <w:p w:rsidR="00733C65" w:rsidRPr="00C06927" w:rsidRDefault="00733C65" w:rsidP="00733C65">
      <w:pPr>
        <w:pStyle w:val="HChG"/>
      </w:pPr>
      <w:r>
        <w:rPr>
          <w:lang w:val="fr-FR"/>
        </w:rPr>
        <w:tab/>
        <w:t>8.</w:t>
      </w:r>
      <w:r>
        <w:rPr>
          <w:lang w:val="fr-FR"/>
        </w:rPr>
        <w:tab/>
        <w:t>Accidents et gestion des risques</w:t>
      </w:r>
    </w:p>
    <w:p w:rsidR="00733C65" w:rsidRPr="00C06927" w:rsidRDefault="00733C65" w:rsidP="00733C65">
      <w:pPr>
        <w:pStyle w:val="SingleTxtG"/>
        <w:ind w:firstLine="567"/>
      </w:pPr>
      <w:r>
        <w:rPr>
          <w:lang w:val="fr-FR"/>
        </w:rPr>
        <w:t>Aucun document n’a été soumis au titre de ce point de l’ordre du jour.</w:t>
      </w:r>
    </w:p>
    <w:p w:rsidR="00733C65" w:rsidRPr="00C06927" w:rsidRDefault="00733C65" w:rsidP="00733C65">
      <w:pPr>
        <w:pStyle w:val="HChG"/>
      </w:pPr>
      <w:r>
        <w:rPr>
          <w:lang w:val="fr-FR"/>
        </w:rPr>
        <w:tab/>
        <w:t>9.</w:t>
      </w:r>
      <w:r>
        <w:rPr>
          <w:lang w:val="fr-FR"/>
        </w:rPr>
        <w:tab/>
        <w:t>Élection du Bureau pour 2020</w:t>
      </w:r>
    </w:p>
    <w:p w:rsidR="00733C65" w:rsidRPr="00C06927" w:rsidRDefault="00733C65" w:rsidP="00733C65">
      <w:pPr>
        <w:pStyle w:val="HChG"/>
      </w:pPr>
      <w:r>
        <w:rPr>
          <w:lang w:val="fr-FR"/>
        </w:rPr>
        <w:tab/>
        <w:t>10.</w:t>
      </w:r>
      <w:r>
        <w:rPr>
          <w:lang w:val="fr-FR"/>
        </w:rPr>
        <w:tab/>
        <w:t>Travaux futurs</w:t>
      </w:r>
    </w:p>
    <w:p w:rsidR="00733C65" w:rsidRPr="00C06927" w:rsidRDefault="00733C65" w:rsidP="00733C65">
      <w:pPr>
        <w:pStyle w:val="SingleTxtG"/>
        <w:ind w:firstLine="567"/>
      </w:pPr>
      <w:r>
        <w:rPr>
          <w:lang w:val="fr-FR"/>
        </w:rPr>
        <w:t>La Réunion commune souhaitera éventuellement réfléchir à l’ordre du jour de la session de printemps 2020 (Berne, 16-20 mars 2020).</w:t>
      </w:r>
    </w:p>
    <w:p w:rsidR="00733C65" w:rsidRDefault="00733C65" w:rsidP="00733C65">
      <w:pPr>
        <w:pStyle w:val="HChG"/>
      </w:pPr>
      <w:r>
        <w:rPr>
          <w:lang w:val="fr-FR"/>
        </w:rPr>
        <w:tab/>
        <w:t>11.</w:t>
      </w:r>
      <w:r>
        <w:rPr>
          <w:lang w:val="fr-FR"/>
        </w:rPr>
        <w:tab/>
        <w:t>Questions diverses</w:t>
      </w:r>
    </w:p>
    <w:p w:rsidR="00733C65" w:rsidRPr="00E008D9" w:rsidRDefault="00733C65" w:rsidP="00733C65">
      <w:pPr>
        <w:pStyle w:val="SingleTxtG"/>
        <w:ind w:firstLine="567"/>
      </w:pPr>
      <w:r>
        <w:rPr>
          <w:lang w:val="fr-FR"/>
        </w:rPr>
        <w:t>Aucun document n’a été soumis au titre de ce point de l’ordre du jour.</w:t>
      </w:r>
    </w:p>
    <w:p w:rsidR="00733C65" w:rsidRPr="00C06927" w:rsidRDefault="00733C65" w:rsidP="00733C65">
      <w:pPr>
        <w:pStyle w:val="HChG"/>
      </w:pPr>
      <w:r>
        <w:rPr>
          <w:lang w:val="fr-FR"/>
        </w:rPr>
        <w:tab/>
        <w:t>12.</w:t>
      </w:r>
      <w:r>
        <w:rPr>
          <w:lang w:val="fr-FR"/>
        </w:rPr>
        <w:tab/>
        <w:t>Adoption du rapport</w:t>
      </w:r>
    </w:p>
    <w:p w:rsidR="00733C65" w:rsidRDefault="00733C65" w:rsidP="00733C65">
      <w:pPr>
        <w:pStyle w:val="SingleTxtG"/>
        <w:ind w:firstLine="567"/>
        <w:rPr>
          <w:lang w:val="fr-FR"/>
        </w:rPr>
      </w:pPr>
      <w:r>
        <w:rPr>
          <w:lang w:val="fr-FR"/>
        </w:rPr>
        <w:t>Conformément à l’usage, la Réunion commune adoptera le rapport de sa session sur la base d’un projet établi par le secrétariat.</w:t>
      </w:r>
    </w:p>
    <w:p w:rsidR="00733C65" w:rsidRPr="00733C65" w:rsidRDefault="00733C65" w:rsidP="00733C65">
      <w:pPr>
        <w:pStyle w:val="SingleTxtG"/>
        <w:spacing w:before="240" w:after="0"/>
        <w:jc w:val="center"/>
        <w:rPr>
          <w:u w:val="single"/>
        </w:rPr>
      </w:pPr>
      <w:r>
        <w:rPr>
          <w:u w:val="single"/>
        </w:rPr>
        <w:tab/>
      </w:r>
      <w:r>
        <w:rPr>
          <w:u w:val="single"/>
        </w:rPr>
        <w:tab/>
      </w:r>
      <w:r>
        <w:rPr>
          <w:u w:val="single"/>
        </w:rPr>
        <w:tab/>
      </w:r>
    </w:p>
    <w:sectPr w:rsidR="00733C65" w:rsidRPr="00733C65" w:rsidSect="00733C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E9" w:rsidRDefault="00F65CE9" w:rsidP="00F95C08">
      <w:pPr>
        <w:spacing w:line="240" w:lineRule="auto"/>
      </w:pPr>
    </w:p>
  </w:endnote>
  <w:endnote w:type="continuationSeparator" w:id="0">
    <w:p w:rsidR="00F65CE9" w:rsidRPr="00AC3823" w:rsidRDefault="00F65CE9" w:rsidP="00AC3823">
      <w:pPr>
        <w:pStyle w:val="Footer"/>
      </w:pPr>
    </w:p>
  </w:endnote>
  <w:endnote w:type="continuationNotice" w:id="1">
    <w:p w:rsidR="00F65CE9" w:rsidRDefault="00F65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65" w:rsidRPr="00733C65" w:rsidRDefault="00733C65" w:rsidP="00733C65">
    <w:pPr>
      <w:pStyle w:val="Footer"/>
      <w:tabs>
        <w:tab w:val="right" w:pos="9638"/>
      </w:tabs>
    </w:pPr>
    <w:r w:rsidRPr="00733C65">
      <w:rPr>
        <w:b/>
        <w:sz w:val="18"/>
      </w:rPr>
      <w:fldChar w:fldCharType="begin"/>
    </w:r>
    <w:r w:rsidRPr="00733C65">
      <w:rPr>
        <w:b/>
        <w:sz w:val="18"/>
      </w:rPr>
      <w:instrText xml:space="preserve"> PAGE  \* MERGEFORMAT </w:instrText>
    </w:r>
    <w:r w:rsidRPr="00733C65">
      <w:rPr>
        <w:b/>
        <w:sz w:val="18"/>
      </w:rPr>
      <w:fldChar w:fldCharType="separate"/>
    </w:r>
    <w:r w:rsidRPr="00733C65">
      <w:rPr>
        <w:b/>
        <w:noProof/>
        <w:sz w:val="18"/>
      </w:rPr>
      <w:t>2</w:t>
    </w:r>
    <w:r w:rsidRPr="00733C65">
      <w:rPr>
        <w:b/>
        <w:sz w:val="18"/>
      </w:rPr>
      <w:fldChar w:fldCharType="end"/>
    </w:r>
    <w:r>
      <w:rPr>
        <w:b/>
        <w:sz w:val="18"/>
      </w:rPr>
      <w:tab/>
    </w:r>
    <w:r>
      <w:t>GE.19-11508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65" w:rsidRPr="00733C65" w:rsidRDefault="00733C65" w:rsidP="00733C65">
    <w:pPr>
      <w:pStyle w:val="Footer"/>
      <w:tabs>
        <w:tab w:val="right" w:pos="9638"/>
      </w:tabs>
      <w:rPr>
        <w:b/>
        <w:sz w:val="18"/>
      </w:rPr>
    </w:pPr>
    <w:r>
      <w:t>GE.19-11508</w:t>
    </w:r>
    <w:r>
      <w:tab/>
    </w:r>
    <w:r w:rsidRPr="00733C65">
      <w:rPr>
        <w:b/>
        <w:sz w:val="18"/>
      </w:rPr>
      <w:fldChar w:fldCharType="begin"/>
    </w:r>
    <w:r w:rsidRPr="00733C65">
      <w:rPr>
        <w:b/>
        <w:sz w:val="18"/>
      </w:rPr>
      <w:instrText xml:space="preserve"> PAGE  \* MERGEFORMAT </w:instrText>
    </w:r>
    <w:r w:rsidRPr="00733C65">
      <w:rPr>
        <w:b/>
        <w:sz w:val="18"/>
      </w:rPr>
      <w:fldChar w:fldCharType="separate"/>
    </w:r>
    <w:r w:rsidRPr="00733C65">
      <w:rPr>
        <w:b/>
        <w:noProof/>
        <w:sz w:val="18"/>
      </w:rPr>
      <w:t>3</w:t>
    </w:r>
    <w:r w:rsidRPr="00733C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33C65" w:rsidRDefault="00733C65" w:rsidP="00733C6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19-11508  (F)    170719    170719</w:t>
    </w:r>
    <w:r>
      <w:rPr>
        <w:sz w:val="20"/>
      </w:rPr>
      <w:br/>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sidRPr="00733C6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E9" w:rsidRPr="00AC3823" w:rsidRDefault="00F65CE9" w:rsidP="00AC3823">
      <w:pPr>
        <w:pStyle w:val="Footer"/>
        <w:tabs>
          <w:tab w:val="right" w:pos="2155"/>
        </w:tabs>
        <w:spacing w:after="80" w:line="240" w:lineRule="atLeast"/>
        <w:ind w:left="680"/>
        <w:rPr>
          <w:u w:val="single"/>
        </w:rPr>
      </w:pPr>
      <w:r>
        <w:rPr>
          <w:u w:val="single"/>
        </w:rPr>
        <w:tab/>
      </w:r>
    </w:p>
  </w:footnote>
  <w:footnote w:type="continuationSeparator" w:id="0">
    <w:p w:rsidR="00F65CE9" w:rsidRPr="00AC3823" w:rsidRDefault="00F65CE9" w:rsidP="00AC3823">
      <w:pPr>
        <w:pStyle w:val="Footer"/>
        <w:tabs>
          <w:tab w:val="right" w:pos="2155"/>
        </w:tabs>
        <w:spacing w:after="80" w:line="240" w:lineRule="atLeast"/>
        <w:ind w:left="680"/>
        <w:rPr>
          <w:u w:val="single"/>
        </w:rPr>
      </w:pPr>
      <w:r>
        <w:rPr>
          <w:u w:val="single"/>
        </w:rPr>
        <w:tab/>
      </w:r>
    </w:p>
  </w:footnote>
  <w:footnote w:type="continuationNotice" w:id="1">
    <w:p w:rsidR="00F65CE9" w:rsidRPr="00AC3823" w:rsidRDefault="00F65CE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65" w:rsidRPr="00733C65" w:rsidRDefault="0051141F">
    <w:pPr>
      <w:pStyle w:val="Header"/>
    </w:pPr>
    <w:fldSimple w:instr=" TITLE  \* MERGEFORMAT ">
      <w:r w:rsidR="00733C65">
        <w:t>ECE/TRANS/WP.15/AC.1/155/Add.1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65" w:rsidRPr="00733C65" w:rsidRDefault="0051141F" w:rsidP="00733C65">
    <w:pPr>
      <w:pStyle w:val="Header"/>
      <w:jc w:val="right"/>
    </w:pPr>
    <w:fldSimple w:instr=" TITLE  \* MERGEFORMAT ">
      <w:r w:rsidR="00733C65">
        <w:t>ECE/TRANS/WP.15/AC.1/155/Add.1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E9"/>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E6E9B"/>
    <w:rsid w:val="00305801"/>
    <w:rsid w:val="003916DE"/>
    <w:rsid w:val="00421996"/>
    <w:rsid w:val="00441C3B"/>
    <w:rsid w:val="00446FE5"/>
    <w:rsid w:val="00452396"/>
    <w:rsid w:val="004837D8"/>
    <w:rsid w:val="004E2EED"/>
    <w:rsid w:val="004E468C"/>
    <w:rsid w:val="0051141F"/>
    <w:rsid w:val="0054234D"/>
    <w:rsid w:val="005505B7"/>
    <w:rsid w:val="00573BE5"/>
    <w:rsid w:val="00586ED3"/>
    <w:rsid w:val="00596AA9"/>
    <w:rsid w:val="0071601D"/>
    <w:rsid w:val="00733C65"/>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92311"/>
    <w:rsid w:val="00BA0CA9"/>
    <w:rsid w:val="00BC3706"/>
    <w:rsid w:val="00C02897"/>
    <w:rsid w:val="00C97039"/>
    <w:rsid w:val="00D3439C"/>
    <w:rsid w:val="00DB1831"/>
    <w:rsid w:val="00DD3BFD"/>
    <w:rsid w:val="00DF6678"/>
    <w:rsid w:val="00E0299A"/>
    <w:rsid w:val="00E7783B"/>
    <w:rsid w:val="00E83DE1"/>
    <w:rsid w:val="00E85C74"/>
    <w:rsid w:val="00EA6547"/>
    <w:rsid w:val="00EF2E22"/>
    <w:rsid w:val="00F35BAF"/>
    <w:rsid w:val="00F65CE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690105-060A-4D4C-A59C-4F5F53A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ECE/TRANS/WP.15/AC.1/155/Add.1</vt:lpstr>
      <vt:lpstr>ECE/TRANS/WP.15/AC.1/155/Add.1</vt:lpstr>
    </vt:vector>
  </TitlesOfParts>
  <Company>DCM</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ECE/TRANS/WP.15/AC.1/155/Add.1</dc:title>
  <dc:subject/>
  <dc:creator>Christine CHAUTAGNAT</dc:creator>
  <cp:keywords/>
  <cp:lastModifiedBy>Christine Barrio-Champeau</cp:lastModifiedBy>
  <cp:revision>2</cp:revision>
  <cp:lastPrinted>2014-05-14T10:59:00Z</cp:lastPrinted>
  <dcterms:created xsi:type="dcterms:W3CDTF">2019-07-17T08:05:00Z</dcterms:created>
  <dcterms:modified xsi:type="dcterms:W3CDTF">2019-07-17T08:05:00Z</dcterms:modified>
</cp:coreProperties>
</file>