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61D15" w:rsidP="00586F40">
            <w:pPr>
              <w:suppressAutoHyphens w:val="0"/>
              <w:spacing w:after="20" w:line="240" w:lineRule="atLeast"/>
              <w:jc w:val="right"/>
            </w:pPr>
            <w:r w:rsidRPr="00B61D15">
              <w:rPr>
                <w:sz w:val="40"/>
              </w:rPr>
              <w:t>ECE</w:t>
            </w:r>
            <w:r>
              <w:t>/TRANS/WP.15/2019</w:t>
            </w:r>
            <w:r w:rsidR="00472C74">
              <w:t>/19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61D15" w:rsidP="00B61D15">
            <w:pPr>
              <w:spacing w:before="240"/>
            </w:pPr>
            <w:r>
              <w:t>Distr.: General</w:t>
            </w:r>
          </w:p>
          <w:p w:rsidR="00B61D15" w:rsidRDefault="00EF0701" w:rsidP="00B61D15">
            <w:pPr>
              <w:suppressAutoHyphens w:val="0"/>
            </w:pPr>
            <w:r>
              <w:t>21</w:t>
            </w:r>
            <w:r w:rsidR="00A64187">
              <w:t xml:space="preserve"> August </w:t>
            </w:r>
            <w:r w:rsidR="00B61D15">
              <w:t>2019</w:t>
            </w:r>
          </w:p>
          <w:p w:rsidR="00B61D15" w:rsidRDefault="00B61D15" w:rsidP="00B61D15">
            <w:pPr>
              <w:suppressAutoHyphens w:val="0"/>
            </w:pPr>
          </w:p>
          <w:p w:rsidR="00B61D15" w:rsidRDefault="00B61D15" w:rsidP="00B61D15">
            <w:pPr>
              <w:suppressAutoHyphens w:val="0"/>
              <w:spacing w:line="240" w:lineRule="atLeast"/>
            </w:pPr>
            <w:r>
              <w:t xml:space="preserve">Original: </w:t>
            </w:r>
            <w:r w:rsidR="00EF0701">
              <w:t>English</w:t>
            </w:r>
          </w:p>
        </w:tc>
      </w:tr>
    </w:tbl>
    <w:p w:rsidR="008A1CE4" w:rsidRDefault="008A1CE4">
      <w:pPr>
        <w:spacing w:before="120"/>
        <w:rPr>
          <w:b/>
          <w:sz w:val="28"/>
          <w:szCs w:val="28"/>
        </w:rPr>
      </w:pPr>
      <w:r>
        <w:rPr>
          <w:b/>
          <w:sz w:val="28"/>
          <w:szCs w:val="28"/>
        </w:rPr>
        <w:t>Economic Commission for Europe</w:t>
      </w:r>
    </w:p>
    <w:p w:rsidR="008A1CE4" w:rsidRDefault="008A1CE4">
      <w:pPr>
        <w:spacing w:before="120"/>
        <w:rPr>
          <w:sz w:val="28"/>
          <w:szCs w:val="28"/>
        </w:rPr>
      </w:pPr>
      <w:r>
        <w:rPr>
          <w:sz w:val="28"/>
          <w:szCs w:val="28"/>
        </w:rPr>
        <w:t>Inland Transport Committee</w:t>
      </w:r>
    </w:p>
    <w:p w:rsidR="008A1CE4" w:rsidRDefault="008A1CE4" w:rsidP="008A1CE4">
      <w:pPr>
        <w:spacing w:before="120"/>
      </w:pPr>
      <w:r>
        <w:rPr>
          <w:b/>
          <w:sz w:val="24"/>
          <w:szCs w:val="24"/>
        </w:rPr>
        <w:t xml:space="preserve">Working Party on the Transport of </w:t>
      </w:r>
      <w:r w:rsidRPr="008A1CE4">
        <w:rPr>
          <w:b/>
          <w:sz w:val="24"/>
          <w:szCs w:val="24"/>
        </w:rPr>
        <w:t>Dangerous Goods</w:t>
      </w:r>
    </w:p>
    <w:p w:rsidR="00A64187" w:rsidRPr="00385CE7" w:rsidRDefault="00A64187" w:rsidP="00A64187">
      <w:pPr>
        <w:spacing w:before="120"/>
        <w:rPr>
          <w:b/>
          <w:bCs/>
        </w:rPr>
      </w:pPr>
      <w:r w:rsidRPr="00385CE7">
        <w:rPr>
          <w:b/>
          <w:bCs/>
        </w:rPr>
        <w:t>10</w:t>
      </w:r>
      <w:r>
        <w:rPr>
          <w:b/>
          <w:bCs/>
        </w:rPr>
        <w:t>7</w:t>
      </w:r>
      <w:r w:rsidRPr="00385CE7">
        <w:rPr>
          <w:b/>
          <w:bCs/>
        </w:rPr>
        <w:t xml:space="preserve">th session </w:t>
      </w:r>
    </w:p>
    <w:p w:rsidR="00A64187" w:rsidRPr="00924D77" w:rsidRDefault="00A64187" w:rsidP="00A64187">
      <w:r w:rsidRPr="00924D77">
        <w:t>Geneva, 1</w:t>
      </w:r>
      <w:r>
        <w:t>1</w:t>
      </w:r>
      <w:r w:rsidRPr="00924D77">
        <w:t>–1</w:t>
      </w:r>
      <w:r>
        <w:t>5</w:t>
      </w:r>
      <w:r w:rsidRPr="00924D77">
        <w:t xml:space="preserve"> </w:t>
      </w:r>
      <w:r>
        <w:t>November</w:t>
      </w:r>
      <w:r w:rsidRPr="00924D77">
        <w:t xml:space="preserve"> 2019 </w:t>
      </w:r>
    </w:p>
    <w:p w:rsidR="00A64187" w:rsidRPr="00924D77" w:rsidRDefault="00A64187" w:rsidP="00A64187">
      <w:r w:rsidRPr="00924D77">
        <w:t xml:space="preserve">Item </w:t>
      </w:r>
      <w:r>
        <w:t>5</w:t>
      </w:r>
      <w:r w:rsidRPr="00924D77">
        <w:t xml:space="preserve"> (b) of the provisional agenda</w:t>
      </w:r>
    </w:p>
    <w:p w:rsidR="00A64187" w:rsidRPr="00A12FD2" w:rsidRDefault="00A64187" w:rsidP="00A64187">
      <w:pPr>
        <w:rPr>
          <w:b/>
          <w:bCs/>
        </w:rPr>
      </w:pPr>
      <w:r w:rsidRPr="00A12FD2">
        <w:rPr>
          <w:b/>
          <w:bCs/>
        </w:rPr>
        <w:t xml:space="preserve">Proposals for amendments to </w:t>
      </w:r>
      <w:r w:rsidR="00EF0701">
        <w:rPr>
          <w:b/>
          <w:bCs/>
        </w:rPr>
        <w:t>A</w:t>
      </w:r>
      <w:r w:rsidRPr="00A12FD2">
        <w:rPr>
          <w:b/>
          <w:bCs/>
        </w:rPr>
        <w:t>nnexes A and B of ADR:</w:t>
      </w:r>
    </w:p>
    <w:p w:rsidR="008A1CE4" w:rsidRPr="008A1CE4" w:rsidRDefault="00A64187" w:rsidP="00A64187">
      <w:pPr>
        <w:rPr>
          <w:b/>
          <w:bCs/>
        </w:rPr>
      </w:pPr>
      <w:r>
        <w:rPr>
          <w:b/>
          <w:bCs/>
        </w:rPr>
        <w:t>m</w:t>
      </w:r>
      <w:r w:rsidRPr="00A12FD2">
        <w:rPr>
          <w:b/>
          <w:bCs/>
        </w:rPr>
        <w:t>iscellaneous proposals</w:t>
      </w:r>
    </w:p>
    <w:p w:rsidR="008A1CE4" w:rsidRDefault="008A1CE4" w:rsidP="00134C0C">
      <w:pPr>
        <w:pStyle w:val="HChG"/>
      </w:pPr>
      <w:r>
        <w:tab/>
      </w:r>
      <w:r>
        <w:tab/>
      </w:r>
      <w:r w:rsidR="00586F40">
        <w:t>Dangerous goods exempted from the tunnel restrictions</w:t>
      </w:r>
    </w:p>
    <w:p w:rsidR="008A1CE4" w:rsidRDefault="008A1CE4" w:rsidP="0067478E">
      <w:pPr>
        <w:pStyle w:val="H1G"/>
      </w:pPr>
      <w:r>
        <w:tab/>
      </w:r>
      <w:r>
        <w:tab/>
        <w:t>Transmitted by the Government of Switzerland</w:t>
      </w:r>
      <w:r w:rsidR="00A64187" w:rsidRPr="00A12FD2">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134C0C" w:rsidTr="00134C0C">
        <w:trPr>
          <w:jc w:val="center"/>
        </w:trPr>
        <w:tc>
          <w:tcPr>
            <w:tcW w:w="9637" w:type="dxa"/>
            <w:tcBorders>
              <w:bottom w:val="nil"/>
            </w:tcBorders>
          </w:tcPr>
          <w:p w:rsidR="00134C0C" w:rsidRPr="00134C0C" w:rsidRDefault="00134C0C" w:rsidP="00134C0C">
            <w:pPr>
              <w:tabs>
                <w:tab w:val="left" w:pos="255"/>
              </w:tabs>
              <w:suppressAutoHyphens w:val="0"/>
              <w:spacing w:before="240" w:after="120" w:line="240" w:lineRule="atLeast"/>
              <w:rPr>
                <w:sz w:val="24"/>
              </w:rPr>
            </w:pPr>
            <w:r>
              <w:tab/>
            </w:r>
            <w:r>
              <w:rPr>
                <w:i/>
                <w:sz w:val="24"/>
              </w:rPr>
              <w:t>Summary</w:t>
            </w:r>
          </w:p>
        </w:tc>
      </w:tr>
      <w:tr w:rsidR="00134C0C" w:rsidTr="00134C0C">
        <w:trPr>
          <w:jc w:val="center"/>
        </w:trPr>
        <w:tc>
          <w:tcPr>
            <w:tcW w:w="9637" w:type="dxa"/>
            <w:tcBorders>
              <w:top w:val="nil"/>
              <w:bottom w:val="nil"/>
            </w:tcBorders>
            <w:shd w:val="clear" w:color="auto" w:fill="auto"/>
          </w:tcPr>
          <w:p w:rsidR="00134C0C" w:rsidRDefault="00134C0C" w:rsidP="00134C0C">
            <w:pPr>
              <w:pStyle w:val="SingleTxtG"/>
              <w:ind w:left="3402" w:hanging="2268"/>
            </w:pPr>
            <w:r w:rsidRPr="00064503">
              <w:rPr>
                <w:rFonts w:hint="eastAsia"/>
                <w:b/>
                <w:bCs/>
              </w:rPr>
              <w:t>Executive summary</w:t>
            </w:r>
            <w:r>
              <w:rPr>
                <w:rFonts w:hint="eastAsia"/>
              </w:rPr>
              <w:t>:</w:t>
            </w:r>
            <w:r>
              <w:rPr>
                <w:rFonts w:hint="eastAsia"/>
              </w:rPr>
              <w:tab/>
              <w:t xml:space="preserve">More complete information should be included in the </w:t>
            </w:r>
            <w:r w:rsidR="00E044D9">
              <w:t xml:space="preserve">texts </w:t>
            </w:r>
            <w:r>
              <w:rPr>
                <w:rFonts w:hint="eastAsia"/>
              </w:rPr>
              <w:t xml:space="preserve">for </w:t>
            </w:r>
            <w:r w:rsidR="00E044D9">
              <w:t xml:space="preserve">consignments </w:t>
            </w:r>
            <w:r>
              <w:rPr>
                <w:rFonts w:hint="eastAsia"/>
              </w:rPr>
              <w:t xml:space="preserve">containing goods with the mention </w:t>
            </w:r>
            <w:r w:rsidR="00EF0701" w:rsidRPr="00BB20CC">
              <w:t>‘(─)’</w:t>
            </w:r>
            <w:r>
              <w:rPr>
                <w:rFonts w:hint="eastAsia"/>
              </w:rPr>
              <w:t xml:space="preserve"> in Chapter 3.2, Table A, column (15), </w:t>
            </w:r>
            <w:proofErr w:type="gramStart"/>
            <w:r>
              <w:rPr>
                <w:rFonts w:hint="eastAsia"/>
              </w:rPr>
              <w:t>so as to</w:t>
            </w:r>
            <w:proofErr w:type="gramEnd"/>
            <w:r>
              <w:rPr>
                <w:rFonts w:hint="eastAsia"/>
              </w:rPr>
              <w:t xml:space="preserve"> ensure safety and facilitate decisions about passage through tunn</w:t>
            </w:r>
            <w:r>
              <w:t>els subject to restrictions.</w:t>
            </w:r>
          </w:p>
          <w:p w:rsidR="00134C0C" w:rsidRDefault="00134C0C" w:rsidP="00E044D9">
            <w:pPr>
              <w:pStyle w:val="SingleTxtG"/>
              <w:ind w:left="3402" w:hanging="2268"/>
            </w:pPr>
            <w:r w:rsidRPr="00064503">
              <w:rPr>
                <w:b/>
                <w:bCs/>
              </w:rPr>
              <w:t>Action to be taken</w:t>
            </w:r>
            <w:r>
              <w:t>:</w:t>
            </w:r>
            <w:r>
              <w:tab/>
              <w:t xml:space="preserve">Amend the text of </w:t>
            </w:r>
            <w:r w:rsidR="00E044D9">
              <w:t xml:space="preserve">1.1.3.6, 1.9.5.3.6, </w:t>
            </w:r>
            <w:r>
              <w:t>5.4.1.1.</w:t>
            </w:r>
            <w:r w:rsidR="00E044D9">
              <w:t>10</w:t>
            </w:r>
            <w:r w:rsidR="00C409E8">
              <w:t xml:space="preserve">. 8.6.3.1, </w:t>
            </w:r>
            <w:r w:rsidR="00FC7A32">
              <w:t xml:space="preserve">8.6.3.2, </w:t>
            </w:r>
            <w:r w:rsidR="00C409E8">
              <w:t xml:space="preserve">8.6.3.3 </w:t>
            </w:r>
            <w:r>
              <w:t>and 8.6.4.</w:t>
            </w:r>
          </w:p>
          <w:p w:rsidR="00C409E8" w:rsidRDefault="00C409E8" w:rsidP="00C409E8">
            <w:pPr>
              <w:pStyle w:val="SingleTxtG"/>
              <w:ind w:left="3402" w:hanging="2268"/>
              <w:jc w:val="left"/>
            </w:pPr>
            <w:r>
              <w:rPr>
                <w:b/>
                <w:bCs/>
              </w:rPr>
              <w:t>Related documents</w:t>
            </w:r>
            <w:r>
              <w:t>:</w:t>
            </w:r>
            <w:r>
              <w:tab/>
              <w:t xml:space="preserve">ECE/TRANS/WP.15/2019/8, </w:t>
            </w:r>
            <w:r w:rsidR="00A64187">
              <w:t>ECE/</w:t>
            </w:r>
            <w:r>
              <w:t>TRANS/WP.15/246.</w:t>
            </w:r>
          </w:p>
        </w:tc>
      </w:tr>
      <w:tr w:rsidR="00134C0C" w:rsidTr="00134C0C">
        <w:trPr>
          <w:jc w:val="center"/>
        </w:trPr>
        <w:tc>
          <w:tcPr>
            <w:tcW w:w="9637" w:type="dxa"/>
            <w:tcBorders>
              <w:top w:val="nil"/>
            </w:tcBorders>
          </w:tcPr>
          <w:p w:rsidR="00134C0C" w:rsidRDefault="00134C0C" w:rsidP="00134C0C">
            <w:pPr>
              <w:suppressAutoHyphens w:val="0"/>
              <w:spacing w:line="240" w:lineRule="atLeast"/>
            </w:pPr>
          </w:p>
        </w:tc>
      </w:tr>
    </w:tbl>
    <w:p w:rsidR="008A1CE4" w:rsidRDefault="00064503" w:rsidP="00064503">
      <w:pPr>
        <w:pStyle w:val="HChG"/>
      </w:pPr>
      <w:r>
        <w:tab/>
      </w:r>
      <w:r>
        <w:tab/>
      </w:r>
      <w:r w:rsidR="008A1CE4">
        <w:t>Introduction</w:t>
      </w:r>
    </w:p>
    <w:p w:rsidR="00940705" w:rsidRDefault="008A1CE4" w:rsidP="00064503">
      <w:pPr>
        <w:pStyle w:val="SingleTxtG"/>
      </w:pPr>
      <w:r>
        <w:t>1.</w:t>
      </w:r>
      <w:r>
        <w:tab/>
      </w:r>
      <w:r w:rsidR="0094233A" w:rsidRPr="0094233A">
        <w:t xml:space="preserve">During the </w:t>
      </w:r>
      <w:r w:rsidR="00EF0701">
        <w:t>106th</w:t>
      </w:r>
      <w:r w:rsidR="0094233A" w:rsidRPr="0094233A">
        <w:t xml:space="preserve"> session, various comments </w:t>
      </w:r>
      <w:r w:rsidR="0094233A">
        <w:t xml:space="preserve">were </w:t>
      </w:r>
      <w:r w:rsidR="00EF0701">
        <w:t>made</w:t>
      </w:r>
      <w:r w:rsidR="0094233A">
        <w:t xml:space="preserve"> to</w:t>
      </w:r>
      <w:r w:rsidR="0094233A" w:rsidRPr="0094233A">
        <w:t xml:space="preserve"> document ECE/TRANS/WP.15/2019/8 </w:t>
      </w:r>
      <w:r w:rsidR="0094233A">
        <w:t xml:space="preserve">proposing </w:t>
      </w:r>
      <w:r w:rsidR="0094233A" w:rsidRPr="0094233A">
        <w:t xml:space="preserve">to clarify how to deal with </w:t>
      </w:r>
      <w:r w:rsidR="0094233A">
        <w:t>mixed loading o</w:t>
      </w:r>
      <w:r w:rsidR="0094233A" w:rsidRPr="0094233A">
        <w:t xml:space="preserve">f dangerous goods for which </w:t>
      </w:r>
      <w:r w:rsidR="00EF0701" w:rsidRPr="00BB20CC">
        <w:t>‘(─)’</w:t>
      </w:r>
      <w:r w:rsidR="0094233A">
        <w:t xml:space="preserve"> is </w:t>
      </w:r>
      <w:r w:rsidR="00690C0F">
        <w:t xml:space="preserve">marked </w:t>
      </w:r>
      <w:r w:rsidR="0094233A" w:rsidRPr="0094233A">
        <w:t xml:space="preserve">in Column (15) of Table A of Chapter 3.2 </w:t>
      </w:r>
      <w:r w:rsidR="0094233A">
        <w:t xml:space="preserve">together with </w:t>
      </w:r>
      <w:r w:rsidR="0094233A" w:rsidRPr="0094233A">
        <w:t xml:space="preserve">other dangerous goods for which a tunnel restriction code different from </w:t>
      </w:r>
      <w:r w:rsidR="00EF0701" w:rsidRPr="00BB20CC">
        <w:t>‘(─)’</w:t>
      </w:r>
      <w:r w:rsidR="0094233A" w:rsidRPr="0094233A">
        <w:t xml:space="preserve"> </w:t>
      </w:r>
      <w:r w:rsidR="0094233A">
        <w:t xml:space="preserve">has been assigned. </w:t>
      </w:r>
      <w:r w:rsidR="0094233A" w:rsidRPr="0094233A">
        <w:t xml:space="preserve">It had </w:t>
      </w:r>
      <w:r w:rsidR="0094233A">
        <w:t xml:space="preserve">finally </w:t>
      </w:r>
      <w:r w:rsidR="0094233A" w:rsidRPr="0094233A">
        <w:t xml:space="preserve">been proposed that further consultations </w:t>
      </w:r>
      <w:r w:rsidR="0094233A">
        <w:t xml:space="preserve">should be undertaken with the delegations that had made comments with a view to prepare </w:t>
      </w:r>
      <w:r w:rsidR="0094233A" w:rsidRPr="0094233A">
        <w:t xml:space="preserve">another proposal. </w:t>
      </w:r>
    </w:p>
    <w:p w:rsidR="00AC674E" w:rsidRDefault="00AC674E" w:rsidP="00AC674E">
      <w:pPr>
        <w:pStyle w:val="SingleTxtG"/>
      </w:pPr>
      <w:r>
        <w:t>2.</w:t>
      </w:r>
      <w:r>
        <w:tab/>
      </w:r>
      <w:r w:rsidRPr="0094233A">
        <w:t xml:space="preserve">It </w:t>
      </w:r>
      <w:r w:rsidR="00EF0701">
        <w:t>was</w:t>
      </w:r>
      <w:r w:rsidRPr="0094233A">
        <w:t xml:space="preserve"> suggested that provisions should be introduced not only at 5.4.1.1.1 </w:t>
      </w:r>
      <w:r w:rsidR="009D53C4">
        <w:t>(</w:t>
      </w:r>
      <w:r w:rsidRPr="0094233A">
        <w:t>k</w:t>
      </w:r>
      <w:r w:rsidR="00EF0701">
        <w:t>)</w:t>
      </w:r>
      <w:r w:rsidRPr="0094233A">
        <w:t xml:space="preserve">, as proposed in the original document, but also in 1.9.5 or </w:t>
      </w:r>
      <w:r w:rsidR="00EF0701">
        <w:t>in Chapter</w:t>
      </w:r>
      <w:r w:rsidRPr="0094233A">
        <w:t xml:space="preserve"> 8.6. Some </w:t>
      </w:r>
      <w:r w:rsidR="00EF0701">
        <w:t>also</w:t>
      </w:r>
      <w:r w:rsidRPr="0094233A">
        <w:t xml:space="preserve"> suggested that it </w:t>
      </w:r>
      <w:r>
        <w:t xml:space="preserve">should </w:t>
      </w:r>
      <w:r w:rsidRPr="0094233A">
        <w:t xml:space="preserve">be mentioned </w:t>
      </w:r>
      <w:r>
        <w:t>in</w:t>
      </w:r>
      <w:r w:rsidRPr="0094233A">
        <w:t xml:space="preserve"> 1.1.3.6. </w:t>
      </w:r>
    </w:p>
    <w:p w:rsidR="004D67F7" w:rsidRPr="008E0212" w:rsidRDefault="00A64187" w:rsidP="00064503">
      <w:pPr>
        <w:pStyle w:val="SingleTxtG"/>
      </w:pPr>
      <w:r w:rsidRPr="008E0212">
        <w:lastRenderedPageBreak/>
        <w:t>3</w:t>
      </w:r>
      <w:r w:rsidR="00940705" w:rsidRPr="008E0212">
        <w:t>.</w:t>
      </w:r>
      <w:r w:rsidR="00940705" w:rsidRPr="008E0212">
        <w:tab/>
      </w:r>
      <w:r w:rsidR="004D67F7" w:rsidRPr="008E0212">
        <w:t xml:space="preserve">During these consultation one point raised has been that </w:t>
      </w:r>
      <w:r w:rsidR="00940705" w:rsidRPr="008E0212">
        <w:t xml:space="preserve">the concept of 1.1.3.6 is about the whole load in a transport unit: the unit is either able to use the concept </w:t>
      </w:r>
      <w:r w:rsidR="004D67F7" w:rsidRPr="008E0212">
        <w:t xml:space="preserve">of 1.1.3.6 or not (as a whole). It has been compared with the case of explosives where if </w:t>
      </w:r>
      <w:r w:rsidR="00EF0701" w:rsidRPr="008E0212">
        <w:t xml:space="preserve">the calculated value for </w:t>
      </w:r>
      <w:r w:rsidR="004D67F7" w:rsidRPr="008E0212">
        <w:t xml:space="preserve">the whole load exceeds 1000 but </w:t>
      </w:r>
      <w:r w:rsidR="00EF0701" w:rsidRPr="008E0212">
        <w:t xml:space="preserve">the calculated value for </w:t>
      </w:r>
      <w:r w:rsidR="004D67F7" w:rsidRPr="008E0212">
        <w:t xml:space="preserve">explosives </w:t>
      </w:r>
      <w:r w:rsidR="00EF0701" w:rsidRPr="008E0212">
        <w:t>in</w:t>
      </w:r>
      <w:r w:rsidR="004D67F7" w:rsidRPr="008E0212">
        <w:t xml:space="preserve"> the load do</w:t>
      </w:r>
      <w:r w:rsidR="00EF0701" w:rsidRPr="008E0212">
        <w:t>es</w:t>
      </w:r>
      <w:r w:rsidR="004D67F7" w:rsidRPr="008E0212">
        <w:t xml:space="preserve"> not exceed 1000 (separately calculated)</w:t>
      </w:r>
      <w:r w:rsidR="00AC674E" w:rsidRPr="008E0212">
        <w:t>,</w:t>
      </w:r>
      <w:r w:rsidR="004D67F7" w:rsidRPr="008E0212">
        <w:t xml:space="preserve"> the whole transport unit may not apply the relaxation </w:t>
      </w:r>
      <w:r w:rsidR="00AC674E" w:rsidRPr="008E0212">
        <w:t>of the</w:t>
      </w:r>
      <w:r w:rsidR="004D67F7" w:rsidRPr="008E0212">
        <w:t xml:space="preserve"> use EX-vehicle in the transport unit (7.2.4 V2) which would have been possible if there w</w:t>
      </w:r>
      <w:r w:rsidR="00EF0701" w:rsidRPr="008E0212">
        <w:t>ere</w:t>
      </w:r>
      <w:r w:rsidR="004D67F7" w:rsidRPr="008E0212">
        <w:t xml:space="preserve"> only those explosives in the load in a transport unit. Hence, in this transport one needs to use EX-vehicles (even though </w:t>
      </w:r>
      <w:r w:rsidR="00EF0701" w:rsidRPr="008E0212">
        <w:t xml:space="preserve">the value for </w:t>
      </w:r>
      <w:r w:rsidR="004D67F7" w:rsidRPr="008E0212">
        <w:t>explosives themselves do</w:t>
      </w:r>
      <w:r w:rsidR="00EF0701" w:rsidRPr="008E0212">
        <w:t>es</w:t>
      </w:r>
      <w:r w:rsidR="004D67F7" w:rsidRPr="008E0212">
        <w:t xml:space="preserve"> not exceed 1000</w:t>
      </w:r>
      <w:r w:rsidR="00107B9F" w:rsidRPr="008E0212">
        <w:t>)</w:t>
      </w:r>
      <w:r w:rsidR="004D67F7" w:rsidRPr="008E0212">
        <w:t>.</w:t>
      </w:r>
    </w:p>
    <w:p w:rsidR="00F930D8" w:rsidRPr="008E0212" w:rsidRDefault="00A64187" w:rsidP="00064503">
      <w:pPr>
        <w:pStyle w:val="SingleTxtG"/>
      </w:pPr>
      <w:r w:rsidRPr="008E0212">
        <w:t>4</w:t>
      </w:r>
      <w:r w:rsidR="004D67F7" w:rsidRPr="008E0212">
        <w:t>.</w:t>
      </w:r>
      <w:r w:rsidR="004D67F7" w:rsidRPr="008E0212">
        <w:tab/>
      </w:r>
      <w:r w:rsidR="00570863" w:rsidRPr="008E0212">
        <w:t>T</w:t>
      </w:r>
      <w:r w:rsidR="00AC674E" w:rsidRPr="008E0212">
        <w:t xml:space="preserve">his is so because in 1.1.3 (1.1.3.6.2) it is not foreseen to apply the exemption of 7.2.4 V2 and, </w:t>
      </w:r>
      <w:r w:rsidR="006C38F9" w:rsidRPr="008E0212">
        <w:t>even if the concept of 1.1.3.6 is effectively about the whole load</w:t>
      </w:r>
      <w:r w:rsidR="00F930D8" w:rsidRPr="008E0212">
        <w:t>,</w:t>
      </w:r>
      <w:r w:rsidR="006C38F9" w:rsidRPr="008E0212">
        <w:t xml:space="preserve"> once an exemption to this concept is introduced in 1.1.3.6 itself</w:t>
      </w:r>
      <w:r w:rsidR="00F930D8" w:rsidRPr="008E0212">
        <w:t>,</w:t>
      </w:r>
      <w:r w:rsidR="006C38F9" w:rsidRPr="008E0212">
        <w:t xml:space="preserve"> these exempted dangerous goods should not be considered as be</w:t>
      </w:r>
      <w:r w:rsidR="00EF0701" w:rsidRPr="008E0212">
        <w:t>ing</w:t>
      </w:r>
      <w:r w:rsidR="006C38F9" w:rsidRPr="008E0212">
        <w:t xml:space="preserve"> part of the load. O</w:t>
      </w:r>
      <w:r w:rsidR="00F930D8" w:rsidRPr="008E0212">
        <w:t>ne exa</w:t>
      </w:r>
      <w:r w:rsidR="006C38F9" w:rsidRPr="008E0212">
        <w:t>mple of this approach is found in 1.1.3.6.5 where a list of exempted dangerous goods are defined as not be</w:t>
      </w:r>
      <w:r w:rsidR="00EF0701" w:rsidRPr="008E0212">
        <w:t>ing</w:t>
      </w:r>
      <w:r w:rsidR="006C38F9" w:rsidRPr="008E0212">
        <w:t xml:space="preserve"> part of the load to be considered </w:t>
      </w:r>
      <w:bookmarkStart w:id="0" w:name="_GoBack"/>
      <w:bookmarkEnd w:id="0"/>
      <w:r w:rsidR="006C38F9" w:rsidRPr="008E0212">
        <w:t xml:space="preserve">when calculating the </w:t>
      </w:r>
      <w:r w:rsidR="00F930D8" w:rsidRPr="008E0212">
        <w:t>maximum total quantity for 1.1.3.6.</w:t>
      </w:r>
      <w:r w:rsidR="006C38F9" w:rsidRPr="008E0212">
        <w:t xml:space="preserve"> </w:t>
      </w:r>
      <w:r w:rsidR="00F930D8" w:rsidRPr="008E0212">
        <w:t>Thus</w:t>
      </w:r>
      <w:r w:rsidR="00570863" w:rsidRPr="008E0212">
        <w:t>,</w:t>
      </w:r>
      <w:r w:rsidR="00F930D8" w:rsidRPr="008E0212">
        <w:t xml:space="preserve"> by introducing the exemption directly in 1.1.3.6 (1.1.3.6.6) we should obtain the same result as in the case of 1.1.3.6.5 and the exempted dangerous goods in case of tunnel restrictions should no more be taken into account when calculating the maximum total quantity.</w:t>
      </w:r>
      <w:r w:rsidR="00570863" w:rsidRPr="008E0212">
        <w:t xml:space="preserve"> Because this situation needs to be communicated, it is necessary to adopt some provisions elsewhere in the regulation as well.</w:t>
      </w:r>
    </w:p>
    <w:p w:rsidR="007732AC" w:rsidRDefault="00A64187" w:rsidP="00064503">
      <w:pPr>
        <w:pStyle w:val="SingleTxtG"/>
        <w:rPr>
          <w:lang w:val="en-US"/>
        </w:rPr>
      </w:pPr>
      <w:r>
        <w:t>5</w:t>
      </w:r>
      <w:r w:rsidR="008A1CE4">
        <w:t>.</w:t>
      </w:r>
      <w:r w:rsidR="008A1CE4">
        <w:tab/>
      </w:r>
      <w:r w:rsidR="0018077F">
        <w:t>In the following proposal</w:t>
      </w:r>
      <w:r w:rsidR="001B349E">
        <w:t>,</w:t>
      </w:r>
      <w:r w:rsidR="0018077F">
        <w:t xml:space="preserve"> we have </w:t>
      </w:r>
      <w:r w:rsidR="001B349E">
        <w:t xml:space="preserve">a complete set of </w:t>
      </w:r>
      <w:r w:rsidR="0018077F">
        <w:t xml:space="preserve">the provisions in </w:t>
      </w:r>
      <w:r w:rsidR="001B349E">
        <w:t xml:space="preserve">a new 1.1.3.6.6, in </w:t>
      </w:r>
      <w:r w:rsidR="0018077F">
        <w:t>1.9</w:t>
      </w:r>
      <w:r w:rsidR="001B349E">
        <w:t xml:space="preserve">.5.3.6, in a new </w:t>
      </w:r>
      <w:r w:rsidR="001B349E">
        <w:rPr>
          <w:lang w:val="en-US"/>
        </w:rPr>
        <w:t xml:space="preserve">5.4.1.1.10, in </w:t>
      </w:r>
      <w:r w:rsidR="00690C0F">
        <w:rPr>
          <w:lang w:val="en-US"/>
        </w:rPr>
        <w:t>8.6.3.1</w:t>
      </w:r>
      <w:r w:rsidR="001B349E">
        <w:rPr>
          <w:lang w:val="en-US"/>
        </w:rPr>
        <w:t xml:space="preserve">, </w:t>
      </w:r>
      <w:r w:rsidR="007732AC">
        <w:rPr>
          <w:lang w:val="en-US"/>
        </w:rPr>
        <w:t xml:space="preserve">8.6.3.2, </w:t>
      </w:r>
      <w:r w:rsidR="001B349E">
        <w:rPr>
          <w:lang w:val="en-US"/>
        </w:rPr>
        <w:t>8.6.3.3 and 8.6.4.</w:t>
      </w:r>
      <w:r w:rsidR="00A76514">
        <w:rPr>
          <w:lang w:val="en-US"/>
        </w:rPr>
        <w:t xml:space="preserve"> </w:t>
      </w:r>
    </w:p>
    <w:p w:rsidR="001B349E" w:rsidRDefault="00A64187" w:rsidP="00064503">
      <w:pPr>
        <w:pStyle w:val="SingleTxtG"/>
        <w:rPr>
          <w:lang w:val="en-US"/>
        </w:rPr>
      </w:pPr>
      <w:r>
        <w:rPr>
          <w:lang w:val="en-US"/>
        </w:rPr>
        <w:t>6</w:t>
      </w:r>
      <w:r w:rsidR="007732AC">
        <w:rPr>
          <w:lang w:val="en-US"/>
        </w:rPr>
        <w:t>.</w:t>
      </w:r>
      <w:r w:rsidR="007732AC">
        <w:rPr>
          <w:lang w:val="en-US"/>
        </w:rPr>
        <w:tab/>
        <w:t xml:space="preserve">Formally, </w:t>
      </w:r>
      <w:r w:rsidR="00C7630E">
        <w:rPr>
          <w:lang w:val="en-US"/>
        </w:rPr>
        <w:t xml:space="preserve">the text introduced in 1.1.3.6.6 should be enough </w:t>
      </w:r>
      <w:r w:rsidR="007732AC">
        <w:rPr>
          <w:lang w:val="en-US"/>
        </w:rPr>
        <w:t>b</w:t>
      </w:r>
      <w:r w:rsidR="00831938">
        <w:rPr>
          <w:lang w:val="en-US"/>
        </w:rPr>
        <w:t xml:space="preserve">ecause </w:t>
      </w:r>
      <w:r w:rsidR="00A76514">
        <w:rPr>
          <w:lang w:val="en-US"/>
        </w:rPr>
        <w:t xml:space="preserve">the mention of the exemption for tunnels is already </w:t>
      </w:r>
      <w:r w:rsidR="00C7630E">
        <w:rPr>
          <w:lang w:val="en-US"/>
        </w:rPr>
        <w:t xml:space="preserve">contained </w:t>
      </w:r>
      <w:r w:rsidR="00A76514">
        <w:rPr>
          <w:lang w:val="en-US"/>
        </w:rPr>
        <w:t>in 1.1.3 (namely in 1.1.3.6</w:t>
      </w:r>
      <w:r w:rsidR="007732AC">
        <w:rPr>
          <w:lang w:val="en-US"/>
        </w:rPr>
        <w:t>.6</w:t>
      </w:r>
      <w:r w:rsidR="00A76514">
        <w:rPr>
          <w:lang w:val="en-US"/>
        </w:rPr>
        <w:t>) and</w:t>
      </w:r>
      <w:r w:rsidR="0002236A">
        <w:rPr>
          <w:lang w:val="en-US"/>
        </w:rPr>
        <w:t>,</w:t>
      </w:r>
      <w:r w:rsidR="00A76514">
        <w:rPr>
          <w:lang w:val="en-US"/>
        </w:rPr>
        <w:t xml:space="preserve"> due to the fact that the exemptions in 1.1.3 are already </w:t>
      </w:r>
      <w:r w:rsidR="00831938">
        <w:rPr>
          <w:lang w:val="en-US"/>
        </w:rPr>
        <w:t>explicitly</w:t>
      </w:r>
      <w:r w:rsidR="00A76514">
        <w:rPr>
          <w:lang w:val="en-US"/>
        </w:rPr>
        <w:t xml:space="preserve"> </w:t>
      </w:r>
      <w:r w:rsidR="00831938">
        <w:rPr>
          <w:lang w:val="en-US"/>
        </w:rPr>
        <w:t>exempted from the tunnel restriction in 1.9.5.3.6 and in 8.6.3.3</w:t>
      </w:r>
      <w:r w:rsidR="0002236A">
        <w:rPr>
          <w:lang w:val="en-US"/>
        </w:rPr>
        <w:t xml:space="preserve">, </w:t>
      </w:r>
      <w:r w:rsidR="00EF0701">
        <w:rPr>
          <w:lang w:val="en-US"/>
        </w:rPr>
        <w:t>there</w:t>
      </w:r>
      <w:r w:rsidR="0002236A">
        <w:rPr>
          <w:lang w:val="en-US"/>
        </w:rPr>
        <w:t xml:space="preserve"> should be no need</w:t>
      </w:r>
      <w:r w:rsidR="00831938">
        <w:rPr>
          <w:lang w:val="en-US"/>
        </w:rPr>
        <w:t xml:space="preserve"> to introduce more text in 1.9.5.3.6</w:t>
      </w:r>
      <w:r w:rsidR="0002236A">
        <w:rPr>
          <w:lang w:val="en-US"/>
        </w:rPr>
        <w:t>, 8.6.3.1,</w:t>
      </w:r>
      <w:r w:rsidR="00831938">
        <w:rPr>
          <w:lang w:val="en-US"/>
        </w:rPr>
        <w:t xml:space="preserve"> </w:t>
      </w:r>
      <w:r w:rsidR="00622951">
        <w:rPr>
          <w:lang w:val="en-US"/>
        </w:rPr>
        <w:t xml:space="preserve">8.6.3.2, </w:t>
      </w:r>
      <w:r w:rsidR="00831938">
        <w:rPr>
          <w:lang w:val="en-US"/>
        </w:rPr>
        <w:t>8.6.3.3</w:t>
      </w:r>
      <w:r w:rsidR="0002236A">
        <w:rPr>
          <w:lang w:val="en-US"/>
        </w:rPr>
        <w:t xml:space="preserve"> or 8.6.4</w:t>
      </w:r>
      <w:r w:rsidR="00831938">
        <w:rPr>
          <w:lang w:val="en-US"/>
        </w:rPr>
        <w:t>. Once a dangerous good is exempted according to 1.1.3</w:t>
      </w:r>
      <w:r w:rsidR="00EF0701">
        <w:rPr>
          <w:lang w:val="en-US"/>
        </w:rPr>
        <w:t>,</w:t>
      </w:r>
      <w:r w:rsidR="00831938">
        <w:rPr>
          <w:lang w:val="en-US"/>
        </w:rPr>
        <w:t xml:space="preserve"> other provisions like those about the tunnel restriction </w:t>
      </w:r>
      <w:r w:rsidR="007732AC">
        <w:rPr>
          <w:lang w:val="en-US"/>
        </w:rPr>
        <w:t>code of the load in 8.6.3.2</w:t>
      </w:r>
      <w:r w:rsidR="00831938">
        <w:rPr>
          <w:lang w:val="en-US"/>
        </w:rPr>
        <w:t xml:space="preserve"> </w:t>
      </w:r>
      <w:r w:rsidR="00EF0701">
        <w:rPr>
          <w:lang w:val="en-US"/>
        </w:rPr>
        <w:t>do not apply anymore</w:t>
      </w:r>
      <w:r w:rsidR="0002236A">
        <w:rPr>
          <w:lang w:val="en-US"/>
        </w:rPr>
        <w:t xml:space="preserve">. This is already the case for the exemptions mentioned in 1.1.3.6.5 for example. </w:t>
      </w:r>
      <w:r w:rsidR="007732AC">
        <w:rPr>
          <w:lang w:val="en-US"/>
        </w:rPr>
        <w:t xml:space="preserve">The explicit </w:t>
      </w:r>
      <w:r w:rsidR="00622951">
        <w:rPr>
          <w:lang w:val="en-US"/>
        </w:rPr>
        <w:t>repet</w:t>
      </w:r>
      <w:r w:rsidR="00C7630E">
        <w:rPr>
          <w:lang w:val="en-US"/>
        </w:rPr>
        <w:t>i</w:t>
      </w:r>
      <w:r w:rsidR="00622951">
        <w:rPr>
          <w:lang w:val="en-US"/>
        </w:rPr>
        <w:t xml:space="preserve">tion or reference </w:t>
      </w:r>
      <w:r w:rsidR="007732AC">
        <w:rPr>
          <w:lang w:val="en-US"/>
        </w:rPr>
        <w:t xml:space="preserve">in 1.9.5.3.6, 8.6.3.1, 8.6.3.2, 8.6.3.3 of the exemption </w:t>
      </w:r>
      <w:r w:rsidR="00622951">
        <w:rPr>
          <w:lang w:val="en-US"/>
        </w:rPr>
        <w:t xml:space="preserve">from the calculation of 1.1.3.6 </w:t>
      </w:r>
      <w:r w:rsidR="007732AC">
        <w:rPr>
          <w:lang w:val="en-US"/>
        </w:rPr>
        <w:t xml:space="preserve">laid down in 1.1.3.6.5 is already covered by the global mention of the </w:t>
      </w:r>
      <w:r w:rsidR="00EF0701">
        <w:rPr>
          <w:lang w:val="en-US"/>
        </w:rPr>
        <w:t xml:space="preserve">1.1.3 </w:t>
      </w:r>
      <w:r w:rsidR="007732AC">
        <w:rPr>
          <w:lang w:val="en-US"/>
        </w:rPr>
        <w:t xml:space="preserve">exemptions in 1.9.5.3.6 and 8.6.3.3. </w:t>
      </w:r>
      <w:r w:rsidR="0002236A">
        <w:rPr>
          <w:lang w:val="en-US"/>
        </w:rPr>
        <w:t>It should hence also be the case for the new exemption proposed in 1.1.3.6.6</w:t>
      </w:r>
      <w:r w:rsidR="007732AC">
        <w:rPr>
          <w:lang w:val="en-US"/>
        </w:rPr>
        <w:t xml:space="preserve"> and there shou</w:t>
      </w:r>
      <w:r w:rsidR="00622951">
        <w:rPr>
          <w:lang w:val="en-US"/>
        </w:rPr>
        <w:t>l</w:t>
      </w:r>
      <w:r w:rsidR="007732AC">
        <w:rPr>
          <w:lang w:val="en-US"/>
        </w:rPr>
        <w:t>d be no need to repeat specifically the existence of this exemption in addition to the one of 1.1.3</w:t>
      </w:r>
      <w:r w:rsidR="0002236A">
        <w:rPr>
          <w:lang w:val="en-US"/>
        </w:rPr>
        <w:t xml:space="preserve">. </w:t>
      </w:r>
      <w:r w:rsidR="00622951">
        <w:rPr>
          <w:lang w:val="en-US"/>
        </w:rPr>
        <w:t xml:space="preserve">However, </w:t>
      </w:r>
      <w:r w:rsidR="007732AC">
        <w:rPr>
          <w:lang w:val="en-US"/>
        </w:rPr>
        <w:t xml:space="preserve">even if formally unnecessary, </w:t>
      </w:r>
      <w:r w:rsidR="0002236A">
        <w:rPr>
          <w:lang w:val="en-US"/>
        </w:rPr>
        <w:t xml:space="preserve">in order to introduce more clarity for the users and tunnel operators, we propose to repeat the </w:t>
      </w:r>
      <w:r w:rsidR="00622951">
        <w:rPr>
          <w:lang w:val="en-US"/>
        </w:rPr>
        <w:t xml:space="preserve">specific </w:t>
      </w:r>
      <w:r w:rsidR="0002236A">
        <w:rPr>
          <w:lang w:val="en-US"/>
        </w:rPr>
        <w:t xml:space="preserve">mention of the exemption </w:t>
      </w:r>
      <w:r w:rsidR="00C7630E">
        <w:rPr>
          <w:lang w:val="en-US"/>
        </w:rPr>
        <w:t xml:space="preserve">of 1.1.3.6.6 </w:t>
      </w:r>
      <w:r w:rsidR="0002236A">
        <w:rPr>
          <w:lang w:val="en-US"/>
        </w:rPr>
        <w:t xml:space="preserve">in 1.9.5.3.6, 8.6.3.1, </w:t>
      </w:r>
      <w:r w:rsidR="007732AC">
        <w:rPr>
          <w:lang w:val="en-US"/>
        </w:rPr>
        <w:t xml:space="preserve">8.6.3.2, </w:t>
      </w:r>
      <w:r w:rsidR="0002236A">
        <w:rPr>
          <w:lang w:val="en-US"/>
        </w:rPr>
        <w:t>8.6.3.3 and 8.6.3.4.</w:t>
      </w:r>
    </w:p>
    <w:p w:rsidR="008A1CE4" w:rsidRDefault="00A64187" w:rsidP="00064503">
      <w:pPr>
        <w:pStyle w:val="SingleTxtG"/>
      </w:pPr>
      <w:r>
        <w:rPr>
          <w:lang w:val="en-US"/>
        </w:rPr>
        <w:t>7</w:t>
      </w:r>
      <w:r w:rsidR="001B349E">
        <w:rPr>
          <w:lang w:val="en-US"/>
        </w:rPr>
        <w:t>.</w:t>
      </w:r>
      <w:r w:rsidR="001B349E">
        <w:rPr>
          <w:lang w:val="en-US"/>
        </w:rPr>
        <w:tab/>
        <w:t xml:space="preserve">The provisions in the new 5.4.1.1.10 replace the former proposal </w:t>
      </w:r>
      <w:r w:rsidR="00EF0701">
        <w:rPr>
          <w:lang w:val="en-US"/>
        </w:rPr>
        <w:t>to amend</w:t>
      </w:r>
      <w:r w:rsidR="001B349E">
        <w:rPr>
          <w:lang w:val="en-US"/>
        </w:rPr>
        <w:t xml:space="preserve"> 5.4.1.1.1 </w:t>
      </w:r>
      <w:r w:rsidR="009D53C4">
        <w:rPr>
          <w:lang w:val="en-US"/>
        </w:rPr>
        <w:t>(</w:t>
      </w:r>
      <w:r w:rsidR="001B349E">
        <w:rPr>
          <w:lang w:val="en-US"/>
        </w:rPr>
        <w:t xml:space="preserve">k). </w:t>
      </w:r>
      <w:r w:rsidR="006861D4">
        <w:rPr>
          <w:lang w:val="en-US"/>
        </w:rPr>
        <w:t xml:space="preserve">It only applies in case of applying 1.1.3.6.6. That is, </w:t>
      </w:r>
      <w:r w:rsidR="006861D4" w:rsidRPr="0001498E">
        <w:t>where</w:t>
      </w:r>
      <w:r w:rsidR="006861D4">
        <w:t xml:space="preserve"> </w:t>
      </w:r>
      <w:r w:rsidR="006861D4" w:rsidRPr="0001498E">
        <w:t>the</w:t>
      </w:r>
      <w:r w:rsidR="006861D4">
        <w:t xml:space="preserve"> </w:t>
      </w:r>
      <w:r w:rsidR="006861D4" w:rsidRPr="0001498E">
        <w:t>carriage</w:t>
      </w:r>
      <w:r w:rsidR="006861D4">
        <w:t xml:space="preserve"> </w:t>
      </w:r>
      <w:r w:rsidR="006861D4" w:rsidRPr="0001498E">
        <w:t>is</w:t>
      </w:r>
      <w:r w:rsidR="006861D4">
        <w:t xml:space="preserve"> </w:t>
      </w:r>
      <w:r w:rsidR="006861D4" w:rsidRPr="0001498E">
        <w:t>known</w:t>
      </w:r>
      <w:r w:rsidR="006861D4">
        <w:t xml:space="preserve"> </w:t>
      </w:r>
      <w:r w:rsidR="006861D4" w:rsidRPr="0001498E">
        <w:t>beforehand</w:t>
      </w:r>
      <w:r w:rsidR="006861D4">
        <w:t xml:space="preserve"> </w:t>
      </w:r>
      <w:r w:rsidR="00690C0F">
        <w:t xml:space="preserve">to </w:t>
      </w:r>
      <w:r w:rsidR="006861D4" w:rsidRPr="0001498E">
        <w:t>pass</w:t>
      </w:r>
      <w:r w:rsidR="006861D4">
        <w:t xml:space="preserve"> </w:t>
      </w:r>
      <w:r w:rsidR="006861D4" w:rsidRPr="0001498E">
        <w:t>through</w:t>
      </w:r>
      <w:r w:rsidR="006861D4">
        <w:t xml:space="preserve"> </w:t>
      </w:r>
      <w:r w:rsidR="006861D4" w:rsidRPr="0001498E">
        <w:t>a</w:t>
      </w:r>
      <w:r w:rsidR="006861D4">
        <w:t xml:space="preserve"> </w:t>
      </w:r>
      <w:r w:rsidR="006861D4" w:rsidRPr="0001498E">
        <w:t>tunnel</w:t>
      </w:r>
      <w:r w:rsidR="006861D4">
        <w:t xml:space="preserve"> </w:t>
      </w:r>
      <w:r w:rsidR="006861D4" w:rsidRPr="0001498E">
        <w:t>with</w:t>
      </w:r>
      <w:r w:rsidR="006861D4">
        <w:t xml:space="preserve"> </w:t>
      </w:r>
      <w:r w:rsidR="006861D4" w:rsidRPr="0001498E">
        <w:t>restrictions</w:t>
      </w:r>
      <w:r w:rsidR="006861D4">
        <w:t xml:space="preserve"> </w:t>
      </w:r>
      <w:r w:rsidR="006861D4" w:rsidRPr="0001498E">
        <w:t>for</w:t>
      </w:r>
      <w:r w:rsidR="006861D4">
        <w:t xml:space="preserve"> </w:t>
      </w:r>
      <w:r w:rsidR="006861D4" w:rsidRPr="0001498E">
        <w:t>carriage</w:t>
      </w:r>
      <w:r w:rsidR="006861D4">
        <w:t xml:space="preserve"> </w:t>
      </w:r>
      <w:r w:rsidR="006861D4" w:rsidRPr="0001498E">
        <w:t>of</w:t>
      </w:r>
      <w:r w:rsidR="006861D4">
        <w:t xml:space="preserve"> </w:t>
      </w:r>
      <w:r w:rsidR="006861D4" w:rsidRPr="0001498E">
        <w:t>dangerous</w:t>
      </w:r>
      <w:r w:rsidR="006861D4">
        <w:t xml:space="preserve"> </w:t>
      </w:r>
      <w:r w:rsidR="006861D4" w:rsidRPr="0001498E">
        <w:t>goods.</w:t>
      </w:r>
      <w:r w:rsidR="006861D4">
        <w:t xml:space="preserve"> In order to avoid unnecessary delays, </w:t>
      </w:r>
      <w:proofErr w:type="spellStart"/>
      <w:r w:rsidR="006861D4">
        <w:t>i</w:t>
      </w:r>
      <w:proofErr w:type="spellEnd"/>
      <w:r w:rsidR="001B349E">
        <w:rPr>
          <w:lang w:val="en-US"/>
        </w:rPr>
        <w:t>t seem</w:t>
      </w:r>
      <w:r w:rsidR="006B49B8">
        <w:rPr>
          <w:lang w:val="en-US"/>
        </w:rPr>
        <w:t>s</w:t>
      </w:r>
      <w:r w:rsidR="001B349E">
        <w:rPr>
          <w:lang w:val="en-US"/>
        </w:rPr>
        <w:t xml:space="preserve"> useful for the carriers as well for the tunnel operators to have a specific indication in the transport document on how to proceed in case of </w:t>
      </w:r>
      <w:r w:rsidR="006861D4">
        <w:rPr>
          <w:lang w:val="en-US"/>
        </w:rPr>
        <w:t xml:space="preserve">a </w:t>
      </w:r>
      <w:r w:rsidR="006B49B8">
        <w:rPr>
          <w:lang w:val="en-US"/>
        </w:rPr>
        <w:t xml:space="preserve">transport unit bearing orange plates of </w:t>
      </w:r>
      <w:r w:rsidR="001B349E">
        <w:rPr>
          <w:lang w:val="en-US"/>
        </w:rPr>
        <w:t>a mixed load in quantities of dangerous goods subject to tunnel restriction under the limits of 1.1.3.6</w:t>
      </w:r>
      <w:r w:rsidR="006B49B8">
        <w:rPr>
          <w:lang w:val="en-US"/>
        </w:rPr>
        <w:t>.</w:t>
      </w:r>
      <w:r w:rsidR="001B349E">
        <w:rPr>
          <w:lang w:val="en-US"/>
        </w:rPr>
        <w:t xml:space="preserve"> This happen</w:t>
      </w:r>
      <w:r w:rsidR="006B49B8">
        <w:rPr>
          <w:lang w:val="en-US"/>
        </w:rPr>
        <w:t xml:space="preserve">s for example </w:t>
      </w:r>
      <w:r w:rsidR="001B349E">
        <w:rPr>
          <w:lang w:val="en-US"/>
        </w:rPr>
        <w:t>in case of UN 3077 and 3082 carried in quantities exceeding the limits in 1.1.3.6 mixed lo</w:t>
      </w:r>
      <w:r w:rsidR="007C2B3C">
        <w:rPr>
          <w:lang w:val="en-US"/>
        </w:rPr>
        <w:t>a</w:t>
      </w:r>
      <w:r w:rsidR="001B349E">
        <w:rPr>
          <w:lang w:val="en-US"/>
        </w:rPr>
        <w:t xml:space="preserve">ded with other dangerous goods </w:t>
      </w:r>
      <w:r w:rsidR="007C2B3C">
        <w:rPr>
          <w:lang w:val="en-US"/>
        </w:rPr>
        <w:t xml:space="preserve">subject to tunnel restrictions but </w:t>
      </w:r>
      <w:r w:rsidR="001B349E">
        <w:rPr>
          <w:lang w:val="en-US"/>
        </w:rPr>
        <w:t xml:space="preserve">in quantities </w:t>
      </w:r>
      <w:r w:rsidR="007C2B3C">
        <w:rPr>
          <w:lang w:val="en-US"/>
        </w:rPr>
        <w:t>not exceeding the limits of 1.1.3.6.</w:t>
      </w:r>
      <w:r w:rsidR="006B49B8">
        <w:rPr>
          <w:lang w:val="en-US"/>
        </w:rPr>
        <w:t xml:space="preserve"> </w:t>
      </w:r>
      <w:r w:rsidR="008A1CE4">
        <w:t>Despite their orange-coloured plate marking,</w:t>
      </w:r>
      <w:r w:rsidR="006B49B8">
        <w:t xml:space="preserve"> such </w:t>
      </w:r>
      <w:r w:rsidR="008A1CE4">
        <w:t xml:space="preserve">transport units are not subject to tunnel restrictions when </w:t>
      </w:r>
      <w:r w:rsidR="006B49B8">
        <w:t xml:space="preserve">the placarding arises </w:t>
      </w:r>
      <w:r w:rsidR="006861D4">
        <w:t xml:space="preserve">only </w:t>
      </w:r>
      <w:r w:rsidR="006B49B8">
        <w:t>from</w:t>
      </w:r>
      <w:r w:rsidR="006861D4">
        <w:t xml:space="preserve"> the exceeding quantities of</w:t>
      </w:r>
      <w:r w:rsidR="006B49B8">
        <w:t xml:space="preserve"> </w:t>
      </w:r>
      <w:r w:rsidR="008A1CE4">
        <w:t xml:space="preserve">dangerous goods assigned with the mention </w:t>
      </w:r>
      <w:r w:rsidR="00867764" w:rsidRPr="00BB20CC">
        <w:t>‘(─)’</w:t>
      </w:r>
      <w:r w:rsidR="008A1CE4">
        <w:t>.</w:t>
      </w:r>
    </w:p>
    <w:p w:rsidR="007D6245" w:rsidRDefault="00A64187" w:rsidP="00064503">
      <w:pPr>
        <w:pStyle w:val="SingleTxtG"/>
      </w:pPr>
      <w:r>
        <w:t>8</w:t>
      </w:r>
      <w:r w:rsidR="008A1CE4">
        <w:t>.</w:t>
      </w:r>
      <w:r w:rsidR="008A1CE4">
        <w:tab/>
      </w:r>
      <w:r w:rsidR="006B49B8">
        <w:t>In the new 1.1.3.6.6</w:t>
      </w:r>
      <w:r w:rsidR="00867764">
        <w:t>,</w:t>
      </w:r>
      <w:r w:rsidR="006B49B8">
        <w:t xml:space="preserve"> we explain how to </w:t>
      </w:r>
      <w:r w:rsidR="00867764">
        <w:t>determine the calculated value</w:t>
      </w:r>
      <w:r w:rsidR="006B49B8">
        <w:t xml:space="preserve"> this kind of mixed loading. </w:t>
      </w:r>
    </w:p>
    <w:p w:rsidR="006B49B8" w:rsidRDefault="00A64187" w:rsidP="00064503">
      <w:pPr>
        <w:pStyle w:val="SingleTxtG"/>
      </w:pPr>
      <w:r>
        <w:t>9</w:t>
      </w:r>
      <w:r w:rsidR="006B49B8">
        <w:t>.</w:t>
      </w:r>
      <w:r w:rsidR="006B49B8">
        <w:tab/>
        <w:t>In 1.9.5.3.6, 8.6.3.1, 8.6.3.3 and 8.6.4 we added the necessary explanation</w:t>
      </w:r>
      <w:r w:rsidR="00BB20CC">
        <w:t>s</w:t>
      </w:r>
      <w:r w:rsidR="006B49B8">
        <w:t xml:space="preserve"> to decide on the permit to cross a restricted tunnel with such mixed loadings.</w:t>
      </w:r>
    </w:p>
    <w:p w:rsidR="008A1CE4" w:rsidRDefault="008A1CE4" w:rsidP="00994820">
      <w:pPr>
        <w:pStyle w:val="HChG"/>
      </w:pPr>
      <w:r>
        <w:tab/>
      </w:r>
      <w:r>
        <w:tab/>
        <w:t>Proposal</w:t>
      </w:r>
    </w:p>
    <w:p w:rsidR="001905BC" w:rsidRDefault="00A64187" w:rsidP="00064503">
      <w:pPr>
        <w:pStyle w:val="SingleTxtG"/>
      </w:pPr>
      <w:r>
        <w:t>10</w:t>
      </w:r>
      <w:r w:rsidR="001905BC">
        <w:t>.</w:t>
      </w:r>
      <w:r w:rsidR="001905BC">
        <w:tab/>
        <w:t>Add a sub-section 1.1.3.6</w:t>
      </w:r>
      <w:r w:rsidR="00867764">
        <w:t>.6</w:t>
      </w:r>
      <w:r w:rsidR="001905BC">
        <w:t xml:space="preserve"> as follows:</w:t>
      </w:r>
    </w:p>
    <w:p w:rsidR="00D66E5A" w:rsidRDefault="009D53C4" w:rsidP="00064503">
      <w:pPr>
        <w:pStyle w:val="SingleTxtG"/>
      </w:pPr>
      <w:r>
        <w:lastRenderedPageBreak/>
        <w:t>k</w:t>
      </w:r>
      <w:r w:rsidR="001905BC">
        <w:t>“</w:t>
      </w:r>
      <w:r w:rsidR="001905BC" w:rsidRPr="001905BC">
        <w:t>1.1.3.6.6</w:t>
      </w:r>
      <w:r w:rsidR="001905BC">
        <w:tab/>
      </w:r>
      <w:r w:rsidR="00D27507" w:rsidRPr="00D27507">
        <w:t>For the purposes of applying the tunnel restrictions of 1.9.5.3.6</w:t>
      </w:r>
      <w:r w:rsidR="00BB20CC">
        <w:t>,</w:t>
      </w:r>
      <w:r w:rsidR="00D27507" w:rsidRPr="00D27507">
        <w:t xml:space="preserve"> dangerous goods for which </w:t>
      </w:r>
      <w:r w:rsidR="00867764" w:rsidRPr="00BB20CC">
        <w:t>‘(─)’</w:t>
      </w:r>
      <w:r w:rsidR="00D27507" w:rsidRPr="00D27507">
        <w:t xml:space="preserve"> </w:t>
      </w:r>
      <w:r w:rsidR="00BB20CC">
        <w:t>is marked</w:t>
      </w:r>
      <w:r w:rsidR="00D27507" w:rsidRPr="00D27507">
        <w:t xml:space="preserve"> in column (15) of Table A of Chapter 3.2 should not be taken into account when calculating limit quantities allowed in tunnels. </w:t>
      </w:r>
      <w:r w:rsidR="001F08C6">
        <w:t xml:space="preserve">In case of mixed loading of </w:t>
      </w:r>
      <w:r w:rsidR="00BB20CC">
        <w:t xml:space="preserve">such </w:t>
      </w:r>
      <w:r w:rsidR="001F08C6" w:rsidRPr="001905BC">
        <w:t xml:space="preserve">dangerous goods </w:t>
      </w:r>
      <w:r w:rsidR="001F08C6">
        <w:t>with other dangerous goods having another tunnel restriction code</w:t>
      </w:r>
      <w:r w:rsidR="001905BC">
        <w:t>, only th</w:t>
      </w:r>
      <w:r w:rsidR="00D66E5A">
        <w:t xml:space="preserve">e last ones shall be taken into account </w:t>
      </w:r>
      <w:r w:rsidR="001905BC" w:rsidRPr="001905BC">
        <w:t xml:space="preserve">when calculating </w:t>
      </w:r>
      <w:r w:rsidR="00D66E5A">
        <w:t xml:space="preserve">the </w:t>
      </w:r>
      <w:r w:rsidR="001905BC" w:rsidRPr="001905BC">
        <w:t>limit</w:t>
      </w:r>
      <w:r w:rsidR="00D66E5A">
        <w:t xml:space="preserve"> quantities allowed in tunnels</w:t>
      </w:r>
      <w:r w:rsidR="001F08C6" w:rsidRPr="001F08C6">
        <w:t xml:space="preserve"> </w:t>
      </w:r>
      <w:r w:rsidR="001F08C6">
        <w:t>f</w:t>
      </w:r>
      <w:r w:rsidR="001F08C6" w:rsidRPr="001905BC">
        <w:t>or the p</w:t>
      </w:r>
      <w:r w:rsidR="001F08C6">
        <w:t xml:space="preserve">urposes of applying the tunnel </w:t>
      </w:r>
      <w:r w:rsidR="001F08C6" w:rsidRPr="001905BC">
        <w:t>restrictions of 1.9.5.3.6</w:t>
      </w:r>
      <w:r w:rsidR="00D66E5A">
        <w:t>.</w:t>
      </w:r>
    </w:p>
    <w:p w:rsidR="001905BC" w:rsidRDefault="001905BC" w:rsidP="00064503">
      <w:pPr>
        <w:pStyle w:val="SingleTxtG"/>
      </w:pPr>
      <w:r w:rsidRPr="001905BC">
        <w:t xml:space="preserve">For those </w:t>
      </w:r>
      <w:r w:rsidR="00D66E5A">
        <w:t xml:space="preserve">dangerous goods </w:t>
      </w:r>
      <w:r w:rsidRPr="001905BC">
        <w:t xml:space="preserve">with a tunnel restriction code other than </w:t>
      </w:r>
      <w:r w:rsidR="00867764" w:rsidRPr="00BB20CC">
        <w:t>‘(─)’</w:t>
      </w:r>
      <w:r w:rsidR="00BB20CC" w:rsidRPr="00D27507">
        <w:t xml:space="preserve"> </w:t>
      </w:r>
      <w:r w:rsidRPr="001905BC">
        <w:t xml:space="preserve">the restrictions in tunnels apply when the calculated value </w:t>
      </w:r>
      <w:r w:rsidR="00BB20CC" w:rsidRPr="001905BC">
        <w:t>for the</w:t>
      </w:r>
      <w:r w:rsidR="00BB20CC">
        <w:t>m</w:t>
      </w:r>
      <w:r w:rsidR="00BB20CC" w:rsidRPr="001905BC">
        <w:t xml:space="preserve"> taken alone </w:t>
      </w:r>
      <w:r w:rsidRPr="001905BC">
        <w:t>according to the 1.1.3.6.4 exceeds "1000"</w:t>
      </w:r>
      <w:r>
        <w:t>.</w:t>
      </w:r>
      <w:r w:rsidR="001F08C6">
        <w:t>”</w:t>
      </w:r>
    </w:p>
    <w:p w:rsidR="0018077F" w:rsidRDefault="00A64187" w:rsidP="00F20C6E">
      <w:pPr>
        <w:pStyle w:val="SingleTxtG"/>
      </w:pPr>
      <w:r>
        <w:t>11</w:t>
      </w:r>
      <w:r w:rsidR="00BB20CC">
        <w:t>.</w:t>
      </w:r>
      <w:r w:rsidR="00BB20CC">
        <w:tab/>
      </w:r>
      <w:r w:rsidR="0018077F">
        <w:t>Amend 1.9.5.3.6 as follows</w:t>
      </w:r>
      <w:r w:rsidR="00E044D9">
        <w:t xml:space="preserve"> (added text in </w:t>
      </w:r>
      <w:r w:rsidR="00E044D9" w:rsidRPr="007A3533">
        <w:rPr>
          <w:b/>
          <w:bCs/>
          <w:u w:val="single"/>
        </w:rPr>
        <w:t>bold and underlined</w:t>
      </w:r>
      <w:r w:rsidR="00E044D9">
        <w:rPr>
          <w:b/>
          <w:bCs/>
          <w:u w:val="single"/>
        </w:rPr>
        <w:t>)</w:t>
      </w:r>
      <w:r w:rsidR="0018077F">
        <w:t>:</w:t>
      </w:r>
    </w:p>
    <w:p w:rsidR="00622951" w:rsidRDefault="0018077F" w:rsidP="00867764">
      <w:pPr>
        <w:pStyle w:val="BodyTextIndent2"/>
        <w:tabs>
          <w:tab w:val="clear" w:pos="-720"/>
          <w:tab w:val="clear" w:pos="-324"/>
          <w:tab w:val="clear" w:pos="1134"/>
          <w:tab w:val="clear" w:pos="1701"/>
          <w:tab w:val="clear" w:pos="1985"/>
          <w:tab w:val="clear" w:pos="2268"/>
          <w:tab w:val="clear" w:pos="2552"/>
          <w:tab w:val="clear" w:pos="2835"/>
          <w:tab w:val="clear" w:pos="3119"/>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200"/>
        <w:ind w:left="1134" w:right="1134" w:hanging="23"/>
        <w:rPr>
          <w:rFonts w:ascii="Times New Roman" w:hAnsi="Times New Roman"/>
          <w:sz w:val="20"/>
        </w:rPr>
      </w:pPr>
      <w:r>
        <w:rPr>
          <w:sz w:val="20"/>
        </w:rPr>
        <w:t>“</w:t>
      </w:r>
      <w:r w:rsidRPr="006C61B3">
        <w:rPr>
          <w:sz w:val="20"/>
        </w:rPr>
        <w:t>1.9.5.3.6</w:t>
      </w:r>
      <w:r w:rsidR="00867764">
        <w:rPr>
          <w:sz w:val="20"/>
        </w:rPr>
        <w:tab/>
      </w:r>
      <w:r w:rsidRPr="006C61B3">
        <w:rPr>
          <w:rFonts w:ascii="Times New Roman" w:hAnsi="Times New Roman"/>
          <w:sz w:val="20"/>
        </w:rPr>
        <w:t xml:space="preserve">Tunnel restrictions shall apply to transport units for which an orange-coloured plate marking in accordance with 5.3.2 is required, except for the carriage of dangerous goods for which </w:t>
      </w:r>
      <w:r w:rsidR="00BB20CC" w:rsidRPr="00BB20CC">
        <w:rPr>
          <w:rFonts w:ascii="Times New Roman" w:hAnsi="Times New Roman"/>
          <w:sz w:val="20"/>
        </w:rPr>
        <w:t>‘(─)’</w:t>
      </w:r>
      <w:r w:rsidRPr="006C61B3">
        <w:rPr>
          <w:rFonts w:ascii="Times New Roman" w:hAnsi="Times New Roman"/>
          <w:sz w:val="20"/>
        </w:rPr>
        <w:t xml:space="preserve"> is marked in Column (15) of Table A of Chapter 3.2</w:t>
      </w:r>
      <w:r w:rsidR="007D6245">
        <w:rPr>
          <w:rFonts w:ascii="Times New Roman" w:hAnsi="Times New Roman"/>
          <w:sz w:val="20"/>
        </w:rPr>
        <w:t xml:space="preserve"> </w:t>
      </w:r>
      <w:r w:rsidR="007D6245">
        <w:rPr>
          <w:rFonts w:ascii="Times New Roman" w:hAnsi="Times New Roman"/>
          <w:b/>
          <w:sz w:val="20"/>
          <w:u w:val="single"/>
        </w:rPr>
        <w:t xml:space="preserve">even </w:t>
      </w:r>
      <w:r w:rsidR="00BB20CC">
        <w:rPr>
          <w:rFonts w:ascii="Times New Roman" w:hAnsi="Times New Roman"/>
          <w:b/>
          <w:sz w:val="20"/>
          <w:u w:val="single"/>
        </w:rPr>
        <w:t xml:space="preserve">in case of </w:t>
      </w:r>
      <w:r w:rsidRPr="0018077F">
        <w:rPr>
          <w:rFonts w:ascii="Times New Roman" w:hAnsi="Times New Roman"/>
          <w:b/>
          <w:sz w:val="20"/>
          <w:u w:val="single"/>
        </w:rPr>
        <w:t>mixed load</w:t>
      </w:r>
      <w:r w:rsidR="00BB20CC">
        <w:rPr>
          <w:rFonts w:ascii="Times New Roman" w:hAnsi="Times New Roman"/>
          <w:b/>
          <w:sz w:val="20"/>
          <w:u w:val="single"/>
        </w:rPr>
        <w:t>ing</w:t>
      </w:r>
      <w:r w:rsidRPr="0018077F">
        <w:rPr>
          <w:rFonts w:ascii="Times New Roman" w:hAnsi="Times New Roman"/>
          <w:b/>
          <w:sz w:val="20"/>
          <w:u w:val="single"/>
        </w:rPr>
        <w:t xml:space="preserve"> with </w:t>
      </w:r>
      <w:r w:rsidR="00BB20CC">
        <w:rPr>
          <w:rFonts w:ascii="Times New Roman" w:hAnsi="Times New Roman"/>
          <w:b/>
          <w:sz w:val="20"/>
          <w:u w:val="single"/>
        </w:rPr>
        <w:t xml:space="preserve">quantities of </w:t>
      </w:r>
      <w:r w:rsidRPr="0018077F">
        <w:rPr>
          <w:rFonts w:ascii="Times New Roman" w:hAnsi="Times New Roman"/>
          <w:b/>
          <w:sz w:val="20"/>
          <w:u w:val="single"/>
        </w:rPr>
        <w:t>dangerous goods subject to a tunnel restriction code other than ‘(─)’</w:t>
      </w:r>
      <w:r w:rsidR="00BB20CC">
        <w:rPr>
          <w:rFonts w:ascii="Times New Roman" w:hAnsi="Times New Roman"/>
          <w:b/>
          <w:sz w:val="20"/>
          <w:u w:val="single"/>
        </w:rPr>
        <w:t xml:space="preserve"> </w:t>
      </w:r>
      <w:r w:rsidR="007D6245">
        <w:rPr>
          <w:rFonts w:ascii="Times New Roman" w:hAnsi="Times New Roman"/>
          <w:b/>
          <w:sz w:val="20"/>
          <w:u w:val="single"/>
        </w:rPr>
        <w:t xml:space="preserve">according to </w:t>
      </w:r>
      <w:r w:rsidR="00BB20CC">
        <w:rPr>
          <w:rFonts w:ascii="Times New Roman" w:hAnsi="Times New Roman"/>
          <w:b/>
          <w:sz w:val="20"/>
          <w:u w:val="single"/>
        </w:rPr>
        <w:t>1.1.3.6.6.</w:t>
      </w:r>
      <w:r w:rsidRPr="0018077F">
        <w:rPr>
          <w:rFonts w:ascii="Times New Roman" w:hAnsi="Times New Roman"/>
          <w:sz w:val="20"/>
        </w:rPr>
        <w:t>. For</w:t>
      </w:r>
      <w:r w:rsidRPr="006C61B3">
        <w:rPr>
          <w:rFonts w:ascii="Times New Roman" w:hAnsi="Times New Roman"/>
          <w:sz w:val="20"/>
        </w:rPr>
        <w:t xml:space="preserve"> the dangerous goods assigned to UN Nos. 2919 and 3331, restrictions to the passage through tunnels may, however, be part of the special arrangement approved by the competent authority(</w:t>
      </w:r>
      <w:proofErr w:type="spellStart"/>
      <w:r w:rsidRPr="006C61B3">
        <w:rPr>
          <w:rFonts w:ascii="Times New Roman" w:hAnsi="Times New Roman"/>
          <w:sz w:val="20"/>
        </w:rPr>
        <w:t>ies</w:t>
      </w:r>
      <w:proofErr w:type="spellEnd"/>
      <w:r w:rsidRPr="006C61B3">
        <w:rPr>
          <w:rFonts w:ascii="Times New Roman" w:hAnsi="Times New Roman"/>
          <w:sz w:val="20"/>
        </w:rPr>
        <w:t>) on the basis of 1.7.4.2. For tunnels of category E, they shall apply also to transport units for which a marking in accordance with 3.4.13 is required or carrying containers for which a marking in accordance with 3.4.13 is required.</w:t>
      </w:r>
    </w:p>
    <w:p w:rsidR="0018077F" w:rsidRPr="006C61B3" w:rsidRDefault="00622951" w:rsidP="00867764">
      <w:pPr>
        <w:spacing w:after="200"/>
        <w:ind w:left="1134" w:right="1134"/>
        <w:jc w:val="both"/>
      </w:pPr>
      <w:r w:rsidRPr="006C61B3">
        <w:t xml:space="preserve">Tunnel restrictions shall not apply when </w:t>
      </w:r>
      <w:r>
        <w:rPr>
          <w:b/>
          <w:bCs/>
          <w:u w:val="single"/>
        </w:rPr>
        <w:t xml:space="preserve">the quantity in a transport unit of dangerous goods in packages to which tunnel restriction codes have been assigned does not exceed that referred to in 1.1.3.6.3 [calculated without taking into account any dangerous goods for which ‘(─)’ is marked in column (15) of Table A of Chapter 3.2] and </w:t>
      </w:r>
      <w:r w:rsidRPr="006C61B3">
        <w:t>dangerous goods are carried in accordance with 1.1.3, except when transport units carrying such goods are marked in accordance with 3.4.13 subject to 3.4.14.</w:t>
      </w:r>
      <w:r w:rsidR="007D6245">
        <w:t>”</w:t>
      </w:r>
    </w:p>
    <w:p w:rsidR="00F20C6E" w:rsidRDefault="00A64187" w:rsidP="00F20C6E">
      <w:pPr>
        <w:pStyle w:val="SingleTxtG"/>
      </w:pPr>
      <w:r>
        <w:t>12</w:t>
      </w:r>
      <w:r w:rsidR="00F20C6E">
        <w:t>.</w:t>
      </w:r>
      <w:r w:rsidR="00F20C6E">
        <w:tab/>
        <w:t>Add the following text in 5.4.1.1.10:</w:t>
      </w:r>
    </w:p>
    <w:p w:rsidR="00F20C6E" w:rsidRPr="00870395" w:rsidRDefault="00F20C6E" w:rsidP="00F20C6E">
      <w:pPr>
        <w:pStyle w:val="SingleTxtG"/>
        <w:rPr>
          <w:i/>
          <w:iCs/>
          <w:lang w:val="en-US"/>
        </w:rPr>
      </w:pPr>
      <w:r>
        <w:rPr>
          <w:lang w:val="en-US"/>
        </w:rPr>
        <w:t>“</w:t>
      </w:r>
      <w:r w:rsidRPr="00870395">
        <w:rPr>
          <w:lang w:val="en-US"/>
        </w:rPr>
        <w:t xml:space="preserve">5.4.1.1.10 </w:t>
      </w:r>
      <w:r w:rsidRPr="00870395">
        <w:rPr>
          <w:i/>
          <w:iCs/>
          <w:lang w:val="en-US"/>
        </w:rPr>
        <w:t>Special provisions for exemptions related to quantities carried per transport unit</w:t>
      </w:r>
    </w:p>
    <w:p w:rsidR="00F20C6E" w:rsidRDefault="00F20C6E" w:rsidP="00867764">
      <w:pPr>
        <w:autoSpaceDE w:val="0"/>
        <w:autoSpaceDN w:val="0"/>
        <w:adjustRightInd w:val="0"/>
        <w:spacing w:before="120" w:after="120"/>
        <w:ind w:left="1134" w:right="1134"/>
        <w:jc w:val="both"/>
        <w:rPr>
          <w:b/>
          <w:bCs/>
          <w:lang w:val="en-US"/>
        </w:rPr>
      </w:pPr>
      <w:r w:rsidRPr="008C14BA">
        <w:rPr>
          <w:lang w:val="en-US"/>
        </w:rPr>
        <w:t>In the case of exemptions provided for in 1.1.3.6</w:t>
      </w:r>
      <w:r>
        <w:rPr>
          <w:lang w:val="en-US"/>
        </w:rPr>
        <w:t>.6</w:t>
      </w:r>
      <w:r w:rsidRPr="008C14BA">
        <w:rPr>
          <w:lang w:val="en-US"/>
        </w:rPr>
        <w:t>, the transport document shall bear the</w:t>
      </w:r>
      <w:r>
        <w:rPr>
          <w:lang w:val="en-US"/>
        </w:rPr>
        <w:t xml:space="preserve"> </w:t>
      </w:r>
      <w:r w:rsidRPr="008C14BA">
        <w:rPr>
          <w:lang w:val="en-US"/>
        </w:rPr>
        <w:t xml:space="preserve">following inscription: </w:t>
      </w:r>
      <w:r w:rsidRPr="008C14BA">
        <w:rPr>
          <w:b/>
          <w:bCs/>
          <w:lang w:val="en-US"/>
        </w:rPr>
        <w:t>"Load not exceeding the exemption limits prescribed in 1.1.3.6.</w:t>
      </w:r>
      <w:r>
        <w:rPr>
          <w:b/>
          <w:bCs/>
          <w:lang w:val="en-US"/>
        </w:rPr>
        <w:t>6</w:t>
      </w:r>
      <w:r w:rsidRPr="008C14BA">
        <w:rPr>
          <w:b/>
          <w:bCs/>
          <w:lang w:val="en-US"/>
        </w:rPr>
        <w:t>"</w:t>
      </w:r>
      <w:r>
        <w:rPr>
          <w:b/>
          <w:bCs/>
          <w:lang w:val="en-US"/>
        </w:rPr>
        <w:t>.</w:t>
      </w:r>
    </w:p>
    <w:p w:rsidR="00690C0F" w:rsidRDefault="00690C0F" w:rsidP="00867764">
      <w:pPr>
        <w:autoSpaceDE w:val="0"/>
        <w:autoSpaceDN w:val="0"/>
        <w:adjustRightInd w:val="0"/>
        <w:spacing w:before="120" w:after="120"/>
        <w:ind w:left="1134" w:right="1134"/>
        <w:jc w:val="both"/>
        <w:rPr>
          <w:b/>
          <w:bCs/>
          <w:lang w:val="en-US"/>
        </w:rPr>
      </w:pPr>
      <w:r w:rsidRPr="00E536CD">
        <w:rPr>
          <w:b/>
          <w:i/>
        </w:rPr>
        <w:t>NOTE 1</w:t>
      </w:r>
      <w:r w:rsidRPr="00E536CD">
        <w:rPr>
          <w:b/>
          <w:bCs/>
          <w:i/>
        </w:rPr>
        <w:t>:</w:t>
      </w:r>
      <w:r w:rsidRPr="00E536CD">
        <w:rPr>
          <w:i/>
        </w:rPr>
        <w:t xml:space="preserve"> </w:t>
      </w:r>
      <w:r w:rsidRPr="00EB15E3">
        <w:rPr>
          <w:i/>
          <w:iCs/>
        </w:rPr>
        <w:t>In the case of intended application of 1.1.3.6, the total quantity and the calculated value of dangerous goods for each transport category shall be indicated in the transport document in accordance with 1.1.3.6.3</w:t>
      </w:r>
      <w:r w:rsidR="00CB78CB">
        <w:rPr>
          <w:i/>
          <w:iCs/>
        </w:rPr>
        <w:t>,</w:t>
      </w:r>
      <w:r w:rsidRPr="00EB15E3">
        <w:rPr>
          <w:i/>
          <w:iCs/>
        </w:rPr>
        <w:t xml:space="preserve"> 1.1.3.6.4</w:t>
      </w:r>
      <w:r w:rsidR="00CB78CB">
        <w:rPr>
          <w:i/>
          <w:iCs/>
        </w:rPr>
        <w:t xml:space="preserve"> and 1.1.3.6.6</w:t>
      </w:r>
      <w:r w:rsidRPr="00641F31">
        <w:rPr>
          <w:i/>
          <w:iCs/>
        </w:rPr>
        <w:t>.</w:t>
      </w:r>
    </w:p>
    <w:p w:rsidR="00AA09F4" w:rsidRDefault="00A64187" w:rsidP="00472C74">
      <w:pPr>
        <w:pStyle w:val="SingleTxtG"/>
        <w:spacing w:before="120"/>
      </w:pPr>
      <w:r>
        <w:t>13</w:t>
      </w:r>
      <w:r w:rsidR="00AA09F4">
        <w:t>.</w:t>
      </w:r>
      <w:r w:rsidR="00AA09F4">
        <w:tab/>
      </w:r>
      <w:r w:rsidR="00F52B5E">
        <w:t xml:space="preserve">Amend 8.6.3.1 as follows (added text in </w:t>
      </w:r>
      <w:r w:rsidR="00F52B5E" w:rsidRPr="007A3533">
        <w:rPr>
          <w:b/>
          <w:bCs/>
          <w:u w:val="single"/>
        </w:rPr>
        <w:t>bold and underlined</w:t>
      </w:r>
      <w:r w:rsidR="00867764" w:rsidRPr="00BC50F0">
        <w:t>)</w:t>
      </w:r>
      <w:r w:rsidR="00F52B5E">
        <w:t>:</w:t>
      </w:r>
    </w:p>
    <w:p w:rsidR="00AA09F4" w:rsidRPr="00041B7F" w:rsidRDefault="00D27507" w:rsidP="00867764">
      <w:pPr>
        <w:keepNext/>
        <w:keepLines/>
        <w:spacing w:after="200"/>
        <w:ind w:left="1134" w:right="1134"/>
        <w:jc w:val="both"/>
      </w:pPr>
      <w:r>
        <w:t>“</w:t>
      </w:r>
      <w:r w:rsidR="00AA09F4" w:rsidRPr="00041B7F">
        <w:t xml:space="preserve">8.6.3.1 </w:t>
      </w:r>
      <w:r w:rsidR="00AA09F4" w:rsidRPr="00041B7F">
        <w:tab/>
        <w:t>The restrictions for the transport of specific dangerous goods through tunnels are based on the tunnel restriction</w:t>
      </w:r>
      <w:r w:rsidR="00AA09F4" w:rsidRPr="00041B7F">
        <w:rPr>
          <w:color w:val="FF0000"/>
        </w:rPr>
        <w:t xml:space="preserve"> </w:t>
      </w:r>
      <w:r w:rsidR="00AA09F4" w:rsidRPr="00041B7F">
        <w:t>code of these goods, indicated in Column (15) of Table A of Chapter 3.2. The tunnel restriction</w:t>
      </w:r>
      <w:r w:rsidR="00AA09F4" w:rsidRPr="00041B7F">
        <w:rPr>
          <w:color w:val="FF0000"/>
        </w:rPr>
        <w:t xml:space="preserve"> </w:t>
      </w:r>
      <w:r w:rsidR="00AA09F4" w:rsidRPr="00041B7F">
        <w:t>codes are put between brackets at the bottom of the cell.</w:t>
      </w:r>
      <w:r w:rsidR="00AA09F4" w:rsidRPr="00041B7F">
        <w:rPr>
          <w:b/>
          <w:bCs/>
        </w:rPr>
        <w:t xml:space="preserve"> </w:t>
      </w:r>
      <w:r w:rsidR="00AA09F4" w:rsidRPr="00041B7F">
        <w:t>When ‘(─)’ is indicated instead of one of the tunnel restriction codes, the</w:t>
      </w:r>
      <w:r w:rsidR="00F52B5E" w:rsidRPr="00F52B5E">
        <w:rPr>
          <w:b/>
          <w:u w:val="single"/>
        </w:rPr>
        <w:t>se</w:t>
      </w:r>
      <w:r w:rsidR="00AA09F4" w:rsidRPr="00041B7F">
        <w:t xml:space="preserve"> dangerous goods are not subject to any tunnel restriction</w:t>
      </w:r>
      <w:r w:rsidR="00F52B5E" w:rsidRPr="00F52B5E">
        <w:rPr>
          <w:b/>
          <w:u w:val="single"/>
        </w:rPr>
        <w:t xml:space="preserve"> and should not be taken into account for </w:t>
      </w:r>
      <w:r w:rsidR="00F52B5E">
        <w:rPr>
          <w:b/>
          <w:u w:val="single"/>
        </w:rPr>
        <w:t xml:space="preserve">tunnel </w:t>
      </w:r>
      <w:r w:rsidR="00F52B5E" w:rsidRPr="00F52B5E">
        <w:rPr>
          <w:b/>
          <w:u w:val="single"/>
        </w:rPr>
        <w:t xml:space="preserve">restrictions </w:t>
      </w:r>
      <w:r>
        <w:rPr>
          <w:b/>
          <w:u w:val="single"/>
        </w:rPr>
        <w:t>even</w:t>
      </w:r>
      <w:r w:rsidR="00E044D9">
        <w:rPr>
          <w:b/>
          <w:u w:val="single"/>
        </w:rPr>
        <w:t xml:space="preserve"> in case of </w:t>
      </w:r>
      <w:r w:rsidR="00F52B5E">
        <w:rPr>
          <w:b/>
          <w:u w:val="single"/>
        </w:rPr>
        <w:t>mixed load</w:t>
      </w:r>
      <w:r w:rsidR="00E044D9">
        <w:rPr>
          <w:b/>
          <w:u w:val="single"/>
        </w:rPr>
        <w:t>ing</w:t>
      </w:r>
      <w:r w:rsidR="00F52B5E">
        <w:rPr>
          <w:b/>
          <w:u w:val="single"/>
        </w:rPr>
        <w:t xml:space="preserve"> with </w:t>
      </w:r>
      <w:r w:rsidR="00F52B5E" w:rsidRPr="00F52B5E">
        <w:rPr>
          <w:b/>
          <w:u w:val="single"/>
        </w:rPr>
        <w:t>dangerous goods subject to a tunnel restriction code other than</w:t>
      </w:r>
      <w:r w:rsidR="00F52B5E" w:rsidRPr="00D27507">
        <w:rPr>
          <w:b/>
          <w:u w:val="single"/>
        </w:rPr>
        <w:t xml:space="preserve"> ‘(─)’. F</w:t>
      </w:r>
      <w:r w:rsidR="00AA09F4" w:rsidRPr="00041B7F">
        <w:t>or the dangerous goods assigned to UN Nos. 2919 and 3331</w:t>
      </w:r>
      <w:r w:rsidR="00F52B5E">
        <w:t xml:space="preserve"> </w:t>
      </w:r>
      <w:r w:rsidR="00AA09F4" w:rsidRPr="00041B7F">
        <w:t>restrictions to the passage through tunnels may, however, be part of the special arrangement approved by the competent authority(</w:t>
      </w:r>
      <w:proofErr w:type="spellStart"/>
      <w:r w:rsidR="00AA09F4" w:rsidRPr="00041B7F">
        <w:t>ies</w:t>
      </w:r>
      <w:proofErr w:type="spellEnd"/>
      <w:r w:rsidR="00AA09F4" w:rsidRPr="00041B7F">
        <w:t xml:space="preserve">) </w:t>
      </w:r>
      <w:proofErr w:type="gramStart"/>
      <w:r w:rsidR="00AA09F4" w:rsidRPr="00041B7F">
        <w:t>on the basis of</w:t>
      </w:r>
      <w:proofErr w:type="gramEnd"/>
      <w:r w:rsidR="00AA09F4" w:rsidRPr="00041B7F">
        <w:t xml:space="preserve"> 1.7.4.2.</w:t>
      </w:r>
      <w:r>
        <w:t>”</w:t>
      </w:r>
    </w:p>
    <w:p w:rsidR="00622951" w:rsidRDefault="00A64187" w:rsidP="00622951">
      <w:pPr>
        <w:pStyle w:val="SingleTxtG"/>
      </w:pPr>
      <w:r>
        <w:t>14</w:t>
      </w:r>
      <w:r w:rsidR="00622951">
        <w:t>.</w:t>
      </w:r>
      <w:r w:rsidR="00622951">
        <w:tab/>
        <w:t xml:space="preserve">Amend 8.6.3.2 as follows (added text in </w:t>
      </w:r>
      <w:r w:rsidR="00622951" w:rsidRPr="007A3533">
        <w:rPr>
          <w:b/>
          <w:bCs/>
          <w:u w:val="single"/>
        </w:rPr>
        <w:t>bold and underlined</w:t>
      </w:r>
      <w:r w:rsidR="00867764" w:rsidRPr="00867764">
        <w:t>):</w:t>
      </w:r>
    </w:p>
    <w:p w:rsidR="00622951" w:rsidRDefault="00622951" w:rsidP="00867764">
      <w:pPr>
        <w:pStyle w:val="SingleTxtG"/>
      </w:pPr>
      <w:r>
        <w:t>“8.6.3.2</w:t>
      </w:r>
      <w:r w:rsidR="00472C74">
        <w:tab/>
      </w:r>
      <w:r>
        <w:t xml:space="preserve">When transport unit contains dangerous goods to which different tunnel restriction codes have been assigned, the most restrictive of these tunnel restriction codes shall be assigned to the whole load. </w:t>
      </w:r>
      <w:r>
        <w:rPr>
          <w:b/>
          <w:bCs/>
          <w:u w:val="single"/>
        </w:rPr>
        <w:t>When the quantity in a transport unit of dangerous goods in packages to which tunnel restriction codes have been assigned does not exceed that referred to in 1.1.3.6.3 [calculated without taking into account any dangerous goods for which ‘(─)’ is marked in column (15) of Table A of Chapter 3.2], there is no tunnel restriction code for the whole load</w:t>
      </w:r>
      <w:r>
        <w:t>”.</w:t>
      </w:r>
    </w:p>
    <w:p w:rsidR="00BC50F0" w:rsidRDefault="00BC50F0" w:rsidP="00867764">
      <w:pPr>
        <w:pStyle w:val="SingleTxtG"/>
      </w:pPr>
    </w:p>
    <w:p w:rsidR="00D27507" w:rsidRDefault="00A64187" w:rsidP="00D27507">
      <w:pPr>
        <w:pStyle w:val="SingleTxtG"/>
      </w:pPr>
      <w:r>
        <w:lastRenderedPageBreak/>
        <w:t>15</w:t>
      </w:r>
      <w:r w:rsidR="00D27507">
        <w:t>.</w:t>
      </w:r>
      <w:r w:rsidR="00D27507">
        <w:tab/>
        <w:t xml:space="preserve">Amend 8.6.3.3 as follows (added text in </w:t>
      </w:r>
      <w:r w:rsidR="00D27507" w:rsidRPr="007A3533">
        <w:rPr>
          <w:b/>
          <w:bCs/>
          <w:u w:val="single"/>
        </w:rPr>
        <w:t>bold and underlined</w:t>
      </w:r>
      <w:r w:rsidR="00E044D9" w:rsidRPr="00867764">
        <w:t>)</w:t>
      </w:r>
      <w:r w:rsidR="00D27507" w:rsidRPr="00867764">
        <w:t>:</w:t>
      </w:r>
    </w:p>
    <w:p w:rsidR="00D27507" w:rsidRDefault="00D27507" w:rsidP="00867764">
      <w:pPr>
        <w:spacing w:after="200"/>
        <w:ind w:left="1134" w:right="1134"/>
        <w:jc w:val="both"/>
        <w:rPr>
          <w:b/>
          <w:u w:val="single"/>
        </w:rPr>
      </w:pPr>
      <w:r>
        <w:t>“</w:t>
      </w:r>
      <w:r w:rsidRPr="00041B7F">
        <w:t>8.6.3.3</w:t>
      </w:r>
      <w:r w:rsidRPr="00041B7F">
        <w:tab/>
        <w:t xml:space="preserve">Dangerous goods carried in accordance with 1.1.3 are not subject to the tunnel restrictions and shall not be </w:t>
      </w:r>
      <w:proofErr w:type="gramStart"/>
      <w:r w:rsidRPr="00041B7F">
        <w:t>taken into account</w:t>
      </w:r>
      <w:proofErr w:type="gramEnd"/>
      <w:r w:rsidRPr="00041B7F">
        <w:t xml:space="preserve"> when determining the tunnel restriction code to be assigned to the whole load of a transport unit, except if the transport unit is required to be marked in accordance with 3.4.13 subject to 3.4.14</w:t>
      </w:r>
      <w:r w:rsidRPr="00204335">
        <w:rPr>
          <w:b/>
          <w:u w:val="single"/>
        </w:rPr>
        <w:t>.</w:t>
      </w:r>
      <w:r w:rsidR="00204335" w:rsidRPr="00204335">
        <w:rPr>
          <w:b/>
          <w:u w:val="single"/>
        </w:rPr>
        <w:t xml:space="preserve"> </w:t>
      </w:r>
      <w:r w:rsidR="00EC188B">
        <w:rPr>
          <w:b/>
          <w:u w:val="single"/>
        </w:rPr>
        <w:t>I</w:t>
      </w:r>
      <w:r w:rsidR="00204335" w:rsidRPr="00204335">
        <w:rPr>
          <w:b/>
          <w:u w:val="single"/>
        </w:rPr>
        <w:t xml:space="preserve">n accordance with 1.1.3.6.6 only dangerous goods subject to a tunnel restriction code other than </w:t>
      </w:r>
      <w:r w:rsidR="00204335" w:rsidRPr="00D27507">
        <w:rPr>
          <w:b/>
          <w:u w:val="single"/>
        </w:rPr>
        <w:t>‘(─)’</w:t>
      </w:r>
      <w:r w:rsidR="00204335">
        <w:rPr>
          <w:b/>
          <w:u w:val="single"/>
        </w:rPr>
        <w:t xml:space="preserve"> shall</w:t>
      </w:r>
      <w:r w:rsidR="00204335" w:rsidRPr="00204335">
        <w:rPr>
          <w:b/>
          <w:u w:val="single"/>
        </w:rPr>
        <w:t xml:space="preserve"> be </w:t>
      </w:r>
      <w:proofErr w:type="gramStart"/>
      <w:r w:rsidR="00204335" w:rsidRPr="00204335">
        <w:rPr>
          <w:b/>
          <w:u w:val="single"/>
        </w:rPr>
        <w:t>taken into account</w:t>
      </w:r>
      <w:proofErr w:type="gramEnd"/>
      <w:r w:rsidR="00204335" w:rsidRPr="00204335">
        <w:rPr>
          <w:b/>
          <w:u w:val="single"/>
        </w:rPr>
        <w:t xml:space="preserve"> when calculating the limit quantities allowed in tunnels for the purposes of applying the tunnel restrictions of 1.9.5.3.6.</w:t>
      </w:r>
      <w:r w:rsidR="00867764" w:rsidRPr="00867764">
        <w:rPr>
          <w:bCs/>
        </w:rPr>
        <w:t>”.</w:t>
      </w:r>
    </w:p>
    <w:p w:rsidR="009F7230" w:rsidRDefault="00A64187" w:rsidP="009F7230">
      <w:pPr>
        <w:pStyle w:val="SingleTxtG"/>
      </w:pPr>
      <w:r>
        <w:t>16</w:t>
      </w:r>
      <w:r w:rsidR="009F7230">
        <w:t>.</w:t>
      </w:r>
      <w:r w:rsidR="009F7230">
        <w:tab/>
        <w:t xml:space="preserve">Amend the text for </w:t>
      </w:r>
      <w:r w:rsidR="00F20C6E">
        <w:t>the last row “</w:t>
      </w:r>
      <w:proofErr w:type="gramStart"/>
      <w:r w:rsidR="00F20C6E">
        <w:t>-“</w:t>
      </w:r>
      <w:proofErr w:type="gramEnd"/>
      <w:r w:rsidR="009F7230">
        <w:t>in</w:t>
      </w:r>
      <w:r w:rsidR="00F20C6E">
        <w:t xml:space="preserve"> column “Restriction” of the table in 8.6.4 </w:t>
      </w:r>
      <w:r w:rsidR="009F7230">
        <w:t xml:space="preserve">as follows </w:t>
      </w:r>
      <w:r w:rsidR="00F20C6E">
        <w:t xml:space="preserve">(added text in </w:t>
      </w:r>
      <w:r w:rsidR="00F20C6E" w:rsidRPr="007A3533">
        <w:rPr>
          <w:b/>
          <w:bCs/>
          <w:u w:val="single"/>
        </w:rPr>
        <w:t>bold and underlined</w:t>
      </w:r>
      <w:r w:rsidR="00F20C6E">
        <w:t xml:space="preserve"> ):</w:t>
      </w:r>
    </w:p>
    <w:tbl>
      <w:tblPr>
        <w:tblStyle w:val="TableGrid"/>
        <w:tblW w:w="0" w:type="auto"/>
        <w:tblInd w:w="1134" w:type="dxa"/>
        <w:tblLook w:val="04A0" w:firstRow="1" w:lastRow="0" w:firstColumn="1" w:lastColumn="0" w:noHBand="0" w:noVBand="1"/>
      </w:tblPr>
      <w:tblGrid>
        <w:gridCol w:w="4244"/>
        <w:gridCol w:w="4251"/>
      </w:tblGrid>
      <w:tr w:rsidR="009F7230" w:rsidRPr="009F7230" w:rsidTr="00AC56AB">
        <w:tc>
          <w:tcPr>
            <w:tcW w:w="4244" w:type="dxa"/>
          </w:tcPr>
          <w:p w:rsidR="009F7230" w:rsidRPr="009F7230" w:rsidRDefault="009F7230" w:rsidP="009F7230">
            <w:pPr>
              <w:pStyle w:val="SingleTxtG"/>
              <w:ind w:left="0"/>
              <w:rPr>
                <w:rFonts w:eastAsia="SimSun"/>
              </w:rPr>
            </w:pPr>
            <w:r w:rsidRPr="009F7230">
              <w:rPr>
                <w:rFonts w:eastAsia="SimSun"/>
              </w:rPr>
              <w:t>Tunnel restriction code of the whole load</w:t>
            </w:r>
          </w:p>
        </w:tc>
        <w:tc>
          <w:tcPr>
            <w:tcW w:w="4251" w:type="dxa"/>
          </w:tcPr>
          <w:p w:rsidR="009F7230" w:rsidRPr="009F7230" w:rsidRDefault="009F7230" w:rsidP="009F7230">
            <w:pPr>
              <w:pStyle w:val="SingleTxtG"/>
              <w:rPr>
                <w:rFonts w:eastAsia="SimSun"/>
              </w:rPr>
            </w:pPr>
            <w:r w:rsidRPr="009F7230">
              <w:rPr>
                <w:rFonts w:eastAsia="SimSun"/>
              </w:rPr>
              <w:t>Restriction</w:t>
            </w:r>
          </w:p>
        </w:tc>
      </w:tr>
      <w:tr w:rsidR="009F7230" w:rsidRPr="009F7230" w:rsidTr="00AC56AB">
        <w:tc>
          <w:tcPr>
            <w:tcW w:w="8495" w:type="dxa"/>
            <w:gridSpan w:val="2"/>
          </w:tcPr>
          <w:p w:rsidR="009F7230" w:rsidRPr="009F7230" w:rsidRDefault="009F7230" w:rsidP="009F7230">
            <w:pPr>
              <w:pStyle w:val="SingleTxtG"/>
              <w:rPr>
                <w:rFonts w:eastAsia="SimSun"/>
              </w:rPr>
            </w:pPr>
            <w:r w:rsidRPr="009F7230">
              <w:rPr>
                <w:rFonts w:eastAsia="SimSun"/>
              </w:rPr>
              <w:t>…….</w:t>
            </w:r>
          </w:p>
        </w:tc>
      </w:tr>
      <w:tr w:rsidR="009F7230" w:rsidRPr="009F7230" w:rsidTr="00AC56AB">
        <w:tc>
          <w:tcPr>
            <w:tcW w:w="4244" w:type="dxa"/>
          </w:tcPr>
          <w:p w:rsidR="009F7230" w:rsidRPr="009F7230" w:rsidRDefault="009F7230" w:rsidP="009F7230">
            <w:pPr>
              <w:pStyle w:val="SingleTxtG"/>
              <w:rPr>
                <w:rFonts w:eastAsia="SimSun"/>
              </w:rPr>
            </w:pPr>
            <w:r w:rsidRPr="009F7230">
              <w:rPr>
                <w:rFonts w:eastAsia="SimSun"/>
              </w:rPr>
              <w:t>-</w:t>
            </w:r>
          </w:p>
        </w:tc>
        <w:tc>
          <w:tcPr>
            <w:tcW w:w="4251" w:type="dxa"/>
          </w:tcPr>
          <w:p w:rsidR="009F7230" w:rsidRPr="009F7230" w:rsidRDefault="009F7230" w:rsidP="009F7230">
            <w:pPr>
              <w:pStyle w:val="SingleTxtG"/>
              <w:ind w:left="40" w:right="28"/>
              <w:rPr>
                <w:rFonts w:eastAsia="SimSun"/>
              </w:rPr>
            </w:pPr>
            <w:r w:rsidRPr="009F7230">
              <w:rPr>
                <w:rFonts w:eastAsia="SimSun"/>
              </w:rPr>
              <w:t xml:space="preserve">Passage allowed through all tunnels (For UN Nos. 2919 and 3331, see also 8.6.3.1). </w:t>
            </w:r>
            <w:r w:rsidRPr="009F7230">
              <w:rPr>
                <w:rFonts w:eastAsia="SimSun"/>
                <w:b/>
                <w:u w:val="single"/>
              </w:rPr>
              <w:t xml:space="preserve">In the case of mixed loading with dangerous goods subject to another tunnel restriction code, only those </w:t>
            </w:r>
            <w:proofErr w:type="spellStart"/>
            <w:r w:rsidRPr="009F7230">
              <w:rPr>
                <w:rFonts w:eastAsia="SimSun"/>
                <w:b/>
                <w:u w:val="single"/>
              </w:rPr>
              <w:t>dangerou</w:t>
            </w:r>
            <w:proofErr w:type="spellEnd"/>
            <w:r w:rsidRPr="009F7230">
              <w:rPr>
                <w:rFonts w:eastAsia="SimSun"/>
                <w:b/>
                <w:u w:val="single"/>
              </w:rPr>
              <w:t xml:space="preserve"> subject to a restriction code other than </w:t>
            </w:r>
            <w:r w:rsidRPr="009F7230">
              <w:rPr>
                <w:rFonts w:eastAsia="SimSun"/>
                <w:b/>
                <w:bCs/>
                <w:u w:val="single"/>
              </w:rPr>
              <w:t>“(─)”</w:t>
            </w:r>
            <w:r w:rsidRPr="009F7230">
              <w:rPr>
                <w:rFonts w:eastAsia="SimSun"/>
                <w:b/>
                <w:u w:val="single"/>
              </w:rPr>
              <w:t xml:space="preserve"> shall be taken into account for the restrictions of passage</w:t>
            </w:r>
          </w:p>
        </w:tc>
      </w:tr>
    </w:tbl>
    <w:p w:rsidR="009F7230" w:rsidRDefault="009F7230" w:rsidP="009F7230">
      <w:pPr>
        <w:pStyle w:val="SingleTxtG"/>
      </w:pPr>
    </w:p>
    <w:p w:rsidR="00D827AD" w:rsidRDefault="008E7D83" w:rsidP="00E80913">
      <w:pPr>
        <w:pStyle w:val="SingleTxtG"/>
        <w:spacing w:before="240"/>
        <w:jc w:val="center"/>
        <w:rPr>
          <w:u w:val="single"/>
        </w:rPr>
      </w:pPr>
      <w:r>
        <w:rPr>
          <w:u w:val="single"/>
        </w:rPr>
        <w:tab/>
      </w:r>
      <w:r>
        <w:rPr>
          <w:u w:val="single"/>
        </w:rPr>
        <w:tab/>
      </w:r>
      <w:r>
        <w:rPr>
          <w:u w:val="single"/>
        </w:rPr>
        <w:tab/>
      </w:r>
    </w:p>
    <w:p w:rsidR="00E80913" w:rsidRDefault="00E80913" w:rsidP="00E80913">
      <w:pPr>
        <w:pStyle w:val="SingleTxtG"/>
        <w:spacing w:before="240"/>
        <w:jc w:val="center"/>
        <w:rPr>
          <w:u w:val="single"/>
        </w:rPr>
      </w:pPr>
    </w:p>
    <w:p w:rsidR="00E80913" w:rsidRDefault="00E80913" w:rsidP="00E80913">
      <w:pPr>
        <w:pStyle w:val="SingleTxtG"/>
        <w:spacing w:before="240"/>
        <w:jc w:val="center"/>
        <w:rPr>
          <w:u w:val="single"/>
        </w:rPr>
      </w:pPr>
    </w:p>
    <w:p w:rsidR="00E80913" w:rsidRDefault="00E80913" w:rsidP="00E80913">
      <w:pPr>
        <w:pStyle w:val="SingleTxtG"/>
        <w:spacing w:before="240"/>
        <w:jc w:val="center"/>
        <w:rPr>
          <w:u w:val="single"/>
        </w:rPr>
      </w:pPr>
    </w:p>
    <w:sectPr w:rsidR="00E80913" w:rsidSect="00867764">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5CD" w:rsidRPr="00FB1744" w:rsidRDefault="009D45CD" w:rsidP="00FB1744">
      <w:pPr>
        <w:pStyle w:val="Footer"/>
      </w:pPr>
    </w:p>
  </w:endnote>
  <w:endnote w:type="continuationSeparator" w:id="0">
    <w:p w:rsidR="009D45CD" w:rsidRPr="00FB1744" w:rsidRDefault="009D45C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5" w:rsidRDefault="00B61D15" w:rsidP="00A64187">
    <w:pPr>
      <w:pStyle w:val="Footer"/>
      <w:tabs>
        <w:tab w:val="right" w:pos="9638"/>
      </w:tabs>
    </w:pPr>
    <w:r w:rsidRPr="00B61D15">
      <w:rPr>
        <w:b/>
        <w:bCs/>
        <w:sz w:val="18"/>
      </w:rPr>
      <w:fldChar w:fldCharType="begin"/>
    </w:r>
    <w:r w:rsidRPr="00B61D15">
      <w:rPr>
        <w:b/>
        <w:bCs/>
        <w:sz w:val="18"/>
      </w:rPr>
      <w:instrText xml:space="preserve"> PAGE  \* MERGEFORMAT </w:instrText>
    </w:r>
    <w:r w:rsidRPr="00B61D15">
      <w:rPr>
        <w:b/>
        <w:bCs/>
        <w:sz w:val="18"/>
      </w:rPr>
      <w:fldChar w:fldCharType="separate"/>
    </w:r>
    <w:r w:rsidR="00FC7A32">
      <w:rPr>
        <w:b/>
        <w:bCs/>
        <w:noProof/>
        <w:sz w:val="18"/>
      </w:rPr>
      <w:t>4</w:t>
    </w:r>
    <w:r w:rsidRPr="00B61D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5" w:rsidRDefault="00B61D15" w:rsidP="00B61D15">
    <w:pPr>
      <w:pStyle w:val="Footer"/>
      <w:tabs>
        <w:tab w:val="right" w:pos="9638"/>
      </w:tabs>
    </w:pPr>
    <w:r>
      <w:tab/>
    </w:r>
    <w:r w:rsidRPr="00B61D15">
      <w:rPr>
        <w:b/>
        <w:bCs/>
        <w:sz w:val="18"/>
      </w:rPr>
      <w:fldChar w:fldCharType="begin"/>
    </w:r>
    <w:r w:rsidRPr="00B61D15">
      <w:rPr>
        <w:b/>
        <w:bCs/>
        <w:sz w:val="18"/>
      </w:rPr>
      <w:instrText xml:space="preserve"> PAGE  \* MERGEFORMAT </w:instrText>
    </w:r>
    <w:r w:rsidRPr="00B61D15">
      <w:rPr>
        <w:b/>
        <w:bCs/>
        <w:sz w:val="18"/>
      </w:rPr>
      <w:fldChar w:fldCharType="separate"/>
    </w:r>
    <w:r w:rsidR="00FC7A32">
      <w:rPr>
        <w:b/>
        <w:bCs/>
        <w:noProof/>
        <w:sz w:val="18"/>
      </w:rPr>
      <w:t>3</w:t>
    </w:r>
    <w:r w:rsidRPr="00B61D1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5CD" w:rsidRPr="00FB1744" w:rsidRDefault="009D45CD" w:rsidP="00FB1744">
      <w:pPr>
        <w:tabs>
          <w:tab w:val="right" w:pos="2155"/>
        </w:tabs>
        <w:spacing w:after="80"/>
        <w:ind w:left="680"/>
      </w:pPr>
      <w:r>
        <w:rPr>
          <w:u w:val="single"/>
        </w:rPr>
        <w:tab/>
      </w:r>
    </w:p>
  </w:footnote>
  <w:footnote w:type="continuationSeparator" w:id="0">
    <w:p w:rsidR="009D45CD" w:rsidRPr="00FB1744" w:rsidRDefault="009D45CD" w:rsidP="00FB1744">
      <w:pPr>
        <w:tabs>
          <w:tab w:val="right" w:pos="2155"/>
        </w:tabs>
        <w:spacing w:after="80"/>
        <w:ind w:left="680"/>
      </w:pPr>
      <w:r>
        <w:rPr>
          <w:u w:val="single"/>
        </w:rPr>
        <w:tab/>
      </w:r>
    </w:p>
  </w:footnote>
  <w:footnote w:id="1">
    <w:p w:rsidR="00A64187" w:rsidRPr="00986EAE" w:rsidRDefault="00A64187" w:rsidP="00A64187">
      <w:pPr>
        <w:pStyle w:val="FootnoteText"/>
        <w:tabs>
          <w:tab w:val="clear" w:pos="1021"/>
        </w:tabs>
        <w:ind w:left="1418" w:hanging="284"/>
        <w:jc w:val="both"/>
      </w:pPr>
      <w:r w:rsidRPr="005E5FC5">
        <w:rPr>
          <w:rStyle w:val="FootnoteReference"/>
          <w:sz w:val="20"/>
          <w:vertAlign w:val="baseline"/>
        </w:rPr>
        <w:sym w:font="Symbol" w:char="F02A"/>
      </w:r>
      <w:r w:rsidRPr="005E5FC5">
        <w:rPr>
          <w:sz w:val="20"/>
        </w:rPr>
        <w:tab/>
      </w:r>
      <w:r>
        <w:t xml:space="preserve">In accordance with the programme of work of the Inland Transport Committee for 2018–2019 </w:t>
      </w:r>
      <w:r>
        <w:rPr>
          <w:lang w:val="fr-FR"/>
        </w:rPr>
        <w:t>(ECE/TRANS/2018/21/Add.1, cluster 9, 9.1)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5" w:rsidRDefault="00B61D15" w:rsidP="00B61D15">
    <w:pPr>
      <w:pStyle w:val="Header"/>
    </w:pPr>
    <w:r>
      <w:t>ECE/TRANS/WP.15/2019/</w:t>
    </w:r>
    <w:r w:rsidR="00472C74">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5" w:rsidRDefault="00B61D15" w:rsidP="00B61D15">
    <w:pPr>
      <w:pStyle w:val="Header"/>
      <w:jc w:val="right"/>
    </w:pPr>
    <w:r>
      <w:t>ECE/TRANS/WP.15/2019/</w:t>
    </w:r>
    <w:r w:rsidR="00472C74">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74" w:rsidRPr="00472C74" w:rsidRDefault="00472C74" w:rsidP="00472C7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73F"/>
    <w:multiLevelType w:val="hybridMultilevel"/>
    <w:tmpl w:val="5EF8A986"/>
    <w:lvl w:ilvl="0" w:tplc="839ED1FC">
      <w:start w:val="11"/>
      <w:numFmt w:val="bullet"/>
      <w:lvlText w:val="-"/>
      <w:lvlJc w:val="left"/>
      <w:pPr>
        <w:tabs>
          <w:tab w:val="num" w:pos="870"/>
        </w:tabs>
        <w:ind w:left="870" w:hanging="51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2"/>
  </w:num>
  <w:num w:numId="10">
    <w:abstractNumId w:val="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CD"/>
    <w:rsid w:val="0002236A"/>
    <w:rsid w:val="00046E92"/>
    <w:rsid w:val="00064503"/>
    <w:rsid w:val="000D1B89"/>
    <w:rsid w:val="00107B9F"/>
    <w:rsid w:val="001170DC"/>
    <w:rsid w:val="00134C0C"/>
    <w:rsid w:val="0018077F"/>
    <w:rsid w:val="00183C4F"/>
    <w:rsid w:val="001905BC"/>
    <w:rsid w:val="001B349E"/>
    <w:rsid w:val="001F08C6"/>
    <w:rsid w:val="00204335"/>
    <w:rsid w:val="002366C1"/>
    <w:rsid w:val="00247E2C"/>
    <w:rsid w:val="00292078"/>
    <w:rsid w:val="002B0E67"/>
    <w:rsid w:val="002D6C53"/>
    <w:rsid w:val="002F5595"/>
    <w:rsid w:val="00334F6A"/>
    <w:rsid w:val="00342AC8"/>
    <w:rsid w:val="003722FD"/>
    <w:rsid w:val="003A4F5C"/>
    <w:rsid w:val="003B4550"/>
    <w:rsid w:val="00461253"/>
    <w:rsid w:val="00472C74"/>
    <w:rsid w:val="004D67F7"/>
    <w:rsid w:val="005042C2"/>
    <w:rsid w:val="00506C12"/>
    <w:rsid w:val="00553AC2"/>
    <w:rsid w:val="0056599A"/>
    <w:rsid w:val="00570863"/>
    <w:rsid w:val="00586F40"/>
    <w:rsid w:val="00587690"/>
    <w:rsid w:val="00622951"/>
    <w:rsid w:val="00671529"/>
    <w:rsid w:val="0067478E"/>
    <w:rsid w:val="006861D4"/>
    <w:rsid w:val="00690C0F"/>
    <w:rsid w:val="006B49B8"/>
    <w:rsid w:val="006C38F9"/>
    <w:rsid w:val="00717266"/>
    <w:rsid w:val="007268F9"/>
    <w:rsid w:val="007732AC"/>
    <w:rsid w:val="007A3533"/>
    <w:rsid w:val="007B4EEF"/>
    <w:rsid w:val="007C2B3C"/>
    <w:rsid w:val="007C52B0"/>
    <w:rsid w:val="007D6245"/>
    <w:rsid w:val="00831938"/>
    <w:rsid w:val="00867764"/>
    <w:rsid w:val="00870395"/>
    <w:rsid w:val="008A1CE4"/>
    <w:rsid w:val="008C14BA"/>
    <w:rsid w:val="008E0212"/>
    <w:rsid w:val="008E0730"/>
    <w:rsid w:val="008E649C"/>
    <w:rsid w:val="008E7D83"/>
    <w:rsid w:val="00940705"/>
    <w:rsid w:val="009411B4"/>
    <w:rsid w:val="0094233A"/>
    <w:rsid w:val="00950C65"/>
    <w:rsid w:val="00994820"/>
    <w:rsid w:val="009D0139"/>
    <w:rsid w:val="009D45CD"/>
    <w:rsid w:val="009D53C4"/>
    <w:rsid w:val="009F5CDC"/>
    <w:rsid w:val="009F7230"/>
    <w:rsid w:val="00A62D7D"/>
    <w:rsid w:val="00A64187"/>
    <w:rsid w:val="00A76514"/>
    <w:rsid w:val="00A775CF"/>
    <w:rsid w:val="00A95B7D"/>
    <w:rsid w:val="00AA09F4"/>
    <w:rsid w:val="00AB3C7E"/>
    <w:rsid w:val="00AC674E"/>
    <w:rsid w:val="00B06045"/>
    <w:rsid w:val="00B61D15"/>
    <w:rsid w:val="00BB20CC"/>
    <w:rsid w:val="00BC50F0"/>
    <w:rsid w:val="00C35A27"/>
    <w:rsid w:val="00C409E8"/>
    <w:rsid w:val="00C50422"/>
    <w:rsid w:val="00C7630E"/>
    <w:rsid w:val="00CB78CB"/>
    <w:rsid w:val="00D27507"/>
    <w:rsid w:val="00D66E5A"/>
    <w:rsid w:val="00D827AD"/>
    <w:rsid w:val="00DE6EAB"/>
    <w:rsid w:val="00E02C2B"/>
    <w:rsid w:val="00E044D9"/>
    <w:rsid w:val="00E27270"/>
    <w:rsid w:val="00E80913"/>
    <w:rsid w:val="00EC188B"/>
    <w:rsid w:val="00ED6C48"/>
    <w:rsid w:val="00EF0701"/>
    <w:rsid w:val="00F15199"/>
    <w:rsid w:val="00F20C6E"/>
    <w:rsid w:val="00F343C1"/>
    <w:rsid w:val="00F52B5E"/>
    <w:rsid w:val="00F65F5D"/>
    <w:rsid w:val="00F86A3A"/>
    <w:rsid w:val="00F930D8"/>
    <w:rsid w:val="00FB1744"/>
    <w:rsid w:val="00FC04AB"/>
    <w:rsid w:val="00FC7A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3FCC246-53E7-42FC-B4C4-15175A4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CE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A1CE4"/>
    <w:pPr>
      <w:spacing w:after="0"/>
      <w:ind w:right="0"/>
      <w:jc w:val="left"/>
      <w:outlineLvl w:val="0"/>
    </w:pPr>
  </w:style>
  <w:style w:type="paragraph" w:styleId="Heading2">
    <w:name w:val="heading 2"/>
    <w:basedOn w:val="Normal"/>
    <w:next w:val="Normal"/>
    <w:link w:val="Heading2Char"/>
    <w:semiHidden/>
    <w:rsid w:val="008A1CE4"/>
    <w:pPr>
      <w:outlineLvl w:val="1"/>
    </w:pPr>
  </w:style>
  <w:style w:type="paragraph" w:styleId="Heading3">
    <w:name w:val="heading 3"/>
    <w:basedOn w:val="Normal"/>
    <w:next w:val="Normal"/>
    <w:link w:val="Heading3Char"/>
    <w:semiHidden/>
    <w:rsid w:val="008A1CE4"/>
    <w:pPr>
      <w:outlineLvl w:val="2"/>
    </w:pPr>
  </w:style>
  <w:style w:type="paragraph" w:styleId="Heading4">
    <w:name w:val="heading 4"/>
    <w:basedOn w:val="Normal"/>
    <w:next w:val="Normal"/>
    <w:link w:val="Heading4Char"/>
    <w:semiHidden/>
    <w:rsid w:val="008A1CE4"/>
    <w:pPr>
      <w:outlineLvl w:val="3"/>
    </w:pPr>
  </w:style>
  <w:style w:type="paragraph" w:styleId="Heading5">
    <w:name w:val="heading 5"/>
    <w:basedOn w:val="Normal"/>
    <w:next w:val="Normal"/>
    <w:link w:val="Heading5Char"/>
    <w:semiHidden/>
    <w:rsid w:val="008A1CE4"/>
    <w:pPr>
      <w:outlineLvl w:val="4"/>
    </w:pPr>
  </w:style>
  <w:style w:type="paragraph" w:styleId="Heading6">
    <w:name w:val="heading 6"/>
    <w:basedOn w:val="Normal"/>
    <w:next w:val="Normal"/>
    <w:link w:val="Heading6Char"/>
    <w:semiHidden/>
    <w:rsid w:val="008A1CE4"/>
    <w:pPr>
      <w:outlineLvl w:val="5"/>
    </w:pPr>
  </w:style>
  <w:style w:type="paragraph" w:styleId="Heading7">
    <w:name w:val="heading 7"/>
    <w:basedOn w:val="Normal"/>
    <w:next w:val="Normal"/>
    <w:link w:val="Heading7Char"/>
    <w:semiHidden/>
    <w:rsid w:val="008A1CE4"/>
    <w:pPr>
      <w:outlineLvl w:val="6"/>
    </w:pPr>
  </w:style>
  <w:style w:type="paragraph" w:styleId="Heading8">
    <w:name w:val="heading 8"/>
    <w:basedOn w:val="Normal"/>
    <w:next w:val="Normal"/>
    <w:link w:val="Heading8Char"/>
    <w:semiHidden/>
    <w:rsid w:val="008A1CE4"/>
    <w:pPr>
      <w:outlineLvl w:val="7"/>
    </w:pPr>
  </w:style>
  <w:style w:type="paragraph" w:styleId="Heading9">
    <w:name w:val="heading 9"/>
    <w:basedOn w:val="Normal"/>
    <w:next w:val="Normal"/>
    <w:link w:val="Heading9Char"/>
    <w:semiHidden/>
    <w:rsid w:val="008A1C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A1CE4"/>
    <w:pPr>
      <w:pBdr>
        <w:bottom w:val="single" w:sz="4" w:space="4" w:color="auto"/>
      </w:pBdr>
    </w:pPr>
    <w:rPr>
      <w:b/>
      <w:sz w:val="18"/>
    </w:rPr>
  </w:style>
  <w:style w:type="character" w:customStyle="1" w:styleId="HeaderChar">
    <w:name w:val="Header Char"/>
    <w:aliases w:val="6_G Char"/>
    <w:basedOn w:val="DefaultParagraphFont"/>
    <w:link w:val="Header"/>
    <w:rsid w:val="008A1CE4"/>
    <w:rPr>
      <w:rFonts w:ascii="Times New Roman" w:hAnsi="Times New Roman" w:cs="Times New Roman"/>
      <w:b/>
      <w:sz w:val="18"/>
      <w:szCs w:val="20"/>
    </w:rPr>
  </w:style>
  <w:style w:type="paragraph" w:styleId="Footer">
    <w:name w:val="footer"/>
    <w:aliases w:val="3_G"/>
    <w:basedOn w:val="Normal"/>
    <w:link w:val="FooterChar"/>
    <w:rsid w:val="008A1CE4"/>
    <w:rPr>
      <w:sz w:val="16"/>
    </w:rPr>
  </w:style>
  <w:style w:type="character" w:customStyle="1" w:styleId="FooterChar">
    <w:name w:val="Footer Char"/>
    <w:aliases w:val="3_G Char"/>
    <w:basedOn w:val="DefaultParagraphFont"/>
    <w:link w:val="Footer"/>
    <w:rsid w:val="008A1CE4"/>
    <w:rPr>
      <w:rFonts w:ascii="Times New Roman" w:hAnsi="Times New Roman" w:cs="Times New Roman"/>
      <w:sz w:val="16"/>
      <w:szCs w:val="20"/>
    </w:rPr>
  </w:style>
  <w:style w:type="paragraph" w:customStyle="1" w:styleId="HMG">
    <w:name w:val="_ H __M_G"/>
    <w:basedOn w:val="Normal"/>
    <w:next w:val="Normal"/>
    <w:rsid w:val="008A1C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A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A1C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A1C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A1C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A1C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A1CE4"/>
    <w:pPr>
      <w:spacing w:after="120" w:line="240" w:lineRule="atLeast"/>
      <w:ind w:left="1134" w:right="1134"/>
      <w:jc w:val="both"/>
    </w:pPr>
  </w:style>
  <w:style w:type="paragraph" w:customStyle="1" w:styleId="SLG">
    <w:name w:val="__S_L_G"/>
    <w:basedOn w:val="Normal"/>
    <w:next w:val="Normal"/>
    <w:rsid w:val="008A1CE4"/>
    <w:pPr>
      <w:keepNext/>
      <w:keepLines/>
      <w:spacing w:before="240" w:after="240" w:line="580" w:lineRule="exact"/>
      <w:ind w:left="1134" w:right="1134"/>
    </w:pPr>
    <w:rPr>
      <w:b/>
      <w:sz w:val="56"/>
    </w:rPr>
  </w:style>
  <w:style w:type="paragraph" w:customStyle="1" w:styleId="SMG">
    <w:name w:val="__S_M_G"/>
    <w:basedOn w:val="Normal"/>
    <w:next w:val="Normal"/>
    <w:rsid w:val="008A1CE4"/>
    <w:pPr>
      <w:keepNext/>
      <w:keepLines/>
      <w:spacing w:before="240" w:after="240" w:line="420" w:lineRule="exact"/>
      <w:ind w:left="1134" w:right="1134"/>
    </w:pPr>
    <w:rPr>
      <w:b/>
      <w:sz w:val="40"/>
    </w:rPr>
  </w:style>
  <w:style w:type="paragraph" w:customStyle="1" w:styleId="SSG">
    <w:name w:val="__S_S_G"/>
    <w:basedOn w:val="Normal"/>
    <w:next w:val="Normal"/>
    <w:rsid w:val="008A1CE4"/>
    <w:pPr>
      <w:keepNext/>
      <w:keepLines/>
      <w:spacing w:before="240" w:after="240" w:line="300" w:lineRule="exact"/>
      <w:ind w:left="1134" w:right="1134"/>
    </w:pPr>
    <w:rPr>
      <w:b/>
      <w:sz w:val="28"/>
    </w:rPr>
  </w:style>
  <w:style w:type="paragraph" w:customStyle="1" w:styleId="XLargeG">
    <w:name w:val="__XLarge_G"/>
    <w:basedOn w:val="Normal"/>
    <w:next w:val="Normal"/>
    <w:rsid w:val="008A1CE4"/>
    <w:pPr>
      <w:keepNext/>
      <w:keepLines/>
      <w:spacing w:before="240" w:after="240" w:line="420" w:lineRule="exact"/>
      <w:ind w:left="1134" w:right="1134"/>
    </w:pPr>
    <w:rPr>
      <w:b/>
      <w:sz w:val="40"/>
    </w:rPr>
  </w:style>
  <w:style w:type="paragraph" w:customStyle="1" w:styleId="Bullet1G">
    <w:name w:val="_Bullet 1_G"/>
    <w:basedOn w:val="Normal"/>
    <w:qFormat/>
    <w:rsid w:val="008A1CE4"/>
    <w:pPr>
      <w:numPr>
        <w:numId w:val="8"/>
      </w:numPr>
      <w:spacing w:after="120"/>
      <w:ind w:right="1134"/>
      <w:jc w:val="both"/>
    </w:pPr>
  </w:style>
  <w:style w:type="paragraph" w:customStyle="1" w:styleId="Bullet2G">
    <w:name w:val="_Bullet 2_G"/>
    <w:basedOn w:val="Normal"/>
    <w:qFormat/>
    <w:rsid w:val="008A1CE4"/>
    <w:pPr>
      <w:numPr>
        <w:numId w:val="9"/>
      </w:numPr>
      <w:spacing w:after="120"/>
      <w:ind w:right="1134"/>
      <w:jc w:val="both"/>
    </w:pPr>
  </w:style>
  <w:style w:type="paragraph" w:customStyle="1" w:styleId="ParaNoG">
    <w:name w:val="_ParaNo._G"/>
    <w:basedOn w:val="SingleTxtG"/>
    <w:rsid w:val="008A1CE4"/>
    <w:pPr>
      <w:numPr>
        <w:numId w:val="10"/>
      </w:numPr>
    </w:pPr>
  </w:style>
  <w:style w:type="numbering" w:styleId="111111">
    <w:name w:val="Outline List 2"/>
    <w:basedOn w:val="NoList"/>
    <w:semiHidden/>
    <w:rsid w:val="008A1CE4"/>
    <w:pPr>
      <w:numPr>
        <w:numId w:val="11"/>
      </w:numPr>
    </w:pPr>
  </w:style>
  <w:style w:type="numbering" w:styleId="1ai">
    <w:name w:val="Outline List 1"/>
    <w:basedOn w:val="NoList"/>
    <w:semiHidden/>
    <w:rsid w:val="008A1CE4"/>
    <w:pPr>
      <w:numPr>
        <w:numId w:val="6"/>
      </w:numPr>
    </w:pPr>
  </w:style>
  <w:style w:type="character" w:styleId="EndnoteReference">
    <w:name w:val="endnote reference"/>
    <w:aliases w:val="1_G"/>
    <w:rsid w:val="008A1CE4"/>
    <w:rPr>
      <w:rFonts w:ascii="Times New Roman" w:hAnsi="Times New Roman"/>
      <w:sz w:val="18"/>
      <w:vertAlign w:val="superscript"/>
    </w:rPr>
  </w:style>
  <w:style w:type="paragraph" w:styleId="FootnoteText">
    <w:name w:val="footnote text"/>
    <w:aliases w:val="5_G"/>
    <w:basedOn w:val="Normal"/>
    <w:link w:val="FootnoteTextChar"/>
    <w:qFormat/>
    <w:rsid w:val="008A1CE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A1CE4"/>
    <w:rPr>
      <w:rFonts w:ascii="Times New Roman" w:hAnsi="Times New Roman" w:cs="Times New Roman"/>
      <w:sz w:val="18"/>
      <w:szCs w:val="20"/>
    </w:rPr>
  </w:style>
  <w:style w:type="paragraph" w:styleId="EndnoteText">
    <w:name w:val="endnote text"/>
    <w:aliases w:val="2_G"/>
    <w:basedOn w:val="FootnoteText"/>
    <w:link w:val="EndnoteTextChar"/>
    <w:rsid w:val="008A1CE4"/>
  </w:style>
  <w:style w:type="character" w:customStyle="1" w:styleId="EndnoteTextChar">
    <w:name w:val="Endnote Text Char"/>
    <w:aliases w:val="2_G Char"/>
    <w:basedOn w:val="DefaultParagraphFont"/>
    <w:link w:val="EndnoteText"/>
    <w:rsid w:val="008A1CE4"/>
    <w:rPr>
      <w:rFonts w:ascii="Times New Roman" w:hAnsi="Times New Roman" w:cs="Times New Roman"/>
      <w:sz w:val="18"/>
      <w:szCs w:val="20"/>
    </w:rPr>
  </w:style>
  <w:style w:type="character" w:styleId="FootnoteReference">
    <w:name w:val="footnote reference"/>
    <w:aliases w:val="4_G"/>
    <w:qFormat/>
    <w:rsid w:val="008A1CE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A1CE4"/>
    <w:rPr>
      <w:rFonts w:ascii="Times New Roman" w:hAnsi="Times New Roman" w:cs="Times New Roman"/>
      <w:sz w:val="20"/>
      <w:szCs w:val="20"/>
    </w:rPr>
  </w:style>
  <w:style w:type="character" w:customStyle="1" w:styleId="Heading2Char">
    <w:name w:val="Heading 2 Char"/>
    <w:basedOn w:val="DefaultParagraphFont"/>
    <w:link w:val="Heading2"/>
    <w:semiHidden/>
    <w:rsid w:val="008A1CE4"/>
    <w:rPr>
      <w:rFonts w:ascii="Times New Roman" w:hAnsi="Times New Roman" w:cs="Times New Roman"/>
      <w:sz w:val="20"/>
      <w:szCs w:val="20"/>
    </w:rPr>
  </w:style>
  <w:style w:type="character" w:customStyle="1" w:styleId="Heading3Char">
    <w:name w:val="Heading 3 Char"/>
    <w:basedOn w:val="DefaultParagraphFont"/>
    <w:link w:val="Heading3"/>
    <w:semiHidden/>
    <w:rsid w:val="008A1CE4"/>
    <w:rPr>
      <w:rFonts w:ascii="Times New Roman" w:hAnsi="Times New Roman" w:cs="Times New Roman"/>
      <w:sz w:val="20"/>
      <w:szCs w:val="20"/>
    </w:rPr>
  </w:style>
  <w:style w:type="character" w:customStyle="1" w:styleId="Heading4Char">
    <w:name w:val="Heading 4 Char"/>
    <w:basedOn w:val="DefaultParagraphFont"/>
    <w:link w:val="Heading4"/>
    <w:semiHidden/>
    <w:rsid w:val="008A1CE4"/>
    <w:rPr>
      <w:rFonts w:ascii="Times New Roman" w:hAnsi="Times New Roman" w:cs="Times New Roman"/>
      <w:sz w:val="20"/>
      <w:szCs w:val="20"/>
    </w:rPr>
  </w:style>
  <w:style w:type="character" w:customStyle="1" w:styleId="Heading5Char">
    <w:name w:val="Heading 5 Char"/>
    <w:basedOn w:val="DefaultParagraphFont"/>
    <w:link w:val="Heading5"/>
    <w:semiHidden/>
    <w:rsid w:val="008A1CE4"/>
    <w:rPr>
      <w:rFonts w:ascii="Times New Roman" w:hAnsi="Times New Roman" w:cs="Times New Roman"/>
      <w:sz w:val="20"/>
      <w:szCs w:val="20"/>
    </w:rPr>
  </w:style>
  <w:style w:type="character" w:customStyle="1" w:styleId="Heading6Char">
    <w:name w:val="Heading 6 Char"/>
    <w:basedOn w:val="DefaultParagraphFont"/>
    <w:link w:val="Heading6"/>
    <w:semiHidden/>
    <w:rsid w:val="008A1CE4"/>
    <w:rPr>
      <w:rFonts w:ascii="Times New Roman" w:hAnsi="Times New Roman" w:cs="Times New Roman"/>
      <w:sz w:val="20"/>
      <w:szCs w:val="20"/>
    </w:rPr>
  </w:style>
  <w:style w:type="character" w:customStyle="1" w:styleId="Heading7Char">
    <w:name w:val="Heading 7 Char"/>
    <w:basedOn w:val="DefaultParagraphFont"/>
    <w:link w:val="Heading7"/>
    <w:semiHidden/>
    <w:rsid w:val="008A1CE4"/>
    <w:rPr>
      <w:rFonts w:ascii="Times New Roman" w:hAnsi="Times New Roman" w:cs="Times New Roman"/>
      <w:sz w:val="20"/>
      <w:szCs w:val="20"/>
    </w:rPr>
  </w:style>
  <w:style w:type="character" w:customStyle="1" w:styleId="Heading8Char">
    <w:name w:val="Heading 8 Char"/>
    <w:basedOn w:val="DefaultParagraphFont"/>
    <w:link w:val="Heading8"/>
    <w:semiHidden/>
    <w:rsid w:val="008A1CE4"/>
    <w:rPr>
      <w:rFonts w:ascii="Times New Roman" w:hAnsi="Times New Roman" w:cs="Times New Roman"/>
      <w:sz w:val="20"/>
      <w:szCs w:val="20"/>
    </w:rPr>
  </w:style>
  <w:style w:type="character" w:customStyle="1" w:styleId="Heading9Char">
    <w:name w:val="Heading 9 Char"/>
    <w:basedOn w:val="DefaultParagraphFont"/>
    <w:link w:val="Heading9"/>
    <w:semiHidden/>
    <w:rsid w:val="008A1CE4"/>
    <w:rPr>
      <w:rFonts w:ascii="Times New Roman" w:hAnsi="Times New Roman" w:cs="Times New Roman"/>
      <w:sz w:val="20"/>
      <w:szCs w:val="20"/>
    </w:rPr>
  </w:style>
  <w:style w:type="character" w:styleId="PageNumber">
    <w:name w:val="page number"/>
    <w:aliases w:val="7_G"/>
    <w:semiHidden/>
    <w:rsid w:val="008A1CE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A1CE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E4"/>
    <w:rPr>
      <w:rFonts w:ascii="Tahoma" w:hAnsi="Tahoma" w:cs="Tahoma"/>
      <w:sz w:val="16"/>
      <w:szCs w:val="16"/>
    </w:rPr>
  </w:style>
  <w:style w:type="character" w:customStyle="1" w:styleId="BalloonTextChar">
    <w:name w:val="Balloon Text Char"/>
    <w:basedOn w:val="DefaultParagraphFont"/>
    <w:link w:val="BalloonText"/>
    <w:uiPriority w:val="99"/>
    <w:semiHidden/>
    <w:rsid w:val="008A1CE4"/>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BodyTextIndent2">
    <w:name w:val="Body Text Indent 2"/>
    <w:basedOn w:val="Normal"/>
    <w:link w:val="BodyTextIndent2Char"/>
    <w:rsid w:val="0018077F"/>
    <w:pPr>
      <w:tabs>
        <w:tab w:val="left" w:pos="-720"/>
        <w:tab w:val="left" w:pos="-324"/>
        <w:tab w:val="left" w:pos="1134"/>
        <w:tab w:val="left" w:pos="1701"/>
        <w:tab w:val="left" w:pos="1985"/>
        <w:tab w:val="left" w:pos="2268"/>
        <w:tab w:val="left" w:pos="2552"/>
        <w:tab w:val="left" w:pos="2835"/>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68" w:hanging="2268"/>
      <w:jc w:val="both"/>
    </w:pPr>
    <w:rPr>
      <w:rFonts w:ascii="CG Times" w:eastAsia="Times New Roman" w:hAnsi="CG Times"/>
      <w:sz w:val="22"/>
      <w:lang w:eastAsia="en-US"/>
    </w:rPr>
  </w:style>
  <w:style w:type="character" w:customStyle="1" w:styleId="BodyTextIndent2Char">
    <w:name w:val="Body Text Indent 2 Char"/>
    <w:basedOn w:val="DefaultParagraphFont"/>
    <w:link w:val="BodyTextIndent2"/>
    <w:rsid w:val="0018077F"/>
    <w:rPr>
      <w:rFonts w:ascii="CG Times" w:eastAsia="Times New Roman" w:hAnsi="CG 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269F-48E7-4781-86DF-72DA8604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1710</Words>
  <Characters>9850</Characters>
  <Application>Microsoft Office Word</Application>
  <DocSecurity>0</DocSecurity>
  <Lines>223</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ECE/TRANS/WP.15/2019/8</vt:lpstr>
      <vt:lpstr>ECE/TRANS/WP.15/2019/8</vt:lpstr>
    </vt:vector>
  </TitlesOfParts>
  <Company>DCM</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ECE/TRANS/WP.15/2019/8</dc:title>
  <dc:subject>1902572</dc:subject>
  <dc:creator>AVT</dc:creator>
  <cp:keywords/>
  <dc:description/>
  <cp:lastModifiedBy>Christine Barrio-Champeau</cp:lastModifiedBy>
  <cp:revision>8</cp:revision>
  <cp:lastPrinted>2019-08-19T08:44:00Z</cp:lastPrinted>
  <dcterms:created xsi:type="dcterms:W3CDTF">2019-08-19T09:08:00Z</dcterms:created>
  <dcterms:modified xsi:type="dcterms:W3CDTF">2019-08-21T13:54:00Z</dcterms:modified>
</cp:coreProperties>
</file>