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bookmarkStart w:id="0" w:name="_GoBack"/>
            <w:bookmarkEnd w:id="0"/>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CA6BB6" w:rsidP="00CA6BB6">
            <w:pPr>
              <w:suppressAutoHyphens w:val="0"/>
              <w:spacing w:after="20"/>
              <w:jc w:val="right"/>
            </w:pPr>
            <w:r w:rsidRPr="00CA6BB6">
              <w:rPr>
                <w:sz w:val="40"/>
              </w:rPr>
              <w:t>ECE</w:t>
            </w:r>
            <w:r>
              <w:t>/TRANS/WP.15/2019/15</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val="en-US" w:eastAsia="zh-CN"/>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CA6BB6" w:rsidP="00CA6BB6">
            <w:pPr>
              <w:spacing w:before="240"/>
            </w:pPr>
            <w:r>
              <w:t>Distr.: General</w:t>
            </w:r>
          </w:p>
          <w:p w:rsidR="00CA6BB6" w:rsidRDefault="00CA6BB6" w:rsidP="00CA6BB6">
            <w:pPr>
              <w:suppressAutoHyphens w:val="0"/>
            </w:pPr>
            <w:r>
              <w:t>19 August 2019</w:t>
            </w:r>
          </w:p>
          <w:p w:rsidR="00CA6BB6" w:rsidRDefault="00CA6BB6" w:rsidP="00CA6BB6">
            <w:pPr>
              <w:suppressAutoHyphens w:val="0"/>
            </w:pPr>
            <w:r>
              <w:t>English</w:t>
            </w:r>
          </w:p>
          <w:p w:rsidR="00CA6BB6" w:rsidRDefault="00CA6BB6" w:rsidP="00CA6BB6">
            <w:pPr>
              <w:suppressAutoHyphens w:val="0"/>
            </w:pPr>
            <w:r>
              <w:t>Original: French</w:t>
            </w:r>
          </w:p>
        </w:tc>
      </w:tr>
    </w:tbl>
    <w:p w:rsidR="009E0307" w:rsidRDefault="009E0307">
      <w:pPr>
        <w:spacing w:before="120"/>
        <w:rPr>
          <w:b/>
          <w:sz w:val="28"/>
          <w:szCs w:val="28"/>
        </w:rPr>
      </w:pPr>
      <w:r>
        <w:rPr>
          <w:b/>
          <w:sz w:val="28"/>
          <w:szCs w:val="28"/>
        </w:rPr>
        <w:t>Economic Commission for Europe</w:t>
      </w:r>
    </w:p>
    <w:p w:rsidR="009E0307" w:rsidRDefault="009E0307">
      <w:pPr>
        <w:spacing w:before="120"/>
        <w:rPr>
          <w:sz w:val="28"/>
          <w:szCs w:val="28"/>
        </w:rPr>
      </w:pPr>
      <w:r>
        <w:rPr>
          <w:sz w:val="28"/>
          <w:szCs w:val="28"/>
        </w:rPr>
        <w:t>Inland Transport Committee</w:t>
      </w:r>
    </w:p>
    <w:p w:rsidR="009E0307" w:rsidRDefault="009E0307">
      <w:pPr>
        <w:spacing w:before="120"/>
        <w:rPr>
          <w:b/>
          <w:sz w:val="24"/>
          <w:szCs w:val="24"/>
        </w:rPr>
      </w:pPr>
      <w:r>
        <w:rPr>
          <w:b/>
          <w:sz w:val="24"/>
          <w:szCs w:val="24"/>
        </w:rPr>
        <w:t xml:space="preserve">Working Party on the Transport of </w:t>
      </w:r>
      <w:r w:rsidRPr="009E0307">
        <w:rPr>
          <w:b/>
          <w:sz w:val="24"/>
          <w:szCs w:val="24"/>
        </w:rPr>
        <w:t>Dangerous Goods</w:t>
      </w:r>
    </w:p>
    <w:p w:rsidR="009E0307" w:rsidRPr="009E0307" w:rsidRDefault="009E0307" w:rsidP="009E0307">
      <w:pPr>
        <w:spacing w:before="120"/>
        <w:rPr>
          <w:b/>
          <w:bCs/>
        </w:rPr>
      </w:pPr>
      <w:r w:rsidRPr="009E0307">
        <w:rPr>
          <w:b/>
          <w:bCs/>
        </w:rPr>
        <w:t>107th session</w:t>
      </w:r>
    </w:p>
    <w:p w:rsidR="009E0307" w:rsidRDefault="009E0307" w:rsidP="009E0307">
      <w:r>
        <w:t>Geneva, 11–15 November 2019</w:t>
      </w:r>
    </w:p>
    <w:p w:rsidR="009E0307" w:rsidRDefault="009E0307" w:rsidP="009E0307">
      <w:r>
        <w:t>Item 5 (b) of the provisional agenda</w:t>
      </w:r>
    </w:p>
    <w:p w:rsidR="009E0307" w:rsidRPr="009E0307" w:rsidRDefault="009E0307" w:rsidP="009E0307">
      <w:pPr>
        <w:rPr>
          <w:b/>
          <w:bCs/>
        </w:rPr>
      </w:pPr>
      <w:r w:rsidRPr="009E0307">
        <w:rPr>
          <w:b/>
          <w:bCs/>
        </w:rPr>
        <w:t>Proposals for amendments to annexes A and B of ADR:</w:t>
      </w:r>
      <w:r w:rsidRPr="009E0307">
        <w:rPr>
          <w:b/>
          <w:bCs/>
        </w:rPr>
        <w:br/>
        <w:t>miscellaneous proposals</w:t>
      </w:r>
    </w:p>
    <w:p w:rsidR="009E0307" w:rsidRDefault="009E0307" w:rsidP="009E0307">
      <w:pPr>
        <w:pStyle w:val="HChG"/>
      </w:pPr>
      <w:r>
        <w:tab/>
      </w:r>
      <w:r>
        <w:tab/>
        <w:t>Marking of containers loaded with limited quantities and tunnel restrictions</w:t>
      </w:r>
    </w:p>
    <w:p w:rsidR="00CA6BB6" w:rsidRDefault="009E0307" w:rsidP="009E0307">
      <w:pPr>
        <w:pStyle w:val="H1G"/>
      </w:pPr>
      <w:r>
        <w:tab/>
      </w:r>
      <w:r>
        <w:tab/>
        <w:t>Transmitted by the Government of Switzerland</w:t>
      </w:r>
      <w:r w:rsidRPr="009E0307">
        <w:rPr>
          <w:rStyle w:val="FootnoteReference"/>
          <w:b w:val="0"/>
          <w:bCs/>
          <w:sz w:val="20"/>
          <w:vertAlign w:val="baseline"/>
        </w:rPr>
        <w:footnoteReference w:customMarkFollows="1" w:id="1"/>
        <w:t>*</w:t>
      </w:r>
    </w:p>
    <w:tbl>
      <w:tblPr>
        <w:tblStyle w:val="TableGrid"/>
        <w:tblW w:w="0" w:type="auto"/>
        <w:jc w:val="center"/>
        <w:tblBorders>
          <w:insideH w:val="none" w:sz="0" w:space="0" w:color="auto"/>
        </w:tblBorders>
        <w:tblLayout w:type="fixed"/>
        <w:tblLook w:val="05E0" w:firstRow="1" w:lastRow="1" w:firstColumn="1" w:lastColumn="1" w:noHBand="0" w:noVBand="1"/>
      </w:tblPr>
      <w:tblGrid>
        <w:gridCol w:w="9637"/>
      </w:tblGrid>
      <w:tr w:rsidR="00775E9F" w:rsidTr="00226D56">
        <w:trPr>
          <w:jc w:val="center"/>
        </w:trPr>
        <w:tc>
          <w:tcPr>
            <w:tcW w:w="9637" w:type="dxa"/>
            <w:shd w:val="clear" w:color="auto" w:fill="auto"/>
          </w:tcPr>
          <w:p w:rsidR="00775E9F" w:rsidRDefault="00775E9F" w:rsidP="00226D56">
            <w:pPr>
              <w:spacing w:before="240" w:after="120"/>
              <w:ind w:left="255"/>
              <w:rPr>
                <w:i/>
                <w:sz w:val="24"/>
              </w:rPr>
            </w:pPr>
            <w:r w:rsidRPr="00285CB8">
              <w:rPr>
                <w:i/>
                <w:iCs/>
                <w:sz w:val="24"/>
                <w:szCs w:val="24"/>
              </w:rPr>
              <w:t>Summary</w:t>
            </w:r>
          </w:p>
        </w:tc>
      </w:tr>
      <w:tr w:rsidR="00775E9F" w:rsidRPr="00392BBD" w:rsidTr="00226D56">
        <w:trPr>
          <w:jc w:val="center"/>
        </w:trPr>
        <w:tc>
          <w:tcPr>
            <w:tcW w:w="9637" w:type="dxa"/>
            <w:shd w:val="clear" w:color="auto" w:fill="auto"/>
          </w:tcPr>
          <w:p w:rsidR="00775E9F" w:rsidRPr="00BF5E47" w:rsidRDefault="00775E9F" w:rsidP="00775E9F">
            <w:pPr>
              <w:pStyle w:val="SingleTxtG"/>
              <w:ind w:left="3402" w:hanging="2268"/>
              <w:rPr>
                <w:lang w:val="en-US"/>
              </w:rPr>
            </w:pPr>
            <w:r>
              <w:rPr>
                <w:b/>
                <w:bCs/>
              </w:rPr>
              <w:t>Executive summary</w:t>
            </w:r>
            <w:r w:rsidRPr="000B3862">
              <w:t>:</w:t>
            </w:r>
            <w:r>
              <w:tab/>
              <w:t>Transport units and containers containing limited quantities are subject to restrictions for passage through tunnels of category E in accordance with 1.9.5.3.6. However, the text aimed at users in 8.6.3.3 and 8.6.4 does not mention the restriction for containers. The proposal is to add a reference to containers in 8.6.3.3 and 8.6.4.</w:t>
            </w:r>
            <w:r w:rsidR="0091072B">
              <w:t xml:space="preserve"> </w:t>
            </w:r>
          </w:p>
        </w:tc>
      </w:tr>
      <w:tr w:rsidR="00775E9F" w:rsidRPr="00392BBD" w:rsidTr="00226D56">
        <w:trPr>
          <w:jc w:val="center"/>
        </w:trPr>
        <w:tc>
          <w:tcPr>
            <w:tcW w:w="9637" w:type="dxa"/>
            <w:shd w:val="clear" w:color="auto" w:fill="auto"/>
          </w:tcPr>
          <w:p w:rsidR="00775E9F" w:rsidRPr="00BF5E47" w:rsidRDefault="00775E9F" w:rsidP="00775E9F">
            <w:pPr>
              <w:pStyle w:val="SingleTxtG"/>
              <w:tabs>
                <w:tab w:val="left" w:pos="3391"/>
              </w:tabs>
              <w:rPr>
                <w:lang w:val="en-US"/>
              </w:rPr>
            </w:pPr>
            <w:r w:rsidRPr="00AB013C">
              <w:rPr>
                <w:b/>
                <w:bCs/>
              </w:rPr>
              <w:t>Action to be taken</w:t>
            </w:r>
            <w:r>
              <w:t>:</w:t>
            </w:r>
            <w:r>
              <w:tab/>
              <w:t>Amend the text of 8.6.3.3 and 8.6.4.</w:t>
            </w:r>
          </w:p>
        </w:tc>
      </w:tr>
      <w:tr w:rsidR="00775E9F" w:rsidRPr="00392BBD" w:rsidTr="00226D56">
        <w:trPr>
          <w:jc w:val="center"/>
        </w:trPr>
        <w:tc>
          <w:tcPr>
            <w:tcW w:w="9637" w:type="dxa"/>
            <w:shd w:val="clear" w:color="auto" w:fill="auto"/>
          </w:tcPr>
          <w:p w:rsidR="00775E9F" w:rsidRPr="00BF5E47" w:rsidRDefault="00775E9F" w:rsidP="00226D56">
            <w:pPr>
              <w:pStyle w:val="SingleTxtG"/>
              <w:ind w:left="3402" w:hanging="2268"/>
              <w:jc w:val="left"/>
              <w:rPr>
                <w:lang w:val="en-US"/>
              </w:rPr>
            </w:pPr>
            <w:r w:rsidRPr="006339C4">
              <w:rPr>
                <w:b/>
                <w:bCs/>
              </w:rPr>
              <w:t>Related documents</w:t>
            </w:r>
            <w:r w:rsidRPr="000B3862">
              <w:t>:</w:t>
            </w:r>
            <w:r w:rsidRPr="006339C4">
              <w:tab/>
              <w:t xml:space="preserve">Informal </w:t>
            </w:r>
            <w:r w:rsidRPr="00392BBD">
              <w:t>document INF.23 of the 104th</w:t>
            </w:r>
            <w:r>
              <w:t xml:space="preserve"> session of the Working Party, ECE/TRANS/WP.15/AC.1/2018/14 and OTIF/RID/CE/GTP/2017/9 (Sweden), ECE/TRANS/WP.15/2019/7 and informal document INF.7 of the 106th session of the Working Party.</w:t>
            </w:r>
          </w:p>
        </w:tc>
      </w:tr>
      <w:tr w:rsidR="00775E9F" w:rsidRPr="00392BBD" w:rsidTr="00226D56">
        <w:trPr>
          <w:jc w:val="center"/>
        </w:trPr>
        <w:tc>
          <w:tcPr>
            <w:tcW w:w="9637" w:type="dxa"/>
            <w:shd w:val="clear" w:color="auto" w:fill="auto"/>
          </w:tcPr>
          <w:p w:rsidR="00775E9F" w:rsidRPr="00BF5E47" w:rsidRDefault="00775E9F" w:rsidP="00226D56">
            <w:pPr>
              <w:rPr>
                <w:lang w:val="en-US"/>
              </w:rPr>
            </w:pPr>
          </w:p>
        </w:tc>
      </w:tr>
    </w:tbl>
    <w:p w:rsidR="00CA6BB6" w:rsidRPr="00226D56" w:rsidRDefault="00CA6BB6" w:rsidP="00473627">
      <w:pPr>
        <w:pStyle w:val="HChG"/>
      </w:pPr>
      <w:r>
        <w:br w:type="page"/>
      </w:r>
      <w:r w:rsidRPr="00226D56">
        <w:lastRenderedPageBreak/>
        <w:tab/>
      </w:r>
      <w:r w:rsidRPr="00226D56">
        <w:tab/>
        <w:t>Background</w:t>
      </w:r>
    </w:p>
    <w:p w:rsidR="00CA6BB6" w:rsidRPr="00226D56" w:rsidRDefault="00CA6BB6" w:rsidP="00765C0F">
      <w:pPr>
        <w:pStyle w:val="SingleTxtG"/>
      </w:pPr>
      <w:r w:rsidRPr="00226D56">
        <w:t>1.</w:t>
      </w:r>
      <w:r w:rsidRPr="00226D56">
        <w:tab/>
        <w:t>Following on from a proposal by Switzerland (ECE/TRANS/WP.15/2019/7) made during the 106th session of the Working Party regarding the marking of containers loaded with packages containing limited quantities in accordance with Chapter 3.4, some support was expressed for the proposal made in informal document INF.7 by Sweden. However, the proposal was referred back to the Joint Meeting to consider both rail and road. The marking of wagons and containers will be discussed at the Joint Meeting of September 2019 based on document ECE/TRANS/WP.15/AC.1/2019/38.</w:t>
      </w:r>
    </w:p>
    <w:p w:rsidR="00CA6BB6" w:rsidRPr="00226D56" w:rsidRDefault="00CA6BB6" w:rsidP="00B90D2B">
      <w:pPr>
        <w:pStyle w:val="HChG"/>
      </w:pPr>
      <w:r w:rsidRPr="00226D56">
        <w:tab/>
      </w:r>
      <w:r w:rsidRPr="00226D56">
        <w:tab/>
        <w:t>Introduction</w:t>
      </w:r>
    </w:p>
    <w:p w:rsidR="00CA6BB6" w:rsidRPr="00226D56" w:rsidRDefault="00CA6BB6" w:rsidP="00765C0F">
      <w:pPr>
        <w:pStyle w:val="SingleTxtG"/>
      </w:pPr>
      <w:r w:rsidRPr="00226D56">
        <w:t>2.</w:t>
      </w:r>
      <w:r w:rsidRPr="00226D56">
        <w:tab/>
        <w:t>During the drafting of document ECE/TRANS/WP.15/AC.1/2019/38, it became clear that the issue of passage through tunnels subject to restrictions on loads of limited quantities in accordance with Chapter 3.4 is not satisfactorily resolved in ADR. This matter is only of concern to WP.15, which is why we are submitting this document separately from those addressing issues related to containers that will be discussed at the Joint Meeting.</w:t>
      </w:r>
    </w:p>
    <w:p w:rsidR="00CA6BB6" w:rsidRPr="00226D56" w:rsidRDefault="00CA6BB6" w:rsidP="00765C0F">
      <w:pPr>
        <w:pStyle w:val="SingleTxtG"/>
      </w:pPr>
      <w:r w:rsidRPr="00226D56">
        <w:t>3.</w:t>
      </w:r>
      <w:r w:rsidRPr="00226D56">
        <w:tab/>
        <w:t>Transport units loaded with quantities of more than 8 tonnes of dangerous goods transported in accordance with Chapter 3.4 must be marked in accordance with 3.4.13. In accordance with 1.9.5.3.6, category E tunnel restrictions also apply to containers for which marking in accordance with 3.4.13 is required:</w:t>
      </w:r>
    </w:p>
    <w:p w:rsidR="00CA6BB6" w:rsidRPr="00226D56" w:rsidRDefault="0091072B" w:rsidP="001C339F">
      <w:pPr>
        <w:pStyle w:val="SingleTxtG"/>
        <w:tabs>
          <w:tab w:val="left" w:pos="2552"/>
        </w:tabs>
        <w:ind w:left="2552" w:hanging="1418"/>
      </w:pPr>
      <w:r>
        <w:t>“</w:t>
      </w:r>
      <w:r w:rsidR="00CA6BB6" w:rsidRPr="00226D56">
        <w:t>1.9.5.3.6</w:t>
      </w:r>
      <w:r w:rsidR="001C339F">
        <w:tab/>
      </w:r>
      <w:r w:rsidR="004A0136">
        <w:t xml:space="preserve">… </w:t>
      </w:r>
      <w:r w:rsidR="00CA6BB6" w:rsidRPr="00226D56">
        <w:t xml:space="preserve">For tunnels of category E, they shall apply also to transport units for which a marking in accordance with 3.4.13 is required or carrying </w:t>
      </w:r>
      <w:r w:rsidR="00CA6BB6" w:rsidRPr="001C339F">
        <w:rPr>
          <w:b/>
          <w:bCs/>
          <w:u w:val="single"/>
        </w:rPr>
        <w:t>containers</w:t>
      </w:r>
      <w:r w:rsidR="00CA6BB6" w:rsidRPr="00226D56">
        <w:t xml:space="preserve"> for which a marking in accordance with 3.4.13 is required.</w:t>
      </w:r>
      <w:r>
        <w:t>”</w:t>
      </w:r>
    </w:p>
    <w:p w:rsidR="00CA6BB6" w:rsidRPr="00226D56" w:rsidRDefault="00CA6BB6" w:rsidP="00765C0F">
      <w:pPr>
        <w:pStyle w:val="SingleTxtG"/>
      </w:pPr>
      <w:r w:rsidRPr="00226D56">
        <w:t>4.</w:t>
      </w:r>
      <w:r w:rsidRPr="00226D56">
        <w:tab/>
        <w:t xml:space="preserve">As we stressed at previous sessions of WP.15 (in informal document INF.23 of the 104th session and ECE/TRANS/WP.15/2019/7), container marking in accordance with 3.4.13 of ADR is important during passage through and for safety inside tunnels subject to restrictions. </w:t>
      </w:r>
    </w:p>
    <w:p w:rsidR="00CA6BB6" w:rsidRPr="00226D56" w:rsidRDefault="00CA6BB6" w:rsidP="00765C0F">
      <w:pPr>
        <w:pStyle w:val="SingleTxtG"/>
      </w:pPr>
      <w:r w:rsidRPr="00226D56">
        <w:t>5.</w:t>
      </w:r>
      <w:r w:rsidRPr="00226D56">
        <w:tab/>
        <w:t xml:space="preserve">Section 3.4.13 regulates the marking of both transport units and containers, which is why 1.9.5.3.6 specifically refers to it. However, the related restrictions are not specified for containers in 8.6.3.3 and 8.6.4. The text in Chapter 8.6 is aimed at users and is where the carrier is supposed to find the applicable tunnel restrictions. </w:t>
      </w:r>
    </w:p>
    <w:p w:rsidR="00CA6BB6" w:rsidRPr="00226D56" w:rsidRDefault="00CA6BB6" w:rsidP="00E72A8F">
      <w:pPr>
        <w:pStyle w:val="SingleTxtG"/>
      </w:pPr>
      <w:r w:rsidRPr="00226D56">
        <w:t>6.</w:t>
      </w:r>
      <w:r w:rsidRPr="00226D56">
        <w:tab/>
        <w:t xml:space="preserve">A few examples of different situations relating to transport units or containers containing dangerous goods are shown below. </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4113"/>
        <w:gridCol w:w="2722"/>
      </w:tblGrid>
      <w:tr w:rsidR="00765C0F" w:rsidRPr="00A778FE" w:rsidTr="00B90D2B">
        <w:tc>
          <w:tcPr>
            <w:tcW w:w="565" w:type="dxa"/>
            <w:tcBorders>
              <w:top w:val="single" w:sz="4" w:space="0" w:color="auto"/>
              <w:left w:val="single" w:sz="4" w:space="0" w:color="auto"/>
              <w:bottom w:val="single" w:sz="4" w:space="0" w:color="auto"/>
              <w:right w:val="nil"/>
            </w:tcBorders>
          </w:tcPr>
          <w:p w:rsidR="00765C0F" w:rsidRPr="00BF5E47" w:rsidRDefault="00765C0F" w:rsidP="00226D56">
            <w:pPr>
              <w:pStyle w:val="SingleTxtG"/>
              <w:spacing w:before="60" w:after="60"/>
              <w:ind w:left="57" w:right="57"/>
              <w:rPr>
                <w:lang w:val="en-US"/>
              </w:rPr>
            </w:pPr>
            <w:r w:rsidRPr="00BF5E47">
              <w:rPr>
                <w:lang w:val="en-US"/>
              </w:rPr>
              <w:br w:type="page"/>
            </w:r>
          </w:p>
        </w:tc>
        <w:tc>
          <w:tcPr>
            <w:tcW w:w="6835" w:type="dxa"/>
            <w:gridSpan w:val="2"/>
            <w:tcBorders>
              <w:top w:val="single" w:sz="4" w:space="0" w:color="auto"/>
              <w:left w:val="nil"/>
            </w:tcBorders>
            <w:shd w:val="clear" w:color="auto" w:fill="auto"/>
          </w:tcPr>
          <w:p w:rsidR="00765C0F" w:rsidRPr="00A778FE" w:rsidRDefault="00765C0F" w:rsidP="00226D56">
            <w:pPr>
              <w:pStyle w:val="SingleTxtG"/>
              <w:spacing w:before="60" w:after="60"/>
              <w:ind w:left="57" w:right="57"/>
              <w:rPr>
                <w:b/>
              </w:rPr>
            </w:pPr>
            <w:r>
              <w:rPr>
                <w:b/>
                <w:bCs/>
              </w:rPr>
              <w:t>Container or transport unit</w:t>
            </w:r>
          </w:p>
        </w:tc>
      </w:tr>
      <w:tr w:rsidR="00765C0F" w:rsidRPr="00A778FE" w:rsidTr="00B90D2B">
        <w:tc>
          <w:tcPr>
            <w:tcW w:w="565" w:type="dxa"/>
            <w:tcBorders>
              <w:top w:val="single" w:sz="4" w:space="0" w:color="auto"/>
              <w:left w:val="single" w:sz="4" w:space="0" w:color="auto"/>
              <w:bottom w:val="single" w:sz="4" w:space="0" w:color="auto"/>
              <w:right w:val="single" w:sz="4" w:space="0" w:color="auto"/>
            </w:tcBorders>
          </w:tcPr>
          <w:p w:rsidR="00765C0F" w:rsidRPr="00A778FE" w:rsidRDefault="00765C0F" w:rsidP="00226D56">
            <w:pPr>
              <w:pStyle w:val="SingleTxtG"/>
              <w:spacing w:before="60" w:after="60"/>
              <w:ind w:left="57" w:right="57"/>
            </w:pPr>
          </w:p>
        </w:tc>
        <w:tc>
          <w:tcPr>
            <w:tcW w:w="4113" w:type="dxa"/>
            <w:tcBorders>
              <w:left w:val="single" w:sz="4" w:space="0" w:color="auto"/>
            </w:tcBorders>
            <w:shd w:val="clear" w:color="auto" w:fill="auto"/>
          </w:tcPr>
          <w:p w:rsidR="00765C0F" w:rsidRPr="00A778FE" w:rsidRDefault="00765C0F" w:rsidP="00226D56">
            <w:pPr>
              <w:pStyle w:val="SingleTxtG"/>
              <w:spacing w:before="60" w:after="60"/>
              <w:ind w:left="57" w:right="57"/>
              <w:rPr>
                <w:b/>
              </w:rPr>
            </w:pPr>
            <w:r>
              <w:rPr>
                <w:b/>
                <w:bCs/>
              </w:rPr>
              <w:t>Content</w:t>
            </w:r>
          </w:p>
        </w:tc>
        <w:tc>
          <w:tcPr>
            <w:tcW w:w="2722" w:type="dxa"/>
            <w:shd w:val="clear" w:color="auto" w:fill="auto"/>
          </w:tcPr>
          <w:p w:rsidR="00765C0F" w:rsidRPr="00A778FE" w:rsidRDefault="00765C0F" w:rsidP="00226D56">
            <w:pPr>
              <w:pStyle w:val="SingleTxtG"/>
              <w:spacing w:before="60" w:after="60"/>
              <w:ind w:left="57" w:right="57"/>
              <w:rPr>
                <w:b/>
              </w:rPr>
            </w:pPr>
            <w:r>
              <w:rPr>
                <w:b/>
                <w:bCs/>
              </w:rPr>
              <w:t>Placarding/marking</w:t>
            </w:r>
          </w:p>
        </w:tc>
      </w:tr>
      <w:tr w:rsidR="00765C0F" w:rsidRPr="00A778FE" w:rsidTr="00B90D2B">
        <w:tc>
          <w:tcPr>
            <w:tcW w:w="565" w:type="dxa"/>
          </w:tcPr>
          <w:p w:rsidR="00765C0F" w:rsidRPr="00A778FE" w:rsidRDefault="00765C0F" w:rsidP="00226D56">
            <w:pPr>
              <w:pStyle w:val="SingleTxtG"/>
              <w:spacing w:before="60" w:after="60"/>
              <w:ind w:left="57" w:right="57"/>
            </w:pPr>
            <w:r>
              <w:t>1</w:t>
            </w:r>
          </w:p>
        </w:tc>
        <w:tc>
          <w:tcPr>
            <w:tcW w:w="4113" w:type="dxa"/>
            <w:shd w:val="clear" w:color="auto" w:fill="auto"/>
          </w:tcPr>
          <w:p w:rsidR="00765C0F" w:rsidRPr="0005218D" w:rsidRDefault="00765C0F" w:rsidP="00226D56">
            <w:pPr>
              <w:pStyle w:val="SingleTxtG"/>
              <w:spacing w:before="60" w:after="60"/>
              <w:ind w:left="57" w:right="57"/>
              <w:rPr>
                <w:lang w:val="en-US"/>
              </w:rPr>
            </w:pPr>
            <w:r w:rsidRPr="0005218D">
              <w:rPr>
                <w:lang w:val="en-US"/>
              </w:rPr>
              <w:t>28,000 litres of UN No</w:t>
            </w:r>
            <w:r>
              <w:rPr>
                <w:lang w:val="en-US"/>
              </w:rPr>
              <w:t>.</w:t>
            </w:r>
            <w:r w:rsidRPr="0005218D">
              <w:rPr>
                <w:lang w:val="en-US"/>
              </w:rPr>
              <w:t xml:space="preserve"> 1170</w:t>
            </w:r>
            <w:r>
              <w:rPr>
                <w:lang w:val="en-US"/>
              </w:rPr>
              <w:t>,</w:t>
            </w:r>
            <w:r w:rsidRPr="0005218D">
              <w:rPr>
                <w:lang w:val="en-US"/>
              </w:rPr>
              <w:t xml:space="preserve"> </w:t>
            </w:r>
            <w:r w:rsidRPr="00A5090D">
              <w:rPr>
                <w:lang w:val="en-US"/>
              </w:rPr>
              <w:t>ETHANOL</w:t>
            </w:r>
            <w:r w:rsidRPr="0005218D">
              <w:rPr>
                <w:lang w:val="en-US"/>
              </w:rPr>
              <w:t>, 3, III</w:t>
            </w:r>
            <w:r>
              <w:rPr>
                <w:lang w:val="en-US"/>
              </w:rPr>
              <w:t>,</w:t>
            </w:r>
            <w:r w:rsidRPr="0005218D">
              <w:rPr>
                <w:lang w:val="en-US"/>
              </w:rPr>
              <w:t xml:space="preserve"> in 5,600 plastic</w:t>
            </w:r>
            <w:r>
              <w:rPr>
                <w:lang w:val="en-US"/>
              </w:rPr>
              <w:t xml:space="preserve"> 5-litre</w:t>
            </w:r>
            <w:r w:rsidRPr="0005218D">
              <w:rPr>
                <w:lang w:val="en-US"/>
              </w:rPr>
              <w:t xml:space="preserve"> jerricans</w:t>
            </w:r>
            <w:r>
              <w:rPr>
                <w:lang w:val="en-US"/>
              </w:rPr>
              <w:t xml:space="preserve"> </w:t>
            </w:r>
            <w:r w:rsidRPr="0005218D">
              <w:rPr>
                <w:lang w:val="en-US"/>
              </w:rPr>
              <w:t>(</w:t>
            </w:r>
            <w:r>
              <w:rPr>
                <w:lang w:val="en-US"/>
              </w:rPr>
              <w:t>limited quantity</w:t>
            </w:r>
            <w:r w:rsidRPr="0005218D">
              <w:rPr>
                <w:lang w:val="en-US"/>
              </w:rPr>
              <w:t>)</w:t>
            </w:r>
          </w:p>
        </w:tc>
        <w:tc>
          <w:tcPr>
            <w:tcW w:w="2722" w:type="dxa"/>
            <w:shd w:val="clear" w:color="auto" w:fill="auto"/>
          </w:tcPr>
          <w:p w:rsidR="00765C0F" w:rsidRPr="00A778FE" w:rsidRDefault="00765C0F" w:rsidP="00226D56">
            <w:pPr>
              <w:pStyle w:val="SingleTxtG"/>
              <w:spacing w:before="60" w:after="60"/>
              <w:ind w:left="57" w:right="57"/>
              <w:jc w:val="left"/>
            </w:pPr>
            <w:r w:rsidRPr="00A778FE">
              <w:rPr>
                <w:noProof/>
                <w:lang w:val="en-US"/>
              </w:rPr>
              <w:drawing>
                <wp:anchor distT="0" distB="0" distL="114300" distR="114300" simplePos="0" relativeHeight="251656192" behindDoc="1" locked="0" layoutInCell="1" allowOverlap="1" wp14:anchorId="6A394E65" wp14:editId="33815FDE">
                  <wp:simplePos x="0" y="0"/>
                  <wp:positionH relativeFrom="column">
                    <wp:posOffset>804545</wp:posOffset>
                  </wp:positionH>
                  <wp:positionV relativeFrom="paragraph">
                    <wp:posOffset>71755</wp:posOffset>
                  </wp:positionV>
                  <wp:extent cx="363600" cy="363600"/>
                  <wp:effectExtent l="76200" t="76200" r="93980" b="93980"/>
                  <wp:wrapNone/>
                  <wp:docPr id="4" name="Bildobjekt 2" descr="https://www.msb.se/Upload/Forebyggande/farligt_gods/Skyltar_etiketter/bmp/LQ_ny.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sb.se/Upload/Forebyggande/farligt_gods/Skyltar_etiketter/bmp/LQ_ny.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8184875">
                            <a:off x="0" y="0"/>
                            <a:ext cx="363600" cy="363600"/>
                          </a:xfrm>
                          <a:prstGeom prst="rect">
                            <a:avLst/>
                          </a:prstGeom>
                          <a:noFill/>
                          <a:ln>
                            <a:noFill/>
                          </a:ln>
                        </pic:spPr>
                      </pic:pic>
                    </a:graphicData>
                  </a:graphic>
                </wp:anchor>
              </w:drawing>
            </w:r>
            <w:r>
              <w:t>LQ</w:t>
            </w:r>
            <w:r w:rsidR="0091072B">
              <w:t xml:space="preserve"> </w:t>
            </w:r>
            <w:r w:rsidR="00667F7C">
              <w:t xml:space="preserve"> </w:t>
            </w:r>
          </w:p>
        </w:tc>
      </w:tr>
      <w:tr w:rsidR="00765C0F" w:rsidRPr="00A778FE" w:rsidTr="00B90D2B">
        <w:tc>
          <w:tcPr>
            <w:tcW w:w="565" w:type="dxa"/>
          </w:tcPr>
          <w:p w:rsidR="00765C0F" w:rsidRPr="00A778FE" w:rsidRDefault="00765C0F" w:rsidP="00226D56">
            <w:pPr>
              <w:pStyle w:val="SingleTxtG"/>
              <w:spacing w:before="60" w:after="60"/>
              <w:ind w:left="57" w:right="57"/>
            </w:pPr>
            <w:r>
              <w:t>2</w:t>
            </w:r>
          </w:p>
        </w:tc>
        <w:tc>
          <w:tcPr>
            <w:tcW w:w="4113" w:type="dxa"/>
            <w:shd w:val="clear" w:color="auto" w:fill="auto"/>
          </w:tcPr>
          <w:p w:rsidR="00765C0F" w:rsidRPr="00792EDC" w:rsidRDefault="00765C0F" w:rsidP="00226D56">
            <w:pPr>
              <w:pStyle w:val="SingleTxtG"/>
              <w:spacing w:before="60" w:after="60"/>
              <w:ind w:left="57" w:right="57"/>
              <w:rPr>
                <w:lang w:val="en-US"/>
              </w:rPr>
            </w:pPr>
            <w:r w:rsidRPr="00792EDC">
              <w:rPr>
                <w:lang w:val="en-US"/>
              </w:rPr>
              <w:t>60 kg of</w:t>
            </w:r>
            <w:r>
              <w:rPr>
                <w:lang w:val="en-US"/>
              </w:rPr>
              <w:t xml:space="preserve"> </w:t>
            </w:r>
            <w:r w:rsidRPr="00792EDC">
              <w:rPr>
                <w:lang w:val="en-US"/>
              </w:rPr>
              <w:t>UN</w:t>
            </w:r>
            <w:r>
              <w:rPr>
                <w:lang w:val="en-US"/>
              </w:rPr>
              <w:t xml:space="preserve"> No.</w:t>
            </w:r>
            <w:r w:rsidRPr="00792EDC">
              <w:rPr>
                <w:lang w:val="en-US"/>
              </w:rPr>
              <w:t xml:space="preserve"> 3077</w:t>
            </w:r>
            <w:r>
              <w:rPr>
                <w:lang w:val="en-US"/>
              </w:rPr>
              <w:t>,</w:t>
            </w:r>
            <w:r w:rsidRPr="00792EDC">
              <w:rPr>
                <w:lang w:val="en-US"/>
              </w:rPr>
              <w:t xml:space="preserve"> </w:t>
            </w:r>
            <w:r w:rsidRPr="00A5090D">
              <w:rPr>
                <w:lang w:val="en-US"/>
              </w:rPr>
              <w:t>ENVIRONMENTALLY HAZARDOUS SUBSTANCE, SOLID, N.O.S</w:t>
            </w:r>
            <w:r w:rsidRPr="00792EDC">
              <w:rPr>
                <w:lang w:val="en-US"/>
              </w:rPr>
              <w:t>., 9, III</w:t>
            </w:r>
            <w:r>
              <w:rPr>
                <w:lang w:val="en-US"/>
              </w:rPr>
              <w:t>,</w:t>
            </w:r>
            <w:r w:rsidRPr="00792EDC">
              <w:rPr>
                <w:lang w:val="en-US"/>
              </w:rPr>
              <w:t xml:space="preserve"> in a drum and 28</w:t>
            </w:r>
            <w:r>
              <w:rPr>
                <w:lang w:val="en-US"/>
              </w:rPr>
              <w:t>,</w:t>
            </w:r>
            <w:r w:rsidRPr="00792EDC">
              <w:rPr>
                <w:lang w:val="en-US"/>
              </w:rPr>
              <w:t xml:space="preserve">000 litres </w:t>
            </w:r>
            <w:r>
              <w:rPr>
                <w:lang w:val="en-US"/>
              </w:rPr>
              <w:t xml:space="preserve">of </w:t>
            </w:r>
            <w:r w:rsidRPr="0005218D">
              <w:rPr>
                <w:lang w:val="en-US"/>
              </w:rPr>
              <w:t>UN No</w:t>
            </w:r>
            <w:r>
              <w:rPr>
                <w:lang w:val="en-US"/>
              </w:rPr>
              <w:t>.</w:t>
            </w:r>
            <w:r w:rsidRPr="0005218D">
              <w:rPr>
                <w:lang w:val="en-US"/>
              </w:rPr>
              <w:t xml:space="preserve"> 1170</w:t>
            </w:r>
            <w:r>
              <w:rPr>
                <w:lang w:val="en-US"/>
              </w:rPr>
              <w:t>,</w:t>
            </w:r>
            <w:r w:rsidRPr="0005218D">
              <w:rPr>
                <w:lang w:val="en-US"/>
              </w:rPr>
              <w:t xml:space="preserve"> </w:t>
            </w:r>
            <w:r w:rsidRPr="00A5090D">
              <w:rPr>
                <w:lang w:val="en-US"/>
              </w:rPr>
              <w:t>ETHANOL</w:t>
            </w:r>
            <w:r w:rsidRPr="0005218D">
              <w:rPr>
                <w:lang w:val="en-US"/>
              </w:rPr>
              <w:t>, 3, III</w:t>
            </w:r>
            <w:r>
              <w:rPr>
                <w:lang w:val="en-US"/>
              </w:rPr>
              <w:t>,</w:t>
            </w:r>
            <w:r w:rsidRPr="0005218D">
              <w:rPr>
                <w:lang w:val="en-US"/>
              </w:rPr>
              <w:t xml:space="preserve"> </w:t>
            </w:r>
            <w:r w:rsidRPr="00792EDC">
              <w:rPr>
                <w:lang w:val="en-US"/>
              </w:rPr>
              <w:t>in 5</w:t>
            </w:r>
            <w:r>
              <w:rPr>
                <w:lang w:val="en-US"/>
              </w:rPr>
              <w:t>,</w:t>
            </w:r>
            <w:r w:rsidRPr="00792EDC">
              <w:rPr>
                <w:lang w:val="en-US"/>
              </w:rPr>
              <w:t xml:space="preserve">600 </w:t>
            </w:r>
            <w:r w:rsidRPr="0005218D">
              <w:rPr>
                <w:lang w:val="en-US"/>
              </w:rPr>
              <w:t xml:space="preserve">plastic </w:t>
            </w:r>
            <w:r>
              <w:rPr>
                <w:lang w:val="en-US"/>
              </w:rPr>
              <w:t xml:space="preserve">5-litre </w:t>
            </w:r>
            <w:r w:rsidRPr="0005218D">
              <w:rPr>
                <w:lang w:val="en-US"/>
              </w:rPr>
              <w:t>jerricans</w:t>
            </w:r>
            <w:r>
              <w:rPr>
                <w:lang w:val="en-US"/>
              </w:rPr>
              <w:t xml:space="preserve"> of 5 litres</w:t>
            </w:r>
            <w:r w:rsidRPr="0005218D">
              <w:rPr>
                <w:lang w:val="en-US"/>
              </w:rPr>
              <w:t xml:space="preserve"> </w:t>
            </w:r>
            <w:r w:rsidRPr="00792EDC">
              <w:rPr>
                <w:lang w:val="en-US"/>
              </w:rPr>
              <w:t>(</w:t>
            </w:r>
            <w:r>
              <w:rPr>
                <w:lang w:val="en-US"/>
              </w:rPr>
              <w:t>limited quantity</w:t>
            </w:r>
            <w:r w:rsidRPr="00792EDC">
              <w:rPr>
                <w:lang w:val="en-US"/>
              </w:rPr>
              <w:t>)</w:t>
            </w:r>
          </w:p>
        </w:tc>
        <w:tc>
          <w:tcPr>
            <w:tcW w:w="2722" w:type="dxa"/>
            <w:shd w:val="clear" w:color="auto" w:fill="auto"/>
          </w:tcPr>
          <w:p w:rsidR="00765C0F" w:rsidRPr="00A778FE" w:rsidRDefault="00765C0F" w:rsidP="00226D56">
            <w:pPr>
              <w:pStyle w:val="SingleTxtG"/>
              <w:spacing w:before="60" w:after="60"/>
              <w:ind w:left="57" w:right="57"/>
            </w:pPr>
            <w:r>
              <w:rPr>
                <w:noProof/>
                <w:lang w:val="en-US"/>
              </w:rPr>
              <w:drawing>
                <wp:anchor distT="0" distB="0" distL="114300" distR="114300" simplePos="0" relativeHeight="251662336" behindDoc="0" locked="0" layoutInCell="1" allowOverlap="1" wp14:anchorId="0547A610" wp14:editId="28BA6232">
                  <wp:simplePos x="0" y="0"/>
                  <wp:positionH relativeFrom="column">
                    <wp:posOffset>525780</wp:posOffset>
                  </wp:positionH>
                  <wp:positionV relativeFrom="paragraph">
                    <wp:posOffset>42545</wp:posOffset>
                  </wp:positionV>
                  <wp:extent cx="923925" cy="869950"/>
                  <wp:effectExtent l="0" t="0" r="9525" b="6350"/>
                  <wp:wrapNone/>
                  <wp:docPr id="61" name="image7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79.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3925" cy="869950"/>
                          </a:xfrm>
                          <a:prstGeom prst="rect">
                            <a:avLst/>
                          </a:prstGeom>
                        </pic:spPr>
                      </pic:pic>
                    </a:graphicData>
                  </a:graphic>
                  <wp14:sizeRelH relativeFrom="margin">
                    <wp14:pctWidth>0</wp14:pctWidth>
                  </wp14:sizeRelH>
                </wp:anchor>
              </w:drawing>
            </w:r>
            <w:r>
              <w:t>No. 9</w:t>
            </w:r>
          </w:p>
        </w:tc>
      </w:tr>
    </w:tbl>
    <w:p w:rsidR="00CA6BB6" w:rsidRPr="00226D56" w:rsidRDefault="00CA6BB6" w:rsidP="00765C0F">
      <w:pPr>
        <w:pStyle w:val="SingleTxtG"/>
        <w:spacing w:before="240"/>
      </w:pPr>
      <w:r w:rsidRPr="00226D56">
        <w:t>7.</w:t>
      </w:r>
      <w:r w:rsidRPr="00226D56">
        <w:tab/>
        <w:t xml:space="preserve">In example 2, the only mark that must be affixed according to 3.4.13 (b) is the No. 9 placard on the container. In this case, in accordance with the second paragraph of 3.4.13 (b), no mark is required on the transport unit if the container is not itself marked in accordance with 3.4.15. Even if the container was marked, it would not be mandatory to affix a mark to the transport unit because one would already be visible. As a consequence, no LQ mark </w:t>
      </w:r>
      <w:r w:rsidRPr="00226D56">
        <w:lastRenderedPageBreak/>
        <w:t>would appear on the carrying vehicle. Although a No. 9 placard is required on the container, the current text of 8.6.3.3 and 8.6.4, contrary to that of 1.9.5.3.6, provides that only transport units marked in accordance with 3.4.13 are subject to restrictions in tunnels of category E, and neither of those sections of Chapter 8.6 contains any reference to the marking of containers in accordance with 3.4.13; thus users cannot correctly implement tunnel restrictions for containers. This contradicts the requirements of 1.9.5.3.6.</w:t>
      </w:r>
    </w:p>
    <w:p w:rsidR="00CA6BB6" w:rsidRPr="00226D56" w:rsidRDefault="00CA6BB6" w:rsidP="00765C0F">
      <w:pPr>
        <w:pStyle w:val="SingleTxtG"/>
      </w:pPr>
      <w:r w:rsidRPr="00226D56">
        <w:t>8.</w:t>
      </w:r>
      <w:r w:rsidRPr="00226D56">
        <w:tab/>
        <w:t xml:space="preserve">To resolve this contradiction, a reference to containers should be added to both sections. </w:t>
      </w:r>
    </w:p>
    <w:p w:rsidR="00CA6BB6" w:rsidRPr="00226D56" w:rsidRDefault="00CA6BB6" w:rsidP="001C339F">
      <w:pPr>
        <w:pStyle w:val="HChG"/>
      </w:pPr>
      <w:r w:rsidRPr="00226D56">
        <w:tab/>
      </w:r>
      <w:r w:rsidRPr="00226D56">
        <w:tab/>
        <w:t>Proposal</w:t>
      </w:r>
    </w:p>
    <w:p w:rsidR="00CA6BB6" w:rsidRPr="00226D56" w:rsidRDefault="00CA6BB6" w:rsidP="00765C0F">
      <w:pPr>
        <w:pStyle w:val="SingleTxtG"/>
      </w:pPr>
      <w:r w:rsidRPr="00226D56">
        <w:t>9.</w:t>
      </w:r>
      <w:r w:rsidRPr="00226D56">
        <w:tab/>
        <w:t xml:space="preserve">Amend 8.6.3.3 of ADR to read as follows (new text is shown in bold, </w:t>
      </w:r>
      <w:r w:rsidRPr="001C339F">
        <w:rPr>
          <w:b/>
          <w:bCs/>
          <w:u w:val="single"/>
        </w:rPr>
        <w:t>underlined</w:t>
      </w:r>
      <w:r w:rsidRPr="00226D56">
        <w:t xml:space="preserve">, deleted text is </w:t>
      </w:r>
      <w:r w:rsidRPr="001C339F">
        <w:rPr>
          <w:strike/>
        </w:rPr>
        <w:t>crossed out</w:t>
      </w:r>
      <w:r w:rsidRPr="00226D56">
        <w:t>):</w:t>
      </w:r>
    </w:p>
    <w:p w:rsidR="00CA6BB6" w:rsidRPr="00226D56" w:rsidRDefault="0091072B" w:rsidP="000B54BE">
      <w:pPr>
        <w:pStyle w:val="SingleTxtG"/>
        <w:tabs>
          <w:tab w:val="left" w:pos="2268"/>
        </w:tabs>
        <w:spacing w:after="0"/>
      </w:pPr>
      <w:r>
        <w:t>“</w:t>
      </w:r>
      <w:r w:rsidR="00CA6BB6" w:rsidRPr="00226D56">
        <w:t>8.6.3</w:t>
      </w:r>
      <w:r w:rsidR="00CA6BB6" w:rsidRPr="00226D56">
        <w:tab/>
        <w:t>Tunnel restriction codes</w:t>
      </w:r>
    </w:p>
    <w:p w:rsidR="00CA6BB6" w:rsidRPr="00226D56" w:rsidRDefault="0091072B" w:rsidP="000B54BE">
      <w:pPr>
        <w:pStyle w:val="SingleTxtG"/>
        <w:spacing w:after="200"/>
      </w:pPr>
      <w:r>
        <w:t>…</w:t>
      </w:r>
    </w:p>
    <w:p w:rsidR="00CA6BB6" w:rsidRPr="00226D56" w:rsidRDefault="00CA6BB6" w:rsidP="00116B47">
      <w:pPr>
        <w:pStyle w:val="SingleTxtG"/>
        <w:tabs>
          <w:tab w:val="left" w:pos="2552"/>
        </w:tabs>
        <w:ind w:left="2552" w:hanging="1418"/>
      </w:pPr>
      <w:r w:rsidRPr="00226D56">
        <w:t>8.6.3.3</w:t>
      </w:r>
      <w:r w:rsidRPr="00226D56">
        <w:tab/>
        <w:t>Dangerous goods carried in accordance with 1.1.3 are not subject to the tunnel restrictions and shall not be taken into account when determining the tunnel restriction code to be assigned to the whole load</w:t>
      </w:r>
      <w:r w:rsidRPr="0026759D">
        <w:rPr>
          <w:strike/>
        </w:rPr>
        <w:t xml:space="preserve"> of a transport unit</w:t>
      </w:r>
      <w:r w:rsidRPr="00226D56">
        <w:t xml:space="preserve">, except if the transport unit </w:t>
      </w:r>
      <w:r w:rsidRPr="00E72A8F">
        <w:rPr>
          <w:b/>
          <w:bCs/>
          <w:u w:val="single"/>
        </w:rPr>
        <w:t>or container</w:t>
      </w:r>
      <w:r w:rsidRPr="00226D56">
        <w:t xml:space="preserve"> is required to be marked in accordance with 3.4.13 subject to 3.4.14.</w:t>
      </w:r>
      <w:r w:rsidR="0091072B">
        <w:t>”</w:t>
      </w:r>
    </w:p>
    <w:p w:rsidR="00CA6BB6" w:rsidRPr="00226D56" w:rsidRDefault="00CA6BB6" w:rsidP="00765C0F">
      <w:pPr>
        <w:pStyle w:val="SingleTxtG"/>
      </w:pPr>
      <w:r w:rsidRPr="00226D56">
        <w:t>10.</w:t>
      </w:r>
      <w:r w:rsidRPr="00226D56">
        <w:tab/>
        <w:t xml:space="preserve">Amend 8.6.4 of ADR to read as follows (new text is shown in bold, </w:t>
      </w:r>
      <w:r w:rsidRPr="00E72A8F">
        <w:rPr>
          <w:b/>
          <w:bCs/>
          <w:u w:val="single"/>
        </w:rPr>
        <w:t>underlined</w:t>
      </w:r>
      <w:r w:rsidRPr="00226D56">
        <w:t>):</w:t>
      </w:r>
    </w:p>
    <w:p w:rsidR="00CA6BB6" w:rsidRPr="00226D56" w:rsidRDefault="0091072B" w:rsidP="0026759D">
      <w:pPr>
        <w:pStyle w:val="SingleTxtG"/>
        <w:tabs>
          <w:tab w:val="left" w:pos="2268"/>
        </w:tabs>
        <w:ind w:left="2268" w:hanging="1134"/>
      </w:pPr>
      <w:r>
        <w:t>“</w:t>
      </w:r>
      <w:r w:rsidR="00CA6BB6" w:rsidRPr="00226D56">
        <w:t>8.6.4</w:t>
      </w:r>
      <w:r w:rsidR="00CA6BB6" w:rsidRPr="00226D56">
        <w:tab/>
        <w:t>Restrictions for the passage of transport units carrying dangerous goods through tunnels</w:t>
      </w:r>
    </w:p>
    <w:p w:rsidR="00CA6BB6" w:rsidRPr="00226D56" w:rsidRDefault="00082F71" w:rsidP="00116B47">
      <w:pPr>
        <w:pStyle w:val="SingleTxtG"/>
        <w:tabs>
          <w:tab w:val="left" w:pos="2268"/>
        </w:tabs>
      </w:pPr>
      <w:r>
        <w:tab/>
      </w:r>
      <w:r w:rsidR="00CA6BB6" w:rsidRPr="00226D56">
        <w:t>The restrictions for passage through tunnels shall apply:</w:t>
      </w:r>
    </w:p>
    <w:p w:rsidR="00CA6BB6" w:rsidRPr="00226D56" w:rsidRDefault="00116B47" w:rsidP="00116B47">
      <w:pPr>
        <w:pStyle w:val="Bullet2G"/>
        <w:numPr>
          <w:ilvl w:val="0"/>
          <w:numId w:val="0"/>
        </w:numPr>
        <w:ind w:left="2268"/>
      </w:pPr>
      <w:r>
        <w:t>-</w:t>
      </w:r>
      <w:r>
        <w:tab/>
      </w:r>
      <w:r w:rsidR="00CA6BB6" w:rsidRPr="00226D56">
        <w:t xml:space="preserve">to transport units </w:t>
      </w:r>
      <w:r w:rsidR="00CA6BB6" w:rsidRPr="00E72A8F">
        <w:rPr>
          <w:b/>
          <w:bCs/>
          <w:u w:val="single"/>
        </w:rPr>
        <w:t>and containers</w:t>
      </w:r>
      <w:r w:rsidR="00CA6BB6" w:rsidRPr="00226D56">
        <w:t xml:space="preserve"> for which marking is required by 3.4.13 subject to 3.4.14, through tunnels of category E; and</w:t>
      </w:r>
    </w:p>
    <w:p w:rsidR="00CA6BB6" w:rsidRDefault="00116B47" w:rsidP="00116B47">
      <w:pPr>
        <w:pStyle w:val="Bullet2G"/>
        <w:numPr>
          <w:ilvl w:val="0"/>
          <w:numId w:val="0"/>
        </w:numPr>
        <w:ind w:left="2268"/>
      </w:pPr>
      <w:r>
        <w:t>-</w:t>
      </w:r>
      <w:r>
        <w:tab/>
      </w:r>
      <w:r w:rsidR="00CA6BB6" w:rsidRPr="00226D56">
        <w:t>to transport units for which an orange-coloured plate marking is required according to 5.3.2, in accordance with the table below once the tunnel restriction code to be assigned to the whole load of the transport unit has been determined.</w:t>
      </w:r>
      <w:r w:rsidR="0091072B">
        <w:t>”</w:t>
      </w:r>
    </w:p>
    <w:p w:rsidR="002E2D0B" w:rsidRPr="00D36B26" w:rsidRDefault="002E2D0B" w:rsidP="00D36B26">
      <w:pPr>
        <w:pStyle w:val="Bullet2G"/>
        <w:numPr>
          <w:ilvl w:val="0"/>
          <w:numId w:val="0"/>
        </w:numPr>
        <w:spacing w:before="240" w:after="0"/>
        <w:ind w:left="2268"/>
        <w:jc w:val="center"/>
        <w:rPr>
          <w:u w:val="single"/>
        </w:rPr>
      </w:pPr>
      <w:r>
        <w:rPr>
          <w:u w:val="single"/>
        </w:rPr>
        <w:tab/>
      </w:r>
      <w:r w:rsidR="00D36B26">
        <w:rPr>
          <w:u w:val="single"/>
        </w:rPr>
        <w:tab/>
      </w:r>
      <w:r>
        <w:rPr>
          <w:u w:val="single"/>
        </w:rPr>
        <w:tab/>
      </w:r>
      <w:r w:rsidRPr="00D36B26">
        <w:rPr>
          <w:u w:val="single"/>
        </w:rPr>
        <w:tab/>
      </w:r>
    </w:p>
    <w:sectPr w:rsidR="002E2D0B" w:rsidRPr="00D36B26" w:rsidSect="00587690">
      <w:headerReference w:type="even" r:id="rId11"/>
      <w:headerReference w:type="default" r:id="rId12"/>
      <w:footerReference w:type="even" r:id="rId13"/>
      <w:footerReference w:type="default" r:id="rId14"/>
      <w:footerReference w:type="first" r:id="rId1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6D3B" w:rsidRPr="00FB1744" w:rsidRDefault="00786D3B" w:rsidP="00FB1744">
      <w:pPr>
        <w:pStyle w:val="Footer"/>
      </w:pPr>
    </w:p>
  </w:endnote>
  <w:endnote w:type="continuationSeparator" w:id="0">
    <w:p w:rsidR="00786D3B" w:rsidRPr="00FB1744" w:rsidRDefault="00786D3B"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BB6" w:rsidRDefault="00CA6BB6" w:rsidP="00CA6BB6">
    <w:pPr>
      <w:pStyle w:val="Footer"/>
      <w:tabs>
        <w:tab w:val="right" w:pos="9638"/>
      </w:tabs>
    </w:pPr>
    <w:r w:rsidRPr="00CA6BB6">
      <w:rPr>
        <w:b/>
        <w:bCs/>
        <w:sz w:val="18"/>
      </w:rPr>
      <w:fldChar w:fldCharType="begin"/>
    </w:r>
    <w:r w:rsidRPr="00CA6BB6">
      <w:rPr>
        <w:b/>
        <w:bCs/>
        <w:sz w:val="18"/>
      </w:rPr>
      <w:instrText xml:space="preserve"> PAGE  \* MERGEFORMAT </w:instrText>
    </w:r>
    <w:r w:rsidRPr="00CA6BB6">
      <w:rPr>
        <w:b/>
        <w:bCs/>
        <w:sz w:val="18"/>
      </w:rPr>
      <w:fldChar w:fldCharType="separate"/>
    </w:r>
    <w:r w:rsidR="00667F7C">
      <w:rPr>
        <w:b/>
        <w:bCs/>
        <w:noProof/>
        <w:sz w:val="18"/>
      </w:rPr>
      <w:t>2</w:t>
    </w:r>
    <w:r w:rsidRPr="00CA6BB6">
      <w:rPr>
        <w:b/>
        <w:bCs/>
        <w:sz w:val="18"/>
      </w:rPr>
      <w:fldChar w:fldCharType="end"/>
    </w:r>
    <w:r>
      <w:tab/>
      <w:t>GE.19-13988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BB6" w:rsidRDefault="00CA6BB6" w:rsidP="00CA6BB6">
    <w:pPr>
      <w:pStyle w:val="Footer"/>
      <w:tabs>
        <w:tab w:val="right" w:pos="9638"/>
      </w:tabs>
    </w:pPr>
    <w:r>
      <w:t>GE.19-13988</w:t>
    </w:r>
    <w:r>
      <w:tab/>
    </w:r>
    <w:r w:rsidRPr="00CA6BB6">
      <w:rPr>
        <w:b/>
        <w:bCs/>
        <w:sz w:val="18"/>
      </w:rPr>
      <w:fldChar w:fldCharType="begin"/>
    </w:r>
    <w:r w:rsidRPr="00CA6BB6">
      <w:rPr>
        <w:b/>
        <w:bCs/>
        <w:sz w:val="18"/>
      </w:rPr>
      <w:instrText xml:space="preserve"> PAGE  \* MERGEFORMAT </w:instrText>
    </w:r>
    <w:r w:rsidRPr="00CA6BB6">
      <w:rPr>
        <w:b/>
        <w:bCs/>
        <w:sz w:val="18"/>
      </w:rPr>
      <w:fldChar w:fldCharType="separate"/>
    </w:r>
    <w:r w:rsidR="00667F7C">
      <w:rPr>
        <w:b/>
        <w:bCs/>
        <w:noProof/>
        <w:sz w:val="18"/>
      </w:rPr>
      <w:t>3</w:t>
    </w:r>
    <w:r w:rsidRPr="00CA6BB6">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3D5" w:rsidRDefault="00CA6BB6" w:rsidP="00AB3C7E">
    <w:r>
      <w:rPr>
        <w:noProof/>
        <w:lang w:val="en-US"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CA6BB6" w:rsidRDefault="00CA6BB6" w:rsidP="00CA6BB6">
    <w:r>
      <w:t>GE.19-13988  (E)</w:t>
    </w:r>
    <w:r w:rsidR="00DE7BEE">
      <w:t xml:space="preserve">    160919    170919</w:t>
    </w:r>
  </w:p>
  <w:p w:rsidR="00CA6BB6" w:rsidRPr="00CA6BB6" w:rsidRDefault="00CA6BB6" w:rsidP="00CA6BB6">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ECE/TRANS/WP.15/2019/1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2019/1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6D3B" w:rsidRPr="00FB1744" w:rsidRDefault="00786D3B" w:rsidP="00FB1744">
      <w:pPr>
        <w:tabs>
          <w:tab w:val="right" w:pos="2155"/>
        </w:tabs>
        <w:spacing w:after="80" w:line="240" w:lineRule="auto"/>
        <w:ind w:left="680"/>
      </w:pPr>
      <w:r>
        <w:rPr>
          <w:u w:val="single"/>
        </w:rPr>
        <w:tab/>
      </w:r>
    </w:p>
  </w:footnote>
  <w:footnote w:type="continuationSeparator" w:id="0">
    <w:p w:rsidR="00786D3B" w:rsidRPr="00FB1744" w:rsidRDefault="00786D3B" w:rsidP="00FB1744">
      <w:pPr>
        <w:tabs>
          <w:tab w:val="right" w:pos="2155"/>
        </w:tabs>
        <w:spacing w:after="80" w:line="240" w:lineRule="auto"/>
        <w:ind w:left="680"/>
      </w:pPr>
      <w:r>
        <w:rPr>
          <w:u w:val="single"/>
        </w:rPr>
        <w:tab/>
      </w:r>
    </w:p>
  </w:footnote>
  <w:footnote w:id="1">
    <w:p w:rsidR="009E0307" w:rsidRPr="009E0307" w:rsidRDefault="009E0307" w:rsidP="009E0307">
      <w:pPr>
        <w:pStyle w:val="FootnoteText"/>
      </w:pPr>
      <w:r>
        <w:rPr>
          <w:rStyle w:val="FootnoteReference"/>
        </w:rPr>
        <w:tab/>
      </w:r>
      <w:r w:rsidRPr="009E0307">
        <w:rPr>
          <w:rStyle w:val="FootnoteReference"/>
          <w:sz w:val="20"/>
          <w:vertAlign w:val="baseline"/>
        </w:rPr>
        <w:t>*</w:t>
      </w:r>
      <w:r>
        <w:rPr>
          <w:rStyle w:val="FootnoteReference"/>
          <w:sz w:val="20"/>
          <w:vertAlign w:val="baseline"/>
        </w:rPr>
        <w:tab/>
      </w:r>
      <w:r>
        <w:t>In accordance with the programme of work of the Inland Transport Committee for 2018–2019, (ECE/TRANS/2018/21/Add.1 (9, 9.1)).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BB6" w:rsidRDefault="00CA6BB6" w:rsidP="00CA6BB6">
    <w:pPr>
      <w:pStyle w:val="Header"/>
    </w:pPr>
    <w:r>
      <w:t>ECE/TRANS/WP.15/2019/15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BB6" w:rsidRDefault="00CA6BB6" w:rsidP="00CA6BB6">
    <w:pPr>
      <w:pStyle w:val="Header"/>
      <w:jc w:val="right"/>
    </w:pPr>
    <w:r>
      <w:t>ECE/TRANS/WP.15/2019/15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9A5E9704"/>
    <w:lvl w:ilvl="0" w:tplc="EAF68ADA">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D3B"/>
    <w:rsid w:val="00046E92"/>
    <w:rsid w:val="00082F71"/>
    <w:rsid w:val="000B3862"/>
    <w:rsid w:val="000B54BE"/>
    <w:rsid w:val="000D1B89"/>
    <w:rsid w:val="000E17D7"/>
    <w:rsid w:val="00116B47"/>
    <w:rsid w:val="001170DC"/>
    <w:rsid w:val="001C339F"/>
    <w:rsid w:val="00247E2C"/>
    <w:rsid w:val="0026759D"/>
    <w:rsid w:val="00285CB8"/>
    <w:rsid w:val="002D6C53"/>
    <w:rsid w:val="002E2D0B"/>
    <w:rsid w:val="002F5595"/>
    <w:rsid w:val="00334F6A"/>
    <w:rsid w:val="00342AC8"/>
    <w:rsid w:val="003B4550"/>
    <w:rsid w:val="00452527"/>
    <w:rsid w:val="00461253"/>
    <w:rsid w:val="00473627"/>
    <w:rsid w:val="004A0136"/>
    <w:rsid w:val="005042C2"/>
    <w:rsid w:val="00506C12"/>
    <w:rsid w:val="0056599A"/>
    <w:rsid w:val="00587690"/>
    <w:rsid w:val="00667F7C"/>
    <w:rsid w:val="00671529"/>
    <w:rsid w:val="00717266"/>
    <w:rsid w:val="007268F9"/>
    <w:rsid w:val="00765C0F"/>
    <w:rsid w:val="00775E9F"/>
    <w:rsid w:val="00786D3B"/>
    <w:rsid w:val="007C52B0"/>
    <w:rsid w:val="007D400C"/>
    <w:rsid w:val="0091072B"/>
    <w:rsid w:val="009411B4"/>
    <w:rsid w:val="009D0139"/>
    <w:rsid w:val="009E0307"/>
    <w:rsid w:val="009F5CDC"/>
    <w:rsid w:val="00A775CF"/>
    <w:rsid w:val="00AB2ED5"/>
    <w:rsid w:val="00AB3C7E"/>
    <w:rsid w:val="00B06045"/>
    <w:rsid w:val="00B90D2B"/>
    <w:rsid w:val="00C35A27"/>
    <w:rsid w:val="00C8561F"/>
    <w:rsid w:val="00CA6BB6"/>
    <w:rsid w:val="00D36B26"/>
    <w:rsid w:val="00D963D0"/>
    <w:rsid w:val="00DE7BEE"/>
    <w:rsid w:val="00E02C2B"/>
    <w:rsid w:val="00E72A8F"/>
    <w:rsid w:val="00ED6C48"/>
    <w:rsid w:val="00F65F5D"/>
    <w:rsid w:val="00F86A3A"/>
    <w:rsid w:val="00F91100"/>
    <w:rsid w:val="00FA158E"/>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08FB7F6-7B50-48C3-8E41-8A2F020AE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5A823-65F5-489E-9992-732FB9D94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ECE/TRANS/WP.15/2019/15</vt:lpstr>
    </vt:vector>
  </TitlesOfParts>
  <Company>DCM</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ECE/TRANS/WP.15/2019/15</dc:title>
  <dc:subject>1913988</dc:subject>
  <dc:creator>dm</dc:creator>
  <cp:keywords/>
  <dc:description/>
  <cp:lastModifiedBy>Christine Barrio-Champeau</cp:lastModifiedBy>
  <cp:revision>2</cp:revision>
  <cp:lastPrinted>2019-09-17T12:23:00Z</cp:lastPrinted>
  <dcterms:created xsi:type="dcterms:W3CDTF">2019-09-20T13:20:00Z</dcterms:created>
  <dcterms:modified xsi:type="dcterms:W3CDTF">2019-09-20T13:20:00Z</dcterms:modified>
</cp:coreProperties>
</file>