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330DE" w:rsidP="00597C2F">
            <w:pPr>
              <w:suppressAutoHyphens w:val="0"/>
              <w:spacing w:after="20"/>
              <w:jc w:val="right"/>
            </w:pPr>
            <w:r w:rsidRPr="008D4A19">
              <w:rPr>
                <w:sz w:val="40"/>
              </w:rPr>
              <w:t>ECE</w:t>
            </w:r>
            <w:r>
              <w:t>/TRANS/WP.15/201</w:t>
            </w:r>
            <w:r w:rsidR="00B7366C">
              <w:t>9</w:t>
            </w:r>
            <w:r>
              <w:t>/</w:t>
            </w:r>
            <w:r w:rsidR="00751066">
              <w:t>1</w:t>
            </w:r>
            <w:r w:rsidR="000D3D39">
              <w:t>4</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eastAsia="zh-CN"/>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1330DE" w:rsidRDefault="001330DE" w:rsidP="008D4A19">
            <w:pPr>
              <w:suppressAutoHyphens w:val="0"/>
              <w:spacing w:before="240" w:line="240" w:lineRule="exact"/>
            </w:pPr>
            <w:r>
              <w:t>Distr.: General</w:t>
            </w:r>
          </w:p>
          <w:p w:rsidR="001330DE" w:rsidRDefault="00466954" w:rsidP="008D4A19">
            <w:pPr>
              <w:suppressAutoHyphens w:val="0"/>
            </w:pPr>
            <w:r>
              <w:t>1</w:t>
            </w:r>
            <w:r w:rsidR="001F62E2">
              <w:t>8</w:t>
            </w:r>
            <w:r>
              <w:t xml:space="preserve"> </w:t>
            </w:r>
            <w:r w:rsidR="004D3CEF">
              <w:t>February</w:t>
            </w:r>
            <w:r w:rsidR="001330DE">
              <w:t xml:space="preserve"> 201</w:t>
            </w:r>
            <w:r w:rsidR="00B7366C">
              <w:t>9</w:t>
            </w:r>
          </w:p>
          <w:p w:rsidR="001330DE" w:rsidRDefault="001330DE" w:rsidP="008D4A19">
            <w:pPr>
              <w:suppressAutoHyphens w:val="0"/>
            </w:pPr>
          </w:p>
          <w:p w:rsidR="00B56E9C" w:rsidRDefault="001330DE" w:rsidP="00431164">
            <w:pPr>
              <w:suppressAutoHyphens w:val="0"/>
            </w:pPr>
            <w:r>
              <w:t xml:space="preserve">Original: </w:t>
            </w:r>
            <w:r w:rsidR="00431164">
              <w:t>English</w:t>
            </w:r>
          </w:p>
        </w:tc>
      </w:tr>
    </w:tbl>
    <w:p w:rsidR="001330DE" w:rsidRDefault="001330DE">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1330DE" w:rsidRDefault="001330DE">
      <w:pPr>
        <w:spacing w:before="120"/>
        <w:rPr>
          <w:sz w:val="28"/>
          <w:szCs w:val="28"/>
        </w:rPr>
      </w:pPr>
      <w:r>
        <w:rPr>
          <w:sz w:val="28"/>
          <w:szCs w:val="28"/>
        </w:rPr>
        <w:t>Inland Transport Committee</w:t>
      </w:r>
    </w:p>
    <w:p w:rsidR="001330DE" w:rsidRPr="001330DE" w:rsidRDefault="001330DE">
      <w:pPr>
        <w:spacing w:before="120"/>
        <w:rPr>
          <w:b/>
          <w:sz w:val="24"/>
          <w:szCs w:val="24"/>
        </w:rPr>
      </w:pPr>
      <w:r>
        <w:rPr>
          <w:b/>
          <w:sz w:val="24"/>
          <w:szCs w:val="24"/>
        </w:rPr>
        <w:t xml:space="preserve">Working Party on the Transport </w:t>
      </w:r>
      <w:r w:rsidRPr="001330DE">
        <w:rPr>
          <w:b/>
          <w:sz w:val="24"/>
          <w:szCs w:val="24"/>
        </w:rPr>
        <w:t>of Dangerous Goods</w:t>
      </w:r>
    </w:p>
    <w:p w:rsidR="001330DE" w:rsidRPr="001330DE" w:rsidRDefault="00775BA6" w:rsidP="001330DE">
      <w:pPr>
        <w:spacing w:before="120"/>
        <w:rPr>
          <w:rFonts w:eastAsia="SimSun"/>
          <w:b/>
        </w:rPr>
      </w:pPr>
      <w:r>
        <w:rPr>
          <w:rFonts w:eastAsia="SimSun"/>
          <w:b/>
        </w:rPr>
        <w:t>10</w:t>
      </w:r>
      <w:r w:rsidR="00B7366C">
        <w:rPr>
          <w:rFonts w:eastAsia="SimSun"/>
          <w:b/>
        </w:rPr>
        <w:t>6</w:t>
      </w:r>
      <w:r>
        <w:rPr>
          <w:rFonts w:eastAsia="SimSun"/>
          <w:b/>
        </w:rPr>
        <w:t>th</w:t>
      </w:r>
      <w:r w:rsidR="00DE40E0">
        <w:rPr>
          <w:rStyle w:val="hps"/>
          <w:rFonts w:ascii="Arial" w:hAnsi="Arial" w:cs="Arial"/>
          <w:color w:val="222222"/>
          <w:lang w:val="en"/>
        </w:rPr>
        <w:t xml:space="preserve"> </w:t>
      </w:r>
      <w:r w:rsidR="001330DE" w:rsidRPr="001330DE">
        <w:rPr>
          <w:rFonts w:eastAsia="SimSun"/>
          <w:b/>
        </w:rPr>
        <w:t xml:space="preserve">session </w:t>
      </w:r>
    </w:p>
    <w:p w:rsidR="001330DE" w:rsidRPr="00BA64A8" w:rsidRDefault="001330DE" w:rsidP="001330DE">
      <w:pPr>
        <w:rPr>
          <w:rFonts w:eastAsia="SimSun"/>
        </w:rPr>
      </w:pPr>
      <w:r w:rsidRPr="00BA64A8">
        <w:rPr>
          <w:rFonts w:eastAsia="SimSun"/>
        </w:rPr>
        <w:t xml:space="preserve">Geneva, </w:t>
      </w:r>
      <w:r w:rsidR="00A07946">
        <w:rPr>
          <w:rFonts w:eastAsia="SimSun"/>
        </w:rPr>
        <w:t>1</w:t>
      </w:r>
      <w:r w:rsidR="00B7366C">
        <w:rPr>
          <w:rFonts w:eastAsia="SimSun"/>
        </w:rPr>
        <w:t>3</w:t>
      </w:r>
      <w:r>
        <w:rPr>
          <w:rFonts w:eastAsia="SimSun"/>
        </w:rPr>
        <w:t>–</w:t>
      </w:r>
      <w:r w:rsidR="00DE40E0">
        <w:rPr>
          <w:rFonts w:eastAsia="SimSun"/>
        </w:rPr>
        <w:t>1</w:t>
      </w:r>
      <w:r w:rsidR="00A07946">
        <w:rPr>
          <w:rFonts w:eastAsia="SimSun"/>
        </w:rPr>
        <w:t>7</w:t>
      </w:r>
      <w:r w:rsidRPr="00BA64A8">
        <w:rPr>
          <w:rFonts w:eastAsia="SimSun"/>
        </w:rPr>
        <w:t xml:space="preserve"> May 201</w:t>
      </w:r>
      <w:r w:rsidR="00B7366C">
        <w:rPr>
          <w:rFonts w:eastAsia="SimSun"/>
        </w:rPr>
        <w:t>9</w:t>
      </w:r>
      <w:r w:rsidRPr="00BA64A8">
        <w:rPr>
          <w:rFonts w:eastAsia="SimSun"/>
        </w:rPr>
        <w:t xml:space="preserve"> </w:t>
      </w:r>
    </w:p>
    <w:p w:rsidR="001330DE" w:rsidRPr="00BA64A8" w:rsidRDefault="001330DE" w:rsidP="001330DE">
      <w:r w:rsidRPr="00BA64A8">
        <w:rPr>
          <w:rFonts w:eastAsia="SimSun"/>
        </w:rPr>
        <w:t xml:space="preserve">Item </w:t>
      </w:r>
      <w:r w:rsidR="0070280D">
        <w:t>6</w:t>
      </w:r>
      <w:r w:rsidR="00AD5C88">
        <w:t xml:space="preserve"> (b)</w:t>
      </w:r>
      <w:r w:rsidR="003C6D1D">
        <w:t xml:space="preserve"> </w:t>
      </w:r>
      <w:r w:rsidRPr="00BA64A8">
        <w:t>of the provisional agenda</w:t>
      </w:r>
    </w:p>
    <w:p w:rsidR="00AD5C88" w:rsidRPr="00AD5C88" w:rsidRDefault="00AD5C88" w:rsidP="001E099A">
      <w:pPr>
        <w:rPr>
          <w:b/>
          <w:bCs/>
        </w:rPr>
      </w:pPr>
      <w:r w:rsidRPr="00AD5C88">
        <w:rPr>
          <w:b/>
          <w:bCs/>
        </w:rPr>
        <w:t>Proposals for amendments to annexes A and B of ADR</w:t>
      </w:r>
      <w:r w:rsidR="001C7B8E">
        <w:rPr>
          <w:b/>
          <w:bCs/>
        </w:rPr>
        <w:t>:</w:t>
      </w:r>
    </w:p>
    <w:p w:rsidR="00DE40E0" w:rsidRPr="00AD5C88" w:rsidRDefault="00AD5C88" w:rsidP="001E099A">
      <w:pPr>
        <w:rPr>
          <w:b/>
          <w:bCs/>
        </w:rPr>
      </w:pPr>
      <w:r>
        <w:rPr>
          <w:b/>
          <w:bCs/>
          <w:szCs w:val="24"/>
        </w:rPr>
        <w:t>m</w:t>
      </w:r>
      <w:r w:rsidRPr="00AD5C88">
        <w:rPr>
          <w:b/>
          <w:bCs/>
          <w:szCs w:val="24"/>
        </w:rPr>
        <w:t>iscellaneous proposals</w:t>
      </w:r>
    </w:p>
    <w:p w:rsidR="00BE76B2" w:rsidRDefault="003A6B33" w:rsidP="00BE76B2">
      <w:pPr>
        <w:pStyle w:val="HChG"/>
        <w:jc w:val="both"/>
      </w:pPr>
      <w:r>
        <w:tab/>
      </w:r>
      <w:r>
        <w:tab/>
      </w:r>
      <w:r w:rsidR="00BE76B2">
        <w:t>Proposal to define a normal cubic metre</w:t>
      </w:r>
    </w:p>
    <w:p w:rsidR="00AD5C88" w:rsidRDefault="00AD5C88" w:rsidP="00BE76B2">
      <w:pPr>
        <w:pStyle w:val="HChG"/>
        <w:jc w:val="both"/>
        <w:rPr>
          <w:b w:val="0"/>
          <w:sz w:val="20"/>
        </w:rPr>
      </w:pPr>
      <w:r w:rsidRPr="00B573A9">
        <w:rPr>
          <w:b w:val="0"/>
          <w:sz w:val="20"/>
        </w:rPr>
        <w:tab/>
      </w:r>
      <w:r w:rsidRPr="00B573A9">
        <w:rPr>
          <w:b w:val="0"/>
          <w:sz w:val="20"/>
        </w:rPr>
        <w:tab/>
      </w:r>
      <w:r w:rsidR="00751066" w:rsidRPr="00DF621A">
        <w:rPr>
          <w:sz w:val="24"/>
        </w:rPr>
        <w:t>Transmitted by the Government of the United Kingdom</w:t>
      </w:r>
      <w:r w:rsidR="00B7366C" w:rsidRPr="00B7366C">
        <w:rPr>
          <w:rStyle w:val="FootnoteReference"/>
          <w:b w:val="0"/>
          <w:sz w:val="20"/>
        </w:rPr>
        <w:t xml:space="preserve"> </w:t>
      </w:r>
      <w:r w:rsidR="00B7366C" w:rsidRPr="00C634A6">
        <w:rPr>
          <w:rStyle w:val="FootnoteReference"/>
          <w:b w:val="0"/>
          <w:sz w:val="20"/>
        </w:rPr>
        <w:footnoteReference w:customMarkFollows="1" w:id="2"/>
        <w:sym w:font="Symbol" w:char="F02A"/>
      </w:r>
    </w:p>
    <w:p w:rsidR="00751066" w:rsidRDefault="00751066">
      <w:pPr>
        <w:suppressAutoHyphens w:val="0"/>
        <w:spacing w:line="240" w:lineRule="auto"/>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3681"/>
        <w:gridCol w:w="5948"/>
      </w:tblGrid>
      <w:tr w:rsidR="00BE76B2" w:rsidRPr="00B573A9" w:rsidTr="00EC7208">
        <w:trPr>
          <w:jc w:val="center"/>
        </w:trPr>
        <w:tc>
          <w:tcPr>
            <w:tcW w:w="3681" w:type="dxa"/>
            <w:shd w:val="clear" w:color="auto" w:fill="auto"/>
          </w:tcPr>
          <w:p w:rsidR="00BE76B2" w:rsidRPr="00B573A9" w:rsidRDefault="00BE76B2" w:rsidP="00EC7208">
            <w:pPr>
              <w:tabs>
                <w:tab w:val="left" w:pos="255"/>
              </w:tabs>
              <w:suppressAutoHyphens w:val="0"/>
              <w:spacing w:before="240" w:after="120"/>
              <w:rPr>
                <w:sz w:val="24"/>
              </w:rPr>
            </w:pPr>
            <w:r>
              <w:rPr>
                <w:b/>
                <w:sz w:val="24"/>
              </w:rPr>
              <w:br w:type="page"/>
            </w:r>
            <w:r w:rsidRPr="00B573A9">
              <w:tab/>
            </w:r>
            <w:r w:rsidRPr="00B573A9">
              <w:rPr>
                <w:i/>
                <w:sz w:val="24"/>
              </w:rPr>
              <w:t>Summary</w:t>
            </w:r>
          </w:p>
        </w:tc>
        <w:tc>
          <w:tcPr>
            <w:tcW w:w="5948" w:type="dxa"/>
          </w:tcPr>
          <w:p w:rsidR="00BE76B2" w:rsidRDefault="00BE76B2" w:rsidP="00EC7208">
            <w:pPr>
              <w:tabs>
                <w:tab w:val="left" w:pos="255"/>
              </w:tabs>
              <w:suppressAutoHyphens w:val="0"/>
              <w:spacing w:before="240" w:after="120"/>
              <w:rPr>
                <w:b/>
                <w:sz w:val="24"/>
              </w:rPr>
            </w:pPr>
          </w:p>
        </w:tc>
      </w:tr>
      <w:tr w:rsidR="00BE76B2" w:rsidRPr="00B573A9" w:rsidTr="00EC7208">
        <w:trPr>
          <w:jc w:val="center"/>
        </w:trPr>
        <w:tc>
          <w:tcPr>
            <w:tcW w:w="3681" w:type="dxa"/>
            <w:shd w:val="clear" w:color="auto" w:fill="auto"/>
          </w:tcPr>
          <w:p w:rsidR="00BE76B2" w:rsidRPr="00AA3C78" w:rsidRDefault="00BE76B2" w:rsidP="00EC7208">
            <w:pPr>
              <w:spacing w:after="120"/>
              <w:ind w:left="3260" w:right="707" w:hanging="2126"/>
              <w:jc w:val="both"/>
            </w:pPr>
            <w:r w:rsidRPr="00AA3C78">
              <w:rPr>
                <w:b/>
                <w:szCs w:val="22"/>
              </w:rPr>
              <w:t>Executive summary</w:t>
            </w:r>
            <w:r>
              <w:rPr>
                <w:szCs w:val="22"/>
              </w:rPr>
              <w:t>:</w:t>
            </w:r>
          </w:p>
        </w:tc>
        <w:tc>
          <w:tcPr>
            <w:tcW w:w="5948" w:type="dxa"/>
          </w:tcPr>
          <w:p w:rsidR="00BE76B2" w:rsidRDefault="00BE76B2" w:rsidP="00EC7208">
            <w:pPr>
              <w:spacing w:after="120"/>
              <w:ind w:right="707"/>
              <w:jc w:val="both"/>
              <w:rPr>
                <w:szCs w:val="22"/>
              </w:rPr>
            </w:pPr>
            <w:r w:rsidRPr="006F36C7">
              <w:rPr>
                <w:szCs w:val="22"/>
              </w:rPr>
              <w:t xml:space="preserve">To </w:t>
            </w:r>
            <w:r>
              <w:rPr>
                <w:szCs w:val="22"/>
              </w:rPr>
              <w:t>facilitate</w:t>
            </w:r>
            <w:r w:rsidRPr="006F36C7">
              <w:rPr>
                <w:szCs w:val="22"/>
              </w:rPr>
              <w:t xml:space="preserve"> </w:t>
            </w:r>
            <w:r>
              <w:rPr>
                <w:szCs w:val="22"/>
              </w:rPr>
              <w:t xml:space="preserve">correct interpretation of the exemptions related to the carriage of gases, it is appropriate to define the unit </w:t>
            </w:r>
            <w:r w:rsidRPr="006F36C7">
              <w:t>Nm</w:t>
            </w:r>
            <w:r w:rsidRPr="006F36C7">
              <w:rPr>
                <w:vertAlign w:val="superscript"/>
              </w:rPr>
              <w:t>3</w:t>
            </w:r>
            <w:r>
              <w:rPr>
                <w:szCs w:val="22"/>
              </w:rPr>
              <w:t xml:space="preserve"> used in the table of ADR 1.1.3.2, energy content of fuels. </w:t>
            </w:r>
          </w:p>
          <w:p w:rsidR="00BE76B2" w:rsidRPr="006F36C7" w:rsidRDefault="00BE76B2" w:rsidP="00EC7208">
            <w:pPr>
              <w:spacing w:after="120"/>
              <w:ind w:right="707"/>
              <w:jc w:val="both"/>
              <w:rPr>
                <w:szCs w:val="22"/>
              </w:rPr>
            </w:pPr>
          </w:p>
        </w:tc>
      </w:tr>
      <w:tr w:rsidR="00BE76B2" w:rsidRPr="00B573A9" w:rsidTr="00EC7208">
        <w:trPr>
          <w:jc w:val="center"/>
        </w:trPr>
        <w:tc>
          <w:tcPr>
            <w:tcW w:w="3681" w:type="dxa"/>
            <w:shd w:val="clear" w:color="auto" w:fill="auto"/>
          </w:tcPr>
          <w:p w:rsidR="00BE76B2" w:rsidRPr="00B573A9" w:rsidRDefault="00BE76B2" w:rsidP="00EC7208">
            <w:pPr>
              <w:suppressAutoHyphens w:val="0"/>
            </w:pPr>
            <w:r>
              <w:rPr>
                <w:b/>
              </w:rPr>
              <w:tab/>
            </w:r>
            <w:r>
              <w:rPr>
                <w:b/>
              </w:rPr>
              <w:tab/>
              <w:t>Action to be taken:</w:t>
            </w:r>
          </w:p>
        </w:tc>
        <w:tc>
          <w:tcPr>
            <w:tcW w:w="5948" w:type="dxa"/>
          </w:tcPr>
          <w:p w:rsidR="00BE76B2" w:rsidRPr="00783356" w:rsidRDefault="00BE76B2" w:rsidP="00EC7208">
            <w:pPr>
              <w:suppressAutoHyphens w:val="0"/>
            </w:pPr>
            <w:r>
              <w:t>To include a definition of a normal cubic metre</w:t>
            </w:r>
            <w:r>
              <w:rPr>
                <w:vertAlign w:val="subscript"/>
              </w:rPr>
              <w:t xml:space="preserve"> </w:t>
            </w:r>
            <w:r>
              <w:t xml:space="preserve">either in a footnote to the table in 1.1.3.2 or by inserting a new paragraph into 1.1.2, Units of Measurement.   </w:t>
            </w:r>
          </w:p>
        </w:tc>
      </w:tr>
      <w:tr w:rsidR="00BE76B2" w:rsidRPr="00B573A9" w:rsidTr="00EC7208">
        <w:trPr>
          <w:jc w:val="center"/>
        </w:trPr>
        <w:tc>
          <w:tcPr>
            <w:tcW w:w="3681" w:type="dxa"/>
            <w:shd w:val="clear" w:color="auto" w:fill="auto"/>
          </w:tcPr>
          <w:p w:rsidR="00BE76B2" w:rsidRDefault="00BE76B2" w:rsidP="00EC7208">
            <w:pPr>
              <w:suppressAutoHyphens w:val="0"/>
              <w:rPr>
                <w:b/>
              </w:rPr>
            </w:pPr>
          </w:p>
        </w:tc>
        <w:tc>
          <w:tcPr>
            <w:tcW w:w="5948" w:type="dxa"/>
          </w:tcPr>
          <w:p w:rsidR="00BE76B2" w:rsidRDefault="00BE76B2" w:rsidP="00EC7208">
            <w:pPr>
              <w:suppressAutoHyphens w:val="0"/>
              <w:rPr>
                <w:b/>
              </w:rPr>
            </w:pPr>
          </w:p>
        </w:tc>
      </w:tr>
    </w:tbl>
    <w:p w:rsidR="00BE76B2" w:rsidRDefault="00BE76B2" w:rsidP="00BE76B2">
      <w:pPr>
        <w:pStyle w:val="HChG"/>
      </w:pPr>
      <w:r>
        <w:tab/>
      </w:r>
      <w:r>
        <w:tab/>
        <w:t>Introduction</w:t>
      </w:r>
    </w:p>
    <w:p w:rsidR="00BE76B2" w:rsidRDefault="00BE76B2" w:rsidP="00BE76B2">
      <w:pPr>
        <w:pStyle w:val="SingleTxtG"/>
      </w:pPr>
      <w:r>
        <w:t>1.</w:t>
      </w:r>
      <w:r>
        <w:tab/>
        <w:t>The table in NOTE 1 of 1.1.3.2 states the energy content of gases in MJ/Nm</w:t>
      </w:r>
      <w:r w:rsidRPr="001A2C88">
        <w:rPr>
          <w:vertAlign w:val="superscript"/>
        </w:rPr>
        <w:t>3</w:t>
      </w:r>
      <w:r>
        <w:t>. The unit Nm</w:t>
      </w:r>
      <w:r w:rsidRPr="00242283">
        <w:rPr>
          <w:vertAlign w:val="superscript"/>
        </w:rPr>
        <w:t>3</w:t>
      </w:r>
      <w:r>
        <w:t xml:space="preserve">, a normal cubic metre, is associated with </w:t>
      </w:r>
      <w:r w:rsidRPr="00242283">
        <w:t>reference conditions of temperature and pressure</w:t>
      </w:r>
      <w:r>
        <w:t xml:space="preserve"> which are not defined in 1.1.3.2 or elsewhere in ADR. </w:t>
      </w:r>
    </w:p>
    <w:p w:rsidR="00BE76B2" w:rsidRDefault="00BE76B2" w:rsidP="00BE76B2">
      <w:pPr>
        <w:pStyle w:val="SingleTxtG"/>
      </w:pPr>
      <w:r>
        <w:t>2.</w:t>
      </w:r>
      <w:r>
        <w:tab/>
        <w:t>The United Kingdom has not identified the use of Nm</w:t>
      </w:r>
      <w:r w:rsidRPr="00BE76B2">
        <w:t>3</w:t>
      </w:r>
      <w:r>
        <w:t xml:space="preserve"> in ADR outside of 1.1.3.2. </w:t>
      </w:r>
    </w:p>
    <w:p w:rsidR="00BE76B2" w:rsidRDefault="00323868" w:rsidP="00BE76B2">
      <w:pPr>
        <w:pStyle w:val="SingleTxtG"/>
      </w:pPr>
      <w:r>
        <w:lastRenderedPageBreak/>
        <w:t>3.</w:t>
      </w:r>
      <w:r>
        <w:tab/>
      </w:r>
      <w:r w:rsidR="00BE76B2">
        <w:t xml:space="preserve">In this paper the </w:t>
      </w:r>
      <w:r>
        <w:t>United Kingdom</w:t>
      </w:r>
      <w:r w:rsidR="00BE76B2">
        <w:t xml:space="preserve"> provides two options for amendments. The </w:t>
      </w:r>
      <w:r>
        <w:t>United Kingdom</w:t>
      </w:r>
      <w:r w:rsidR="00BE76B2">
        <w:t xml:space="preserve"> </w:t>
      </w:r>
      <w:proofErr w:type="gramStart"/>
      <w:r w:rsidR="00BE76B2">
        <w:t>has a preference for</w:t>
      </w:r>
      <w:proofErr w:type="gramEnd"/>
      <w:r w:rsidR="00BE76B2">
        <w:t xml:space="preserve"> Option 1: defining Nm</w:t>
      </w:r>
      <w:r w:rsidR="00BE76B2">
        <w:rPr>
          <w:vertAlign w:val="superscript"/>
        </w:rPr>
        <w:t>3</w:t>
      </w:r>
      <w:r w:rsidR="00BE76B2">
        <w:t xml:space="preserve"> in a footnote to the table would be more convenient for the user and Nm</w:t>
      </w:r>
      <w:r w:rsidR="00BE76B2">
        <w:rPr>
          <w:vertAlign w:val="superscript"/>
        </w:rPr>
        <w:t>3</w:t>
      </w:r>
      <w:r w:rsidR="00BE76B2">
        <w:t xml:space="preserve"> is not used in ADR outside of 1.1.3.2.</w:t>
      </w:r>
    </w:p>
    <w:p w:rsidR="00BE76B2" w:rsidRDefault="00BE76B2" w:rsidP="004A43BA">
      <w:pPr>
        <w:pStyle w:val="H1G"/>
      </w:pPr>
      <w:r>
        <w:tab/>
      </w:r>
      <w:r>
        <w:tab/>
      </w:r>
      <w:r w:rsidRPr="00E045E6">
        <w:t>Proposal</w:t>
      </w:r>
      <w:r>
        <w:t xml:space="preserve"> – Option 1</w:t>
      </w:r>
    </w:p>
    <w:p w:rsidR="00BE76B2" w:rsidRDefault="004A43BA" w:rsidP="00BE76B2">
      <w:pPr>
        <w:pStyle w:val="SingleTxtG"/>
      </w:pPr>
      <w:r>
        <w:t>4.</w:t>
      </w:r>
      <w:r>
        <w:tab/>
      </w:r>
      <w:r w:rsidR="00BE76B2">
        <w:t xml:space="preserve">Create the following footnote (a) to the table in NOTE 1 of ADR 1.1.3.2: </w:t>
      </w:r>
    </w:p>
    <w:p w:rsidR="00BE76B2" w:rsidRDefault="00BE76B2" w:rsidP="004A43BA">
      <w:pPr>
        <w:pStyle w:val="SingleTxtG"/>
        <w:ind w:firstLine="567"/>
      </w:pPr>
      <w:r>
        <w:t>“(a) 1 Nm</w:t>
      </w:r>
      <w:r w:rsidRPr="00357C48">
        <w:rPr>
          <w:vertAlign w:val="superscript"/>
        </w:rPr>
        <w:t>3</w:t>
      </w:r>
      <w:r>
        <w:t xml:space="preserve"> refers to a ‘normal cubic metre’: the amount of a gas occupying 1 m</w:t>
      </w:r>
      <w:r w:rsidRPr="00357C48">
        <w:rPr>
          <w:vertAlign w:val="superscript"/>
        </w:rPr>
        <w:t>3</w:t>
      </w:r>
      <w:r>
        <w:t xml:space="preserve"> under temperature and pressure conditions of 0 </w:t>
      </w:r>
      <w:proofErr w:type="spellStart"/>
      <w:r w:rsidRPr="00357C48">
        <w:rPr>
          <w:vertAlign w:val="superscript"/>
        </w:rPr>
        <w:t>o</w:t>
      </w:r>
      <w:r>
        <w:t>C</w:t>
      </w:r>
      <w:proofErr w:type="spellEnd"/>
      <w:r>
        <w:t xml:space="preserve"> and </w:t>
      </w:r>
      <w:r w:rsidRPr="001A2C88">
        <w:t>1.013</w:t>
      </w:r>
      <w:r>
        <w:t>25</w:t>
      </w:r>
      <w:r w:rsidRPr="001A2C88">
        <w:t xml:space="preserve"> bar</w:t>
      </w:r>
      <w:r>
        <w:t xml:space="preserve"> (1 atmosphere).” </w:t>
      </w:r>
    </w:p>
    <w:p w:rsidR="00BE76B2" w:rsidRDefault="00BE76B2" w:rsidP="00BE76B2">
      <w:pPr>
        <w:pStyle w:val="SingleTxtG"/>
      </w:pPr>
      <w:r>
        <w:t>A superscript (a) next to the two mentions of Nm</w:t>
      </w:r>
      <w:r>
        <w:rPr>
          <w:vertAlign w:val="superscript"/>
        </w:rPr>
        <w:t>3</w:t>
      </w:r>
      <w:r>
        <w:t xml:space="preserve"> may be used to reference the footnote.</w:t>
      </w:r>
    </w:p>
    <w:p w:rsidR="00BE76B2" w:rsidRDefault="004A43BA" w:rsidP="004A43BA">
      <w:pPr>
        <w:pStyle w:val="H1G"/>
      </w:pPr>
      <w:r>
        <w:tab/>
      </w:r>
      <w:r>
        <w:tab/>
      </w:r>
      <w:r w:rsidR="00BE76B2" w:rsidRPr="00E045E6">
        <w:t>Proposal</w:t>
      </w:r>
      <w:r w:rsidR="00BE76B2">
        <w:t xml:space="preserve"> – Option 2</w:t>
      </w:r>
    </w:p>
    <w:p w:rsidR="00BE76B2" w:rsidRPr="004A43BA" w:rsidRDefault="004A43BA" w:rsidP="004A43BA">
      <w:pPr>
        <w:pStyle w:val="SingleTxtG"/>
      </w:pPr>
      <w:r>
        <w:t>5.</w:t>
      </w:r>
      <w:r>
        <w:tab/>
      </w:r>
      <w:r w:rsidR="00BE76B2" w:rsidRPr="004A43BA">
        <w:t xml:space="preserve">Create the following footnote (a) to the table in NOTE 1 of ADR 1.1.3.2: </w:t>
      </w:r>
    </w:p>
    <w:p w:rsidR="00BE76B2" w:rsidRPr="004A43BA" w:rsidRDefault="00BE76B2" w:rsidP="004A43BA">
      <w:pPr>
        <w:pStyle w:val="SingleTxtG"/>
        <w:ind w:firstLine="567"/>
      </w:pPr>
      <w:r w:rsidRPr="004A43BA">
        <w:t xml:space="preserve">“(a) 1 Nm3 refers to a normal cubic metre.” </w:t>
      </w:r>
    </w:p>
    <w:p w:rsidR="00BE76B2" w:rsidRPr="004A43BA" w:rsidRDefault="00BE76B2" w:rsidP="004A43BA">
      <w:pPr>
        <w:pStyle w:val="SingleTxtG"/>
      </w:pPr>
      <w:r w:rsidRPr="004A43BA">
        <w:t>A superscript (a) next to the two mentions of Nm3 may be used to reference the footnote.</w:t>
      </w:r>
    </w:p>
    <w:p w:rsidR="00BE76B2" w:rsidRDefault="004A43BA" w:rsidP="004A43BA">
      <w:pPr>
        <w:pStyle w:val="SingleTxtG"/>
      </w:pPr>
      <w:r>
        <w:t>6.</w:t>
      </w:r>
      <w:r>
        <w:tab/>
      </w:r>
      <w:r w:rsidR="00BE76B2" w:rsidRPr="004A43BA">
        <w:t>Create the</w:t>
      </w:r>
      <w:r w:rsidR="00BE76B2">
        <w:t xml:space="preserve"> following new paragraph under 1.2.2 Units of Measurement: </w:t>
      </w:r>
    </w:p>
    <w:tbl>
      <w:tblPr>
        <w:tblStyle w:val="TableGrid"/>
        <w:tblW w:w="7759"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5605"/>
      </w:tblGrid>
      <w:tr w:rsidR="00BE76B2" w:rsidTr="00EC7208">
        <w:trPr>
          <w:trHeight w:val="892"/>
        </w:trPr>
        <w:tc>
          <w:tcPr>
            <w:tcW w:w="2154" w:type="dxa"/>
          </w:tcPr>
          <w:p w:rsidR="00BE76B2" w:rsidRDefault="00BE76B2" w:rsidP="00EC7208">
            <w:pPr>
              <w:pStyle w:val="SingleTxtG"/>
              <w:ind w:left="0"/>
            </w:pPr>
            <w:r>
              <w:t>“1.2.2.5</w:t>
            </w:r>
          </w:p>
        </w:tc>
        <w:tc>
          <w:tcPr>
            <w:tcW w:w="5605" w:type="dxa"/>
          </w:tcPr>
          <w:p w:rsidR="00BE76B2" w:rsidRDefault="00BE76B2" w:rsidP="00EC7208">
            <w:pPr>
              <w:pStyle w:val="SingleTxtG"/>
              <w:ind w:left="0"/>
            </w:pPr>
            <w:r w:rsidRPr="007E3616">
              <w:t xml:space="preserve">Where ADR specifies a normal cubic </w:t>
            </w:r>
            <w:r>
              <w:t>metre</w:t>
            </w:r>
            <w:r w:rsidRPr="007E3616">
              <w:t>, this refers to the amount of a gas occupying 1 m</w:t>
            </w:r>
            <w:r w:rsidRPr="007E3616">
              <w:rPr>
                <w:vertAlign w:val="superscript"/>
              </w:rPr>
              <w:t>3</w:t>
            </w:r>
            <w:r w:rsidRPr="007E3616">
              <w:t xml:space="preserve"> under temperature and pressure conditions of 0 </w:t>
            </w:r>
            <w:proofErr w:type="spellStart"/>
            <w:r w:rsidRPr="007E3616">
              <w:rPr>
                <w:vertAlign w:val="superscript"/>
              </w:rPr>
              <w:t>o</w:t>
            </w:r>
            <w:r w:rsidRPr="007E3616">
              <w:t>C</w:t>
            </w:r>
            <w:proofErr w:type="spellEnd"/>
            <w:r w:rsidRPr="007E3616">
              <w:t xml:space="preserve"> and 1.01325 bar (1 atmosphere).”</w:t>
            </w:r>
          </w:p>
        </w:tc>
      </w:tr>
    </w:tbl>
    <w:p w:rsidR="00BE76B2" w:rsidRPr="00570DFB" w:rsidRDefault="00BE76B2" w:rsidP="00BE76B2">
      <w:pPr>
        <w:pStyle w:val="HChG"/>
      </w:pPr>
      <w:r>
        <w:tab/>
      </w:r>
      <w:r>
        <w:tab/>
      </w:r>
      <w:r w:rsidRPr="00570DFB">
        <w:t xml:space="preserve">Justification </w:t>
      </w:r>
    </w:p>
    <w:p w:rsidR="00BE76B2" w:rsidRPr="001A2C88" w:rsidRDefault="004009BF" w:rsidP="004A43BA">
      <w:pPr>
        <w:pStyle w:val="SingleTxtG"/>
      </w:pPr>
      <w:r>
        <w:t>7</w:t>
      </w:r>
      <w:r w:rsidR="004A43BA">
        <w:t>.</w:t>
      </w:r>
      <w:r w:rsidR="004A43BA">
        <w:tab/>
      </w:r>
      <w:r w:rsidR="00BE76B2">
        <w:t xml:space="preserve">Defining </w:t>
      </w:r>
      <w:r w:rsidR="00BE76B2" w:rsidRPr="00242283">
        <w:t>Nm</w:t>
      </w:r>
      <w:r w:rsidR="00BE76B2" w:rsidRPr="00242283">
        <w:rPr>
          <w:vertAlign w:val="superscript"/>
        </w:rPr>
        <w:t>3</w:t>
      </w:r>
      <w:r w:rsidR="00BE76B2">
        <w:t xml:space="preserve"> in 1.1.3.2 will help to ensure accurate interpretation of the text. It is noted that different regions and organisations may choose to use different temperature and pressure conditions when defining what conditions are ‘normal’ and ‘standard’. Therefore, it would be helpful to include a definition of the Nm</w:t>
      </w:r>
      <w:r w:rsidR="00BE76B2" w:rsidRPr="00242283">
        <w:rPr>
          <w:vertAlign w:val="superscript"/>
        </w:rPr>
        <w:t>3</w:t>
      </w:r>
      <w:r w:rsidR="00BE76B2">
        <w:rPr>
          <w:vertAlign w:val="superscript"/>
        </w:rPr>
        <w:t xml:space="preserve"> </w:t>
      </w:r>
      <w:r w:rsidR="00BE76B2" w:rsidRPr="00461A03">
        <w:t>reference conditions in ADR.</w:t>
      </w:r>
    </w:p>
    <w:p w:rsidR="00BA7DC9" w:rsidRPr="00B7366C" w:rsidRDefault="00BA7DC9" w:rsidP="00BA7DC9">
      <w:pPr>
        <w:pStyle w:val="SingleTxtG"/>
        <w:spacing w:before="240" w:after="0"/>
        <w:jc w:val="center"/>
        <w:rPr>
          <w:u w:val="single"/>
        </w:rPr>
      </w:pPr>
      <w:r>
        <w:rPr>
          <w:u w:val="single"/>
        </w:rPr>
        <w:tab/>
      </w:r>
      <w:r>
        <w:rPr>
          <w:u w:val="single"/>
        </w:rPr>
        <w:tab/>
      </w:r>
      <w:r>
        <w:rPr>
          <w:u w:val="single"/>
        </w:rPr>
        <w:tab/>
      </w:r>
    </w:p>
    <w:p w:rsidR="00B7366C" w:rsidRPr="00B7366C" w:rsidRDefault="00B7366C" w:rsidP="00B7366C">
      <w:pPr>
        <w:pStyle w:val="SingleTxtG"/>
        <w:spacing w:before="240" w:after="0"/>
        <w:jc w:val="center"/>
        <w:rPr>
          <w:u w:val="single"/>
        </w:rPr>
      </w:pPr>
      <w:bookmarkStart w:id="0" w:name="_GoBack"/>
      <w:bookmarkEnd w:id="0"/>
    </w:p>
    <w:sectPr w:rsidR="00B7366C" w:rsidRPr="00B7366C" w:rsidSect="00751066">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38C" w:rsidRDefault="0090238C"/>
  </w:endnote>
  <w:endnote w:type="continuationSeparator" w:id="0">
    <w:p w:rsidR="0090238C" w:rsidRDefault="0090238C"/>
  </w:endnote>
  <w:endnote w:type="continuationNotice" w:id="1">
    <w:p w:rsidR="0090238C" w:rsidRDefault="00902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8C" w:rsidRPr="001330DE" w:rsidRDefault="0090238C" w:rsidP="001330DE">
    <w:pPr>
      <w:pStyle w:val="Footer"/>
      <w:tabs>
        <w:tab w:val="right" w:pos="9598"/>
      </w:tabs>
    </w:pPr>
    <w:r w:rsidRPr="001330DE">
      <w:rPr>
        <w:b/>
        <w:sz w:val="18"/>
      </w:rPr>
      <w:fldChar w:fldCharType="begin"/>
    </w:r>
    <w:r w:rsidRPr="001330DE">
      <w:rPr>
        <w:b/>
        <w:sz w:val="18"/>
      </w:rPr>
      <w:instrText xml:space="preserve"> PAGE  \* MERGEFORMAT </w:instrText>
    </w:r>
    <w:r w:rsidRPr="001330DE">
      <w:rPr>
        <w:b/>
        <w:sz w:val="18"/>
      </w:rPr>
      <w:fldChar w:fldCharType="separate"/>
    </w:r>
    <w:r w:rsidR="00BA7DC9">
      <w:rPr>
        <w:b/>
        <w:noProof/>
        <w:sz w:val="18"/>
      </w:rPr>
      <w:t>2</w:t>
    </w:r>
    <w:r w:rsidRPr="001330D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8C" w:rsidRPr="001330DE" w:rsidRDefault="0090238C" w:rsidP="001330DE">
    <w:pPr>
      <w:pStyle w:val="Footer"/>
      <w:tabs>
        <w:tab w:val="right" w:pos="9598"/>
      </w:tabs>
      <w:rPr>
        <w:b/>
        <w:sz w:val="18"/>
      </w:rPr>
    </w:pPr>
    <w:r>
      <w:tab/>
    </w:r>
    <w:r w:rsidRPr="001330DE">
      <w:rPr>
        <w:b/>
        <w:sz w:val="18"/>
      </w:rPr>
      <w:fldChar w:fldCharType="begin"/>
    </w:r>
    <w:r w:rsidRPr="001330DE">
      <w:rPr>
        <w:b/>
        <w:sz w:val="18"/>
      </w:rPr>
      <w:instrText xml:space="preserve"> PAGE  \* MERGEFORMAT </w:instrText>
    </w:r>
    <w:r w:rsidRPr="001330DE">
      <w:rPr>
        <w:b/>
        <w:sz w:val="18"/>
      </w:rPr>
      <w:fldChar w:fldCharType="separate"/>
    </w:r>
    <w:r w:rsidR="00BE76B2">
      <w:rPr>
        <w:b/>
        <w:noProof/>
        <w:sz w:val="18"/>
      </w:rPr>
      <w:t>3</w:t>
    </w:r>
    <w:r w:rsidRPr="001330D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38C" w:rsidRPr="000B175B" w:rsidRDefault="0090238C" w:rsidP="000B175B">
      <w:pPr>
        <w:tabs>
          <w:tab w:val="right" w:pos="2155"/>
        </w:tabs>
        <w:spacing w:after="80"/>
        <w:ind w:left="680"/>
        <w:rPr>
          <w:u w:val="single"/>
        </w:rPr>
      </w:pPr>
      <w:r>
        <w:rPr>
          <w:u w:val="single"/>
        </w:rPr>
        <w:tab/>
      </w:r>
    </w:p>
  </w:footnote>
  <w:footnote w:type="continuationSeparator" w:id="0">
    <w:p w:rsidR="0090238C" w:rsidRPr="00FC68B7" w:rsidRDefault="0090238C" w:rsidP="00FC68B7">
      <w:pPr>
        <w:tabs>
          <w:tab w:val="left" w:pos="2155"/>
        </w:tabs>
        <w:spacing w:after="80"/>
        <w:ind w:left="680"/>
        <w:rPr>
          <w:u w:val="single"/>
        </w:rPr>
      </w:pPr>
      <w:r>
        <w:rPr>
          <w:u w:val="single"/>
        </w:rPr>
        <w:tab/>
      </w:r>
    </w:p>
  </w:footnote>
  <w:footnote w:type="continuationNotice" w:id="1">
    <w:p w:rsidR="0090238C" w:rsidRDefault="0090238C"/>
  </w:footnote>
  <w:footnote w:id="2">
    <w:p w:rsidR="00B7366C" w:rsidRDefault="00B7366C" w:rsidP="00B7366C">
      <w:pPr>
        <w:pStyle w:val="FootnoteText"/>
        <w:tabs>
          <w:tab w:val="clear" w:pos="1021"/>
        </w:tabs>
        <w:ind w:left="1418" w:right="1260" w:hanging="284"/>
        <w:jc w:val="both"/>
      </w:pPr>
      <w:r w:rsidRPr="00C634A6">
        <w:rPr>
          <w:rStyle w:val="FootnoteReference"/>
          <w:sz w:val="20"/>
        </w:rPr>
        <w:sym w:font="Symbol" w:char="F02A"/>
      </w:r>
      <w:r>
        <w:tab/>
      </w:r>
      <w:r>
        <w:rPr>
          <w:color w:val="000000"/>
          <w:lang w:val="en-US" w:eastAsia="en-GB"/>
        </w:rPr>
        <w:t xml:space="preserve">In accordance with the </w:t>
      </w:r>
      <w:proofErr w:type="spellStart"/>
      <w:r>
        <w:rPr>
          <w:color w:val="000000"/>
          <w:lang w:val="en-US" w:eastAsia="en-GB"/>
        </w:rPr>
        <w:t>programme</w:t>
      </w:r>
      <w:proofErr w:type="spellEnd"/>
      <w:r>
        <w:rPr>
          <w:color w:val="000000"/>
          <w:lang w:val="en-US" w:eastAsia="en-GB"/>
        </w:rPr>
        <w:t xml:space="preserve"> of work of the Inland Transport Committee for 2018-2019, (ECE/TRANS/WP.15/237, annex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8C" w:rsidRPr="001330DE" w:rsidRDefault="0090238C" w:rsidP="001330DE">
    <w:pPr>
      <w:pStyle w:val="Header"/>
    </w:pPr>
    <w:r w:rsidRPr="001330DE">
      <w:t>ECE/TRANS/WP.15/201</w:t>
    </w:r>
    <w:r w:rsidR="009A35A2">
      <w:t>9</w:t>
    </w:r>
    <w:r w:rsidRPr="001330DE">
      <w:t>/1</w:t>
    </w:r>
    <w:r w:rsidR="000D3D39">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8C" w:rsidRPr="001330DE" w:rsidRDefault="0090238C" w:rsidP="001330DE">
    <w:pPr>
      <w:pStyle w:val="Header"/>
      <w:jc w:val="right"/>
    </w:pPr>
    <w:r w:rsidRPr="001330DE">
      <w:t>ECE/TRANS/WP.15/201</w:t>
    </w:r>
    <w:r w:rsidR="00751066">
      <w:t>9/1</w:t>
    </w:r>
    <w:r w:rsidR="000D3D39">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3E7BE7"/>
    <w:multiLevelType w:val="hybridMultilevel"/>
    <w:tmpl w:val="6E3C7450"/>
    <w:lvl w:ilvl="0" w:tplc="B38239E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6" w15:restartNumberingAfterBreak="0">
    <w:nsid w:val="4FF35B20"/>
    <w:multiLevelType w:val="hybridMultilevel"/>
    <w:tmpl w:val="640C8E9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541C0FE5"/>
    <w:multiLevelType w:val="hybridMultilevel"/>
    <w:tmpl w:val="E2CE79EC"/>
    <w:lvl w:ilvl="0" w:tplc="9C3672C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402792"/>
    <w:multiLevelType w:val="hybridMultilevel"/>
    <w:tmpl w:val="52BC5366"/>
    <w:lvl w:ilvl="0" w:tplc="51C0C72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0" w15:restartNumberingAfterBreak="0">
    <w:nsid w:val="69647E6C"/>
    <w:multiLevelType w:val="hybridMultilevel"/>
    <w:tmpl w:val="05FCD96E"/>
    <w:lvl w:ilvl="0" w:tplc="9C1C829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F851D57"/>
    <w:multiLevelType w:val="hybridMultilevel"/>
    <w:tmpl w:val="F0D473B2"/>
    <w:lvl w:ilvl="0" w:tplc="E40AFA7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7393238A"/>
    <w:multiLevelType w:val="hybridMultilevel"/>
    <w:tmpl w:val="3886CE22"/>
    <w:lvl w:ilvl="0" w:tplc="CE06520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75DF4278"/>
    <w:multiLevelType w:val="hybridMultilevel"/>
    <w:tmpl w:val="7B8C417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77EC5E3F"/>
    <w:multiLevelType w:val="hybridMultilevel"/>
    <w:tmpl w:val="A90EFFF6"/>
    <w:lvl w:ilvl="0" w:tplc="0809000F">
      <w:start w:val="1"/>
      <w:numFmt w:val="decimal"/>
      <w:lvlText w:val="%1."/>
      <w:lvlJc w:val="left"/>
      <w:pPr>
        <w:ind w:left="1914" w:hanging="78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8"/>
  </w:num>
  <w:num w:numId="15">
    <w:abstractNumId w:val="12"/>
  </w:num>
  <w:num w:numId="16">
    <w:abstractNumId w:val="11"/>
  </w:num>
  <w:num w:numId="17">
    <w:abstractNumId w:val="16"/>
  </w:num>
  <w:num w:numId="18">
    <w:abstractNumId w:val="15"/>
  </w:num>
  <w:num w:numId="19">
    <w:abstractNumId w:val="19"/>
  </w:num>
  <w:num w:numId="20">
    <w:abstractNumId w:val="24"/>
  </w:num>
  <w:num w:numId="21">
    <w:abstractNumId w:val="21"/>
  </w:num>
  <w:num w:numId="22">
    <w:abstractNumId w:val="20"/>
  </w:num>
  <w:num w:numId="23">
    <w:abstractNumId w:val="17"/>
  </w:num>
  <w:num w:numId="24">
    <w:abstractNumId w:val="23"/>
  </w:num>
  <w:num w:numId="2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40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71"/>
    <w:rsid w:val="000120B1"/>
    <w:rsid w:val="00046B1F"/>
    <w:rsid w:val="00050F6B"/>
    <w:rsid w:val="00057E97"/>
    <w:rsid w:val="00072C8C"/>
    <w:rsid w:val="000733B5"/>
    <w:rsid w:val="00081815"/>
    <w:rsid w:val="00083C51"/>
    <w:rsid w:val="00085A33"/>
    <w:rsid w:val="000931C0"/>
    <w:rsid w:val="000B0595"/>
    <w:rsid w:val="000B175B"/>
    <w:rsid w:val="000B3A0F"/>
    <w:rsid w:val="000B4EF7"/>
    <w:rsid w:val="000C2C03"/>
    <w:rsid w:val="000C2D2E"/>
    <w:rsid w:val="000C45FE"/>
    <w:rsid w:val="000D3D39"/>
    <w:rsid w:val="000E0415"/>
    <w:rsid w:val="001103AA"/>
    <w:rsid w:val="00112415"/>
    <w:rsid w:val="0011666B"/>
    <w:rsid w:val="00126A57"/>
    <w:rsid w:val="001330DE"/>
    <w:rsid w:val="0013366E"/>
    <w:rsid w:val="00136E76"/>
    <w:rsid w:val="00145622"/>
    <w:rsid w:val="00165F3A"/>
    <w:rsid w:val="001B054C"/>
    <w:rsid w:val="001B4B04"/>
    <w:rsid w:val="001C6663"/>
    <w:rsid w:val="001C7895"/>
    <w:rsid w:val="001C7B8E"/>
    <w:rsid w:val="001D0C8C"/>
    <w:rsid w:val="001D1419"/>
    <w:rsid w:val="001D26DF"/>
    <w:rsid w:val="001D3A03"/>
    <w:rsid w:val="001E099A"/>
    <w:rsid w:val="001E4771"/>
    <w:rsid w:val="001E59E0"/>
    <w:rsid w:val="001E7B67"/>
    <w:rsid w:val="001F62E2"/>
    <w:rsid w:val="001F6AFB"/>
    <w:rsid w:val="00202DA8"/>
    <w:rsid w:val="00211E0B"/>
    <w:rsid w:val="0021665B"/>
    <w:rsid w:val="00222125"/>
    <w:rsid w:val="00234A47"/>
    <w:rsid w:val="00250738"/>
    <w:rsid w:val="0025076C"/>
    <w:rsid w:val="00267F5F"/>
    <w:rsid w:val="00286B4D"/>
    <w:rsid w:val="002D4643"/>
    <w:rsid w:val="002F02F3"/>
    <w:rsid w:val="002F175C"/>
    <w:rsid w:val="00302E18"/>
    <w:rsid w:val="00311373"/>
    <w:rsid w:val="00312068"/>
    <w:rsid w:val="003229D8"/>
    <w:rsid w:val="00323868"/>
    <w:rsid w:val="00352709"/>
    <w:rsid w:val="003639E8"/>
    <w:rsid w:val="00363F9A"/>
    <w:rsid w:val="00364574"/>
    <w:rsid w:val="00371178"/>
    <w:rsid w:val="0038358B"/>
    <w:rsid w:val="0039594A"/>
    <w:rsid w:val="003A6810"/>
    <w:rsid w:val="003A6B33"/>
    <w:rsid w:val="003C2CC4"/>
    <w:rsid w:val="003C6D1D"/>
    <w:rsid w:val="003D4B23"/>
    <w:rsid w:val="003D738F"/>
    <w:rsid w:val="003E0029"/>
    <w:rsid w:val="004009BF"/>
    <w:rsid w:val="00410C89"/>
    <w:rsid w:val="00422E03"/>
    <w:rsid w:val="00426B9B"/>
    <w:rsid w:val="00431164"/>
    <w:rsid w:val="004325CB"/>
    <w:rsid w:val="00432E7C"/>
    <w:rsid w:val="00442A83"/>
    <w:rsid w:val="00445AF6"/>
    <w:rsid w:val="0045495B"/>
    <w:rsid w:val="00466954"/>
    <w:rsid w:val="00473475"/>
    <w:rsid w:val="0048397A"/>
    <w:rsid w:val="004A43BA"/>
    <w:rsid w:val="004C2461"/>
    <w:rsid w:val="004C7462"/>
    <w:rsid w:val="004D3CEF"/>
    <w:rsid w:val="004E77B2"/>
    <w:rsid w:val="00504B2D"/>
    <w:rsid w:val="0052136D"/>
    <w:rsid w:val="00522B58"/>
    <w:rsid w:val="0052699B"/>
    <w:rsid w:val="0052775E"/>
    <w:rsid w:val="005420F2"/>
    <w:rsid w:val="005628B6"/>
    <w:rsid w:val="005666AA"/>
    <w:rsid w:val="00597C2F"/>
    <w:rsid w:val="005B3DB3"/>
    <w:rsid w:val="005B4E13"/>
    <w:rsid w:val="005E2EBD"/>
    <w:rsid w:val="005F7B75"/>
    <w:rsid w:val="006001EE"/>
    <w:rsid w:val="00603CB2"/>
    <w:rsid w:val="00605042"/>
    <w:rsid w:val="00611FC4"/>
    <w:rsid w:val="006176FB"/>
    <w:rsid w:val="00640B26"/>
    <w:rsid w:val="00644E68"/>
    <w:rsid w:val="00652D0A"/>
    <w:rsid w:val="006623D5"/>
    <w:rsid w:val="00662BB6"/>
    <w:rsid w:val="00684C21"/>
    <w:rsid w:val="00696D0A"/>
    <w:rsid w:val="006A2530"/>
    <w:rsid w:val="006C2261"/>
    <w:rsid w:val="006C3589"/>
    <w:rsid w:val="006D2148"/>
    <w:rsid w:val="006D266F"/>
    <w:rsid w:val="006D37AF"/>
    <w:rsid w:val="006D51D0"/>
    <w:rsid w:val="006E564B"/>
    <w:rsid w:val="006E7191"/>
    <w:rsid w:val="0070280D"/>
    <w:rsid w:val="00703577"/>
    <w:rsid w:val="00705894"/>
    <w:rsid w:val="0072632A"/>
    <w:rsid w:val="007327D5"/>
    <w:rsid w:val="00751066"/>
    <w:rsid w:val="007629C8"/>
    <w:rsid w:val="0077047D"/>
    <w:rsid w:val="00775BA6"/>
    <w:rsid w:val="007A3C5F"/>
    <w:rsid w:val="007B4EDD"/>
    <w:rsid w:val="007B6BA5"/>
    <w:rsid w:val="007C3390"/>
    <w:rsid w:val="007C4F4B"/>
    <w:rsid w:val="007E01E9"/>
    <w:rsid w:val="007E63F3"/>
    <w:rsid w:val="007F6611"/>
    <w:rsid w:val="00811920"/>
    <w:rsid w:val="00815AD0"/>
    <w:rsid w:val="008242D7"/>
    <w:rsid w:val="008257B1"/>
    <w:rsid w:val="00830A44"/>
    <w:rsid w:val="00843767"/>
    <w:rsid w:val="008679D9"/>
    <w:rsid w:val="008878DE"/>
    <w:rsid w:val="008979B1"/>
    <w:rsid w:val="008A632B"/>
    <w:rsid w:val="008A6B25"/>
    <w:rsid w:val="008A6C4F"/>
    <w:rsid w:val="008B2335"/>
    <w:rsid w:val="008C048F"/>
    <w:rsid w:val="008D4A19"/>
    <w:rsid w:val="008E0678"/>
    <w:rsid w:val="0090238C"/>
    <w:rsid w:val="009223CA"/>
    <w:rsid w:val="009264B1"/>
    <w:rsid w:val="00940F93"/>
    <w:rsid w:val="009471BA"/>
    <w:rsid w:val="009760F3"/>
    <w:rsid w:val="009872AB"/>
    <w:rsid w:val="009A0E8D"/>
    <w:rsid w:val="009A35A2"/>
    <w:rsid w:val="009B26E7"/>
    <w:rsid w:val="00A00A3F"/>
    <w:rsid w:val="00A01489"/>
    <w:rsid w:val="00A07946"/>
    <w:rsid w:val="00A3026E"/>
    <w:rsid w:val="00A338F1"/>
    <w:rsid w:val="00A50DEE"/>
    <w:rsid w:val="00A72F22"/>
    <w:rsid w:val="00A7360F"/>
    <w:rsid w:val="00A748A6"/>
    <w:rsid w:val="00A769F4"/>
    <w:rsid w:val="00A776B4"/>
    <w:rsid w:val="00A94361"/>
    <w:rsid w:val="00AA293C"/>
    <w:rsid w:val="00AD5C88"/>
    <w:rsid w:val="00AE6AC4"/>
    <w:rsid w:val="00B30179"/>
    <w:rsid w:val="00B31E80"/>
    <w:rsid w:val="00B421C1"/>
    <w:rsid w:val="00B54192"/>
    <w:rsid w:val="00B55C71"/>
    <w:rsid w:val="00B56E4A"/>
    <w:rsid w:val="00B56E9C"/>
    <w:rsid w:val="00B64B1F"/>
    <w:rsid w:val="00B6553F"/>
    <w:rsid w:val="00B7366C"/>
    <w:rsid w:val="00B77D05"/>
    <w:rsid w:val="00B81206"/>
    <w:rsid w:val="00B81E12"/>
    <w:rsid w:val="00B9042E"/>
    <w:rsid w:val="00BA399B"/>
    <w:rsid w:val="00BA7DC9"/>
    <w:rsid w:val="00BC3FA0"/>
    <w:rsid w:val="00BC74E9"/>
    <w:rsid w:val="00BD186E"/>
    <w:rsid w:val="00BE0515"/>
    <w:rsid w:val="00BE76B2"/>
    <w:rsid w:val="00BF68A8"/>
    <w:rsid w:val="00C0563C"/>
    <w:rsid w:val="00C11A03"/>
    <w:rsid w:val="00C22C0C"/>
    <w:rsid w:val="00C4527F"/>
    <w:rsid w:val="00C463DD"/>
    <w:rsid w:val="00C4724C"/>
    <w:rsid w:val="00C629A0"/>
    <w:rsid w:val="00C634A6"/>
    <w:rsid w:val="00C64629"/>
    <w:rsid w:val="00C71ED6"/>
    <w:rsid w:val="00C745C3"/>
    <w:rsid w:val="00C86220"/>
    <w:rsid w:val="00CB3E03"/>
    <w:rsid w:val="00CE0C77"/>
    <w:rsid w:val="00CE4A8F"/>
    <w:rsid w:val="00CE6A6D"/>
    <w:rsid w:val="00CF49FD"/>
    <w:rsid w:val="00D1513D"/>
    <w:rsid w:val="00D2031B"/>
    <w:rsid w:val="00D25FE2"/>
    <w:rsid w:val="00D43252"/>
    <w:rsid w:val="00D47EEA"/>
    <w:rsid w:val="00D6286A"/>
    <w:rsid w:val="00D773DF"/>
    <w:rsid w:val="00D77865"/>
    <w:rsid w:val="00D94296"/>
    <w:rsid w:val="00D95303"/>
    <w:rsid w:val="00D978C6"/>
    <w:rsid w:val="00DA3C1C"/>
    <w:rsid w:val="00DD40F2"/>
    <w:rsid w:val="00DE40E0"/>
    <w:rsid w:val="00E046DF"/>
    <w:rsid w:val="00E27346"/>
    <w:rsid w:val="00E70191"/>
    <w:rsid w:val="00E71BC8"/>
    <w:rsid w:val="00E7260F"/>
    <w:rsid w:val="00E73F5D"/>
    <w:rsid w:val="00E77E4E"/>
    <w:rsid w:val="00E96630"/>
    <w:rsid w:val="00ED41D7"/>
    <w:rsid w:val="00ED7A2A"/>
    <w:rsid w:val="00EF1D7F"/>
    <w:rsid w:val="00F13FB9"/>
    <w:rsid w:val="00F31E5F"/>
    <w:rsid w:val="00F44B02"/>
    <w:rsid w:val="00F44E7A"/>
    <w:rsid w:val="00F6100A"/>
    <w:rsid w:val="00F90BD0"/>
    <w:rsid w:val="00F93781"/>
    <w:rsid w:val="00FB613B"/>
    <w:rsid w:val="00FC0954"/>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4033"/>
    <o:shapelayout v:ext="edit">
      <o:idmap v:ext="edit" data="1"/>
    </o:shapelayout>
  </w:shapeDefaults>
  <w:decimalSymbol w:val="."/>
  <w:listSeparator w:val=","/>
  <w15:docId w15:val="{7637D977-E40E-42BC-894E-8CD3EE56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H1GChar">
    <w:name w:val="_ H_1_G Char"/>
    <w:link w:val="H1G"/>
    <w:rsid w:val="00597C2F"/>
    <w:rPr>
      <w:b/>
      <w:sz w:val="24"/>
      <w:lang w:eastAsia="en-US"/>
    </w:rPr>
  </w:style>
  <w:style w:type="paragraph" w:styleId="ListParagraph">
    <w:name w:val="List Paragraph"/>
    <w:basedOn w:val="Normal"/>
    <w:uiPriority w:val="34"/>
    <w:qFormat/>
    <w:rsid w:val="00597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5912E-3653-4AD2-BB41-D8FED435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421</Words>
  <Characters>2279</Characters>
  <Application>Microsoft Office Word</Application>
  <DocSecurity>0</DocSecurity>
  <Lines>55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1420747</vt:lpstr>
      <vt:lpstr>1420747</vt:lpstr>
    </vt:vector>
  </TitlesOfParts>
  <Company>CSD</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1420747</dc:title>
  <dc:creator>pae</dc:creator>
  <cp:keywords>ECE/TRANS/WP.15/2014/1</cp:keywords>
  <dc:description>final</dc:description>
  <cp:lastModifiedBy>Christine Barrio-Champeau</cp:lastModifiedBy>
  <cp:revision>8</cp:revision>
  <cp:lastPrinted>2019-02-18T09:46:00Z</cp:lastPrinted>
  <dcterms:created xsi:type="dcterms:W3CDTF">2019-02-18T09:46:00Z</dcterms:created>
  <dcterms:modified xsi:type="dcterms:W3CDTF">2019-02-19T09:10:00Z</dcterms:modified>
</cp:coreProperties>
</file>