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7C60E1">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7C60E1" w:rsidP="007C60E1">
            <w:pPr>
              <w:jc w:val="right"/>
            </w:pPr>
            <w:r w:rsidRPr="007C60E1">
              <w:rPr>
                <w:sz w:val="40"/>
              </w:rPr>
              <w:t>ECE</w:t>
            </w:r>
            <w:r>
              <w:t>/TRANS/WP.15/2019/10</w:t>
            </w:r>
          </w:p>
        </w:tc>
      </w:tr>
      <w:tr w:rsidR="002D5AAC" w:rsidRPr="00BD59F5"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zh-CN"/>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7C60E1" w:rsidP="00387CD4">
            <w:pPr>
              <w:spacing w:before="240"/>
              <w:rPr>
                <w:lang w:val="en-US"/>
              </w:rPr>
            </w:pPr>
            <w:r>
              <w:rPr>
                <w:lang w:val="en-US"/>
              </w:rPr>
              <w:t>Distr.: General</w:t>
            </w:r>
          </w:p>
          <w:p w:rsidR="007C60E1" w:rsidRDefault="007C60E1" w:rsidP="007C60E1">
            <w:pPr>
              <w:spacing w:line="240" w:lineRule="exact"/>
              <w:rPr>
                <w:lang w:val="en-US"/>
              </w:rPr>
            </w:pPr>
            <w:r>
              <w:rPr>
                <w:lang w:val="en-US"/>
              </w:rPr>
              <w:t>18 February 2019</w:t>
            </w:r>
          </w:p>
          <w:p w:rsidR="007C60E1" w:rsidRDefault="007C60E1" w:rsidP="007C60E1">
            <w:pPr>
              <w:spacing w:line="240" w:lineRule="exact"/>
              <w:rPr>
                <w:lang w:val="en-US"/>
              </w:rPr>
            </w:pPr>
            <w:r>
              <w:rPr>
                <w:lang w:val="en-US"/>
              </w:rPr>
              <w:t>Russian</w:t>
            </w:r>
          </w:p>
          <w:p w:rsidR="007C60E1" w:rsidRPr="008D53B6" w:rsidRDefault="007C60E1" w:rsidP="007C60E1">
            <w:pPr>
              <w:spacing w:line="240" w:lineRule="exact"/>
              <w:rPr>
                <w:lang w:val="en-US"/>
              </w:rPr>
            </w:pPr>
            <w:r>
              <w:rPr>
                <w:lang w:val="en-US"/>
              </w:rPr>
              <w:t>Original: English</w:t>
            </w:r>
          </w:p>
        </w:tc>
      </w:tr>
    </w:tbl>
    <w:p w:rsidR="007C60E1" w:rsidRDefault="008A37C8" w:rsidP="00255343">
      <w:pPr>
        <w:spacing w:before="120"/>
        <w:rPr>
          <w:b/>
          <w:sz w:val="28"/>
          <w:szCs w:val="28"/>
        </w:rPr>
      </w:pPr>
      <w:r w:rsidRPr="00245892">
        <w:rPr>
          <w:b/>
          <w:sz w:val="28"/>
          <w:szCs w:val="28"/>
        </w:rPr>
        <w:t>Европейская экономическая комиссия</w:t>
      </w:r>
    </w:p>
    <w:p w:rsidR="007C60E1" w:rsidRPr="007C60E1" w:rsidRDefault="007C60E1" w:rsidP="007C60E1">
      <w:pPr>
        <w:spacing w:before="120"/>
        <w:rPr>
          <w:sz w:val="28"/>
          <w:szCs w:val="28"/>
        </w:rPr>
      </w:pPr>
      <w:r w:rsidRPr="007C60E1">
        <w:rPr>
          <w:sz w:val="28"/>
          <w:szCs w:val="28"/>
        </w:rPr>
        <w:t>Комитет по внутреннему транспорту</w:t>
      </w:r>
    </w:p>
    <w:p w:rsidR="007C60E1" w:rsidRPr="007C60E1" w:rsidRDefault="007C60E1" w:rsidP="007C60E1">
      <w:pPr>
        <w:spacing w:before="120"/>
        <w:rPr>
          <w:b/>
          <w:sz w:val="24"/>
          <w:szCs w:val="24"/>
        </w:rPr>
      </w:pPr>
      <w:r w:rsidRPr="007C60E1">
        <w:rPr>
          <w:b/>
          <w:bCs/>
          <w:sz w:val="24"/>
          <w:szCs w:val="24"/>
        </w:rPr>
        <w:t>Рабочая группа по перевозкам опасных грузов</w:t>
      </w:r>
    </w:p>
    <w:p w:rsidR="007C60E1" w:rsidRPr="007C60E1" w:rsidRDefault="007C60E1" w:rsidP="007C60E1">
      <w:pPr>
        <w:spacing w:before="120"/>
        <w:rPr>
          <w:rFonts w:eastAsia="SimSun"/>
          <w:b/>
        </w:rPr>
      </w:pPr>
      <w:r w:rsidRPr="007C60E1">
        <w:rPr>
          <w:b/>
        </w:rPr>
        <w:t xml:space="preserve">106-я сессия </w:t>
      </w:r>
    </w:p>
    <w:p w:rsidR="007C60E1" w:rsidRPr="00FB7FF6" w:rsidRDefault="007C60E1" w:rsidP="007C60E1">
      <w:pPr>
        <w:rPr>
          <w:rFonts w:eastAsia="SimSun"/>
        </w:rPr>
      </w:pPr>
      <w:r w:rsidRPr="00FB7FF6">
        <w:t>Женева, 13</w:t>
      </w:r>
      <w:r w:rsidRPr="00CA2ECA">
        <w:t>–</w:t>
      </w:r>
      <w:r w:rsidRPr="00FB7FF6">
        <w:t xml:space="preserve">17 мая 2019 года </w:t>
      </w:r>
    </w:p>
    <w:p w:rsidR="007C60E1" w:rsidRPr="00FB7FF6" w:rsidRDefault="007C60E1" w:rsidP="007C60E1">
      <w:r w:rsidRPr="00FB7FF6">
        <w:t>Пункт 6 b) предварительной повестки дня</w:t>
      </w:r>
    </w:p>
    <w:p w:rsidR="007C60E1" w:rsidRPr="00FB7FF6" w:rsidRDefault="007C60E1" w:rsidP="007C60E1">
      <w:pPr>
        <w:rPr>
          <w:b/>
          <w:bCs/>
        </w:rPr>
      </w:pPr>
      <w:r w:rsidRPr="00FB7FF6">
        <w:rPr>
          <w:b/>
          <w:bCs/>
        </w:rPr>
        <w:t xml:space="preserve">Предложения о внесении поправок </w:t>
      </w:r>
      <w:r>
        <w:rPr>
          <w:b/>
          <w:bCs/>
        </w:rPr>
        <w:br/>
      </w:r>
      <w:r w:rsidRPr="00FB7FF6">
        <w:rPr>
          <w:b/>
          <w:bCs/>
        </w:rPr>
        <w:t>в приложения А и B к ДОПОГ:</w:t>
      </w:r>
    </w:p>
    <w:p w:rsidR="00E12C5F" w:rsidRDefault="007C60E1" w:rsidP="007C60E1">
      <w:r w:rsidRPr="00FB7FF6">
        <w:rPr>
          <w:b/>
          <w:bCs/>
        </w:rPr>
        <w:t>различные предложения</w:t>
      </w:r>
    </w:p>
    <w:p w:rsidR="007C60E1" w:rsidRPr="00FB7FF6" w:rsidRDefault="007C60E1" w:rsidP="007C60E1">
      <w:pPr>
        <w:pStyle w:val="HChG"/>
        <w:keepNext w:val="0"/>
        <w:keepLines w:val="0"/>
        <w:rPr>
          <w:sz w:val="20"/>
        </w:rPr>
      </w:pPr>
      <w:r>
        <w:rPr>
          <w:bCs/>
        </w:rPr>
        <w:tab/>
      </w:r>
      <w:r>
        <w:rPr>
          <w:bCs/>
        </w:rPr>
        <w:tab/>
      </w:r>
      <w:r w:rsidRPr="00FB7FF6">
        <w:rPr>
          <w:bCs/>
        </w:rPr>
        <w:t>Более одного прицепа (или полуприцепа) в составе транспортной единицы (раздел 8.1.1)</w:t>
      </w:r>
    </w:p>
    <w:p w:rsidR="007C60E1" w:rsidRDefault="007C60E1" w:rsidP="007C60E1">
      <w:pPr>
        <w:pStyle w:val="H1G"/>
      </w:pPr>
      <w:r w:rsidRPr="00FB7FF6">
        <w:tab/>
      </w:r>
      <w:r w:rsidRPr="00FB7FF6">
        <w:tab/>
        <w:t>Передано правительствами Финляндии и Швеции</w:t>
      </w:r>
      <w:r w:rsidRPr="007C60E1">
        <w:rPr>
          <w:rStyle w:val="FootnoteReference"/>
          <w:b w:val="0"/>
          <w:sz w:val="20"/>
          <w:vertAlign w:val="baseline"/>
        </w:rPr>
        <w:footnoteReference w:customMarkFollows="1" w:id="1"/>
        <w:sym w:font="Symbol" w:char="F02A"/>
      </w:r>
    </w:p>
    <w:tbl>
      <w:tblPr>
        <w:tblStyle w:val="TableGrid"/>
        <w:tblW w:w="0" w:type="auto"/>
        <w:jc w:val="center"/>
        <w:tblLook w:val="05E0" w:firstRow="1" w:lastRow="1" w:firstColumn="1" w:lastColumn="1" w:noHBand="0" w:noVBand="1"/>
      </w:tblPr>
      <w:tblGrid>
        <w:gridCol w:w="9628"/>
      </w:tblGrid>
      <w:tr w:rsidR="007C60E1" w:rsidRPr="007C60E1" w:rsidTr="007C60E1">
        <w:trPr>
          <w:jc w:val="center"/>
        </w:trPr>
        <w:tc>
          <w:tcPr>
            <w:tcW w:w="9628" w:type="dxa"/>
            <w:tcBorders>
              <w:bottom w:val="nil"/>
            </w:tcBorders>
          </w:tcPr>
          <w:p w:rsidR="007C60E1" w:rsidRPr="007C60E1" w:rsidRDefault="007C60E1" w:rsidP="00850215">
            <w:pPr>
              <w:tabs>
                <w:tab w:val="left" w:pos="255"/>
              </w:tabs>
              <w:spacing w:before="240" w:after="120"/>
              <w:rPr>
                <w:rFonts w:cs="Times New Roman"/>
                <w:sz w:val="24"/>
              </w:rPr>
            </w:pPr>
            <w:r w:rsidRPr="007C60E1">
              <w:rPr>
                <w:rFonts w:cs="Times New Roman"/>
              </w:rPr>
              <w:tab/>
            </w:r>
            <w:r w:rsidRPr="007C60E1">
              <w:rPr>
                <w:rFonts w:cs="Times New Roman"/>
                <w:i/>
                <w:sz w:val="24"/>
              </w:rPr>
              <w:t>Резюме</w:t>
            </w:r>
          </w:p>
        </w:tc>
      </w:tr>
      <w:tr w:rsidR="007C60E1" w:rsidRPr="007C60E1" w:rsidTr="007C60E1">
        <w:trPr>
          <w:jc w:val="center"/>
        </w:trPr>
        <w:tc>
          <w:tcPr>
            <w:tcW w:w="9628" w:type="dxa"/>
            <w:tcBorders>
              <w:top w:val="nil"/>
              <w:bottom w:val="nil"/>
            </w:tcBorders>
            <w:shd w:val="clear" w:color="auto" w:fill="auto"/>
          </w:tcPr>
          <w:p w:rsidR="007C60E1" w:rsidRPr="007C60E1" w:rsidRDefault="007C60E1" w:rsidP="007C60E1">
            <w:pPr>
              <w:pStyle w:val="SingleTxtG"/>
              <w:tabs>
                <w:tab w:val="left" w:pos="3537"/>
              </w:tabs>
              <w:ind w:left="3537" w:hanging="2403"/>
            </w:pPr>
            <w:r w:rsidRPr="007C60E1">
              <w:rPr>
                <w:b/>
              </w:rPr>
              <w:t>Существо предложения:</w:t>
            </w:r>
            <w:r w:rsidRPr="007C60E1">
              <w:tab/>
              <w:t>Разрешить более одн</w:t>
            </w:r>
            <w:r>
              <w:t>ого прицепа (или полуприцепа) в </w:t>
            </w:r>
            <w:r w:rsidRPr="007C60E1">
              <w:t>составе транспортной единицы.</w:t>
            </w:r>
          </w:p>
          <w:p w:rsidR="007C60E1" w:rsidRPr="007C60E1" w:rsidRDefault="007C60E1" w:rsidP="007C60E1">
            <w:pPr>
              <w:pStyle w:val="SingleTxtG"/>
              <w:tabs>
                <w:tab w:val="left" w:pos="3537"/>
              </w:tabs>
            </w:pPr>
            <w:r w:rsidRPr="007C60E1">
              <w:rPr>
                <w:b/>
              </w:rPr>
              <w:t>Предлагаемое решение:</w:t>
            </w:r>
            <w:r w:rsidRPr="007C60E1">
              <w:tab/>
              <w:t>Внести изменения в раздел 8.1.1.</w:t>
            </w:r>
          </w:p>
          <w:p w:rsidR="007C60E1" w:rsidRPr="007C60E1" w:rsidRDefault="007C60E1" w:rsidP="007C60E1">
            <w:pPr>
              <w:pStyle w:val="SingleTxtG"/>
              <w:tabs>
                <w:tab w:val="left" w:pos="3537"/>
              </w:tabs>
              <w:ind w:left="3537" w:hanging="2403"/>
            </w:pPr>
            <w:r w:rsidRPr="007C60E1">
              <w:rPr>
                <w:b/>
              </w:rPr>
              <w:t>Справочные документы:</w:t>
            </w:r>
            <w:r w:rsidRPr="007C60E1">
              <w:t xml:space="preserve"> </w:t>
            </w:r>
            <w:r w:rsidRPr="007C60E1">
              <w:tab/>
              <w:t>Неофициальный документ INF.12 105-й сессии Рабочей группы.</w:t>
            </w:r>
          </w:p>
        </w:tc>
      </w:tr>
      <w:tr w:rsidR="007C60E1" w:rsidRPr="007C60E1" w:rsidTr="007C60E1">
        <w:trPr>
          <w:jc w:val="center"/>
        </w:trPr>
        <w:tc>
          <w:tcPr>
            <w:tcW w:w="9628" w:type="dxa"/>
            <w:tcBorders>
              <w:top w:val="nil"/>
            </w:tcBorders>
          </w:tcPr>
          <w:p w:rsidR="007C60E1" w:rsidRPr="007C60E1" w:rsidRDefault="007C60E1" w:rsidP="00850215">
            <w:pPr>
              <w:rPr>
                <w:rFonts w:cs="Times New Roman"/>
              </w:rPr>
            </w:pPr>
          </w:p>
        </w:tc>
      </w:tr>
    </w:tbl>
    <w:p w:rsidR="007C60E1" w:rsidRPr="00FB7FF6" w:rsidRDefault="007C60E1" w:rsidP="007C60E1">
      <w:pPr>
        <w:pStyle w:val="HChG"/>
      </w:pPr>
      <w:r>
        <w:rPr>
          <w:bCs/>
        </w:rPr>
        <w:tab/>
      </w:r>
      <w:r>
        <w:rPr>
          <w:bCs/>
        </w:rPr>
        <w:tab/>
      </w:r>
      <w:r w:rsidRPr="00FB7FF6">
        <w:rPr>
          <w:bCs/>
        </w:rPr>
        <w:t>Введение</w:t>
      </w:r>
    </w:p>
    <w:p w:rsidR="007C60E1" w:rsidRPr="00FB7FF6" w:rsidRDefault="007C60E1" w:rsidP="007C60E1">
      <w:pPr>
        <w:pStyle w:val="SingleTxtG"/>
      </w:pPr>
      <w:r w:rsidRPr="00FB7FF6">
        <w:t>1.</w:t>
      </w:r>
      <w:r w:rsidRPr="00FB7FF6">
        <w:tab/>
        <w:t>На 105-й сессии Рабочей группы в ноябре 2018 года Финляндия и Швеция подняли вопрос по поводу положения раздела 8.1.1, касающегося ограничения числа транспортных средств в одной транспортной единице. Цель состояла в ознакомлении с мнениями участников совещаний по поводу того, чтобы в ДОПОГ была предусмотрена такая же возможность, как и в мног</w:t>
      </w:r>
      <w:r>
        <w:t>остороннем соглашении М304. Это </w:t>
      </w:r>
      <w:r w:rsidRPr="00FB7FF6">
        <w:t>позволило бы каждой Договаривающейся стороне разрешить, чтобы транспортная единица включала более одного прицепа или полуприцепа, но при соблюдении определенных условий и только для международных перевозок в пределах ее собственной территории.</w:t>
      </w:r>
    </w:p>
    <w:p w:rsidR="007C60E1" w:rsidRPr="00FB7FF6" w:rsidRDefault="007C60E1" w:rsidP="007C60E1">
      <w:pPr>
        <w:pStyle w:val="HChG"/>
        <w:ind w:firstLine="0"/>
      </w:pPr>
      <w:r w:rsidRPr="00FB7FF6">
        <w:rPr>
          <w:bCs/>
        </w:rPr>
        <w:lastRenderedPageBreak/>
        <w:t>Справочная информация</w:t>
      </w:r>
    </w:p>
    <w:p w:rsidR="007C60E1" w:rsidRPr="00FB7FF6" w:rsidRDefault="007C60E1" w:rsidP="007C60E1">
      <w:pPr>
        <w:pStyle w:val="SingleTxtG"/>
        <w:rPr>
          <w:rStyle w:val="ttext"/>
          <w:color w:val="333333"/>
        </w:rPr>
      </w:pPr>
      <w:r w:rsidRPr="00FB7FF6">
        <w:t xml:space="preserve">2. </w:t>
      </w:r>
      <w:r w:rsidRPr="00FB7FF6">
        <w:tab/>
        <w:t>Раздел 8.1.1 гласит:</w:t>
      </w:r>
    </w:p>
    <w:p w:rsidR="007C60E1" w:rsidRPr="00FB7FF6" w:rsidRDefault="007C60E1" w:rsidP="007C60E1">
      <w:pPr>
        <w:pStyle w:val="SingleTxtG"/>
      </w:pPr>
      <w:r>
        <w:tab/>
        <w:t>«</w:t>
      </w:r>
      <w:r w:rsidRPr="00FB7FF6">
        <w:t>Транспортная единица, загруженная опасными грузами, ни в коем случае не должна включать более одного прицепа (или полуприцепа)</w:t>
      </w:r>
      <w:r>
        <w:t>»</w:t>
      </w:r>
      <w:r w:rsidRPr="00FB7FF6">
        <w:t>.</w:t>
      </w:r>
    </w:p>
    <w:p w:rsidR="007C60E1" w:rsidRPr="00FB7FF6" w:rsidRDefault="007C60E1" w:rsidP="007C60E1">
      <w:pPr>
        <w:pStyle w:val="SingleTxtG"/>
      </w:pPr>
      <w:r w:rsidRPr="00FB7FF6">
        <w:t>3.</w:t>
      </w:r>
      <w:r w:rsidRPr="00FB7FF6">
        <w:tab/>
        <w:t xml:space="preserve">Как отмечалось на последней сессии, существовало несколько многосторонних соглашений, касающихся количества прицепов </w:t>
      </w:r>
      <w:r>
        <w:t>в одной транспортной единице. В </w:t>
      </w:r>
      <w:r w:rsidRPr="00FB7FF6">
        <w:t xml:space="preserve">настоящее время таким соглашением является </w:t>
      </w:r>
      <w:r w:rsidRPr="00FB7FF6">
        <w:rPr>
          <w:u w:val="single"/>
        </w:rPr>
        <w:t>М304</w:t>
      </w:r>
      <w:r w:rsidRPr="00FB7FF6">
        <w:t>. Оно подписано Швецией, Испанией, Финляндией и Данией, а с января 2019 года и Норвегией. В целом, такие соглашения действуют на протяжении уже более десяти лет без каких-либо инцидентов или аварий, связанных с безопасностью, на территории Финляндии или Швеции. Однако, как правило, любое многостороннее соглашение не должно действовать слишком долго, поскольку его цель состоит лишь во временном решении проблемы или в том, чтобы позволить использовать то или иное положение в будущем. По этой причине мы считаем уместным предусмотреть возможность включения содержания данного соглашения в ДОПОГ, рассмотренную на заседании Рабочей группы.</w:t>
      </w:r>
    </w:p>
    <w:p w:rsidR="007C60E1" w:rsidRPr="00FB7FF6" w:rsidRDefault="007C60E1" w:rsidP="007C60E1">
      <w:pPr>
        <w:pStyle w:val="SingleTxtG"/>
        <w:rPr>
          <w:rStyle w:val="ttext"/>
          <w:color w:val="333333"/>
        </w:rPr>
      </w:pPr>
      <w:r w:rsidRPr="00FB7FF6">
        <w:t>4.</w:t>
      </w:r>
      <w:r w:rsidRPr="00FB7FF6">
        <w:tab/>
        <w:t>В ходе обсуждения этой темы на последней сессии Рабочей группы некоторые страны выразили поддержку, в то время как другие вы</w:t>
      </w:r>
      <w:r>
        <w:t xml:space="preserve">сказали свои </w:t>
      </w:r>
      <w:r w:rsidRPr="00FB7FF6">
        <w:t>сомнени</w:t>
      </w:r>
      <w:r>
        <w:t>я</w:t>
      </w:r>
      <w:r w:rsidRPr="00FB7FF6">
        <w:t>. Были также заданы некоторые вопросы, на которые мы хотели бы ответить в настоящем документе.</w:t>
      </w:r>
    </w:p>
    <w:p w:rsidR="007C60E1" w:rsidRPr="00FB7FF6" w:rsidRDefault="007C60E1" w:rsidP="007C60E1">
      <w:pPr>
        <w:pStyle w:val="SingleTxtG"/>
        <w:rPr>
          <w:rStyle w:val="ttext"/>
          <w:color w:val="333333"/>
        </w:rPr>
      </w:pPr>
      <w:r w:rsidRPr="00FB7FF6">
        <w:t>5.</w:t>
      </w:r>
      <w:r w:rsidRPr="00FB7FF6">
        <w:tab/>
        <w:t>Согласно М304, в результате отступления от положений раздела 8.1.1 транспортная единица может включать более одного прицепа (или полуприцепа). Соглашение позволяет компетентным органам каждой Договаривающейся стороны разрешать перевозку на своей территори</w:t>
      </w:r>
      <w:r>
        <w:t>и более чем одного прицепа (или </w:t>
      </w:r>
      <w:r w:rsidRPr="00FB7FF6">
        <w:t>полуприцепа).</w:t>
      </w:r>
    </w:p>
    <w:p w:rsidR="007C60E1" w:rsidRPr="00FB7FF6" w:rsidRDefault="007C60E1" w:rsidP="007C60E1">
      <w:pPr>
        <w:pStyle w:val="SingleTxtG"/>
      </w:pPr>
      <w:r w:rsidRPr="00FB7FF6">
        <w:t>6.</w:t>
      </w:r>
      <w:r w:rsidRPr="00FB7FF6">
        <w:tab/>
        <w:t>Одна распространенная автомобильная комбинация состоит из грузового автомобиля, подкатной тележки и полуприцепа, т.</w:t>
      </w:r>
      <w:r>
        <w:t> </w:t>
      </w:r>
      <w:r w:rsidRPr="00FB7FF6">
        <w:t>е.</w:t>
      </w:r>
      <w:r>
        <w:t xml:space="preserve"> трех транспортных средств. Эта </w:t>
      </w:r>
      <w:r w:rsidRPr="00FB7FF6">
        <w:t xml:space="preserve">комбинация не допускается в соответствии с разделом 8.1.1 ДОПОГ, поскольку подкатная тележка представляет собой </w:t>
      </w:r>
      <w:r w:rsidRPr="00FB7FF6">
        <w:rPr>
          <w:u w:val="single"/>
        </w:rPr>
        <w:t>прицеп</w:t>
      </w:r>
      <w:r w:rsidRPr="00FB7FF6">
        <w:t xml:space="preserve"> с центральной осью, предназначенный для управления полуприцепом и, следовательно, является отдельным транспортным средством (прицепом).</w:t>
      </w:r>
    </w:p>
    <w:p w:rsidR="007C60E1" w:rsidRPr="00FB7FF6" w:rsidRDefault="007C60E1" w:rsidP="007C60E1">
      <w:pPr>
        <w:pStyle w:val="SingleTxtG"/>
        <w:spacing w:before="120"/>
      </w:pPr>
      <w:r w:rsidRPr="00FB7FF6">
        <w:t>7.</w:t>
      </w:r>
      <w:r w:rsidRPr="00FB7FF6">
        <w:tab/>
        <w:t>Финляндия и Швеция хотели бы предложить поправку к ДОПОГ, с тем чтобы предусмотреть такую же возможность в ДОПОГ. Идея заключается в том, что компетентный орган страны использования (страны, в которой осуществляется перевозка) мо</w:t>
      </w:r>
      <w:r>
        <w:t>г</w:t>
      </w:r>
      <w:r w:rsidRPr="00FB7FF6">
        <w:t xml:space="preserve"> разрешить использование более одного прицепа или полуприцепа в транспортной единице </w:t>
      </w:r>
      <w:r w:rsidRPr="00FB7FF6">
        <w:rPr>
          <w:u w:val="single"/>
        </w:rPr>
        <w:t>на своей собственной национальной территории</w:t>
      </w:r>
      <w:r w:rsidRPr="00BD59F5">
        <w:t>.</w:t>
      </w:r>
      <w:r w:rsidRPr="00FB7FF6">
        <w:t xml:space="preserve"> </w:t>
      </w:r>
    </w:p>
    <w:p w:rsidR="007C60E1" w:rsidRPr="00BD59F5" w:rsidRDefault="007C60E1" w:rsidP="007C60E1">
      <w:pPr>
        <w:pStyle w:val="SingleTxtG"/>
        <w:rPr>
          <w:color w:val="000000" w:themeColor="text1"/>
        </w:rPr>
      </w:pPr>
      <w:r w:rsidRPr="00FB7FF6">
        <w:t>8.</w:t>
      </w:r>
      <w:r w:rsidRPr="00FB7FF6">
        <w:tab/>
        <w:t xml:space="preserve">Это означает, что такая перевозка не будет иметь никаких последствий для любой другой Договаривающейся стороны до тех пор, пока она не утвердит использование транспортных средств в тех же целях. Таким образом, если соседние страны разрешат использовать более одного прицепа и будут иметь </w:t>
      </w:r>
      <w:r>
        <w:t>аналогичные</w:t>
      </w:r>
      <w:r w:rsidRPr="00FB7FF6">
        <w:t xml:space="preserve"> условия, то такая транспортная единица сможет перемещаться внутри этих стран и между ними. Это также означает, что если Договаривающаяся сторона не желает разрешать использование более одного прицепа, то на территории этой страны будет сохраняться нынешнее положение, при котором разрешено использование только одного прицепа. Данное предложение не меняет его, а лишь дает странам </w:t>
      </w:r>
      <w:r w:rsidRPr="00FB7FF6">
        <w:rPr>
          <w:i/>
          <w:iCs/>
        </w:rPr>
        <w:t xml:space="preserve">возможность </w:t>
      </w:r>
      <w:r w:rsidRPr="00FB7FF6">
        <w:t>разрешить это в пределах своей территории.</w:t>
      </w:r>
    </w:p>
    <w:p w:rsidR="007C60E1" w:rsidRPr="00FB7FF6" w:rsidRDefault="007C60E1" w:rsidP="007C60E1">
      <w:pPr>
        <w:pStyle w:val="SingleTxtG"/>
        <w:rPr>
          <w:rStyle w:val="ttext"/>
        </w:rPr>
      </w:pPr>
      <w:r>
        <w:t>9.</w:t>
      </w:r>
      <w:r>
        <w:tab/>
      </w:r>
      <w:r w:rsidRPr="00FB7FF6">
        <w:t>Следует подчеркнуть, что независимо от того, допускает ли та или иная страна использование более одного прицепа или полуприцепа или нет, по-прежнему применяются правила, касающиеся использования составов транспортных средств в стране, где осуществляется перевозка (правила, касающиеся массы и размеров). Следовательно, если предусмотреть такую возможность в ДОПОГ, то это не создаст проблем в отношении инфраструктуры страны и не будет противоречить национальным положениям, касающимся использования транспортных средств.</w:t>
      </w:r>
    </w:p>
    <w:p w:rsidR="007C60E1" w:rsidRPr="00FB7FF6" w:rsidRDefault="007C60E1" w:rsidP="007C60E1">
      <w:pPr>
        <w:pStyle w:val="SingleTxtG"/>
      </w:pPr>
      <w:r w:rsidRPr="00FB7FF6">
        <w:lastRenderedPageBreak/>
        <w:t>10.</w:t>
      </w:r>
      <w:r w:rsidRPr="00FB7FF6">
        <w:tab/>
        <w:t xml:space="preserve">Аналогичная идея получения разрешения на территории Договаривающейся стороны используется, например, для перевозки </w:t>
      </w:r>
      <w:r>
        <w:t>взрывчатых веществ на MEMU. См. </w:t>
      </w:r>
      <w:r w:rsidRPr="00FB7FF6">
        <w:t>пункт 7.5.5.2.3 а) (условия перевозк</w:t>
      </w:r>
      <w:r>
        <w:t>и взрывчатых веществ на MEMU): «</w:t>
      </w:r>
      <w:r w:rsidRPr="00FB7FF6">
        <w:t>компетентный орган должен разрешить перевозку на своей территории</w:t>
      </w:r>
      <w:r>
        <w:t>»</w:t>
      </w:r>
      <w:r w:rsidRPr="00FB7FF6">
        <w:t xml:space="preserve">. </w:t>
      </w:r>
    </w:p>
    <w:p w:rsidR="007C60E1" w:rsidRPr="00FB7FF6" w:rsidRDefault="007C60E1" w:rsidP="007C60E1">
      <w:pPr>
        <w:pStyle w:val="SingleTxtG"/>
        <w:rPr>
          <w:rStyle w:val="ttext"/>
        </w:rPr>
      </w:pPr>
      <w:r w:rsidRPr="00FB7FF6">
        <w:t>11.</w:t>
      </w:r>
      <w:r w:rsidRPr="00FB7FF6">
        <w:tab/>
        <w:t>На последнем совещании некоторые страны отметили, что нет необходимости вносить в ДОПОГ эту поправку, поскольку она требуется для национальных перевозок. Финляндия и Швеция хотели бы напомнить, что необходимость в таком многостороннем соглашении существовала на протяжении многих лет, и именно поэтому у них в настоящее время есть соглашение</w:t>
      </w:r>
      <w:r>
        <w:t xml:space="preserve"> М304. В соответствии с пунктом </w:t>
      </w:r>
      <w:r w:rsidRPr="00FB7FF6">
        <w:t>1.5.1.3 ДОПОГ, перевозки, осуществляемые на основе временных отступлений, таких как М304, являются перевозками по смыслу ДОПОГ. В ДОПОГ международная перевоз</w:t>
      </w:r>
      <w:r>
        <w:t>ка определяется в статье 1 с): «</w:t>
      </w:r>
      <w:r w:rsidRPr="00FB7FF6">
        <w:t>всякая перевозка, производимая через территорию по крайней мере двух Договаривающихся сторон</w:t>
      </w:r>
      <w:r>
        <w:t>»</w:t>
      </w:r>
      <w:r w:rsidRPr="00FB7FF6">
        <w:t>.</w:t>
      </w:r>
    </w:p>
    <w:p w:rsidR="007C60E1" w:rsidRPr="00FB7FF6" w:rsidRDefault="007C60E1" w:rsidP="007C60E1">
      <w:pPr>
        <w:pStyle w:val="SingleTxtG"/>
        <w:rPr>
          <w:rStyle w:val="ttext"/>
          <w:rFonts w:cs="Calibri"/>
          <w:color w:val="333333"/>
        </w:rPr>
      </w:pPr>
      <w:r w:rsidRPr="00FB7FF6">
        <w:t>12.</w:t>
      </w:r>
      <w:r w:rsidRPr="00FB7FF6">
        <w:tab/>
        <w:t>По причинам, изложенным выше, Финляндия и Швеция хотели бы предложить включить в ДОПОГ положение о том, что Договаривающиеся стороны могут разрешать использование более чем одного прицепа или полуприцепа.</w:t>
      </w:r>
    </w:p>
    <w:p w:rsidR="007C60E1" w:rsidRPr="00FB7FF6" w:rsidRDefault="007C60E1" w:rsidP="007C60E1">
      <w:pPr>
        <w:pStyle w:val="HChG"/>
      </w:pPr>
      <w:r w:rsidRPr="00FB7FF6">
        <w:tab/>
      </w:r>
      <w:r w:rsidRPr="00FB7FF6">
        <w:tab/>
      </w:r>
      <w:r w:rsidRPr="00FB7FF6">
        <w:rPr>
          <w:bCs/>
        </w:rPr>
        <w:t>Предложение</w:t>
      </w:r>
    </w:p>
    <w:p w:rsidR="007C60E1" w:rsidRPr="00FB7FF6" w:rsidRDefault="007C60E1" w:rsidP="0087624A">
      <w:pPr>
        <w:spacing w:before="120" w:after="120"/>
        <w:ind w:left="1134" w:right="992"/>
        <w:jc w:val="both"/>
      </w:pPr>
      <w:r w:rsidRPr="00FB7FF6">
        <w:t>13.</w:t>
      </w:r>
      <w:r w:rsidRPr="00FB7FF6">
        <w:tab/>
        <w:t xml:space="preserve">Внести следующие поправки в раздел 8.1.1 (изменения </w:t>
      </w:r>
      <w:r w:rsidRPr="00CA2ECA">
        <w:rPr>
          <w:u w:val="single"/>
        </w:rPr>
        <w:t>подчеркнуты</w:t>
      </w:r>
      <w:r w:rsidRPr="00FB7FF6">
        <w:t xml:space="preserve"> или </w:t>
      </w:r>
      <w:r w:rsidRPr="00CA2ECA">
        <w:rPr>
          <w:strike/>
        </w:rPr>
        <w:t>вычеркнуты</w:t>
      </w:r>
      <w:r w:rsidRPr="00FB7FF6">
        <w:t>):</w:t>
      </w:r>
    </w:p>
    <w:p w:rsidR="007C60E1" w:rsidRPr="001634FA" w:rsidRDefault="007C60E1" w:rsidP="007C60E1">
      <w:pPr>
        <w:pStyle w:val="H23G"/>
      </w:pPr>
      <w:r>
        <w:tab/>
      </w:r>
      <w:r>
        <w:tab/>
      </w:r>
      <w:r w:rsidR="00CA2ECA" w:rsidRPr="00CA2ECA">
        <w:rPr>
          <w:b w:val="0"/>
        </w:rPr>
        <w:t>«</w:t>
      </w:r>
      <w:r w:rsidRPr="001634FA">
        <w:t>8.1.1</w:t>
      </w:r>
      <w:r w:rsidRPr="001634FA">
        <w:tab/>
        <w:t>Транспортные единицы</w:t>
      </w:r>
    </w:p>
    <w:p w:rsidR="007C60E1" w:rsidRPr="00BD59F5" w:rsidRDefault="007C60E1" w:rsidP="007C60E1">
      <w:pPr>
        <w:pStyle w:val="SingleTxtG"/>
        <w:ind w:left="1701" w:hanging="567"/>
        <w:rPr>
          <w:rStyle w:val="ttext"/>
          <w:i/>
          <w:color w:val="000000" w:themeColor="text1"/>
          <w:u w:val="single"/>
        </w:rPr>
      </w:pPr>
      <w:r>
        <w:tab/>
      </w:r>
      <w:r>
        <w:tab/>
      </w:r>
      <w:r w:rsidRPr="00FB7FF6">
        <w:t xml:space="preserve">Транспортная единица, загруженная опасными грузами, </w:t>
      </w:r>
      <w:r w:rsidRPr="00FB7FF6">
        <w:rPr>
          <w:strike/>
        </w:rPr>
        <w:t>ни в коем случае</w:t>
      </w:r>
      <w:r w:rsidRPr="00BD59F5">
        <w:t xml:space="preserve"> </w:t>
      </w:r>
      <w:r w:rsidR="0087624A">
        <w:t>не </w:t>
      </w:r>
      <w:r w:rsidRPr="00FB7FF6">
        <w:t>должна включать более одного прицепа (или полуприцепа)</w:t>
      </w:r>
      <w:r w:rsidRPr="00BD59F5">
        <w:t xml:space="preserve"> </w:t>
      </w:r>
      <w:r w:rsidRPr="00FB7FF6">
        <w:rPr>
          <w:u w:val="single"/>
        </w:rPr>
        <w:t>без разрешения компетентного органа для перевозки на его территории</w:t>
      </w:r>
      <w:r w:rsidRPr="00FB7FF6">
        <w:t xml:space="preserve">. </w:t>
      </w:r>
    </w:p>
    <w:p w:rsidR="007C60E1" w:rsidRPr="00FB7FF6" w:rsidRDefault="007C60E1" w:rsidP="00BD59F5">
      <w:pPr>
        <w:pStyle w:val="SingleTxtG"/>
        <w:spacing w:after="0"/>
        <w:ind w:left="1689"/>
        <w:rPr>
          <w:i/>
          <w:u w:val="single"/>
        </w:rPr>
      </w:pPr>
      <w:r w:rsidRPr="00FE0078">
        <w:rPr>
          <w:b/>
          <w:i/>
          <w:iCs/>
          <w:u w:val="single"/>
        </w:rPr>
        <w:t>ПРИМЕЧАНИЕ</w:t>
      </w:r>
      <w:r w:rsidRPr="00FB7FF6">
        <w:rPr>
          <w:i/>
          <w:iCs/>
          <w:u w:val="single"/>
        </w:rPr>
        <w:t>: Использование более одн</w:t>
      </w:r>
      <w:r w:rsidR="00BD59F5">
        <w:rPr>
          <w:i/>
          <w:iCs/>
          <w:u w:val="single"/>
        </w:rPr>
        <w:t>ого прицепа (или полуприцепа) в </w:t>
      </w:r>
      <w:r w:rsidRPr="00FB7FF6">
        <w:rPr>
          <w:i/>
          <w:iCs/>
          <w:u w:val="single"/>
        </w:rPr>
        <w:t>одной транспортной единице допускается при соблюдении следующих условий:</w:t>
      </w:r>
      <w:r w:rsidRPr="00FB7FF6">
        <w:t xml:space="preserve"> </w:t>
      </w:r>
    </w:p>
    <w:p w:rsidR="007C60E1" w:rsidRPr="00FE0078" w:rsidRDefault="00FE0078" w:rsidP="00BD59F5">
      <w:pPr>
        <w:pStyle w:val="SingleTxtG"/>
        <w:spacing w:before="120"/>
        <w:ind w:left="2268" w:hanging="567"/>
        <w:rPr>
          <w:i/>
        </w:rPr>
      </w:pPr>
      <w:r w:rsidRPr="00FE0078">
        <w:rPr>
          <w:i/>
        </w:rPr>
        <w:t>–</w:t>
      </w:r>
      <w:r w:rsidRPr="00FE0078">
        <w:rPr>
          <w:i/>
        </w:rPr>
        <w:tab/>
      </w:r>
      <w:r w:rsidR="007C60E1" w:rsidRPr="00FE0078">
        <w:rPr>
          <w:i/>
          <w:u w:val="single"/>
        </w:rPr>
        <w:t>Компетентный орган должен разрешить перевозку на своей территории.</w:t>
      </w:r>
    </w:p>
    <w:p w:rsidR="007C60E1" w:rsidRPr="00FB7FF6" w:rsidRDefault="00FE0078" w:rsidP="00BD59F5">
      <w:pPr>
        <w:pStyle w:val="SingleTxtG"/>
        <w:ind w:left="2268" w:hanging="567"/>
        <w:rPr>
          <w:i/>
          <w:u w:val="single"/>
        </w:rPr>
      </w:pPr>
      <w:r w:rsidRPr="00FE0078">
        <w:rPr>
          <w:i/>
          <w:iCs/>
        </w:rPr>
        <w:t>–</w:t>
      </w:r>
      <w:r w:rsidRPr="00FE0078">
        <w:rPr>
          <w:i/>
          <w:iCs/>
        </w:rPr>
        <w:tab/>
      </w:r>
      <w:r w:rsidR="007C60E1" w:rsidRPr="00FB7FF6">
        <w:rPr>
          <w:i/>
          <w:iCs/>
          <w:u w:val="single"/>
        </w:rPr>
        <w:t>Если применяется специальное положение V2 (2) раздела 7.2.4 и если взрывчатые вещества перевозятся на полуприцепе, то тягач должен удовлетворять тем же требованиям, что и полуприцеп для транспортных средств EX/II или EX/III, в зависимости от обстоятельств.</w:t>
      </w:r>
      <w:r w:rsidR="007C60E1" w:rsidRPr="00FB7FF6">
        <w:t xml:space="preserve"> </w:t>
      </w:r>
    </w:p>
    <w:p w:rsidR="007C60E1" w:rsidRDefault="00FE0078" w:rsidP="00BD59F5">
      <w:pPr>
        <w:pStyle w:val="SingleTxtG"/>
        <w:ind w:left="2268" w:hanging="567"/>
      </w:pPr>
      <w:r w:rsidRPr="00FE0078">
        <w:rPr>
          <w:i/>
          <w:iCs/>
        </w:rPr>
        <w:t>–</w:t>
      </w:r>
      <w:r w:rsidRPr="00FE0078">
        <w:rPr>
          <w:i/>
          <w:iCs/>
        </w:rPr>
        <w:tab/>
      </w:r>
      <w:r w:rsidR="007C60E1" w:rsidRPr="00FB7FF6">
        <w:rPr>
          <w:i/>
          <w:iCs/>
          <w:u w:val="single"/>
        </w:rPr>
        <w:t xml:space="preserve">Транспортная единица не должна </w:t>
      </w:r>
      <w:r w:rsidR="00BD59F5">
        <w:rPr>
          <w:i/>
          <w:iCs/>
          <w:u w:val="single"/>
        </w:rPr>
        <w:t>включать более одного прицепа с </w:t>
      </w:r>
      <w:r w:rsidR="007C60E1" w:rsidRPr="00FB7FF6">
        <w:rPr>
          <w:i/>
          <w:iCs/>
          <w:u w:val="single"/>
        </w:rPr>
        <w:t>центральной осью</w:t>
      </w:r>
      <w:r w:rsidR="00CA2ECA">
        <w:rPr>
          <w:i/>
          <w:iCs/>
          <w:u w:val="single"/>
        </w:rPr>
        <w:t>»</w:t>
      </w:r>
      <w:r w:rsidR="007C60E1" w:rsidRPr="00BD59F5">
        <w:rPr>
          <w:i/>
          <w:iCs/>
        </w:rPr>
        <w:t>.</w:t>
      </w:r>
    </w:p>
    <w:p w:rsidR="007C60E1" w:rsidRPr="00FE0078" w:rsidRDefault="00FE0078" w:rsidP="00FE0078">
      <w:pPr>
        <w:pStyle w:val="SingleTxtG"/>
        <w:spacing w:before="240" w:after="0"/>
        <w:jc w:val="center"/>
        <w:rPr>
          <w:u w:val="single"/>
        </w:rPr>
      </w:pPr>
      <w:r>
        <w:rPr>
          <w:u w:val="single"/>
        </w:rPr>
        <w:tab/>
      </w:r>
      <w:r>
        <w:rPr>
          <w:u w:val="single"/>
        </w:rPr>
        <w:tab/>
      </w:r>
      <w:r>
        <w:rPr>
          <w:u w:val="single"/>
        </w:rPr>
        <w:tab/>
      </w:r>
      <w:r>
        <w:rPr>
          <w:u w:val="single"/>
        </w:rPr>
        <w:tab/>
      </w:r>
    </w:p>
    <w:sectPr w:rsidR="007C60E1" w:rsidRPr="00FE0078" w:rsidSect="007C60E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588" w:rsidRPr="00A312BC" w:rsidRDefault="004D0588" w:rsidP="00A312BC"/>
  </w:endnote>
  <w:endnote w:type="continuationSeparator" w:id="0">
    <w:p w:rsidR="004D0588" w:rsidRPr="00A312BC" w:rsidRDefault="004D058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E1" w:rsidRPr="007C60E1" w:rsidRDefault="007C60E1">
    <w:pPr>
      <w:pStyle w:val="Footer"/>
    </w:pPr>
    <w:r w:rsidRPr="007C60E1">
      <w:rPr>
        <w:b/>
        <w:sz w:val="18"/>
      </w:rPr>
      <w:fldChar w:fldCharType="begin"/>
    </w:r>
    <w:r w:rsidRPr="007C60E1">
      <w:rPr>
        <w:b/>
        <w:sz w:val="18"/>
      </w:rPr>
      <w:instrText xml:space="preserve"> PAGE  \* MERGEFORMAT </w:instrText>
    </w:r>
    <w:r w:rsidRPr="007C60E1">
      <w:rPr>
        <w:b/>
        <w:sz w:val="18"/>
      </w:rPr>
      <w:fldChar w:fldCharType="separate"/>
    </w:r>
    <w:r w:rsidR="0021584F">
      <w:rPr>
        <w:b/>
        <w:noProof/>
        <w:sz w:val="18"/>
      </w:rPr>
      <w:t>2</w:t>
    </w:r>
    <w:r w:rsidRPr="007C60E1">
      <w:rPr>
        <w:b/>
        <w:sz w:val="18"/>
      </w:rPr>
      <w:fldChar w:fldCharType="end"/>
    </w:r>
    <w:r>
      <w:rPr>
        <w:b/>
        <w:sz w:val="18"/>
      </w:rPr>
      <w:tab/>
    </w:r>
    <w:r>
      <w:t>GE.19-02576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E1" w:rsidRPr="007C60E1" w:rsidRDefault="007C60E1" w:rsidP="007C60E1">
    <w:pPr>
      <w:pStyle w:val="Footer"/>
      <w:tabs>
        <w:tab w:val="clear" w:pos="9639"/>
        <w:tab w:val="right" w:pos="9638"/>
      </w:tabs>
      <w:rPr>
        <w:b/>
        <w:sz w:val="18"/>
      </w:rPr>
    </w:pPr>
    <w:r>
      <w:t>GE.19-02576</w:t>
    </w:r>
    <w:r>
      <w:tab/>
    </w:r>
    <w:r w:rsidRPr="007C60E1">
      <w:rPr>
        <w:b/>
        <w:sz w:val="18"/>
      </w:rPr>
      <w:fldChar w:fldCharType="begin"/>
    </w:r>
    <w:r w:rsidRPr="007C60E1">
      <w:rPr>
        <w:b/>
        <w:sz w:val="18"/>
      </w:rPr>
      <w:instrText xml:space="preserve"> PAGE  \* MERGEFORMAT </w:instrText>
    </w:r>
    <w:r w:rsidRPr="007C60E1">
      <w:rPr>
        <w:b/>
        <w:sz w:val="18"/>
      </w:rPr>
      <w:fldChar w:fldCharType="separate"/>
    </w:r>
    <w:r w:rsidR="0021584F">
      <w:rPr>
        <w:b/>
        <w:noProof/>
        <w:sz w:val="18"/>
      </w:rPr>
      <w:t>3</w:t>
    </w:r>
    <w:r w:rsidRPr="007C60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7C60E1" w:rsidRDefault="007C60E1" w:rsidP="007C60E1">
    <w:pPr>
      <w:spacing w:before="120" w:line="240" w:lineRule="auto"/>
    </w:pPr>
    <w:r>
      <w:t>GE.</w:t>
    </w:r>
    <w:r w:rsidR="00DF71B9">
      <w:rPr>
        <w:b/>
        <w:noProof/>
        <w:lang w:val="en-GB" w:eastAsia="zh-CN"/>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19-02576  (R)</w:t>
    </w:r>
    <w:r w:rsidR="00FE0078">
      <w:t xml:space="preserve">  010319  0</w:t>
    </w:r>
    <w:r w:rsidR="00CA2ECA">
      <w:t>6</w:t>
    </w:r>
    <w:r w:rsidR="00FE0078">
      <w:t>0319</w:t>
    </w:r>
    <w:r>
      <w:br/>
    </w:r>
    <w:r w:rsidRPr="007C60E1">
      <w:rPr>
        <w:rFonts w:ascii="C39T30Lfz" w:hAnsi="C39T30Lfz"/>
        <w:kern w:val="14"/>
        <w:sz w:val="56"/>
      </w:rPr>
      <w:t></w:t>
    </w:r>
    <w:r w:rsidRPr="007C60E1">
      <w:rPr>
        <w:rFonts w:ascii="C39T30Lfz" w:hAnsi="C39T30Lfz"/>
        <w:kern w:val="14"/>
        <w:sz w:val="56"/>
      </w:rPr>
      <w:t></w:t>
    </w:r>
    <w:r w:rsidRPr="007C60E1">
      <w:rPr>
        <w:rFonts w:ascii="C39T30Lfz" w:hAnsi="C39T30Lfz"/>
        <w:kern w:val="14"/>
        <w:sz w:val="56"/>
      </w:rPr>
      <w:t></w:t>
    </w:r>
    <w:r w:rsidRPr="007C60E1">
      <w:rPr>
        <w:rFonts w:ascii="C39T30Lfz" w:hAnsi="C39T30Lfz"/>
        <w:kern w:val="14"/>
        <w:sz w:val="56"/>
      </w:rPr>
      <w:t></w:t>
    </w:r>
    <w:r w:rsidRPr="007C60E1">
      <w:rPr>
        <w:rFonts w:ascii="C39T30Lfz" w:hAnsi="C39T30Lfz"/>
        <w:kern w:val="14"/>
        <w:sz w:val="56"/>
      </w:rPr>
      <w:t></w:t>
    </w:r>
    <w:r w:rsidRPr="007C60E1">
      <w:rPr>
        <w:rFonts w:ascii="C39T30Lfz" w:hAnsi="C39T30Lfz"/>
        <w:kern w:val="14"/>
        <w:sz w:val="56"/>
      </w:rPr>
      <w:t></w:t>
    </w:r>
    <w:r w:rsidRPr="007C60E1">
      <w:rPr>
        <w:rFonts w:ascii="C39T30Lfz" w:hAnsi="C39T30Lfz"/>
        <w:kern w:val="14"/>
        <w:sz w:val="56"/>
      </w:rPr>
      <w:t></w:t>
    </w:r>
    <w:r w:rsidRPr="007C60E1">
      <w:rPr>
        <w:rFonts w:ascii="C39T30Lfz" w:hAnsi="C39T30Lfz"/>
        <w:kern w:val="14"/>
        <w:sz w:val="56"/>
      </w:rPr>
      <w:t></w:t>
    </w:r>
    <w:r w:rsidRPr="007C60E1">
      <w:rPr>
        <w:rFonts w:ascii="C39T30Lfz" w:hAnsi="C39T30Lfz"/>
        <w:kern w:val="14"/>
        <w:sz w:val="56"/>
      </w:rPr>
      <w:t></w:t>
    </w:r>
    <w:r>
      <w:rPr>
        <w:noProof/>
        <w:lang w:val="en-GB" w:eastAsia="zh-CN"/>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2019/10&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9/10&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588" w:rsidRPr="001075E9" w:rsidRDefault="004D0588" w:rsidP="001075E9">
      <w:pPr>
        <w:tabs>
          <w:tab w:val="right" w:pos="2155"/>
        </w:tabs>
        <w:spacing w:after="80" w:line="240" w:lineRule="auto"/>
        <w:ind w:left="680"/>
        <w:rPr>
          <w:u w:val="single"/>
        </w:rPr>
      </w:pPr>
      <w:r>
        <w:rPr>
          <w:u w:val="single"/>
        </w:rPr>
        <w:tab/>
      </w:r>
    </w:p>
  </w:footnote>
  <w:footnote w:type="continuationSeparator" w:id="0">
    <w:p w:rsidR="004D0588" w:rsidRDefault="004D0588" w:rsidP="00407B78">
      <w:pPr>
        <w:tabs>
          <w:tab w:val="right" w:pos="2155"/>
        </w:tabs>
        <w:spacing w:after="80"/>
        <w:ind w:left="680"/>
        <w:rPr>
          <w:u w:val="single"/>
        </w:rPr>
      </w:pPr>
      <w:r>
        <w:rPr>
          <w:u w:val="single"/>
        </w:rPr>
        <w:tab/>
      </w:r>
    </w:p>
  </w:footnote>
  <w:footnote w:id="1">
    <w:p w:rsidR="007C60E1" w:rsidRPr="00FB7FF6" w:rsidRDefault="007C60E1" w:rsidP="007C60E1">
      <w:pPr>
        <w:pStyle w:val="FootnoteText"/>
      </w:pPr>
      <w:r>
        <w:rPr>
          <w:rStyle w:val="FootnoteReference"/>
          <w:sz w:val="20"/>
        </w:rPr>
        <w:tab/>
      </w:r>
      <w:r w:rsidRPr="007C60E1">
        <w:rPr>
          <w:rStyle w:val="FootnoteReference"/>
          <w:sz w:val="20"/>
          <w:vertAlign w:val="baseline"/>
        </w:rPr>
        <w:sym w:font="Symbol" w:char="F02A"/>
      </w:r>
      <w:r>
        <w:tab/>
        <w:t>В соответствии с программой работы Комитета по внутреннему транспорту на 2018–2019 годы (ECE/TRANS/WP.15/237, приложение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E1" w:rsidRPr="007C60E1" w:rsidRDefault="0021584F">
    <w:pPr>
      <w:pStyle w:val="Header"/>
    </w:pPr>
    <w:r>
      <w:fldChar w:fldCharType="begin"/>
    </w:r>
    <w:r>
      <w:instrText xml:space="preserve"> TITLE  \* MERGEFORMAT </w:instrText>
    </w:r>
    <w:r>
      <w:fldChar w:fldCharType="separate"/>
    </w:r>
    <w:r w:rsidR="0015526E">
      <w:t>ECE/TRANS/WP.15/2019/10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E1" w:rsidRPr="007C60E1" w:rsidRDefault="0021584F" w:rsidP="007C60E1">
    <w:pPr>
      <w:pStyle w:val="Header"/>
      <w:jc w:val="right"/>
    </w:pPr>
    <w:r>
      <w:fldChar w:fldCharType="begin"/>
    </w:r>
    <w:r>
      <w:instrText xml:space="preserve"> TITLE  \* MERGEFORMAT </w:instrText>
    </w:r>
    <w:r>
      <w:fldChar w:fldCharType="separate"/>
    </w:r>
    <w:r w:rsidR="0015526E">
      <w:t>ECE/TRANS/WP.15/2019/10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1D97FFE"/>
    <w:multiLevelType w:val="hybridMultilevel"/>
    <w:tmpl w:val="ABC678D2"/>
    <w:lvl w:ilvl="0" w:tplc="3BB86E0E">
      <w:start w:val="8"/>
      <w:numFmt w:val="bullet"/>
      <w:lvlText w:val="-"/>
      <w:lvlJc w:val="left"/>
      <w:pPr>
        <w:ind w:left="2049" w:hanging="360"/>
      </w:pPr>
      <w:rPr>
        <w:rFonts w:ascii="Times New Roman" w:eastAsia="Times New Roman" w:hAnsi="Times New Roman" w:cs="Times New Roman" w:hint="default"/>
      </w:rPr>
    </w:lvl>
    <w:lvl w:ilvl="1" w:tplc="041D0003" w:tentative="1">
      <w:start w:val="1"/>
      <w:numFmt w:val="bullet"/>
      <w:lvlText w:val="o"/>
      <w:lvlJc w:val="left"/>
      <w:pPr>
        <w:ind w:left="2769" w:hanging="360"/>
      </w:pPr>
      <w:rPr>
        <w:rFonts w:ascii="Courier New" w:hAnsi="Courier New" w:cs="Courier New" w:hint="default"/>
      </w:rPr>
    </w:lvl>
    <w:lvl w:ilvl="2" w:tplc="041D0005" w:tentative="1">
      <w:start w:val="1"/>
      <w:numFmt w:val="bullet"/>
      <w:lvlText w:val=""/>
      <w:lvlJc w:val="left"/>
      <w:pPr>
        <w:ind w:left="3489" w:hanging="360"/>
      </w:pPr>
      <w:rPr>
        <w:rFonts w:ascii="Wingdings" w:hAnsi="Wingdings" w:hint="default"/>
      </w:rPr>
    </w:lvl>
    <w:lvl w:ilvl="3" w:tplc="041D0001" w:tentative="1">
      <w:start w:val="1"/>
      <w:numFmt w:val="bullet"/>
      <w:lvlText w:val=""/>
      <w:lvlJc w:val="left"/>
      <w:pPr>
        <w:ind w:left="4209" w:hanging="360"/>
      </w:pPr>
      <w:rPr>
        <w:rFonts w:ascii="Symbol" w:hAnsi="Symbol" w:hint="default"/>
      </w:rPr>
    </w:lvl>
    <w:lvl w:ilvl="4" w:tplc="041D0003" w:tentative="1">
      <w:start w:val="1"/>
      <w:numFmt w:val="bullet"/>
      <w:lvlText w:val="o"/>
      <w:lvlJc w:val="left"/>
      <w:pPr>
        <w:ind w:left="4929" w:hanging="360"/>
      </w:pPr>
      <w:rPr>
        <w:rFonts w:ascii="Courier New" w:hAnsi="Courier New" w:cs="Courier New" w:hint="default"/>
      </w:rPr>
    </w:lvl>
    <w:lvl w:ilvl="5" w:tplc="041D0005" w:tentative="1">
      <w:start w:val="1"/>
      <w:numFmt w:val="bullet"/>
      <w:lvlText w:val=""/>
      <w:lvlJc w:val="left"/>
      <w:pPr>
        <w:ind w:left="5649" w:hanging="360"/>
      </w:pPr>
      <w:rPr>
        <w:rFonts w:ascii="Wingdings" w:hAnsi="Wingdings" w:hint="default"/>
      </w:rPr>
    </w:lvl>
    <w:lvl w:ilvl="6" w:tplc="041D0001" w:tentative="1">
      <w:start w:val="1"/>
      <w:numFmt w:val="bullet"/>
      <w:lvlText w:val=""/>
      <w:lvlJc w:val="left"/>
      <w:pPr>
        <w:ind w:left="6369" w:hanging="360"/>
      </w:pPr>
      <w:rPr>
        <w:rFonts w:ascii="Symbol" w:hAnsi="Symbol" w:hint="default"/>
      </w:rPr>
    </w:lvl>
    <w:lvl w:ilvl="7" w:tplc="041D0003" w:tentative="1">
      <w:start w:val="1"/>
      <w:numFmt w:val="bullet"/>
      <w:lvlText w:val="o"/>
      <w:lvlJc w:val="left"/>
      <w:pPr>
        <w:ind w:left="7089" w:hanging="360"/>
      </w:pPr>
      <w:rPr>
        <w:rFonts w:ascii="Courier New" w:hAnsi="Courier New" w:cs="Courier New" w:hint="default"/>
      </w:rPr>
    </w:lvl>
    <w:lvl w:ilvl="8" w:tplc="041D0005" w:tentative="1">
      <w:start w:val="1"/>
      <w:numFmt w:val="bullet"/>
      <w:lvlText w:val=""/>
      <w:lvlJc w:val="left"/>
      <w:pPr>
        <w:ind w:left="7809" w:hanging="360"/>
      </w:pPr>
      <w:rPr>
        <w:rFonts w:ascii="Wingdings" w:hAnsi="Wingdings" w:hint="default"/>
      </w:r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1"/>
  </w:num>
  <w:num w:numId="3">
    <w:abstractNumId w:val="10"/>
  </w:num>
  <w:num w:numId="4">
    <w:abstractNumId w:val="19"/>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2"/>
  </w:num>
  <w:num w:numId="18">
    <w:abstractNumId w:val="14"/>
  </w:num>
  <w:num w:numId="19">
    <w:abstractNumId w:val="17"/>
  </w:num>
  <w:num w:numId="20">
    <w:abstractNumId w:val="12"/>
  </w:num>
  <w:num w:numId="21">
    <w:abstractNumId w:val="14"/>
  </w:num>
  <w:num w:numId="22">
    <w:abstractNumId w:val="16"/>
  </w:num>
  <w:num w:numId="23">
    <w:abstractNumId w:val="15"/>
    <w:lvlOverride w:ilvl="0">
      <w:lvl w:ilvl="0" w:tplc="3BB86E0E">
        <w:start w:val="8"/>
        <w:numFmt w:val="bullet"/>
        <w:lvlText w:val="-"/>
        <w:lvlJc w:val="left"/>
        <w:pPr>
          <w:ind w:left="2049" w:hanging="360"/>
        </w:pPr>
        <w:rPr>
          <w:rFonts w:ascii="Times New Roman" w:eastAsia="Times New Roman" w:hAnsi="Times New Roman" w:cs="Times New Roman"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88"/>
    <w:rsid w:val="00033EE1"/>
    <w:rsid w:val="00042B72"/>
    <w:rsid w:val="000558BD"/>
    <w:rsid w:val="000B57E7"/>
    <w:rsid w:val="000B6373"/>
    <w:rsid w:val="000E4E5B"/>
    <w:rsid w:val="000F09DF"/>
    <w:rsid w:val="000F61B2"/>
    <w:rsid w:val="00100202"/>
    <w:rsid w:val="001075E9"/>
    <w:rsid w:val="0014152F"/>
    <w:rsid w:val="0015526E"/>
    <w:rsid w:val="00180183"/>
    <w:rsid w:val="0018024D"/>
    <w:rsid w:val="0018649F"/>
    <w:rsid w:val="00196389"/>
    <w:rsid w:val="001B3EF6"/>
    <w:rsid w:val="001C7A89"/>
    <w:rsid w:val="0021584F"/>
    <w:rsid w:val="00255343"/>
    <w:rsid w:val="00265E57"/>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C7238"/>
    <w:rsid w:val="004D0588"/>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C60E1"/>
    <w:rsid w:val="00806737"/>
    <w:rsid w:val="00825F8D"/>
    <w:rsid w:val="00834B71"/>
    <w:rsid w:val="0086445C"/>
    <w:rsid w:val="0087624A"/>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D59F5"/>
    <w:rsid w:val="00BE1CC7"/>
    <w:rsid w:val="00C05F14"/>
    <w:rsid w:val="00C106D6"/>
    <w:rsid w:val="00C119AE"/>
    <w:rsid w:val="00C60F0C"/>
    <w:rsid w:val="00C71E84"/>
    <w:rsid w:val="00C805C9"/>
    <w:rsid w:val="00C92939"/>
    <w:rsid w:val="00CA1679"/>
    <w:rsid w:val="00CA2ECA"/>
    <w:rsid w:val="00CB151C"/>
    <w:rsid w:val="00CE5A1A"/>
    <w:rsid w:val="00CF55F6"/>
    <w:rsid w:val="00D33D63"/>
    <w:rsid w:val="00D5253A"/>
    <w:rsid w:val="00D873A8"/>
    <w:rsid w:val="00D90028"/>
    <w:rsid w:val="00D90138"/>
    <w:rsid w:val="00D9145B"/>
    <w:rsid w:val="00DA2C9E"/>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0078"/>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829BB2B-10DE-4EB6-84EA-476A7A63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paragraph" w:styleId="BlockText">
    <w:name w:val="Block Text"/>
    <w:basedOn w:val="Normal"/>
    <w:semiHidden/>
    <w:rsid w:val="007C60E1"/>
    <w:pPr>
      <w:ind w:left="1440" w:right="1440"/>
    </w:pPr>
    <w:rPr>
      <w:rFonts w:eastAsia="Times New Roman" w:cs="Times New Roman"/>
      <w:szCs w:val="20"/>
      <w:lang w:val="en-GB"/>
    </w:rPr>
  </w:style>
  <w:style w:type="character" w:customStyle="1" w:styleId="HChGChar">
    <w:name w:val="_ H _Ch_G Char"/>
    <w:link w:val="HChG"/>
    <w:rsid w:val="007C60E1"/>
    <w:rPr>
      <w:b/>
      <w:sz w:val="28"/>
      <w:lang w:val="ru-RU" w:eastAsia="ru-RU"/>
    </w:rPr>
  </w:style>
  <w:style w:type="character" w:customStyle="1" w:styleId="SingleTxtGChar">
    <w:name w:val="_ Single Txt_G Char"/>
    <w:link w:val="SingleTxtG"/>
    <w:rsid w:val="007C60E1"/>
    <w:rPr>
      <w:lang w:val="ru-RU" w:eastAsia="en-US"/>
    </w:rPr>
  </w:style>
  <w:style w:type="paragraph" w:styleId="BodyText">
    <w:name w:val="Body Text"/>
    <w:basedOn w:val="Normal"/>
    <w:next w:val="Normal"/>
    <w:link w:val="BodyTextChar"/>
    <w:semiHidden/>
    <w:rsid w:val="007C60E1"/>
    <w:rPr>
      <w:rFonts w:eastAsia="Times New Roman" w:cs="Times New Roman"/>
      <w:szCs w:val="20"/>
      <w:lang w:val="en-GB"/>
    </w:rPr>
  </w:style>
  <w:style w:type="character" w:customStyle="1" w:styleId="BodyTextChar">
    <w:name w:val="Body Text Char"/>
    <w:basedOn w:val="DefaultParagraphFont"/>
    <w:link w:val="BodyText"/>
    <w:semiHidden/>
    <w:rsid w:val="007C60E1"/>
    <w:rPr>
      <w:lang w:val="en-GB" w:eastAsia="en-US"/>
    </w:rPr>
  </w:style>
  <w:style w:type="character" w:customStyle="1" w:styleId="ttext">
    <w:name w:val="t_text"/>
    <w:basedOn w:val="DefaultParagraphFont"/>
    <w:rsid w:val="007C6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6040</Characters>
  <Application>Microsoft Office Word</Application>
  <DocSecurity>0</DocSecurity>
  <Lines>50</Lines>
  <Paragraphs>14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ECE/TRANS/WP.15/2019/10</vt:lpstr>
      <vt:lpstr>ECE/TRANS/WP.15/2019/10</vt:lpstr>
      <vt:lpstr>A/</vt:lpstr>
    </vt:vector>
  </TitlesOfParts>
  <Company>DCM</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ECE/TRANS/WP.15/2019/10</dc:title>
  <dc:subject/>
  <dc:creator>Marina KOROTKOVA</dc:creator>
  <cp:keywords/>
  <cp:lastModifiedBy>Christine Barrio-Champeau</cp:lastModifiedBy>
  <cp:revision>2</cp:revision>
  <cp:lastPrinted>2019-03-06T10:58:00Z</cp:lastPrinted>
  <dcterms:created xsi:type="dcterms:W3CDTF">2019-04-01T07:53:00Z</dcterms:created>
  <dcterms:modified xsi:type="dcterms:W3CDTF">2019-04-01T07:53:00Z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