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61D15" w:rsidP="00B61D15">
            <w:pPr>
              <w:suppressAutoHyphens w:val="0"/>
              <w:spacing w:after="20" w:line="240" w:lineRule="atLeast"/>
              <w:jc w:val="right"/>
            </w:pPr>
            <w:r w:rsidRPr="00B61D15">
              <w:rPr>
                <w:sz w:val="40"/>
              </w:rPr>
              <w:t>ECE</w:t>
            </w:r>
            <w:r>
              <w:t>/TRANS/WP.15/2019/8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61D15" w:rsidP="00B61D15">
            <w:pPr>
              <w:spacing w:before="240"/>
            </w:pPr>
            <w:r>
              <w:t>Distr.: General</w:t>
            </w:r>
          </w:p>
          <w:p w:rsidR="00B61D15" w:rsidRDefault="00B61D15" w:rsidP="00B61D15">
            <w:pPr>
              <w:suppressAutoHyphens w:val="0"/>
            </w:pPr>
            <w:r>
              <w:t>18 February 2019</w:t>
            </w:r>
          </w:p>
          <w:p w:rsidR="00B61D15" w:rsidRDefault="00B61D15" w:rsidP="00B61D15">
            <w:pPr>
              <w:suppressAutoHyphens w:val="0"/>
            </w:pPr>
            <w:r>
              <w:t>English</w:t>
            </w:r>
          </w:p>
          <w:p w:rsidR="00B61D15" w:rsidRDefault="00B61D15" w:rsidP="00B61D15">
            <w:pPr>
              <w:suppressAutoHyphens w:val="0"/>
              <w:spacing w:line="240" w:lineRule="atLeast"/>
            </w:pPr>
            <w:r>
              <w:t>Original: French</w:t>
            </w:r>
          </w:p>
        </w:tc>
      </w:tr>
    </w:tbl>
    <w:p w:rsidR="008A1CE4" w:rsidRDefault="008A1CE4">
      <w:pPr>
        <w:spacing w:before="120"/>
        <w:rPr>
          <w:b/>
          <w:sz w:val="28"/>
          <w:szCs w:val="28"/>
        </w:rPr>
      </w:pPr>
      <w:r>
        <w:rPr>
          <w:b/>
          <w:sz w:val="28"/>
          <w:szCs w:val="28"/>
        </w:rPr>
        <w:t>Economic Commission for Europe</w:t>
      </w:r>
    </w:p>
    <w:p w:rsidR="008A1CE4" w:rsidRDefault="008A1CE4">
      <w:pPr>
        <w:spacing w:before="120"/>
        <w:rPr>
          <w:sz w:val="28"/>
          <w:szCs w:val="28"/>
        </w:rPr>
      </w:pPr>
      <w:r>
        <w:rPr>
          <w:sz w:val="28"/>
          <w:szCs w:val="28"/>
        </w:rPr>
        <w:t>Inland Transport Committee</w:t>
      </w:r>
    </w:p>
    <w:p w:rsidR="008A1CE4" w:rsidRDefault="008A1CE4" w:rsidP="008A1CE4">
      <w:pPr>
        <w:spacing w:before="120"/>
      </w:pPr>
      <w:r>
        <w:rPr>
          <w:b/>
          <w:sz w:val="24"/>
          <w:szCs w:val="24"/>
        </w:rPr>
        <w:t xml:space="preserve">Working Party on the Transport of </w:t>
      </w:r>
      <w:r w:rsidRPr="008A1CE4">
        <w:rPr>
          <w:b/>
          <w:sz w:val="24"/>
          <w:szCs w:val="24"/>
        </w:rPr>
        <w:t>Dangerous Goods</w:t>
      </w:r>
    </w:p>
    <w:p w:rsidR="008A1CE4" w:rsidRPr="00553AC2" w:rsidRDefault="008A1CE4" w:rsidP="00553AC2">
      <w:pPr>
        <w:spacing w:before="120"/>
        <w:rPr>
          <w:b/>
          <w:bCs/>
        </w:rPr>
      </w:pPr>
      <w:r w:rsidRPr="00553AC2">
        <w:rPr>
          <w:b/>
          <w:bCs/>
        </w:rPr>
        <w:t xml:space="preserve">106th session </w:t>
      </w:r>
    </w:p>
    <w:p w:rsidR="008A1CE4" w:rsidRDefault="008A1CE4" w:rsidP="008A1CE4">
      <w:r>
        <w:t xml:space="preserve">Geneva, 13–17 May 2019 </w:t>
      </w:r>
    </w:p>
    <w:p w:rsidR="008A1CE4" w:rsidRDefault="008A1CE4" w:rsidP="008A1CE4">
      <w:r>
        <w:t>Item 6 (b) of the provisional agenda</w:t>
      </w:r>
    </w:p>
    <w:p w:rsidR="008A1CE4" w:rsidRPr="008A1CE4" w:rsidRDefault="008A1CE4" w:rsidP="008A1CE4">
      <w:pPr>
        <w:rPr>
          <w:b/>
          <w:bCs/>
        </w:rPr>
      </w:pPr>
      <w:r w:rsidRPr="008A1CE4">
        <w:rPr>
          <w:b/>
          <w:bCs/>
        </w:rPr>
        <w:t>Proposals for amendments to annexes A and B of ADR:</w:t>
      </w:r>
    </w:p>
    <w:p w:rsidR="008A1CE4" w:rsidRPr="008A1CE4" w:rsidRDefault="008A1CE4" w:rsidP="008A1CE4">
      <w:pPr>
        <w:rPr>
          <w:b/>
          <w:bCs/>
        </w:rPr>
      </w:pPr>
      <w:r w:rsidRPr="008A1CE4">
        <w:rPr>
          <w:b/>
          <w:bCs/>
        </w:rPr>
        <w:t>Miscellaneous proposals</w:t>
      </w:r>
    </w:p>
    <w:p w:rsidR="008A1CE4" w:rsidRDefault="008A1CE4" w:rsidP="00134C0C">
      <w:pPr>
        <w:pStyle w:val="HChG"/>
      </w:pPr>
      <w:r>
        <w:tab/>
      </w:r>
      <w:r>
        <w:tab/>
        <w:t>Information required in the transport document for passing through tunnels subject to restrictions</w:t>
      </w:r>
    </w:p>
    <w:p w:rsidR="008A1CE4" w:rsidRDefault="008A1CE4" w:rsidP="0067478E">
      <w:pPr>
        <w:pStyle w:val="H1G"/>
      </w:pPr>
      <w:r>
        <w:tab/>
      </w:r>
      <w:r>
        <w:tab/>
        <w:t>Transmitted by the Government of Switzerland</w:t>
      </w:r>
      <w:r w:rsidR="007B4EEF" w:rsidRPr="007B4EEF">
        <w:rPr>
          <w:b w:val="0"/>
          <w:bCs/>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134C0C" w:rsidTr="00134C0C">
        <w:trPr>
          <w:jc w:val="center"/>
        </w:trPr>
        <w:tc>
          <w:tcPr>
            <w:tcW w:w="9637" w:type="dxa"/>
            <w:tcBorders>
              <w:bottom w:val="nil"/>
            </w:tcBorders>
          </w:tcPr>
          <w:p w:rsidR="00134C0C" w:rsidRPr="00134C0C" w:rsidRDefault="00134C0C" w:rsidP="00134C0C">
            <w:pPr>
              <w:tabs>
                <w:tab w:val="left" w:pos="255"/>
              </w:tabs>
              <w:suppressAutoHyphens w:val="0"/>
              <w:spacing w:before="240" w:after="120" w:line="240" w:lineRule="atLeast"/>
              <w:rPr>
                <w:sz w:val="24"/>
              </w:rPr>
            </w:pPr>
            <w:r>
              <w:tab/>
            </w:r>
            <w:r>
              <w:rPr>
                <w:i/>
                <w:sz w:val="24"/>
              </w:rPr>
              <w:t>Summary</w:t>
            </w:r>
          </w:p>
        </w:tc>
      </w:tr>
      <w:tr w:rsidR="00134C0C" w:rsidTr="00134C0C">
        <w:trPr>
          <w:jc w:val="center"/>
        </w:trPr>
        <w:tc>
          <w:tcPr>
            <w:tcW w:w="9637" w:type="dxa"/>
            <w:tcBorders>
              <w:top w:val="nil"/>
              <w:bottom w:val="nil"/>
            </w:tcBorders>
            <w:shd w:val="clear" w:color="auto" w:fill="auto"/>
          </w:tcPr>
          <w:p w:rsidR="00134C0C" w:rsidRDefault="00134C0C" w:rsidP="00134C0C">
            <w:pPr>
              <w:pStyle w:val="SingleTxtG"/>
              <w:ind w:left="3402" w:hanging="2268"/>
            </w:pPr>
            <w:r w:rsidRPr="00064503">
              <w:rPr>
                <w:rFonts w:hint="eastAsia"/>
                <w:b/>
                <w:bCs/>
              </w:rPr>
              <w:t>Executive summary</w:t>
            </w:r>
            <w:r>
              <w:rPr>
                <w:rFonts w:hint="eastAsia"/>
              </w:rPr>
              <w:t>:</w:t>
            </w:r>
            <w:r>
              <w:rPr>
                <w:rFonts w:hint="eastAsia"/>
              </w:rPr>
              <w:tab/>
              <w:t xml:space="preserve">More complete information should be included in the transport document for shipments containing goods with the mention </w:t>
            </w:r>
            <w:r w:rsidR="008E7D83">
              <w:t>“</w:t>
            </w:r>
            <w:r>
              <w:rPr>
                <w:rFonts w:hint="eastAsia"/>
              </w:rPr>
              <w:t>(─)</w:t>
            </w:r>
            <w:r w:rsidR="008E7D83">
              <w:t>”</w:t>
            </w:r>
            <w:r>
              <w:rPr>
                <w:rFonts w:hint="eastAsia"/>
              </w:rPr>
              <w:t xml:space="preserve"> in Chapter 3.2, Table A, column (15), so as to ensure safety and facilitate decisions about passage through tunn</w:t>
            </w:r>
            <w:r>
              <w:t>els subject to restrictions.</w:t>
            </w:r>
          </w:p>
          <w:p w:rsidR="00134C0C" w:rsidRDefault="00134C0C" w:rsidP="00134C0C">
            <w:pPr>
              <w:pStyle w:val="SingleTxtG"/>
              <w:ind w:left="3402" w:hanging="2268"/>
            </w:pPr>
            <w:r w:rsidRPr="00064503">
              <w:rPr>
                <w:b/>
                <w:bCs/>
              </w:rPr>
              <w:t>Action to be taken</w:t>
            </w:r>
            <w:r>
              <w:t>:</w:t>
            </w:r>
            <w:r>
              <w:tab/>
              <w:t>Amend the text of 5.4.1.1.1 (k) and 8.6.4.</w:t>
            </w:r>
          </w:p>
        </w:tc>
      </w:tr>
      <w:tr w:rsidR="00134C0C" w:rsidTr="00134C0C">
        <w:trPr>
          <w:jc w:val="center"/>
        </w:trPr>
        <w:tc>
          <w:tcPr>
            <w:tcW w:w="9637" w:type="dxa"/>
            <w:tcBorders>
              <w:top w:val="nil"/>
            </w:tcBorders>
          </w:tcPr>
          <w:p w:rsidR="00134C0C" w:rsidRDefault="00134C0C" w:rsidP="00134C0C">
            <w:pPr>
              <w:suppressAutoHyphens w:val="0"/>
              <w:spacing w:line="240" w:lineRule="atLeast"/>
            </w:pPr>
          </w:p>
        </w:tc>
      </w:tr>
    </w:tbl>
    <w:p w:rsidR="008A1CE4" w:rsidRDefault="00064503" w:rsidP="00064503">
      <w:pPr>
        <w:pStyle w:val="HChG"/>
      </w:pPr>
      <w:r>
        <w:tab/>
      </w:r>
      <w:r>
        <w:tab/>
      </w:r>
      <w:r w:rsidR="008A1CE4">
        <w:t>Introduction</w:t>
      </w:r>
    </w:p>
    <w:p w:rsidR="008A1CE4" w:rsidRDefault="008A1CE4" w:rsidP="00064503">
      <w:pPr>
        <w:pStyle w:val="SingleTxtG"/>
      </w:pPr>
      <w:r>
        <w:t>1.</w:t>
      </w:r>
      <w:r>
        <w:tab/>
        <w:t xml:space="preserve">When loads of dangerous goods with the mention </w:t>
      </w:r>
      <w:r w:rsidR="008E7D83">
        <w:t>“</w:t>
      </w:r>
      <w:r>
        <w:t>(─)</w:t>
      </w:r>
      <w:r w:rsidR="008E7D83">
        <w:t>”</w:t>
      </w:r>
      <w:r>
        <w:t xml:space="preserve"> in Chapter 3.2, Table A, column (15) are carried in mixed loads with other goods subject to tunnel restriction codes other than </w:t>
      </w:r>
      <w:r w:rsidR="008E7D83">
        <w:t>“</w:t>
      </w:r>
      <w:r>
        <w:t>(─)</w:t>
      </w:r>
      <w:r w:rsidR="008E7D83">
        <w:t>”</w:t>
      </w:r>
      <w:r>
        <w:t xml:space="preserve"> (tunnel restriction codes B, B1000C, B/D, B/E, C, C5000D, C/D, D/E, D or E), participants have some difficulty in deciding whether or not passage is authorized through a tunnel subject to restrictions. </w:t>
      </w:r>
    </w:p>
    <w:p w:rsidR="008A1CE4" w:rsidRDefault="008A1CE4" w:rsidP="00064503">
      <w:pPr>
        <w:pStyle w:val="SingleTxtG"/>
      </w:pPr>
      <w:r>
        <w:t>2.</w:t>
      </w:r>
      <w:r>
        <w:tab/>
        <w:t xml:space="preserve">Despite their orange-coloured plate marking, transport units are not subject to tunnel restrictions when carrying dangerous goods assigned with the mention </w:t>
      </w:r>
      <w:r w:rsidR="008E7D83">
        <w:t>“</w:t>
      </w:r>
      <w:r>
        <w:t>(─)</w:t>
      </w:r>
      <w:r w:rsidR="008E7D83">
        <w:t>”</w:t>
      </w:r>
      <w:r>
        <w:t>.</w:t>
      </w:r>
    </w:p>
    <w:p w:rsidR="008A1CE4" w:rsidRDefault="008A1CE4" w:rsidP="00064503">
      <w:pPr>
        <w:pStyle w:val="SingleTxtG"/>
      </w:pPr>
      <w:r>
        <w:t>3.</w:t>
      </w:r>
      <w:r>
        <w:tab/>
        <w:t xml:space="preserve">When goods with the mention </w:t>
      </w:r>
      <w:r w:rsidR="008E7D83">
        <w:t>“</w:t>
      </w:r>
      <w:r>
        <w:t>(─)</w:t>
      </w:r>
      <w:r w:rsidR="008E7D83">
        <w:t>”</w:t>
      </w:r>
      <w:r>
        <w:t xml:space="preserve"> are loaded together with other goods having a tunnel restriction code other than </w:t>
      </w:r>
      <w:r w:rsidR="008E7D83">
        <w:t>“</w:t>
      </w:r>
      <w:r>
        <w:t>(─)</w:t>
      </w:r>
      <w:r w:rsidR="008E7D83">
        <w:t>”</w:t>
      </w:r>
      <w:r>
        <w:t xml:space="preserve"> (tunnel restriction codes B, B1000C, B/D, B/E, C, C5000D, C/D, D/E, D or E, in a mixed load), the latter must be considered separately. By </w:t>
      </w:r>
      <w:r>
        <w:lastRenderedPageBreak/>
        <w:t xml:space="preserve">analogy with ADR 1.1.3.6.4, for the latter dangerous goods, tunnel restrictions apply only to the extent that the sum of the quantities of such goods, calculated for those goods only, exceeds the permissible maximum total quantity of 1,000. That is true irrespective of whether the transport unit is subject to an orange-coloured plate marking according to 5.3.2 owing to the fact that the load, including the dangerous goods assigned with the mention </w:t>
      </w:r>
      <w:r w:rsidR="008E7D83">
        <w:t>“</w:t>
      </w:r>
      <w:r>
        <w:t>(─)</w:t>
      </w:r>
      <w:r w:rsidR="008E7D83">
        <w:t>”</w:t>
      </w:r>
      <w:r>
        <w:t>, exceeds the value of 1,000 calculated in accordance with 1.1.3.6.4.</w:t>
      </w:r>
    </w:p>
    <w:p w:rsidR="008A1CE4" w:rsidRDefault="008A1CE4" w:rsidP="00994820">
      <w:pPr>
        <w:pStyle w:val="SingleTxtG"/>
      </w:pPr>
      <w:r>
        <w:t>4.</w:t>
      </w:r>
      <w:r>
        <w:tab/>
        <w:t>The existing texts do not, however, currently make it clear that such a deduction can take place. It is apparently necessary to specify this in the texts in order to facilitate decisions regarding mixed loads that are subject to the orange-coloured plate marking. To achieve this, the information on the load must be available, and specifically on loading of goods that mix goods with tunnel restriction codes with those with the mention</w:t>
      </w:r>
      <w:r w:rsidR="007A3533">
        <w:t xml:space="preserve"> </w:t>
      </w:r>
      <w:r w:rsidR="008E7D83">
        <w:t>“</w:t>
      </w:r>
      <w:r>
        <w:t>(─)</w:t>
      </w:r>
      <w:r w:rsidR="008E7D83">
        <w:t>”</w:t>
      </w:r>
      <w:r>
        <w:t>. This involves amending 5.4.1.1.1. Proposal 1, below, is based on what is already reflected in NOTE 1 of 5.4.1.1.1 (f), for exemption from 1.1.3.6.</w:t>
      </w:r>
    </w:p>
    <w:p w:rsidR="008A1CE4" w:rsidRDefault="008A1CE4" w:rsidP="00064503">
      <w:pPr>
        <w:pStyle w:val="SingleTxtG"/>
      </w:pPr>
      <w:r>
        <w:t xml:space="preserve">An indication for participants would also apparently be useful in 8.6.4, in the form of a NOTE; that is the purpose of proposal 2. </w:t>
      </w:r>
    </w:p>
    <w:p w:rsidR="008A1CE4" w:rsidRDefault="008A1CE4" w:rsidP="00994820">
      <w:pPr>
        <w:pStyle w:val="HChG"/>
      </w:pPr>
      <w:r>
        <w:tab/>
      </w:r>
      <w:r>
        <w:tab/>
        <w:t>Proposal 1</w:t>
      </w:r>
    </w:p>
    <w:p w:rsidR="008A1CE4" w:rsidRDefault="008A1CE4" w:rsidP="00064503">
      <w:pPr>
        <w:pStyle w:val="SingleTxtG"/>
      </w:pPr>
      <w:r>
        <w:t>5.</w:t>
      </w:r>
      <w:r>
        <w:tab/>
        <w:t xml:space="preserve">Amend 5.4.1.1.1 (k) as follows (added text in </w:t>
      </w:r>
      <w:r w:rsidRPr="007A3533">
        <w:rPr>
          <w:b/>
          <w:bCs/>
          <w:u w:val="single"/>
        </w:rPr>
        <w:t>bold and underlined</w:t>
      </w:r>
      <w:r>
        <w:t xml:space="preserve">; deleted text in </w:t>
      </w:r>
      <w:r w:rsidRPr="007A3533">
        <w:rPr>
          <w:strike/>
        </w:rPr>
        <w:t>strikethrough</w:t>
      </w:r>
      <w:r>
        <w:t>):</w:t>
      </w:r>
    </w:p>
    <w:p w:rsidR="008A1CE4" w:rsidRDefault="008E7D83" w:rsidP="00183C4F">
      <w:pPr>
        <w:pStyle w:val="SingleTxtG"/>
        <w:ind w:left="2268" w:hanging="567"/>
      </w:pPr>
      <w:r>
        <w:t>“</w:t>
      </w:r>
      <w:r w:rsidR="008A1CE4">
        <w:t>(k)</w:t>
      </w:r>
      <w:r w:rsidR="008A1CE4">
        <w:tab/>
        <w:t xml:space="preserve">where assigned, the tunnel restriction code </w:t>
      </w:r>
      <w:r w:rsidR="008A1CE4" w:rsidRPr="008E0730">
        <w:rPr>
          <w:b/>
          <w:bCs/>
          <w:u w:val="single"/>
        </w:rPr>
        <w:t xml:space="preserve">in capitals and within parenthesis or the mention </w:t>
      </w:r>
      <w:r>
        <w:rPr>
          <w:b/>
          <w:bCs/>
          <w:u w:val="single"/>
        </w:rPr>
        <w:t>“</w:t>
      </w:r>
      <w:r w:rsidR="008A1CE4" w:rsidRPr="008E0730">
        <w:rPr>
          <w:b/>
          <w:bCs/>
          <w:u w:val="single"/>
        </w:rPr>
        <w:t>(─)</w:t>
      </w:r>
      <w:r>
        <w:rPr>
          <w:b/>
          <w:bCs/>
          <w:u w:val="single"/>
        </w:rPr>
        <w:t>”</w:t>
      </w:r>
      <w:r w:rsidR="008A1CE4">
        <w:t xml:space="preserve"> given in column (15) of Table A of Chapter 3.2</w:t>
      </w:r>
      <w:r w:rsidR="008A1CE4" w:rsidRPr="00F343C1">
        <w:rPr>
          <w:strike/>
        </w:rPr>
        <w:t xml:space="preserve">, </w:t>
      </w:r>
      <w:r w:rsidR="008A1CE4" w:rsidRPr="008E0730">
        <w:rPr>
          <w:strike/>
        </w:rPr>
        <w:t>in capitals within parenthesis</w:t>
      </w:r>
      <w:r w:rsidR="008A1CE4">
        <w:t xml:space="preserve">. </w:t>
      </w:r>
    </w:p>
    <w:p w:rsidR="008A1CE4" w:rsidRPr="008E0730" w:rsidRDefault="008A1CE4" w:rsidP="00994820">
      <w:pPr>
        <w:pStyle w:val="SingleTxtG"/>
        <w:ind w:left="2268" w:hanging="567"/>
        <w:rPr>
          <w:b/>
          <w:bCs/>
          <w:u w:val="single"/>
        </w:rPr>
      </w:pPr>
      <w:r>
        <w:tab/>
      </w:r>
      <w:r w:rsidRPr="008E0730">
        <w:rPr>
          <w:b/>
          <w:bCs/>
          <w:u w:val="single"/>
        </w:rPr>
        <w:t xml:space="preserve">When dangerous goods subject to tunnel restriction codes other than the mention </w:t>
      </w:r>
      <w:r w:rsidR="008E7D83">
        <w:rPr>
          <w:b/>
          <w:bCs/>
          <w:u w:val="single"/>
        </w:rPr>
        <w:t>“</w:t>
      </w:r>
      <w:r w:rsidRPr="008E0730">
        <w:rPr>
          <w:b/>
          <w:bCs/>
          <w:u w:val="single"/>
        </w:rPr>
        <w:t>(─)</w:t>
      </w:r>
      <w:r w:rsidR="008E7D83">
        <w:rPr>
          <w:b/>
          <w:bCs/>
          <w:u w:val="single"/>
        </w:rPr>
        <w:t>”</w:t>
      </w:r>
      <w:r w:rsidRPr="008E0730">
        <w:rPr>
          <w:b/>
          <w:bCs/>
          <w:u w:val="single"/>
        </w:rPr>
        <w:t xml:space="preserve"> (tunnel restriction codes B, B1000C, B/D, B/E, C, C5000D, C/D, D/E, D or E) are transported together with dangerous goods to which the mention </w:t>
      </w:r>
      <w:r w:rsidR="008E7D83">
        <w:rPr>
          <w:b/>
          <w:bCs/>
          <w:u w:val="single"/>
        </w:rPr>
        <w:t>“</w:t>
      </w:r>
      <w:r w:rsidRPr="008E0730">
        <w:rPr>
          <w:b/>
          <w:bCs/>
          <w:u w:val="single"/>
        </w:rPr>
        <w:t>(─)</w:t>
      </w:r>
      <w:r w:rsidR="008E7D83">
        <w:rPr>
          <w:b/>
          <w:bCs/>
          <w:u w:val="single"/>
        </w:rPr>
        <w:t>”</w:t>
      </w:r>
      <w:r w:rsidRPr="008E0730">
        <w:rPr>
          <w:b/>
          <w:bCs/>
          <w:u w:val="single"/>
        </w:rPr>
        <w:t xml:space="preserve"> is assigned in column (15) of Table A of Chapter 3.2, and to obtain permission for passage through tunnels subject to restrictions, the transport document shall provide information on the total quantity and the value for each transport category, calculated in accordance with 1.1.3.6.3 and 1.1.3.6.4, of the dangerous goods subject to tunnel restriction codes other than the mention </w:t>
      </w:r>
      <w:r w:rsidR="008E7D83">
        <w:rPr>
          <w:b/>
          <w:bCs/>
          <w:u w:val="single"/>
        </w:rPr>
        <w:t>“</w:t>
      </w:r>
      <w:r w:rsidRPr="008E0730">
        <w:rPr>
          <w:b/>
          <w:bCs/>
          <w:u w:val="single"/>
        </w:rPr>
        <w:t>(─)</w:t>
      </w:r>
      <w:r w:rsidR="008E7D83">
        <w:rPr>
          <w:b/>
          <w:bCs/>
          <w:u w:val="single"/>
        </w:rPr>
        <w:t>”</w:t>
      </w:r>
      <w:r w:rsidRPr="008E0730">
        <w:rPr>
          <w:b/>
          <w:bCs/>
          <w:u w:val="single"/>
        </w:rPr>
        <w:t xml:space="preserve">. Passage through a tunnel subject to restrictions shall be permitted in this case when the sum of the quantities of dangerous goods subject to tunnel restriction codes other than the mention </w:t>
      </w:r>
      <w:r w:rsidR="008E7D83">
        <w:rPr>
          <w:b/>
          <w:bCs/>
          <w:u w:val="single"/>
        </w:rPr>
        <w:t>“</w:t>
      </w:r>
      <w:r w:rsidRPr="008E0730">
        <w:rPr>
          <w:b/>
          <w:bCs/>
          <w:u w:val="single"/>
        </w:rPr>
        <w:t>(─)</w:t>
      </w:r>
      <w:r w:rsidR="008E7D83">
        <w:rPr>
          <w:b/>
          <w:bCs/>
          <w:u w:val="single"/>
        </w:rPr>
        <w:t>”</w:t>
      </w:r>
      <w:r w:rsidRPr="008E0730">
        <w:rPr>
          <w:b/>
          <w:bCs/>
          <w:u w:val="single"/>
        </w:rPr>
        <w:t xml:space="preserve"> do not exceed a calculated value of 1,000.</w:t>
      </w:r>
    </w:p>
    <w:p w:rsidR="008A1CE4" w:rsidRPr="008E0730" w:rsidRDefault="008A1CE4" w:rsidP="00994820">
      <w:pPr>
        <w:pStyle w:val="SingleTxtG"/>
        <w:ind w:left="2268" w:hanging="567"/>
        <w:rPr>
          <w:b/>
          <w:bCs/>
          <w:u w:val="single"/>
        </w:rPr>
      </w:pPr>
      <w:r w:rsidRPr="008E7D83">
        <w:rPr>
          <w:b/>
          <w:bCs/>
        </w:rPr>
        <w:tab/>
      </w:r>
      <w:r w:rsidRPr="008E0730">
        <w:rPr>
          <w:b/>
          <w:bCs/>
          <w:u w:val="single"/>
        </w:rPr>
        <w:t xml:space="preserve">NOTE: Only dangerous goods subject to tunnel restriction codes other than the mention </w:t>
      </w:r>
      <w:r w:rsidR="008E7D83">
        <w:rPr>
          <w:b/>
          <w:bCs/>
          <w:u w:val="single"/>
        </w:rPr>
        <w:t>“</w:t>
      </w:r>
      <w:r w:rsidRPr="008E0730">
        <w:rPr>
          <w:b/>
          <w:bCs/>
          <w:u w:val="single"/>
        </w:rPr>
        <w:t>(─)</w:t>
      </w:r>
      <w:r w:rsidR="008E7D83">
        <w:rPr>
          <w:b/>
          <w:bCs/>
          <w:u w:val="single"/>
        </w:rPr>
        <w:t>”</w:t>
      </w:r>
      <w:r w:rsidRPr="008E0730">
        <w:rPr>
          <w:b/>
          <w:bCs/>
          <w:u w:val="single"/>
        </w:rPr>
        <w:t xml:space="preserve"> (tunnel restriction codes B, B1000C, B/D, B/E, C, C5000D, C/D, D/E, D or E) shall be taken into consideration for the assignment of the tunnel restriction code and for the application of restrictions for passage through the tunnels. </w:t>
      </w:r>
    </w:p>
    <w:p w:rsidR="008A1CE4" w:rsidRDefault="008A1CE4" w:rsidP="00183C4F">
      <w:pPr>
        <w:pStyle w:val="SingleTxtG"/>
        <w:ind w:left="2268" w:hanging="567"/>
      </w:pPr>
      <w:r>
        <w:tab/>
        <w:t xml:space="preserve">The tunnel restriction code </w:t>
      </w:r>
      <w:r w:rsidRPr="008E7D83">
        <w:rPr>
          <w:b/>
          <w:bCs/>
          <w:u w:val="single"/>
        </w:rPr>
        <w:t xml:space="preserve">or the mention </w:t>
      </w:r>
      <w:r w:rsidR="008E7D83">
        <w:rPr>
          <w:b/>
          <w:bCs/>
          <w:u w:val="single"/>
        </w:rPr>
        <w:t>“</w:t>
      </w:r>
      <w:r w:rsidRPr="008E7D83">
        <w:rPr>
          <w:b/>
          <w:bCs/>
          <w:u w:val="single"/>
        </w:rPr>
        <w:t>(─)</w:t>
      </w:r>
      <w:r w:rsidR="008E7D83">
        <w:rPr>
          <w:b/>
          <w:bCs/>
          <w:u w:val="single"/>
        </w:rPr>
        <w:t>”</w:t>
      </w:r>
      <w:r>
        <w:t xml:space="preserve"> need not be added in the transport document where the carriage is known beforehand not to pass through a tunnel with restrictions for carriage of dangerous goods.</w:t>
      </w:r>
      <w:r w:rsidR="008E7D83">
        <w:t>”</w:t>
      </w:r>
    </w:p>
    <w:p w:rsidR="008A1CE4" w:rsidRDefault="008A1CE4" w:rsidP="00064503">
      <w:pPr>
        <w:pStyle w:val="SingleTxtG"/>
      </w:pPr>
      <w:r>
        <w:t>6.</w:t>
      </w:r>
      <w:r>
        <w:tab/>
        <w:t>Add a NOTE 3 bottom of the Table in 8.6.4, with the following text:</w:t>
      </w:r>
    </w:p>
    <w:p w:rsidR="008A1CE4" w:rsidRDefault="008E7D83" w:rsidP="008E7D83">
      <w:pPr>
        <w:pStyle w:val="SingleTxtG"/>
      </w:pPr>
      <w:r>
        <w:t>“</w:t>
      </w:r>
      <w:r w:rsidR="008A1CE4">
        <w:t xml:space="preserve">NOTE 3: Transport units subject to an orange-coloured plate marking according to 5.3.2 carrying only dangerous goods to which the mention </w:t>
      </w:r>
      <w:r>
        <w:t>“</w:t>
      </w:r>
      <w:r w:rsidR="008A1CE4">
        <w:t>(─)</w:t>
      </w:r>
      <w:r>
        <w:t>”</w:t>
      </w:r>
      <w:r w:rsidR="008A1CE4">
        <w:t xml:space="preserve"> is assigned in column (15) of Table A of Chapter 3.2 shall not be affected by tunnel restrictions. In cases where such dangerous goods are loaded together with goods subject to tunnel restriction codes other than the mention </w:t>
      </w:r>
      <w:r>
        <w:t>“</w:t>
      </w:r>
      <w:r w:rsidR="008A1CE4">
        <w:t>(─)</w:t>
      </w:r>
      <w:r>
        <w:t>”</w:t>
      </w:r>
      <w:r w:rsidR="008A1CE4">
        <w:t xml:space="preserve"> (tunnel restriction codes B, B1000C, B/D, B/E, C, C5000D, C/D, D/E, D or E), only the latter shall be taken into consideration for the assignment of the tunnel restriction code and for the application of restrictions for passage through the tunnels. Passage through a tunnel subject to restrictions in this case is only permitted if the </w:t>
      </w:r>
      <w:r w:rsidR="008A1CE4">
        <w:lastRenderedPageBreak/>
        <w:t>information relating to the goods subject to tunnel restriction codes is presented in the transport document in the</w:t>
      </w:r>
      <w:r>
        <w:t xml:space="preserve"> form defined in 5.4.1.1.1 (k).”</w:t>
      </w:r>
    </w:p>
    <w:p w:rsidR="008E7D83" w:rsidRPr="008E7D83" w:rsidRDefault="008E7D83" w:rsidP="008E7D83">
      <w:pPr>
        <w:pStyle w:val="SingleTxtG"/>
        <w:spacing w:before="240"/>
        <w:jc w:val="center"/>
        <w:rPr>
          <w:u w:val="single"/>
        </w:rPr>
      </w:pPr>
      <w:r>
        <w:rPr>
          <w:u w:val="single"/>
        </w:rPr>
        <w:tab/>
      </w:r>
      <w:r>
        <w:rPr>
          <w:u w:val="single"/>
        </w:rPr>
        <w:tab/>
      </w:r>
      <w:r>
        <w:rPr>
          <w:u w:val="single"/>
        </w:rPr>
        <w:tab/>
      </w:r>
    </w:p>
    <w:sectPr w:rsidR="008E7D83" w:rsidRPr="008E7D8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CD" w:rsidRPr="00FB1744" w:rsidRDefault="009D45CD" w:rsidP="00FB1744">
      <w:pPr>
        <w:pStyle w:val="Footer"/>
      </w:pPr>
    </w:p>
  </w:endnote>
  <w:endnote w:type="continuationSeparator" w:id="0">
    <w:p w:rsidR="009D45CD" w:rsidRPr="00FB1744" w:rsidRDefault="009D45C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15" w:rsidRDefault="00B61D15" w:rsidP="00B61D15">
    <w:pPr>
      <w:pStyle w:val="Footer"/>
      <w:tabs>
        <w:tab w:val="right" w:pos="9638"/>
      </w:tabs>
    </w:pPr>
    <w:r w:rsidRPr="00B61D15">
      <w:rPr>
        <w:b/>
        <w:bCs/>
        <w:sz w:val="18"/>
      </w:rPr>
      <w:fldChar w:fldCharType="begin"/>
    </w:r>
    <w:r w:rsidRPr="00B61D15">
      <w:rPr>
        <w:b/>
        <w:bCs/>
        <w:sz w:val="18"/>
      </w:rPr>
      <w:instrText xml:space="preserve"> PAGE  \* MERGEFORMAT </w:instrText>
    </w:r>
    <w:r w:rsidRPr="00B61D15">
      <w:rPr>
        <w:b/>
        <w:bCs/>
        <w:sz w:val="18"/>
      </w:rPr>
      <w:fldChar w:fldCharType="separate"/>
    </w:r>
    <w:r w:rsidR="003722FD">
      <w:rPr>
        <w:b/>
        <w:bCs/>
        <w:noProof/>
        <w:sz w:val="18"/>
      </w:rPr>
      <w:t>2</w:t>
    </w:r>
    <w:r w:rsidRPr="00B61D15">
      <w:rPr>
        <w:b/>
        <w:bCs/>
        <w:sz w:val="18"/>
      </w:rPr>
      <w:fldChar w:fldCharType="end"/>
    </w:r>
    <w:r>
      <w:tab/>
      <w:t>GE.19-02572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15" w:rsidRDefault="00B61D15" w:rsidP="00B61D15">
    <w:pPr>
      <w:pStyle w:val="Footer"/>
      <w:tabs>
        <w:tab w:val="right" w:pos="9638"/>
      </w:tabs>
    </w:pPr>
    <w:r>
      <w:t>GE.19-02572</w:t>
    </w:r>
    <w:r>
      <w:tab/>
    </w:r>
    <w:r w:rsidRPr="00B61D15">
      <w:rPr>
        <w:b/>
        <w:bCs/>
        <w:sz w:val="18"/>
      </w:rPr>
      <w:fldChar w:fldCharType="begin"/>
    </w:r>
    <w:r w:rsidRPr="00B61D15">
      <w:rPr>
        <w:b/>
        <w:bCs/>
        <w:sz w:val="18"/>
      </w:rPr>
      <w:instrText xml:space="preserve"> PAGE  \* MERGEFORMAT </w:instrText>
    </w:r>
    <w:r w:rsidRPr="00B61D15">
      <w:rPr>
        <w:b/>
        <w:bCs/>
        <w:sz w:val="18"/>
      </w:rPr>
      <w:fldChar w:fldCharType="separate"/>
    </w:r>
    <w:r w:rsidR="003722FD">
      <w:rPr>
        <w:b/>
        <w:bCs/>
        <w:noProof/>
        <w:sz w:val="18"/>
      </w:rPr>
      <w:t>3</w:t>
    </w:r>
    <w:r w:rsidRPr="00B61D1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B61D15" w:rsidP="00AB3C7E">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61D15" w:rsidRDefault="00B61D15" w:rsidP="00B61D15">
    <w:r>
      <w:t>GE.19-02572  (E)</w:t>
    </w:r>
    <w:r w:rsidR="002B0E67">
      <w:t xml:space="preserve">    040319    080319</w:t>
    </w:r>
  </w:p>
  <w:p w:rsidR="00B61D15" w:rsidRPr="00B61D15" w:rsidRDefault="00B61D15" w:rsidP="00B61D1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CD" w:rsidRPr="00FB1744" w:rsidRDefault="009D45CD" w:rsidP="00FB1744">
      <w:pPr>
        <w:tabs>
          <w:tab w:val="right" w:pos="2155"/>
        </w:tabs>
        <w:spacing w:after="80"/>
        <w:ind w:left="680"/>
      </w:pPr>
      <w:r>
        <w:rPr>
          <w:u w:val="single"/>
        </w:rPr>
        <w:tab/>
      </w:r>
    </w:p>
  </w:footnote>
  <w:footnote w:type="continuationSeparator" w:id="0">
    <w:p w:rsidR="009D45CD" w:rsidRPr="00FB1744" w:rsidRDefault="009D45CD" w:rsidP="00FB1744">
      <w:pPr>
        <w:tabs>
          <w:tab w:val="right" w:pos="2155"/>
        </w:tabs>
        <w:spacing w:after="80"/>
        <w:ind w:left="680"/>
      </w:pPr>
      <w:r>
        <w:rPr>
          <w:u w:val="single"/>
        </w:rPr>
        <w:tab/>
      </w:r>
    </w:p>
  </w:footnote>
  <w:footnote w:id="1">
    <w:p w:rsidR="007B4EEF" w:rsidRPr="00C7325A" w:rsidRDefault="00C50422" w:rsidP="00C50422">
      <w:pPr>
        <w:pStyle w:val="FootnoteText"/>
      </w:pPr>
      <w:r>
        <w:tab/>
      </w:r>
      <w:r w:rsidR="007B4EEF" w:rsidRPr="00C50422">
        <w:rPr>
          <w:rStyle w:val="FootnoteReference"/>
          <w:sz w:val="20"/>
          <w:vertAlign w:val="baseline"/>
        </w:rPr>
        <w:sym w:font="Symbol" w:char="F02A"/>
      </w:r>
      <w:r w:rsidR="007B4EEF">
        <w:tab/>
        <w:t>In accordance with the programme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15" w:rsidRDefault="00B61D15" w:rsidP="00B61D15">
    <w:pPr>
      <w:pStyle w:val="Header"/>
    </w:pPr>
    <w:r>
      <w:t>ECE/TRANS/WP.15/2019/8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15" w:rsidRDefault="00B61D15" w:rsidP="00B61D15">
    <w:pPr>
      <w:pStyle w:val="Header"/>
      <w:jc w:val="right"/>
    </w:pPr>
    <w:r>
      <w:t>ECE/TRANS/WP.15/2019/8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CD"/>
    <w:rsid w:val="00046E92"/>
    <w:rsid w:val="00064503"/>
    <w:rsid w:val="000D1B89"/>
    <w:rsid w:val="001170DC"/>
    <w:rsid w:val="00134C0C"/>
    <w:rsid w:val="00183C4F"/>
    <w:rsid w:val="002366C1"/>
    <w:rsid w:val="00247E2C"/>
    <w:rsid w:val="002B0E67"/>
    <w:rsid w:val="002D6C53"/>
    <w:rsid w:val="002F5595"/>
    <w:rsid w:val="00334F6A"/>
    <w:rsid w:val="00342AC8"/>
    <w:rsid w:val="003722FD"/>
    <w:rsid w:val="003B4550"/>
    <w:rsid w:val="00461253"/>
    <w:rsid w:val="005042C2"/>
    <w:rsid w:val="00506C12"/>
    <w:rsid w:val="00553AC2"/>
    <w:rsid w:val="0056599A"/>
    <w:rsid w:val="00587690"/>
    <w:rsid w:val="00671529"/>
    <w:rsid w:val="0067478E"/>
    <w:rsid w:val="00717266"/>
    <w:rsid w:val="007268F9"/>
    <w:rsid w:val="007A3533"/>
    <w:rsid w:val="007B4EEF"/>
    <w:rsid w:val="007C52B0"/>
    <w:rsid w:val="008A1CE4"/>
    <w:rsid w:val="008E0730"/>
    <w:rsid w:val="008E7D83"/>
    <w:rsid w:val="009411B4"/>
    <w:rsid w:val="00994820"/>
    <w:rsid w:val="009D0139"/>
    <w:rsid w:val="009D45CD"/>
    <w:rsid w:val="009F5CDC"/>
    <w:rsid w:val="00A62D7D"/>
    <w:rsid w:val="00A775CF"/>
    <w:rsid w:val="00A95B7D"/>
    <w:rsid w:val="00AB3C7E"/>
    <w:rsid w:val="00B06045"/>
    <w:rsid w:val="00B61D15"/>
    <w:rsid w:val="00C35A27"/>
    <w:rsid w:val="00C50422"/>
    <w:rsid w:val="00E02C2B"/>
    <w:rsid w:val="00ED6C48"/>
    <w:rsid w:val="00F343C1"/>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FCC246-53E7-42FC-B4C4-15175A4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1CE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A1CE4"/>
    <w:pPr>
      <w:spacing w:after="0"/>
      <w:ind w:right="0"/>
      <w:jc w:val="left"/>
      <w:outlineLvl w:val="0"/>
    </w:pPr>
  </w:style>
  <w:style w:type="paragraph" w:styleId="Heading2">
    <w:name w:val="heading 2"/>
    <w:basedOn w:val="Normal"/>
    <w:next w:val="Normal"/>
    <w:link w:val="Heading2Char"/>
    <w:semiHidden/>
    <w:rsid w:val="008A1CE4"/>
    <w:pPr>
      <w:outlineLvl w:val="1"/>
    </w:pPr>
  </w:style>
  <w:style w:type="paragraph" w:styleId="Heading3">
    <w:name w:val="heading 3"/>
    <w:basedOn w:val="Normal"/>
    <w:next w:val="Normal"/>
    <w:link w:val="Heading3Char"/>
    <w:semiHidden/>
    <w:rsid w:val="008A1CE4"/>
    <w:pPr>
      <w:outlineLvl w:val="2"/>
    </w:pPr>
  </w:style>
  <w:style w:type="paragraph" w:styleId="Heading4">
    <w:name w:val="heading 4"/>
    <w:basedOn w:val="Normal"/>
    <w:next w:val="Normal"/>
    <w:link w:val="Heading4Char"/>
    <w:semiHidden/>
    <w:rsid w:val="008A1CE4"/>
    <w:pPr>
      <w:outlineLvl w:val="3"/>
    </w:pPr>
  </w:style>
  <w:style w:type="paragraph" w:styleId="Heading5">
    <w:name w:val="heading 5"/>
    <w:basedOn w:val="Normal"/>
    <w:next w:val="Normal"/>
    <w:link w:val="Heading5Char"/>
    <w:semiHidden/>
    <w:rsid w:val="008A1CE4"/>
    <w:pPr>
      <w:outlineLvl w:val="4"/>
    </w:pPr>
  </w:style>
  <w:style w:type="paragraph" w:styleId="Heading6">
    <w:name w:val="heading 6"/>
    <w:basedOn w:val="Normal"/>
    <w:next w:val="Normal"/>
    <w:link w:val="Heading6Char"/>
    <w:semiHidden/>
    <w:rsid w:val="008A1CE4"/>
    <w:pPr>
      <w:outlineLvl w:val="5"/>
    </w:pPr>
  </w:style>
  <w:style w:type="paragraph" w:styleId="Heading7">
    <w:name w:val="heading 7"/>
    <w:basedOn w:val="Normal"/>
    <w:next w:val="Normal"/>
    <w:link w:val="Heading7Char"/>
    <w:semiHidden/>
    <w:rsid w:val="008A1CE4"/>
    <w:pPr>
      <w:outlineLvl w:val="6"/>
    </w:pPr>
  </w:style>
  <w:style w:type="paragraph" w:styleId="Heading8">
    <w:name w:val="heading 8"/>
    <w:basedOn w:val="Normal"/>
    <w:next w:val="Normal"/>
    <w:link w:val="Heading8Char"/>
    <w:semiHidden/>
    <w:rsid w:val="008A1CE4"/>
    <w:pPr>
      <w:outlineLvl w:val="7"/>
    </w:pPr>
  </w:style>
  <w:style w:type="paragraph" w:styleId="Heading9">
    <w:name w:val="heading 9"/>
    <w:basedOn w:val="Normal"/>
    <w:next w:val="Normal"/>
    <w:link w:val="Heading9Char"/>
    <w:semiHidden/>
    <w:rsid w:val="008A1C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A1CE4"/>
    <w:pPr>
      <w:pBdr>
        <w:bottom w:val="single" w:sz="4" w:space="4" w:color="auto"/>
      </w:pBdr>
    </w:pPr>
    <w:rPr>
      <w:b/>
      <w:sz w:val="18"/>
    </w:rPr>
  </w:style>
  <w:style w:type="character" w:customStyle="1" w:styleId="HeaderChar">
    <w:name w:val="Header Char"/>
    <w:aliases w:val="6_G Char"/>
    <w:basedOn w:val="DefaultParagraphFont"/>
    <w:link w:val="Header"/>
    <w:rsid w:val="008A1CE4"/>
    <w:rPr>
      <w:rFonts w:ascii="Times New Roman" w:hAnsi="Times New Roman" w:cs="Times New Roman"/>
      <w:b/>
      <w:sz w:val="18"/>
      <w:szCs w:val="20"/>
    </w:rPr>
  </w:style>
  <w:style w:type="paragraph" w:styleId="Footer">
    <w:name w:val="footer"/>
    <w:aliases w:val="3_G"/>
    <w:basedOn w:val="Normal"/>
    <w:link w:val="FooterChar"/>
    <w:rsid w:val="008A1CE4"/>
    <w:rPr>
      <w:sz w:val="16"/>
    </w:rPr>
  </w:style>
  <w:style w:type="character" w:customStyle="1" w:styleId="FooterChar">
    <w:name w:val="Footer Char"/>
    <w:aliases w:val="3_G Char"/>
    <w:basedOn w:val="DefaultParagraphFont"/>
    <w:link w:val="Footer"/>
    <w:rsid w:val="008A1CE4"/>
    <w:rPr>
      <w:rFonts w:ascii="Times New Roman" w:hAnsi="Times New Roman" w:cs="Times New Roman"/>
      <w:sz w:val="16"/>
      <w:szCs w:val="20"/>
    </w:rPr>
  </w:style>
  <w:style w:type="paragraph" w:customStyle="1" w:styleId="HMG">
    <w:name w:val="_ H __M_G"/>
    <w:basedOn w:val="Normal"/>
    <w:next w:val="Normal"/>
    <w:rsid w:val="008A1C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A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A1C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A1C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A1C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A1C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A1CE4"/>
    <w:pPr>
      <w:spacing w:after="120" w:line="240" w:lineRule="atLeast"/>
      <w:ind w:left="1134" w:right="1134"/>
      <w:jc w:val="both"/>
    </w:pPr>
  </w:style>
  <w:style w:type="paragraph" w:customStyle="1" w:styleId="SLG">
    <w:name w:val="__S_L_G"/>
    <w:basedOn w:val="Normal"/>
    <w:next w:val="Normal"/>
    <w:rsid w:val="008A1CE4"/>
    <w:pPr>
      <w:keepNext/>
      <w:keepLines/>
      <w:spacing w:before="240" w:after="240" w:line="580" w:lineRule="exact"/>
      <w:ind w:left="1134" w:right="1134"/>
    </w:pPr>
    <w:rPr>
      <w:b/>
      <w:sz w:val="56"/>
    </w:rPr>
  </w:style>
  <w:style w:type="paragraph" w:customStyle="1" w:styleId="SMG">
    <w:name w:val="__S_M_G"/>
    <w:basedOn w:val="Normal"/>
    <w:next w:val="Normal"/>
    <w:rsid w:val="008A1CE4"/>
    <w:pPr>
      <w:keepNext/>
      <w:keepLines/>
      <w:spacing w:before="240" w:after="240" w:line="420" w:lineRule="exact"/>
      <w:ind w:left="1134" w:right="1134"/>
    </w:pPr>
    <w:rPr>
      <w:b/>
      <w:sz w:val="40"/>
    </w:rPr>
  </w:style>
  <w:style w:type="paragraph" w:customStyle="1" w:styleId="SSG">
    <w:name w:val="__S_S_G"/>
    <w:basedOn w:val="Normal"/>
    <w:next w:val="Normal"/>
    <w:rsid w:val="008A1CE4"/>
    <w:pPr>
      <w:keepNext/>
      <w:keepLines/>
      <w:spacing w:before="240" w:after="240" w:line="300" w:lineRule="exact"/>
      <w:ind w:left="1134" w:right="1134"/>
    </w:pPr>
    <w:rPr>
      <w:b/>
      <w:sz w:val="28"/>
    </w:rPr>
  </w:style>
  <w:style w:type="paragraph" w:customStyle="1" w:styleId="XLargeG">
    <w:name w:val="__XLarge_G"/>
    <w:basedOn w:val="Normal"/>
    <w:next w:val="Normal"/>
    <w:rsid w:val="008A1CE4"/>
    <w:pPr>
      <w:keepNext/>
      <w:keepLines/>
      <w:spacing w:before="240" w:after="240" w:line="420" w:lineRule="exact"/>
      <w:ind w:left="1134" w:right="1134"/>
    </w:pPr>
    <w:rPr>
      <w:b/>
      <w:sz w:val="40"/>
    </w:rPr>
  </w:style>
  <w:style w:type="paragraph" w:customStyle="1" w:styleId="Bullet1G">
    <w:name w:val="_Bullet 1_G"/>
    <w:basedOn w:val="Normal"/>
    <w:qFormat/>
    <w:rsid w:val="008A1CE4"/>
    <w:pPr>
      <w:numPr>
        <w:numId w:val="8"/>
      </w:numPr>
      <w:spacing w:after="120"/>
      <w:ind w:right="1134"/>
      <w:jc w:val="both"/>
    </w:pPr>
  </w:style>
  <w:style w:type="paragraph" w:customStyle="1" w:styleId="Bullet2G">
    <w:name w:val="_Bullet 2_G"/>
    <w:basedOn w:val="Normal"/>
    <w:qFormat/>
    <w:rsid w:val="008A1CE4"/>
    <w:pPr>
      <w:numPr>
        <w:numId w:val="9"/>
      </w:numPr>
      <w:spacing w:after="120"/>
      <w:ind w:right="1134"/>
      <w:jc w:val="both"/>
    </w:pPr>
  </w:style>
  <w:style w:type="paragraph" w:customStyle="1" w:styleId="ParaNoG">
    <w:name w:val="_ParaNo._G"/>
    <w:basedOn w:val="SingleTxtG"/>
    <w:rsid w:val="008A1CE4"/>
    <w:pPr>
      <w:numPr>
        <w:numId w:val="10"/>
      </w:numPr>
    </w:pPr>
  </w:style>
  <w:style w:type="numbering" w:styleId="111111">
    <w:name w:val="Outline List 2"/>
    <w:basedOn w:val="NoList"/>
    <w:semiHidden/>
    <w:rsid w:val="008A1CE4"/>
    <w:pPr>
      <w:numPr>
        <w:numId w:val="11"/>
      </w:numPr>
    </w:pPr>
  </w:style>
  <w:style w:type="numbering" w:styleId="1ai">
    <w:name w:val="Outline List 1"/>
    <w:basedOn w:val="NoList"/>
    <w:semiHidden/>
    <w:rsid w:val="008A1CE4"/>
    <w:pPr>
      <w:numPr>
        <w:numId w:val="6"/>
      </w:numPr>
    </w:pPr>
  </w:style>
  <w:style w:type="character" w:styleId="EndnoteReference">
    <w:name w:val="endnote reference"/>
    <w:aliases w:val="1_G"/>
    <w:rsid w:val="008A1CE4"/>
    <w:rPr>
      <w:rFonts w:ascii="Times New Roman" w:hAnsi="Times New Roman"/>
      <w:sz w:val="18"/>
      <w:vertAlign w:val="superscript"/>
    </w:rPr>
  </w:style>
  <w:style w:type="paragraph" w:styleId="FootnoteText">
    <w:name w:val="footnote text"/>
    <w:aliases w:val="5_G"/>
    <w:basedOn w:val="Normal"/>
    <w:link w:val="FootnoteTextChar"/>
    <w:qFormat/>
    <w:rsid w:val="008A1CE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A1CE4"/>
    <w:rPr>
      <w:rFonts w:ascii="Times New Roman" w:hAnsi="Times New Roman" w:cs="Times New Roman"/>
      <w:sz w:val="18"/>
      <w:szCs w:val="20"/>
    </w:rPr>
  </w:style>
  <w:style w:type="paragraph" w:styleId="EndnoteText">
    <w:name w:val="endnote text"/>
    <w:aliases w:val="2_G"/>
    <w:basedOn w:val="FootnoteText"/>
    <w:link w:val="EndnoteTextChar"/>
    <w:rsid w:val="008A1CE4"/>
  </w:style>
  <w:style w:type="character" w:customStyle="1" w:styleId="EndnoteTextChar">
    <w:name w:val="Endnote Text Char"/>
    <w:aliases w:val="2_G Char"/>
    <w:basedOn w:val="DefaultParagraphFont"/>
    <w:link w:val="EndnoteText"/>
    <w:rsid w:val="008A1CE4"/>
    <w:rPr>
      <w:rFonts w:ascii="Times New Roman" w:hAnsi="Times New Roman" w:cs="Times New Roman"/>
      <w:sz w:val="18"/>
      <w:szCs w:val="20"/>
    </w:rPr>
  </w:style>
  <w:style w:type="character" w:styleId="FootnoteReference">
    <w:name w:val="footnote reference"/>
    <w:aliases w:val="4_G"/>
    <w:qFormat/>
    <w:rsid w:val="008A1CE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A1CE4"/>
    <w:rPr>
      <w:rFonts w:ascii="Times New Roman" w:hAnsi="Times New Roman" w:cs="Times New Roman"/>
      <w:sz w:val="20"/>
      <w:szCs w:val="20"/>
    </w:rPr>
  </w:style>
  <w:style w:type="character" w:customStyle="1" w:styleId="Heading2Char">
    <w:name w:val="Heading 2 Char"/>
    <w:basedOn w:val="DefaultParagraphFont"/>
    <w:link w:val="Heading2"/>
    <w:semiHidden/>
    <w:rsid w:val="008A1CE4"/>
    <w:rPr>
      <w:rFonts w:ascii="Times New Roman" w:hAnsi="Times New Roman" w:cs="Times New Roman"/>
      <w:sz w:val="20"/>
      <w:szCs w:val="20"/>
    </w:rPr>
  </w:style>
  <w:style w:type="character" w:customStyle="1" w:styleId="Heading3Char">
    <w:name w:val="Heading 3 Char"/>
    <w:basedOn w:val="DefaultParagraphFont"/>
    <w:link w:val="Heading3"/>
    <w:semiHidden/>
    <w:rsid w:val="008A1CE4"/>
    <w:rPr>
      <w:rFonts w:ascii="Times New Roman" w:hAnsi="Times New Roman" w:cs="Times New Roman"/>
      <w:sz w:val="20"/>
      <w:szCs w:val="20"/>
    </w:rPr>
  </w:style>
  <w:style w:type="character" w:customStyle="1" w:styleId="Heading4Char">
    <w:name w:val="Heading 4 Char"/>
    <w:basedOn w:val="DefaultParagraphFont"/>
    <w:link w:val="Heading4"/>
    <w:semiHidden/>
    <w:rsid w:val="008A1CE4"/>
    <w:rPr>
      <w:rFonts w:ascii="Times New Roman" w:hAnsi="Times New Roman" w:cs="Times New Roman"/>
      <w:sz w:val="20"/>
      <w:szCs w:val="20"/>
    </w:rPr>
  </w:style>
  <w:style w:type="character" w:customStyle="1" w:styleId="Heading5Char">
    <w:name w:val="Heading 5 Char"/>
    <w:basedOn w:val="DefaultParagraphFont"/>
    <w:link w:val="Heading5"/>
    <w:semiHidden/>
    <w:rsid w:val="008A1CE4"/>
    <w:rPr>
      <w:rFonts w:ascii="Times New Roman" w:hAnsi="Times New Roman" w:cs="Times New Roman"/>
      <w:sz w:val="20"/>
      <w:szCs w:val="20"/>
    </w:rPr>
  </w:style>
  <w:style w:type="character" w:customStyle="1" w:styleId="Heading6Char">
    <w:name w:val="Heading 6 Char"/>
    <w:basedOn w:val="DefaultParagraphFont"/>
    <w:link w:val="Heading6"/>
    <w:semiHidden/>
    <w:rsid w:val="008A1CE4"/>
    <w:rPr>
      <w:rFonts w:ascii="Times New Roman" w:hAnsi="Times New Roman" w:cs="Times New Roman"/>
      <w:sz w:val="20"/>
      <w:szCs w:val="20"/>
    </w:rPr>
  </w:style>
  <w:style w:type="character" w:customStyle="1" w:styleId="Heading7Char">
    <w:name w:val="Heading 7 Char"/>
    <w:basedOn w:val="DefaultParagraphFont"/>
    <w:link w:val="Heading7"/>
    <w:semiHidden/>
    <w:rsid w:val="008A1CE4"/>
    <w:rPr>
      <w:rFonts w:ascii="Times New Roman" w:hAnsi="Times New Roman" w:cs="Times New Roman"/>
      <w:sz w:val="20"/>
      <w:szCs w:val="20"/>
    </w:rPr>
  </w:style>
  <w:style w:type="character" w:customStyle="1" w:styleId="Heading8Char">
    <w:name w:val="Heading 8 Char"/>
    <w:basedOn w:val="DefaultParagraphFont"/>
    <w:link w:val="Heading8"/>
    <w:semiHidden/>
    <w:rsid w:val="008A1CE4"/>
    <w:rPr>
      <w:rFonts w:ascii="Times New Roman" w:hAnsi="Times New Roman" w:cs="Times New Roman"/>
      <w:sz w:val="20"/>
      <w:szCs w:val="20"/>
    </w:rPr>
  </w:style>
  <w:style w:type="character" w:customStyle="1" w:styleId="Heading9Char">
    <w:name w:val="Heading 9 Char"/>
    <w:basedOn w:val="DefaultParagraphFont"/>
    <w:link w:val="Heading9"/>
    <w:semiHidden/>
    <w:rsid w:val="008A1CE4"/>
    <w:rPr>
      <w:rFonts w:ascii="Times New Roman" w:hAnsi="Times New Roman" w:cs="Times New Roman"/>
      <w:sz w:val="20"/>
      <w:szCs w:val="20"/>
    </w:rPr>
  </w:style>
  <w:style w:type="character" w:styleId="PageNumber">
    <w:name w:val="page number"/>
    <w:aliases w:val="7_G"/>
    <w:semiHidden/>
    <w:rsid w:val="008A1CE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A1CE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E4"/>
    <w:rPr>
      <w:rFonts w:ascii="Tahoma" w:hAnsi="Tahoma" w:cs="Tahoma"/>
      <w:sz w:val="16"/>
      <w:szCs w:val="16"/>
    </w:rPr>
  </w:style>
  <w:style w:type="character" w:customStyle="1" w:styleId="BalloonTextChar">
    <w:name w:val="Balloon Text Char"/>
    <w:basedOn w:val="DefaultParagraphFont"/>
    <w:link w:val="BalloonText"/>
    <w:uiPriority w:val="99"/>
    <w:semiHidden/>
    <w:rsid w:val="008A1CE4"/>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0E0E-B769-487D-9C1A-C6B69118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ECE/TRANS/WP.15/2019/8</vt:lpstr>
    </vt:vector>
  </TitlesOfParts>
  <Company>DCM</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ECE/TRANS/WP.15/2019/8</dc:title>
  <dc:subject>1902572</dc:subject>
  <dc:creator>AVT</dc:creator>
  <cp:keywords/>
  <dc:description/>
  <cp:lastModifiedBy>Christine Barrio-Champeau</cp:lastModifiedBy>
  <cp:revision>2</cp:revision>
  <cp:lastPrinted>2019-03-08T09:33:00Z</cp:lastPrinted>
  <dcterms:created xsi:type="dcterms:W3CDTF">2019-03-08T12:42:00Z</dcterms:created>
  <dcterms:modified xsi:type="dcterms:W3CDTF">2019-03-08T12:42:00Z</dcterms:modified>
</cp:coreProperties>
</file>