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8A0FDA" w:rsidRPr="00C92EA8" w14:paraId="32D3F7DC" w14:textId="77777777" w:rsidTr="00B11BB4">
        <w:trPr>
          <w:cantSplit/>
          <w:trHeight w:hRule="exact" w:val="851"/>
        </w:trPr>
        <w:tc>
          <w:tcPr>
            <w:tcW w:w="1276" w:type="dxa"/>
            <w:tcBorders>
              <w:bottom w:val="single" w:sz="4" w:space="0" w:color="auto"/>
            </w:tcBorders>
            <w:vAlign w:val="bottom"/>
          </w:tcPr>
          <w:p w14:paraId="127C1BEA" w14:textId="77777777" w:rsidR="008A0FDA" w:rsidRPr="00AE400B" w:rsidRDefault="008A0FDA" w:rsidP="00B11BB4">
            <w:pPr>
              <w:spacing w:after="80"/>
              <w:rPr>
                <w:lang w:val="en-US"/>
              </w:rPr>
            </w:pPr>
          </w:p>
        </w:tc>
        <w:tc>
          <w:tcPr>
            <w:tcW w:w="2268" w:type="dxa"/>
            <w:tcBorders>
              <w:bottom w:val="single" w:sz="4" w:space="0" w:color="auto"/>
            </w:tcBorders>
            <w:vAlign w:val="bottom"/>
          </w:tcPr>
          <w:p w14:paraId="3E4791B0" w14:textId="77777777" w:rsidR="008A0FDA" w:rsidRPr="00AE400B" w:rsidRDefault="008A0FDA" w:rsidP="00B11BB4">
            <w:pPr>
              <w:spacing w:after="80" w:line="300" w:lineRule="exact"/>
              <w:rPr>
                <w:b/>
                <w:sz w:val="24"/>
                <w:szCs w:val="24"/>
                <w:lang w:val="en-US"/>
              </w:rPr>
            </w:pPr>
          </w:p>
        </w:tc>
        <w:tc>
          <w:tcPr>
            <w:tcW w:w="6095" w:type="dxa"/>
            <w:tcBorders>
              <w:bottom w:val="single" w:sz="4" w:space="0" w:color="auto"/>
            </w:tcBorders>
            <w:vAlign w:val="bottom"/>
          </w:tcPr>
          <w:p w14:paraId="5AACD0D2" w14:textId="222F843B" w:rsidR="008A0FDA" w:rsidRPr="00C92EA8" w:rsidRDefault="00E22D7D" w:rsidP="00CA55D3">
            <w:pPr>
              <w:suppressAutoHyphens w:val="0"/>
              <w:spacing w:after="20"/>
              <w:jc w:val="right"/>
              <w:rPr>
                <w:b/>
                <w:sz w:val="28"/>
                <w:szCs w:val="28"/>
                <w:lang w:val="en-US"/>
              </w:rPr>
            </w:pPr>
            <w:r w:rsidRPr="00C92EA8">
              <w:rPr>
                <w:b/>
                <w:sz w:val="28"/>
                <w:szCs w:val="28"/>
                <w:lang w:val="en-US"/>
              </w:rPr>
              <w:t>INF.</w:t>
            </w:r>
            <w:r w:rsidR="00C92EA8" w:rsidRPr="00C92EA8">
              <w:rPr>
                <w:b/>
                <w:sz w:val="28"/>
                <w:szCs w:val="28"/>
                <w:lang w:val="en-US"/>
              </w:rPr>
              <w:t>9</w:t>
            </w:r>
          </w:p>
        </w:tc>
      </w:tr>
    </w:tbl>
    <w:p w14:paraId="08D87829" w14:textId="489308FD" w:rsidR="008A0FDA" w:rsidRPr="00AE400B" w:rsidRDefault="008A0FDA" w:rsidP="00BB20C7">
      <w:pPr>
        <w:spacing w:before="120"/>
        <w:rPr>
          <w:b/>
          <w:sz w:val="28"/>
          <w:szCs w:val="28"/>
          <w:lang w:val="en-US"/>
        </w:rPr>
      </w:pPr>
      <w:r w:rsidRPr="00AE400B">
        <w:rPr>
          <w:b/>
          <w:sz w:val="28"/>
          <w:szCs w:val="28"/>
          <w:lang w:val="en-US"/>
        </w:rPr>
        <w:t>Economic Commission for Europe</w:t>
      </w:r>
    </w:p>
    <w:p w14:paraId="73866A13" w14:textId="77777777" w:rsidR="008A0FDA" w:rsidRPr="00AE400B" w:rsidRDefault="008A0FDA" w:rsidP="00BB20C7">
      <w:pPr>
        <w:spacing w:before="120"/>
        <w:rPr>
          <w:sz w:val="28"/>
          <w:szCs w:val="28"/>
          <w:lang w:val="en-US"/>
        </w:rPr>
      </w:pPr>
      <w:r w:rsidRPr="00AE400B">
        <w:rPr>
          <w:sz w:val="28"/>
          <w:szCs w:val="28"/>
          <w:lang w:val="en-US"/>
        </w:rPr>
        <w:t>Inland Transport Committee</w:t>
      </w:r>
    </w:p>
    <w:p w14:paraId="06A0490D" w14:textId="46B7EEC1" w:rsidR="008A0FDA" w:rsidRPr="00AE400B" w:rsidRDefault="008A0FDA" w:rsidP="00BB20C7">
      <w:pPr>
        <w:spacing w:before="120" w:after="120"/>
        <w:rPr>
          <w:b/>
          <w:sz w:val="24"/>
          <w:szCs w:val="24"/>
          <w:lang w:val="en-US"/>
        </w:rPr>
      </w:pPr>
      <w:r w:rsidRPr="00AE400B">
        <w:rPr>
          <w:b/>
          <w:sz w:val="24"/>
          <w:szCs w:val="24"/>
          <w:lang w:val="en-US"/>
        </w:rPr>
        <w:t>Working Party on the Transport of Dangerous Goods</w:t>
      </w:r>
      <w:r w:rsidRPr="00AE400B">
        <w:rPr>
          <w:b/>
          <w:sz w:val="24"/>
          <w:szCs w:val="24"/>
          <w:lang w:val="en-US"/>
        </w:rPr>
        <w:tab/>
      </w:r>
      <w:r w:rsidRPr="00AE400B">
        <w:rPr>
          <w:b/>
          <w:sz w:val="24"/>
          <w:szCs w:val="24"/>
          <w:lang w:val="en-US"/>
        </w:rPr>
        <w:tab/>
      </w:r>
      <w:r w:rsidRPr="00AE400B">
        <w:rPr>
          <w:b/>
          <w:sz w:val="24"/>
          <w:szCs w:val="24"/>
          <w:lang w:val="en-US"/>
        </w:rPr>
        <w:tab/>
      </w:r>
      <w:r w:rsidR="00C92EA8">
        <w:rPr>
          <w:bCs/>
          <w:lang w:val="en-US"/>
        </w:rPr>
        <w:t>8</w:t>
      </w:r>
      <w:r w:rsidR="004670C3">
        <w:rPr>
          <w:bCs/>
          <w:lang w:val="en-US"/>
        </w:rPr>
        <w:t xml:space="preserve"> </w:t>
      </w:r>
      <w:r w:rsidR="00F65049">
        <w:rPr>
          <w:bCs/>
          <w:lang w:val="en-US"/>
        </w:rPr>
        <w:t>May</w:t>
      </w:r>
      <w:r w:rsidR="000C05C4" w:rsidRPr="008D2081">
        <w:rPr>
          <w:bCs/>
          <w:lang w:val="en-US"/>
        </w:rPr>
        <w:t xml:space="preserve"> 2019</w:t>
      </w:r>
    </w:p>
    <w:p w14:paraId="4E1F2BCC" w14:textId="446C1F76" w:rsidR="008A0FDA" w:rsidRPr="00AE400B" w:rsidRDefault="008A0FDA" w:rsidP="009606A0">
      <w:pPr>
        <w:pStyle w:val="western"/>
        <w:spacing w:before="0" w:beforeAutospacing="0" w:line="240" w:lineRule="auto"/>
        <w:rPr>
          <w:b/>
          <w:bCs/>
          <w:lang w:val="en-US"/>
        </w:rPr>
      </w:pPr>
      <w:r w:rsidRPr="00AE400B">
        <w:rPr>
          <w:b/>
          <w:bCs/>
          <w:lang w:val="en-US"/>
        </w:rPr>
        <w:t>10</w:t>
      </w:r>
      <w:r w:rsidR="000C05C4">
        <w:rPr>
          <w:b/>
          <w:bCs/>
          <w:lang w:val="en-US"/>
        </w:rPr>
        <w:t>6</w:t>
      </w:r>
      <w:r w:rsidRPr="00AE400B">
        <w:rPr>
          <w:b/>
          <w:bCs/>
          <w:vertAlign w:val="superscript"/>
          <w:lang w:val="en-US"/>
        </w:rPr>
        <w:t>th</w:t>
      </w:r>
      <w:r w:rsidRPr="00AE400B">
        <w:rPr>
          <w:b/>
          <w:bCs/>
          <w:lang w:val="en-US"/>
        </w:rPr>
        <w:t xml:space="preserve"> session </w:t>
      </w:r>
      <w:r w:rsidRPr="00AE400B">
        <w:rPr>
          <w:b/>
          <w:bCs/>
          <w:lang w:val="en-US"/>
        </w:rPr>
        <w:tab/>
      </w:r>
    </w:p>
    <w:p w14:paraId="1CE0142B" w14:textId="649DC936" w:rsidR="008A0FDA" w:rsidRPr="00AE400B" w:rsidRDefault="00B054F9" w:rsidP="009606A0">
      <w:pPr>
        <w:pStyle w:val="western"/>
        <w:spacing w:before="0" w:beforeAutospacing="0" w:line="240" w:lineRule="auto"/>
        <w:rPr>
          <w:lang w:val="en-US"/>
        </w:rPr>
      </w:pPr>
      <w:r>
        <w:rPr>
          <w:lang w:val="en-US"/>
        </w:rPr>
        <w:t>Geneva,</w:t>
      </w:r>
      <w:r w:rsidR="00851BD9" w:rsidRPr="00AE400B">
        <w:rPr>
          <w:lang w:val="en-US"/>
        </w:rPr>
        <w:t xml:space="preserve"> </w:t>
      </w:r>
      <w:r w:rsidR="000C05C4">
        <w:rPr>
          <w:lang w:val="en-US"/>
        </w:rPr>
        <w:t>13-17 May 2019</w:t>
      </w:r>
    </w:p>
    <w:p w14:paraId="4B7B5C9A" w14:textId="3F88D8BA" w:rsidR="0030265A" w:rsidRPr="00BA64A8" w:rsidRDefault="0030265A" w:rsidP="0030265A">
      <w:r w:rsidRPr="00BA64A8">
        <w:rPr>
          <w:rFonts w:eastAsia="SimSun"/>
        </w:rPr>
        <w:t xml:space="preserve">Item </w:t>
      </w:r>
      <w:r w:rsidR="001728C9">
        <w:t>6</w:t>
      </w:r>
      <w:r>
        <w:t xml:space="preserve"> (b) </w:t>
      </w:r>
      <w:r w:rsidRPr="00BA64A8">
        <w:t>of the provisional agenda</w:t>
      </w:r>
    </w:p>
    <w:p w14:paraId="569C665F" w14:textId="77777777" w:rsidR="0030265A" w:rsidRPr="00AD5C88" w:rsidRDefault="0030265A" w:rsidP="0030265A">
      <w:pPr>
        <w:rPr>
          <w:b/>
          <w:bCs/>
        </w:rPr>
      </w:pPr>
      <w:r w:rsidRPr="00AD5C88">
        <w:rPr>
          <w:b/>
          <w:bCs/>
        </w:rPr>
        <w:t>Proposals for amendments to annexes A and B of ADR</w:t>
      </w:r>
      <w:r>
        <w:rPr>
          <w:b/>
          <w:bCs/>
        </w:rPr>
        <w:t>:</w:t>
      </w:r>
    </w:p>
    <w:p w14:paraId="4FF46D38" w14:textId="49102FF7" w:rsidR="008A0FDA" w:rsidRPr="00AE400B" w:rsidRDefault="0030265A" w:rsidP="0030265A">
      <w:pPr>
        <w:pStyle w:val="western"/>
        <w:spacing w:before="0" w:beforeAutospacing="0" w:line="240" w:lineRule="auto"/>
        <w:rPr>
          <w:b/>
          <w:bCs/>
          <w:lang w:val="en-US"/>
        </w:rPr>
      </w:pPr>
      <w:r w:rsidRPr="00C92EA8">
        <w:rPr>
          <w:b/>
          <w:bCs/>
          <w:szCs w:val="24"/>
          <w:lang w:val="en-GB"/>
        </w:rPr>
        <w:t>miscellaneous proposals</w:t>
      </w:r>
    </w:p>
    <w:p w14:paraId="522981B3" w14:textId="78887021" w:rsidR="008D2081" w:rsidRPr="00AE400B" w:rsidRDefault="008D2081" w:rsidP="004670C3">
      <w:pPr>
        <w:pStyle w:val="HChG"/>
        <w:rPr>
          <w:lang w:val="en-US"/>
        </w:rPr>
      </w:pPr>
      <w:r>
        <w:rPr>
          <w:lang w:val="en-US"/>
        </w:rPr>
        <w:tab/>
      </w:r>
      <w:r>
        <w:rPr>
          <w:lang w:val="en-US"/>
        </w:rPr>
        <w:tab/>
      </w:r>
      <w:r w:rsidR="004670C3">
        <w:rPr>
          <w:lang w:val="en-US"/>
        </w:rPr>
        <w:t>Proposal</w:t>
      </w:r>
      <w:r w:rsidR="004670C3" w:rsidRPr="00BB1B5D">
        <w:rPr>
          <w:lang w:val="en-US"/>
        </w:rPr>
        <w:t xml:space="preserve"> for </w:t>
      </w:r>
      <w:r w:rsidR="004873A0">
        <w:rPr>
          <w:lang w:val="en-US"/>
        </w:rPr>
        <w:t xml:space="preserve">amendment of the exemption 1.1.3.1 </w:t>
      </w:r>
      <w:r w:rsidR="00804E05">
        <w:rPr>
          <w:lang w:val="en-US"/>
        </w:rPr>
        <w:t>(</w:t>
      </w:r>
      <w:r w:rsidR="004873A0">
        <w:rPr>
          <w:lang w:val="en-US"/>
        </w:rPr>
        <w:t>c)</w:t>
      </w:r>
    </w:p>
    <w:p w14:paraId="1D618BBE" w14:textId="2A401C3F" w:rsidR="008D2081" w:rsidRPr="00AE400B" w:rsidRDefault="008D2081" w:rsidP="008D2081">
      <w:pPr>
        <w:pStyle w:val="H1G"/>
        <w:rPr>
          <w:sz w:val="20"/>
        </w:rPr>
      </w:pPr>
      <w:r>
        <w:tab/>
      </w:r>
      <w:r>
        <w:tab/>
      </w:r>
      <w:r w:rsidRPr="00AE400B">
        <w:t xml:space="preserve">Transmitted by the </w:t>
      </w:r>
      <w:r w:rsidR="004670C3">
        <w:t xml:space="preserve">Government </w:t>
      </w:r>
      <w:r w:rsidR="00B05B87" w:rsidRPr="00B05B87">
        <w:t>of Luxembourg</w:t>
      </w:r>
    </w:p>
    <w:tbl>
      <w:tblPr>
        <w:tblStyle w:val="TableGrid"/>
        <w:tblW w:w="0" w:type="auto"/>
        <w:jc w:val="center"/>
        <w:tblBorders>
          <w:insideH w:val="none" w:sz="0" w:space="0" w:color="auto"/>
          <w:insideV w:val="none" w:sz="0" w:space="0" w:color="auto"/>
        </w:tblBorders>
        <w:tblCellMar>
          <w:left w:w="0" w:type="dxa"/>
          <w:right w:w="0" w:type="dxa"/>
        </w:tblCellMar>
        <w:tblLook w:val="05E0" w:firstRow="1" w:lastRow="1" w:firstColumn="1" w:lastColumn="1" w:noHBand="0" w:noVBand="1"/>
      </w:tblPr>
      <w:tblGrid>
        <w:gridCol w:w="9365"/>
      </w:tblGrid>
      <w:tr w:rsidR="004670C3" w:rsidRPr="004670C3" w14:paraId="6650301C" w14:textId="77777777" w:rsidTr="00845048">
        <w:trPr>
          <w:jc w:val="center"/>
        </w:trPr>
        <w:tc>
          <w:tcPr>
            <w:tcW w:w="9365" w:type="dxa"/>
            <w:tcBorders>
              <w:top w:val="single" w:sz="4" w:space="0" w:color="auto"/>
              <w:left w:val="single" w:sz="4" w:space="0" w:color="auto"/>
              <w:bottom w:val="nil"/>
              <w:right w:val="single" w:sz="4" w:space="0" w:color="auto"/>
            </w:tcBorders>
            <w:hideMark/>
          </w:tcPr>
          <w:p w14:paraId="577CB59D" w14:textId="77777777" w:rsidR="004670C3" w:rsidRPr="004670C3" w:rsidRDefault="004670C3" w:rsidP="00845048">
            <w:pPr>
              <w:spacing w:before="240" w:after="120"/>
              <w:rPr>
                <w:b/>
                <w:i/>
                <w:iCs/>
              </w:rPr>
            </w:pPr>
            <w:r w:rsidRPr="004670C3">
              <w:rPr>
                <w:b/>
                <w:lang w:val="en-US"/>
              </w:rPr>
              <w:tab/>
            </w:r>
            <w:r w:rsidRPr="004670C3">
              <w:rPr>
                <w:b/>
                <w:i/>
                <w:iCs/>
              </w:rPr>
              <w:t>Summary</w:t>
            </w:r>
          </w:p>
        </w:tc>
      </w:tr>
      <w:tr w:rsidR="004670C3" w:rsidRPr="004670C3" w14:paraId="52241CF9" w14:textId="77777777" w:rsidTr="00845048">
        <w:trPr>
          <w:trHeight w:val="95"/>
          <w:jc w:val="center"/>
        </w:trPr>
        <w:tc>
          <w:tcPr>
            <w:tcW w:w="9365" w:type="dxa"/>
            <w:tcBorders>
              <w:top w:val="nil"/>
              <w:left w:val="single" w:sz="4" w:space="0" w:color="auto"/>
              <w:bottom w:val="nil"/>
              <w:right w:val="single" w:sz="4" w:space="0" w:color="auto"/>
            </w:tcBorders>
            <w:hideMark/>
          </w:tcPr>
          <w:p w14:paraId="2D52877A" w14:textId="25429AA0" w:rsidR="004670C3" w:rsidRPr="004670C3" w:rsidRDefault="004670C3" w:rsidP="00AA2E50">
            <w:pPr>
              <w:pStyle w:val="SingleTxtG"/>
              <w:ind w:left="3402" w:hanging="2268"/>
              <w:rPr>
                <w:lang w:val="en-GB"/>
              </w:rPr>
            </w:pPr>
            <w:r w:rsidRPr="004670C3">
              <w:rPr>
                <w:b/>
                <w:lang w:val="en-US"/>
              </w:rPr>
              <w:t>Executive summary</w:t>
            </w:r>
            <w:r w:rsidR="00B431EE">
              <w:rPr>
                <w:lang w:val="en-US"/>
              </w:rPr>
              <w:t>:</w:t>
            </w:r>
            <w:r w:rsidR="00B431EE">
              <w:rPr>
                <w:lang w:val="en-US"/>
              </w:rPr>
              <w:tab/>
            </w:r>
            <w:r w:rsidR="00B431EE">
              <w:rPr>
                <w:lang w:val="en-US"/>
              </w:rPr>
              <w:tab/>
            </w:r>
            <w:r w:rsidR="00AA2E50">
              <w:rPr>
                <w:lang w:val="en-US"/>
              </w:rPr>
              <w:t>T</w:t>
            </w:r>
            <w:r w:rsidR="004873A0">
              <w:rPr>
                <w:lang w:val="en-US"/>
              </w:rPr>
              <w:t>o enhance safety</w:t>
            </w:r>
            <w:r w:rsidR="004920D3">
              <w:rPr>
                <w:lang w:val="en-US"/>
              </w:rPr>
              <w:t>,</w:t>
            </w:r>
            <w:r w:rsidR="004873A0">
              <w:rPr>
                <w:lang w:val="en-US"/>
              </w:rPr>
              <w:t xml:space="preserve"> it is proposed to add a reference to the</w:t>
            </w:r>
            <w:r w:rsidR="00AA2E50">
              <w:rPr>
                <w:lang w:val="en-US"/>
              </w:rPr>
              <w:t xml:space="preserve"> general requirements for packaging to the</w:t>
            </w:r>
            <w:r w:rsidR="004873A0">
              <w:rPr>
                <w:lang w:val="en-US"/>
              </w:rPr>
              <w:t xml:space="preserve"> exemption</w:t>
            </w:r>
            <w:r w:rsidR="00AA2E50">
              <w:rPr>
                <w:lang w:val="en-US"/>
              </w:rPr>
              <w:t xml:space="preserve"> of</w:t>
            </w:r>
            <w:r w:rsidR="004873A0">
              <w:rPr>
                <w:lang w:val="en-US"/>
              </w:rPr>
              <w:t xml:space="preserve"> 1.1.3.1 </w:t>
            </w:r>
            <w:r w:rsidR="00804E05">
              <w:rPr>
                <w:lang w:val="en-US"/>
              </w:rPr>
              <w:t>(</w:t>
            </w:r>
            <w:r w:rsidR="004873A0">
              <w:rPr>
                <w:lang w:val="en-US"/>
              </w:rPr>
              <w:t xml:space="preserve">c) </w:t>
            </w:r>
            <w:r w:rsidR="00AA2E50">
              <w:rPr>
                <w:lang w:val="en-US"/>
              </w:rPr>
              <w:t>ADR</w:t>
            </w:r>
            <w:r w:rsidR="002E7745">
              <w:rPr>
                <w:lang w:val="en-US"/>
              </w:rPr>
              <w:t xml:space="preserve"> and to add a remark concerning the obligation of training according to 1.3</w:t>
            </w:r>
            <w:r w:rsidR="004920D3">
              <w:rPr>
                <w:lang w:val="en-US"/>
              </w:rPr>
              <w:t xml:space="preserve"> of ADR.</w:t>
            </w:r>
          </w:p>
        </w:tc>
      </w:tr>
      <w:tr w:rsidR="004670C3" w:rsidRPr="004670C3" w14:paraId="7CC0EEAE" w14:textId="77777777" w:rsidTr="00845048">
        <w:trPr>
          <w:jc w:val="center"/>
        </w:trPr>
        <w:tc>
          <w:tcPr>
            <w:tcW w:w="9365" w:type="dxa"/>
            <w:tcBorders>
              <w:top w:val="nil"/>
              <w:left w:val="single" w:sz="4" w:space="0" w:color="auto"/>
              <w:bottom w:val="nil"/>
              <w:right w:val="single" w:sz="4" w:space="0" w:color="auto"/>
            </w:tcBorders>
            <w:hideMark/>
          </w:tcPr>
          <w:p w14:paraId="4E786B80" w14:textId="0732B0B0" w:rsidR="004670C3" w:rsidRPr="004670C3" w:rsidRDefault="004670C3" w:rsidP="00845048">
            <w:pPr>
              <w:pStyle w:val="SingleTxtG"/>
              <w:rPr>
                <w:lang w:val="en-GB"/>
              </w:rPr>
            </w:pPr>
            <w:r w:rsidRPr="004670C3">
              <w:rPr>
                <w:b/>
                <w:bCs/>
                <w:lang w:val="en-US"/>
              </w:rPr>
              <w:t>Action to be taken</w:t>
            </w:r>
            <w:r w:rsidRPr="004670C3">
              <w:rPr>
                <w:lang w:val="en-US"/>
              </w:rPr>
              <w:t>:</w:t>
            </w:r>
            <w:r w:rsidRPr="004670C3">
              <w:rPr>
                <w:lang w:val="en-US"/>
              </w:rPr>
              <w:tab/>
            </w:r>
            <w:r w:rsidR="00B431EE">
              <w:rPr>
                <w:lang w:val="en-US"/>
              </w:rPr>
              <w:tab/>
            </w:r>
            <w:r w:rsidR="00E22D7D">
              <w:rPr>
                <w:lang w:val="en-US"/>
              </w:rPr>
              <w:t xml:space="preserve">Amend paragraph 1.1.3.1 </w:t>
            </w:r>
            <w:r w:rsidR="00804E05">
              <w:rPr>
                <w:lang w:val="en-US"/>
              </w:rPr>
              <w:t>(</w:t>
            </w:r>
            <w:r w:rsidR="00E22D7D">
              <w:rPr>
                <w:lang w:val="en-US"/>
              </w:rPr>
              <w:t>c)</w:t>
            </w:r>
          </w:p>
        </w:tc>
      </w:tr>
      <w:tr w:rsidR="004670C3" w:rsidRPr="000B665C" w14:paraId="37F2F478" w14:textId="77777777" w:rsidTr="00845048">
        <w:trPr>
          <w:jc w:val="center"/>
        </w:trPr>
        <w:tc>
          <w:tcPr>
            <w:tcW w:w="9365" w:type="dxa"/>
            <w:tcBorders>
              <w:top w:val="nil"/>
              <w:left w:val="single" w:sz="4" w:space="0" w:color="auto"/>
              <w:bottom w:val="single" w:sz="4" w:space="0" w:color="auto"/>
              <w:right w:val="single" w:sz="4" w:space="0" w:color="auto"/>
            </w:tcBorders>
          </w:tcPr>
          <w:p w14:paraId="1091799B" w14:textId="77777777" w:rsidR="004670C3" w:rsidRDefault="004670C3" w:rsidP="00845048"/>
        </w:tc>
      </w:tr>
    </w:tbl>
    <w:p w14:paraId="5ED79FE3" w14:textId="194F2B2C" w:rsidR="004670C3" w:rsidRPr="00C62B05" w:rsidRDefault="00B431EE" w:rsidP="00C92EA8">
      <w:pPr>
        <w:pStyle w:val="HChG"/>
        <w:rPr>
          <w:lang w:val="en-US"/>
        </w:rPr>
      </w:pPr>
      <w:r w:rsidRPr="00C62B05">
        <w:rPr>
          <w:lang w:val="en-US"/>
        </w:rPr>
        <w:tab/>
      </w:r>
      <w:r w:rsidR="00AA2E50" w:rsidRPr="00C62B05">
        <w:rPr>
          <w:lang w:val="en-US"/>
        </w:rPr>
        <w:tab/>
      </w:r>
      <w:r w:rsidRPr="00C62B05">
        <w:rPr>
          <w:lang w:val="en-US"/>
        </w:rPr>
        <w:tab/>
      </w:r>
      <w:r w:rsidR="004670C3" w:rsidRPr="00C62B05">
        <w:rPr>
          <w:lang w:val="en-US"/>
        </w:rPr>
        <w:t>Introduction</w:t>
      </w:r>
    </w:p>
    <w:p w14:paraId="38C7BEC0" w14:textId="3EB10B22" w:rsidR="004670C3" w:rsidRPr="00B431EE" w:rsidRDefault="004873A0" w:rsidP="004873A0">
      <w:pPr>
        <w:pStyle w:val="SingleTxtG"/>
        <w:rPr>
          <w:lang w:val="en-GB"/>
        </w:rPr>
      </w:pPr>
      <w:r>
        <w:rPr>
          <w:lang w:val="en-GB"/>
        </w:rPr>
        <w:t>1.</w:t>
      </w:r>
      <w:r w:rsidR="00C92EA8">
        <w:rPr>
          <w:lang w:val="en-GB"/>
        </w:rPr>
        <w:tab/>
      </w:r>
      <w:r w:rsidRPr="004873A0">
        <w:rPr>
          <w:lang w:val="en-GB"/>
        </w:rPr>
        <w:t xml:space="preserve">During </w:t>
      </w:r>
      <w:r w:rsidR="004903F3" w:rsidRPr="004873A0">
        <w:rPr>
          <w:lang w:val="en-GB"/>
        </w:rPr>
        <w:t>roadside</w:t>
      </w:r>
      <w:r w:rsidRPr="004873A0">
        <w:rPr>
          <w:lang w:val="en-GB"/>
        </w:rPr>
        <w:t xml:space="preserve"> checks</w:t>
      </w:r>
      <w:r w:rsidR="004903F3">
        <w:rPr>
          <w:lang w:val="en-GB"/>
        </w:rPr>
        <w:t>,</w:t>
      </w:r>
      <w:r w:rsidRPr="004873A0">
        <w:rPr>
          <w:lang w:val="en-GB"/>
        </w:rPr>
        <w:t xml:space="preserve"> inspection authorities frequently observe that </w:t>
      </w:r>
      <w:r w:rsidR="00AA2E50">
        <w:rPr>
          <w:lang w:val="en-GB"/>
        </w:rPr>
        <w:t>during</w:t>
      </w:r>
      <w:r w:rsidR="004920D3">
        <w:rPr>
          <w:lang w:val="en-GB"/>
        </w:rPr>
        <w:t xml:space="preserve"> </w:t>
      </w:r>
      <w:r w:rsidR="004903F3">
        <w:rPr>
          <w:lang w:val="en-GB"/>
        </w:rPr>
        <w:t xml:space="preserve">carriage, </w:t>
      </w:r>
      <w:r w:rsidRPr="004873A0">
        <w:rPr>
          <w:lang w:val="en-GB"/>
        </w:rPr>
        <w:t xml:space="preserve">exempted </w:t>
      </w:r>
      <w:r w:rsidR="004903F3">
        <w:rPr>
          <w:lang w:val="en-GB"/>
        </w:rPr>
        <w:t xml:space="preserve">from </w:t>
      </w:r>
      <w:r w:rsidRPr="004873A0">
        <w:rPr>
          <w:lang w:val="en-GB"/>
        </w:rPr>
        <w:t xml:space="preserve">the </w:t>
      </w:r>
      <w:r w:rsidR="004903F3">
        <w:rPr>
          <w:lang w:val="en-GB"/>
        </w:rPr>
        <w:t xml:space="preserve">ADR application </w:t>
      </w:r>
      <w:r w:rsidRPr="004873A0">
        <w:rPr>
          <w:lang w:val="en-GB"/>
        </w:rPr>
        <w:t xml:space="preserve">according to 1.1.3.1 </w:t>
      </w:r>
      <w:r w:rsidR="00804E05">
        <w:rPr>
          <w:lang w:val="en-GB"/>
        </w:rPr>
        <w:t>(</w:t>
      </w:r>
      <w:r w:rsidRPr="004873A0">
        <w:rPr>
          <w:lang w:val="en-GB"/>
        </w:rPr>
        <w:t xml:space="preserve">c), </w:t>
      </w:r>
      <w:r w:rsidR="004920D3">
        <w:rPr>
          <w:lang w:val="en-GB"/>
        </w:rPr>
        <w:t xml:space="preserve">packaging is used </w:t>
      </w:r>
      <w:r w:rsidRPr="004873A0">
        <w:rPr>
          <w:lang w:val="en-GB"/>
        </w:rPr>
        <w:t>which is not suitable for safely enclosing dangerous goods, as the regulation does not impose any requirem</w:t>
      </w:r>
      <w:r w:rsidR="004903F3">
        <w:rPr>
          <w:lang w:val="en-GB"/>
        </w:rPr>
        <w:t>ents on the used packaging</w:t>
      </w:r>
      <w:r w:rsidRPr="004873A0">
        <w:rPr>
          <w:lang w:val="en-GB"/>
        </w:rPr>
        <w:t>.</w:t>
      </w:r>
    </w:p>
    <w:p w14:paraId="5679890B" w14:textId="32E5D9F2" w:rsidR="004670C3" w:rsidRPr="004873A0" w:rsidRDefault="004873A0" w:rsidP="004873A0">
      <w:pPr>
        <w:pStyle w:val="SingleTxtG"/>
        <w:rPr>
          <w:lang w:val="en-GB"/>
        </w:rPr>
      </w:pPr>
      <w:r w:rsidRPr="002E7745">
        <w:rPr>
          <w:lang w:val="en-GB"/>
        </w:rPr>
        <w:t>2.</w:t>
      </w:r>
      <w:r w:rsidR="00C92EA8">
        <w:rPr>
          <w:lang w:val="en-GB"/>
        </w:rPr>
        <w:tab/>
      </w:r>
      <w:r w:rsidRPr="002E7745">
        <w:rPr>
          <w:lang w:val="en-GB"/>
        </w:rPr>
        <w:t xml:space="preserve">Often packaging is used which, by its nature or condition, </w:t>
      </w:r>
      <w:r w:rsidR="00AA2E50" w:rsidRPr="002E7745">
        <w:rPr>
          <w:lang w:val="en-GB"/>
        </w:rPr>
        <w:t>is</w:t>
      </w:r>
      <w:r w:rsidRPr="002E7745">
        <w:rPr>
          <w:lang w:val="en-GB"/>
        </w:rPr>
        <w:t xml:space="preserve"> not</w:t>
      </w:r>
      <w:r w:rsidR="00AA2E50" w:rsidRPr="002E7745">
        <w:rPr>
          <w:lang w:val="en-GB"/>
        </w:rPr>
        <w:t xml:space="preserve"> in compliance</w:t>
      </w:r>
      <w:r w:rsidRPr="002E7745">
        <w:rPr>
          <w:lang w:val="en-GB"/>
        </w:rPr>
        <w:t xml:space="preserve"> to the general essential requirements, which </w:t>
      </w:r>
      <w:r w:rsidR="00CD5B19">
        <w:rPr>
          <w:lang w:val="en-GB"/>
        </w:rPr>
        <w:t>is</w:t>
      </w:r>
      <w:r w:rsidRPr="002E7745">
        <w:rPr>
          <w:lang w:val="en-GB"/>
        </w:rPr>
        <w:t xml:space="preserve"> not conform to an approved design type or which has not undergone the required inspection.</w:t>
      </w:r>
    </w:p>
    <w:p w14:paraId="0216D104" w14:textId="2904DDDC" w:rsidR="004873A0" w:rsidRDefault="004873A0" w:rsidP="004873A0">
      <w:pPr>
        <w:pStyle w:val="SingleTxtG"/>
        <w:rPr>
          <w:lang w:val="en-GB"/>
        </w:rPr>
      </w:pPr>
      <w:r>
        <w:rPr>
          <w:lang w:val="en-GB"/>
        </w:rPr>
        <w:t>3.</w:t>
      </w:r>
      <w:r w:rsidR="00C92EA8">
        <w:rPr>
          <w:lang w:val="en-GB"/>
        </w:rPr>
        <w:tab/>
      </w:r>
      <w:r w:rsidRPr="004873A0">
        <w:rPr>
          <w:lang w:val="en-GB"/>
        </w:rPr>
        <w:t xml:space="preserve">Although 1.1.3.1 </w:t>
      </w:r>
      <w:r w:rsidR="00804E05">
        <w:rPr>
          <w:lang w:val="en-GB"/>
        </w:rPr>
        <w:t>(</w:t>
      </w:r>
      <w:r w:rsidRPr="004873A0">
        <w:rPr>
          <w:lang w:val="en-GB"/>
        </w:rPr>
        <w:t xml:space="preserve">c) ADR is an exemption, we are of the opinion, </w:t>
      </w:r>
      <w:proofErr w:type="gramStart"/>
      <w:r w:rsidRPr="004873A0">
        <w:rPr>
          <w:lang w:val="en-GB"/>
        </w:rPr>
        <w:t>in order to</w:t>
      </w:r>
      <w:proofErr w:type="gramEnd"/>
      <w:r w:rsidRPr="004873A0">
        <w:rPr>
          <w:lang w:val="en-GB"/>
        </w:rPr>
        <w:t xml:space="preserve"> avoid potential hazards</w:t>
      </w:r>
      <w:r w:rsidR="00AA2E50">
        <w:rPr>
          <w:lang w:val="en-GB"/>
        </w:rPr>
        <w:t xml:space="preserve">, </w:t>
      </w:r>
      <w:r w:rsidRPr="004873A0">
        <w:rPr>
          <w:lang w:val="en-GB"/>
        </w:rPr>
        <w:t>that there should be basic requirements for the use and selection of the packaging used.</w:t>
      </w:r>
    </w:p>
    <w:p w14:paraId="28F64C47" w14:textId="3AC017D7" w:rsidR="003F0CBC" w:rsidRPr="003F0CBC" w:rsidRDefault="003F0CBC" w:rsidP="003F0CBC">
      <w:pPr>
        <w:pStyle w:val="SingleTxtG"/>
        <w:rPr>
          <w:lang w:val="en-GB"/>
        </w:rPr>
      </w:pPr>
      <w:r w:rsidRPr="003F0CBC">
        <w:rPr>
          <w:lang w:val="en-GB"/>
        </w:rPr>
        <w:t>4.</w:t>
      </w:r>
      <w:r w:rsidR="00C92EA8">
        <w:rPr>
          <w:lang w:val="en-GB"/>
        </w:rPr>
        <w:tab/>
      </w:r>
      <w:r w:rsidRPr="003F0CBC">
        <w:rPr>
          <w:lang w:val="en-GB"/>
        </w:rPr>
        <w:t>In addition</w:t>
      </w:r>
      <w:r w:rsidR="00B51948">
        <w:rPr>
          <w:lang w:val="en-GB"/>
        </w:rPr>
        <w:t>,</w:t>
      </w:r>
      <w:r w:rsidRPr="003F0CBC">
        <w:rPr>
          <w:lang w:val="en-GB"/>
        </w:rPr>
        <w:t xml:space="preserve"> a further amendment to the exemption of 1.1.3.1 </w:t>
      </w:r>
      <w:r w:rsidR="00804E05">
        <w:rPr>
          <w:lang w:val="en-GB"/>
        </w:rPr>
        <w:t>(</w:t>
      </w:r>
      <w:r w:rsidRPr="003F0CBC">
        <w:rPr>
          <w:lang w:val="en-GB"/>
        </w:rPr>
        <w:t xml:space="preserve">c) seems to be </w:t>
      </w:r>
      <w:r w:rsidR="00B51948" w:rsidRPr="003F0CBC">
        <w:rPr>
          <w:lang w:val="en-GB"/>
        </w:rPr>
        <w:t>unavoidable</w:t>
      </w:r>
      <w:r w:rsidRPr="003F0CBC">
        <w:rPr>
          <w:lang w:val="en-GB"/>
        </w:rPr>
        <w:t xml:space="preserve">. </w:t>
      </w:r>
    </w:p>
    <w:p w14:paraId="2012CC0C" w14:textId="442E653E" w:rsidR="003F0CBC" w:rsidRPr="003F0CBC" w:rsidRDefault="00183CAB" w:rsidP="003F0CBC">
      <w:pPr>
        <w:pStyle w:val="SingleTxtG"/>
        <w:rPr>
          <w:lang w:val="en-GB"/>
        </w:rPr>
      </w:pPr>
      <w:r>
        <w:rPr>
          <w:lang w:val="en-GB"/>
        </w:rPr>
        <w:t>5</w:t>
      </w:r>
      <w:r w:rsidR="003F0CBC" w:rsidRPr="003F0CBC">
        <w:rPr>
          <w:lang w:val="en-GB"/>
        </w:rPr>
        <w:t>.</w:t>
      </w:r>
      <w:r w:rsidR="00C92EA8">
        <w:rPr>
          <w:lang w:val="en-GB"/>
        </w:rPr>
        <w:tab/>
      </w:r>
      <w:r w:rsidR="004903F3" w:rsidRPr="003F0CBC">
        <w:rPr>
          <w:lang w:val="en-GB"/>
        </w:rPr>
        <w:t>Yet</w:t>
      </w:r>
      <w:r w:rsidR="003F0CBC" w:rsidRPr="003F0CBC">
        <w:rPr>
          <w:lang w:val="en-GB"/>
        </w:rPr>
        <w:t>, the reference</w:t>
      </w:r>
      <w:r w:rsidR="004920D3">
        <w:rPr>
          <w:lang w:val="en-GB"/>
        </w:rPr>
        <w:t xml:space="preserve"> </w:t>
      </w:r>
      <w:r w:rsidR="00CD5B19">
        <w:rPr>
          <w:lang w:val="en-GB"/>
        </w:rPr>
        <w:t xml:space="preserve">in </w:t>
      </w:r>
      <w:r w:rsidR="004920D3" w:rsidRPr="003F0CBC">
        <w:rPr>
          <w:lang w:val="en-GB"/>
        </w:rPr>
        <w:t xml:space="preserve">1.1.3.1. </w:t>
      </w:r>
      <w:r w:rsidR="00804E05">
        <w:rPr>
          <w:lang w:val="en-GB"/>
        </w:rPr>
        <w:t>(</w:t>
      </w:r>
      <w:r w:rsidR="004920D3" w:rsidRPr="003F0CBC">
        <w:rPr>
          <w:lang w:val="en-GB"/>
        </w:rPr>
        <w:t xml:space="preserve">c) </w:t>
      </w:r>
      <w:r w:rsidR="003F0CBC" w:rsidRPr="003F0CBC">
        <w:rPr>
          <w:lang w:val="en-GB"/>
        </w:rPr>
        <w:t xml:space="preserve">to the maximum quantities specified in 1.1.3.6 </w:t>
      </w:r>
      <w:r w:rsidR="002E7745">
        <w:rPr>
          <w:lang w:val="en-GB"/>
        </w:rPr>
        <w:t xml:space="preserve">of ADR </w:t>
      </w:r>
      <w:r w:rsidR="003F0CBC" w:rsidRPr="003F0CBC">
        <w:rPr>
          <w:lang w:val="en-GB"/>
        </w:rPr>
        <w:t xml:space="preserve">allows the conclusion that </w:t>
      </w:r>
      <w:r w:rsidR="00A42D32">
        <w:rPr>
          <w:lang w:val="en-GB"/>
        </w:rPr>
        <w:t xml:space="preserve">an extensive </w:t>
      </w:r>
      <w:r w:rsidR="003F0CBC" w:rsidRPr="003F0CBC">
        <w:rPr>
          <w:lang w:val="en-GB"/>
        </w:rPr>
        <w:t xml:space="preserve">knowledge is required, as otherwise the </w:t>
      </w:r>
      <w:r w:rsidR="00A42D32">
        <w:rPr>
          <w:lang w:val="en-GB"/>
        </w:rPr>
        <w:t>exempted</w:t>
      </w:r>
      <w:r w:rsidR="003F0CBC" w:rsidRPr="003F0CBC">
        <w:rPr>
          <w:lang w:val="en-GB"/>
        </w:rPr>
        <w:t xml:space="preserve"> quantity could not be determined and </w:t>
      </w:r>
      <w:r w:rsidR="00845048">
        <w:rPr>
          <w:lang w:val="en-GB"/>
        </w:rPr>
        <w:t>subsequently</w:t>
      </w:r>
      <w:r w:rsidR="00A42D32">
        <w:rPr>
          <w:lang w:val="en-GB"/>
        </w:rPr>
        <w:t xml:space="preserve"> to know if the exception does apply</w:t>
      </w:r>
      <w:r w:rsidR="003F0CBC" w:rsidRPr="003F0CBC">
        <w:rPr>
          <w:lang w:val="en-GB"/>
        </w:rPr>
        <w:t xml:space="preserve">. </w:t>
      </w:r>
      <w:r w:rsidR="00845048">
        <w:rPr>
          <w:lang w:val="en-GB"/>
        </w:rPr>
        <w:t xml:space="preserve">Therefore, we propose to add </w:t>
      </w:r>
      <w:r w:rsidR="003F0CBC" w:rsidRPr="003F0CBC">
        <w:rPr>
          <w:lang w:val="en-GB"/>
        </w:rPr>
        <w:t xml:space="preserve">a </w:t>
      </w:r>
      <w:r w:rsidR="002E7745">
        <w:rPr>
          <w:lang w:val="en-GB"/>
        </w:rPr>
        <w:t>remark</w:t>
      </w:r>
      <w:r w:rsidR="003F0CBC" w:rsidRPr="003F0CBC">
        <w:rPr>
          <w:lang w:val="en-GB"/>
        </w:rPr>
        <w:t xml:space="preserve"> </w:t>
      </w:r>
      <w:r w:rsidR="00845048">
        <w:rPr>
          <w:lang w:val="en-GB"/>
        </w:rPr>
        <w:t xml:space="preserve">inducing </w:t>
      </w:r>
      <w:r w:rsidR="002E7745">
        <w:rPr>
          <w:lang w:val="en-GB"/>
        </w:rPr>
        <w:t>the obligation to provide t</w:t>
      </w:r>
      <w:r w:rsidR="004920D3">
        <w:rPr>
          <w:lang w:val="en-GB"/>
        </w:rPr>
        <w:t xml:space="preserve">raining according to 8.2.3 and </w:t>
      </w:r>
      <w:r w:rsidR="00B51948" w:rsidRPr="003F0CBC">
        <w:rPr>
          <w:lang w:val="en-GB"/>
        </w:rPr>
        <w:t>1.3</w:t>
      </w:r>
      <w:r w:rsidR="00B51948">
        <w:rPr>
          <w:lang w:val="en-GB"/>
        </w:rPr>
        <w:t xml:space="preserve"> </w:t>
      </w:r>
      <w:r w:rsidR="002E7745">
        <w:rPr>
          <w:lang w:val="en-GB"/>
        </w:rPr>
        <w:t xml:space="preserve">to </w:t>
      </w:r>
      <w:r w:rsidR="003F0CBC" w:rsidRPr="003F0CBC">
        <w:rPr>
          <w:lang w:val="en-GB"/>
        </w:rPr>
        <w:t xml:space="preserve">carriage exempted </w:t>
      </w:r>
      <w:r w:rsidR="00B51948">
        <w:rPr>
          <w:lang w:val="en-GB"/>
        </w:rPr>
        <w:t xml:space="preserve">in line with </w:t>
      </w:r>
      <w:r w:rsidR="003F0CBC" w:rsidRPr="003F0CBC">
        <w:rPr>
          <w:lang w:val="en-GB"/>
        </w:rPr>
        <w:t xml:space="preserve">1.1.3.1 </w:t>
      </w:r>
      <w:r w:rsidR="00804E05">
        <w:rPr>
          <w:lang w:val="en-GB"/>
        </w:rPr>
        <w:t>(</w:t>
      </w:r>
      <w:r w:rsidR="003F0CBC" w:rsidRPr="003F0CBC">
        <w:rPr>
          <w:lang w:val="en-GB"/>
        </w:rPr>
        <w:t>c).</w:t>
      </w:r>
    </w:p>
    <w:p w14:paraId="4405E45F" w14:textId="67C79AA2" w:rsidR="004670C3" w:rsidRPr="00B431EE" w:rsidRDefault="00B431EE" w:rsidP="00B431EE">
      <w:pPr>
        <w:pStyle w:val="HChG"/>
        <w:rPr>
          <w:lang w:val="en-GB"/>
        </w:rPr>
      </w:pPr>
      <w:r w:rsidRPr="00B431EE">
        <w:rPr>
          <w:lang w:val="en-GB"/>
        </w:rPr>
        <w:lastRenderedPageBreak/>
        <w:tab/>
      </w:r>
      <w:r w:rsidRPr="00B431EE">
        <w:rPr>
          <w:lang w:val="en-GB"/>
        </w:rPr>
        <w:tab/>
      </w:r>
      <w:r w:rsidR="004670C3" w:rsidRPr="00B431EE">
        <w:rPr>
          <w:lang w:val="en-GB"/>
        </w:rPr>
        <w:t>Proposal</w:t>
      </w:r>
      <w:r w:rsidR="00BB54AC">
        <w:rPr>
          <w:lang w:val="en-GB"/>
        </w:rPr>
        <w:t xml:space="preserve"> I</w:t>
      </w:r>
    </w:p>
    <w:p w14:paraId="47BD0080" w14:textId="4B9A8D30" w:rsidR="004873A0" w:rsidRPr="004873A0" w:rsidRDefault="00B431EE" w:rsidP="004873A0">
      <w:pPr>
        <w:pStyle w:val="SingleTxtG"/>
        <w:rPr>
          <w:lang w:val="en-GB"/>
        </w:rPr>
      </w:pPr>
      <w:r>
        <w:rPr>
          <w:lang w:val="en-GB"/>
        </w:rPr>
        <w:t>6.</w:t>
      </w:r>
      <w:r>
        <w:rPr>
          <w:lang w:val="en-GB"/>
        </w:rPr>
        <w:tab/>
      </w:r>
      <w:r w:rsidR="0090294E">
        <w:rPr>
          <w:lang w:val="en-GB"/>
        </w:rPr>
        <w:t>“</w:t>
      </w:r>
      <w:r w:rsidR="004873A0" w:rsidRPr="004873A0">
        <w:rPr>
          <w:lang w:val="en-GB"/>
        </w:rPr>
        <w:t xml:space="preserve">1.1.3.1       </w:t>
      </w:r>
      <w:r w:rsidR="004873A0" w:rsidRPr="004873A0">
        <w:rPr>
          <w:b/>
          <w:lang w:val="en-GB"/>
        </w:rPr>
        <w:t>Exemptions related to the nature of the transport operation</w:t>
      </w:r>
      <w:r w:rsidR="004873A0" w:rsidRPr="004873A0">
        <w:rPr>
          <w:lang w:val="en-GB"/>
        </w:rPr>
        <w:t xml:space="preserve"> </w:t>
      </w:r>
    </w:p>
    <w:p w14:paraId="30FA1995" w14:textId="76A9420A" w:rsidR="004873A0" w:rsidRPr="00C62B05" w:rsidRDefault="004873A0" w:rsidP="00C92EA8">
      <w:pPr>
        <w:pStyle w:val="SingleTxtG"/>
        <w:rPr>
          <w:lang w:val="en-US"/>
        </w:rPr>
      </w:pPr>
      <w:r w:rsidRPr="00C62B05">
        <w:rPr>
          <w:lang w:val="en-US"/>
        </w:rPr>
        <w:tab/>
      </w:r>
      <w:r w:rsidRPr="00C92EA8">
        <w:rPr>
          <w:lang w:val="en-GB"/>
        </w:rPr>
        <w:t>The provisions laid down in ADR do not apply to:</w:t>
      </w:r>
    </w:p>
    <w:p w14:paraId="1E2C21F4" w14:textId="0D06FC75" w:rsidR="004873A0" w:rsidRPr="0005654C" w:rsidRDefault="004873A0" w:rsidP="00C92EA8">
      <w:pPr>
        <w:pStyle w:val="SingleTxtG"/>
        <w:rPr>
          <w:lang w:val="en-GB"/>
        </w:rPr>
      </w:pPr>
      <w:r w:rsidRPr="00C62B05">
        <w:rPr>
          <w:lang w:val="en-US"/>
        </w:rPr>
        <w:tab/>
      </w:r>
      <w:r w:rsidRPr="0005654C">
        <w:rPr>
          <w:lang w:val="en-GB"/>
        </w:rPr>
        <w:t>…</w:t>
      </w:r>
    </w:p>
    <w:p w14:paraId="3F4F95AC" w14:textId="52E4C0F8" w:rsidR="004873A0" w:rsidRPr="00CA4E69" w:rsidRDefault="004873A0" w:rsidP="00C92EA8">
      <w:pPr>
        <w:spacing w:before="120" w:after="120"/>
        <w:ind w:left="1134" w:right="1304"/>
        <w:jc w:val="both"/>
      </w:pPr>
      <w:r>
        <w:tab/>
      </w:r>
      <w:r w:rsidR="00C92EA8">
        <w:tab/>
      </w:r>
      <w:r>
        <w:t>(c)</w:t>
      </w:r>
      <w:r>
        <w:tab/>
      </w:r>
      <w:r w:rsidRPr="0092192E">
        <w:t xml:space="preserve">The carriage undertaken by enterprises which is ancillary to their main activity, such as deliveries to </w:t>
      </w:r>
      <w:r w:rsidRPr="0092192E">
        <w:rPr>
          <w:color w:val="000000"/>
        </w:rPr>
        <w:t>or returns from</w:t>
      </w:r>
      <w:r w:rsidRPr="0092192E">
        <w:t xml:space="preserve"> building or civil engineering sites, or in relation to surveying, repairs and maintenance, in quantities of not more than 450 litres per packaging, including intermediate bulk containers (IBCs) and large </w:t>
      </w:r>
      <w:r w:rsidR="00AC5EB2" w:rsidRPr="0092192E">
        <w:t>packaging</w:t>
      </w:r>
      <w:r w:rsidRPr="0092192E">
        <w:t xml:space="preserve">, and within the maximum quantities specified in 1.1.3.6. </w:t>
      </w:r>
      <w:r w:rsidRPr="00CA4E69">
        <w:t xml:space="preserve">Measures shall be taken to prevent any leakage of contents in normal conditions of carriage. </w:t>
      </w:r>
      <w:r w:rsidRPr="00CA4E69">
        <w:rPr>
          <w:u w:val="single"/>
        </w:rPr>
        <w:t xml:space="preserve">In addition, the general packing </w:t>
      </w:r>
      <w:r w:rsidR="004F2264" w:rsidRPr="00CA4E69">
        <w:rPr>
          <w:u w:val="single"/>
        </w:rPr>
        <w:t>requirements</w:t>
      </w:r>
      <w:r w:rsidRPr="00CA4E69">
        <w:rPr>
          <w:u w:val="single"/>
        </w:rPr>
        <w:t xml:space="preserve"> according to 4.1.1.</w:t>
      </w:r>
      <w:r w:rsidR="006E5C0E" w:rsidRPr="00CA4E69">
        <w:rPr>
          <w:u w:val="single"/>
        </w:rPr>
        <w:t xml:space="preserve">1, 4.1.1.2, 4.1.1.3, 4.1.1.6 </w:t>
      </w:r>
      <w:r w:rsidRPr="00CA4E69">
        <w:rPr>
          <w:u w:val="single"/>
        </w:rPr>
        <w:t xml:space="preserve">,4.1.1.9 </w:t>
      </w:r>
      <w:r w:rsidR="006861D7" w:rsidRPr="00CA4E69">
        <w:rPr>
          <w:u w:val="single"/>
        </w:rPr>
        <w:t xml:space="preserve">, </w:t>
      </w:r>
      <w:r w:rsidRPr="00CA4E69">
        <w:rPr>
          <w:u w:val="single"/>
        </w:rPr>
        <w:t xml:space="preserve">4.1.1.15 </w:t>
      </w:r>
      <w:r w:rsidR="006861D7" w:rsidRPr="00CA4E69">
        <w:rPr>
          <w:u w:val="single"/>
        </w:rPr>
        <w:t xml:space="preserve"> and 4.1.6.8 </w:t>
      </w:r>
      <w:r w:rsidRPr="00CA4E69">
        <w:rPr>
          <w:u w:val="single"/>
        </w:rPr>
        <w:t xml:space="preserve">shall be </w:t>
      </w:r>
      <w:r w:rsidR="006E5C0E" w:rsidRPr="00CA4E69">
        <w:rPr>
          <w:u w:val="single"/>
        </w:rPr>
        <w:t>applied</w:t>
      </w:r>
      <w:r w:rsidRPr="00CA4E69">
        <w:rPr>
          <w:u w:val="single"/>
        </w:rPr>
        <w:t xml:space="preserve">. </w:t>
      </w:r>
      <w:r w:rsidR="00F017E1" w:rsidRPr="00CA4E69">
        <w:rPr>
          <w:u w:val="single"/>
        </w:rPr>
        <w:t>All packaging used shall be in conformity to the applicable requirements of construction and testing</w:t>
      </w:r>
      <w:r w:rsidR="00F017E1" w:rsidRPr="00CA4E69">
        <w:rPr>
          <w:u w:val="single"/>
          <w:lang w:val="lb-LU"/>
        </w:rPr>
        <w:t>.</w:t>
      </w:r>
      <w:r w:rsidR="00F017E1" w:rsidRPr="00CA4E69">
        <w:rPr>
          <w:lang w:val="lb-LU"/>
        </w:rPr>
        <w:t xml:space="preserve"> </w:t>
      </w:r>
      <w:r w:rsidRPr="00CA4E69">
        <w:t xml:space="preserve">These exemptions do not apply to Class 7. </w:t>
      </w:r>
    </w:p>
    <w:p w14:paraId="6B2DC37E" w14:textId="0F12C34D" w:rsidR="004873A0" w:rsidRPr="00C62B05" w:rsidRDefault="004873A0" w:rsidP="00C92EA8">
      <w:pPr>
        <w:spacing w:before="120" w:after="120"/>
        <w:ind w:left="1134" w:right="1304"/>
        <w:jc w:val="both"/>
        <w:rPr>
          <w:lang w:val="en-US"/>
        </w:rPr>
      </w:pPr>
      <w:r w:rsidRPr="00CA4E69">
        <w:t>Carriage undertaken by such enterprises for their supply or external or internal distribution does not fall within the scope of this exemption;</w:t>
      </w:r>
      <w:r w:rsidR="003F0CBC" w:rsidRPr="00CA4E69">
        <w:t xml:space="preserve"> </w:t>
      </w:r>
      <w:r w:rsidR="003F0CBC" w:rsidRPr="00CA4E69">
        <w:rPr>
          <w:u w:val="single"/>
        </w:rPr>
        <w:t xml:space="preserve">The obligation </w:t>
      </w:r>
      <w:r w:rsidR="006E5C0E" w:rsidRPr="00CA4E69">
        <w:rPr>
          <w:u w:val="single"/>
        </w:rPr>
        <w:t xml:space="preserve">of training according to </w:t>
      </w:r>
      <w:r w:rsidR="003F0CBC" w:rsidRPr="00CA4E69">
        <w:rPr>
          <w:u w:val="single"/>
        </w:rPr>
        <w:t xml:space="preserve">1.3 </w:t>
      </w:r>
      <w:r w:rsidR="006E5C0E" w:rsidRPr="00CA4E69">
        <w:rPr>
          <w:u w:val="single"/>
        </w:rPr>
        <w:t xml:space="preserve">and 8.2.3 </w:t>
      </w:r>
      <w:r w:rsidR="003F0CBC" w:rsidRPr="00CA4E69">
        <w:rPr>
          <w:u w:val="single"/>
        </w:rPr>
        <w:t xml:space="preserve">ADR </w:t>
      </w:r>
      <w:r w:rsidR="002E7745" w:rsidRPr="00CA4E69">
        <w:rPr>
          <w:u w:val="single"/>
        </w:rPr>
        <w:t>is</w:t>
      </w:r>
      <w:r w:rsidR="003F0CBC" w:rsidRPr="00CA4E69">
        <w:rPr>
          <w:u w:val="single"/>
        </w:rPr>
        <w:t xml:space="preserve"> not</w:t>
      </w:r>
      <w:r w:rsidR="002E7745" w:rsidRPr="00CA4E69">
        <w:rPr>
          <w:u w:val="single"/>
        </w:rPr>
        <w:t xml:space="preserve"> affected by this exemption.</w:t>
      </w:r>
      <w:r w:rsidR="0090294E">
        <w:rPr>
          <w:u w:val="single"/>
        </w:rPr>
        <w:t xml:space="preserve"> “</w:t>
      </w:r>
    </w:p>
    <w:p w14:paraId="5B657C93" w14:textId="0ECEF4B5" w:rsidR="00BB54AC" w:rsidRDefault="00BB54AC" w:rsidP="00BB54AC">
      <w:pPr>
        <w:pStyle w:val="HChG"/>
        <w:ind w:firstLine="0"/>
        <w:rPr>
          <w:lang w:val="en-GB"/>
        </w:rPr>
      </w:pPr>
      <w:r w:rsidRPr="00B431EE">
        <w:rPr>
          <w:lang w:val="en-GB"/>
        </w:rPr>
        <w:t>Proposal</w:t>
      </w:r>
      <w:r>
        <w:rPr>
          <w:lang w:val="en-GB"/>
        </w:rPr>
        <w:t xml:space="preserve"> II</w:t>
      </w:r>
    </w:p>
    <w:p w14:paraId="5035D90B" w14:textId="61CDF572" w:rsidR="00BB54AC" w:rsidRPr="004873A0" w:rsidRDefault="00BB54AC" w:rsidP="00BB54AC">
      <w:pPr>
        <w:pStyle w:val="SingleTxtG"/>
        <w:rPr>
          <w:lang w:val="en-GB"/>
        </w:rPr>
      </w:pPr>
      <w:r>
        <w:rPr>
          <w:lang w:val="en-GB"/>
        </w:rPr>
        <w:t>7.</w:t>
      </w:r>
      <w:r>
        <w:rPr>
          <w:lang w:val="en-GB"/>
        </w:rPr>
        <w:tab/>
        <w:t>“</w:t>
      </w:r>
      <w:r w:rsidRPr="004873A0">
        <w:rPr>
          <w:lang w:val="en-GB"/>
        </w:rPr>
        <w:t xml:space="preserve">1.1.3.1       </w:t>
      </w:r>
      <w:r w:rsidRPr="004873A0">
        <w:rPr>
          <w:b/>
          <w:lang w:val="en-GB"/>
        </w:rPr>
        <w:t>Exemptions related to the nature of the transport operation</w:t>
      </w:r>
      <w:r w:rsidRPr="004873A0">
        <w:rPr>
          <w:lang w:val="en-GB"/>
        </w:rPr>
        <w:t xml:space="preserve"> </w:t>
      </w:r>
    </w:p>
    <w:p w14:paraId="3CD461A6" w14:textId="28AC4B7E" w:rsidR="00BB54AC" w:rsidRPr="00C62B05" w:rsidRDefault="00BB54AC" w:rsidP="00C92EA8">
      <w:pPr>
        <w:pStyle w:val="SingleTxtG"/>
        <w:rPr>
          <w:lang w:val="en-US"/>
        </w:rPr>
      </w:pPr>
      <w:r w:rsidRPr="004873A0">
        <w:rPr>
          <w:lang w:val="en-GB"/>
        </w:rPr>
        <w:t>The provisions laid down in ADR do not apply to:</w:t>
      </w:r>
    </w:p>
    <w:p w14:paraId="3AB2F14D" w14:textId="77777777" w:rsidR="00BB54AC" w:rsidRPr="00C62B05" w:rsidRDefault="00BB54AC" w:rsidP="00BB54AC">
      <w:pPr>
        <w:pStyle w:val="SingleTxtG"/>
        <w:rPr>
          <w:lang w:val="en-US"/>
        </w:rPr>
      </w:pPr>
      <w:r w:rsidRPr="00C62B05">
        <w:rPr>
          <w:lang w:val="en-US"/>
        </w:rPr>
        <w:tab/>
        <w:t>…</w:t>
      </w:r>
    </w:p>
    <w:p w14:paraId="10F5A675" w14:textId="0C6F965C" w:rsidR="00BB54AC" w:rsidRPr="00CA4E69" w:rsidRDefault="00C92EA8" w:rsidP="00C92EA8">
      <w:pPr>
        <w:spacing w:before="120" w:after="120"/>
        <w:ind w:left="1134" w:right="1304"/>
        <w:jc w:val="both"/>
      </w:pPr>
      <w:r>
        <w:tab/>
      </w:r>
      <w:r w:rsidR="00BB54AC">
        <w:tab/>
        <w:t>(c)</w:t>
      </w:r>
      <w:r>
        <w:tab/>
      </w:r>
      <w:r w:rsidR="00BB54AC" w:rsidRPr="0092192E">
        <w:t xml:space="preserve">The carriage undertaken by enterprises which is ancillary to their main activity, such as deliveries to </w:t>
      </w:r>
      <w:r w:rsidR="00BB54AC" w:rsidRPr="0092192E">
        <w:rPr>
          <w:color w:val="000000"/>
        </w:rPr>
        <w:t>or returns from</w:t>
      </w:r>
      <w:r w:rsidR="00BB54AC" w:rsidRPr="0092192E">
        <w:t xml:space="preserve"> building or civil engineering sites, or in relation to surveying, repairs and maintenance, in quantities of not more than 450 litres per packaging, including intermediate bulk containers (IBCs) and large packaging, and within the maximum quantities specified in 1.1.3.6.</w:t>
      </w:r>
      <w:r w:rsidR="00BB54AC" w:rsidRPr="00CA4E69">
        <w:t xml:space="preserve"> </w:t>
      </w:r>
      <w:r w:rsidR="00BB54AC">
        <w:rPr>
          <w:u w:val="single"/>
        </w:rPr>
        <w:t>The before mentioned</w:t>
      </w:r>
      <w:r w:rsidR="00BB54AC" w:rsidRPr="00CA4E69">
        <w:rPr>
          <w:u w:val="single"/>
        </w:rPr>
        <w:t xml:space="preserve"> pack</w:t>
      </w:r>
      <w:r w:rsidR="00BB54AC">
        <w:rPr>
          <w:u w:val="single"/>
        </w:rPr>
        <w:t>ag</w:t>
      </w:r>
      <w:r w:rsidR="00BB54AC" w:rsidRPr="00CA4E69">
        <w:rPr>
          <w:u w:val="single"/>
        </w:rPr>
        <w:t>ing</w:t>
      </w:r>
      <w:r w:rsidR="00BB54AC">
        <w:rPr>
          <w:u w:val="single"/>
        </w:rPr>
        <w:t xml:space="preserve"> shall be used</w:t>
      </w:r>
      <w:r w:rsidR="00BB54AC" w:rsidRPr="00CA4E69">
        <w:rPr>
          <w:u w:val="single"/>
        </w:rPr>
        <w:t xml:space="preserve"> according to 4.1.1</w:t>
      </w:r>
      <w:r w:rsidR="00BB54AC">
        <w:rPr>
          <w:u w:val="single"/>
        </w:rPr>
        <w:t xml:space="preserve"> and</w:t>
      </w:r>
      <w:r w:rsidR="00BB54AC" w:rsidRPr="00CA4E69">
        <w:rPr>
          <w:u w:val="single"/>
        </w:rPr>
        <w:t xml:space="preserve"> shall be in conformity to the applicable requirements of construction and testing</w:t>
      </w:r>
      <w:r w:rsidR="00BB54AC">
        <w:rPr>
          <w:u w:val="single"/>
          <w:lang w:val="lb-LU"/>
        </w:rPr>
        <w:t xml:space="preserve"> according to 6.1, 6.2, 6.5 and 6.6.</w:t>
      </w:r>
      <w:r w:rsidR="00BB54AC" w:rsidRPr="00CA4E69">
        <w:rPr>
          <w:lang w:val="lb-LU"/>
        </w:rPr>
        <w:t xml:space="preserve"> </w:t>
      </w:r>
      <w:r w:rsidR="00BB54AC" w:rsidRPr="00CA4E69">
        <w:t xml:space="preserve">These exemptions do not apply to Class 7. </w:t>
      </w:r>
    </w:p>
    <w:p w14:paraId="3AFF8795" w14:textId="45E22CFD" w:rsidR="00BB54AC" w:rsidRPr="00C62B05" w:rsidRDefault="00BB54AC" w:rsidP="00C92EA8">
      <w:pPr>
        <w:spacing w:before="120" w:after="120"/>
        <w:ind w:left="1134" w:right="1304"/>
        <w:jc w:val="both"/>
        <w:rPr>
          <w:lang w:val="en-US"/>
        </w:rPr>
      </w:pPr>
      <w:r w:rsidRPr="00CA4E69">
        <w:t>Carriage undertaken by such enterprises for their supply or external or internal distribution</w:t>
      </w:r>
      <w:r w:rsidR="00C62B05">
        <w:t xml:space="preserve"> </w:t>
      </w:r>
      <w:r w:rsidR="00C62B05" w:rsidRPr="00C62B05">
        <w:rPr>
          <w:u w:val="single"/>
        </w:rPr>
        <w:t>and the obligation of training according to 1.3 and 8.2.3 ADR</w:t>
      </w:r>
      <w:r w:rsidRPr="00C62B05">
        <w:rPr>
          <w:u w:val="single"/>
        </w:rPr>
        <w:t xml:space="preserve"> </w:t>
      </w:r>
      <w:r w:rsidRPr="0060378E">
        <w:t>do</w:t>
      </w:r>
      <w:r w:rsidRPr="00CA4E69">
        <w:t xml:space="preserve"> not fall wit</w:t>
      </w:r>
      <w:r w:rsidR="00C62B05">
        <w:t>hin the scope of this exemption.</w:t>
      </w:r>
    </w:p>
    <w:p w14:paraId="20DF7F6E" w14:textId="0200628C" w:rsidR="004670C3" w:rsidRPr="00B431EE" w:rsidRDefault="00B431EE" w:rsidP="00C92EA8">
      <w:pPr>
        <w:pStyle w:val="HChG"/>
        <w:spacing w:before="240" w:after="120" w:line="240" w:lineRule="auto"/>
        <w:rPr>
          <w:lang w:val="en-GB"/>
        </w:rPr>
      </w:pPr>
      <w:r w:rsidRPr="00C62B05">
        <w:rPr>
          <w:lang w:val="en-US"/>
        </w:rPr>
        <w:tab/>
      </w:r>
      <w:r w:rsidRPr="00C62B05">
        <w:rPr>
          <w:lang w:val="en-US"/>
        </w:rPr>
        <w:tab/>
      </w:r>
      <w:r w:rsidR="004670C3" w:rsidRPr="00B431EE">
        <w:rPr>
          <w:lang w:val="en-GB"/>
        </w:rPr>
        <w:t>Justification</w:t>
      </w:r>
    </w:p>
    <w:p w14:paraId="685F6564" w14:textId="42EEE1A7" w:rsidR="004873A0" w:rsidRDefault="00BB54AC" w:rsidP="004873A0">
      <w:pPr>
        <w:pStyle w:val="SingleTxtG"/>
        <w:rPr>
          <w:lang w:val="en-GB"/>
        </w:rPr>
      </w:pPr>
      <w:r>
        <w:rPr>
          <w:lang w:val="en-GB"/>
        </w:rPr>
        <w:t>8</w:t>
      </w:r>
      <w:r w:rsidR="004873A0">
        <w:rPr>
          <w:lang w:val="en-GB"/>
        </w:rPr>
        <w:t>.</w:t>
      </w:r>
      <w:r w:rsidR="00C92EA8">
        <w:rPr>
          <w:lang w:val="en-GB"/>
        </w:rPr>
        <w:tab/>
      </w:r>
      <w:r w:rsidR="004873A0" w:rsidRPr="004873A0">
        <w:rPr>
          <w:lang w:val="en-GB"/>
        </w:rPr>
        <w:t xml:space="preserve">The exemption </w:t>
      </w:r>
      <w:r w:rsidR="00B51948">
        <w:rPr>
          <w:lang w:val="en-GB"/>
        </w:rPr>
        <w:t>according to</w:t>
      </w:r>
      <w:r w:rsidR="004873A0" w:rsidRPr="004873A0">
        <w:rPr>
          <w:lang w:val="en-GB"/>
        </w:rPr>
        <w:t xml:space="preserve"> 1.1.3.1 </w:t>
      </w:r>
      <w:r w:rsidR="00804E05">
        <w:rPr>
          <w:lang w:val="en-GB"/>
        </w:rPr>
        <w:t>(</w:t>
      </w:r>
      <w:r w:rsidR="004873A0" w:rsidRPr="004873A0">
        <w:rPr>
          <w:lang w:val="en-GB"/>
        </w:rPr>
        <w:t xml:space="preserve">c) </w:t>
      </w:r>
      <w:r w:rsidR="0095301E">
        <w:rPr>
          <w:lang w:val="en-GB"/>
        </w:rPr>
        <w:t xml:space="preserve">in practice </w:t>
      </w:r>
      <w:r w:rsidR="004873A0" w:rsidRPr="004873A0">
        <w:rPr>
          <w:lang w:val="en-GB"/>
        </w:rPr>
        <w:t xml:space="preserve">often leads to a careless handling of dangerous goods. In particular, the lack of requirements for the packaging to be </w:t>
      </w:r>
      <w:r w:rsidR="0090294E" w:rsidRPr="004873A0">
        <w:rPr>
          <w:lang w:val="en-GB"/>
        </w:rPr>
        <w:t>used</w:t>
      </w:r>
      <w:r w:rsidR="004873A0" w:rsidRPr="004873A0">
        <w:rPr>
          <w:lang w:val="en-GB"/>
        </w:rPr>
        <w:t xml:space="preserve"> represents a potential hazard, since it seems not apparent to all </w:t>
      </w:r>
      <w:r w:rsidR="00AA2E50" w:rsidRPr="004873A0">
        <w:rPr>
          <w:lang w:val="en-GB"/>
        </w:rPr>
        <w:t>users</w:t>
      </w:r>
      <w:r w:rsidR="004873A0" w:rsidRPr="004873A0">
        <w:rPr>
          <w:lang w:val="en-GB"/>
        </w:rPr>
        <w:t xml:space="preserve"> that risks, such as product leakage and damage to people and the environment, could be significantly reduced already in the selection and use of suitable packaging.</w:t>
      </w:r>
    </w:p>
    <w:p w14:paraId="6D1FA17B" w14:textId="1C00984C" w:rsidR="004873A0" w:rsidRDefault="00BB54AC" w:rsidP="004873A0">
      <w:pPr>
        <w:pStyle w:val="SingleTxtG"/>
        <w:rPr>
          <w:lang w:val="en-GB"/>
        </w:rPr>
      </w:pPr>
      <w:r>
        <w:rPr>
          <w:lang w:val="en-GB"/>
        </w:rPr>
        <w:t>9</w:t>
      </w:r>
      <w:r w:rsidR="004873A0">
        <w:rPr>
          <w:lang w:val="en-GB"/>
        </w:rPr>
        <w:t>.</w:t>
      </w:r>
      <w:r w:rsidR="00C92EA8">
        <w:rPr>
          <w:lang w:val="en-GB"/>
        </w:rPr>
        <w:tab/>
      </w:r>
      <w:r w:rsidR="004873A0" w:rsidRPr="004873A0">
        <w:rPr>
          <w:lang w:val="en-GB"/>
        </w:rPr>
        <w:t xml:space="preserve">It can also not be concluded, solely by using the term "packaging" in 1.1.3.1 (c) ADR, that "packaging" at this point is to be understood as a „terminus </w:t>
      </w:r>
      <w:proofErr w:type="spellStart"/>
      <w:r w:rsidR="004873A0" w:rsidRPr="004873A0">
        <w:rPr>
          <w:lang w:val="en-GB"/>
        </w:rPr>
        <w:t>technicus</w:t>
      </w:r>
      <w:proofErr w:type="spellEnd"/>
      <w:r w:rsidR="004873A0" w:rsidRPr="004873A0">
        <w:rPr>
          <w:lang w:val="en-GB"/>
        </w:rPr>
        <w:t xml:space="preserve">“ of the dangerous goods regulations which contains corresponding basic requirements and </w:t>
      </w:r>
      <w:r w:rsidR="004920D3">
        <w:rPr>
          <w:lang w:val="en-GB"/>
        </w:rPr>
        <w:t>that a</w:t>
      </w:r>
      <w:r w:rsidR="004873A0" w:rsidRPr="004873A0">
        <w:rPr>
          <w:lang w:val="en-GB"/>
        </w:rPr>
        <w:t xml:space="preserve"> </w:t>
      </w:r>
      <w:r w:rsidR="00AC5EB2" w:rsidRPr="004873A0">
        <w:rPr>
          <w:lang w:val="en-GB"/>
        </w:rPr>
        <w:t>usage</w:t>
      </w:r>
      <w:r w:rsidR="004873A0" w:rsidRPr="004873A0">
        <w:rPr>
          <w:lang w:val="en-GB"/>
        </w:rPr>
        <w:t xml:space="preserve"> of any other possibly unsuitable package is not covered by the scope of the exemption.</w:t>
      </w:r>
    </w:p>
    <w:p w14:paraId="678317A0" w14:textId="5BA4A842" w:rsidR="006861D7" w:rsidRDefault="00BB54AC" w:rsidP="004873A0">
      <w:pPr>
        <w:pStyle w:val="SingleTxtG"/>
        <w:rPr>
          <w:lang w:val="en-GB"/>
        </w:rPr>
      </w:pPr>
      <w:r>
        <w:rPr>
          <w:lang w:val="en-GB"/>
        </w:rPr>
        <w:t>10</w:t>
      </w:r>
      <w:r w:rsidR="004920D3">
        <w:rPr>
          <w:lang w:val="en-GB"/>
        </w:rPr>
        <w:t>.</w:t>
      </w:r>
      <w:r w:rsidR="00C92EA8">
        <w:rPr>
          <w:lang w:val="en-GB"/>
        </w:rPr>
        <w:tab/>
      </w:r>
      <w:r w:rsidR="004920D3">
        <w:rPr>
          <w:lang w:val="en-GB"/>
        </w:rPr>
        <w:t xml:space="preserve">The </w:t>
      </w:r>
      <w:r>
        <w:rPr>
          <w:lang w:val="en-GB"/>
        </w:rPr>
        <w:t xml:space="preserve">particular </w:t>
      </w:r>
      <w:r w:rsidR="004920D3">
        <w:rPr>
          <w:lang w:val="en-GB"/>
        </w:rPr>
        <w:t xml:space="preserve">references </w:t>
      </w:r>
      <w:r w:rsidR="006861D7">
        <w:rPr>
          <w:lang w:val="en-GB"/>
        </w:rPr>
        <w:t xml:space="preserve">proposed were chosen, because they were seen as the most relevant one to be taken into account in practice. </w:t>
      </w:r>
    </w:p>
    <w:p w14:paraId="23B71716" w14:textId="7C17514A" w:rsidR="004873A0" w:rsidRDefault="00BB54AC" w:rsidP="004873A0">
      <w:pPr>
        <w:pStyle w:val="SingleTxtG"/>
        <w:rPr>
          <w:lang w:val="en-GB"/>
        </w:rPr>
      </w:pPr>
      <w:r>
        <w:rPr>
          <w:lang w:val="en-GB"/>
        </w:rPr>
        <w:lastRenderedPageBreak/>
        <w:t>11</w:t>
      </w:r>
      <w:r w:rsidR="004873A0">
        <w:rPr>
          <w:lang w:val="en-GB"/>
        </w:rPr>
        <w:t>.</w:t>
      </w:r>
      <w:r w:rsidR="00C92EA8">
        <w:rPr>
          <w:lang w:val="en-GB"/>
        </w:rPr>
        <w:tab/>
      </w:r>
      <w:r w:rsidR="004873A0" w:rsidRPr="004873A0">
        <w:rPr>
          <w:lang w:val="en-GB"/>
        </w:rPr>
        <w:t xml:space="preserve">The proposed amendment clarifies situation concerning the requirements for the </w:t>
      </w:r>
      <w:bookmarkStart w:id="0" w:name="_GoBack"/>
      <w:bookmarkEnd w:id="0"/>
      <w:r w:rsidR="004873A0" w:rsidRPr="004873A0">
        <w:rPr>
          <w:lang w:val="en-GB"/>
        </w:rPr>
        <w:t xml:space="preserve">packaging to be used </w:t>
      </w:r>
      <w:r w:rsidR="002E7745">
        <w:rPr>
          <w:lang w:val="en-GB"/>
        </w:rPr>
        <w:t xml:space="preserve">and the additional remark to the training obligation </w:t>
      </w:r>
      <w:r w:rsidR="004873A0" w:rsidRPr="004873A0">
        <w:rPr>
          <w:lang w:val="en-GB"/>
        </w:rPr>
        <w:t>enhances safety.</w:t>
      </w:r>
    </w:p>
    <w:p w14:paraId="25966B70" w14:textId="16A45C5D" w:rsidR="00C92EA8" w:rsidRPr="00C92EA8" w:rsidRDefault="00C92EA8" w:rsidP="00C92EA8">
      <w:pPr>
        <w:spacing w:before="240"/>
        <w:jc w:val="center"/>
        <w:rPr>
          <w:u w:val="single"/>
        </w:rPr>
      </w:pPr>
      <w:r>
        <w:rPr>
          <w:u w:val="single"/>
        </w:rPr>
        <w:tab/>
      </w:r>
      <w:r>
        <w:rPr>
          <w:u w:val="single"/>
        </w:rPr>
        <w:tab/>
      </w:r>
      <w:r>
        <w:rPr>
          <w:u w:val="single"/>
        </w:rPr>
        <w:tab/>
      </w:r>
    </w:p>
    <w:sectPr w:rsidR="00C92EA8" w:rsidRPr="00C92EA8" w:rsidSect="0087607E">
      <w:headerReference w:type="even" r:id="rId7"/>
      <w:headerReference w:type="default" r:id="rId8"/>
      <w:footerReference w:type="even" r:id="rId9"/>
      <w:footerReference w:type="default" r:id="rId10"/>
      <w:headerReference w:type="first" r:id="rId11"/>
      <w:type w:val="continuous"/>
      <w:pgSz w:w="11907" w:h="16840" w:code="9"/>
      <w:pgMar w:top="1701" w:right="1021" w:bottom="2268" w:left="1077"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064C" w14:textId="77777777" w:rsidR="00845048" w:rsidRDefault="00845048"/>
  </w:endnote>
  <w:endnote w:type="continuationSeparator" w:id="0">
    <w:p w14:paraId="6547B083" w14:textId="77777777" w:rsidR="00845048" w:rsidRDefault="00845048"/>
  </w:endnote>
  <w:endnote w:type="continuationNotice" w:id="1">
    <w:p w14:paraId="0DDA84CE" w14:textId="77777777" w:rsidR="00845048" w:rsidRDefault="0084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0555" w14:textId="4B43C20E" w:rsidR="00845048" w:rsidRPr="00E762DB" w:rsidRDefault="00845048">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B51948">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8C28" w14:textId="77777777" w:rsidR="00845048" w:rsidRPr="00E762DB" w:rsidRDefault="00845048"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0600" w14:textId="77777777" w:rsidR="00845048" w:rsidRPr="000B175B" w:rsidRDefault="00845048" w:rsidP="000B175B">
      <w:pPr>
        <w:tabs>
          <w:tab w:val="right" w:pos="2155"/>
        </w:tabs>
        <w:spacing w:after="80"/>
        <w:ind w:left="680"/>
        <w:rPr>
          <w:u w:val="single"/>
        </w:rPr>
      </w:pPr>
      <w:r>
        <w:rPr>
          <w:u w:val="single"/>
        </w:rPr>
        <w:tab/>
      </w:r>
    </w:p>
  </w:footnote>
  <w:footnote w:type="continuationSeparator" w:id="0">
    <w:p w14:paraId="1670189C" w14:textId="77777777" w:rsidR="00845048" w:rsidRPr="00FC68B7" w:rsidRDefault="00845048" w:rsidP="00FC68B7">
      <w:pPr>
        <w:tabs>
          <w:tab w:val="left" w:pos="2155"/>
        </w:tabs>
        <w:spacing w:after="80"/>
        <w:ind w:left="680"/>
        <w:rPr>
          <w:u w:val="single"/>
        </w:rPr>
      </w:pPr>
      <w:r>
        <w:rPr>
          <w:u w:val="single"/>
        </w:rPr>
        <w:tab/>
      </w:r>
    </w:p>
  </w:footnote>
  <w:footnote w:type="continuationNotice" w:id="1">
    <w:p w14:paraId="18E0CAFD" w14:textId="77777777" w:rsidR="00845048" w:rsidRDefault="00845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FA0C" w14:textId="1989CCBD" w:rsidR="00845048" w:rsidRPr="008D2081" w:rsidRDefault="00845048" w:rsidP="0040519E">
    <w:pPr>
      <w:pStyle w:val="Header"/>
      <w:rPr>
        <w:szCs w:val="18"/>
        <w:lang w:val="fr-CH"/>
      </w:rPr>
    </w:pPr>
    <w:r>
      <w:rPr>
        <w:szCs w:val="18"/>
        <w:lang w:val="fr-CH"/>
      </w:rPr>
      <w:t>INF.</w:t>
    </w:r>
    <w:r w:rsidR="00C92EA8" w:rsidRPr="00C92EA8">
      <w:rPr>
        <w:szCs w:val="18"/>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CFE6" w14:textId="2843390D" w:rsidR="00845048" w:rsidRPr="008D2081" w:rsidRDefault="00845048" w:rsidP="0040519E">
    <w:pPr>
      <w:pStyle w:val="Header"/>
      <w:jc w:val="right"/>
      <w:rPr>
        <w:szCs w:val="18"/>
        <w:lang w:val="fr-CH"/>
      </w:rPr>
    </w:pPr>
    <w:r>
      <w:rPr>
        <w:szCs w:val="18"/>
        <w:lang w:val="fr-CH"/>
      </w:rPr>
      <w:t>INF.</w:t>
    </w:r>
    <w:r w:rsidR="00785638">
      <w:rPr>
        <w:szCs w:val="18"/>
        <w:lang w:val="fr-CH"/>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E0DC" w14:textId="77777777" w:rsidR="00845048" w:rsidRPr="00AA2E50" w:rsidRDefault="00845048" w:rsidP="00AA2E50">
    <w:pPr>
      <w:pStyle w:val="Header"/>
      <w:jc w:val="center"/>
      <w:rPr>
        <w:lang w:val="lb-L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D42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73E9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12D78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324C92"/>
    <w:multiLevelType w:val="hybridMultilevel"/>
    <w:tmpl w:val="389872EE"/>
    <w:lvl w:ilvl="0" w:tplc="FA90FE3E">
      <w:start w:val="1"/>
      <w:numFmt w:val="decimal"/>
      <w:lvlText w:val="%1."/>
      <w:lvlJc w:val="left"/>
      <w:pPr>
        <w:ind w:left="1689" w:hanging="555"/>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0"/>
  </w:num>
  <w:num w:numId="24">
    <w:abstractNumId w:val="19"/>
  </w:num>
  <w:num w:numId="25">
    <w:abstractNumId w:val="12"/>
  </w:num>
  <w:num w:numId="26">
    <w:abstractNumId w:val="11"/>
  </w:num>
  <w:num w:numId="27">
    <w:abstractNumId w:val="20"/>
  </w:num>
  <w:num w:numId="28">
    <w:abstractNumId w:val="16"/>
  </w:num>
  <w:num w:numId="29">
    <w:abstractNumId w:val="17"/>
  </w:num>
  <w:num w:numId="30">
    <w:abstractNumId w:val="15"/>
  </w:num>
  <w:num w:numId="3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31FBD"/>
    <w:rsid w:val="00036E48"/>
    <w:rsid w:val="00037F90"/>
    <w:rsid w:val="00044E86"/>
    <w:rsid w:val="00046B1F"/>
    <w:rsid w:val="00050F6B"/>
    <w:rsid w:val="0005654C"/>
    <w:rsid w:val="00057793"/>
    <w:rsid w:val="00057E97"/>
    <w:rsid w:val="000631DE"/>
    <w:rsid w:val="00063258"/>
    <w:rsid w:val="00072972"/>
    <w:rsid w:val="00072A81"/>
    <w:rsid w:val="00072C8C"/>
    <w:rsid w:val="000733B5"/>
    <w:rsid w:val="000776EE"/>
    <w:rsid w:val="00081815"/>
    <w:rsid w:val="000829AD"/>
    <w:rsid w:val="00090B3F"/>
    <w:rsid w:val="00091F3B"/>
    <w:rsid w:val="00092247"/>
    <w:rsid w:val="000931C0"/>
    <w:rsid w:val="0009571F"/>
    <w:rsid w:val="00096262"/>
    <w:rsid w:val="00096310"/>
    <w:rsid w:val="000A3752"/>
    <w:rsid w:val="000A7267"/>
    <w:rsid w:val="000B0595"/>
    <w:rsid w:val="000B09FC"/>
    <w:rsid w:val="000B175B"/>
    <w:rsid w:val="000B3A0F"/>
    <w:rsid w:val="000B4EF7"/>
    <w:rsid w:val="000B633F"/>
    <w:rsid w:val="000B665C"/>
    <w:rsid w:val="000C05C4"/>
    <w:rsid w:val="000C0AEF"/>
    <w:rsid w:val="000C2C03"/>
    <w:rsid w:val="000C2D2E"/>
    <w:rsid w:val="000C4D51"/>
    <w:rsid w:val="000C7F79"/>
    <w:rsid w:val="000D67BE"/>
    <w:rsid w:val="000E0415"/>
    <w:rsid w:val="000F0BB0"/>
    <w:rsid w:val="000F147C"/>
    <w:rsid w:val="00100D79"/>
    <w:rsid w:val="0010391C"/>
    <w:rsid w:val="00104CDA"/>
    <w:rsid w:val="001103AA"/>
    <w:rsid w:val="0011666B"/>
    <w:rsid w:val="00122472"/>
    <w:rsid w:val="00125117"/>
    <w:rsid w:val="00126E1C"/>
    <w:rsid w:val="00136472"/>
    <w:rsid w:val="00145A8E"/>
    <w:rsid w:val="001476E0"/>
    <w:rsid w:val="00155068"/>
    <w:rsid w:val="0016418F"/>
    <w:rsid w:val="00165F3A"/>
    <w:rsid w:val="001728C9"/>
    <w:rsid w:val="0017344C"/>
    <w:rsid w:val="00180B0D"/>
    <w:rsid w:val="00180F8C"/>
    <w:rsid w:val="00183CAB"/>
    <w:rsid w:val="001847D2"/>
    <w:rsid w:val="00190B51"/>
    <w:rsid w:val="001968F9"/>
    <w:rsid w:val="001A47AA"/>
    <w:rsid w:val="001A57BD"/>
    <w:rsid w:val="001A6E55"/>
    <w:rsid w:val="001A76A6"/>
    <w:rsid w:val="001A7709"/>
    <w:rsid w:val="001B012A"/>
    <w:rsid w:val="001B059F"/>
    <w:rsid w:val="001B13A5"/>
    <w:rsid w:val="001B1EA7"/>
    <w:rsid w:val="001B4B04"/>
    <w:rsid w:val="001C57CF"/>
    <w:rsid w:val="001C5942"/>
    <w:rsid w:val="001C6663"/>
    <w:rsid w:val="001C7895"/>
    <w:rsid w:val="001D0C8C"/>
    <w:rsid w:val="001D1419"/>
    <w:rsid w:val="001D26DF"/>
    <w:rsid w:val="001D3A03"/>
    <w:rsid w:val="001E0B9E"/>
    <w:rsid w:val="001E7B67"/>
    <w:rsid w:val="001F7435"/>
    <w:rsid w:val="00200441"/>
    <w:rsid w:val="00202DA8"/>
    <w:rsid w:val="00203753"/>
    <w:rsid w:val="00206D3F"/>
    <w:rsid w:val="002102FF"/>
    <w:rsid w:val="0021114C"/>
    <w:rsid w:val="0021157B"/>
    <w:rsid w:val="00211E0B"/>
    <w:rsid w:val="0024023A"/>
    <w:rsid w:val="00243217"/>
    <w:rsid w:val="0024530C"/>
    <w:rsid w:val="00252290"/>
    <w:rsid w:val="00252F75"/>
    <w:rsid w:val="0025326C"/>
    <w:rsid w:val="0026060C"/>
    <w:rsid w:val="00267F5F"/>
    <w:rsid w:val="00267F99"/>
    <w:rsid w:val="002779D6"/>
    <w:rsid w:val="0028289C"/>
    <w:rsid w:val="00283FA3"/>
    <w:rsid w:val="0028603C"/>
    <w:rsid w:val="00286B4D"/>
    <w:rsid w:val="002A3C85"/>
    <w:rsid w:val="002A50EA"/>
    <w:rsid w:val="002A603B"/>
    <w:rsid w:val="002C1C56"/>
    <w:rsid w:val="002C45D9"/>
    <w:rsid w:val="002C6F64"/>
    <w:rsid w:val="002D11EC"/>
    <w:rsid w:val="002D4643"/>
    <w:rsid w:val="002D4B6C"/>
    <w:rsid w:val="002E3B88"/>
    <w:rsid w:val="002E7745"/>
    <w:rsid w:val="002F175C"/>
    <w:rsid w:val="002F1DF0"/>
    <w:rsid w:val="0030265A"/>
    <w:rsid w:val="00302E18"/>
    <w:rsid w:val="003050A4"/>
    <w:rsid w:val="0030606F"/>
    <w:rsid w:val="00306201"/>
    <w:rsid w:val="00317376"/>
    <w:rsid w:val="003229D8"/>
    <w:rsid w:val="0032490B"/>
    <w:rsid w:val="00327869"/>
    <w:rsid w:val="00330E6F"/>
    <w:rsid w:val="003358CF"/>
    <w:rsid w:val="003369F1"/>
    <w:rsid w:val="00345184"/>
    <w:rsid w:val="00352709"/>
    <w:rsid w:val="0035344A"/>
    <w:rsid w:val="003571EA"/>
    <w:rsid w:val="00364B28"/>
    <w:rsid w:val="00371178"/>
    <w:rsid w:val="00373933"/>
    <w:rsid w:val="00380288"/>
    <w:rsid w:val="0038100E"/>
    <w:rsid w:val="003834A6"/>
    <w:rsid w:val="00393B48"/>
    <w:rsid w:val="00394FFC"/>
    <w:rsid w:val="00396DB6"/>
    <w:rsid w:val="003A3DDB"/>
    <w:rsid w:val="003A6810"/>
    <w:rsid w:val="003B36D1"/>
    <w:rsid w:val="003C2CC4"/>
    <w:rsid w:val="003C3DDB"/>
    <w:rsid w:val="003D18C0"/>
    <w:rsid w:val="003D4B23"/>
    <w:rsid w:val="003D7265"/>
    <w:rsid w:val="003E028D"/>
    <w:rsid w:val="003E344E"/>
    <w:rsid w:val="003E3DBD"/>
    <w:rsid w:val="003F0CBC"/>
    <w:rsid w:val="003F2250"/>
    <w:rsid w:val="00401B57"/>
    <w:rsid w:val="0040519E"/>
    <w:rsid w:val="00410B40"/>
    <w:rsid w:val="00410C89"/>
    <w:rsid w:val="004154CD"/>
    <w:rsid w:val="00421B73"/>
    <w:rsid w:val="00422C91"/>
    <w:rsid w:val="00422E03"/>
    <w:rsid w:val="0042507D"/>
    <w:rsid w:val="00426B9B"/>
    <w:rsid w:val="00426DBA"/>
    <w:rsid w:val="004325CB"/>
    <w:rsid w:val="004356D2"/>
    <w:rsid w:val="004401CD"/>
    <w:rsid w:val="00442A83"/>
    <w:rsid w:val="00446782"/>
    <w:rsid w:val="00450287"/>
    <w:rsid w:val="0045495B"/>
    <w:rsid w:val="00455B77"/>
    <w:rsid w:val="00461D82"/>
    <w:rsid w:val="0046311B"/>
    <w:rsid w:val="00464C81"/>
    <w:rsid w:val="004670C3"/>
    <w:rsid w:val="0047131A"/>
    <w:rsid w:val="00483122"/>
    <w:rsid w:val="0048397A"/>
    <w:rsid w:val="004873A0"/>
    <w:rsid w:val="004903F3"/>
    <w:rsid w:val="00490B0A"/>
    <w:rsid w:val="004920D3"/>
    <w:rsid w:val="004975C1"/>
    <w:rsid w:val="004A12F2"/>
    <w:rsid w:val="004A28A3"/>
    <w:rsid w:val="004C2461"/>
    <w:rsid w:val="004C308E"/>
    <w:rsid w:val="004C7462"/>
    <w:rsid w:val="004D142D"/>
    <w:rsid w:val="004D4E04"/>
    <w:rsid w:val="004D5426"/>
    <w:rsid w:val="004D59CF"/>
    <w:rsid w:val="004E0502"/>
    <w:rsid w:val="004E0C05"/>
    <w:rsid w:val="004E77B2"/>
    <w:rsid w:val="004F2264"/>
    <w:rsid w:val="00501E13"/>
    <w:rsid w:val="00503DEB"/>
    <w:rsid w:val="00504B2D"/>
    <w:rsid w:val="00507993"/>
    <w:rsid w:val="0052136D"/>
    <w:rsid w:val="005228EB"/>
    <w:rsid w:val="00522B58"/>
    <w:rsid w:val="00523CD7"/>
    <w:rsid w:val="0052775E"/>
    <w:rsid w:val="005303E7"/>
    <w:rsid w:val="00530C5A"/>
    <w:rsid w:val="00532510"/>
    <w:rsid w:val="00535269"/>
    <w:rsid w:val="00537ACC"/>
    <w:rsid w:val="005420F2"/>
    <w:rsid w:val="00542968"/>
    <w:rsid w:val="00543B68"/>
    <w:rsid w:val="00546993"/>
    <w:rsid w:val="005628B6"/>
    <w:rsid w:val="00563634"/>
    <w:rsid w:val="00566E56"/>
    <w:rsid w:val="00576A41"/>
    <w:rsid w:val="0057739F"/>
    <w:rsid w:val="00585B1E"/>
    <w:rsid w:val="0059363D"/>
    <w:rsid w:val="005A583B"/>
    <w:rsid w:val="005B3DB3"/>
    <w:rsid w:val="005B4E13"/>
    <w:rsid w:val="005B73DA"/>
    <w:rsid w:val="005B7B9C"/>
    <w:rsid w:val="005C43CA"/>
    <w:rsid w:val="005C68F0"/>
    <w:rsid w:val="005D2A29"/>
    <w:rsid w:val="005E0266"/>
    <w:rsid w:val="005E6A77"/>
    <w:rsid w:val="005F4FD5"/>
    <w:rsid w:val="005F7B75"/>
    <w:rsid w:val="006001EE"/>
    <w:rsid w:val="0060219C"/>
    <w:rsid w:val="0060378E"/>
    <w:rsid w:val="00605042"/>
    <w:rsid w:val="00611FC4"/>
    <w:rsid w:val="00613D87"/>
    <w:rsid w:val="006176FB"/>
    <w:rsid w:val="00630BAF"/>
    <w:rsid w:val="006366C9"/>
    <w:rsid w:val="00640841"/>
    <w:rsid w:val="00640B26"/>
    <w:rsid w:val="00652D0A"/>
    <w:rsid w:val="006623D5"/>
    <w:rsid w:val="00662BB6"/>
    <w:rsid w:val="00667F8F"/>
    <w:rsid w:val="006741F1"/>
    <w:rsid w:val="00684C21"/>
    <w:rsid w:val="006861D7"/>
    <w:rsid w:val="00690828"/>
    <w:rsid w:val="006A2530"/>
    <w:rsid w:val="006B1C12"/>
    <w:rsid w:val="006B2F0C"/>
    <w:rsid w:val="006C30F2"/>
    <w:rsid w:val="006C3589"/>
    <w:rsid w:val="006D37AF"/>
    <w:rsid w:val="006D51D0"/>
    <w:rsid w:val="006E0237"/>
    <w:rsid w:val="006E5117"/>
    <w:rsid w:val="006E564B"/>
    <w:rsid w:val="006E5C0E"/>
    <w:rsid w:val="006E7191"/>
    <w:rsid w:val="006F3FF1"/>
    <w:rsid w:val="006F699B"/>
    <w:rsid w:val="00701A34"/>
    <w:rsid w:val="00703577"/>
    <w:rsid w:val="00705894"/>
    <w:rsid w:val="00707CB5"/>
    <w:rsid w:val="00725082"/>
    <w:rsid w:val="0072632A"/>
    <w:rsid w:val="007327D5"/>
    <w:rsid w:val="00740AAD"/>
    <w:rsid w:val="007416DF"/>
    <w:rsid w:val="007422D8"/>
    <w:rsid w:val="00746D27"/>
    <w:rsid w:val="007500F3"/>
    <w:rsid w:val="007611CF"/>
    <w:rsid w:val="00761787"/>
    <w:rsid w:val="00762477"/>
    <w:rsid w:val="007629C8"/>
    <w:rsid w:val="00764668"/>
    <w:rsid w:val="00766E4F"/>
    <w:rsid w:val="0077047D"/>
    <w:rsid w:val="00774AF7"/>
    <w:rsid w:val="00776430"/>
    <w:rsid w:val="00780613"/>
    <w:rsid w:val="00785638"/>
    <w:rsid w:val="00793F25"/>
    <w:rsid w:val="00795632"/>
    <w:rsid w:val="00797575"/>
    <w:rsid w:val="007A225C"/>
    <w:rsid w:val="007B27F1"/>
    <w:rsid w:val="007B5675"/>
    <w:rsid w:val="007B6BA5"/>
    <w:rsid w:val="007C3390"/>
    <w:rsid w:val="007C4F4B"/>
    <w:rsid w:val="007C66CD"/>
    <w:rsid w:val="007D2735"/>
    <w:rsid w:val="007D306F"/>
    <w:rsid w:val="007E01E9"/>
    <w:rsid w:val="007E19C9"/>
    <w:rsid w:val="007E63F3"/>
    <w:rsid w:val="007F1F2D"/>
    <w:rsid w:val="007F6611"/>
    <w:rsid w:val="007F7106"/>
    <w:rsid w:val="007F7A86"/>
    <w:rsid w:val="0080046E"/>
    <w:rsid w:val="008005E9"/>
    <w:rsid w:val="00804E05"/>
    <w:rsid w:val="008116D7"/>
    <w:rsid w:val="00811920"/>
    <w:rsid w:val="00815AD0"/>
    <w:rsid w:val="008242D7"/>
    <w:rsid w:val="008257B1"/>
    <w:rsid w:val="00826C3D"/>
    <w:rsid w:val="00835C91"/>
    <w:rsid w:val="00840E85"/>
    <w:rsid w:val="00843767"/>
    <w:rsid w:val="00845048"/>
    <w:rsid w:val="008465D9"/>
    <w:rsid w:val="00851BD9"/>
    <w:rsid w:val="00854501"/>
    <w:rsid w:val="00854843"/>
    <w:rsid w:val="00856D9C"/>
    <w:rsid w:val="00864939"/>
    <w:rsid w:val="008679D9"/>
    <w:rsid w:val="00871389"/>
    <w:rsid w:val="0087607E"/>
    <w:rsid w:val="00880848"/>
    <w:rsid w:val="00881174"/>
    <w:rsid w:val="00883999"/>
    <w:rsid w:val="008846AF"/>
    <w:rsid w:val="00887652"/>
    <w:rsid w:val="008878DE"/>
    <w:rsid w:val="0089179C"/>
    <w:rsid w:val="0089185A"/>
    <w:rsid w:val="008933C9"/>
    <w:rsid w:val="00894ACF"/>
    <w:rsid w:val="00895022"/>
    <w:rsid w:val="008979B1"/>
    <w:rsid w:val="008A0FDA"/>
    <w:rsid w:val="008A24D4"/>
    <w:rsid w:val="008A253A"/>
    <w:rsid w:val="008A432C"/>
    <w:rsid w:val="008A4C97"/>
    <w:rsid w:val="008A6B25"/>
    <w:rsid w:val="008A6C4F"/>
    <w:rsid w:val="008A7B69"/>
    <w:rsid w:val="008B2335"/>
    <w:rsid w:val="008C10DD"/>
    <w:rsid w:val="008C5DC9"/>
    <w:rsid w:val="008C7DAF"/>
    <w:rsid w:val="008D2081"/>
    <w:rsid w:val="008E0678"/>
    <w:rsid w:val="008E0DAA"/>
    <w:rsid w:val="008E4D3A"/>
    <w:rsid w:val="008E64A1"/>
    <w:rsid w:val="0090294E"/>
    <w:rsid w:val="00914CB9"/>
    <w:rsid w:val="00915B7A"/>
    <w:rsid w:val="009223CA"/>
    <w:rsid w:val="00924790"/>
    <w:rsid w:val="009258F7"/>
    <w:rsid w:val="00926152"/>
    <w:rsid w:val="00927083"/>
    <w:rsid w:val="00936AE1"/>
    <w:rsid w:val="00940F93"/>
    <w:rsid w:val="0094558F"/>
    <w:rsid w:val="0095077B"/>
    <w:rsid w:val="0095301E"/>
    <w:rsid w:val="0095387D"/>
    <w:rsid w:val="0095508D"/>
    <w:rsid w:val="009606A0"/>
    <w:rsid w:val="00961690"/>
    <w:rsid w:val="00963AEA"/>
    <w:rsid w:val="009760F3"/>
    <w:rsid w:val="0098203C"/>
    <w:rsid w:val="0098348F"/>
    <w:rsid w:val="009945EC"/>
    <w:rsid w:val="00995CC5"/>
    <w:rsid w:val="00997EE1"/>
    <w:rsid w:val="009A0995"/>
    <w:rsid w:val="009A0E8D"/>
    <w:rsid w:val="009A1137"/>
    <w:rsid w:val="009B1518"/>
    <w:rsid w:val="009B26E7"/>
    <w:rsid w:val="009B3530"/>
    <w:rsid w:val="009C0C64"/>
    <w:rsid w:val="009C454F"/>
    <w:rsid w:val="009C4585"/>
    <w:rsid w:val="009D24F2"/>
    <w:rsid w:val="009D2A5B"/>
    <w:rsid w:val="009E1D8E"/>
    <w:rsid w:val="009E42CA"/>
    <w:rsid w:val="009F0036"/>
    <w:rsid w:val="009F2B9A"/>
    <w:rsid w:val="00A00A3F"/>
    <w:rsid w:val="00A01489"/>
    <w:rsid w:val="00A04A9D"/>
    <w:rsid w:val="00A071BF"/>
    <w:rsid w:val="00A262DA"/>
    <w:rsid w:val="00A3009E"/>
    <w:rsid w:val="00A3026E"/>
    <w:rsid w:val="00A31F73"/>
    <w:rsid w:val="00A338F1"/>
    <w:rsid w:val="00A42D32"/>
    <w:rsid w:val="00A55B4D"/>
    <w:rsid w:val="00A72F22"/>
    <w:rsid w:val="00A7360F"/>
    <w:rsid w:val="00A748A6"/>
    <w:rsid w:val="00A749DD"/>
    <w:rsid w:val="00A769F4"/>
    <w:rsid w:val="00A776B4"/>
    <w:rsid w:val="00A8405F"/>
    <w:rsid w:val="00A94361"/>
    <w:rsid w:val="00AA293C"/>
    <w:rsid w:val="00AA2E50"/>
    <w:rsid w:val="00AA66C0"/>
    <w:rsid w:val="00AB4A30"/>
    <w:rsid w:val="00AC5EB2"/>
    <w:rsid w:val="00AD44C2"/>
    <w:rsid w:val="00AD48FA"/>
    <w:rsid w:val="00AD6496"/>
    <w:rsid w:val="00AE400B"/>
    <w:rsid w:val="00B054F9"/>
    <w:rsid w:val="00B05B87"/>
    <w:rsid w:val="00B06A97"/>
    <w:rsid w:val="00B11BB4"/>
    <w:rsid w:val="00B15E5B"/>
    <w:rsid w:val="00B17311"/>
    <w:rsid w:val="00B22BC2"/>
    <w:rsid w:val="00B27FDF"/>
    <w:rsid w:val="00B30179"/>
    <w:rsid w:val="00B36690"/>
    <w:rsid w:val="00B421C1"/>
    <w:rsid w:val="00B422FA"/>
    <w:rsid w:val="00B431EE"/>
    <w:rsid w:val="00B51948"/>
    <w:rsid w:val="00B54EB4"/>
    <w:rsid w:val="00B55C71"/>
    <w:rsid w:val="00B56E4A"/>
    <w:rsid w:val="00B56E9C"/>
    <w:rsid w:val="00B61320"/>
    <w:rsid w:val="00B61BB6"/>
    <w:rsid w:val="00B64B1F"/>
    <w:rsid w:val="00B6553F"/>
    <w:rsid w:val="00B70F1E"/>
    <w:rsid w:val="00B77D05"/>
    <w:rsid w:val="00B80FCE"/>
    <w:rsid w:val="00B81206"/>
    <w:rsid w:val="00B81E12"/>
    <w:rsid w:val="00B824F2"/>
    <w:rsid w:val="00B835D6"/>
    <w:rsid w:val="00B8497D"/>
    <w:rsid w:val="00B867BB"/>
    <w:rsid w:val="00BA2681"/>
    <w:rsid w:val="00BA5D18"/>
    <w:rsid w:val="00BA639E"/>
    <w:rsid w:val="00BB20C7"/>
    <w:rsid w:val="00BB45BD"/>
    <w:rsid w:val="00BB54AC"/>
    <w:rsid w:val="00BB7CD1"/>
    <w:rsid w:val="00BC3FA0"/>
    <w:rsid w:val="00BC72A6"/>
    <w:rsid w:val="00BC74E9"/>
    <w:rsid w:val="00BD7C02"/>
    <w:rsid w:val="00BE485B"/>
    <w:rsid w:val="00BE48E6"/>
    <w:rsid w:val="00BF15A1"/>
    <w:rsid w:val="00BF68A8"/>
    <w:rsid w:val="00C008A1"/>
    <w:rsid w:val="00C10FE6"/>
    <w:rsid w:val="00C11A03"/>
    <w:rsid w:val="00C1428F"/>
    <w:rsid w:val="00C22C0C"/>
    <w:rsid w:val="00C249A2"/>
    <w:rsid w:val="00C414BD"/>
    <w:rsid w:val="00C44E1C"/>
    <w:rsid w:val="00C4527F"/>
    <w:rsid w:val="00C463DD"/>
    <w:rsid w:val="00C467C9"/>
    <w:rsid w:val="00C4724C"/>
    <w:rsid w:val="00C54D0E"/>
    <w:rsid w:val="00C629A0"/>
    <w:rsid w:val="00C62B05"/>
    <w:rsid w:val="00C64629"/>
    <w:rsid w:val="00C73056"/>
    <w:rsid w:val="00C745C3"/>
    <w:rsid w:val="00C90CB6"/>
    <w:rsid w:val="00C92EA8"/>
    <w:rsid w:val="00C92F6E"/>
    <w:rsid w:val="00CA4E69"/>
    <w:rsid w:val="00CA55D3"/>
    <w:rsid w:val="00CA6B02"/>
    <w:rsid w:val="00CB3E03"/>
    <w:rsid w:val="00CC2832"/>
    <w:rsid w:val="00CC589C"/>
    <w:rsid w:val="00CD57D2"/>
    <w:rsid w:val="00CD5B19"/>
    <w:rsid w:val="00CE4A8F"/>
    <w:rsid w:val="00CF4673"/>
    <w:rsid w:val="00D00610"/>
    <w:rsid w:val="00D00B34"/>
    <w:rsid w:val="00D139AC"/>
    <w:rsid w:val="00D14B9C"/>
    <w:rsid w:val="00D2031B"/>
    <w:rsid w:val="00D25FE2"/>
    <w:rsid w:val="00D318E2"/>
    <w:rsid w:val="00D43252"/>
    <w:rsid w:val="00D451AF"/>
    <w:rsid w:val="00D47EEA"/>
    <w:rsid w:val="00D51497"/>
    <w:rsid w:val="00D550D4"/>
    <w:rsid w:val="00D5784E"/>
    <w:rsid w:val="00D65303"/>
    <w:rsid w:val="00D72A5B"/>
    <w:rsid w:val="00D75B4E"/>
    <w:rsid w:val="00D773DF"/>
    <w:rsid w:val="00D80773"/>
    <w:rsid w:val="00D8320E"/>
    <w:rsid w:val="00D8402F"/>
    <w:rsid w:val="00D841DC"/>
    <w:rsid w:val="00D876F8"/>
    <w:rsid w:val="00D9255F"/>
    <w:rsid w:val="00D95303"/>
    <w:rsid w:val="00D96E43"/>
    <w:rsid w:val="00D978C6"/>
    <w:rsid w:val="00D97BBB"/>
    <w:rsid w:val="00DA282A"/>
    <w:rsid w:val="00DA3C1C"/>
    <w:rsid w:val="00DB46A4"/>
    <w:rsid w:val="00DB6CA5"/>
    <w:rsid w:val="00DC1580"/>
    <w:rsid w:val="00DD1453"/>
    <w:rsid w:val="00DD630E"/>
    <w:rsid w:val="00DF4BE7"/>
    <w:rsid w:val="00E0232A"/>
    <w:rsid w:val="00E046DF"/>
    <w:rsid w:val="00E04B58"/>
    <w:rsid w:val="00E105CE"/>
    <w:rsid w:val="00E13B15"/>
    <w:rsid w:val="00E15557"/>
    <w:rsid w:val="00E219C9"/>
    <w:rsid w:val="00E22D7D"/>
    <w:rsid w:val="00E27346"/>
    <w:rsid w:val="00E277A3"/>
    <w:rsid w:val="00E33FE2"/>
    <w:rsid w:val="00E36B96"/>
    <w:rsid w:val="00E4553B"/>
    <w:rsid w:val="00E471D5"/>
    <w:rsid w:val="00E51ED7"/>
    <w:rsid w:val="00E567EF"/>
    <w:rsid w:val="00E62184"/>
    <w:rsid w:val="00E64224"/>
    <w:rsid w:val="00E71BC8"/>
    <w:rsid w:val="00E7260F"/>
    <w:rsid w:val="00E73F5D"/>
    <w:rsid w:val="00E762DB"/>
    <w:rsid w:val="00E7636C"/>
    <w:rsid w:val="00E77E4E"/>
    <w:rsid w:val="00E86622"/>
    <w:rsid w:val="00E868EE"/>
    <w:rsid w:val="00E90287"/>
    <w:rsid w:val="00E93F20"/>
    <w:rsid w:val="00E94345"/>
    <w:rsid w:val="00E9492A"/>
    <w:rsid w:val="00E96630"/>
    <w:rsid w:val="00EA16B6"/>
    <w:rsid w:val="00EA3A3E"/>
    <w:rsid w:val="00EA6E41"/>
    <w:rsid w:val="00EA7989"/>
    <w:rsid w:val="00EB5944"/>
    <w:rsid w:val="00EC106A"/>
    <w:rsid w:val="00EC32A0"/>
    <w:rsid w:val="00ED7A2A"/>
    <w:rsid w:val="00EE6B3A"/>
    <w:rsid w:val="00EF1D7F"/>
    <w:rsid w:val="00EF7357"/>
    <w:rsid w:val="00F00EAB"/>
    <w:rsid w:val="00F01744"/>
    <w:rsid w:val="00F017E1"/>
    <w:rsid w:val="00F03A7B"/>
    <w:rsid w:val="00F227A6"/>
    <w:rsid w:val="00F24FB3"/>
    <w:rsid w:val="00F27D2C"/>
    <w:rsid w:val="00F31E5F"/>
    <w:rsid w:val="00F36773"/>
    <w:rsid w:val="00F36F0D"/>
    <w:rsid w:val="00F414C3"/>
    <w:rsid w:val="00F4272A"/>
    <w:rsid w:val="00F4495E"/>
    <w:rsid w:val="00F54F28"/>
    <w:rsid w:val="00F6100A"/>
    <w:rsid w:val="00F62BEC"/>
    <w:rsid w:val="00F65049"/>
    <w:rsid w:val="00F66565"/>
    <w:rsid w:val="00F668C9"/>
    <w:rsid w:val="00F7550B"/>
    <w:rsid w:val="00F8017A"/>
    <w:rsid w:val="00F82521"/>
    <w:rsid w:val="00F93781"/>
    <w:rsid w:val="00F93BFA"/>
    <w:rsid w:val="00FB0A9F"/>
    <w:rsid w:val="00FB4F94"/>
    <w:rsid w:val="00FB613B"/>
    <w:rsid w:val="00FB6973"/>
    <w:rsid w:val="00FC3C87"/>
    <w:rsid w:val="00FC68B7"/>
    <w:rsid w:val="00FD7A7D"/>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F4EE5EA"/>
  <w15:docId w15:val="{D7A9072C-4332-4984-8CD8-E6D35EA5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2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2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paragraph" w:customStyle="1" w:styleId="western">
    <w:name w:val="western"/>
    <w:basedOn w:val="Normal"/>
    <w:uiPriority w:val="99"/>
    <w:rsid w:val="009606A0"/>
    <w:pPr>
      <w:suppressAutoHyphens w:val="0"/>
      <w:spacing w:before="100" w:beforeAutospacing="1" w:line="238" w:lineRule="atLeast"/>
    </w:pPr>
    <w:rPr>
      <w:lang w:val="fr-FR" w:eastAsia="fr-FR"/>
    </w:rPr>
  </w:style>
  <w:style w:type="numbering" w:styleId="ArticleSection">
    <w:name w:val="Outline List 3"/>
    <w:basedOn w:val="NoList"/>
    <w:uiPriority w:val="99"/>
    <w:semiHidden/>
    <w:unhideWhenUsed/>
    <w:locked/>
    <w:rsid w:val="002F23FD"/>
    <w:pPr>
      <w:numPr>
        <w:numId w:val="26"/>
      </w:numPr>
    </w:pPr>
  </w:style>
  <w:style w:type="numbering" w:styleId="1ai">
    <w:name w:val="Outline List 1"/>
    <w:basedOn w:val="NoList"/>
    <w:uiPriority w:val="99"/>
    <w:semiHidden/>
    <w:unhideWhenUsed/>
    <w:locked/>
    <w:rsid w:val="002F23FD"/>
    <w:pPr>
      <w:numPr>
        <w:numId w:val="25"/>
      </w:numPr>
    </w:pPr>
  </w:style>
  <w:style w:type="numbering" w:styleId="111111">
    <w:name w:val="Outline List 2"/>
    <w:basedOn w:val="NoList"/>
    <w:uiPriority w:val="99"/>
    <w:semiHidden/>
    <w:unhideWhenUsed/>
    <w:locked/>
    <w:rsid w:val="002F23FD"/>
    <w:pPr>
      <w:numPr>
        <w:numId w:val="24"/>
      </w:numPr>
    </w:pPr>
  </w:style>
  <w:style w:type="character" w:customStyle="1" w:styleId="apple-converted-space">
    <w:name w:val="apple-converted-space"/>
    <w:basedOn w:val="DefaultParagraphFont"/>
    <w:rsid w:val="008E64A1"/>
  </w:style>
  <w:style w:type="character" w:customStyle="1" w:styleId="SingleTxtGZchnZchn">
    <w:name w:val="_ Single Txt_G Zchn Zchn"/>
    <w:uiPriority w:val="99"/>
    <w:rsid w:val="00AE400B"/>
    <w:rPr>
      <w:lang w:eastAsia="en-US"/>
    </w:rPr>
  </w:style>
  <w:style w:type="paragraph" w:styleId="CommentSubject">
    <w:name w:val="annotation subject"/>
    <w:basedOn w:val="CommentText"/>
    <w:next w:val="CommentText"/>
    <w:link w:val="CommentSubjectChar"/>
    <w:uiPriority w:val="99"/>
    <w:semiHidden/>
    <w:unhideWhenUsed/>
    <w:locked/>
    <w:rsid w:val="00AE400B"/>
    <w:pPr>
      <w:spacing w:line="240" w:lineRule="auto"/>
    </w:pPr>
    <w:rPr>
      <w:b/>
      <w:bCs/>
    </w:rPr>
  </w:style>
  <w:style w:type="character" w:customStyle="1" w:styleId="CommentSubjectChar">
    <w:name w:val="Comment Subject Char"/>
    <w:basedOn w:val="CommentTextChar"/>
    <w:link w:val="CommentSubject"/>
    <w:uiPriority w:val="99"/>
    <w:semiHidden/>
    <w:rsid w:val="00AE400B"/>
    <w:rPr>
      <w:rFonts w:cs="Times New Roman"/>
      <w:b/>
      <w:bCs/>
      <w:sz w:val="20"/>
      <w:szCs w:val="20"/>
      <w:lang w:val="en-GB" w:eastAsia="en-US"/>
    </w:rPr>
  </w:style>
  <w:style w:type="character" w:customStyle="1" w:styleId="UnresolvedMention1">
    <w:name w:val="Unresolved Mention1"/>
    <w:basedOn w:val="DefaultParagraphFont"/>
    <w:uiPriority w:val="99"/>
    <w:semiHidden/>
    <w:unhideWhenUsed/>
    <w:rsid w:val="00876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697">
      <w:bodyDiv w:val="1"/>
      <w:marLeft w:val="0"/>
      <w:marRight w:val="0"/>
      <w:marTop w:val="0"/>
      <w:marBottom w:val="0"/>
      <w:divBdr>
        <w:top w:val="none" w:sz="0" w:space="0" w:color="auto"/>
        <w:left w:val="none" w:sz="0" w:space="0" w:color="auto"/>
        <w:bottom w:val="none" w:sz="0" w:space="0" w:color="auto"/>
        <w:right w:val="none" w:sz="0" w:space="0" w:color="auto"/>
      </w:divBdr>
    </w:div>
    <w:div w:id="581719296">
      <w:bodyDiv w:val="1"/>
      <w:marLeft w:val="0"/>
      <w:marRight w:val="0"/>
      <w:marTop w:val="0"/>
      <w:marBottom w:val="0"/>
      <w:divBdr>
        <w:top w:val="none" w:sz="0" w:space="0" w:color="auto"/>
        <w:left w:val="none" w:sz="0" w:space="0" w:color="auto"/>
        <w:bottom w:val="none" w:sz="0" w:space="0" w:color="auto"/>
        <w:right w:val="none" w:sz="0" w:space="0" w:color="auto"/>
      </w:divBdr>
    </w:div>
    <w:div w:id="1232424255">
      <w:marLeft w:val="0"/>
      <w:marRight w:val="0"/>
      <w:marTop w:val="0"/>
      <w:marBottom w:val="0"/>
      <w:divBdr>
        <w:top w:val="none" w:sz="0" w:space="0" w:color="auto"/>
        <w:left w:val="none" w:sz="0" w:space="0" w:color="auto"/>
        <w:bottom w:val="none" w:sz="0" w:space="0" w:color="auto"/>
        <w:right w:val="none" w:sz="0" w:space="0" w:color="auto"/>
      </w:divBdr>
    </w:div>
    <w:div w:id="1232424256">
      <w:marLeft w:val="0"/>
      <w:marRight w:val="0"/>
      <w:marTop w:val="0"/>
      <w:marBottom w:val="0"/>
      <w:divBdr>
        <w:top w:val="none" w:sz="0" w:space="0" w:color="auto"/>
        <w:left w:val="none" w:sz="0" w:space="0" w:color="auto"/>
        <w:bottom w:val="none" w:sz="0" w:space="0" w:color="auto"/>
        <w:right w:val="none" w:sz="0" w:space="0" w:color="auto"/>
      </w:divBdr>
    </w:div>
    <w:div w:id="1232424257">
      <w:marLeft w:val="0"/>
      <w:marRight w:val="0"/>
      <w:marTop w:val="0"/>
      <w:marBottom w:val="0"/>
      <w:divBdr>
        <w:top w:val="none" w:sz="0" w:space="0" w:color="auto"/>
        <w:left w:val="none" w:sz="0" w:space="0" w:color="auto"/>
        <w:bottom w:val="none" w:sz="0" w:space="0" w:color="auto"/>
        <w:right w:val="none" w:sz="0" w:space="0" w:color="auto"/>
      </w:divBdr>
    </w:div>
    <w:div w:id="1232424258">
      <w:marLeft w:val="0"/>
      <w:marRight w:val="0"/>
      <w:marTop w:val="0"/>
      <w:marBottom w:val="0"/>
      <w:divBdr>
        <w:top w:val="none" w:sz="0" w:space="0" w:color="auto"/>
        <w:left w:val="none" w:sz="0" w:space="0" w:color="auto"/>
        <w:bottom w:val="none" w:sz="0" w:space="0" w:color="auto"/>
        <w:right w:val="none" w:sz="0" w:space="0" w:color="auto"/>
      </w:divBdr>
    </w:div>
    <w:div w:id="1232424259">
      <w:marLeft w:val="0"/>
      <w:marRight w:val="0"/>
      <w:marTop w:val="0"/>
      <w:marBottom w:val="0"/>
      <w:divBdr>
        <w:top w:val="none" w:sz="0" w:space="0" w:color="auto"/>
        <w:left w:val="none" w:sz="0" w:space="0" w:color="auto"/>
        <w:bottom w:val="none" w:sz="0" w:space="0" w:color="auto"/>
        <w:right w:val="none" w:sz="0" w:space="0" w:color="auto"/>
      </w:divBdr>
    </w:div>
    <w:div w:id="1232424260">
      <w:marLeft w:val="0"/>
      <w:marRight w:val="0"/>
      <w:marTop w:val="0"/>
      <w:marBottom w:val="0"/>
      <w:divBdr>
        <w:top w:val="none" w:sz="0" w:space="0" w:color="auto"/>
        <w:left w:val="none" w:sz="0" w:space="0" w:color="auto"/>
        <w:bottom w:val="none" w:sz="0" w:space="0" w:color="auto"/>
        <w:right w:val="none" w:sz="0" w:space="0" w:color="auto"/>
      </w:divBdr>
    </w:div>
    <w:div w:id="123242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818</Words>
  <Characters>4353</Characters>
  <Application>Microsoft Office Word</Application>
  <DocSecurity>0</DocSecurity>
  <Lines>85</Lines>
  <Paragraphs>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Iliass Zerktouni</dc:creator>
  <cp:keywords>ECE/TRANS/WP.15/AC.1/2012/8</cp:keywords>
  <dc:description>Final</dc:description>
  <cp:lastModifiedBy>Christine Barrio-Champeau</cp:lastModifiedBy>
  <cp:revision>6</cp:revision>
  <cp:lastPrinted>2019-05-08T10:39:00Z</cp:lastPrinted>
  <dcterms:created xsi:type="dcterms:W3CDTF">2019-05-08T10:44:00Z</dcterms:created>
  <dcterms:modified xsi:type="dcterms:W3CDTF">2019-05-08T13:36:00Z</dcterms:modified>
</cp:coreProperties>
</file>