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307"/>
        <w:gridCol w:w="2835"/>
      </w:tblGrid>
      <w:tr w:rsidR="005E0F7B" w:rsidRPr="00471D64" w14:paraId="0FFE53DE" w14:textId="77777777" w:rsidTr="00FE069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2B5E641B" w:rsidR="005E0F7B" w:rsidRDefault="005E0F7B" w:rsidP="007607F5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A6743D">
              <w:t>9</w:t>
            </w:r>
            <w:r w:rsidR="00EB5EFC">
              <w:t>/</w:t>
            </w:r>
            <w:r w:rsidR="004D0198">
              <w:t>3</w:t>
            </w:r>
            <w:r w:rsidR="008E6500">
              <w:t>2</w:t>
            </w:r>
            <w:r w:rsidR="00DC6892">
              <w:t>-</w:t>
            </w:r>
            <w:r w:rsidR="00DC6892">
              <w:rPr>
                <w:sz w:val="40"/>
              </w:rPr>
              <w:t>ST</w:t>
            </w:r>
            <w:r w:rsidR="00DC6892">
              <w:t>/SG/AC.10/C.4/2019/</w:t>
            </w:r>
            <w:r w:rsidR="004D0198">
              <w:t>5</w:t>
            </w:r>
          </w:p>
        </w:tc>
      </w:tr>
      <w:tr w:rsidR="005E0F7B" w:rsidRPr="005E0F7B" w14:paraId="077A4DB1" w14:textId="77777777" w:rsidTr="004D0198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77777777" w:rsidR="005E0F7B" w:rsidRDefault="00FD21A9">
            <w:pPr>
              <w:spacing w:before="120"/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4790B268" w:rsidR="005E0F7B" w:rsidRPr="005C67A3" w:rsidRDefault="00C91693">
            <w:pPr>
              <w:suppressAutoHyphens w:val="0"/>
            </w:pPr>
            <w:r>
              <w:t>9</w:t>
            </w:r>
            <w:r w:rsidR="00FE0693">
              <w:t xml:space="preserve"> April</w:t>
            </w:r>
            <w:r w:rsidR="00A065BA">
              <w:t xml:space="preserve"> 201</w:t>
            </w:r>
            <w:r w:rsidR="00E91706">
              <w:t>9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6743D" w:rsidRPr="00D76B09" w14:paraId="7F11AE8F" w14:textId="77777777" w:rsidTr="00A6743D">
        <w:tc>
          <w:tcPr>
            <w:tcW w:w="4593" w:type="dxa"/>
            <w:shd w:val="clear" w:color="auto" w:fill="auto"/>
          </w:tcPr>
          <w:p w14:paraId="579A627B" w14:textId="77777777" w:rsidR="00A6743D" w:rsidRPr="00D76B09" w:rsidRDefault="00A6743D" w:rsidP="00A6743D">
            <w:pPr>
              <w:spacing w:before="120" w:after="120"/>
              <w:rPr>
                <w:b/>
              </w:rPr>
            </w:pPr>
            <w:r w:rsidRPr="00D76B09">
              <w:rPr>
                <w:b/>
              </w:rPr>
              <w:t xml:space="preserve">Sub-Committee of Experts on the Transport </w:t>
            </w:r>
            <w:r w:rsidRPr="00D76B09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58C0FF5E" w14:textId="77777777" w:rsidR="00A6743D" w:rsidRPr="00D76B09" w:rsidRDefault="00A6743D" w:rsidP="00A6743D">
            <w:pPr>
              <w:spacing w:before="120"/>
              <w:rPr>
                <w:b/>
              </w:rPr>
            </w:pPr>
            <w:r w:rsidRPr="00D76B09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6743D" w:rsidRPr="00D76B09" w14:paraId="4C950D29" w14:textId="77777777" w:rsidTr="00A6743D">
        <w:tc>
          <w:tcPr>
            <w:tcW w:w="4593" w:type="dxa"/>
            <w:shd w:val="clear" w:color="auto" w:fill="auto"/>
          </w:tcPr>
          <w:p w14:paraId="646295FD" w14:textId="5D81D91C" w:rsidR="00A6743D" w:rsidRPr="00D76B09" w:rsidRDefault="00A6743D" w:rsidP="00A6743D">
            <w:pPr>
              <w:rPr>
                <w:b/>
              </w:rPr>
            </w:pPr>
            <w:r w:rsidRPr="00D76B09">
              <w:rPr>
                <w:b/>
              </w:rPr>
              <w:t>Fifty-</w:t>
            </w:r>
            <w:r>
              <w:rPr>
                <w:b/>
              </w:rPr>
              <w:t>fifth</w:t>
            </w:r>
            <w:r w:rsidRPr="00D76B09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3520F649" w14:textId="42E55FC7" w:rsidR="00A6743D" w:rsidRPr="00D76B09" w:rsidRDefault="00A6743D" w:rsidP="00A6743D">
            <w:pPr>
              <w:rPr>
                <w:b/>
              </w:rPr>
            </w:pPr>
            <w:r w:rsidRPr="00D76B09">
              <w:rPr>
                <w:b/>
              </w:rPr>
              <w:t>Thirty-</w:t>
            </w:r>
            <w:r>
              <w:rPr>
                <w:b/>
              </w:rPr>
              <w:t>seventh</w:t>
            </w:r>
            <w:r w:rsidRPr="00D76B09">
              <w:rPr>
                <w:b/>
              </w:rPr>
              <w:t xml:space="preserve"> session</w:t>
            </w:r>
          </w:p>
        </w:tc>
      </w:tr>
      <w:tr w:rsidR="00A6743D" w:rsidRPr="00012035" w14:paraId="1228EDAD" w14:textId="77777777" w:rsidTr="007607F5">
        <w:trPr>
          <w:trHeight w:val="1118"/>
        </w:trPr>
        <w:tc>
          <w:tcPr>
            <w:tcW w:w="4593" w:type="dxa"/>
            <w:shd w:val="clear" w:color="auto" w:fill="auto"/>
          </w:tcPr>
          <w:p w14:paraId="0D26B20B" w14:textId="45E95A20" w:rsidR="00A6743D" w:rsidRDefault="00A6743D" w:rsidP="00A6743D">
            <w:pPr>
              <w:ind w:right="57"/>
            </w:pPr>
            <w:r>
              <w:t>Geneva, 1-5 July 2019</w:t>
            </w:r>
          </w:p>
          <w:p w14:paraId="208902CD" w14:textId="76B508E7" w:rsidR="00A6743D" w:rsidRPr="005A0185" w:rsidRDefault="00A6743D" w:rsidP="00A6743D">
            <w:pPr>
              <w:ind w:right="57"/>
            </w:pPr>
            <w:r w:rsidRPr="005A0185">
              <w:t xml:space="preserve">Item </w:t>
            </w:r>
            <w:r>
              <w:t>2</w:t>
            </w:r>
            <w:r w:rsidRPr="005A0185">
              <w:t xml:space="preserve"> (</w:t>
            </w:r>
            <w:r w:rsidR="00A570C0">
              <w:t>h</w:t>
            </w:r>
            <w:r w:rsidRPr="005A0185">
              <w:t>) of the provisional agenda</w:t>
            </w:r>
          </w:p>
          <w:p w14:paraId="55C978EC" w14:textId="77777777" w:rsidR="00A6743D" w:rsidRDefault="00277336" w:rsidP="007607F5">
            <w:pPr>
              <w:ind w:right="57"/>
              <w:rPr>
                <w:b/>
                <w:bCs/>
              </w:rPr>
            </w:pPr>
            <w:r w:rsidRPr="00277336">
              <w:rPr>
                <w:b/>
                <w:bCs/>
              </w:rPr>
              <w:t>Explosives and related matters:</w:t>
            </w:r>
          </w:p>
          <w:p w14:paraId="1CC5E2DD" w14:textId="32258202" w:rsidR="00A570C0" w:rsidRPr="00277336" w:rsidRDefault="00A570C0" w:rsidP="007607F5">
            <w:pPr>
              <w:ind w:right="57"/>
              <w:rPr>
                <w:b/>
                <w:bCs/>
              </w:rPr>
            </w:pPr>
            <w:r w:rsidRPr="00A570C0">
              <w:rPr>
                <w:b/>
                <w:bCs/>
              </w:rPr>
              <w:t>R</w:t>
            </w:r>
            <w:r>
              <w:rPr>
                <w:b/>
                <w:bCs/>
              </w:rPr>
              <w:t>eview of Chapter 2.1 of the GHS</w:t>
            </w:r>
          </w:p>
        </w:tc>
        <w:tc>
          <w:tcPr>
            <w:tcW w:w="5046" w:type="dxa"/>
            <w:shd w:val="clear" w:color="auto" w:fill="auto"/>
          </w:tcPr>
          <w:p w14:paraId="6E9D0323" w14:textId="5B9A45D0" w:rsidR="00A6743D" w:rsidRDefault="00A6743D" w:rsidP="00A6743D">
            <w:r>
              <w:t>Geneva, 8-10 July 2019</w:t>
            </w:r>
          </w:p>
          <w:p w14:paraId="188E412A" w14:textId="10204E38" w:rsidR="00A6743D" w:rsidRPr="005A0185" w:rsidRDefault="00A6743D" w:rsidP="00A6743D">
            <w:r w:rsidRPr="005A0185">
              <w:t xml:space="preserve">Item </w:t>
            </w:r>
            <w:r w:rsidR="000A6BBA">
              <w:t>2</w:t>
            </w:r>
            <w:r w:rsidR="00A570C0">
              <w:t xml:space="preserve"> (b</w:t>
            </w:r>
            <w:r>
              <w:t>)</w:t>
            </w:r>
            <w:r w:rsidRPr="005A0185">
              <w:t xml:space="preserve"> of the provisional agenda</w:t>
            </w:r>
          </w:p>
          <w:p w14:paraId="679AB3FB" w14:textId="77777777" w:rsidR="00A6743D" w:rsidRDefault="00A6743D" w:rsidP="007607F5">
            <w:pPr>
              <w:rPr>
                <w:b/>
                <w:bCs/>
              </w:rPr>
            </w:pPr>
            <w:r w:rsidRPr="00012035">
              <w:rPr>
                <w:b/>
                <w:bCs/>
              </w:rPr>
              <w:t>Classification criteria and related hazard communication:</w:t>
            </w:r>
          </w:p>
          <w:p w14:paraId="2466ADDE" w14:textId="4DB49DCF" w:rsidR="00A570C0" w:rsidRPr="00012035" w:rsidRDefault="00A570C0" w:rsidP="007607F5">
            <w:pPr>
              <w:rPr>
                <w:b/>
                <w:bCs/>
              </w:rPr>
            </w:pPr>
            <w:r>
              <w:rPr>
                <w:b/>
                <w:bCs/>
              </w:rPr>
              <w:t>Review of Chapter 2.1</w:t>
            </w:r>
          </w:p>
        </w:tc>
      </w:tr>
    </w:tbl>
    <w:p w14:paraId="435AB9E1" w14:textId="0DD91079" w:rsidR="00E41283" w:rsidRDefault="00955158" w:rsidP="000809F3">
      <w:pPr>
        <w:pStyle w:val="HChG"/>
      </w:pPr>
      <w:r>
        <w:br/>
      </w:r>
      <w:r w:rsidR="00271C18" w:rsidRPr="00271C18">
        <w:t>Development of a new Chapter 2.1 for the GHS (</w:t>
      </w:r>
      <w:r w:rsidR="00325257">
        <w:t>e</w:t>
      </w:r>
      <w:r w:rsidR="00271C18" w:rsidRPr="00271C18">
        <w:t>xplosives)</w:t>
      </w:r>
    </w:p>
    <w:p w14:paraId="75FD3243" w14:textId="40C9E0F2" w:rsidR="00E41283" w:rsidRPr="00E41283" w:rsidRDefault="00E41283" w:rsidP="00E41283">
      <w:pPr>
        <w:pStyle w:val="H1G"/>
      </w:pPr>
      <w:r>
        <w:tab/>
      </w:r>
      <w:r>
        <w:tab/>
      </w:r>
      <w:r w:rsidR="006A5661" w:rsidRPr="0064541A">
        <w:rPr>
          <w:lang w:val="en-US"/>
        </w:rPr>
        <w:t xml:space="preserve">Transmitted by the </w:t>
      </w:r>
      <w:r w:rsidR="00271C18">
        <w:rPr>
          <w:lang w:val="en-US"/>
        </w:rPr>
        <w:t>expert from Sweden</w:t>
      </w:r>
      <w:r w:rsidR="004D0198">
        <w:rPr>
          <w:rStyle w:val="FootnoteReference"/>
          <w:lang w:val="en-US"/>
        </w:rPr>
        <w:footnoteReference w:customMarkFollows="1" w:id="2"/>
        <w:t>*</w:t>
      </w:r>
    </w:p>
    <w:p w14:paraId="74159490" w14:textId="4EEEA568" w:rsidR="00E41283" w:rsidRDefault="00E41283" w:rsidP="00E41283">
      <w:pPr>
        <w:pStyle w:val="HChG"/>
        <w:rPr>
          <w:szCs w:val="28"/>
        </w:rPr>
      </w:pPr>
      <w:r>
        <w:tab/>
      </w:r>
      <w:r>
        <w:tab/>
      </w:r>
      <w:r w:rsidR="00271C18" w:rsidRPr="00271C18">
        <w:t>Background</w:t>
      </w:r>
    </w:p>
    <w:p w14:paraId="73162D9D" w14:textId="170C4BF1" w:rsidR="0061237F" w:rsidRDefault="00793234" w:rsidP="006E3537">
      <w:pPr>
        <w:pStyle w:val="SingleTxtG"/>
        <w:tabs>
          <w:tab w:val="left" w:pos="1701"/>
        </w:tabs>
      </w:pPr>
      <w:r>
        <w:t>1</w:t>
      </w:r>
      <w:r w:rsidR="00271C18">
        <w:t>.</w:t>
      </w:r>
      <w:r w:rsidR="00271C18">
        <w:tab/>
      </w:r>
      <w:r w:rsidRPr="00793234">
        <w:t xml:space="preserve">The work on revising Chapter 2.1 for Explosives in the GHS has been going on since </w:t>
      </w:r>
      <w:r w:rsidR="00680481">
        <w:t xml:space="preserve">the </w:t>
      </w:r>
      <w:r w:rsidR="00325257">
        <w:t>twenty-ninth</w:t>
      </w:r>
      <w:r w:rsidRPr="00793234">
        <w:t xml:space="preserve"> session of the </w:t>
      </w:r>
      <w:r>
        <w:t>Sub-Committee of Experts on the Globally Harmonized System (</w:t>
      </w:r>
      <w:r w:rsidRPr="00793234">
        <w:t>SCEGHS</w:t>
      </w:r>
      <w:r>
        <w:t>)</w:t>
      </w:r>
      <w:r w:rsidR="001153C6">
        <w:t xml:space="preserve">. It is discussed within an </w:t>
      </w:r>
      <w:r w:rsidR="00325257">
        <w:t>i</w:t>
      </w:r>
      <w:r w:rsidR="001153C6">
        <w:t xml:space="preserve">nformal </w:t>
      </w:r>
      <w:r w:rsidR="00325257">
        <w:t>c</w:t>
      </w:r>
      <w:r w:rsidR="001153C6">
        <w:t xml:space="preserve">orrespondence </w:t>
      </w:r>
      <w:r w:rsidR="00325257">
        <w:t>g</w:t>
      </w:r>
      <w:r w:rsidR="001153C6">
        <w:t>roup (ICG)</w:t>
      </w:r>
      <w:r w:rsidR="006C46F2">
        <w:t xml:space="preserve"> le</w:t>
      </w:r>
      <w:r w:rsidR="006E3537">
        <w:t xml:space="preserve">d by the </w:t>
      </w:r>
      <w:r w:rsidRPr="00793234">
        <w:t>expert from Sweden</w:t>
      </w:r>
      <w:r w:rsidR="00E90014">
        <w:t>, and the progress</w:t>
      </w:r>
      <w:r w:rsidR="0061237F">
        <w:t xml:space="preserve"> of the work</w:t>
      </w:r>
      <w:r w:rsidR="00E90014">
        <w:t xml:space="preserve"> has been reported on in </w:t>
      </w:r>
      <w:r w:rsidR="00325257">
        <w:t>s</w:t>
      </w:r>
      <w:r w:rsidR="00E90014">
        <w:t xml:space="preserve">tatus </w:t>
      </w:r>
      <w:r w:rsidR="00325257">
        <w:t>r</w:t>
      </w:r>
      <w:r w:rsidR="00E90014">
        <w:t xml:space="preserve">eports since </w:t>
      </w:r>
      <w:r w:rsidR="00E16C68">
        <w:t>the</w:t>
      </w:r>
      <w:r w:rsidR="00E90014">
        <w:t xml:space="preserve"> </w:t>
      </w:r>
      <w:r w:rsidR="00325257">
        <w:t>thirtieth</w:t>
      </w:r>
      <w:r w:rsidR="00E90014">
        <w:t xml:space="preserve"> session of the SCEGHS</w:t>
      </w:r>
      <w:r w:rsidRPr="00793234">
        <w:t>.</w:t>
      </w:r>
      <w:r w:rsidR="004D0198">
        <w:rPr>
          <w:rStyle w:val="FootnoteReference"/>
        </w:rPr>
        <w:footnoteReference w:customMarkFollows="1" w:id="3"/>
        <w:t>1</w:t>
      </w:r>
    </w:p>
    <w:p w14:paraId="4EFA5A9C" w14:textId="23A929F3" w:rsidR="00793234" w:rsidRDefault="0061237F" w:rsidP="006E3537">
      <w:pPr>
        <w:pStyle w:val="SingleTxtG"/>
        <w:tabs>
          <w:tab w:val="left" w:pos="1701"/>
        </w:tabs>
      </w:pPr>
      <w:r>
        <w:t>2.</w:t>
      </w:r>
      <w:r>
        <w:tab/>
      </w:r>
      <w:r w:rsidR="006E3537">
        <w:t>Over</w:t>
      </w:r>
      <w:r w:rsidR="00793234" w:rsidRPr="00793234">
        <w:t xml:space="preserve"> th</w:t>
      </w:r>
      <w:r w:rsidR="006E3537">
        <w:t>e</w:t>
      </w:r>
      <w:r w:rsidR="00793234" w:rsidRPr="00793234">
        <w:t xml:space="preserve"> years, the work has gradually ripened into a potential new </w:t>
      </w:r>
      <w:r w:rsidR="000F354C">
        <w:t xml:space="preserve">GHS </w:t>
      </w:r>
      <w:r w:rsidR="00793234" w:rsidRPr="00793234">
        <w:t>classification system that can overcome the difficulties</w:t>
      </w:r>
      <w:r w:rsidR="00793234">
        <w:t xml:space="preserve"> associated</w:t>
      </w:r>
      <w:r w:rsidR="00793234" w:rsidRPr="00793234">
        <w:t xml:space="preserve"> with the current</w:t>
      </w:r>
      <w:r w:rsidR="00793234">
        <w:t xml:space="preserve"> system</w:t>
      </w:r>
      <w:r w:rsidR="006E3537">
        <w:t>,</w:t>
      </w:r>
      <w:r w:rsidR="00793234">
        <w:t xml:space="preserve"> which relies on</w:t>
      </w:r>
      <w:r w:rsidR="00D2544D">
        <w:t xml:space="preserve"> the explosive being in a particular</w:t>
      </w:r>
      <w:r w:rsidR="00793234">
        <w:t xml:space="preserve"> </w:t>
      </w:r>
      <w:r w:rsidR="006E3537">
        <w:t xml:space="preserve">(transport) </w:t>
      </w:r>
      <w:r w:rsidR="00793234">
        <w:t>configuration</w:t>
      </w:r>
      <w:r w:rsidR="006E3537">
        <w:t>.</w:t>
      </w:r>
      <w:r w:rsidR="00793234">
        <w:t xml:space="preserve"> </w:t>
      </w:r>
      <w:r w:rsidR="006E3537">
        <w:t xml:space="preserve">When this configuration is broken or not present, e.g. in supply, use, manufacturing and processing, the current </w:t>
      </w:r>
      <w:r>
        <w:t xml:space="preserve">GHS </w:t>
      </w:r>
      <w:r w:rsidR="006E3537">
        <w:t xml:space="preserve">hazard communication </w:t>
      </w:r>
      <w:r w:rsidR="007C54FD">
        <w:t>often</w:t>
      </w:r>
      <w:r w:rsidR="00793234">
        <w:t xml:space="preserve"> </w:t>
      </w:r>
      <w:r w:rsidR="006E3537">
        <w:t>under</w:t>
      </w:r>
      <w:r>
        <w:t>states</w:t>
      </w:r>
      <w:r w:rsidR="006E3537">
        <w:t xml:space="preserve"> the </w:t>
      </w:r>
      <w:r>
        <w:t xml:space="preserve">actual </w:t>
      </w:r>
      <w:r w:rsidR="006E3537">
        <w:t>hazard</w:t>
      </w:r>
      <w:r w:rsidR="009119D3">
        <w:t>,</w:t>
      </w:r>
      <w:r w:rsidR="006E3537">
        <w:t xml:space="preserve"> </w:t>
      </w:r>
      <w:r w:rsidR="007C54FD">
        <w:t>as it re</w:t>
      </w:r>
      <w:r w:rsidR="000F354C">
        <w:t>flects</w:t>
      </w:r>
      <w:r w:rsidR="007C54FD">
        <w:t xml:space="preserve"> the explosive</w:t>
      </w:r>
      <w:r w:rsidR="000F354C">
        <w:t xml:space="preserve"> behaviour</w:t>
      </w:r>
      <w:r w:rsidR="007C54FD">
        <w:t xml:space="preserve"> in</w:t>
      </w:r>
      <w:r w:rsidR="006E3537">
        <w:t xml:space="preserve"> that particular </w:t>
      </w:r>
      <w:r w:rsidR="009119D3">
        <w:t>configuration</w:t>
      </w:r>
      <w:r w:rsidR="00793234">
        <w:t>.</w:t>
      </w:r>
      <w:r w:rsidR="006E3537">
        <w:t xml:space="preserve"> Furthermore, the current </w:t>
      </w:r>
      <w:r>
        <w:t xml:space="preserve">GHS </w:t>
      </w:r>
      <w:r w:rsidR="006E3537">
        <w:t>system</w:t>
      </w:r>
      <w:r w:rsidR="006E3537" w:rsidRPr="006E3537">
        <w:t xml:space="preserve"> </w:t>
      </w:r>
      <w:r w:rsidR="006E3537">
        <w:t xml:space="preserve">is unable to classify </w:t>
      </w:r>
      <w:r w:rsidR="009119D3">
        <w:t>an</w:t>
      </w:r>
      <w:r w:rsidR="006E3537">
        <w:t xml:space="preserve"> explosive unless it is in a configuration suitable for performing the classification </w:t>
      </w:r>
      <w:r w:rsidR="006E3537">
        <w:lastRenderedPageBreak/>
        <w:t xml:space="preserve">test, which is </w:t>
      </w:r>
      <w:r w:rsidR="00AE3AB1">
        <w:t>normally</w:t>
      </w:r>
      <w:r w:rsidR="006E3537">
        <w:t xml:space="preserve"> the transport configuration</w:t>
      </w:r>
      <w:r w:rsidR="00AE3AB1">
        <w:t xml:space="preserve"> for which the</w:t>
      </w:r>
      <w:r w:rsidR="000F354C">
        <w:t>se</w:t>
      </w:r>
      <w:r w:rsidR="00AE3AB1">
        <w:t xml:space="preserve"> tests were originally designed</w:t>
      </w:r>
      <w:r w:rsidR="006E3537">
        <w:t>.</w:t>
      </w:r>
      <w:r w:rsidR="00587FFB">
        <w:rPr>
          <w:rStyle w:val="FootnoteReference"/>
        </w:rPr>
        <w:footnoteReference w:customMarkFollows="1" w:id="4"/>
        <w:t>2</w:t>
      </w:r>
    </w:p>
    <w:p w14:paraId="09A5A8AF" w14:textId="5F7E9124" w:rsidR="0061237F" w:rsidRDefault="0061237F" w:rsidP="00B417FE">
      <w:pPr>
        <w:pStyle w:val="SingleTxtG"/>
        <w:tabs>
          <w:tab w:val="left" w:pos="1701"/>
        </w:tabs>
      </w:pPr>
      <w:r>
        <w:t>3</w:t>
      </w:r>
      <w:r w:rsidR="00793234">
        <w:t>.</w:t>
      </w:r>
      <w:r w:rsidR="00793234">
        <w:tab/>
        <w:t>The</w:t>
      </w:r>
      <w:r w:rsidR="001153C6">
        <w:t xml:space="preserve"> potential</w:t>
      </w:r>
      <w:r w:rsidR="00793234">
        <w:t xml:space="preserve"> new </w:t>
      </w:r>
      <w:r w:rsidR="000F354C">
        <w:t xml:space="preserve">GHS </w:t>
      </w:r>
      <w:r w:rsidR="00793234">
        <w:t xml:space="preserve">classification system </w:t>
      </w:r>
      <w:r w:rsidR="00AE3AB1">
        <w:t xml:space="preserve">developed within </w:t>
      </w:r>
      <w:r w:rsidR="00793234">
        <w:t>the I</w:t>
      </w:r>
      <w:r w:rsidR="001153C6">
        <w:t xml:space="preserve">CG </w:t>
      </w:r>
      <w:r w:rsidR="00793234">
        <w:t xml:space="preserve">introduces two main categories for </w:t>
      </w:r>
      <w:r w:rsidR="00325257">
        <w:t>e</w:t>
      </w:r>
      <w:r w:rsidR="00793234">
        <w:t xml:space="preserve">xplosives – Category 2 for </w:t>
      </w:r>
      <w:r w:rsidR="00325257">
        <w:t>e</w:t>
      </w:r>
      <w:r w:rsidR="00793234">
        <w:t xml:space="preserve">xplosives that have been assigned a Division in a certain </w:t>
      </w:r>
      <w:r w:rsidR="009119D3">
        <w:t xml:space="preserve">(transport) </w:t>
      </w:r>
      <w:r w:rsidR="00793234">
        <w:t xml:space="preserve">configuration and Category 1 for </w:t>
      </w:r>
      <w:r w:rsidR="00325257">
        <w:t>e</w:t>
      </w:r>
      <w:r w:rsidR="00793234">
        <w:t>xplosives th</w:t>
      </w:r>
      <w:r w:rsidR="00AE3AB1">
        <w:t>at have not. Category 2 is</w:t>
      </w:r>
      <w:r w:rsidR="00CE265D">
        <w:t xml:space="preserve"> </w:t>
      </w:r>
      <w:r w:rsidR="00793234">
        <w:t xml:space="preserve">divided into three subcategories 2A, 2B and 2C, </w:t>
      </w:r>
      <w:r w:rsidR="009119D3">
        <w:t>reflecting</w:t>
      </w:r>
      <w:r w:rsidR="00793234">
        <w:t xml:space="preserve"> the degree of hazard </w:t>
      </w:r>
      <w:r w:rsidR="009119D3">
        <w:t>(high, medium and low, respectively) independently of</w:t>
      </w:r>
      <w:r w:rsidR="00793234">
        <w:t xml:space="preserve"> the configuration in which the </w:t>
      </w:r>
      <w:r w:rsidR="00325257">
        <w:t>d</w:t>
      </w:r>
      <w:r w:rsidR="00793234">
        <w:t>ivision was assigned</w:t>
      </w:r>
      <w:r w:rsidR="00975C15">
        <w:t>.</w:t>
      </w:r>
      <w:r w:rsidR="00587FFB">
        <w:rPr>
          <w:rStyle w:val="FootnoteReference"/>
        </w:rPr>
        <w:footnoteReference w:customMarkFollows="1" w:id="5"/>
        <w:t>3</w:t>
      </w:r>
      <w:r w:rsidR="00793234">
        <w:t xml:space="preserve"> Category 2 as a whole would be identical in scope to Class 1 of the Model Regulations on the Transport of Dangerous Goods (the Model Regulations).</w:t>
      </w:r>
    </w:p>
    <w:p w14:paraId="130073D4" w14:textId="4828273B" w:rsidR="00793234" w:rsidRPr="00793234" w:rsidRDefault="0061237F" w:rsidP="00B417FE">
      <w:pPr>
        <w:pStyle w:val="SingleTxtG"/>
        <w:tabs>
          <w:tab w:val="left" w:pos="1701"/>
        </w:tabs>
      </w:pPr>
      <w:r>
        <w:t>4.</w:t>
      </w:r>
      <w:r>
        <w:tab/>
      </w:r>
      <w:r w:rsidR="0081251D">
        <w:t xml:space="preserve">Importantly, the new GHS system under consideration retains the </w:t>
      </w:r>
      <w:r w:rsidR="00325257">
        <w:t>d</w:t>
      </w:r>
      <w:r w:rsidR="0081251D">
        <w:t>ivisions</w:t>
      </w:r>
      <w:r w:rsidR="00E16C68">
        <w:t xml:space="preserve"> that presently constitute the classification for all </w:t>
      </w:r>
      <w:r w:rsidR="00325257">
        <w:t>e</w:t>
      </w:r>
      <w:r w:rsidR="00E16C68">
        <w:t xml:space="preserve">xplosives except the </w:t>
      </w:r>
      <w:r w:rsidR="00EB33F6">
        <w:t xml:space="preserve">classification </w:t>
      </w:r>
      <w:r w:rsidR="00E16C68">
        <w:t>“Unstable explosives”</w:t>
      </w:r>
      <w:r w:rsidR="0081251D">
        <w:t>, as this is the relevant level of classification</w:t>
      </w:r>
      <w:r w:rsidR="006A17B4">
        <w:t xml:space="preserve"> </w:t>
      </w:r>
      <w:r w:rsidR="0081251D">
        <w:t>for</w:t>
      </w:r>
      <w:r w:rsidR="006A17B4">
        <w:t xml:space="preserve"> e.g.</w:t>
      </w:r>
      <w:r w:rsidR="0081251D">
        <w:t xml:space="preserve"> storage in the transport configuration.</w:t>
      </w:r>
      <w:r w:rsidR="00587FFB">
        <w:rPr>
          <w:rStyle w:val="FootnoteReference"/>
        </w:rPr>
        <w:footnoteReference w:customMarkFollows="1" w:id="6"/>
        <w:t>4</w:t>
      </w:r>
      <w:r w:rsidR="00CE265D">
        <w:t xml:space="preserve"> Furthermore, no changes to the transport classification system</w:t>
      </w:r>
      <w:r w:rsidR="00DA7BDD">
        <w:t xml:space="preserve"> for explosives</w:t>
      </w:r>
      <w:r w:rsidR="00CE265D">
        <w:t xml:space="preserve"> (</w:t>
      </w:r>
      <w:r w:rsidR="000F354C">
        <w:t xml:space="preserve">i.e. </w:t>
      </w:r>
      <w:r w:rsidR="00CE265D">
        <w:t xml:space="preserve">Class 1) are </w:t>
      </w:r>
      <w:r w:rsidR="000F354C">
        <w:t>intended</w:t>
      </w:r>
      <w:r>
        <w:t xml:space="preserve"> to result from the potential </w:t>
      </w:r>
      <w:r w:rsidR="000F354C">
        <w:t>modifications</w:t>
      </w:r>
      <w:r>
        <w:t xml:space="preserve"> to the GHS</w:t>
      </w:r>
      <w:r w:rsidR="00DA7BDD">
        <w:t>.</w:t>
      </w:r>
      <w:r w:rsidR="0081251D">
        <w:t xml:space="preserve"> </w:t>
      </w:r>
      <w:r w:rsidR="00325257">
        <w:t xml:space="preserve">The </w:t>
      </w:r>
      <w:r w:rsidR="003D151A">
        <w:t xml:space="preserve">Annex </w:t>
      </w:r>
      <w:r w:rsidR="00325257">
        <w:t xml:space="preserve"> to this document </w:t>
      </w:r>
      <w:r w:rsidR="00580306">
        <w:t>shows</w:t>
      </w:r>
      <w:r w:rsidR="003D151A">
        <w:t xml:space="preserve"> </w:t>
      </w:r>
      <w:r w:rsidR="00580306">
        <w:t xml:space="preserve">an overview </w:t>
      </w:r>
      <w:r w:rsidR="003D151A">
        <w:t xml:space="preserve">the new GHS </w:t>
      </w:r>
      <w:r w:rsidR="005E6FB9">
        <w:t xml:space="preserve">classification </w:t>
      </w:r>
      <w:r w:rsidR="003D151A">
        <w:t xml:space="preserve">system </w:t>
      </w:r>
      <w:r>
        <w:t xml:space="preserve">under consideration </w:t>
      </w:r>
      <w:r w:rsidR="003D151A">
        <w:t>and its relation to the transport classification system.</w:t>
      </w:r>
    </w:p>
    <w:p w14:paraId="0A8B83DD" w14:textId="2AE2104E" w:rsidR="00793234" w:rsidRPr="00793234" w:rsidRDefault="00793234" w:rsidP="00793234">
      <w:pPr>
        <w:pStyle w:val="HChG"/>
        <w:ind w:firstLine="0"/>
        <w:rPr>
          <w:lang w:val="en-US"/>
        </w:rPr>
      </w:pPr>
      <w:r>
        <w:t>Tasks for the biennium 2019-20</w:t>
      </w:r>
    </w:p>
    <w:p w14:paraId="5749B551" w14:textId="6C0A8523" w:rsidR="00D064AE" w:rsidRDefault="0061237F" w:rsidP="00D21CD7">
      <w:pPr>
        <w:pStyle w:val="SingleTxtG"/>
        <w:tabs>
          <w:tab w:val="left" w:pos="1701"/>
        </w:tabs>
      </w:pPr>
      <w:r>
        <w:t>5</w:t>
      </w:r>
      <w:r w:rsidR="00793234">
        <w:t>.</w:t>
      </w:r>
      <w:r w:rsidR="00793234">
        <w:tab/>
      </w:r>
      <w:r w:rsidR="00271C18" w:rsidRPr="00271C18">
        <w:t>At th</w:t>
      </w:r>
      <w:r w:rsidR="00580306">
        <w:t xml:space="preserve">e </w:t>
      </w:r>
      <w:r w:rsidR="00325257">
        <w:t>thirty-sixth</w:t>
      </w:r>
      <w:r w:rsidR="00580306">
        <w:t xml:space="preserve"> session of the SCEGHS, new</w:t>
      </w:r>
      <w:r w:rsidR="008360FD">
        <w:t xml:space="preserve"> </w:t>
      </w:r>
      <w:r w:rsidR="00325257">
        <w:t>t</w:t>
      </w:r>
      <w:r w:rsidR="008360FD">
        <w:t xml:space="preserve">erms of </w:t>
      </w:r>
      <w:r w:rsidR="00325257">
        <w:t>r</w:t>
      </w:r>
      <w:r w:rsidR="008360FD">
        <w:t xml:space="preserve">eference </w:t>
      </w:r>
      <w:r w:rsidR="006C46F2">
        <w:t xml:space="preserve">and </w:t>
      </w:r>
      <w:r w:rsidR="008360FD">
        <w:t xml:space="preserve">a </w:t>
      </w:r>
      <w:r w:rsidR="00325257">
        <w:t>p</w:t>
      </w:r>
      <w:r w:rsidR="008360FD">
        <w:t xml:space="preserve">rogramme of </w:t>
      </w:r>
      <w:r w:rsidR="00325257">
        <w:t>w</w:t>
      </w:r>
      <w:r w:rsidR="008360FD">
        <w:t>ork</w:t>
      </w:r>
      <w:r w:rsidR="00271C18" w:rsidRPr="00271C18">
        <w:t xml:space="preserve"> </w:t>
      </w:r>
      <w:r w:rsidR="00580306">
        <w:t>for the remaining work were adopted</w:t>
      </w:r>
      <w:r w:rsidR="008360FD">
        <w:t xml:space="preserve"> as reflected in</w:t>
      </w:r>
      <w:r w:rsidR="00580306">
        <w:t xml:space="preserve"> </w:t>
      </w:r>
      <w:r w:rsidR="008360FD">
        <w:t>INF.43/Rev.1</w:t>
      </w:r>
      <w:r w:rsidR="00325257">
        <w:t xml:space="preserve"> (GHS, thirty-sixth session)</w:t>
      </w:r>
      <w:r w:rsidR="00AE3AB1">
        <w:t>. The</w:t>
      </w:r>
      <w:r w:rsidR="008360FD">
        <w:t xml:space="preserve"> </w:t>
      </w:r>
      <w:r w:rsidR="00325257">
        <w:t>p</w:t>
      </w:r>
      <w:r w:rsidR="008360FD">
        <w:t xml:space="preserve">rogramme of </w:t>
      </w:r>
      <w:r w:rsidR="00325257">
        <w:t>w</w:t>
      </w:r>
      <w:r w:rsidR="008360FD">
        <w:t>ork</w:t>
      </w:r>
      <w:r w:rsidR="00271C18" w:rsidRPr="00271C18">
        <w:t xml:space="preserve"> set</w:t>
      </w:r>
      <w:r w:rsidR="008360FD">
        <w:t>s</w:t>
      </w:r>
      <w:r w:rsidR="00271C18" w:rsidRPr="00271C18">
        <w:t xml:space="preserve"> out to complete the task of developing a new Chapter 2.1 within the</w:t>
      </w:r>
      <w:r w:rsidR="008360FD">
        <w:t xml:space="preserve"> 2019-20 biennium, and describes</w:t>
      </w:r>
      <w:r w:rsidR="00271C18" w:rsidRPr="00271C18">
        <w:t xml:space="preserve"> the route</w:t>
      </w:r>
      <w:r w:rsidR="00AE3AB1">
        <w:t xml:space="preserve"> to this goal</w:t>
      </w:r>
      <w:r w:rsidR="00271C18" w:rsidRPr="00271C18">
        <w:t xml:space="preserve"> in terms of four </w:t>
      </w:r>
      <w:r w:rsidR="001153C6">
        <w:t>work i</w:t>
      </w:r>
      <w:r w:rsidR="00271C18" w:rsidRPr="00271C18">
        <w:t>tems</w:t>
      </w:r>
      <w:r w:rsidR="00AE3AB1">
        <w:t xml:space="preserve"> which are addressed below.</w:t>
      </w:r>
    </w:p>
    <w:p w14:paraId="03BF9BBC" w14:textId="4931FA81" w:rsidR="00271C18" w:rsidRPr="002D2FAF" w:rsidRDefault="00271C18" w:rsidP="00271C18">
      <w:pPr>
        <w:pStyle w:val="SingleTxtG"/>
        <w:tabs>
          <w:tab w:val="left" w:pos="1701"/>
        </w:tabs>
        <w:rPr>
          <w:b/>
        </w:rPr>
      </w:pPr>
      <w:r w:rsidRPr="002D2FAF">
        <w:rPr>
          <w:b/>
        </w:rPr>
        <w:t>Item 1 – Finalise the criteria for the new system</w:t>
      </w:r>
    </w:p>
    <w:p w14:paraId="59085DC0" w14:textId="1BBAEA3D" w:rsidR="00271C18" w:rsidRDefault="0061237F" w:rsidP="00271C18">
      <w:pPr>
        <w:pStyle w:val="SingleTxtG"/>
        <w:tabs>
          <w:tab w:val="left" w:pos="1701"/>
        </w:tabs>
      </w:pPr>
      <w:r>
        <w:rPr>
          <w:lang w:val="en-US"/>
        </w:rPr>
        <w:t>6</w:t>
      </w:r>
      <w:r w:rsidR="00271C18">
        <w:rPr>
          <w:lang w:val="en-US"/>
        </w:rPr>
        <w:t>.</w:t>
      </w:r>
      <w:r w:rsidR="00271C18">
        <w:rPr>
          <w:lang w:val="en-US"/>
        </w:rPr>
        <w:tab/>
      </w:r>
      <w:r w:rsidR="00271C18" w:rsidRPr="00271C18">
        <w:t xml:space="preserve">The criteria for the various classifications within the new </w:t>
      </w:r>
      <w:r w:rsidR="008360FD">
        <w:t xml:space="preserve">GHS </w:t>
      </w:r>
      <w:r w:rsidR="00271C18" w:rsidRPr="00271C18">
        <w:t>system were</w:t>
      </w:r>
      <w:r w:rsidR="0009487E">
        <w:t xml:space="preserve"> provisionally</w:t>
      </w:r>
      <w:r w:rsidR="00271C18" w:rsidRPr="00271C18">
        <w:t xml:space="preserve"> </w:t>
      </w:r>
      <w:r w:rsidR="0009487E">
        <w:t>agreed</w:t>
      </w:r>
      <w:r w:rsidR="00271C18" w:rsidRPr="00271C18">
        <w:t xml:space="preserve"> at the </w:t>
      </w:r>
      <w:r w:rsidR="00325257">
        <w:t>thirty-sixth</w:t>
      </w:r>
      <w:r w:rsidR="00271C18" w:rsidRPr="00271C18">
        <w:t xml:space="preserve"> session of the SCEGHS, after discussions within the </w:t>
      </w:r>
      <w:r w:rsidR="002D1466">
        <w:t>Working Group on Explosives (</w:t>
      </w:r>
      <w:r w:rsidR="00271C18" w:rsidRPr="00271C18">
        <w:t>EWG</w:t>
      </w:r>
      <w:r w:rsidR="002D1466">
        <w:t>)</w:t>
      </w:r>
      <w:r w:rsidR="00271C18" w:rsidRPr="00271C18">
        <w:t xml:space="preserve"> at their meeting in parallel with the </w:t>
      </w:r>
      <w:r w:rsidR="00325257">
        <w:t>fifty-fourth</w:t>
      </w:r>
      <w:r w:rsidR="00271C18" w:rsidRPr="00271C18">
        <w:t xml:space="preserve"> session of the </w:t>
      </w:r>
      <w:r w:rsidR="005D0823">
        <w:t>Sub-Committee of Experts on the Transport of Dangerous Goods (</w:t>
      </w:r>
      <w:r w:rsidR="00271C18" w:rsidRPr="00271C18">
        <w:t>SCETDG</w:t>
      </w:r>
      <w:r w:rsidR="005D0823">
        <w:t>)</w:t>
      </w:r>
      <w:r w:rsidR="009A75FA">
        <w:t>, and are</w:t>
      </w:r>
      <w:r w:rsidR="00271C18" w:rsidRPr="00271C18">
        <w:t xml:space="preserve"> reflected in </w:t>
      </w:r>
      <w:r w:rsidR="00FF4C77" w:rsidRPr="00FF4C77">
        <w:t>INF.46</w:t>
      </w:r>
      <w:r w:rsidR="00325257">
        <w:t xml:space="preserve"> (GHS, thirty-sixth session)</w:t>
      </w:r>
      <w:r w:rsidR="009A75FA">
        <w:t>. I</w:t>
      </w:r>
      <w:r w:rsidR="00271C18" w:rsidRPr="00271C18">
        <w:t xml:space="preserve">t was noted that there were still </w:t>
      </w:r>
      <w:r w:rsidR="007B0FC0">
        <w:t>some</w:t>
      </w:r>
      <w:r w:rsidR="00271C18" w:rsidRPr="00271C18">
        <w:t xml:space="preserve"> adjustments n</w:t>
      </w:r>
      <w:r w:rsidR="007B0FC0">
        <w:t>eeded in order to complete them</w:t>
      </w:r>
      <w:r w:rsidR="008360FD">
        <w:t>,</w:t>
      </w:r>
      <w:r w:rsidR="009A75FA">
        <w:t xml:space="preserve"> </w:t>
      </w:r>
      <w:r w:rsidR="007B0FC0">
        <w:t>as well as a few open issues</w:t>
      </w:r>
      <w:r w:rsidR="009A75FA">
        <w:t>, see the EWG</w:t>
      </w:r>
      <w:r w:rsidR="00325257">
        <w:t xml:space="preserve"> </w:t>
      </w:r>
      <w:r w:rsidR="009A75FA">
        <w:t xml:space="preserve">report from that session </w:t>
      </w:r>
      <w:r w:rsidR="00F30065">
        <w:t>INF.50</w:t>
      </w:r>
      <w:r w:rsidR="00325257">
        <w:t xml:space="preserve"> (TDG, fifty-fourth session)</w:t>
      </w:r>
      <w:r w:rsidR="00F30065">
        <w:t>, reproduced in INF.34</w:t>
      </w:r>
      <w:r w:rsidR="00325257">
        <w:t xml:space="preserve"> GHS, thirty-sixth session</w:t>
      </w:r>
      <w:r w:rsidR="009A75FA">
        <w:t>)</w:t>
      </w:r>
      <w:r w:rsidR="007B0FC0">
        <w:t>.</w:t>
      </w:r>
      <w:r w:rsidR="00BD4010">
        <w:t xml:space="preserve"> In </w:t>
      </w:r>
      <w:r w:rsidR="00325257">
        <w:t xml:space="preserve">informal </w:t>
      </w:r>
      <w:r w:rsidR="00BD4010">
        <w:t>document INF18</w:t>
      </w:r>
      <w:r w:rsidR="00325257">
        <w:t xml:space="preserve"> (GHS, thirty-sixth session) –</w:t>
      </w:r>
      <w:r w:rsidR="00BD4010">
        <w:t xml:space="preserve"> </w:t>
      </w:r>
      <w:r w:rsidR="00325257">
        <w:t>INF.</w:t>
      </w:r>
      <w:r w:rsidR="00BD4010">
        <w:t>24</w:t>
      </w:r>
      <w:r w:rsidR="00325257">
        <w:t xml:space="preserve"> (TDG, fifty-fourth session)</w:t>
      </w:r>
      <w:r w:rsidR="00BD4010">
        <w:t xml:space="preserve">, the </w:t>
      </w:r>
      <w:r w:rsidR="00BE78E7">
        <w:t xml:space="preserve">resulting </w:t>
      </w:r>
      <w:r w:rsidR="00BD4010">
        <w:t>GHS classification</w:t>
      </w:r>
      <w:r w:rsidR="00051EF4">
        <w:t>s</w:t>
      </w:r>
      <w:r w:rsidR="00BD4010">
        <w:t xml:space="preserve"> for </w:t>
      </w:r>
      <w:r w:rsidR="00F83406">
        <w:t>many</w:t>
      </w:r>
      <w:r w:rsidR="00BD4010">
        <w:t xml:space="preserve"> explosives, based on these provisionally agreed criteria, </w:t>
      </w:r>
      <w:r w:rsidR="007C698E">
        <w:t>are illustrated</w:t>
      </w:r>
      <w:r w:rsidR="00BD4010">
        <w:t>.</w:t>
      </w:r>
    </w:p>
    <w:p w14:paraId="74EC5BBA" w14:textId="5EC69868" w:rsidR="00D064AE" w:rsidRDefault="0061237F" w:rsidP="00D21CD7">
      <w:pPr>
        <w:pStyle w:val="SingleTxtG"/>
        <w:tabs>
          <w:tab w:val="left" w:pos="1701"/>
        </w:tabs>
      </w:pPr>
      <w:r>
        <w:t>7</w:t>
      </w:r>
      <w:r w:rsidR="00271C18">
        <w:t>.</w:t>
      </w:r>
      <w:r w:rsidR="00271C18">
        <w:tab/>
      </w:r>
      <w:r w:rsidR="00271C18" w:rsidRPr="00271C18">
        <w:t>In the months that have passed since the</w:t>
      </w:r>
      <w:r w:rsidR="00A67C50">
        <w:t>se</w:t>
      </w:r>
      <w:r w:rsidR="00271C18" w:rsidRPr="00271C18">
        <w:t xml:space="preserve"> session</w:t>
      </w:r>
      <w:r w:rsidR="009A75FA">
        <w:t>s</w:t>
      </w:r>
      <w:r w:rsidR="00271C18" w:rsidRPr="00271C18">
        <w:t xml:space="preserve"> of the S</w:t>
      </w:r>
      <w:r w:rsidR="009A75FA">
        <w:t>ub-Committees</w:t>
      </w:r>
      <w:r w:rsidR="00271C18" w:rsidRPr="00271C18">
        <w:t xml:space="preserve">, there has been some exchange of views on the </w:t>
      </w:r>
      <w:r w:rsidR="000A22E9">
        <w:t xml:space="preserve">refinement of the </w:t>
      </w:r>
      <w:r w:rsidR="00271C18" w:rsidRPr="00271C18">
        <w:t>criteria within the ICG. In addition, the working group on Explosives, Propellants and Pyrotechnics (EPP) within</w:t>
      </w:r>
      <w:r w:rsidR="008D69AE">
        <w:t xml:space="preserve"> the</w:t>
      </w:r>
      <w:r w:rsidR="00271C18" w:rsidRPr="00271C18">
        <w:t xml:space="preserve"> </w:t>
      </w:r>
      <w:r w:rsidR="00D064AE">
        <w:t xml:space="preserve">International Group </w:t>
      </w:r>
      <w:r w:rsidR="003B1AC3">
        <w:t xml:space="preserve">of experts </w:t>
      </w:r>
      <w:r w:rsidR="00D064AE">
        <w:t xml:space="preserve">on the explosion </w:t>
      </w:r>
      <w:r w:rsidR="00AE3AB1">
        <w:t>risks</w:t>
      </w:r>
      <w:r w:rsidR="00D064AE">
        <w:t xml:space="preserve"> of Unstable Substances (</w:t>
      </w:r>
      <w:r w:rsidR="00271C18" w:rsidRPr="00271C18">
        <w:t>IGUS</w:t>
      </w:r>
      <w:r w:rsidR="00D064AE">
        <w:t>)</w:t>
      </w:r>
      <w:r w:rsidR="00587FFB">
        <w:rPr>
          <w:rStyle w:val="FootnoteReference"/>
        </w:rPr>
        <w:footnoteReference w:customMarkFollows="1" w:id="7"/>
        <w:t>5</w:t>
      </w:r>
      <w:r w:rsidR="00271C18" w:rsidRPr="00271C18">
        <w:t xml:space="preserve"> has discussed the remaining details regarding the criteria at its annual meeting</w:t>
      </w:r>
      <w:r w:rsidR="00AE79B9">
        <w:t xml:space="preserve"> held in March </w:t>
      </w:r>
      <w:r w:rsidR="00AE79B9">
        <w:lastRenderedPageBreak/>
        <w:t>2019</w:t>
      </w:r>
      <w:r w:rsidR="00271C18" w:rsidRPr="00271C18">
        <w:t>.</w:t>
      </w:r>
      <w:r w:rsidR="000A22E9">
        <w:t xml:space="preserve"> Some f</w:t>
      </w:r>
      <w:r w:rsidR="007B0FC0">
        <w:t>urther work is thus</w:t>
      </w:r>
      <w:r w:rsidR="000A22E9">
        <w:t xml:space="preserve"> needed to finalise the criteria for the new classification system.</w:t>
      </w:r>
    </w:p>
    <w:p w14:paraId="328C4AB0" w14:textId="25DF27F4" w:rsidR="00271C18" w:rsidRPr="00271C18" w:rsidRDefault="00271C18" w:rsidP="00271C18">
      <w:pPr>
        <w:pStyle w:val="SingleTxtG"/>
        <w:tabs>
          <w:tab w:val="left" w:pos="1701"/>
        </w:tabs>
        <w:rPr>
          <w:b/>
        </w:rPr>
      </w:pPr>
      <w:r w:rsidRPr="00271C18">
        <w:rPr>
          <w:b/>
        </w:rPr>
        <w:t xml:space="preserve">Item 2 – Assign appropriate hazard communication elements and </w:t>
      </w:r>
      <w:r>
        <w:rPr>
          <w:b/>
        </w:rPr>
        <w:t>p</w:t>
      </w:r>
      <w:r w:rsidRPr="00271C18">
        <w:rPr>
          <w:b/>
        </w:rPr>
        <w:t>recautionary statements</w:t>
      </w:r>
    </w:p>
    <w:p w14:paraId="25BAFC3E" w14:textId="4FE03450" w:rsidR="00271C18" w:rsidRDefault="0061237F" w:rsidP="00271C18">
      <w:pPr>
        <w:pStyle w:val="SingleTxtG"/>
        <w:tabs>
          <w:tab w:val="left" w:pos="1701"/>
        </w:tabs>
      </w:pPr>
      <w:r>
        <w:t>8</w:t>
      </w:r>
      <w:r w:rsidR="00271C18">
        <w:t>.</w:t>
      </w:r>
      <w:r w:rsidR="00271C18">
        <w:tab/>
      </w:r>
      <w:r w:rsidR="00057755">
        <w:t>Like any other chapter of the GHS</w:t>
      </w:r>
      <w:r w:rsidR="00271C18" w:rsidRPr="00271C18">
        <w:t>, the various classifications within the new system</w:t>
      </w:r>
      <w:r w:rsidR="00057755">
        <w:t xml:space="preserve"> for </w:t>
      </w:r>
      <w:r w:rsidR="008C5195">
        <w:t>Chapter 2.1</w:t>
      </w:r>
      <w:r w:rsidR="00271C18" w:rsidRPr="00271C18">
        <w:t xml:space="preserve"> will need associated GHS hazard</w:t>
      </w:r>
      <w:r w:rsidR="007B0FC0">
        <w:t xml:space="preserve"> communication elements, i.e. </w:t>
      </w:r>
      <w:r w:rsidR="00271C18" w:rsidRPr="00271C18">
        <w:t>symbol</w:t>
      </w:r>
      <w:r w:rsidR="007B0FC0">
        <w:t>s</w:t>
      </w:r>
      <w:r w:rsidR="00271C18" w:rsidRPr="00271C18">
        <w:t xml:space="preserve"> (or no</w:t>
      </w:r>
      <w:r w:rsidR="007B0FC0">
        <w:t xml:space="preserve">t), </w:t>
      </w:r>
      <w:r w:rsidR="00271C18" w:rsidRPr="00271C18">
        <w:t>signal word</w:t>
      </w:r>
      <w:r w:rsidR="007B0FC0">
        <w:t>s and hazard statements</w:t>
      </w:r>
      <w:r w:rsidR="00271C18" w:rsidRPr="00271C18">
        <w:t xml:space="preserve">. Discussions on appropriate hazard communication elements have taken place </w:t>
      </w:r>
      <w:r w:rsidR="00E838AA">
        <w:t>for some time already</w:t>
      </w:r>
      <w:r w:rsidR="00271C18" w:rsidRPr="00271C18">
        <w:t xml:space="preserve">, but as the criteria are now </w:t>
      </w:r>
      <w:r w:rsidR="007B0FC0">
        <w:t xml:space="preserve">virtually settled it is clearer what the hazards </w:t>
      </w:r>
      <w:r w:rsidR="008360FD">
        <w:t>associated with</w:t>
      </w:r>
      <w:r w:rsidR="00044A30">
        <w:t xml:space="preserve"> </w:t>
      </w:r>
      <w:r w:rsidR="007B0FC0">
        <w:t xml:space="preserve">the </w:t>
      </w:r>
      <w:r w:rsidR="00044A30">
        <w:t xml:space="preserve">various </w:t>
      </w:r>
      <w:r w:rsidR="007B0FC0">
        <w:t xml:space="preserve">classifications are, which should facilitate the assignment of </w:t>
      </w:r>
      <w:r w:rsidR="00271C18" w:rsidRPr="00271C18">
        <w:t>appropriate hazard communication element</w:t>
      </w:r>
      <w:r w:rsidR="00727BB6">
        <w:t>s</w:t>
      </w:r>
      <w:r w:rsidR="00271C18" w:rsidRPr="00271C18">
        <w:t>.</w:t>
      </w:r>
    </w:p>
    <w:p w14:paraId="49D299E0" w14:textId="62FB68A4" w:rsidR="00271C18" w:rsidRDefault="0061237F" w:rsidP="00271C18">
      <w:pPr>
        <w:pStyle w:val="SingleTxtG"/>
        <w:tabs>
          <w:tab w:val="left" w:pos="1701"/>
        </w:tabs>
      </w:pPr>
      <w:r>
        <w:t>9</w:t>
      </w:r>
      <w:r w:rsidR="00271C18">
        <w:t>.</w:t>
      </w:r>
      <w:r w:rsidR="00271C18">
        <w:tab/>
      </w:r>
      <w:r w:rsidR="00271C18">
        <w:tab/>
      </w:r>
      <w:r w:rsidR="007505BC">
        <w:t xml:space="preserve">On basis of </w:t>
      </w:r>
      <w:r w:rsidR="00097CA6">
        <w:t xml:space="preserve">the </w:t>
      </w:r>
      <w:r w:rsidR="007505BC">
        <w:t>previous</w:t>
      </w:r>
      <w:r w:rsidR="00271C18" w:rsidRPr="00271C18">
        <w:t xml:space="preserve"> discussions</w:t>
      </w:r>
      <w:r w:rsidR="007505BC">
        <w:t xml:space="preserve"> within the ICG</w:t>
      </w:r>
      <w:r w:rsidR="00271C18" w:rsidRPr="00271C18">
        <w:t>, it appears that finding agreeable hazard communication</w:t>
      </w:r>
      <w:r w:rsidR="00C51052">
        <w:t xml:space="preserve"> elements for the subcategories within Category 2 </w:t>
      </w:r>
      <w:r w:rsidR="00271C18" w:rsidRPr="00271C18">
        <w:t xml:space="preserve">should </w:t>
      </w:r>
      <w:r w:rsidR="00FF4C77">
        <w:t xml:space="preserve">not </w:t>
      </w:r>
      <w:r w:rsidR="00271C18" w:rsidRPr="00271C18">
        <w:t>pose too much difficult</w:t>
      </w:r>
      <w:r w:rsidR="00FF4C77">
        <w:t>y</w:t>
      </w:r>
      <w:r w:rsidR="00271C18" w:rsidRPr="00271C18">
        <w:t xml:space="preserve">. </w:t>
      </w:r>
      <w:r w:rsidR="0023741D">
        <w:t>Finding</w:t>
      </w:r>
      <w:r w:rsidR="00271C18" w:rsidRPr="00271C18">
        <w:t xml:space="preserve"> </w:t>
      </w:r>
      <w:r w:rsidR="0023741D">
        <w:t>an</w:t>
      </w:r>
      <w:r w:rsidR="00271C18" w:rsidRPr="00271C18">
        <w:t xml:space="preserve"> appropriate hazard </w:t>
      </w:r>
      <w:r w:rsidR="006F021A">
        <w:t>statement</w:t>
      </w:r>
      <w:r w:rsidR="00271C18" w:rsidRPr="00271C18">
        <w:t xml:space="preserve"> for Categ</w:t>
      </w:r>
      <w:r w:rsidR="0023741D">
        <w:t>ory 1 of the system, however, has proven to be</w:t>
      </w:r>
      <w:r w:rsidR="00271C18" w:rsidRPr="00271C18">
        <w:t xml:space="preserve"> more of a challenge – the </w:t>
      </w:r>
      <w:r w:rsidR="0023741D">
        <w:t xml:space="preserve">core </w:t>
      </w:r>
      <w:r w:rsidR="00271C18" w:rsidRPr="00271C18">
        <w:t>problem being that this c</w:t>
      </w:r>
      <w:r w:rsidR="0023741D">
        <w:t xml:space="preserve">ategory will comprise </w:t>
      </w:r>
      <w:r w:rsidR="00893347">
        <w:t>explosives with very differing</w:t>
      </w:r>
      <w:r w:rsidR="00271C18" w:rsidRPr="00271C18">
        <w:t xml:space="preserve"> properties</w:t>
      </w:r>
      <w:r w:rsidR="0023741D">
        <w:t xml:space="preserve"> (see </w:t>
      </w:r>
      <w:r w:rsidR="0023741D" w:rsidRPr="00727BB6">
        <w:t>INF.30</w:t>
      </w:r>
      <w:r w:rsidR="008978DB">
        <w:t xml:space="preserve"> </w:t>
      </w:r>
      <w:r w:rsidR="00325257">
        <w:t xml:space="preserve">(GHS, thirty-fifth session) </w:t>
      </w:r>
      <w:r w:rsidR="008978DB">
        <w:t xml:space="preserve">for </w:t>
      </w:r>
      <w:r w:rsidR="00B7094F">
        <w:t>details on this</w:t>
      </w:r>
      <w:r w:rsidR="0023741D">
        <w:t>)</w:t>
      </w:r>
      <w:r w:rsidR="00727BB6">
        <w:t>.</w:t>
      </w:r>
      <w:r w:rsidR="00587FFB">
        <w:rPr>
          <w:rStyle w:val="FootnoteReference"/>
        </w:rPr>
        <w:footnoteReference w:customMarkFollows="1" w:id="8"/>
        <w:t>6</w:t>
      </w:r>
    </w:p>
    <w:p w14:paraId="16FE73A4" w14:textId="4F8B7C59" w:rsidR="00480880" w:rsidRDefault="0061237F" w:rsidP="00D21CD7">
      <w:pPr>
        <w:pStyle w:val="SingleTxtG"/>
        <w:tabs>
          <w:tab w:val="left" w:pos="1701"/>
        </w:tabs>
      </w:pPr>
      <w:r>
        <w:t>10</w:t>
      </w:r>
      <w:r w:rsidR="00271C18">
        <w:t>.</w:t>
      </w:r>
      <w:r w:rsidR="00271C18">
        <w:tab/>
      </w:r>
      <w:r w:rsidR="00271C18" w:rsidRPr="00271C18">
        <w:t>It has been agreed within the ICG that a way would be found to communicate on the GHS</w:t>
      </w:r>
      <w:r w:rsidR="00325257">
        <w:t xml:space="preserve"> </w:t>
      </w:r>
      <w:r w:rsidR="00271C18" w:rsidRPr="00271C18">
        <w:t xml:space="preserve">label which Division the Explosive is </w:t>
      </w:r>
      <w:r w:rsidR="0023741D">
        <w:t>(</w:t>
      </w:r>
      <w:r w:rsidR="00271C18" w:rsidRPr="00271C18">
        <w:t>or</w:t>
      </w:r>
      <w:r w:rsidR="0023741D">
        <w:t xml:space="preserve"> </w:t>
      </w:r>
      <w:r w:rsidR="00271C18" w:rsidRPr="00271C18">
        <w:t>was</w:t>
      </w:r>
      <w:r w:rsidR="0023741D">
        <w:t>)</w:t>
      </w:r>
      <w:r w:rsidR="00271C18" w:rsidRPr="00271C18">
        <w:t xml:space="preserve"> assigned to as configured for transport</w:t>
      </w:r>
      <w:r w:rsidR="0023741D">
        <w:t>. Various way</w:t>
      </w:r>
      <w:r w:rsidR="008D69AE">
        <w:t>s</w:t>
      </w:r>
      <w:r w:rsidR="0023741D">
        <w:t xml:space="preserve"> to achieve </w:t>
      </w:r>
      <w:r w:rsidR="00271C18" w:rsidRPr="00271C18">
        <w:t>this have been put forward and discussed, but a solution is yet to be found</w:t>
      </w:r>
      <w:r w:rsidR="00727BB6">
        <w:t xml:space="preserve"> (see</w:t>
      </w:r>
      <w:r w:rsidR="000D1C3C">
        <w:t xml:space="preserve"> </w:t>
      </w:r>
      <w:r w:rsidR="00727BB6" w:rsidRPr="00727BB6">
        <w:t>INF.30</w:t>
      </w:r>
      <w:r w:rsidR="00325257">
        <w:t xml:space="preserve"> (GHS, thirty-fifth session</w:t>
      </w:r>
      <w:r w:rsidR="000D1C3C">
        <w:t>)</w:t>
      </w:r>
      <w:r w:rsidR="00325257">
        <w:t>)</w:t>
      </w:r>
      <w:r w:rsidR="00271C18" w:rsidRPr="00271C18">
        <w:t xml:space="preserve">. Regarding the assignment of precautionary statements to the various </w:t>
      </w:r>
      <w:r w:rsidR="006C46F2">
        <w:t>classifications, this</w:t>
      </w:r>
      <w:r w:rsidR="00271C18" w:rsidRPr="00271C18">
        <w:t xml:space="preserve"> has not yet b</w:t>
      </w:r>
      <w:r w:rsidR="00271C18">
        <w:t>een discussed within the ICG.</w:t>
      </w:r>
    </w:p>
    <w:p w14:paraId="458D905E" w14:textId="7E6FAF82" w:rsidR="00271C18" w:rsidRPr="00271C18" w:rsidRDefault="00271C18" w:rsidP="00271C18">
      <w:pPr>
        <w:pStyle w:val="SingleTxtG"/>
        <w:tabs>
          <w:tab w:val="left" w:pos="1701"/>
        </w:tabs>
        <w:rPr>
          <w:b/>
        </w:rPr>
      </w:pPr>
      <w:r w:rsidRPr="00271C18">
        <w:rPr>
          <w:b/>
        </w:rPr>
        <w:t xml:space="preserve">Item 3 – Draft a new GHS Chapter 2.1 and review the Manual </w:t>
      </w:r>
      <w:r w:rsidR="00325257">
        <w:rPr>
          <w:b/>
        </w:rPr>
        <w:t xml:space="preserve">of tests and Criteria </w:t>
      </w:r>
      <w:r w:rsidRPr="00271C18">
        <w:rPr>
          <w:b/>
        </w:rPr>
        <w:t>for associated amendments needed</w:t>
      </w:r>
    </w:p>
    <w:p w14:paraId="494E723D" w14:textId="25C0DBAB" w:rsidR="00271C18" w:rsidRDefault="0061237F" w:rsidP="00D21CD7">
      <w:pPr>
        <w:pStyle w:val="SingleTxtG"/>
        <w:tabs>
          <w:tab w:val="left" w:pos="1701"/>
        </w:tabs>
        <w:rPr>
          <w:lang w:val="en-US"/>
        </w:rPr>
      </w:pPr>
      <w:r>
        <w:t>11</w:t>
      </w:r>
      <w:r w:rsidR="00271C18">
        <w:t>.</w:t>
      </w:r>
      <w:r w:rsidR="00271C18">
        <w:tab/>
      </w:r>
      <w:r w:rsidR="00B7094F">
        <w:t xml:space="preserve">While </w:t>
      </w:r>
      <w:r w:rsidR="00B7094F">
        <w:rPr>
          <w:lang w:val="en-US"/>
        </w:rPr>
        <w:t>i</w:t>
      </w:r>
      <w:r w:rsidR="00271C18" w:rsidRPr="00271C18">
        <w:rPr>
          <w:lang w:val="en-US"/>
        </w:rPr>
        <w:t xml:space="preserve">t is </w:t>
      </w:r>
      <w:r w:rsidR="00B7094F">
        <w:rPr>
          <w:lang w:val="en-US"/>
        </w:rPr>
        <w:t>still</w:t>
      </w:r>
      <w:r w:rsidR="00271C18" w:rsidRPr="00271C18">
        <w:rPr>
          <w:lang w:val="en-US"/>
        </w:rPr>
        <w:t xml:space="preserve"> too early to start drafting the new chapter</w:t>
      </w:r>
      <w:r w:rsidR="00187767">
        <w:rPr>
          <w:lang w:val="en-US"/>
        </w:rPr>
        <w:t>, some preparatory work to this end has begun within the ICG</w:t>
      </w:r>
      <w:r w:rsidR="00271C18" w:rsidRPr="00271C18">
        <w:rPr>
          <w:lang w:val="en-US"/>
        </w:rPr>
        <w:t xml:space="preserve">. </w:t>
      </w:r>
      <w:r w:rsidR="00187767">
        <w:rPr>
          <w:lang w:val="en-US"/>
        </w:rPr>
        <w:t>The expert from Sweden believes that</w:t>
      </w:r>
      <w:r w:rsidR="00187767" w:rsidRPr="00271C18">
        <w:rPr>
          <w:lang w:val="en-US"/>
        </w:rPr>
        <w:t xml:space="preserve"> </w:t>
      </w:r>
      <w:r w:rsidR="00271C18" w:rsidRPr="00271C18">
        <w:rPr>
          <w:lang w:val="en-US"/>
        </w:rPr>
        <w:t>it could be useful to have some basic discussion</w:t>
      </w:r>
      <w:r w:rsidR="00B7094F">
        <w:rPr>
          <w:lang w:val="en-US"/>
        </w:rPr>
        <w:t>s</w:t>
      </w:r>
      <w:r w:rsidR="00271C18" w:rsidRPr="00271C18">
        <w:rPr>
          <w:lang w:val="en-US"/>
        </w:rPr>
        <w:t xml:space="preserve"> on the conditions for this drafting</w:t>
      </w:r>
      <w:r w:rsidR="00187767">
        <w:rPr>
          <w:lang w:val="en-US"/>
        </w:rPr>
        <w:t>, to provide the foundation for the development of a potential new Chapter 2.1</w:t>
      </w:r>
      <w:r w:rsidR="00271C18" w:rsidRPr="00271C18">
        <w:rPr>
          <w:lang w:val="en-US"/>
        </w:rPr>
        <w:t xml:space="preserve">. For instance, the degree of alignment needed with the corresponding </w:t>
      </w:r>
      <w:r w:rsidR="00B7094F">
        <w:rPr>
          <w:lang w:val="en-US"/>
        </w:rPr>
        <w:t>texts</w:t>
      </w:r>
      <w:r w:rsidR="00271C18" w:rsidRPr="00271C18">
        <w:rPr>
          <w:lang w:val="en-US"/>
        </w:rPr>
        <w:t xml:space="preserve"> for Class 1 of the Model Regulations </w:t>
      </w:r>
      <w:r w:rsidR="00C76F83">
        <w:rPr>
          <w:lang w:val="en-US"/>
        </w:rPr>
        <w:t xml:space="preserve">(Chapter 2.1 in Part </w:t>
      </w:r>
      <w:r w:rsidR="00187767">
        <w:rPr>
          <w:lang w:val="en-US"/>
        </w:rPr>
        <w:t>2</w:t>
      </w:r>
      <w:r w:rsidR="00C76F83">
        <w:rPr>
          <w:lang w:val="en-US"/>
        </w:rPr>
        <w:t>)</w:t>
      </w:r>
      <w:r w:rsidR="00C665E8">
        <w:rPr>
          <w:lang w:val="en-US"/>
        </w:rPr>
        <w:t xml:space="preserve"> and the Manual </w:t>
      </w:r>
      <w:r w:rsidR="00325257">
        <w:rPr>
          <w:lang w:val="en-US"/>
        </w:rPr>
        <w:t xml:space="preserve">of Tests and Criteria </w:t>
      </w:r>
      <w:r w:rsidR="00C665E8">
        <w:rPr>
          <w:lang w:val="en-US"/>
        </w:rPr>
        <w:t>(Part I)</w:t>
      </w:r>
      <w:r w:rsidR="00C76F83">
        <w:rPr>
          <w:lang w:val="en-US"/>
        </w:rPr>
        <w:t xml:space="preserve"> </w:t>
      </w:r>
      <w:r w:rsidR="005C216B">
        <w:rPr>
          <w:lang w:val="en-US"/>
        </w:rPr>
        <w:t>is a</w:t>
      </w:r>
      <w:r w:rsidR="00C665E8">
        <w:rPr>
          <w:lang w:val="en-US"/>
        </w:rPr>
        <w:t xml:space="preserve"> </w:t>
      </w:r>
      <w:r w:rsidR="00187767">
        <w:rPr>
          <w:lang w:val="en-US"/>
        </w:rPr>
        <w:t xml:space="preserve">fundamental </w:t>
      </w:r>
      <w:r w:rsidR="00C665E8">
        <w:rPr>
          <w:lang w:val="en-US"/>
        </w:rPr>
        <w:t>topic, as is</w:t>
      </w:r>
      <w:r w:rsidR="00271C18" w:rsidRPr="00271C18">
        <w:rPr>
          <w:lang w:val="en-US"/>
        </w:rPr>
        <w:t xml:space="preserve"> the appropriate terminology and language in relation to these. Furthermore, the new </w:t>
      </w:r>
      <w:r w:rsidR="00C76F83">
        <w:rPr>
          <w:lang w:val="en-US"/>
        </w:rPr>
        <w:t>GHS chapter</w:t>
      </w:r>
      <w:r w:rsidR="00271C18" w:rsidRPr="00271C18">
        <w:rPr>
          <w:lang w:val="en-US"/>
        </w:rPr>
        <w:t xml:space="preserve"> may require the introduction of new terms and/or definitions in the GHS, which is also a potential discussion that could be </w:t>
      </w:r>
      <w:r w:rsidR="00C76F83">
        <w:rPr>
          <w:lang w:val="en-US"/>
        </w:rPr>
        <w:t>initiated</w:t>
      </w:r>
      <w:r w:rsidR="00271C18" w:rsidRPr="00271C18">
        <w:rPr>
          <w:lang w:val="en-US"/>
        </w:rPr>
        <w:t xml:space="preserve"> at this stage.</w:t>
      </w:r>
    </w:p>
    <w:p w14:paraId="5D4022E1" w14:textId="214F4B15" w:rsidR="00271C18" w:rsidRPr="007607F5" w:rsidRDefault="00271C18" w:rsidP="007607F5">
      <w:pPr>
        <w:pStyle w:val="SingleTxtG"/>
        <w:tabs>
          <w:tab w:val="left" w:pos="1701"/>
        </w:tabs>
        <w:rPr>
          <w:lang w:val="en-US"/>
        </w:rPr>
      </w:pPr>
      <w:r w:rsidRPr="00104F50">
        <w:rPr>
          <w:b/>
        </w:rPr>
        <w:t xml:space="preserve">Item 4 – Propose a new Chapter 2.1 for inclusion in the </w:t>
      </w:r>
      <w:r w:rsidR="00325257">
        <w:rPr>
          <w:b/>
        </w:rPr>
        <w:t>ninth</w:t>
      </w:r>
      <w:r w:rsidRPr="00104F50">
        <w:rPr>
          <w:b/>
        </w:rPr>
        <w:t xml:space="preserve"> revised edition of the GHS, and the associated changes to the Manual</w:t>
      </w:r>
      <w:r w:rsidR="00325257">
        <w:rPr>
          <w:b/>
        </w:rPr>
        <w:t xml:space="preserve"> of Tests and Criteria</w:t>
      </w:r>
    </w:p>
    <w:p w14:paraId="13BFE84A" w14:textId="5F4B9416" w:rsidR="00271C18" w:rsidRDefault="0061237F" w:rsidP="00271C18">
      <w:pPr>
        <w:pStyle w:val="SingleTxtG"/>
        <w:tabs>
          <w:tab w:val="left" w:pos="1701"/>
        </w:tabs>
      </w:pPr>
      <w:r>
        <w:t>12</w:t>
      </w:r>
      <w:r w:rsidR="00271C18">
        <w:t>.</w:t>
      </w:r>
      <w:r w:rsidR="00271C18">
        <w:tab/>
        <w:t>Clearly it is not yet time to make any firm proposals for a new Chapter 2.1 nor changes to the Manual of Tests and Criteria. No such proposal</w:t>
      </w:r>
      <w:r w:rsidR="007607F5">
        <w:t>s</w:t>
      </w:r>
      <w:r w:rsidR="00271C18">
        <w:t xml:space="preserve"> are therefore made at this stage.</w:t>
      </w:r>
    </w:p>
    <w:p w14:paraId="6822956A" w14:textId="18883E51" w:rsidR="00271C18" w:rsidRDefault="00587FFB" w:rsidP="00587FFB">
      <w:pPr>
        <w:pStyle w:val="HChG"/>
      </w:pPr>
      <w:r>
        <w:tab/>
      </w:r>
      <w:r>
        <w:tab/>
      </w:r>
      <w:r w:rsidR="00271C18">
        <w:t>Suggestions</w:t>
      </w:r>
    </w:p>
    <w:p w14:paraId="002A7B33" w14:textId="095D31FA" w:rsidR="001D5BCE" w:rsidRDefault="0061237F" w:rsidP="00271C18">
      <w:pPr>
        <w:pStyle w:val="SingleTxtG"/>
        <w:tabs>
          <w:tab w:val="left" w:pos="1701"/>
        </w:tabs>
      </w:pPr>
      <w:r>
        <w:t>13</w:t>
      </w:r>
      <w:r w:rsidR="00271C18">
        <w:t>.</w:t>
      </w:r>
      <w:r w:rsidR="00271C18">
        <w:tab/>
      </w:r>
      <w:r w:rsidR="00271C18" w:rsidRPr="00271C18">
        <w:t>It is suggested that the SCETDG tasks the EWG to discuss the criteria in order to arrive at definite criteria fo</w:t>
      </w:r>
      <w:r w:rsidR="00271C18">
        <w:t>r the new</w:t>
      </w:r>
      <w:r w:rsidR="00276189">
        <w:t xml:space="preserve"> GHS</w:t>
      </w:r>
      <w:r w:rsidR="00271C18">
        <w:t xml:space="preserve"> cla</w:t>
      </w:r>
      <w:r w:rsidR="00AE3AB1">
        <w:t xml:space="preserve">ssification system (see Item 1), which can be presented to the SCEGHS for further </w:t>
      </w:r>
      <w:r w:rsidR="00187767">
        <w:t>evaluation</w:t>
      </w:r>
      <w:r w:rsidR="00AE3AB1">
        <w:t>.</w:t>
      </w:r>
    </w:p>
    <w:p w14:paraId="3BF689E8" w14:textId="535950ED" w:rsidR="00271C18" w:rsidRDefault="0061237F" w:rsidP="00271C18">
      <w:pPr>
        <w:pStyle w:val="SingleTxtG"/>
        <w:tabs>
          <w:tab w:val="left" w:pos="1701"/>
        </w:tabs>
        <w:rPr>
          <w:lang w:val="en-US"/>
        </w:rPr>
      </w:pPr>
      <w:r>
        <w:lastRenderedPageBreak/>
        <w:t>14</w:t>
      </w:r>
      <w:r w:rsidR="00271C18">
        <w:t>.</w:t>
      </w:r>
      <w:r w:rsidR="00271C18">
        <w:tab/>
      </w:r>
      <w:r w:rsidR="00271C18" w:rsidRPr="00271C18">
        <w:t>It is suggested that the SCEGHS discusses the hazard communication elements for all the classi</w:t>
      </w:r>
      <w:r w:rsidR="00271C18">
        <w:t xml:space="preserve">fications within the new system (see Item 2) as well as </w:t>
      </w:r>
      <w:r w:rsidR="00271C18" w:rsidRPr="00271C18">
        <w:rPr>
          <w:lang w:val="en-US"/>
        </w:rPr>
        <w:t>some of the fundamental issues relating</w:t>
      </w:r>
      <w:r w:rsidR="00271C18">
        <w:rPr>
          <w:lang w:val="en-US"/>
        </w:rPr>
        <w:t xml:space="preserve"> to </w:t>
      </w:r>
      <w:r w:rsidR="00276189">
        <w:rPr>
          <w:lang w:val="en-US"/>
        </w:rPr>
        <w:t xml:space="preserve">the drafting of </w:t>
      </w:r>
      <w:r w:rsidR="00271C18">
        <w:rPr>
          <w:lang w:val="en-US"/>
        </w:rPr>
        <w:t>a potential new Chapter 2.1 (see Item 3).</w:t>
      </w:r>
    </w:p>
    <w:p w14:paraId="408C95E6" w14:textId="2D642B80" w:rsidR="00AE3AB1" w:rsidRDefault="0061237F" w:rsidP="002D1466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15</w:t>
      </w:r>
      <w:r w:rsidR="00626159">
        <w:rPr>
          <w:lang w:val="en-US"/>
        </w:rPr>
        <w:t>.</w:t>
      </w:r>
      <w:r w:rsidR="00626159">
        <w:rPr>
          <w:lang w:val="en-US"/>
        </w:rPr>
        <w:tab/>
      </w:r>
      <w:r w:rsidR="00AE3AB1">
        <w:rPr>
          <w:lang w:val="en-US"/>
        </w:rPr>
        <w:t>A</w:t>
      </w:r>
      <w:r w:rsidR="00626159">
        <w:rPr>
          <w:lang w:val="en-US"/>
        </w:rPr>
        <w:t>dditi</w:t>
      </w:r>
      <w:r w:rsidR="00AE3AB1">
        <w:rPr>
          <w:lang w:val="en-US"/>
        </w:rPr>
        <w:t>onal papers m</w:t>
      </w:r>
      <w:r w:rsidR="00167A95">
        <w:rPr>
          <w:lang w:val="en-US"/>
        </w:rPr>
        <w:t xml:space="preserve">ay of course appear before the </w:t>
      </w:r>
      <w:r w:rsidR="00AE3AB1">
        <w:rPr>
          <w:lang w:val="en-US"/>
        </w:rPr>
        <w:t xml:space="preserve">sessions of the </w:t>
      </w:r>
      <w:r w:rsidR="003065AD">
        <w:rPr>
          <w:lang w:val="en-US"/>
        </w:rPr>
        <w:t>s</w:t>
      </w:r>
      <w:r w:rsidR="00AE3AB1">
        <w:rPr>
          <w:lang w:val="en-US"/>
        </w:rPr>
        <w:t>ub-</w:t>
      </w:r>
      <w:r w:rsidR="003065AD">
        <w:rPr>
          <w:lang w:val="en-US"/>
        </w:rPr>
        <w:t>c</w:t>
      </w:r>
      <w:r w:rsidR="00AE3AB1">
        <w:rPr>
          <w:lang w:val="en-US"/>
        </w:rPr>
        <w:t xml:space="preserve">ommittees </w:t>
      </w:r>
      <w:r w:rsidR="00167A95">
        <w:rPr>
          <w:lang w:val="en-US"/>
        </w:rPr>
        <w:t xml:space="preserve">commence </w:t>
      </w:r>
      <w:r w:rsidR="00AE3AB1">
        <w:rPr>
          <w:lang w:val="en-US"/>
        </w:rPr>
        <w:t xml:space="preserve">that could influence the suggested discussions. The expert from Sweden encourages </w:t>
      </w:r>
      <w:r w:rsidR="002D1466">
        <w:rPr>
          <w:lang w:val="en-US"/>
        </w:rPr>
        <w:t>in particular more GHS</w:t>
      </w:r>
      <w:r w:rsidR="003065AD">
        <w:rPr>
          <w:lang w:val="en-US"/>
        </w:rPr>
        <w:t xml:space="preserve"> </w:t>
      </w:r>
      <w:r w:rsidR="002D1466">
        <w:rPr>
          <w:lang w:val="en-US"/>
        </w:rPr>
        <w:t>experts from across the field (physical, health or environmental hazards) to involve themselves in the work on Chapter 2.1, as it now enters into a phase where general expertise on the GHS is needed.</w:t>
      </w:r>
    </w:p>
    <w:p w14:paraId="156B807E" w14:textId="4A092672" w:rsidR="003D151A" w:rsidRPr="00A158D4" w:rsidRDefault="003D151A" w:rsidP="00A158D4">
      <w:pPr>
        <w:pStyle w:val="ListParagraph"/>
        <w:tabs>
          <w:tab w:val="left" w:pos="1855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</w:rPr>
      </w:pPr>
    </w:p>
    <w:p w14:paraId="335BCB33" w14:textId="1BAE2089" w:rsidR="003D151A" w:rsidRDefault="003D151A">
      <w:pPr>
        <w:suppressAutoHyphens w:val="0"/>
        <w:spacing w:line="240" w:lineRule="auto"/>
        <w:rPr>
          <w:u w:val="single"/>
          <w:lang w:val="en-US"/>
        </w:rPr>
      </w:pPr>
      <w:r>
        <w:rPr>
          <w:u w:val="single"/>
        </w:rPr>
        <w:br w:type="page"/>
      </w:r>
    </w:p>
    <w:p w14:paraId="50370EEC" w14:textId="57A41645" w:rsidR="003D151A" w:rsidRDefault="003D151A" w:rsidP="005931F4">
      <w:pPr>
        <w:pStyle w:val="HChG"/>
      </w:pPr>
      <w:r w:rsidRPr="007A3B27">
        <w:lastRenderedPageBreak/>
        <w:t xml:space="preserve">Annex </w:t>
      </w:r>
    </w:p>
    <w:p w14:paraId="5D907197" w14:textId="61C4D81F" w:rsidR="007A3B27" w:rsidRPr="006D5B78" w:rsidRDefault="00945A38" w:rsidP="003D151A">
      <w:pPr>
        <w:pStyle w:val="ListParagraph"/>
        <w:tabs>
          <w:tab w:val="left" w:pos="1855"/>
        </w:tabs>
        <w:suppressAutoHyphens/>
        <w:spacing w:before="240" w:line="240" w:lineRule="atLeast"/>
        <w:ind w:left="1134" w:right="1134"/>
        <w:jc w:val="left"/>
        <w:rPr>
          <w:b/>
          <w:szCs w:val="20"/>
        </w:rPr>
      </w:pPr>
      <w:r>
        <w:rPr>
          <w:b/>
          <w:szCs w:val="20"/>
        </w:rPr>
        <w:t>Overview</w:t>
      </w:r>
      <w:r w:rsidR="0037787A" w:rsidRPr="006D5B78">
        <w:rPr>
          <w:b/>
          <w:szCs w:val="20"/>
        </w:rPr>
        <w:t xml:space="preserve"> </w:t>
      </w:r>
      <w:r w:rsidR="007A3B27" w:rsidRPr="006D5B78">
        <w:rPr>
          <w:b/>
          <w:szCs w:val="20"/>
        </w:rPr>
        <w:t>of the</w:t>
      </w:r>
      <w:r w:rsidR="002D2FAF">
        <w:rPr>
          <w:b/>
          <w:szCs w:val="20"/>
        </w:rPr>
        <w:t xml:space="preserve"> potential</w:t>
      </w:r>
      <w:r w:rsidR="007A3B27" w:rsidRPr="006D5B78">
        <w:rPr>
          <w:b/>
          <w:szCs w:val="20"/>
        </w:rPr>
        <w:t xml:space="preserve"> new GHS classification</w:t>
      </w:r>
      <w:r w:rsidR="002D2FAF">
        <w:rPr>
          <w:b/>
          <w:szCs w:val="20"/>
        </w:rPr>
        <w:t xml:space="preserve"> system for </w:t>
      </w:r>
      <w:r w:rsidR="003065AD">
        <w:rPr>
          <w:b/>
          <w:szCs w:val="20"/>
        </w:rPr>
        <w:t>e</w:t>
      </w:r>
      <w:r w:rsidR="002D2FAF">
        <w:rPr>
          <w:b/>
          <w:szCs w:val="20"/>
        </w:rPr>
        <w:t xml:space="preserve">xplosives </w:t>
      </w:r>
      <w:r w:rsidR="007A3B27" w:rsidRPr="006D5B78">
        <w:rPr>
          <w:b/>
          <w:szCs w:val="20"/>
        </w:rPr>
        <w:t>and its relation to transport classification</w:t>
      </w:r>
    </w:p>
    <w:p w14:paraId="26476A48" w14:textId="0BCDFDA3" w:rsidR="00FB3438" w:rsidRDefault="00FB3438" w:rsidP="003D151A">
      <w:pPr>
        <w:pStyle w:val="ListParagraph"/>
        <w:tabs>
          <w:tab w:val="left" w:pos="1855"/>
        </w:tabs>
        <w:suppressAutoHyphens/>
        <w:spacing w:before="240" w:line="240" w:lineRule="atLeast"/>
        <w:ind w:left="1134" w:right="1134"/>
        <w:jc w:val="left"/>
        <w:rPr>
          <w:b/>
          <w:sz w:val="20"/>
          <w:szCs w:val="20"/>
        </w:rPr>
      </w:pPr>
    </w:p>
    <w:tbl>
      <w:tblPr>
        <w:tblStyle w:val="TableGrid"/>
        <w:tblW w:w="793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134"/>
        <w:gridCol w:w="1134"/>
        <w:gridCol w:w="1134"/>
      </w:tblGrid>
      <w:tr w:rsidR="00FB3438" w:rsidRPr="004A77A6" w14:paraId="21715427" w14:textId="77777777" w:rsidTr="00FD70A5">
        <w:trPr>
          <w:trHeight w:val="486"/>
        </w:trPr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4D2BA8" w14:textId="77777777" w:rsidR="00FB3438" w:rsidRPr="00FD70A5" w:rsidRDefault="00FB3438" w:rsidP="007639CF">
            <w:pPr>
              <w:ind w:left="146"/>
              <w:rPr>
                <w:b/>
              </w:rPr>
            </w:pPr>
            <w:r w:rsidRPr="00FD70A5">
              <w:rPr>
                <w:b/>
              </w:rPr>
              <w:t>GHS Hazard class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90B4B5" w14:textId="77777777" w:rsidR="00FB3438" w:rsidRPr="00C66831" w:rsidRDefault="00FB3438" w:rsidP="00A25786">
            <w:pPr>
              <w:jc w:val="center"/>
              <w:rPr>
                <w:b/>
              </w:rPr>
            </w:pPr>
            <w:r w:rsidRPr="00C66831">
              <w:rPr>
                <w:b/>
              </w:rPr>
              <w:t>Explosives</w:t>
            </w:r>
          </w:p>
        </w:tc>
      </w:tr>
      <w:tr w:rsidR="00FB3438" w:rsidRPr="004A77A6" w14:paraId="3B64A3FE" w14:textId="77777777" w:rsidTr="00FD70A5">
        <w:trPr>
          <w:trHeight w:val="458"/>
        </w:trPr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13B63230" w14:textId="77777777" w:rsidR="00FB3438" w:rsidRPr="00FD70A5" w:rsidRDefault="00FB3438" w:rsidP="007639CF">
            <w:pPr>
              <w:ind w:left="146"/>
              <w:rPr>
                <w:b/>
              </w:rPr>
            </w:pPr>
            <w:r w:rsidRPr="00FD70A5">
              <w:rPr>
                <w:b/>
              </w:rPr>
              <w:t>GHS Division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022FE" w14:textId="5A3625AF" w:rsidR="00FB3438" w:rsidRPr="00F91D77" w:rsidRDefault="00FE7A43" w:rsidP="007639CF">
            <w:pPr>
              <w:jc w:val="center"/>
              <w:rPr>
                <w:i/>
              </w:rPr>
            </w:pPr>
            <w:r w:rsidRPr="00F91D77">
              <w:rPr>
                <w:i/>
              </w:rPr>
              <w:t>Not applicable</w:t>
            </w:r>
            <w:r w:rsidR="00374C1F" w:rsidRPr="00A07C0C">
              <w:t>*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14:paraId="116DC67F" w14:textId="46F8A0C7" w:rsidR="00FB3438" w:rsidRPr="004A77A6" w:rsidRDefault="00FB3438" w:rsidP="007639CF">
            <w:pPr>
              <w:jc w:val="center"/>
            </w:pPr>
            <w:r>
              <w:t>1.1 – 1.6</w:t>
            </w:r>
          </w:p>
        </w:tc>
      </w:tr>
      <w:tr w:rsidR="00FB3438" w:rsidRPr="004A77A6" w14:paraId="66C1DA32" w14:textId="77777777" w:rsidTr="00FD70A5">
        <w:trPr>
          <w:trHeight w:val="449"/>
        </w:trPr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1EF42769" w14:textId="77777777" w:rsidR="00FB3438" w:rsidRPr="00FD70A5" w:rsidRDefault="00FB3438" w:rsidP="007639CF">
            <w:pPr>
              <w:ind w:left="146"/>
              <w:rPr>
                <w:b/>
              </w:rPr>
            </w:pPr>
            <w:r w:rsidRPr="00FD70A5">
              <w:rPr>
                <w:b/>
              </w:rPr>
              <w:t>GHS Category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89C59" w14:textId="77777777" w:rsidR="00FB3438" w:rsidRPr="004A77A6" w:rsidRDefault="00FB3438" w:rsidP="007639CF">
            <w:pPr>
              <w:jc w:val="center"/>
            </w:pPr>
            <w:r w:rsidRPr="004A77A6">
              <w:t>1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14:paraId="54B2B475" w14:textId="77777777" w:rsidR="00FB3438" w:rsidRPr="004A77A6" w:rsidRDefault="00FB3438" w:rsidP="007639CF">
            <w:pPr>
              <w:jc w:val="center"/>
            </w:pPr>
            <w:r w:rsidRPr="004A77A6">
              <w:t>2</w:t>
            </w:r>
          </w:p>
        </w:tc>
      </w:tr>
      <w:tr w:rsidR="00FB3438" w:rsidRPr="004A77A6" w14:paraId="286039AA" w14:textId="77777777" w:rsidTr="00FD70A5">
        <w:trPr>
          <w:trHeight w:val="414"/>
        </w:trPr>
        <w:tc>
          <w:tcPr>
            <w:tcW w:w="269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5DCAD5F" w14:textId="77777777" w:rsidR="00FB3438" w:rsidRPr="00FD70A5" w:rsidRDefault="00FB3438" w:rsidP="007639CF">
            <w:pPr>
              <w:ind w:left="146"/>
              <w:rPr>
                <w:b/>
              </w:rPr>
            </w:pPr>
            <w:r w:rsidRPr="00FD70A5">
              <w:rPr>
                <w:b/>
              </w:rPr>
              <w:t>GHS Subcategory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F3DCFE" w14:textId="6002CBF1" w:rsidR="00FB3438" w:rsidRPr="004A77A6" w:rsidRDefault="00FE7A43" w:rsidP="007639CF">
            <w:pPr>
              <w:jc w:val="center"/>
            </w:pPr>
            <w:r w:rsidRPr="00F91D77">
              <w:rPr>
                <w:i/>
              </w:rPr>
              <w:t>Not applicable</w:t>
            </w:r>
            <w:r w:rsidR="006514B0">
              <w:t>**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F71E10D" w14:textId="77777777" w:rsidR="00FB3438" w:rsidRPr="004A77A6" w:rsidRDefault="00FB3438" w:rsidP="007639CF">
            <w:pPr>
              <w:jc w:val="center"/>
            </w:pPr>
            <w:r w:rsidRPr="004A77A6">
              <w:t>2A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ED39567" w14:textId="2039058C" w:rsidR="00FB3438" w:rsidRPr="004A77A6" w:rsidRDefault="00FB3438" w:rsidP="007639CF">
            <w:pPr>
              <w:jc w:val="center"/>
            </w:pPr>
            <w:r w:rsidRPr="004A77A6">
              <w:t>2B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617568D" w14:textId="0D8331E1" w:rsidR="00FB3438" w:rsidRPr="004A77A6" w:rsidRDefault="00FB3438" w:rsidP="007639CF">
            <w:pPr>
              <w:jc w:val="center"/>
            </w:pPr>
            <w:r w:rsidRPr="004A77A6">
              <w:t>2C</w:t>
            </w:r>
          </w:p>
        </w:tc>
      </w:tr>
      <w:tr w:rsidR="00721502" w:rsidRPr="004A77A6" w14:paraId="6400D181" w14:textId="77777777" w:rsidTr="00FD70A5">
        <w:trPr>
          <w:trHeight w:val="414"/>
        </w:trPr>
        <w:tc>
          <w:tcPr>
            <w:tcW w:w="269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943E50A" w14:textId="70340568" w:rsidR="00721502" w:rsidRPr="00FD70A5" w:rsidRDefault="00721502" w:rsidP="00721502">
            <w:pPr>
              <w:ind w:left="146"/>
              <w:rPr>
                <w:b/>
              </w:rPr>
            </w:pPr>
            <w:r w:rsidRPr="00FD70A5">
              <w:rPr>
                <w:b/>
              </w:rPr>
              <w:t>Model Regulations Class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B68022" w14:textId="36C880E1" w:rsidR="00721502" w:rsidRPr="00F91D77" w:rsidRDefault="00721502" w:rsidP="00721502">
            <w:pPr>
              <w:jc w:val="center"/>
              <w:rPr>
                <w:i/>
              </w:rPr>
            </w:pPr>
            <w:r w:rsidRPr="00F91D77">
              <w:rPr>
                <w:i/>
              </w:rPr>
              <w:t>Not applicable</w:t>
            </w:r>
            <w:r>
              <w:t>*</w:t>
            </w:r>
            <w:r w:rsidR="00A07C0C">
              <w:t>**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8843C0E" w14:textId="6CD73354" w:rsidR="00721502" w:rsidRPr="004A77A6" w:rsidRDefault="00721502" w:rsidP="00721502">
            <w:pPr>
              <w:jc w:val="center"/>
            </w:pPr>
            <w:r>
              <w:rPr>
                <w:b/>
              </w:rPr>
              <w:t xml:space="preserve">Class </w:t>
            </w:r>
            <w:r w:rsidRPr="006514B0">
              <w:rPr>
                <w:b/>
              </w:rPr>
              <w:t>1</w:t>
            </w:r>
          </w:p>
        </w:tc>
      </w:tr>
      <w:tr w:rsidR="00721502" w:rsidRPr="004A77A6" w14:paraId="128006A7" w14:textId="77777777" w:rsidTr="00FD70A5">
        <w:trPr>
          <w:trHeight w:val="414"/>
        </w:trPr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5051A30B" w14:textId="16D90A2A" w:rsidR="00721502" w:rsidRPr="00FD70A5" w:rsidRDefault="00721502" w:rsidP="00721502">
            <w:pPr>
              <w:ind w:left="146"/>
              <w:rPr>
                <w:b/>
              </w:rPr>
            </w:pPr>
            <w:r w:rsidRPr="00FD70A5">
              <w:rPr>
                <w:b/>
              </w:rPr>
              <w:t>Model Regulations Division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8B3D6" w14:textId="7DDCFA1C" w:rsidR="00721502" w:rsidRPr="00F91D77" w:rsidRDefault="00721502" w:rsidP="00721502">
            <w:pPr>
              <w:jc w:val="center"/>
              <w:rPr>
                <w:i/>
              </w:rPr>
            </w:pPr>
            <w:r w:rsidRPr="00F91D77">
              <w:rPr>
                <w:i/>
              </w:rPr>
              <w:t>Not applicable</w:t>
            </w:r>
            <w:r w:rsidRPr="00A07C0C">
              <w:t>*</w:t>
            </w:r>
            <w:r w:rsidR="00A07C0C" w:rsidRPr="00A07C0C">
              <w:t>**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14:paraId="5E0575AB" w14:textId="67C1849E" w:rsidR="00721502" w:rsidRPr="004A77A6" w:rsidRDefault="00721502" w:rsidP="00721502">
            <w:pPr>
              <w:jc w:val="center"/>
            </w:pPr>
            <w:r>
              <w:t>1.1 – 1.6</w:t>
            </w:r>
          </w:p>
        </w:tc>
      </w:tr>
    </w:tbl>
    <w:p w14:paraId="6A6B75D0" w14:textId="327FF42D" w:rsidR="00374C1F" w:rsidRDefault="00374C1F" w:rsidP="00FB3438">
      <w:pPr>
        <w:ind w:firstLine="1134"/>
      </w:pPr>
    </w:p>
    <w:p w14:paraId="71C72BD9" w14:textId="725F6C18" w:rsidR="00374C1F" w:rsidRDefault="00374C1F" w:rsidP="00945A26">
      <w:pPr>
        <w:ind w:left="1134"/>
      </w:pPr>
      <w:r>
        <w:t>*</w:t>
      </w:r>
      <w:r w:rsidR="00127BE5">
        <w:t xml:space="preserve"> </w:t>
      </w:r>
      <w:r>
        <w:t xml:space="preserve">Explosives that cannot be assigned to a Division would </w:t>
      </w:r>
      <w:r w:rsidR="00187767">
        <w:t xml:space="preserve">be </w:t>
      </w:r>
      <w:r w:rsidR="00ED58E4">
        <w:t>classified as</w:t>
      </w:r>
      <w:r w:rsidR="00187767">
        <w:t xml:space="preserve"> </w:t>
      </w:r>
      <w:r>
        <w:t>Category 1</w:t>
      </w:r>
      <w:r w:rsidR="00187767">
        <w:t xml:space="preserve">, see </w:t>
      </w:r>
      <w:r w:rsidR="00187767" w:rsidRPr="00FF4C77">
        <w:t>INF.46</w:t>
      </w:r>
      <w:r w:rsidR="003065AD">
        <w:t xml:space="preserve"> (GHS, thirty-sixth session)</w:t>
      </w:r>
      <w:r w:rsidR="00681766">
        <w:t>.</w:t>
      </w:r>
    </w:p>
    <w:p w14:paraId="6CE19AD6" w14:textId="280A0442" w:rsidR="00FB3438" w:rsidRDefault="00FB3438" w:rsidP="00945A26">
      <w:pPr>
        <w:ind w:left="1134"/>
      </w:pPr>
    </w:p>
    <w:p w14:paraId="7451EB5A" w14:textId="63B5DF3F" w:rsidR="00FB3438" w:rsidRDefault="006514B0" w:rsidP="00945A26">
      <w:pPr>
        <w:ind w:left="1134"/>
      </w:pPr>
      <w:r>
        <w:t>**</w:t>
      </w:r>
      <w:r w:rsidR="00127BE5">
        <w:t xml:space="preserve"> </w:t>
      </w:r>
      <w:r w:rsidR="00FB3438">
        <w:t>The issue on whether Category 1 should be split</w:t>
      </w:r>
      <w:r w:rsidR="000A0FDB">
        <w:t xml:space="preserve"> into subcategories</w:t>
      </w:r>
      <w:r w:rsidR="00FB3438">
        <w:t xml:space="preserve"> is </w:t>
      </w:r>
      <w:r w:rsidR="000A0FDB">
        <w:t>not yet completely settled</w:t>
      </w:r>
      <w:r w:rsidR="00945A26">
        <w:t xml:space="preserve">, see discussion in </w:t>
      </w:r>
      <w:r w:rsidR="00323A0C">
        <w:t>INF</w:t>
      </w:r>
      <w:r w:rsidR="003065AD">
        <w:t>.</w:t>
      </w:r>
      <w:r w:rsidR="00323A0C">
        <w:t>19</w:t>
      </w:r>
      <w:r w:rsidR="003065AD">
        <w:t>(GHS, thirty-sixth session)</w:t>
      </w:r>
      <w:r w:rsidR="00323A0C">
        <w:t xml:space="preserve"> – INF</w:t>
      </w:r>
      <w:r w:rsidR="003065AD">
        <w:t>.</w:t>
      </w:r>
      <w:r w:rsidR="00323A0C">
        <w:t>29</w:t>
      </w:r>
      <w:r w:rsidR="003065AD">
        <w:t xml:space="preserve"> (TDG, fifty-fourth session)</w:t>
      </w:r>
      <w:r w:rsidR="000A0FDB">
        <w:t>.</w:t>
      </w:r>
    </w:p>
    <w:p w14:paraId="67B90F96" w14:textId="1FAF09C6" w:rsidR="00A07C0C" w:rsidRDefault="00A07C0C" w:rsidP="00945A26">
      <w:pPr>
        <w:ind w:left="1134"/>
      </w:pPr>
    </w:p>
    <w:p w14:paraId="1916B198" w14:textId="3DCB6080" w:rsidR="00A07C0C" w:rsidRDefault="00A07C0C" w:rsidP="00945A26">
      <w:pPr>
        <w:ind w:left="1134"/>
      </w:pPr>
      <w:r>
        <w:t>**</w:t>
      </w:r>
      <w:r w:rsidRPr="00903371">
        <w:t>*</w:t>
      </w:r>
      <w:r w:rsidR="00127BE5">
        <w:t xml:space="preserve"> </w:t>
      </w:r>
      <w:r w:rsidRPr="00903371">
        <w:t>Too dangerous for transport</w:t>
      </w:r>
      <w:r w:rsidR="00681766">
        <w:t>, see Chapter 2.1 of the Model Regulations</w:t>
      </w:r>
      <w:r>
        <w:t>.</w:t>
      </w:r>
    </w:p>
    <w:p w14:paraId="3E41D562" w14:textId="7EA3E3FE" w:rsidR="00587FFB" w:rsidRPr="00587FFB" w:rsidRDefault="00587FFB" w:rsidP="00587F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7FFB" w:rsidRPr="00587FFB" w:rsidSect="004D0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90EA" w14:textId="77777777" w:rsidR="00CA1B48" w:rsidRDefault="00CA1B48"/>
  </w:endnote>
  <w:endnote w:type="continuationSeparator" w:id="0">
    <w:p w14:paraId="44C332A6" w14:textId="77777777" w:rsidR="00CA1B48" w:rsidRDefault="00CA1B48"/>
  </w:endnote>
  <w:endnote w:type="continuationNotice" w:id="1">
    <w:p w14:paraId="779ADC1A" w14:textId="77777777" w:rsidR="00CA1B48" w:rsidRDefault="00CA1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6404" w14:textId="12B5C81B" w:rsidR="00A6743D" w:rsidRPr="00556E07" w:rsidRDefault="00A6743D" w:rsidP="00556E07">
    <w:pPr>
      <w:pStyle w:val="Footer"/>
      <w:rPr>
        <w:sz w:val="18"/>
        <w:szCs w:val="22"/>
      </w:rPr>
    </w:pPr>
    <w:r w:rsidRPr="00556E07">
      <w:rPr>
        <w:b/>
        <w:sz w:val="18"/>
        <w:szCs w:val="22"/>
      </w:rPr>
      <w:fldChar w:fldCharType="begin"/>
    </w:r>
    <w:r w:rsidRPr="00556E07">
      <w:rPr>
        <w:b/>
        <w:sz w:val="18"/>
        <w:szCs w:val="22"/>
      </w:rPr>
      <w:instrText xml:space="preserve"> PAGE   \* MERGEFORMAT </w:instrText>
    </w:r>
    <w:r w:rsidRPr="00556E07">
      <w:rPr>
        <w:b/>
        <w:sz w:val="18"/>
        <w:szCs w:val="22"/>
      </w:rPr>
      <w:fldChar w:fldCharType="separate"/>
    </w:r>
    <w:r w:rsidR="00FD70A5">
      <w:rPr>
        <w:b/>
        <w:noProof/>
        <w:sz w:val="18"/>
        <w:szCs w:val="22"/>
      </w:rPr>
      <w:t>4</w:t>
    </w:r>
    <w:r w:rsidRPr="00556E07">
      <w:rPr>
        <w:b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A8CE" w14:textId="4000A56B" w:rsidR="00A6743D" w:rsidRPr="00432CFD" w:rsidRDefault="00A6743D" w:rsidP="00556E07">
    <w:pPr>
      <w:pStyle w:val="Footer"/>
      <w:jc w:val="right"/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FD70A5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D11F" w14:textId="77777777" w:rsidR="00CA1B48" w:rsidRPr="000B175B" w:rsidRDefault="00CA1B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D93DC8" w14:textId="77777777" w:rsidR="00CA1B48" w:rsidRPr="00FC68B7" w:rsidRDefault="00CA1B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3B396F" w14:textId="77777777" w:rsidR="00CA1B48" w:rsidRDefault="00CA1B48"/>
  </w:footnote>
  <w:footnote w:id="2">
    <w:p w14:paraId="1BC7682D" w14:textId="3368AAB8" w:rsidR="004D0198" w:rsidRPr="004D0198" w:rsidRDefault="004D0198" w:rsidP="004D0198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B35579">
        <w:t>In accordance with the programme of work of the Sub-Committee for 2019-2020 approved by the Committee at its ninth session (see ST/SG/AC.10/C.3/108, paragraph 141 and ST/SG/AC.10/46, paragraph 14).</w:t>
      </w:r>
    </w:p>
  </w:footnote>
  <w:footnote w:id="3">
    <w:p w14:paraId="7E4C6842" w14:textId="3CDD43B8" w:rsidR="004D0198" w:rsidRPr="004D0198" w:rsidRDefault="004D0198" w:rsidP="004D0198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1</w:t>
      </w:r>
      <w:r>
        <w:t xml:space="preserve"> </w:t>
      </w:r>
      <w:r>
        <w:tab/>
        <w:t xml:space="preserve">These </w:t>
      </w:r>
      <w:r w:rsidR="00325257">
        <w:t>s</w:t>
      </w:r>
      <w:r>
        <w:t xml:space="preserve">tatus </w:t>
      </w:r>
      <w:r w:rsidR="00325257">
        <w:t>r</w:t>
      </w:r>
      <w:r>
        <w:t>eports have also been submitted to the Sub-Committee of Experts on the Transport of Dangerous Goods (SCETDG), in their capacity as focal point for the physical hazards of the GHS.</w:t>
      </w:r>
    </w:p>
  </w:footnote>
  <w:footnote w:id="4">
    <w:p w14:paraId="2BBB0E5E" w14:textId="127B903C" w:rsidR="00587FFB" w:rsidRPr="00587FFB" w:rsidRDefault="00587FFB" w:rsidP="00587FFB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2</w:t>
      </w:r>
      <w:r>
        <w:t xml:space="preserve"> </w:t>
      </w:r>
      <w:r>
        <w:tab/>
        <w:t>For a recent detailed account of the problems with the current GHS</w:t>
      </w:r>
      <w:r w:rsidR="00325257">
        <w:t xml:space="preserve"> </w:t>
      </w:r>
      <w:r>
        <w:t xml:space="preserve">classification and discussions around the new system under development, see the </w:t>
      </w:r>
      <w:r w:rsidR="00325257">
        <w:t>s</w:t>
      </w:r>
      <w:r>
        <w:t xml:space="preserve">tatus </w:t>
      </w:r>
      <w:r w:rsidR="00325257">
        <w:t>r</w:t>
      </w:r>
      <w:r>
        <w:t xml:space="preserve">eport on the work in </w:t>
      </w:r>
      <w:r w:rsidRPr="003765E7">
        <w:t>INF16</w:t>
      </w:r>
      <w:r>
        <w:t xml:space="preserve"> </w:t>
      </w:r>
      <w:r w:rsidR="00325257">
        <w:t xml:space="preserve">(GHS, thirty-fifth session) </w:t>
      </w:r>
      <w:r>
        <w:t xml:space="preserve">– </w:t>
      </w:r>
      <w:r w:rsidRPr="003765E7">
        <w:t>INF46</w:t>
      </w:r>
      <w:r w:rsidR="00325257">
        <w:t xml:space="preserve"> (TDG, fifty-third session)</w:t>
      </w:r>
      <w:r>
        <w:t>.</w:t>
      </w:r>
    </w:p>
  </w:footnote>
  <w:footnote w:id="5">
    <w:p w14:paraId="3C376DD0" w14:textId="22CC9591" w:rsidR="00587FFB" w:rsidRPr="00587FFB" w:rsidRDefault="00587FFB" w:rsidP="00587FFB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3</w:t>
      </w:r>
      <w:r>
        <w:t xml:space="preserve"> </w:t>
      </w:r>
      <w:r>
        <w:tab/>
        <w:t xml:space="preserve">The suggested criteria would, however, take the immediate container (or primary packaging) into account, see details in INF.46 to the </w:t>
      </w:r>
      <w:r w:rsidR="00325257">
        <w:t>thirty-sixth session</w:t>
      </w:r>
      <w:r>
        <w:t xml:space="preserve"> of the SCEGHS.</w:t>
      </w:r>
    </w:p>
  </w:footnote>
  <w:footnote w:id="6">
    <w:p w14:paraId="1E37603F" w14:textId="2910A8FD" w:rsidR="00587FFB" w:rsidRPr="00587FFB" w:rsidRDefault="00587FFB" w:rsidP="00587FFB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4</w:t>
      </w:r>
      <w:r>
        <w:t xml:space="preserve"> </w:t>
      </w:r>
      <w:r>
        <w:tab/>
        <w:t>It is common practice to refer to the Divisions in regulations and guidance on the storage of explosives, e.g. concerning safety distances.</w:t>
      </w:r>
    </w:p>
  </w:footnote>
  <w:footnote w:id="7">
    <w:p w14:paraId="03D1C020" w14:textId="5E5A40EF" w:rsidR="00587FFB" w:rsidRPr="00587FFB" w:rsidRDefault="00587FFB" w:rsidP="00587FFB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5</w:t>
      </w:r>
      <w:r>
        <w:t xml:space="preserve"> </w:t>
      </w:r>
      <w:r>
        <w:tab/>
        <w:t xml:space="preserve">See </w:t>
      </w:r>
      <w:hyperlink r:id="rId1" w:history="1">
        <w:r w:rsidRPr="003A5185">
          <w:rPr>
            <w:rStyle w:val="Hyperlink"/>
          </w:rPr>
          <w:t>www.igus-experts.org</w:t>
        </w:r>
      </w:hyperlink>
    </w:p>
  </w:footnote>
  <w:footnote w:id="8">
    <w:p w14:paraId="6FE0CACA" w14:textId="6F180DF7" w:rsidR="00587FFB" w:rsidRPr="00587FFB" w:rsidRDefault="00587FFB" w:rsidP="00587FFB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6</w:t>
      </w:r>
      <w:r>
        <w:t xml:space="preserve"> </w:t>
      </w:r>
      <w:r>
        <w:tab/>
      </w:r>
      <w:r w:rsidRPr="0023741D">
        <w:t xml:space="preserve">It is </w:t>
      </w:r>
      <w:r>
        <w:t>recognised</w:t>
      </w:r>
      <w:r w:rsidRPr="0023741D">
        <w:t xml:space="preserve"> that a few experts in the ICG </w:t>
      </w:r>
      <w:r>
        <w:t xml:space="preserve">advocate for a splitting of Category 1 unless a hazard statement can be found that addresses the mechanical and/or thermal sensitivity of Explosives currently classified as “Unstable explosives”. For a more detailed discussion on this, see </w:t>
      </w:r>
      <w:r w:rsidRPr="00AB6C65">
        <w:t>INF19</w:t>
      </w:r>
      <w:r>
        <w:t xml:space="preserve"> </w:t>
      </w:r>
      <w:r w:rsidR="00325257">
        <w:t xml:space="preserve">(GHS, thirty-sixth session) </w:t>
      </w:r>
      <w:r>
        <w:t>–</w:t>
      </w:r>
      <w:r w:rsidR="00325257">
        <w:t xml:space="preserve"> </w:t>
      </w:r>
      <w:r w:rsidRPr="00AB6C65">
        <w:t>INF29</w:t>
      </w:r>
      <w:r w:rsidR="00325257">
        <w:t xml:space="preserve"> (TDG, fifty-fourth session)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074893AD" w:rsidR="00A6743D" w:rsidRPr="000A6BBA" w:rsidRDefault="00DC6892" w:rsidP="00DC6892">
    <w:pPr>
      <w:pStyle w:val="Header"/>
    </w:pPr>
    <w:r w:rsidRPr="000A6BBA">
      <w:t>ST/SG/AC.10/C.3/2019/</w:t>
    </w:r>
    <w:r w:rsidR="004D0198">
      <w:t>3</w:t>
    </w:r>
    <w:r w:rsidR="008E6500">
      <w:t>2</w:t>
    </w:r>
    <w:r w:rsidR="000A6BBA" w:rsidRPr="000A6BBA">
      <w:br/>
    </w:r>
    <w:r w:rsidRPr="00C31773">
      <w:rPr>
        <w:iCs/>
      </w:rPr>
      <w:t>ST/SG/AC.10/C.4/2019/</w:t>
    </w:r>
    <w:r w:rsidR="00587FFB">
      <w:rPr>
        <w:iCs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0980" w14:textId="6B0B6A12" w:rsidR="00A6743D" w:rsidRPr="00DC6892" w:rsidRDefault="00DC6892" w:rsidP="00DC6892">
    <w:pPr>
      <w:pStyle w:val="Header"/>
      <w:jc w:val="right"/>
    </w:pPr>
    <w:r w:rsidRPr="00AF6EE1">
      <w:rPr>
        <w:lang w:val="en-US"/>
      </w:rPr>
      <w:t>ST/SG/AC.10/C.3/2019/</w:t>
    </w:r>
    <w:r w:rsidR="00587FFB">
      <w:rPr>
        <w:lang w:val="en-US"/>
      </w:rPr>
      <w:t>32</w:t>
    </w:r>
    <w:r w:rsidR="000A6BBA">
      <w:rPr>
        <w:lang w:val="en-US"/>
      </w:rPr>
      <w:br/>
    </w:r>
    <w:r w:rsidRPr="00AF6EE1">
      <w:rPr>
        <w:lang w:val="en-US"/>
      </w:rPr>
      <w:t>ST/SG/AC.10/C.4/2019/</w:t>
    </w:r>
    <w:r w:rsidR="00587FFB">
      <w:rPr>
        <w:lang w:val="en-US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8D43" w14:textId="43008030" w:rsidR="00A6743D" w:rsidRPr="00F82A8B" w:rsidRDefault="00A6743D" w:rsidP="00F82A8B">
    <w:pPr>
      <w:pStyle w:val="Header"/>
      <w:pBdr>
        <w:bottom w:val="none" w:sz="0" w:space="0" w:color="auto"/>
      </w:pBdr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7469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89D32B8"/>
    <w:multiLevelType w:val="hybridMultilevel"/>
    <w:tmpl w:val="3CD889FE"/>
    <w:lvl w:ilvl="0" w:tplc="4664D14E">
      <w:start w:val="3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4A6171"/>
    <w:multiLevelType w:val="hybridMultilevel"/>
    <w:tmpl w:val="F572D808"/>
    <w:lvl w:ilvl="0" w:tplc="001C8B8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DF1450"/>
    <w:multiLevelType w:val="hybridMultilevel"/>
    <w:tmpl w:val="9AFAD11A"/>
    <w:lvl w:ilvl="0" w:tplc="4240DF22">
      <w:start w:val="9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298F191A"/>
    <w:multiLevelType w:val="hybridMultilevel"/>
    <w:tmpl w:val="2B1ADD9E"/>
    <w:lvl w:ilvl="0" w:tplc="B8BCB884">
      <w:start w:val="9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14934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ABE1E11"/>
    <w:multiLevelType w:val="hybridMultilevel"/>
    <w:tmpl w:val="367EF882"/>
    <w:lvl w:ilvl="0" w:tplc="C59A5018">
      <w:start w:val="9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B8157A2"/>
    <w:multiLevelType w:val="hybridMultilevel"/>
    <w:tmpl w:val="748E0422"/>
    <w:lvl w:ilvl="0" w:tplc="001C8B80">
      <w:start w:val="1"/>
      <w:numFmt w:val="lowerRoman"/>
      <w:lvlText w:val="(%1)"/>
      <w:lvlJc w:val="left"/>
      <w:pPr>
        <w:ind w:left="29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54" w:hanging="360"/>
      </w:pPr>
    </w:lvl>
    <w:lvl w:ilvl="2" w:tplc="0407001B" w:tentative="1">
      <w:start w:val="1"/>
      <w:numFmt w:val="lowerRoman"/>
      <w:lvlText w:val="%3."/>
      <w:lvlJc w:val="right"/>
      <w:pPr>
        <w:ind w:left="4374" w:hanging="180"/>
      </w:pPr>
    </w:lvl>
    <w:lvl w:ilvl="3" w:tplc="0407000F" w:tentative="1">
      <w:start w:val="1"/>
      <w:numFmt w:val="decimal"/>
      <w:lvlText w:val="%4."/>
      <w:lvlJc w:val="left"/>
      <w:pPr>
        <w:ind w:left="5094" w:hanging="360"/>
      </w:pPr>
    </w:lvl>
    <w:lvl w:ilvl="4" w:tplc="04070019" w:tentative="1">
      <w:start w:val="1"/>
      <w:numFmt w:val="lowerLetter"/>
      <w:lvlText w:val="%5."/>
      <w:lvlJc w:val="left"/>
      <w:pPr>
        <w:ind w:left="5814" w:hanging="360"/>
      </w:pPr>
    </w:lvl>
    <w:lvl w:ilvl="5" w:tplc="0407001B" w:tentative="1">
      <w:start w:val="1"/>
      <w:numFmt w:val="lowerRoman"/>
      <w:lvlText w:val="%6."/>
      <w:lvlJc w:val="right"/>
      <w:pPr>
        <w:ind w:left="6534" w:hanging="180"/>
      </w:pPr>
    </w:lvl>
    <w:lvl w:ilvl="6" w:tplc="0407000F" w:tentative="1">
      <w:start w:val="1"/>
      <w:numFmt w:val="decimal"/>
      <w:lvlText w:val="%7."/>
      <w:lvlJc w:val="left"/>
      <w:pPr>
        <w:ind w:left="7254" w:hanging="360"/>
      </w:pPr>
    </w:lvl>
    <w:lvl w:ilvl="7" w:tplc="04070019" w:tentative="1">
      <w:start w:val="1"/>
      <w:numFmt w:val="lowerLetter"/>
      <w:lvlText w:val="%8."/>
      <w:lvlJc w:val="left"/>
      <w:pPr>
        <w:ind w:left="7974" w:hanging="360"/>
      </w:pPr>
    </w:lvl>
    <w:lvl w:ilvl="8" w:tplc="0407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 w15:restartNumberingAfterBreak="0">
    <w:nsid w:val="4CA517BD"/>
    <w:multiLevelType w:val="multilevel"/>
    <w:tmpl w:val="6D30530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E76534F"/>
    <w:multiLevelType w:val="hybridMultilevel"/>
    <w:tmpl w:val="A572AA9C"/>
    <w:lvl w:ilvl="0" w:tplc="F0DCCFB0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C6E6D"/>
    <w:multiLevelType w:val="hybridMultilevel"/>
    <w:tmpl w:val="4D4CB4A6"/>
    <w:lvl w:ilvl="0" w:tplc="3F3AF5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F5FD1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35F448C"/>
    <w:multiLevelType w:val="hybridMultilevel"/>
    <w:tmpl w:val="55BC5F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ACE6750A">
      <w:start w:val="3"/>
      <w:numFmt w:val="lowerRoman"/>
      <w:lvlText w:val="(%4)"/>
      <w:lvlJc w:val="left"/>
      <w:pPr>
        <w:ind w:left="437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32A02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1"/>
  </w:num>
  <w:num w:numId="14">
    <w:abstractNumId w:val="25"/>
  </w:num>
  <w:num w:numId="15">
    <w:abstractNumId w:val="28"/>
  </w:num>
  <w:num w:numId="16">
    <w:abstractNumId w:val="17"/>
  </w:num>
  <w:num w:numId="17">
    <w:abstractNumId w:val="27"/>
  </w:num>
  <w:num w:numId="18">
    <w:abstractNumId w:val="13"/>
  </w:num>
  <w:num w:numId="19">
    <w:abstractNumId w:val="19"/>
  </w:num>
  <w:num w:numId="20">
    <w:abstractNumId w:val="26"/>
  </w:num>
  <w:num w:numId="21">
    <w:abstractNumId w:val="29"/>
  </w:num>
  <w:num w:numId="22">
    <w:abstractNumId w:val="18"/>
  </w:num>
  <w:num w:numId="23">
    <w:abstractNumId w:val="21"/>
  </w:num>
  <w:num w:numId="24">
    <w:abstractNumId w:val="20"/>
  </w:num>
  <w:num w:numId="25">
    <w:abstractNumId w:val="22"/>
  </w:num>
  <w:num w:numId="26">
    <w:abstractNumId w:val="10"/>
  </w:num>
  <w:num w:numId="27">
    <w:abstractNumId w:val="15"/>
  </w:num>
  <w:num w:numId="28">
    <w:abstractNumId w:val="12"/>
  </w:num>
  <w:num w:numId="29">
    <w:abstractNumId w:val="16"/>
  </w:num>
  <w:num w:numId="3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A34"/>
    <w:rsid w:val="000230A1"/>
    <w:rsid w:val="00025E4D"/>
    <w:rsid w:val="00026046"/>
    <w:rsid w:val="0002626C"/>
    <w:rsid w:val="00027FBE"/>
    <w:rsid w:val="00030CFD"/>
    <w:rsid w:val="00031FF3"/>
    <w:rsid w:val="00034B57"/>
    <w:rsid w:val="00037FD8"/>
    <w:rsid w:val="00044A30"/>
    <w:rsid w:val="00044B65"/>
    <w:rsid w:val="00044DE9"/>
    <w:rsid w:val="00050F6B"/>
    <w:rsid w:val="00051062"/>
    <w:rsid w:val="00051EF4"/>
    <w:rsid w:val="00052876"/>
    <w:rsid w:val="000540AC"/>
    <w:rsid w:val="00056542"/>
    <w:rsid w:val="00057755"/>
    <w:rsid w:val="00060E74"/>
    <w:rsid w:val="00062F47"/>
    <w:rsid w:val="00064A74"/>
    <w:rsid w:val="00066A19"/>
    <w:rsid w:val="000675CC"/>
    <w:rsid w:val="00071BCB"/>
    <w:rsid w:val="00072C8C"/>
    <w:rsid w:val="0007360D"/>
    <w:rsid w:val="000737C7"/>
    <w:rsid w:val="00074065"/>
    <w:rsid w:val="000809F3"/>
    <w:rsid w:val="00080A0C"/>
    <w:rsid w:val="00086FBE"/>
    <w:rsid w:val="000900D2"/>
    <w:rsid w:val="00091419"/>
    <w:rsid w:val="000931C0"/>
    <w:rsid w:val="0009487E"/>
    <w:rsid w:val="00094B11"/>
    <w:rsid w:val="00097CA6"/>
    <w:rsid w:val="000A0FDB"/>
    <w:rsid w:val="000A22E9"/>
    <w:rsid w:val="000A25EF"/>
    <w:rsid w:val="000A47C9"/>
    <w:rsid w:val="000A57F2"/>
    <w:rsid w:val="000A6BBA"/>
    <w:rsid w:val="000B0A3E"/>
    <w:rsid w:val="000B175B"/>
    <w:rsid w:val="000B3A0F"/>
    <w:rsid w:val="000C0BD8"/>
    <w:rsid w:val="000C52A3"/>
    <w:rsid w:val="000C7CC1"/>
    <w:rsid w:val="000D1C3C"/>
    <w:rsid w:val="000D21CE"/>
    <w:rsid w:val="000D2DB2"/>
    <w:rsid w:val="000D5F16"/>
    <w:rsid w:val="000E0415"/>
    <w:rsid w:val="000E2643"/>
    <w:rsid w:val="000F2380"/>
    <w:rsid w:val="000F354C"/>
    <w:rsid w:val="000F5031"/>
    <w:rsid w:val="00100242"/>
    <w:rsid w:val="00105D5C"/>
    <w:rsid w:val="0010735D"/>
    <w:rsid w:val="00115198"/>
    <w:rsid w:val="001153C6"/>
    <w:rsid w:val="00117787"/>
    <w:rsid w:val="00127BE5"/>
    <w:rsid w:val="00130B2B"/>
    <w:rsid w:val="00131714"/>
    <w:rsid w:val="00131767"/>
    <w:rsid w:val="00131D42"/>
    <w:rsid w:val="00131D60"/>
    <w:rsid w:val="001329B7"/>
    <w:rsid w:val="00134644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55CD9"/>
    <w:rsid w:val="0016239A"/>
    <w:rsid w:val="001633FB"/>
    <w:rsid w:val="00167A95"/>
    <w:rsid w:val="00186AE8"/>
    <w:rsid w:val="0018709C"/>
    <w:rsid w:val="00187767"/>
    <w:rsid w:val="00191FC2"/>
    <w:rsid w:val="00194BF6"/>
    <w:rsid w:val="001A08B8"/>
    <w:rsid w:val="001A0D51"/>
    <w:rsid w:val="001A543B"/>
    <w:rsid w:val="001B0047"/>
    <w:rsid w:val="001B0350"/>
    <w:rsid w:val="001B1A57"/>
    <w:rsid w:val="001B4B04"/>
    <w:rsid w:val="001C08BC"/>
    <w:rsid w:val="001C3F03"/>
    <w:rsid w:val="001C4992"/>
    <w:rsid w:val="001C6663"/>
    <w:rsid w:val="001C70FB"/>
    <w:rsid w:val="001C7895"/>
    <w:rsid w:val="001D029A"/>
    <w:rsid w:val="001D26DF"/>
    <w:rsid w:val="001D2FDC"/>
    <w:rsid w:val="001D510E"/>
    <w:rsid w:val="001D5121"/>
    <w:rsid w:val="001D5BCE"/>
    <w:rsid w:val="001D5C1E"/>
    <w:rsid w:val="001E39CC"/>
    <w:rsid w:val="001E5B82"/>
    <w:rsid w:val="001F55F0"/>
    <w:rsid w:val="001F7DAC"/>
    <w:rsid w:val="00202885"/>
    <w:rsid w:val="00204D75"/>
    <w:rsid w:val="002054BE"/>
    <w:rsid w:val="0020640F"/>
    <w:rsid w:val="00211E0B"/>
    <w:rsid w:val="00212046"/>
    <w:rsid w:val="002213FA"/>
    <w:rsid w:val="0022446F"/>
    <w:rsid w:val="002262D3"/>
    <w:rsid w:val="002309A7"/>
    <w:rsid w:val="00230CED"/>
    <w:rsid w:val="00230F2E"/>
    <w:rsid w:val="00235937"/>
    <w:rsid w:val="00235CD8"/>
    <w:rsid w:val="002370FA"/>
    <w:rsid w:val="0023741D"/>
    <w:rsid w:val="00237785"/>
    <w:rsid w:val="00241466"/>
    <w:rsid w:val="002417A0"/>
    <w:rsid w:val="0024188D"/>
    <w:rsid w:val="00244BA0"/>
    <w:rsid w:val="00253374"/>
    <w:rsid w:val="00255B38"/>
    <w:rsid w:val="002568BA"/>
    <w:rsid w:val="00265251"/>
    <w:rsid w:val="00265A8C"/>
    <w:rsid w:val="00271844"/>
    <w:rsid w:val="00271C18"/>
    <w:rsid w:val="00271FD4"/>
    <w:rsid w:val="002725CA"/>
    <w:rsid w:val="00273765"/>
    <w:rsid w:val="00276189"/>
    <w:rsid w:val="00276796"/>
    <w:rsid w:val="00277336"/>
    <w:rsid w:val="0027776D"/>
    <w:rsid w:val="002807B9"/>
    <w:rsid w:val="00280EB7"/>
    <w:rsid w:val="00283B0C"/>
    <w:rsid w:val="002845E7"/>
    <w:rsid w:val="00285581"/>
    <w:rsid w:val="00287C9D"/>
    <w:rsid w:val="00291742"/>
    <w:rsid w:val="00297FDB"/>
    <w:rsid w:val="002A2457"/>
    <w:rsid w:val="002A3034"/>
    <w:rsid w:val="002A60CE"/>
    <w:rsid w:val="002A60F8"/>
    <w:rsid w:val="002A6E0B"/>
    <w:rsid w:val="002A7BC0"/>
    <w:rsid w:val="002B1A41"/>
    <w:rsid w:val="002B1CDA"/>
    <w:rsid w:val="002B26CF"/>
    <w:rsid w:val="002B37F5"/>
    <w:rsid w:val="002C56EC"/>
    <w:rsid w:val="002C638D"/>
    <w:rsid w:val="002D027D"/>
    <w:rsid w:val="002D1466"/>
    <w:rsid w:val="002D19D2"/>
    <w:rsid w:val="002D2FAF"/>
    <w:rsid w:val="002D30CC"/>
    <w:rsid w:val="002D476E"/>
    <w:rsid w:val="002D767C"/>
    <w:rsid w:val="002E0A46"/>
    <w:rsid w:val="002E10DE"/>
    <w:rsid w:val="002E1F2B"/>
    <w:rsid w:val="002F0ACF"/>
    <w:rsid w:val="002F21B2"/>
    <w:rsid w:val="002F69B6"/>
    <w:rsid w:val="002F7AAF"/>
    <w:rsid w:val="002F7F51"/>
    <w:rsid w:val="00301F46"/>
    <w:rsid w:val="003065AD"/>
    <w:rsid w:val="003107FA"/>
    <w:rsid w:val="00316CDE"/>
    <w:rsid w:val="003229D8"/>
    <w:rsid w:val="00323A0C"/>
    <w:rsid w:val="00323B8F"/>
    <w:rsid w:val="00325257"/>
    <w:rsid w:val="00341621"/>
    <w:rsid w:val="00350C40"/>
    <w:rsid w:val="00363CCA"/>
    <w:rsid w:val="00364DED"/>
    <w:rsid w:val="00374AA4"/>
    <w:rsid w:val="00374C1F"/>
    <w:rsid w:val="00375203"/>
    <w:rsid w:val="00376216"/>
    <w:rsid w:val="003765E7"/>
    <w:rsid w:val="0037785D"/>
    <w:rsid w:val="0037787A"/>
    <w:rsid w:val="00381151"/>
    <w:rsid w:val="00383CC3"/>
    <w:rsid w:val="0039277A"/>
    <w:rsid w:val="00395BB7"/>
    <w:rsid w:val="003972E0"/>
    <w:rsid w:val="003A2736"/>
    <w:rsid w:val="003A4A7A"/>
    <w:rsid w:val="003A5075"/>
    <w:rsid w:val="003B1AC3"/>
    <w:rsid w:val="003B5E83"/>
    <w:rsid w:val="003C247C"/>
    <w:rsid w:val="003C2CC4"/>
    <w:rsid w:val="003D151A"/>
    <w:rsid w:val="003D4B23"/>
    <w:rsid w:val="003D75C6"/>
    <w:rsid w:val="003E5E81"/>
    <w:rsid w:val="003F347E"/>
    <w:rsid w:val="003F3F2A"/>
    <w:rsid w:val="003F66B7"/>
    <w:rsid w:val="004028F0"/>
    <w:rsid w:val="0041748B"/>
    <w:rsid w:val="004227F2"/>
    <w:rsid w:val="0042740D"/>
    <w:rsid w:val="00430BC1"/>
    <w:rsid w:val="004314D5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3298"/>
    <w:rsid w:val="00454036"/>
    <w:rsid w:val="00454348"/>
    <w:rsid w:val="00457ED8"/>
    <w:rsid w:val="00462EB7"/>
    <w:rsid w:val="00463344"/>
    <w:rsid w:val="00471D64"/>
    <w:rsid w:val="0047206D"/>
    <w:rsid w:val="00474B1C"/>
    <w:rsid w:val="0048040E"/>
    <w:rsid w:val="00480880"/>
    <w:rsid w:val="004815BC"/>
    <w:rsid w:val="00486F0C"/>
    <w:rsid w:val="004906B4"/>
    <w:rsid w:val="00495374"/>
    <w:rsid w:val="00496F4B"/>
    <w:rsid w:val="004A39F9"/>
    <w:rsid w:val="004A411D"/>
    <w:rsid w:val="004A72B1"/>
    <w:rsid w:val="004B2C9D"/>
    <w:rsid w:val="004B4C10"/>
    <w:rsid w:val="004C008C"/>
    <w:rsid w:val="004C3287"/>
    <w:rsid w:val="004C5AF0"/>
    <w:rsid w:val="004C6CF4"/>
    <w:rsid w:val="004C7D23"/>
    <w:rsid w:val="004D0198"/>
    <w:rsid w:val="004D0FBF"/>
    <w:rsid w:val="004D4698"/>
    <w:rsid w:val="004E2C23"/>
    <w:rsid w:val="004E795A"/>
    <w:rsid w:val="00503B9C"/>
    <w:rsid w:val="005123DA"/>
    <w:rsid w:val="00515F83"/>
    <w:rsid w:val="00516993"/>
    <w:rsid w:val="00517A3F"/>
    <w:rsid w:val="005203EB"/>
    <w:rsid w:val="00522004"/>
    <w:rsid w:val="00522D44"/>
    <w:rsid w:val="00524600"/>
    <w:rsid w:val="00527910"/>
    <w:rsid w:val="00532908"/>
    <w:rsid w:val="00534DA8"/>
    <w:rsid w:val="005420F2"/>
    <w:rsid w:val="00547520"/>
    <w:rsid w:val="00553BE1"/>
    <w:rsid w:val="00553F25"/>
    <w:rsid w:val="00553FEF"/>
    <w:rsid w:val="00555BB3"/>
    <w:rsid w:val="00556E07"/>
    <w:rsid w:val="005616F9"/>
    <w:rsid w:val="00572388"/>
    <w:rsid w:val="005725A0"/>
    <w:rsid w:val="0057266D"/>
    <w:rsid w:val="00573567"/>
    <w:rsid w:val="00574827"/>
    <w:rsid w:val="005802FE"/>
    <w:rsid w:val="00580306"/>
    <w:rsid w:val="00581D79"/>
    <w:rsid w:val="005872A8"/>
    <w:rsid w:val="00587FFB"/>
    <w:rsid w:val="00590144"/>
    <w:rsid w:val="005931F4"/>
    <w:rsid w:val="005962B5"/>
    <w:rsid w:val="00596AFB"/>
    <w:rsid w:val="005A4D8F"/>
    <w:rsid w:val="005A585F"/>
    <w:rsid w:val="005A58DB"/>
    <w:rsid w:val="005B39EB"/>
    <w:rsid w:val="005B3DB3"/>
    <w:rsid w:val="005C216B"/>
    <w:rsid w:val="005C5058"/>
    <w:rsid w:val="005C67A3"/>
    <w:rsid w:val="005D0823"/>
    <w:rsid w:val="005D1CA6"/>
    <w:rsid w:val="005D476B"/>
    <w:rsid w:val="005D5296"/>
    <w:rsid w:val="005D5E45"/>
    <w:rsid w:val="005E0F7B"/>
    <w:rsid w:val="005E482E"/>
    <w:rsid w:val="005E5BFE"/>
    <w:rsid w:val="005E6FB9"/>
    <w:rsid w:val="005F16B8"/>
    <w:rsid w:val="00600D24"/>
    <w:rsid w:val="00601025"/>
    <w:rsid w:val="006014D2"/>
    <w:rsid w:val="006033C3"/>
    <w:rsid w:val="00606BD8"/>
    <w:rsid w:val="006119AE"/>
    <w:rsid w:val="00611FC4"/>
    <w:rsid w:val="0061237F"/>
    <w:rsid w:val="0061691B"/>
    <w:rsid w:val="006176FB"/>
    <w:rsid w:val="00626159"/>
    <w:rsid w:val="0063419C"/>
    <w:rsid w:val="00640B26"/>
    <w:rsid w:val="00641CE9"/>
    <w:rsid w:val="006420B1"/>
    <w:rsid w:val="00643F7D"/>
    <w:rsid w:val="006500BA"/>
    <w:rsid w:val="00650DBA"/>
    <w:rsid w:val="006514B0"/>
    <w:rsid w:val="006612FE"/>
    <w:rsid w:val="00663B47"/>
    <w:rsid w:val="00675C0A"/>
    <w:rsid w:val="00675EEF"/>
    <w:rsid w:val="00680481"/>
    <w:rsid w:val="006804E7"/>
    <w:rsid w:val="00680EC5"/>
    <w:rsid w:val="00681546"/>
    <w:rsid w:val="00681628"/>
    <w:rsid w:val="00681744"/>
    <w:rsid w:val="00681766"/>
    <w:rsid w:val="0068403D"/>
    <w:rsid w:val="00684E8C"/>
    <w:rsid w:val="00687D2F"/>
    <w:rsid w:val="0069492F"/>
    <w:rsid w:val="0069552B"/>
    <w:rsid w:val="00696595"/>
    <w:rsid w:val="00697525"/>
    <w:rsid w:val="006A17B4"/>
    <w:rsid w:val="006A3BD5"/>
    <w:rsid w:val="006A5661"/>
    <w:rsid w:val="006A7392"/>
    <w:rsid w:val="006B7933"/>
    <w:rsid w:val="006C0D34"/>
    <w:rsid w:val="006C1CA0"/>
    <w:rsid w:val="006C46F2"/>
    <w:rsid w:val="006C7E11"/>
    <w:rsid w:val="006D247B"/>
    <w:rsid w:val="006D5191"/>
    <w:rsid w:val="006D5AAE"/>
    <w:rsid w:val="006D5B78"/>
    <w:rsid w:val="006E31BF"/>
    <w:rsid w:val="006E3537"/>
    <w:rsid w:val="006E564B"/>
    <w:rsid w:val="006E6FBD"/>
    <w:rsid w:val="006F021A"/>
    <w:rsid w:val="006F4D74"/>
    <w:rsid w:val="006F4ED5"/>
    <w:rsid w:val="007012C4"/>
    <w:rsid w:val="0070311F"/>
    <w:rsid w:val="00704A7F"/>
    <w:rsid w:val="00704F3F"/>
    <w:rsid w:val="007102D9"/>
    <w:rsid w:val="00712FCE"/>
    <w:rsid w:val="0071747D"/>
    <w:rsid w:val="00721502"/>
    <w:rsid w:val="00721A06"/>
    <w:rsid w:val="00722589"/>
    <w:rsid w:val="007227B6"/>
    <w:rsid w:val="00725848"/>
    <w:rsid w:val="0072632A"/>
    <w:rsid w:val="007267E0"/>
    <w:rsid w:val="00727BB6"/>
    <w:rsid w:val="0073039D"/>
    <w:rsid w:val="007319D5"/>
    <w:rsid w:val="00731BEA"/>
    <w:rsid w:val="007348BB"/>
    <w:rsid w:val="00741915"/>
    <w:rsid w:val="007505BC"/>
    <w:rsid w:val="0075116C"/>
    <w:rsid w:val="00753201"/>
    <w:rsid w:val="007548D5"/>
    <w:rsid w:val="007607F5"/>
    <w:rsid w:val="00760D1B"/>
    <w:rsid w:val="007612E0"/>
    <w:rsid w:val="00761389"/>
    <w:rsid w:val="00762706"/>
    <w:rsid w:val="007665DE"/>
    <w:rsid w:val="00771113"/>
    <w:rsid w:val="007713F2"/>
    <w:rsid w:val="00775393"/>
    <w:rsid w:val="00776CA4"/>
    <w:rsid w:val="00777356"/>
    <w:rsid w:val="00777BB4"/>
    <w:rsid w:val="00780921"/>
    <w:rsid w:val="0078270D"/>
    <w:rsid w:val="007857CD"/>
    <w:rsid w:val="00790791"/>
    <w:rsid w:val="00791404"/>
    <w:rsid w:val="0079264E"/>
    <w:rsid w:val="00793234"/>
    <w:rsid w:val="007A3B27"/>
    <w:rsid w:val="007A66B2"/>
    <w:rsid w:val="007B0FC0"/>
    <w:rsid w:val="007B6BA5"/>
    <w:rsid w:val="007B6FE6"/>
    <w:rsid w:val="007C3390"/>
    <w:rsid w:val="007C4F4B"/>
    <w:rsid w:val="007C54FD"/>
    <w:rsid w:val="007C698E"/>
    <w:rsid w:val="007E3A92"/>
    <w:rsid w:val="007E51DE"/>
    <w:rsid w:val="007F25B3"/>
    <w:rsid w:val="007F28CB"/>
    <w:rsid w:val="007F6611"/>
    <w:rsid w:val="00800138"/>
    <w:rsid w:val="0080387F"/>
    <w:rsid w:val="008041BA"/>
    <w:rsid w:val="00811614"/>
    <w:rsid w:val="008124A5"/>
    <w:rsid w:val="0081251D"/>
    <w:rsid w:val="008129F0"/>
    <w:rsid w:val="008175E9"/>
    <w:rsid w:val="008213BB"/>
    <w:rsid w:val="00822225"/>
    <w:rsid w:val="008242D7"/>
    <w:rsid w:val="0083337A"/>
    <w:rsid w:val="008360FD"/>
    <w:rsid w:val="00841A1B"/>
    <w:rsid w:val="00841AB4"/>
    <w:rsid w:val="00846136"/>
    <w:rsid w:val="00850841"/>
    <w:rsid w:val="00853FAE"/>
    <w:rsid w:val="008548B3"/>
    <w:rsid w:val="008554E7"/>
    <w:rsid w:val="00855967"/>
    <w:rsid w:val="00861ACC"/>
    <w:rsid w:val="00866523"/>
    <w:rsid w:val="00871F18"/>
    <w:rsid w:val="00871FD5"/>
    <w:rsid w:val="00874782"/>
    <w:rsid w:val="00874C3C"/>
    <w:rsid w:val="008803A8"/>
    <w:rsid w:val="00880DE7"/>
    <w:rsid w:val="008828E0"/>
    <w:rsid w:val="00884631"/>
    <w:rsid w:val="00884B25"/>
    <w:rsid w:val="00885E87"/>
    <w:rsid w:val="00887213"/>
    <w:rsid w:val="008876A7"/>
    <w:rsid w:val="00893347"/>
    <w:rsid w:val="00893828"/>
    <w:rsid w:val="008947E2"/>
    <w:rsid w:val="00894C13"/>
    <w:rsid w:val="008978DB"/>
    <w:rsid w:val="008979B1"/>
    <w:rsid w:val="008A1350"/>
    <w:rsid w:val="008A29F7"/>
    <w:rsid w:val="008A394B"/>
    <w:rsid w:val="008A5C06"/>
    <w:rsid w:val="008A6B25"/>
    <w:rsid w:val="008A6B52"/>
    <w:rsid w:val="008A6C4F"/>
    <w:rsid w:val="008B174F"/>
    <w:rsid w:val="008B1843"/>
    <w:rsid w:val="008C0C4E"/>
    <w:rsid w:val="008C3133"/>
    <w:rsid w:val="008C4A16"/>
    <w:rsid w:val="008C518D"/>
    <w:rsid w:val="008C5195"/>
    <w:rsid w:val="008C7398"/>
    <w:rsid w:val="008C7AD3"/>
    <w:rsid w:val="008D16E8"/>
    <w:rsid w:val="008D16EF"/>
    <w:rsid w:val="008D5AB6"/>
    <w:rsid w:val="008D67AF"/>
    <w:rsid w:val="008D69AE"/>
    <w:rsid w:val="008D6FE1"/>
    <w:rsid w:val="008D713B"/>
    <w:rsid w:val="008D7973"/>
    <w:rsid w:val="008D7AB3"/>
    <w:rsid w:val="008E0E46"/>
    <w:rsid w:val="008E3B3C"/>
    <w:rsid w:val="008E5E1A"/>
    <w:rsid w:val="008E6500"/>
    <w:rsid w:val="008E6B22"/>
    <w:rsid w:val="008F596C"/>
    <w:rsid w:val="008F671F"/>
    <w:rsid w:val="009019F7"/>
    <w:rsid w:val="00904592"/>
    <w:rsid w:val="00910F3B"/>
    <w:rsid w:val="009119D3"/>
    <w:rsid w:val="009128F8"/>
    <w:rsid w:val="0091444D"/>
    <w:rsid w:val="00915A89"/>
    <w:rsid w:val="00916F49"/>
    <w:rsid w:val="009213A3"/>
    <w:rsid w:val="0092169C"/>
    <w:rsid w:val="00921A36"/>
    <w:rsid w:val="00921FDE"/>
    <w:rsid w:val="00924C9C"/>
    <w:rsid w:val="00927142"/>
    <w:rsid w:val="0093272D"/>
    <w:rsid w:val="009338EE"/>
    <w:rsid w:val="009346DE"/>
    <w:rsid w:val="00940479"/>
    <w:rsid w:val="0094213D"/>
    <w:rsid w:val="00943B65"/>
    <w:rsid w:val="00945553"/>
    <w:rsid w:val="00945A26"/>
    <w:rsid w:val="00945A38"/>
    <w:rsid w:val="00945A5D"/>
    <w:rsid w:val="009502B6"/>
    <w:rsid w:val="00950F48"/>
    <w:rsid w:val="00953FD3"/>
    <w:rsid w:val="00955158"/>
    <w:rsid w:val="009552E5"/>
    <w:rsid w:val="00956CAD"/>
    <w:rsid w:val="00957C6D"/>
    <w:rsid w:val="00963CBA"/>
    <w:rsid w:val="00964B10"/>
    <w:rsid w:val="009652C7"/>
    <w:rsid w:val="00967AC9"/>
    <w:rsid w:val="00971136"/>
    <w:rsid w:val="00975C15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96E57"/>
    <w:rsid w:val="009A06E4"/>
    <w:rsid w:val="009A3CB7"/>
    <w:rsid w:val="009A478E"/>
    <w:rsid w:val="009A681A"/>
    <w:rsid w:val="009A75FA"/>
    <w:rsid w:val="009B007F"/>
    <w:rsid w:val="009B0251"/>
    <w:rsid w:val="009B0ED1"/>
    <w:rsid w:val="009B35D8"/>
    <w:rsid w:val="009B3CAF"/>
    <w:rsid w:val="009B4111"/>
    <w:rsid w:val="009B47DE"/>
    <w:rsid w:val="009C25D5"/>
    <w:rsid w:val="009C2953"/>
    <w:rsid w:val="009C3671"/>
    <w:rsid w:val="009C46C7"/>
    <w:rsid w:val="009C67CC"/>
    <w:rsid w:val="009C767D"/>
    <w:rsid w:val="009D58C1"/>
    <w:rsid w:val="009F0F06"/>
    <w:rsid w:val="00A02556"/>
    <w:rsid w:val="00A04323"/>
    <w:rsid w:val="00A065BA"/>
    <w:rsid w:val="00A07C0C"/>
    <w:rsid w:val="00A120B4"/>
    <w:rsid w:val="00A13C36"/>
    <w:rsid w:val="00A1427D"/>
    <w:rsid w:val="00A14C8F"/>
    <w:rsid w:val="00A158D4"/>
    <w:rsid w:val="00A176C2"/>
    <w:rsid w:val="00A22DA5"/>
    <w:rsid w:val="00A23130"/>
    <w:rsid w:val="00A23A0D"/>
    <w:rsid w:val="00A250A4"/>
    <w:rsid w:val="00A25786"/>
    <w:rsid w:val="00A25A9D"/>
    <w:rsid w:val="00A27434"/>
    <w:rsid w:val="00A27707"/>
    <w:rsid w:val="00A37F8B"/>
    <w:rsid w:val="00A40024"/>
    <w:rsid w:val="00A47091"/>
    <w:rsid w:val="00A47B65"/>
    <w:rsid w:val="00A570C0"/>
    <w:rsid w:val="00A60EB5"/>
    <w:rsid w:val="00A6743D"/>
    <w:rsid w:val="00A67BA6"/>
    <w:rsid w:val="00A67C50"/>
    <w:rsid w:val="00A72F22"/>
    <w:rsid w:val="00A7341F"/>
    <w:rsid w:val="00A748A6"/>
    <w:rsid w:val="00A74F3D"/>
    <w:rsid w:val="00A75EC9"/>
    <w:rsid w:val="00A76456"/>
    <w:rsid w:val="00A855F6"/>
    <w:rsid w:val="00A879A4"/>
    <w:rsid w:val="00AA7910"/>
    <w:rsid w:val="00AB48E3"/>
    <w:rsid w:val="00AB521F"/>
    <w:rsid w:val="00AB5F59"/>
    <w:rsid w:val="00AB6C65"/>
    <w:rsid w:val="00AB79D3"/>
    <w:rsid w:val="00AC1947"/>
    <w:rsid w:val="00AC47CB"/>
    <w:rsid w:val="00AC71C1"/>
    <w:rsid w:val="00AD06C7"/>
    <w:rsid w:val="00AD29A4"/>
    <w:rsid w:val="00AD6445"/>
    <w:rsid w:val="00AE3AB1"/>
    <w:rsid w:val="00AE5607"/>
    <w:rsid w:val="00AE71B9"/>
    <w:rsid w:val="00AE79B9"/>
    <w:rsid w:val="00AF2A45"/>
    <w:rsid w:val="00AF2B6B"/>
    <w:rsid w:val="00AF3B55"/>
    <w:rsid w:val="00AF6EE1"/>
    <w:rsid w:val="00B045D1"/>
    <w:rsid w:val="00B062A6"/>
    <w:rsid w:val="00B07928"/>
    <w:rsid w:val="00B24CC6"/>
    <w:rsid w:val="00B253B8"/>
    <w:rsid w:val="00B27DFF"/>
    <w:rsid w:val="00B30179"/>
    <w:rsid w:val="00B32C5C"/>
    <w:rsid w:val="00B3317B"/>
    <w:rsid w:val="00B35579"/>
    <w:rsid w:val="00B355CF"/>
    <w:rsid w:val="00B3750B"/>
    <w:rsid w:val="00B417FE"/>
    <w:rsid w:val="00B41EB4"/>
    <w:rsid w:val="00B43E15"/>
    <w:rsid w:val="00B44874"/>
    <w:rsid w:val="00B44D1E"/>
    <w:rsid w:val="00B501B7"/>
    <w:rsid w:val="00B50F43"/>
    <w:rsid w:val="00B6429F"/>
    <w:rsid w:val="00B656F0"/>
    <w:rsid w:val="00B7094F"/>
    <w:rsid w:val="00B725B8"/>
    <w:rsid w:val="00B73FEA"/>
    <w:rsid w:val="00B742CD"/>
    <w:rsid w:val="00B74841"/>
    <w:rsid w:val="00B77E99"/>
    <w:rsid w:val="00B81005"/>
    <w:rsid w:val="00B81E12"/>
    <w:rsid w:val="00B837AE"/>
    <w:rsid w:val="00B83CFE"/>
    <w:rsid w:val="00B85580"/>
    <w:rsid w:val="00B91DEF"/>
    <w:rsid w:val="00B920A4"/>
    <w:rsid w:val="00B93068"/>
    <w:rsid w:val="00BA3E96"/>
    <w:rsid w:val="00BB0818"/>
    <w:rsid w:val="00BB418D"/>
    <w:rsid w:val="00BB7FCC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D4010"/>
    <w:rsid w:val="00BD4883"/>
    <w:rsid w:val="00BE3C13"/>
    <w:rsid w:val="00BE447C"/>
    <w:rsid w:val="00BE5B7F"/>
    <w:rsid w:val="00BE618E"/>
    <w:rsid w:val="00BE78E7"/>
    <w:rsid w:val="00BF0564"/>
    <w:rsid w:val="00BF0B6C"/>
    <w:rsid w:val="00BF5F47"/>
    <w:rsid w:val="00BF6D59"/>
    <w:rsid w:val="00BF7A1A"/>
    <w:rsid w:val="00C029EA"/>
    <w:rsid w:val="00C02B2A"/>
    <w:rsid w:val="00C0407C"/>
    <w:rsid w:val="00C07F40"/>
    <w:rsid w:val="00C11095"/>
    <w:rsid w:val="00C13534"/>
    <w:rsid w:val="00C13800"/>
    <w:rsid w:val="00C14780"/>
    <w:rsid w:val="00C15D9D"/>
    <w:rsid w:val="00C16149"/>
    <w:rsid w:val="00C208C6"/>
    <w:rsid w:val="00C20967"/>
    <w:rsid w:val="00C214B4"/>
    <w:rsid w:val="00C21501"/>
    <w:rsid w:val="00C223FD"/>
    <w:rsid w:val="00C26657"/>
    <w:rsid w:val="00C302B4"/>
    <w:rsid w:val="00C31773"/>
    <w:rsid w:val="00C35AE7"/>
    <w:rsid w:val="00C44685"/>
    <w:rsid w:val="00C463DD"/>
    <w:rsid w:val="00C4716A"/>
    <w:rsid w:val="00C47173"/>
    <w:rsid w:val="00C47787"/>
    <w:rsid w:val="00C51052"/>
    <w:rsid w:val="00C52B1C"/>
    <w:rsid w:val="00C53C82"/>
    <w:rsid w:val="00C622ED"/>
    <w:rsid w:val="00C62F76"/>
    <w:rsid w:val="00C638AC"/>
    <w:rsid w:val="00C65026"/>
    <w:rsid w:val="00C662AA"/>
    <w:rsid w:val="00C665E8"/>
    <w:rsid w:val="00C66831"/>
    <w:rsid w:val="00C675D8"/>
    <w:rsid w:val="00C72005"/>
    <w:rsid w:val="00C72E02"/>
    <w:rsid w:val="00C740DA"/>
    <w:rsid w:val="00C745C3"/>
    <w:rsid w:val="00C74A11"/>
    <w:rsid w:val="00C76C20"/>
    <w:rsid w:val="00C76F83"/>
    <w:rsid w:val="00C81BA2"/>
    <w:rsid w:val="00C8384C"/>
    <w:rsid w:val="00C83E52"/>
    <w:rsid w:val="00C85F8B"/>
    <w:rsid w:val="00C91693"/>
    <w:rsid w:val="00C927AC"/>
    <w:rsid w:val="00CA1183"/>
    <w:rsid w:val="00CA1B48"/>
    <w:rsid w:val="00CA1F88"/>
    <w:rsid w:val="00CA516D"/>
    <w:rsid w:val="00CB03EB"/>
    <w:rsid w:val="00CB12A8"/>
    <w:rsid w:val="00CB26B3"/>
    <w:rsid w:val="00CB51FE"/>
    <w:rsid w:val="00CB699B"/>
    <w:rsid w:val="00CC2702"/>
    <w:rsid w:val="00CC78A6"/>
    <w:rsid w:val="00CD20A1"/>
    <w:rsid w:val="00CD3225"/>
    <w:rsid w:val="00CD64B5"/>
    <w:rsid w:val="00CD747F"/>
    <w:rsid w:val="00CE1355"/>
    <w:rsid w:val="00CE1382"/>
    <w:rsid w:val="00CE265D"/>
    <w:rsid w:val="00CE4A8F"/>
    <w:rsid w:val="00CF03F4"/>
    <w:rsid w:val="00CF0AEF"/>
    <w:rsid w:val="00CF0D7F"/>
    <w:rsid w:val="00CF3DF4"/>
    <w:rsid w:val="00CF657E"/>
    <w:rsid w:val="00D01A4C"/>
    <w:rsid w:val="00D038EE"/>
    <w:rsid w:val="00D03A8F"/>
    <w:rsid w:val="00D064AE"/>
    <w:rsid w:val="00D06940"/>
    <w:rsid w:val="00D102AE"/>
    <w:rsid w:val="00D1075E"/>
    <w:rsid w:val="00D16FDE"/>
    <w:rsid w:val="00D17118"/>
    <w:rsid w:val="00D2031B"/>
    <w:rsid w:val="00D20EF4"/>
    <w:rsid w:val="00D21AA4"/>
    <w:rsid w:val="00D21CD7"/>
    <w:rsid w:val="00D234A9"/>
    <w:rsid w:val="00D2544D"/>
    <w:rsid w:val="00D25FE2"/>
    <w:rsid w:val="00D34FB3"/>
    <w:rsid w:val="00D351EB"/>
    <w:rsid w:val="00D3727A"/>
    <w:rsid w:val="00D37904"/>
    <w:rsid w:val="00D42F53"/>
    <w:rsid w:val="00D43252"/>
    <w:rsid w:val="00D4764D"/>
    <w:rsid w:val="00D50452"/>
    <w:rsid w:val="00D64401"/>
    <w:rsid w:val="00D673BA"/>
    <w:rsid w:val="00D673D9"/>
    <w:rsid w:val="00D72DC1"/>
    <w:rsid w:val="00D753D8"/>
    <w:rsid w:val="00D76673"/>
    <w:rsid w:val="00D76841"/>
    <w:rsid w:val="00D80431"/>
    <w:rsid w:val="00D80A99"/>
    <w:rsid w:val="00D8153A"/>
    <w:rsid w:val="00D86516"/>
    <w:rsid w:val="00D87F4C"/>
    <w:rsid w:val="00D94B0C"/>
    <w:rsid w:val="00D96CC5"/>
    <w:rsid w:val="00D978C6"/>
    <w:rsid w:val="00DA67AD"/>
    <w:rsid w:val="00DA6941"/>
    <w:rsid w:val="00DA7BDD"/>
    <w:rsid w:val="00DB0CD3"/>
    <w:rsid w:val="00DB0CF8"/>
    <w:rsid w:val="00DB1F53"/>
    <w:rsid w:val="00DC1449"/>
    <w:rsid w:val="00DC1AA4"/>
    <w:rsid w:val="00DC5166"/>
    <w:rsid w:val="00DC5FBA"/>
    <w:rsid w:val="00DC6892"/>
    <w:rsid w:val="00DD2BDB"/>
    <w:rsid w:val="00DD5C8B"/>
    <w:rsid w:val="00DD6E77"/>
    <w:rsid w:val="00DE0613"/>
    <w:rsid w:val="00DE112D"/>
    <w:rsid w:val="00DF1BF7"/>
    <w:rsid w:val="00DF2772"/>
    <w:rsid w:val="00DF2823"/>
    <w:rsid w:val="00DF3CF2"/>
    <w:rsid w:val="00DF453A"/>
    <w:rsid w:val="00DF498E"/>
    <w:rsid w:val="00DF662C"/>
    <w:rsid w:val="00DF6A4F"/>
    <w:rsid w:val="00E000AD"/>
    <w:rsid w:val="00E07564"/>
    <w:rsid w:val="00E1169F"/>
    <w:rsid w:val="00E130AB"/>
    <w:rsid w:val="00E147D5"/>
    <w:rsid w:val="00E14CFE"/>
    <w:rsid w:val="00E16C68"/>
    <w:rsid w:val="00E201D5"/>
    <w:rsid w:val="00E23AA7"/>
    <w:rsid w:val="00E241E1"/>
    <w:rsid w:val="00E24D7E"/>
    <w:rsid w:val="00E26278"/>
    <w:rsid w:val="00E328FE"/>
    <w:rsid w:val="00E335A4"/>
    <w:rsid w:val="00E35C1C"/>
    <w:rsid w:val="00E35D65"/>
    <w:rsid w:val="00E41283"/>
    <w:rsid w:val="00E43CE3"/>
    <w:rsid w:val="00E549B7"/>
    <w:rsid w:val="00E5644E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38AA"/>
    <w:rsid w:val="00E8535A"/>
    <w:rsid w:val="00E856CE"/>
    <w:rsid w:val="00E90014"/>
    <w:rsid w:val="00E9059F"/>
    <w:rsid w:val="00E90F23"/>
    <w:rsid w:val="00E91706"/>
    <w:rsid w:val="00E9327B"/>
    <w:rsid w:val="00E96630"/>
    <w:rsid w:val="00EA392B"/>
    <w:rsid w:val="00EA6C65"/>
    <w:rsid w:val="00EA772F"/>
    <w:rsid w:val="00EB18D7"/>
    <w:rsid w:val="00EB30C3"/>
    <w:rsid w:val="00EB33F6"/>
    <w:rsid w:val="00EB5EFC"/>
    <w:rsid w:val="00EB6832"/>
    <w:rsid w:val="00EB70E2"/>
    <w:rsid w:val="00EC5BC7"/>
    <w:rsid w:val="00EC7146"/>
    <w:rsid w:val="00ED355F"/>
    <w:rsid w:val="00ED58E4"/>
    <w:rsid w:val="00ED6D82"/>
    <w:rsid w:val="00ED7A2A"/>
    <w:rsid w:val="00EE16CC"/>
    <w:rsid w:val="00EE5771"/>
    <w:rsid w:val="00EE639C"/>
    <w:rsid w:val="00EF0B5A"/>
    <w:rsid w:val="00EF14E7"/>
    <w:rsid w:val="00EF1D7F"/>
    <w:rsid w:val="00EF2383"/>
    <w:rsid w:val="00EF497D"/>
    <w:rsid w:val="00EF6834"/>
    <w:rsid w:val="00F02B07"/>
    <w:rsid w:val="00F05C2D"/>
    <w:rsid w:val="00F13EC4"/>
    <w:rsid w:val="00F14AAA"/>
    <w:rsid w:val="00F14E08"/>
    <w:rsid w:val="00F16818"/>
    <w:rsid w:val="00F179DE"/>
    <w:rsid w:val="00F20E52"/>
    <w:rsid w:val="00F236CE"/>
    <w:rsid w:val="00F30065"/>
    <w:rsid w:val="00F30427"/>
    <w:rsid w:val="00F345D5"/>
    <w:rsid w:val="00F36C76"/>
    <w:rsid w:val="00F3711E"/>
    <w:rsid w:val="00F40E75"/>
    <w:rsid w:val="00F41498"/>
    <w:rsid w:val="00F42066"/>
    <w:rsid w:val="00F45837"/>
    <w:rsid w:val="00F51379"/>
    <w:rsid w:val="00F518F7"/>
    <w:rsid w:val="00F532F9"/>
    <w:rsid w:val="00F54674"/>
    <w:rsid w:val="00F55A1F"/>
    <w:rsid w:val="00F55FD3"/>
    <w:rsid w:val="00F5673A"/>
    <w:rsid w:val="00F61B05"/>
    <w:rsid w:val="00F623B0"/>
    <w:rsid w:val="00F6529B"/>
    <w:rsid w:val="00F66F59"/>
    <w:rsid w:val="00F670E3"/>
    <w:rsid w:val="00F701A2"/>
    <w:rsid w:val="00F70522"/>
    <w:rsid w:val="00F71453"/>
    <w:rsid w:val="00F7224B"/>
    <w:rsid w:val="00F729F2"/>
    <w:rsid w:val="00F74CAF"/>
    <w:rsid w:val="00F75373"/>
    <w:rsid w:val="00F76BC5"/>
    <w:rsid w:val="00F778FA"/>
    <w:rsid w:val="00F81292"/>
    <w:rsid w:val="00F826CB"/>
    <w:rsid w:val="00F82A8B"/>
    <w:rsid w:val="00F83406"/>
    <w:rsid w:val="00F85B4A"/>
    <w:rsid w:val="00F85DBE"/>
    <w:rsid w:val="00F91C7F"/>
    <w:rsid w:val="00F91D77"/>
    <w:rsid w:val="00F942CB"/>
    <w:rsid w:val="00F94942"/>
    <w:rsid w:val="00F954BA"/>
    <w:rsid w:val="00FA19D1"/>
    <w:rsid w:val="00FA4B97"/>
    <w:rsid w:val="00FA6738"/>
    <w:rsid w:val="00FB016C"/>
    <w:rsid w:val="00FB09F1"/>
    <w:rsid w:val="00FB2719"/>
    <w:rsid w:val="00FB3438"/>
    <w:rsid w:val="00FB4352"/>
    <w:rsid w:val="00FC2B0A"/>
    <w:rsid w:val="00FC5E08"/>
    <w:rsid w:val="00FC68B7"/>
    <w:rsid w:val="00FD199B"/>
    <w:rsid w:val="00FD21A9"/>
    <w:rsid w:val="00FD59E3"/>
    <w:rsid w:val="00FD6B2B"/>
    <w:rsid w:val="00FD70A5"/>
    <w:rsid w:val="00FE0693"/>
    <w:rsid w:val="00FE26FA"/>
    <w:rsid w:val="00FE40BE"/>
    <w:rsid w:val="00FE4AFB"/>
    <w:rsid w:val="00FE7A43"/>
    <w:rsid w:val="00FF0169"/>
    <w:rsid w:val="00FF03BB"/>
    <w:rsid w:val="00FF437D"/>
    <w:rsid w:val="00FF4C77"/>
    <w:rsid w:val="00FF687E"/>
    <w:rsid w:val="00FF7519"/>
    <w:rsid w:val="00FF785B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8A794F"/>
  <w15:docId w15:val="{2CA1BFA7-4449-4E8E-B468-523E5B0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1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6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paragraph" w:styleId="Caption">
    <w:name w:val="caption"/>
    <w:basedOn w:val="Normal"/>
    <w:next w:val="Normal"/>
    <w:unhideWhenUsed/>
    <w:qFormat/>
    <w:rsid w:val="00FA4B9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us-expe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E10A-28BD-4731-ABF8-8914B7A3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2</cp:revision>
  <cp:lastPrinted>2019-04-09T08:19:00Z</cp:lastPrinted>
  <dcterms:created xsi:type="dcterms:W3CDTF">2019-04-09T08:25:00Z</dcterms:created>
  <dcterms:modified xsi:type="dcterms:W3CDTF">2019-04-09T08:25:00Z</dcterms:modified>
</cp:coreProperties>
</file>