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BFE5BB8" w14:textId="77777777" w:rsidTr="00577EC9">
        <w:trPr>
          <w:trHeight w:hRule="exact" w:val="851"/>
        </w:trPr>
        <w:tc>
          <w:tcPr>
            <w:tcW w:w="1280" w:type="dxa"/>
            <w:tcBorders>
              <w:bottom w:val="single" w:sz="4" w:space="0" w:color="auto"/>
            </w:tcBorders>
          </w:tcPr>
          <w:p w14:paraId="3E7E40EB" w14:textId="77777777" w:rsidR="002D5AAC" w:rsidRDefault="002D5AAC" w:rsidP="00577EC9">
            <w:pPr>
              <w:kinsoku w:val="0"/>
              <w:overflowPunct w:val="0"/>
              <w:autoSpaceDE w:val="0"/>
              <w:autoSpaceDN w:val="0"/>
              <w:adjustRightInd w:val="0"/>
              <w:snapToGrid w:val="0"/>
            </w:pPr>
          </w:p>
        </w:tc>
        <w:tc>
          <w:tcPr>
            <w:tcW w:w="2273" w:type="dxa"/>
            <w:tcBorders>
              <w:bottom w:val="single" w:sz="4" w:space="0" w:color="auto"/>
            </w:tcBorders>
            <w:vAlign w:val="bottom"/>
          </w:tcPr>
          <w:p w14:paraId="0C8D3E68" w14:textId="77777777" w:rsidR="002D5AAC" w:rsidRPr="00BD33EE" w:rsidRDefault="00BD33EE" w:rsidP="000A118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19FD6C1" w14:textId="77777777" w:rsidR="002D5AAC" w:rsidRDefault="00577EC9" w:rsidP="00577EC9">
            <w:pPr>
              <w:jc w:val="right"/>
            </w:pPr>
            <w:r w:rsidRPr="00577EC9">
              <w:rPr>
                <w:sz w:val="40"/>
              </w:rPr>
              <w:t>ST</w:t>
            </w:r>
            <w:r>
              <w:t>/SG/AC.10/46/Add.1</w:t>
            </w:r>
          </w:p>
        </w:tc>
      </w:tr>
      <w:tr w:rsidR="002D5AAC" w14:paraId="7AA790B6" w14:textId="77777777" w:rsidTr="00577EC9">
        <w:trPr>
          <w:trHeight w:hRule="exact" w:val="2835"/>
        </w:trPr>
        <w:tc>
          <w:tcPr>
            <w:tcW w:w="1280" w:type="dxa"/>
            <w:tcBorders>
              <w:top w:val="single" w:sz="4" w:space="0" w:color="auto"/>
              <w:bottom w:val="single" w:sz="12" w:space="0" w:color="auto"/>
            </w:tcBorders>
          </w:tcPr>
          <w:p w14:paraId="38115EC3" w14:textId="77777777" w:rsidR="002D5AAC" w:rsidRDefault="00AE3F83" w:rsidP="000A118E">
            <w:pPr>
              <w:spacing w:before="120"/>
              <w:jc w:val="center"/>
            </w:pPr>
            <w:r>
              <w:rPr>
                <w:noProof/>
                <w:lang w:eastAsia="zh-CN"/>
              </w:rPr>
              <w:drawing>
                <wp:inline distT="0" distB="0" distL="0" distR="0" wp14:anchorId="0BD9472D" wp14:editId="298C4FE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6D2C2B" w14:textId="77777777" w:rsidR="002D5AAC" w:rsidRPr="00BD33EE" w:rsidRDefault="001E213E" w:rsidP="000A118E">
            <w:pPr>
              <w:spacing w:before="120" w:line="420" w:lineRule="exact"/>
              <w:rPr>
                <w:b/>
                <w:sz w:val="40"/>
                <w:szCs w:val="40"/>
              </w:rPr>
            </w:pPr>
            <w:r>
              <w:rPr>
                <w:b/>
                <w:sz w:val="40"/>
                <w:szCs w:val="40"/>
              </w:rPr>
              <w:t>Secretaría</w:t>
            </w:r>
          </w:p>
        </w:tc>
        <w:tc>
          <w:tcPr>
            <w:tcW w:w="2819" w:type="dxa"/>
            <w:tcBorders>
              <w:top w:val="single" w:sz="4" w:space="0" w:color="auto"/>
              <w:bottom w:val="single" w:sz="12" w:space="0" w:color="auto"/>
            </w:tcBorders>
          </w:tcPr>
          <w:p w14:paraId="3044327B" w14:textId="77777777" w:rsidR="002D5AAC" w:rsidRDefault="00577EC9" w:rsidP="000A118E">
            <w:pPr>
              <w:spacing w:before="240"/>
            </w:pPr>
            <w:r>
              <w:t>Distr. general</w:t>
            </w:r>
          </w:p>
          <w:p w14:paraId="43516FC0" w14:textId="77777777" w:rsidR="00577EC9" w:rsidRDefault="00577EC9" w:rsidP="00577EC9">
            <w:pPr>
              <w:spacing w:line="240" w:lineRule="exact"/>
            </w:pPr>
            <w:r>
              <w:t>4 de marzo de 2019</w:t>
            </w:r>
          </w:p>
          <w:p w14:paraId="2638F523" w14:textId="77777777" w:rsidR="00577EC9" w:rsidRDefault="00577EC9" w:rsidP="00577EC9">
            <w:pPr>
              <w:spacing w:line="240" w:lineRule="exact"/>
            </w:pPr>
            <w:r>
              <w:t>Español</w:t>
            </w:r>
          </w:p>
          <w:p w14:paraId="72211821" w14:textId="77777777" w:rsidR="00577EC9" w:rsidRDefault="00577EC9" w:rsidP="00577EC9">
            <w:pPr>
              <w:spacing w:line="240" w:lineRule="exact"/>
            </w:pPr>
            <w:r>
              <w:t>Original: francés e inglés</w:t>
            </w:r>
          </w:p>
        </w:tc>
      </w:tr>
    </w:tbl>
    <w:p w14:paraId="09679786" w14:textId="77777777" w:rsidR="00577EC9" w:rsidRPr="00577EC9" w:rsidRDefault="00577EC9" w:rsidP="00577EC9">
      <w:pPr>
        <w:spacing w:before="120"/>
        <w:rPr>
          <w:b/>
          <w:sz w:val="24"/>
          <w:lang w:val="en-GB"/>
        </w:rPr>
      </w:pPr>
      <w:r w:rsidRPr="00577EC9">
        <w:rPr>
          <w:b/>
          <w:sz w:val="24"/>
        </w:rPr>
        <w:t xml:space="preserve">Comité de Expertos en Transporte de Mercancías Peligrosas </w:t>
      </w:r>
      <w:r w:rsidRPr="00577EC9">
        <w:rPr>
          <w:b/>
          <w:sz w:val="24"/>
        </w:rPr>
        <w:br/>
        <w:t xml:space="preserve">y en el Sistema Globalmente Armonizado de Clasificación </w:t>
      </w:r>
      <w:r w:rsidRPr="00577EC9">
        <w:rPr>
          <w:b/>
          <w:sz w:val="24"/>
        </w:rPr>
        <w:br/>
        <w:t>y Etiquetado de Productos Químicos</w:t>
      </w:r>
    </w:p>
    <w:p w14:paraId="662C9777" w14:textId="77777777" w:rsidR="00577EC9" w:rsidRPr="00577EC9" w:rsidRDefault="00577EC9" w:rsidP="00577EC9">
      <w:pPr>
        <w:pStyle w:val="HChG"/>
        <w:rPr>
          <w:bCs/>
          <w:lang w:val="en-GB"/>
        </w:rPr>
      </w:pPr>
      <w:r w:rsidRPr="00577EC9">
        <w:tab/>
      </w:r>
      <w:r w:rsidRPr="00577EC9">
        <w:tab/>
        <w:t>Informe del Comité de Expertos en Transporte de Mercancías Peligrosas y en el Sistema Globalmente Armonizado de Clasificación y Etiquetado de Productos Químicos sobre su noveno período de sesiones</w:t>
      </w:r>
    </w:p>
    <w:p w14:paraId="57BB9B60" w14:textId="77777777" w:rsidR="00577EC9" w:rsidRPr="00577EC9" w:rsidRDefault="00577EC9" w:rsidP="00577EC9">
      <w:pPr>
        <w:pStyle w:val="SingleTxtG"/>
        <w:rPr>
          <w:lang w:val="en-GB"/>
        </w:rPr>
      </w:pPr>
      <w:r w:rsidRPr="00577EC9">
        <w:t>Celebrado en Ginebra el 7 de diciembre de 2018</w:t>
      </w:r>
    </w:p>
    <w:p w14:paraId="5344A856" w14:textId="77777777" w:rsidR="00577EC9" w:rsidRPr="00577EC9" w:rsidRDefault="00577EC9" w:rsidP="00577EC9">
      <w:pPr>
        <w:pStyle w:val="H23G"/>
        <w:rPr>
          <w:lang w:val="en-GB"/>
        </w:rPr>
      </w:pPr>
      <w:r w:rsidRPr="00577EC9">
        <w:tab/>
      </w:r>
      <w:r w:rsidRPr="00577EC9">
        <w:tab/>
        <w:t>Adición</w:t>
      </w:r>
    </w:p>
    <w:p w14:paraId="0BFACBC1" w14:textId="77777777" w:rsidR="00577EC9" w:rsidRPr="00577EC9" w:rsidRDefault="00577EC9" w:rsidP="00577EC9">
      <w:pPr>
        <w:pStyle w:val="H1G"/>
        <w:rPr>
          <w:lang w:val="en-GB"/>
        </w:rPr>
      </w:pPr>
      <w:r w:rsidRPr="00577EC9">
        <w:tab/>
      </w:r>
      <w:r w:rsidRPr="00577EC9">
        <w:tab/>
        <w:t>Anexo I</w:t>
      </w:r>
    </w:p>
    <w:p w14:paraId="2F675CCB" w14:textId="77777777" w:rsidR="00577EC9" w:rsidRPr="00577EC9" w:rsidRDefault="00577EC9" w:rsidP="00577EC9">
      <w:pPr>
        <w:pStyle w:val="H1G"/>
        <w:rPr>
          <w:lang w:val="en-GB"/>
        </w:rPr>
      </w:pPr>
      <w:r w:rsidRPr="00577EC9">
        <w:tab/>
      </w:r>
      <w:r w:rsidRPr="00577EC9">
        <w:tab/>
        <w:t>Enmiendas de la 20ª edición revisada d</w:t>
      </w:r>
      <w:r>
        <w:t>e las Recomendaciones relativas </w:t>
      </w:r>
      <w:r w:rsidRPr="00577EC9">
        <w:t>al Transporte de Mercancías Peligrosas, Reglamentación Modelo (ST/SG/AC.10/1/Rev.20)</w:t>
      </w:r>
    </w:p>
    <w:p w14:paraId="2B5F9BA2" w14:textId="77777777" w:rsidR="00577EC9" w:rsidRPr="00577EC9" w:rsidRDefault="00577EC9" w:rsidP="00577EC9">
      <w:pPr>
        <w:pStyle w:val="SingleTxtG"/>
        <w:rPr>
          <w:b/>
          <w:lang w:val="en-GB"/>
        </w:rPr>
      </w:pPr>
      <w:r w:rsidRPr="00577EC9">
        <w:rPr>
          <w:lang w:val="en-GB"/>
        </w:rPr>
        <w:br w:type="page"/>
      </w:r>
    </w:p>
    <w:p w14:paraId="0DE25F0F" w14:textId="77777777" w:rsidR="00577EC9" w:rsidRPr="00577EC9" w:rsidRDefault="00577EC9" w:rsidP="00577EC9">
      <w:pPr>
        <w:pStyle w:val="HChG"/>
        <w:rPr>
          <w:lang w:val="en-GB"/>
        </w:rPr>
      </w:pPr>
      <w:r w:rsidRPr="00577EC9">
        <w:lastRenderedPageBreak/>
        <w:tab/>
      </w:r>
      <w:r w:rsidRPr="00577EC9">
        <w:tab/>
        <w:t>Recomendaciones relativas al transporte de mercancías peligrosas</w:t>
      </w:r>
    </w:p>
    <w:p w14:paraId="406587AF" w14:textId="77777777" w:rsidR="00577EC9" w:rsidRPr="00577EC9" w:rsidRDefault="00577EC9" w:rsidP="00577EC9">
      <w:pPr>
        <w:pStyle w:val="SingleTxtG"/>
        <w:rPr>
          <w:lang w:val="en-GB"/>
        </w:rPr>
      </w:pPr>
      <w:r w:rsidRPr="00577EC9">
        <w:t xml:space="preserve">En la recomendación 18 </w:t>
      </w:r>
      <w:r w:rsidR="00655CB5">
        <w:t>“</w:t>
      </w:r>
      <w:r w:rsidRPr="00577EC9">
        <w:t>TRANSPORTE DE MATERIALES RADIACTIVOS</w:t>
      </w:r>
      <w:r w:rsidR="00655CB5">
        <w:t>”</w:t>
      </w:r>
      <w:r w:rsidRPr="00577EC9">
        <w:t xml:space="preserve">, al final, sustitúyase </w:t>
      </w:r>
      <w:r w:rsidR="004B3862">
        <w:t>“‘</w:t>
      </w:r>
      <w:r w:rsidRPr="00577EC9">
        <w:t>Normas básicas internacionales de seguridad para la protección contra la radiación ionizante y para la seguridad de las fuentes de radiación</w:t>
      </w:r>
      <w:r w:rsidR="004B3862">
        <w:t>’</w:t>
      </w:r>
      <w:r w:rsidR="002C5BE2">
        <w:t>, Colección Seguridad núm.</w:t>
      </w:r>
      <w:r w:rsidRPr="00577EC9">
        <w:t> 115, OIEA, Viena (1996)</w:t>
      </w:r>
      <w:r w:rsidR="00655CB5">
        <w:t>”</w:t>
      </w:r>
      <w:r w:rsidRPr="00577EC9">
        <w:t xml:space="preserve"> por </w:t>
      </w:r>
      <w:r w:rsidR="00655CB5">
        <w:t>“</w:t>
      </w:r>
      <w:r w:rsidRPr="00577EC9">
        <w:t>Protección radiológica y seguridad de las fuentes de radiación: Normas básicas internacionales de seguridad</w:t>
      </w:r>
      <w:r w:rsidR="00655CB5">
        <w:t>”</w:t>
      </w:r>
      <w:r w:rsidRPr="00577EC9">
        <w:t xml:space="preserve">, Colección Normas de Seguridad del OIEA, Requisitos de Seguridad Generales Parte 3, </w:t>
      </w:r>
      <w:r w:rsidR="00655CB5">
        <w:t>Núm.</w:t>
      </w:r>
      <w:r w:rsidR="004B3862">
        <w:t xml:space="preserve"> GSR Part 3, OIEA, Viena (2014)</w:t>
      </w:r>
      <w:r w:rsidR="00655CB5">
        <w:t>”</w:t>
      </w:r>
      <w:r w:rsidR="004B3862">
        <w:t>.</w:t>
      </w:r>
    </w:p>
    <w:p w14:paraId="1213181F" w14:textId="77777777" w:rsidR="00577EC9" w:rsidRPr="00577EC9" w:rsidRDefault="00577EC9" w:rsidP="00577EC9">
      <w:pPr>
        <w:pStyle w:val="H1G"/>
        <w:rPr>
          <w:lang w:val="en-GB"/>
        </w:rPr>
      </w:pPr>
      <w:r w:rsidRPr="00577EC9">
        <w:tab/>
      </w:r>
      <w:r w:rsidRPr="00577EC9">
        <w:tab/>
        <w:t>Capítulo 1.1</w:t>
      </w:r>
    </w:p>
    <w:p w14:paraId="0191250C" w14:textId="77777777" w:rsidR="00577EC9" w:rsidRPr="00577EC9" w:rsidRDefault="00577EC9" w:rsidP="00577EC9">
      <w:pPr>
        <w:pStyle w:val="SingleTxtG"/>
        <w:rPr>
          <w:lang w:val="en-GB"/>
        </w:rPr>
      </w:pPr>
      <w:r w:rsidRPr="00577EC9">
        <w:t>1.1</w:t>
      </w:r>
      <w:r w:rsidRPr="00577EC9">
        <w:tab/>
        <w:t>La enmienda al texto francés no se aplica al texto español.</w:t>
      </w:r>
    </w:p>
    <w:p w14:paraId="3846F149" w14:textId="77777777" w:rsidR="00577EC9" w:rsidRPr="00577EC9" w:rsidRDefault="005904EA" w:rsidP="00577EC9">
      <w:pPr>
        <w:pStyle w:val="SingleTxtG"/>
        <w:rPr>
          <w:lang w:val="en-GB"/>
        </w:rPr>
      </w:pPr>
      <w:r>
        <w:t>1.1.1.2</w:t>
      </w:r>
      <w:r w:rsidR="00577EC9" w:rsidRPr="00577EC9">
        <w:t xml:space="preserve"> a)</w:t>
      </w:r>
      <w:r w:rsidR="00577EC9" w:rsidRPr="00577EC9">
        <w:tab/>
        <w:t>La enmienda al texto francés no se aplica al texto español.</w:t>
      </w:r>
    </w:p>
    <w:p w14:paraId="14A352A4" w14:textId="77777777" w:rsidR="00577EC9" w:rsidRPr="00577EC9" w:rsidRDefault="00577EC9" w:rsidP="005904EA">
      <w:pPr>
        <w:pStyle w:val="SingleTxtG"/>
        <w:tabs>
          <w:tab w:val="left" w:pos="2268"/>
        </w:tabs>
        <w:rPr>
          <w:lang w:val="en-GB"/>
        </w:rPr>
      </w:pPr>
      <w:r w:rsidRPr="00577EC9">
        <w:t>1.1.1.2</w:t>
      </w:r>
      <w:r w:rsidRPr="00577EC9">
        <w:tab/>
        <w:t>Añádase una nueva nota 4 con el texto siguiente:</w:t>
      </w:r>
    </w:p>
    <w:p w14:paraId="58A629B4" w14:textId="77777777" w:rsidR="00577EC9" w:rsidRPr="004B3862" w:rsidRDefault="00655CB5" w:rsidP="00577EC9">
      <w:pPr>
        <w:pStyle w:val="SingleTxtG"/>
        <w:rPr>
          <w:i/>
          <w:lang w:val="en-GB"/>
        </w:rPr>
      </w:pPr>
      <w:r w:rsidRPr="004B3862">
        <w:rPr>
          <w:i/>
        </w:rPr>
        <w:t>“</w:t>
      </w:r>
      <w:r w:rsidR="00577EC9" w:rsidRPr="004B3862">
        <w:rPr>
          <w:bCs/>
          <w:i/>
          <w:iCs/>
        </w:rPr>
        <w:t>NOTA 4</w:t>
      </w:r>
      <w:r w:rsidR="004B3862">
        <w:rPr>
          <w:i/>
        </w:rPr>
        <w:t xml:space="preserve">: </w:t>
      </w:r>
      <w:r w:rsidR="00577EC9" w:rsidRPr="004B3862">
        <w:rPr>
          <w:i/>
          <w:iCs/>
        </w:rPr>
        <w:t>En el caso de las mercancías peligrosas contenidas en equipos utilizados o destinados a ser utilizados durante el transporte, véase 5.5.4.</w:t>
      </w:r>
      <w:r w:rsidRPr="004B3862">
        <w:rPr>
          <w:i/>
          <w:iCs/>
        </w:rPr>
        <w:t>”</w:t>
      </w:r>
    </w:p>
    <w:p w14:paraId="799ACD35" w14:textId="77777777" w:rsidR="00577EC9" w:rsidRPr="00577EC9" w:rsidRDefault="00577EC9" w:rsidP="00577EC9">
      <w:pPr>
        <w:pStyle w:val="H1G"/>
        <w:rPr>
          <w:lang w:val="en-GB"/>
        </w:rPr>
      </w:pPr>
      <w:r w:rsidRPr="00577EC9">
        <w:tab/>
      </w:r>
      <w:r w:rsidRPr="00577EC9">
        <w:tab/>
        <w:t>Capítulo 1.2</w:t>
      </w:r>
    </w:p>
    <w:p w14:paraId="42BF5CE5" w14:textId="77777777" w:rsidR="00577EC9" w:rsidRPr="00577EC9" w:rsidRDefault="00577EC9" w:rsidP="00577EC9">
      <w:pPr>
        <w:pStyle w:val="SingleTxtG"/>
        <w:rPr>
          <w:lang w:val="en-GB"/>
        </w:rPr>
      </w:pPr>
      <w:r w:rsidRPr="00577EC9">
        <w:t>1.2.1</w:t>
      </w:r>
      <w:r w:rsidRPr="00577EC9">
        <w:tab/>
        <w:t>Intercálense las siguientes definiciones nuevas en el orden alfabético:</w:t>
      </w:r>
    </w:p>
    <w:p w14:paraId="425B93BC" w14:textId="77777777" w:rsidR="00577EC9" w:rsidRPr="00577EC9" w:rsidRDefault="00655CB5" w:rsidP="00577EC9">
      <w:pPr>
        <w:pStyle w:val="SingleTxtG"/>
        <w:rPr>
          <w:lang w:val="en-GB"/>
        </w:rPr>
      </w:pPr>
      <w:r>
        <w:t>“</w:t>
      </w:r>
      <w:r w:rsidR="00577EC9" w:rsidRPr="00577EC9">
        <w:t xml:space="preserve">Por </w:t>
      </w:r>
      <w:r w:rsidR="00577EC9" w:rsidRPr="00577EC9">
        <w:rPr>
          <w:i/>
          <w:iCs/>
        </w:rPr>
        <w:t>tasa de dosis</w:t>
      </w:r>
      <w:r w:rsidR="00577EC9" w:rsidRPr="004B3862">
        <w:rPr>
          <w:iCs/>
        </w:rPr>
        <w:t>,</w:t>
      </w:r>
      <w:r w:rsidR="00577EC9" w:rsidRPr="00577EC9">
        <w:rPr>
          <w:i/>
          <w:iCs/>
        </w:rPr>
        <w:t xml:space="preserve"> </w:t>
      </w:r>
      <w:r w:rsidR="00577EC9" w:rsidRPr="00577EC9">
        <w:t>la dosis ambiental equivalente o la dosis direccional equivalente, según proceda, por unidad de tiempo, medida en el punto de interés</w:t>
      </w:r>
      <w:r w:rsidR="004B3862">
        <w:t>.</w:t>
      </w:r>
      <w:r>
        <w:t>”</w:t>
      </w:r>
    </w:p>
    <w:p w14:paraId="4E3F6545" w14:textId="77777777" w:rsidR="00577EC9" w:rsidRPr="00577EC9" w:rsidRDefault="00655CB5" w:rsidP="00577EC9">
      <w:pPr>
        <w:pStyle w:val="SingleTxtG"/>
        <w:rPr>
          <w:lang w:val="en-GB"/>
        </w:rPr>
      </w:pPr>
      <w:r>
        <w:t>“</w:t>
      </w:r>
      <w:r w:rsidR="00577EC9" w:rsidRPr="00577EC9">
        <w:t xml:space="preserve">Por </w:t>
      </w:r>
      <w:r w:rsidR="00577EC9" w:rsidRPr="00577EC9">
        <w:rPr>
          <w:i/>
          <w:iCs/>
        </w:rPr>
        <w:t>temperatura de descomposición autoacelerada (TDAA)</w:t>
      </w:r>
      <w:r w:rsidR="00577EC9" w:rsidRPr="004B3862">
        <w:rPr>
          <w:iCs/>
        </w:rPr>
        <w:t>,</w:t>
      </w:r>
      <w:r w:rsidR="00577EC9" w:rsidRPr="00577EC9">
        <w:t xml:space="preserve"> la temperatura ambiente más baja a la que puede producirse la descomposición autoacelerada de una sustancia en el embalaje/envase, contenedor intermedio o cisterna portátil en que se ofrezca para su transporte. La TDAA se determinará mediante los métodos de prueba establecidos en la sección 28 de la parte II del Manual de Pruebas y Criterios.</w:t>
      </w:r>
      <w:r>
        <w:t>”</w:t>
      </w:r>
    </w:p>
    <w:p w14:paraId="711CD6F7" w14:textId="77777777" w:rsidR="00577EC9" w:rsidRPr="00577EC9" w:rsidRDefault="00577EC9" w:rsidP="00577EC9">
      <w:pPr>
        <w:pStyle w:val="SingleTxtG"/>
        <w:rPr>
          <w:lang w:val="en-GB"/>
        </w:rPr>
      </w:pPr>
      <w:r w:rsidRPr="00577EC9">
        <w:t>Modifíquense las definiciones que aparecen a continuación de la manera siguiente:</w:t>
      </w:r>
    </w:p>
    <w:p w14:paraId="7A6FA5D5" w14:textId="77777777" w:rsidR="00577EC9" w:rsidRPr="00577EC9" w:rsidRDefault="00577EC9" w:rsidP="00577EC9">
      <w:pPr>
        <w:pStyle w:val="SingleTxtG"/>
        <w:rPr>
          <w:lang w:val="en-GB"/>
        </w:rPr>
      </w:pPr>
      <w:r w:rsidRPr="00577EC9">
        <w:t>Nivel de radiación: Suprímase.</w:t>
      </w:r>
    </w:p>
    <w:p w14:paraId="2839CFFF" w14:textId="77777777" w:rsidR="00577EC9" w:rsidRPr="00577EC9" w:rsidRDefault="00577EC9" w:rsidP="00577EC9">
      <w:pPr>
        <w:pStyle w:val="SingleTxtG"/>
        <w:rPr>
          <w:lang w:val="en-GB"/>
        </w:rPr>
      </w:pPr>
      <w:r w:rsidRPr="00577EC9">
        <w:t xml:space="preserve">Temperatura de polimerización autoacelerada (TPAA): En la primera frase insértese </w:t>
      </w:r>
      <w:r w:rsidR="00655CB5">
        <w:t>“</w:t>
      </w:r>
      <w:r w:rsidRPr="00577EC9">
        <w:t>autoacelerada</w:t>
      </w:r>
      <w:r w:rsidR="00655CB5">
        <w:t>”</w:t>
      </w:r>
      <w:r w:rsidRPr="00577EC9">
        <w:t xml:space="preserve"> entre </w:t>
      </w:r>
      <w:r w:rsidR="00655CB5">
        <w:t>“</w:t>
      </w:r>
      <w:r w:rsidRPr="00577EC9">
        <w:t>polimerización</w:t>
      </w:r>
      <w:r w:rsidR="00655CB5">
        <w:t>”</w:t>
      </w:r>
      <w:r w:rsidRPr="00577EC9">
        <w:t xml:space="preserve"> y </w:t>
      </w:r>
      <w:r w:rsidR="00655CB5">
        <w:t>“</w:t>
      </w:r>
      <w:r w:rsidRPr="00577EC9">
        <w:t>de una sustancia</w:t>
      </w:r>
      <w:r w:rsidR="00655CB5">
        <w:t>”</w:t>
      </w:r>
      <w:r w:rsidRPr="00577EC9">
        <w:t>.</w:t>
      </w:r>
    </w:p>
    <w:p w14:paraId="4CED279A" w14:textId="77777777" w:rsidR="00577EC9" w:rsidRPr="00577EC9" w:rsidRDefault="00577EC9" w:rsidP="00577EC9">
      <w:pPr>
        <w:pStyle w:val="SingleTxtG"/>
        <w:rPr>
          <w:lang w:val="en-GB"/>
        </w:rPr>
      </w:pPr>
      <w:r w:rsidRPr="00577EC9">
        <w:t xml:space="preserve">Índice de transporte: En la primera frase, después de </w:t>
      </w:r>
      <w:r w:rsidR="00655CB5">
        <w:t>“</w:t>
      </w:r>
      <w:r w:rsidRPr="00577EC9">
        <w:t>OCS-I</w:t>
      </w:r>
      <w:r w:rsidR="00655CB5">
        <w:t>”</w:t>
      </w:r>
      <w:r w:rsidRPr="00577EC9">
        <w:t xml:space="preserve"> añádase </w:t>
      </w:r>
      <w:r w:rsidR="00655CB5">
        <w:t>“</w:t>
      </w:r>
      <w:r w:rsidRPr="00577EC9">
        <w:t>u OCS-III</w:t>
      </w:r>
      <w:r w:rsidR="00655CB5">
        <w:t>”</w:t>
      </w:r>
      <w:r w:rsidRPr="00577EC9">
        <w:t xml:space="preserve">. </w:t>
      </w:r>
    </w:p>
    <w:p w14:paraId="4115211A" w14:textId="77777777" w:rsidR="00577EC9" w:rsidRPr="00577EC9" w:rsidRDefault="00577EC9" w:rsidP="00577EC9">
      <w:pPr>
        <w:pStyle w:val="H1G"/>
        <w:rPr>
          <w:lang w:val="en-GB"/>
        </w:rPr>
      </w:pPr>
      <w:r w:rsidRPr="00577EC9">
        <w:tab/>
      </w:r>
      <w:r w:rsidRPr="00577EC9">
        <w:tab/>
        <w:t>Capítulo 1.4</w:t>
      </w:r>
    </w:p>
    <w:p w14:paraId="62A3BA56" w14:textId="77777777" w:rsidR="00577EC9" w:rsidRPr="00577EC9" w:rsidRDefault="00577EC9" w:rsidP="00577EC9">
      <w:pPr>
        <w:pStyle w:val="SingleTxtG"/>
        <w:rPr>
          <w:lang w:val="en-GB"/>
        </w:rPr>
      </w:pPr>
      <w:r w:rsidRPr="00577EC9">
        <w:t>Cuadro 1.4.1</w:t>
      </w:r>
      <w:r w:rsidRPr="00577EC9">
        <w:tab/>
        <w:t>Añádanse las entradas nuevas 0512 y 0513 siguientes:</w:t>
      </w:r>
    </w:p>
    <w:p w14:paraId="3E30518E" w14:textId="77777777" w:rsidR="00577EC9" w:rsidRPr="00577EC9" w:rsidRDefault="00655CB5" w:rsidP="00577EC9">
      <w:pPr>
        <w:pStyle w:val="SingleTxtG"/>
        <w:rPr>
          <w:lang w:val="en-GB"/>
        </w:rPr>
      </w:pPr>
      <w:r>
        <w:t>“Clase 1, División 1.4</w:t>
      </w:r>
      <w:r>
        <w:tab/>
        <w:t>núms</w:t>
      </w:r>
      <w:r w:rsidR="00577EC9" w:rsidRPr="00577EC9">
        <w:t>. ONU 0104, 0237, 0255, 0267, 0289, 0361, 0365, 0366, 0440, 0441, 0455, 0456, 0500, 0512 y 0513</w:t>
      </w:r>
      <w:r>
        <w:t>”</w:t>
      </w:r>
    </w:p>
    <w:p w14:paraId="5EB58608" w14:textId="77777777" w:rsidR="00577EC9" w:rsidRPr="00577EC9" w:rsidRDefault="00577EC9" w:rsidP="00577EC9">
      <w:pPr>
        <w:pStyle w:val="SingleTxtG"/>
        <w:rPr>
          <w:lang w:val="en-GB"/>
        </w:rPr>
      </w:pPr>
      <w:r w:rsidRPr="00577EC9">
        <w:t xml:space="preserve">Después de </w:t>
      </w:r>
      <w:r w:rsidR="00655CB5">
        <w:t>“</w:t>
      </w:r>
      <w:r w:rsidRPr="00577EC9">
        <w:t>Clase 1, División 1.5</w:t>
      </w:r>
      <w:r w:rsidR="00655CB5">
        <w:t>”</w:t>
      </w:r>
      <w:r w:rsidRPr="00577EC9">
        <w:t>, añádase la nueva fila siguiente:</w:t>
      </w:r>
    </w:p>
    <w:p w14:paraId="74E3CBC0" w14:textId="77777777" w:rsidR="00577EC9" w:rsidRPr="00577EC9" w:rsidRDefault="00655CB5" w:rsidP="00577EC9">
      <w:pPr>
        <w:pStyle w:val="SingleTxtG"/>
        <w:rPr>
          <w:lang w:val="en-GB"/>
        </w:rPr>
      </w:pPr>
      <w:r>
        <w:t>“</w:t>
      </w:r>
      <w:r w:rsidR="00577EC9" w:rsidRPr="00577EC9">
        <w:t>Clase 1, División 1.6</w:t>
      </w:r>
      <w:r w:rsidR="00577EC9" w:rsidRPr="00577EC9">
        <w:tab/>
        <w:t>explosivos</w:t>
      </w:r>
      <w:r>
        <w:t>”</w:t>
      </w:r>
    </w:p>
    <w:p w14:paraId="620C85B3" w14:textId="77777777" w:rsidR="00577EC9" w:rsidRPr="00577EC9" w:rsidRDefault="00577EC9" w:rsidP="00577EC9">
      <w:pPr>
        <w:pStyle w:val="SingleTxtG"/>
        <w:rPr>
          <w:lang w:val="en-GB"/>
        </w:rPr>
      </w:pPr>
      <w:r w:rsidRPr="00577EC9">
        <w:t xml:space="preserve">Modifíquese la entrada </w:t>
      </w:r>
      <w:r w:rsidR="00655CB5">
        <w:t>“</w:t>
      </w:r>
      <w:r w:rsidRPr="00577EC9">
        <w:t>División 6.2</w:t>
      </w:r>
      <w:r w:rsidR="00655CB5">
        <w:t>”</w:t>
      </w:r>
      <w:r w:rsidRPr="00577EC9">
        <w:t xml:space="preserve"> de modo que diga lo siguiente:</w:t>
      </w:r>
    </w:p>
    <w:p w14:paraId="15721519" w14:textId="77777777" w:rsidR="00577EC9" w:rsidRPr="00577EC9" w:rsidRDefault="00655CB5" w:rsidP="009376F3">
      <w:pPr>
        <w:pStyle w:val="SingleTxtG"/>
        <w:ind w:left="2835" w:hanging="1701"/>
        <w:rPr>
          <w:lang w:val="en-GB"/>
        </w:rPr>
      </w:pPr>
      <w:r>
        <w:t>“</w:t>
      </w:r>
      <w:r w:rsidR="009376F3">
        <w:t>División 6.2</w:t>
      </w:r>
      <w:r w:rsidR="009376F3">
        <w:tab/>
      </w:r>
      <w:r w:rsidR="00577EC9" w:rsidRPr="00577EC9">
        <w:tab/>
        <w:t>sustancias infecciosas de la categoría A (</w:t>
      </w:r>
      <w:r>
        <w:t>núms</w:t>
      </w:r>
      <w:r w:rsidR="00577EC9" w:rsidRPr="00577EC9">
        <w:t>. ONU 2814 y 2900) y desechos médicos de la categoría A (</w:t>
      </w:r>
      <w:r w:rsidR="004B3862">
        <w:t>núm</w:t>
      </w:r>
      <w:r w:rsidR="00577EC9" w:rsidRPr="00577EC9">
        <w:t>. ONU 3549).</w:t>
      </w:r>
      <w:r>
        <w:t>”</w:t>
      </w:r>
    </w:p>
    <w:p w14:paraId="54A0173A" w14:textId="77777777" w:rsidR="00577EC9" w:rsidRPr="00577EC9" w:rsidRDefault="00577EC9" w:rsidP="00577EC9">
      <w:pPr>
        <w:pStyle w:val="SingleTxtG"/>
        <w:rPr>
          <w:lang w:val="en-GB"/>
        </w:rPr>
      </w:pPr>
      <w:r w:rsidRPr="00577EC9">
        <w:t>1.4.3.2.3</w:t>
      </w:r>
      <w:r w:rsidRPr="00577EC9">
        <w:tab/>
        <w:t xml:space="preserve">Sustitúyase </w:t>
      </w:r>
      <w:r w:rsidR="00655CB5">
        <w:t>“</w:t>
      </w:r>
      <w:r w:rsidRPr="00577EC9">
        <w:t>la Protección física de los materiales y las instalaciones nucleares</w:t>
      </w:r>
      <w:r w:rsidR="00655CB5">
        <w:t>”</w:t>
      </w:r>
      <w:r w:rsidRPr="00577EC9">
        <w:t xml:space="preserve"> por </w:t>
      </w:r>
      <w:r w:rsidR="00655CB5">
        <w:t>“</w:t>
      </w:r>
      <w:r w:rsidRPr="00577EC9">
        <w:t>las Recomendaciones de Seguridad Física Nuclear sobre la Protección Física de los Materiales y las Instalaciones Nucleares</w:t>
      </w:r>
      <w:r w:rsidR="00655CB5">
        <w:t>”</w:t>
      </w:r>
      <w:r w:rsidRPr="00577EC9">
        <w:t xml:space="preserve">. En la nota 2, sustitúyase </w:t>
      </w:r>
      <w:bookmarkStart w:id="0" w:name="_GoBack"/>
      <w:bookmarkEnd w:id="0"/>
      <w:r w:rsidR="00655CB5">
        <w:lastRenderedPageBreak/>
        <w:t>“</w:t>
      </w:r>
      <w:r w:rsidRPr="00577EC9">
        <w:t>INFCIRC/225/Rev.4 (corrección), OIEA Viena (1999)</w:t>
      </w:r>
      <w:r w:rsidR="00655CB5">
        <w:t>”</w:t>
      </w:r>
      <w:r w:rsidRPr="00577EC9">
        <w:t xml:space="preserve"> por </w:t>
      </w:r>
      <w:r w:rsidR="00655CB5">
        <w:t>“</w:t>
      </w:r>
      <w:r w:rsidRPr="00577EC9">
        <w:t>INFCIRC/225/Rev.5, OIEA, Viena (2011)</w:t>
      </w:r>
      <w:r w:rsidR="00655CB5">
        <w:t>”</w:t>
      </w:r>
      <w:r w:rsidRPr="00577EC9">
        <w:t>.</w:t>
      </w:r>
    </w:p>
    <w:p w14:paraId="1CA80049" w14:textId="77777777" w:rsidR="00577EC9" w:rsidRPr="00577EC9" w:rsidRDefault="00577EC9" w:rsidP="009376F3">
      <w:pPr>
        <w:pStyle w:val="H1G"/>
        <w:rPr>
          <w:lang w:val="en-GB"/>
        </w:rPr>
      </w:pPr>
      <w:r w:rsidRPr="00577EC9">
        <w:tab/>
      </w:r>
      <w:r w:rsidRPr="00577EC9">
        <w:tab/>
        <w:t>Capítulo 1.5</w:t>
      </w:r>
    </w:p>
    <w:p w14:paraId="741FBFCA" w14:textId="77777777" w:rsidR="00577EC9" w:rsidRPr="00577EC9" w:rsidRDefault="00576828" w:rsidP="00576828">
      <w:pPr>
        <w:pStyle w:val="SingleTxtG"/>
        <w:tabs>
          <w:tab w:val="left" w:pos="2268"/>
        </w:tabs>
        <w:rPr>
          <w:lang w:val="en-GB"/>
        </w:rPr>
      </w:pPr>
      <w:r>
        <w:t>1.5.1.1</w:t>
      </w:r>
      <w:r>
        <w:tab/>
      </w:r>
      <w:r w:rsidR="00577EC9" w:rsidRPr="00577EC9">
        <w:t xml:space="preserve">La enmienda de la primera frase del texto inglés no se aplica al texto español. Modifíquense las oraciones segunda y tercera para que digan </w:t>
      </w:r>
      <w:r w:rsidR="00655CB5">
        <w:t>“</w:t>
      </w:r>
      <w:r w:rsidR="00577EC9" w:rsidRPr="00577EC9">
        <w:t xml:space="preserve">La presente Reglamentación se basa en el </w:t>
      </w:r>
      <w:r w:rsidR="004B3862">
        <w:t>‘</w:t>
      </w:r>
      <w:r w:rsidR="00577EC9" w:rsidRPr="00577EC9">
        <w:t>Reglamento para el transporte seguro de materiales radiactivos del OIEA</w:t>
      </w:r>
      <w:r w:rsidR="004B3862">
        <w:t>’</w:t>
      </w:r>
      <w:r w:rsidR="00577EC9" w:rsidRPr="00577EC9">
        <w:t>, edición de 2018, Colección Normas de Seguridad del OIEA, Requisitos de S</w:t>
      </w:r>
      <w:r w:rsidR="00655CB5">
        <w:t>eguridad Específicos núm.</w:t>
      </w:r>
      <w:r w:rsidR="00577EC9" w:rsidRPr="00577EC9">
        <w:t xml:space="preserve"> SSR-6 (Rev.1), OIEA, Viena (2018). Se encontrarán explicaciones en el </w:t>
      </w:r>
      <w:r w:rsidR="004B3862">
        <w:t>‘</w:t>
      </w:r>
      <w:r w:rsidR="00577EC9" w:rsidRPr="00577EC9">
        <w:t>Material explicativo para la aplicación del Reglamento del OIEA para el transporte seguro de materiales radiactivos</w:t>
      </w:r>
      <w:r w:rsidR="004B3862">
        <w:t>’</w:t>
      </w:r>
      <w:r w:rsidR="00577EC9" w:rsidRPr="00577EC9">
        <w:t xml:space="preserve"> (edición de 2018), Colección Normas de Seguridad del OIEA, Guía de Seguridad Específica </w:t>
      </w:r>
      <w:r w:rsidR="00655CB5">
        <w:t>núm.</w:t>
      </w:r>
      <w:r w:rsidR="00577EC9" w:rsidRPr="00577EC9">
        <w:t xml:space="preserve"> SSG</w:t>
      </w:r>
      <w:r w:rsidR="004B3862">
        <w:t>-26 (Rev.1), OIEA, Viena (2019)</w:t>
      </w:r>
      <w:r w:rsidR="00655CB5">
        <w:t>”</w:t>
      </w:r>
      <w:r w:rsidR="004B3862">
        <w:t>.</w:t>
      </w:r>
    </w:p>
    <w:p w14:paraId="010DAF55" w14:textId="77777777" w:rsidR="00577EC9" w:rsidRPr="00577EC9" w:rsidRDefault="00577EC9" w:rsidP="00576828">
      <w:pPr>
        <w:pStyle w:val="SingleTxtG"/>
        <w:tabs>
          <w:tab w:val="left" w:pos="2268"/>
        </w:tabs>
        <w:rPr>
          <w:lang w:val="en-GB"/>
        </w:rPr>
      </w:pPr>
      <w:r w:rsidRPr="00577EC9">
        <w:t>1.5.1.2</w:t>
      </w:r>
      <w:r w:rsidRPr="00577EC9">
        <w:tab/>
      </w:r>
      <w:r w:rsidRPr="00577EC9">
        <w:tab/>
        <w:t xml:space="preserve">La primera enmienda del texto inglés no se aplica al texto español. En la primera frase sustitúyase </w:t>
      </w:r>
      <w:r w:rsidR="00655CB5">
        <w:t>“</w:t>
      </w:r>
      <w:r w:rsidRPr="00577EC9">
        <w:t>de los efectos de las radiaciones durante el transporte</w:t>
      </w:r>
      <w:r w:rsidR="00655CB5">
        <w:t>”</w:t>
      </w:r>
      <w:r w:rsidRPr="00577EC9">
        <w:t xml:space="preserve"> por </w:t>
      </w:r>
      <w:r w:rsidR="00655CB5">
        <w:t>“</w:t>
      </w:r>
      <w:r w:rsidRPr="00577EC9">
        <w:t>de los efectos nocivos de las radiaciones ionizantes durante el transporte</w:t>
      </w:r>
      <w:r w:rsidR="00655CB5">
        <w:t>”</w:t>
      </w:r>
      <w:r w:rsidRPr="00577EC9">
        <w:t>.</w:t>
      </w:r>
    </w:p>
    <w:p w14:paraId="050C089B" w14:textId="77777777" w:rsidR="00577EC9" w:rsidRPr="00577EC9" w:rsidRDefault="00577EC9" w:rsidP="00577EC9">
      <w:pPr>
        <w:pStyle w:val="SingleTxtG"/>
        <w:rPr>
          <w:lang w:val="en-GB"/>
        </w:rPr>
      </w:pPr>
      <w:r w:rsidRPr="00577EC9">
        <w:t xml:space="preserve">En el apartado b), sustitúyase </w:t>
      </w:r>
      <w:r w:rsidR="00655CB5">
        <w:t>“</w:t>
      </w:r>
      <w:r w:rsidRPr="00577EC9">
        <w:t>niveles de radiación</w:t>
      </w:r>
      <w:r w:rsidR="00655CB5">
        <w:t>”</w:t>
      </w:r>
      <w:r w:rsidRPr="00577EC9">
        <w:t xml:space="preserve"> por </w:t>
      </w:r>
      <w:r w:rsidR="00655CB5">
        <w:t>“</w:t>
      </w:r>
      <w:r w:rsidRPr="00577EC9">
        <w:t>tasa de dosis</w:t>
      </w:r>
      <w:r w:rsidR="00655CB5">
        <w:t>”</w:t>
      </w:r>
      <w:r w:rsidRPr="00577EC9">
        <w:t>.</w:t>
      </w:r>
    </w:p>
    <w:p w14:paraId="39B2C2AE" w14:textId="77777777" w:rsidR="00577EC9" w:rsidRPr="00577EC9" w:rsidRDefault="00577EC9" w:rsidP="00577EC9">
      <w:pPr>
        <w:pStyle w:val="SingleTxtG"/>
        <w:rPr>
          <w:lang w:val="en-GB"/>
        </w:rPr>
      </w:pPr>
      <w:r w:rsidRPr="00577EC9">
        <w:t xml:space="preserve">En la última frase, sustitúyase </w:t>
      </w:r>
      <w:r w:rsidR="00655CB5">
        <w:t>“</w:t>
      </w:r>
      <w:r w:rsidRPr="00577EC9">
        <w:t>Por último</w:t>
      </w:r>
      <w:r w:rsidR="00655CB5">
        <w:t>”</w:t>
      </w:r>
      <w:r w:rsidRPr="00577EC9">
        <w:t xml:space="preserve"> por </w:t>
      </w:r>
      <w:r w:rsidR="00655CB5">
        <w:t>“</w:t>
      </w:r>
      <w:r w:rsidRPr="00577EC9">
        <w:t>En tercer lugar</w:t>
      </w:r>
      <w:r w:rsidR="00655CB5">
        <w:t>”</w:t>
      </w:r>
      <w:r w:rsidRPr="00577EC9">
        <w:t xml:space="preserve"> y añádase al final la siguiente frase: </w:t>
      </w:r>
      <w:r w:rsidR="00655CB5">
        <w:t>“</w:t>
      </w:r>
      <w:r w:rsidRPr="00577EC9">
        <w:t>Por último, puede ofrecerse una mayor protección adoptando disposiciones para la planificación y preparación de la respuesta de emergencia para proteger a las personas, los bienes y el medio ambiente.</w:t>
      </w:r>
      <w:r w:rsidR="00655CB5">
        <w:t>”</w:t>
      </w:r>
      <w:r w:rsidR="004B3862">
        <w:t>.</w:t>
      </w:r>
    </w:p>
    <w:p w14:paraId="19E35E2B" w14:textId="77777777" w:rsidR="00577EC9" w:rsidRPr="00577EC9" w:rsidRDefault="00577EC9" w:rsidP="00576828">
      <w:pPr>
        <w:pStyle w:val="SingleTxtG"/>
        <w:tabs>
          <w:tab w:val="left" w:pos="2268"/>
        </w:tabs>
        <w:rPr>
          <w:lang w:val="en-GB"/>
        </w:rPr>
      </w:pPr>
      <w:r w:rsidRPr="00577EC9">
        <w:t>1.5.1.5.1 a)</w:t>
      </w:r>
      <w:r w:rsidRPr="00577EC9">
        <w:tab/>
        <w:t xml:space="preserve">Después de </w:t>
      </w:r>
      <w:r w:rsidR="00655CB5">
        <w:t>“</w:t>
      </w:r>
      <w:r w:rsidRPr="00577EC9">
        <w:t>5.2.1.7,</w:t>
      </w:r>
      <w:r w:rsidR="00655CB5">
        <w:t>”</w:t>
      </w:r>
      <w:r w:rsidRPr="00577EC9">
        <w:t xml:space="preserve"> añádase </w:t>
      </w:r>
      <w:r w:rsidR="00655CB5">
        <w:t>“</w:t>
      </w:r>
      <w:r w:rsidRPr="00577EC9">
        <w:t>5.4.1.5.7.1 f) i) y ii), 5.4.1.5.7.1 i),</w:t>
      </w:r>
      <w:r w:rsidR="00655CB5">
        <w:t>”</w:t>
      </w:r>
      <w:r w:rsidRPr="00577EC9">
        <w:t xml:space="preserve"> y después de </w:t>
      </w:r>
      <w:r w:rsidR="00655CB5">
        <w:t>“</w:t>
      </w:r>
      <w:r w:rsidRPr="00577EC9">
        <w:t>7.1.8.3.1</w:t>
      </w:r>
      <w:r w:rsidR="00655CB5">
        <w:t>”</w:t>
      </w:r>
      <w:r w:rsidRPr="00577EC9">
        <w:t xml:space="preserve"> añádase </w:t>
      </w:r>
      <w:r w:rsidR="00655CB5">
        <w:t>“</w:t>
      </w:r>
      <w:r w:rsidRPr="00577EC9">
        <w:t>, 7.1.8.4.3</w:t>
      </w:r>
      <w:r w:rsidR="00655CB5">
        <w:t>”</w:t>
      </w:r>
      <w:r w:rsidRPr="00577EC9">
        <w:t>.</w:t>
      </w:r>
    </w:p>
    <w:p w14:paraId="42A060C0" w14:textId="77777777" w:rsidR="00577EC9" w:rsidRPr="00577EC9" w:rsidRDefault="00577EC9" w:rsidP="00576828">
      <w:pPr>
        <w:pStyle w:val="SingleTxtG"/>
        <w:tabs>
          <w:tab w:val="left" w:pos="2268"/>
        </w:tabs>
        <w:rPr>
          <w:lang w:val="en-GB"/>
        </w:rPr>
      </w:pPr>
      <w:r w:rsidRPr="00577EC9">
        <w:t>1.5.1.5.2</w:t>
      </w:r>
      <w:r w:rsidRPr="00577EC9">
        <w:tab/>
        <w:t>Suprímase la segunda frase.</w:t>
      </w:r>
    </w:p>
    <w:p w14:paraId="1DAC8A62" w14:textId="77777777" w:rsidR="00577EC9" w:rsidRPr="00577EC9" w:rsidRDefault="00577EC9" w:rsidP="00576828">
      <w:pPr>
        <w:pStyle w:val="SingleTxtG"/>
        <w:tabs>
          <w:tab w:val="left" w:pos="2268"/>
        </w:tabs>
        <w:rPr>
          <w:lang w:val="en-GB"/>
        </w:rPr>
      </w:pPr>
      <w:r w:rsidRPr="00577EC9">
        <w:t>1.5.2.4</w:t>
      </w:r>
      <w:r w:rsidRPr="00577EC9">
        <w:tab/>
      </w:r>
      <w:r w:rsidRPr="00577EC9">
        <w:tab/>
        <w:t xml:space="preserve">En la última frase sustitúyase </w:t>
      </w:r>
      <w:r w:rsidR="00655CB5">
        <w:t>“</w:t>
      </w:r>
      <w:r w:rsidRPr="00577EC9">
        <w:t>vigilancia individual o de los lugares de trabajo</w:t>
      </w:r>
      <w:r w:rsidR="00655CB5">
        <w:t>”</w:t>
      </w:r>
      <w:r w:rsidRPr="00577EC9">
        <w:t xml:space="preserve"> por </w:t>
      </w:r>
      <w:r w:rsidR="00655CB5">
        <w:t>“</w:t>
      </w:r>
      <w:r w:rsidRPr="00577EC9">
        <w:t>vigilancia en el lugar de trabajo o a la vigilancia individual</w:t>
      </w:r>
      <w:r w:rsidR="00655CB5">
        <w:t>”</w:t>
      </w:r>
      <w:r w:rsidRPr="00577EC9">
        <w:t>.</w:t>
      </w:r>
    </w:p>
    <w:p w14:paraId="7F4582E7" w14:textId="77777777" w:rsidR="00577EC9" w:rsidRPr="00577EC9" w:rsidRDefault="00577EC9" w:rsidP="00576828">
      <w:pPr>
        <w:pStyle w:val="SingleTxtG"/>
        <w:tabs>
          <w:tab w:val="left" w:pos="2268"/>
        </w:tabs>
        <w:rPr>
          <w:lang w:val="en-GB"/>
        </w:rPr>
      </w:pPr>
      <w:r w:rsidRPr="00577EC9">
        <w:t>1.5.2.5</w:t>
      </w:r>
      <w:r w:rsidRPr="00577EC9">
        <w:tab/>
      </w:r>
      <w:r w:rsidRPr="00577EC9">
        <w:tab/>
        <w:t xml:space="preserve">En la primera frase sustitúyase </w:t>
      </w:r>
      <w:r w:rsidR="00655CB5">
        <w:t>“</w:t>
      </w:r>
      <w:r w:rsidRPr="00577EC9">
        <w:t>En caso de accidentes o incidentes</w:t>
      </w:r>
      <w:r w:rsidR="00655CB5">
        <w:t>”</w:t>
      </w:r>
      <w:r w:rsidRPr="00577EC9">
        <w:t xml:space="preserve"> por </w:t>
      </w:r>
      <w:r w:rsidR="00655CB5">
        <w:t>“</w:t>
      </w:r>
      <w:r w:rsidRPr="00577EC9">
        <w:t>En caso de emergencia nuclear o radiológica</w:t>
      </w:r>
      <w:r w:rsidR="00655CB5">
        <w:t>”</w:t>
      </w:r>
      <w:r w:rsidRPr="00577EC9">
        <w:t xml:space="preserve"> y </w:t>
      </w:r>
      <w:r w:rsidR="00655CB5">
        <w:t>“</w:t>
      </w:r>
      <w:r w:rsidRPr="00577EC9">
        <w:t>disposiciones de emergencia establecidas</w:t>
      </w:r>
      <w:r w:rsidR="00655CB5">
        <w:t>”</w:t>
      </w:r>
      <w:r w:rsidRPr="00577EC9">
        <w:t xml:space="preserve"> por </w:t>
      </w:r>
      <w:r w:rsidR="00655CB5">
        <w:t>“</w:t>
      </w:r>
      <w:r w:rsidRPr="00577EC9">
        <w:t>disposiciones establecidas</w:t>
      </w:r>
      <w:r w:rsidR="00655CB5">
        <w:t>”</w:t>
      </w:r>
      <w:r w:rsidRPr="00577EC9">
        <w:t>.</w:t>
      </w:r>
    </w:p>
    <w:p w14:paraId="28BBC5B1" w14:textId="77777777" w:rsidR="00577EC9" w:rsidRPr="00577EC9" w:rsidRDefault="00577EC9" w:rsidP="00577EC9">
      <w:pPr>
        <w:pStyle w:val="SingleTxtG"/>
        <w:rPr>
          <w:lang w:val="en-GB"/>
        </w:rPr>
      </w:pPr>
      <w:r w:rsidRPr="00577EC9">
        <w:t xml:space="preserve">Modifíquese la segunda frase como sigue: </w:t>
      </w:r>
      <w:r w:rsidR="00655CB5">
        <w:t>“</w:t>
      </w:r>
      <w:r w:rsidRPr="00577EC9">
        <w:t>Eso incluye las disposiciones para la preparación y la respuesta establecidas de conformidad con los requisitos nacionales e internacionales y de una manera coherente y coordinada con las disposiciones de emergencia establecidas a nivel nacional e internacional.</w:t>
      </w:r>
      <w:r w:rsidR="00655CB5">
        <w:t>”</w:t>
      </w:r>
      <w:r w:rsidRPr="00577EC9">
        <w:t>.</w:t>
      </w:r>
    </w:p>
    <w:p w14:paraId="469BCED3" w14:textId="77777777" w:rsidR="00577EC9" w:rsidRPr="00577EC9" w:rsidRDefault="00577EC9" w:rsidP="00576828">
      <w:pPr>
        <w:pStyle w:val="SingleTxtG"/>
        <w:tabs>
          <w:tab w:val="left" w:pos="2268"/>
        </w:tabs>
        <w:rPr>
          <w:lang w:val="en-GB"/>
        </w:rPr>
      </w:pPr>
      <w:r w:rsidRPr="00577EC9">
        <w:t>1.5.2.6</w:t>
      </w:r>
      <w:r w:rsidRPr="00577EC9">
        <w:tab/>
      </w:r>
      <w:r w:rsidRPr="00577EC9">
        <w:tab/>
        <w:t>Modifíquese para que diga lo siguiente:</w:t>
      </w:r>
    </w:p>
    <w:p w14:paraId="625A3EFB" w14:textId="77777777" w:rsidR="00577EC9" w:rsidRPr="00577EC9" w:rsidRDefault="00655CB5" w:rsidP="00576828">
      <w:pPr>
        <w:pStyle w:val="SingleTxtG"/>
        <w:tabs>
          <w:tab w:val="left" w:pos="2268"/>
        </w:tabs>
        <w:rPr>
          <w:lang w:val="en-GB"/>
        </w:rPr>
      </w:pPr>
      <w:r>
        <w:t>“</w:t>
      </w:r>
      <w:r w:rsidR="00577EC9" w:rsidRPr="00577EC9">
        <w:t>1.5.2.6</w:t>
      </w:r>
      <w:r w:rsidR="00577EC9" w:rsidRPr="00577EC9">
        <w:tab/>
        <w:t xml:space="preserve">Las disposiciones para la preparación y la respuesta deberán basarse en el enfoque gradual y tener en cuenta los riesgos identificados y sus posibles consecuencias, incluida la formación de otras sustancias peligrosas que pueda resultar de la reacción entre el contenido de una remesa y el medio ambiente en caso de emergencia nuclear o radiológica. Las directrices para el establecimiento de esas disposiciones figuran en </w:t>
      </w:r>
      <w:r>
        <w:t>“</w:t>
      </w:r>
      <w:r w:rsidR="00577EC9" w:rsidRPr="00577EC9">
        <w:t>Preparación y respuesta para casos de emergencia nuclear o radiológica</w:t>
      </w:r>
      <w:r>
        <w:t>”</w:t>
      </w:r>
      <w:r w:rsidR="00577EC9" w:rsidRPr="00577EC9">
        <w:t xml:space="preserve">, Colección Normas de Seguridad del OIEA, Requisitos de Seguridad Generales </w:t>
      </w:r>
      <w:r w:rsidR="004B3862">
        <w:t>n</w:t>
      </w:r>
      <w:r>
        <w:t>úm.</w:t>
      </w:r>
      <w:r w:rsidR="00577EC9" w:rsidRPr="00577EC9">
        <w:t xml:space="preserve"> GSR Part 7, OIEA, Viena (2015); </w:t>
      </w:r>
      <w:r>
        <w:t>“</w:t>
      </w:r>
      <w:r w:rsidR="00577EC9" w:rsidRPr="00577EC9">
        <w:t>Criterios aplicables a la preparación y respuesta a situaciones de emergencia nuclear o radiológica</w:t>
      </w:r>
      <w:r>
        <w:t>”</w:t>
      </w:r>
      <w:r w:rsidR="00577EC9" w:rsidRPr="00577EC9">
        <w:t xml:space="preserve">, Colección Normas de Seguridad del OIEA, Guía de seguridad </w:t>
      </w:r>
      <w:r>
        <w:t>núm.</w:t>
      </w:r>
      <w:r w:rsidR="00577EC9" w:rsidRPr="00577EC9">
        <w:t xml:space="preserve"> GSG-2, OIEA, Viena (2011); </w:t>
      </w:r>
      <w:r>
        <w:t>“</w:t>
      </w:r>
      <w:r w:rsidR="00577EC9" w:rsidRPr="00577EC9">
        <w:t>Disposiciones de preparación para emergencias nucleares o radiológicas</w:t>
      </w:r>
      <w:r>
        <w:t>”</w:t>
      </w:r>
      <w:r w:rsidR="00577EC9" w:rsidRPr="00577EC9">
        <w:t xml:space="preserve">, Colección Normas de Seguridad del OIEA, Guía de seguridad </w:t>
      </w:r>
      <w:r w:rsidR="004B3862">
        <w:t>n</w:t>
      </w:r>
      <w:r>
        <w:t>úm.</w:t>
      </w:r>
      <w:r w:rsidR="00577EC9" w:rsidRPr="00577EC9">
        <w:t xml:space="preserve"> GS-G-2.1, OIEA, Viena (2007), y </w:t>
      </w:r>
      <w:r>
        <w:t>“</w:t>
      </w:r>
      <w:r w:rsidR="00577EC9" w:rsidRPr="00577EC9">
        <w:t>Arrangements for the Termination of a Nuclear or Radiological Emergency</w:t>
      </w:r>
      <w:r>
        <w:t>”</w:t>
      </w:r>
      <w:r w:rsidR="00577EC9" w:rsidRPr="00577EC9">
        <w:t xml:space="preserve">, Colección Normas de Seguridad del OIEA, Guía de Seguridad </w:t>
      </w:r>
      <w:r w:rsidR="004B3862">
        <w:t>n</w:t>
      </w:r>
      <w:r>
        <w:t>úm.</w:t>
      </w:r>
      <w:r w:rsidR="00577EC9" w:rsidRPr="00577EC9">
        <w:t xml:space="preserve"> GSG-11, OIEA, Viena (2018).</w:t>
      </w:r>
      <w:r>
        <w:t>”</w:t>
      </w:r>
    </w:p>
    <w:p w14:paraId="3B2F0437" w14:textId="77777777" w:rsidR="00577EC9" w:rsidRPr="00577EC9" w:rsidRDefault="00577EC9" w:rsidP="00576828">
      <w:pPr>
        <w:pStyle w:val="SingleTxtG"/>
        <w:tabs>
          <w:tab w:val="left" w:pos="2268"/>
        </w:tabs>
        <w:rPr>
          <w:i/>
          <w:lang w:val="en-GB"/>
        </w:rPr>
      </w:pPr>
      <w:r w:rsidRPr="00577EC9">
        <w:t>1.5.4.2</w:t>
      </w:r>
      <w:r w:rsidRPr="00577EC9">
        <w:tab/>
      </w:r>
      <w:r w:rsidRPr="00577EC9">
        <w:tab/>
        <w:t xml:space="preserve">En la segunda frase, sustitúyase </w:t>
      </w:r>
      <w:r w:rsidR="00655CB5">
        <w:t>“</w:t>
      </w:r>
      <w:r w:rsidRPr="00577EC9">
        <w:t>por medios distintos a las demás disposiciones</w:t>
      </w:r>
      <w:r w:rsidR="00655CB5">
        <w:t>”</w:t>
      </w:r>
      <w:r w:rsidRPr="00577EC9">
        <w:t xml:space="preserve"> por </w:t>
      </w:r>
      <w:r w:rsidR="00655CB5">
        <w:t>“</w:t>
      </w:r>
      <w:r w:rsidRPr="00577EC9">
        <w:t>por medios distintos a las demás disposiciones de la presente Reglamentación</w:t>
      </w:r>
      <w:r w:rsidR="00655CB5">
        <w:t>”</w:t>
      </w:r>
      <w:r w:rsidRPr="00577EC9">
        <w:t xml:space="preserve">. La segunda enmienda del texto inglés no se aplica al texto español. En la tercera frase, al final, después de </w:t>
      </w:r>
      <w:r w:rsidR="00655CB5">
        <w:t>“</w:t>
      </w:r>
      <w:r w:rsidRPr="00577EC9">
        <w:t>requisitos reglamentarios aplicables</w:t>
      </w:r>
      <w:r w:rsidR="00655CB5">
        <w:t>”</w:t>
      </w:r>
      <w:r w:rsidRPr="00577EC9">
        <w:t xml:space="preserve"> añádase </w:t>
      </w:r>
      <w:r w:rsidR="00655CB5">
        <w:t>“</w:t>
      </w:r>
      <w:r w:rsidRPr="00577EC9">
        <w:t>contenidos en la presente Reglamentación</w:t>
      </w:r>
      <w:r w:rsidR="00655CB5">
        <w:t>”</w:t>
      </w:r>
      <w:r w:rsidRPr="00577EC9">
        <w:t>.</w:t>
      </w:r>
    </w:p>
    <w:p w14:paraId="15C19470" w14:textId="77777777" w:rsidR="00577EC9" w:rsidRPr="00577EC9" w:rsidRDefault="00577EC9" w:rsidP="00576828">
      <w:pPr>
        <w:pStyle w:val="SingleTxtG"/>
        <w:tabs>
          <w:tab w:val="left" w:pos="2268"/>
        </w:tabs>
        <w:rPr>
          <w:lang w:val="en-GB"/>
        </w:rPr>
      </w:pPr>
      <w:r w:rsidRPr="00577EC9">
        <w:lastRenderedPageBreak/>
        <w:t>1.5.6.1</w:t>
      </w:r>
      <w:r w:rsidRPr="00577EC9">
        <w:tab/>
      </w:r>
      <w:r w:rsidRPr="00577EC9">
        <w:tab/>
        <w:t xml:space="preserve">En la frase introductoria, sustitúyase </w:t>
      </w:r>
      <w:r w:rsidR="00655CB5">
        <w:t>“</w:t>
      </w:r>
      <w:r w:rsidRPr="00577EC9">
        <w:t>nivel de radiación</w:t>
      </w:r>
      <w:r w:rsidR="00655CB5">
        <w:t>”</w:t>
      </w:r>
      <w:r w:rsidRPr="00577EC9">
        <w:t xml:space="preserve"> por </w:t>
      </w:r>
      <w:r w:rsidR="00655CB5">
        <w:t>“</w:t>
      </w:r>
      <w:r w:rsidRPr="00577EC9">
        <w:t>tasa de dosis</w:t>
      </w:r>
      <w:r w:rsidR="00655CB5">
        <w:t>”</w:t>
      </w:r>
      <w:r w:rsidRPr="00577EC9">
        <w:t xml:space="preserve">. En el apartado b), al comienzo, sustitúyase </w:t>
      </w:r>
      <w:r w:rsidR="00655CB5">
        <w:t>“</w:t>
      </w:r>
      <w:r w:rsidRPr="00577EC9">
        <w:t>el transportista, expedidor o destinatario</w:t>
      </w:r>
      <w:r w:rsidR="00655CB5">
        <w:t>”</w:t>
      </w:r>
      <w:r w:rsidRPr="00577EC9">
        <w:t xml:space="preserve"> por </w:t>
      </w:r>
      <w:r w:rsidR="00655CB5">
        <w:t>“</w:t>
      </w:r>
      <w:r w:rsidRPr="00577EC9">
        <w:t>el expedidor, transportista o destinatario</w:t>
      </w:r>
      <w:r w:rsidR="00655CB5">
        <w:t>”</w:t>
      </w:r>
      <w:r w:rsidRPr="00577EC9">
        <w:t xml:space="preserve">. En el inciso b) iii), sustitúyase </w:t>
      </w:r>
      <w:r w:rsidR="00655CB5">
        <w:t>“</w:t>
      </w:r>
      <w:r w:rsidRPr="00577EC9">
        <w:t>circunstancias similares</w:t>
      </w:r>
      <w:r w:rsidR="00655CB5">
        <w:t>”</w:t>
      </w:r>
      <w:r w:rsidRPr="00577EC9">
        <w:t xml:space="preserve"> por </w:t>
      </w:r>
      <w:r w:rsidR="00655CB5">
        <w:t>“</w:t>
      </w:r>
      <w:r w:rsidRPr="00577EC9">
        <w:t>causas y circunstancias similares</w:t>
      </w:r>
      <w:r w:rsidR="00655CB5">
        <w:t>”</w:t>
      </w:r>
      <w:r w:rsidRPr="00577EC9">
        <w:t>. La enmienda del inciso b) iv) del texto inglés no afecta al texto español.</w:t>
      </w:r>
    </w:p>
    <w:p w14:paraId="3E685A17" w14:textId="77777777" w:rsidR="00577EC9" w:rsidRPr="00577EC9" w:rsidRDefault="00577EC9" w:rsidP="00425D86">
      <w:pPr>
        <w:pStyle w:val="H1G"/>
        <w:rPr>
          <w:lang w:val="en-GB"/>
        </w:rPr>
      </w:pPr>
      <w:r w:rsidRPr="00577EC9">
        <w:tab/>
      </w:r>
      <w:r w:rsidRPr="00577EC9">
        <w:tab/>
        <w:t>Capítulo 2.0</w:t>
      </w:r>
    </w:p>
    <w:p w14:paraId="4454F02F" w14:textId="77777777" w:rsidR="00577EC9" w:rsidRPr="00577EC9" w:rsidRDefault="00577EC9" w:rsidP="00D60294">
      <w:pPr>
        <w:pStyle w:val="SingleTxtG"/>
        <w:tabs>
          <w:tab w:val="left" w:pos="2268"/>
        </w:tabs>
        <w:rPr>
          <w:lang w:val="en-GB"/>
        </w:rPr>
      </w:pPr>
      <w:r w:rsidRPr="00577EC9">
        <w:t>2.0.5.4</w:t>
      </w:r>
      <w:r w:rsidRPr="00577EC9">
        <w:tab/>
      </w:r>
      <w:r w:rsidRPr="00577EC9">
        <w:tab/>
        <w:t xml:space="preserve">Al final del párrafo, añádase la siguiente nueva frase </w:t>
      </w:r>
      <w:r w:rsidR="00655CB5">
        <w:t>“</w:t>
      </w:r>
      <w:r w:rsidRPr="00577EC9">
        <w:t>Sin embargo, sí se aplica a los artículos que contengan explosivos que estén excluidos de la clase 1 de conformidad con 2.1.3.6.4.</w:t>
      </w:r>
      <w:r w:rsidR="00655CB5">
        <w:t>”</w:t>
      </w:r>
      <w:r w:rsidRPr="00577EC9">
        <w:t>.</w:t>
      </w:r>
    </w:p>
    <w:p w14:paraId="098F0E06" w14:textId="77777777" w:rsidR="00577EC9" w:rsidRPr="00577EC9" w:rsidRDefault="00577EC9" w:rsidP="00425D86">
      <w:pPr>
        <w:pStyle w:val="H1G"/>
        <w:rPr>
          <w:lang w:val="en-GB"/>
        </w:rPr>
      </w:pPr>
      <w:r w:rsidRPr="00577EC9">
        <w:tab/>
      </w:r>
      <w:r w:rsidRPr="00577EC9">
        <w:tab/>
        <w:t>Capítulo 2.1</w:t>
      </w:r>
    </w:p>
    <w:p w14:paraId="5019B294" w14:textId="77777777" w:rsidR="00577EC9" w:rsidRPr="00577EC9" w:rsidRDefault="00577EC9" w:rsidP="00577EC9">
      <w:pPr>
        <w:pStyle w:val="SingleTxtG"/>
        <w:rPr>
          <w:lang w:val="en-GB"/>
        </w:rPr>
      </w:pPr>
      <w:r w:rsidRPr="00577EC9">
        <w:t>2.1.3.3.1</w:t>
      </w:r>
      <w:r w:rsidRPr="00577EC9">
        <w:tab/>
        <w:t xml:space="preserve">En la segunda frase, suprímase </w:t>
      </w:r>
      <w:r w:rsidR="00655CB5">
        <w:t>“</w:t>
      </w:r>
      <w:r w:rsidRPr="00577EC9">
        <w:t>(2.1.1.1 c))</w:t>
      </w:r>
      <w:r w:rsidR="00655CB5">
        <w:t>”</w:t>
      </w:r>
      <w:r w:rsidRPr="00577EC9">
        <w:t>.</w:t>
      </w:r>
    </w:p>
    <w:p w14:paraId="04E4ACAA" w14:textId="77777777" w:rsidR="00577EC9" w:rsidRPr="00577EC9" w:rsidRDefault="00577EC9" w:rsidP="00D60294">
      <w:pPr>
        <w:pStyle w:val="SingleTxtG"/>
        <w:tabs>
          <w:tab w:val="left" w:pos="2268"/>
        </w:tabs>
        <w:rPr>
          <w:lang w:val="en-GB"/>
        </w:rPr>
      </w:pPr>
      <w:r w:rsidRPr="00577EC9">
        <w:t>2.1.3.5.2</w:t>
      </w:r>
      <w:r w:rsidRPr="00577EC9">
        <w:tab/>
        <w:t xml:space="preserve">La primera frase, después de </w:t>
      </w:r>
      <w:r w:rsidR="00655CB5">
        <w:t>“</w:t>
      </w:r>
      <w:r w:rsidRPr="00577EC9">
        <w:t>o 0336</w:t>
      </w:r>
      <w:r w:rsidR="00655CB5">
        <w:t>”</w:t>
      </w:r>
      <w:r w:rsidRPr="00577EC9">
        <w:t xml:space="preserve"> insértese </w:t>
      </w:r>
      <w:r w:rsidR="00655CB5">
        <w:t>“</w:t>
      </w:r>
      <w:r w:rsidRPr="00577EC9">
        <w:t xml:space="preserve">, y al </w:t>
      </w:r>
      <w:r w:rsidR="00655CB5">
        <w:t>núm.</w:t>
      </w:r>
      <w:r w:rsidRPr="00577EC9">
        <w:t xml:space="preserve"> ONU 0431 de artículos que se utilizan en efectos para el espectáculo que responden a la definición del artículo tipo y a la especificación 1.4G en la clasificación por defecto para artificios de pirotecnia del cuadro 2.1.3.5.5</w:t>
      </w:r>
      <w:r w:rsidR="00655CB5">
        <w:t>”</w:t>
      </w:r>
      <w:r w:rsidRPr="00577EC9">
        <w:t>.</w:t>
      </w:r>
    </w:p>
    <w:p w14:paraId="53C0A184" w14:textId="77777777" w:rsidR="00577EC9" w:rsidRPr="00577EC9" w:rsidRDefault="00577EC9" w:rsidP="00577EC9">
      <w:pPr>
        <w:pStyle w:val="SingleTxtG"/>
        <w:rPr>
          <w:lang w:val="en-GB"/>
        </w:rPr>
      </w:pPr>
      <w:r w:rsidRPr="00577EC9">
        <w:t>2.1.3.6.4 b)</w:t>
      </w:r>
      <w:r w:rsidRPr="00577EC9">
        <w:tab/>
        <w:t xml:space="preserve">En la nota, suprímase </w:t>
      </w:r>
      <w:r w:rsidR="00655CB5">
        <w:t>“</w:t>
      </w:r>
      <w:r w:rsidRPr="00577EC9">
        <w:t>, como se describe en la norma ISO 12097-3</w:t>
      </w:r>
      <w:r w:rsidR="00655CB5">
        <w:t>”</w:t>
      </w:r>
      <w:r w:rsidRPr="00577EC9">
        <w:t xml:space="preserve"> y añádase la siguiente segunda frase nueva:</w:t>
      </w:r>
    </w:p>
    <w:p w14:paraId="200121CB" w14:textId="77777777" w:rsidR="00577EC9" w:rsidRPr="00577EC9" w:rsidRDefault="00655CB5" w:rsidP="00577EC9">
      <w:pPr>
        <w:pStyle w:val="SingleTxtG"/>
        <w:rPr>
          <w:lang w:val="en-GB"/>
        </w:rPr>
      </w:pPr>
      <w:r>
        <w:t>“</w:t>
      </w:r>
      <w:r w:rsidR="00577EC9" w:rsidRPr="00577EC9">
        <w:t>Uno de esos métodos se describe en la norma ISO 14451-2 utilizando una velocidad de calentamiento de 80 ºK/min.</w:t>
      </w:r>
      <w:r>
        <w:t>”</w:t>
      </w:r>
    </w:p>
    <w:p w14:paraId="667A1E3E" w14:textId="77777777" w:rsidR="00577EC9" w:rsidRPr="00577EC9" w:rsidRDefault="00577EC9" w:rsidP="00425D86">
      <w:pPr>
        <w:pStyle w:val="H1G"/>
        <w:rPr>
          <w:lang w:val="en-GB"/>
        </w:rPr>
      </w:pPr>
      <w:r w:rsidRPr="00577EC9">
        <w:tab/>
      </w:r>
      <w:r w:rsidRPr="00577EC9">
        <w:tab/>
        <w:t>Capítulo 2.2</w:t>
      </w:r>
    </w:p>
    <w:p w14:paraId="75E724E2" w14:textId="77777777" w:rsidR="00577EC9" w:rsidRPr="00577EC9" w:rsidRDefault="00577EC9" w:rsidP="00D60294">
      <w:pPr>
        <w:pStyle w:val="SingleTxtG"/>
        <w:tabs>
          <w:tab w:val="left" w:pos="2268"/>
        </w:tabs>
        <w:rPr>
          <w:lang w:val="en-GB"/>
        </w:rPr>
      </w:pPr>
      <w:r w:rsidRPr="00577EC9">
        <w:t>2.2.1.3</w:t>
      </w:r>
      <w:r w:rsidRPr="00577EC9">
        <w:tab/>
      </w:r>
      <w:r w:rsidRPr="00577EC9">
        <w:tab/>
        <w:t xml:space="preserve">Sustitúyase </w:t>
      </w:r>
      <w:r w:rsidR="00655CB5">
        <w:t>“</w:t>
      </w:r>
      <w:r w:rsidRPr="00577EC9">
        <w:t>que contienen un gas y los aerosoles</w:t>
      </w:r>
      <w:r w:rsidR="00655CB5">
        <w:t>”</w:t>
      </w:r>
      <w:r w:rsidRPr="00577EC9">
        <w:t xml:space="preserve"> por </w:t>
      </w:r>
      <w:r w:rsidR="00655CB5">
        <w:t>“</w:t>
      </w:r>
      <w:r w:rsidRPr="00577EC9">
        <w:t>que contienen un gas, los aerosoles y los productos químicos a presión</w:t>
      </w:r>
      <w:r w:rsidR="00655CB5">
        <w:t>”</w:t>
      </w:r>
      <w:r w:rsidRPr="00577EC9">
        <w:t>.</w:t>
      </w:r>
    </w:p>
    <w:p w14:paraId="3F7EF5AD" w14:textId="77777777" w:rsidR="00577EC9" w:rsidRPr="00577EC9" w:rsidRDefault="00577EC9" w:rsidP="00D60294">
      <w:pPr>
        <w:pStyle w:val="SingleTxtG"/>
        <w:tabs>
          <w:tab w:val="left" w:pos="2268"/>
        </w:tabs>
        <w:rPr>
          <w:lang w:val="en-GB"/>
        </w:rPr>
      </w:pPr>
      <w:r w:rsidRPr="00577EC9">
        <w:t>2.2.2.1</w:t>
      </w:r>
      <w:r w:rsidRPr="00577EC9">
        <w:tab/>
      </w:r>
      <w:r w:rsidRPr="00577EC9">
        <w:tab/>
        <w:t>Modifíquese la nota para que diga lo siguiente:</w:t>
      </w:r>
    </w:p>
    <w:p w14:paraId="04A3C631" w14:textId="77777777" w:rsidR="00577EC9" w:rsidRPr="00577EC9" w:rsidRDefault="00655CB5" w:rsidP="00577EC9">
      <w:pPr>
        <w:pStyle w:val="SingleTxtG"/>
        <w:rPr>
          <w:lang w:val="en-GB"/>
        </w:rPr>
      </w:pPr>
      <w:r w:rsidRPr="00D64A6E">
        <w:rPr>
          <w:i/>
        </w:rPr>
        <w:t>“</w:t>
      </w:r>
      <w:r w:rsidR="00577EC9" w:rsidRPr="00D64A6E">
        <w:rPr>
          <w:bCs/>
          <w:i/>
          <w:iCs/>
        </w:rPr>
        <w:t>NOTA:</w:t>
      </w:r>
      <w:r w:rsidR="00577EC9" w:rsidRPr="00577EC9">
        <w:t xml:space="preserve"> </w:t>
      </w:r>
      <w:r w:rsidR="00577EC9" w:rsidRPr="00577EC9">
        <w:rPr>
          <w:i/>
        </w:rPr>
        <w:t xml:space="preserve">Para el </w:t>
      </w:r>
      <w:r>
        <w:rPr>
          <w:i/>
        </w:rPr>
        <w:t>núm.</w:t>
      </w:r>
      <w:r w:rsidR="00577EC9" w:rsidRPr="00577EC9">
        <w:rPr>
          <w:i/>
        </w:rPr>
        <w:t xml:space="preserve"> ONU 1950, AEROSOLES, véanse también los criterios de la disposición especial 63. Para los productos químicos a presión de los </w:t>
      </w:r>
      <w:r>
        <w:rPr>
          <w:i/>
        </w:rPr>
        <w:t>núms.</w:t>
      </w:r>
      <w:r w:rsidR="00577EC9" w:rsidRPr="00577EC9">
        <w:rPr>
          <w:i/>
        </w:rPr>
        <w:t xml:space="preserve"> ONU 3500 a 3505, véase también la disposición especial 362. Para el </w:t>
      </w:r>
      <w:r>
        <w:rPr>
          <w:i/>
        </w:rPr>
        <w:t>núm.</w:t>
      </w:r>
      <w:r w:rsidR="00577EC9" w:rsidRPr="00577EC9">
        <w:rPr>
          <w:i/>
        </w:rPr>
        <w:t xml:space="preserve"> ONU 2037, RECIPIENTES PEQUEÑOS QUE CONTIENEN GAS (CARTUCHOS DE GAS), véase también la disposición especial 303.</w:t>
      </w:r>
      <w:r>
        <w:rPr>
          <w:i/>
        </w:rPr>
        <w:t>”</w:t>
      </w:r>
    </w:p>
    <w:p w14:paraId="19F6FF33" w14:textId="77777777" w:rsidR="00577EC9" w:rsidRPr="00577EC9" w:rsidRDefault="00577EC9" w:rsidP="00577EC9">
      <w:pPr>
        <w:pStyle w:val="SingleTxtG"/>
        <w:rPr>
          <w:lang w:val="en-GB"/>
        </w:rPr>
      </w:pPr>
      <w:r w:rsidRPr="00577EC9">
        <w:t xml:space="preserve">En el inciso a) ii) y en la nota del inciso b) iii), sustitúyase </w:t>
      </w:r>
      <w:r w:rsidR="00655CB5">
        <w:t>“</w:t>
      </w:r>
      <w:r w:rsidRPr="00577EC9">
        <w:t>ISO 10156:2010</w:t>
      </w:r>
      <w:r w:rsidR="00655CB5">
        <w:t>”</w:t>
      </w:r>
      <w:r w:rsidRPr="00577EC9">
        <w:t xml:space="preserve"> por </w:t>
      </w:r>
      <w:r w:rsidR="00655CB5">
        <w:t>“</w:t>
      </w:r>
      <w:r w:rsidR="00D64A6E">
        <w:t>ISO </w:t>
      </w:r>
      <w:r w:rsidRPr="00577EC9">
        <w:t>10156:2017</w:t>
      </w:r>
      <w:r w:rsidR="00655CB5">
        <w:t>”</w:t>
      </w:r>
      <w:r w:rsidRPr="00577EC9">
        <w:t>.</w:t>
      </w:r>
    </w:p>
    <w:p w14:paraId="33A90040" w14:textId="77777777" w:rsidR="00577EC9" w:rsidRPr="00577EC9" w:rsidRDefault="00577EC9" w:rsidP="00D60294">
      <w:pPr>
        <w:pStyle w:val="SingleTxtG"/>
        <w:tabs>
          <w:tab w:val="left" w:pos="2268"/>
        </w:tabs>
        <w:rPr>
          <w:lang w:val="en-GB"/>
        </w:rPr>
      </w:pPr>
      <w:r w:rsidRPr="00577EC9">
        <w:t>2.2.3</w:t>
      </w:r>
      <w:r w:rsidRPr="00577EC9">
        <w:tab/>
      </w:r>
      <w:r w:rsidRPr="00577EC9">
        <w:tab/>
        <w:t xml:space="preserve">En los apartados a) y d), sustitúyase </w:t>
      </w:r>
      <w:r w:rsidR="00655CB5">
        <w:t>“</w:t>
      </w:r>
      <w:r w:rsidRPr="00577EC9">
        <w:t>ISO 10156:2010</w:t>
      </w:r>
      <w:r w:rsidR="00655CB5">
        <w:t>”</w:t>
      </w:r>
      <w:r w:rsidRPr="00577EC9">
        <w:t xml:space="preserve"> por </w:t>
      </w:r>
      <w:r w:rsidR="00655CB5">
        <w:t>“</w:t>
      </w:r>
      <w:r w:rsidR="00D64A6E">
        <w:t>ISO </w:t>
      </w:r>
      <w:r w:rsidRPr="00577EC9">
        <w:t>10156:2017</w:t>
      </w:r>
      <w:r w:rsidR="00655CB5">
        <w:t>”</w:t>
      </w:r>
      <w:r w:rsidRPr="00577EC9">
        <w:t>.</w:t>
      </w:r>
    </w:p>
    <w:p w14:paraId="757B5DFB" w14:textId="77777777" w:rsidR="00577EC9" w:rsidRPr="00577EC9" w:rsidRDefault="00577EC9" w:rsidP="00425D86">
      <w:pPr>
        <w:pStyle w:val="H1G"/>
        <w:rPr>
          <w:lang w:val="en-GB"/>
        </w:rPr>
      </w:pPr>
      <w:r w:rsidRPr="00577EC9">
        <w:tab/>
      </w:r>
      <w:r w:rsidRPr="00577EC9">
        <w:tab/>
        <w:t>Capítulo 2.4</w:t>
      </w:r>
    </w:p>
    <w:p w14:paraId="18D15202" w14:textId="77777777" w:rsidR="00577EC9" w:rsidRPr="00577EC9" w:rsidRDefault="00577EC9" w:rsidP="00577EC9">
      <w:pPr>
        <w:pStyle w:val="SingleTxtG"/>
        <w:rPr>
          <w:lang w:val="en-GB"/>
        </w:rPr>
      </w:pPr>
      <w:r w:rsidRPr="00577EC9">
        <w:t>2.4.3.2.3.1</w:t>
      </w:r>
      <w:r w:rsidRPr="00577EC9">
        <w:tab/>
        <w:t xml:space="preserve">En la Nota, suprímase </w:t>
      </w:r>
      <w:r w:rsidR="00655CB5">
        <w:t>“</w:t>
      </w:r>
      <w:r w:rsidRPr="00577EC9">
        <w:t>, salvo las del tipo G,</w:t>
      </w:r>
      <w:r w:rsidR="00655CB5">
        <w:t>”</w:t>
      </w:r>
      <w:r w:rsidRPr="00577EC9">
        <w:t>.</w:t>
      </w:r>
    </w:p>
    <w:p w14:paraId="3143D8E4" w14:textId="77777777" w:rsidR="00577EC9" w:rsidRPr="00577EC9" w:rsidRDefault="00577EC9" w:rsidP="00425D86">
      <w:pPr>
        <w:pStyle w:val="H1G"/>
        <w:rPr>
          <w:lang w:val="en-GB"/>
        </w:rPr>
      </w:pPr>
      <w:r w:rsidRPr="00577EC9">
        <w:tab/>
      </w:r>
      <w:r w:rsidRPr="00577EC9">
        <w:tab/>
        <w:t>Capítulo 2.5</w:t>
      </w:r>
    </w:p>
    <w:p w14:paraId="12E46538" w14:textId="77777777" w:rsidR="00577EC9" w:rsidRPr="00577EC9" w:rsidRDefault="00577EC9" w:rsidP="00577EC9">
      <w:pPr>
        <w:pStyle w:val="SingleTxtG"/>
        <w:rPr>
          <w:lang w:val="en-GB"/>
        </w:rPr>
      </w:pPr>
      <w:r w:rsidRPr="00577EC9">
        <w:t>2.5.3.2.4</w:t>
      </w:r>
      <w:r w:rsidRPr="00577EC9">
        <w:tab/>
        <w:t xml:space="preserve">En el cuadro, donde dice </w:t>
      </w:r>
      <w:r w:rsidR="00655CB5">
        <w:t>“</w:t>
      </w:r>
      <w:r w:rsidRPr="00577EC9">
        <w:t>PEROXIDICARBONATO DE DI-(4-terc-BUTIL CICLOHEXILO)</w:t>
      </w:r>
      <w:r w:rsidR="00655CB5">
        <w:t>”</w:t>
      </w:r>
      <w:r w:rsidRPr="00577EC9">
        <w:t xml:space="preserve"> en la concentración </w:t>
      </w:r>
      <w:r w:rsidR="00655CB5">
        <w:t>“</w:t>
      </w:r>
      <w:r w:rsidRPr="00577EC9">
        <w:t>≤ 42 (pasta de)</w:t>
      </w:r>
      <w:r w:rsidR="00655CB5">
        <w:t>”</w:t>
      </w:r>
      <w:r w:rsidRPr="00577EC9">
        <w:t xml:space="preserve"> en la columna </w:t>
      </w:r>
      <w:r w:rsidR="00655CB5">
        <w:t>“</w:t>
      </w:r>
      <w:r w:rsidRPr="00577EC9">
        <w:t>Método de emb/env</w:t>
      </w:r>
      <w:r w:rsidR="00655CB5">
        <w:t>”</w:t>
      </w:r>
      <w:r w:rsidRPr="00577EC9">
        <w:t>, sustitúyase</w:t>
      </w:r>
      <w:r w:rsidR="005E3266">
        <w:t xml:space="preserve"> “</w:t>
      </w:r>
      <w:r w:rsidRPr="00577EC9">
        <w:t>OP7</w:t>
      </w:r>
      <w:r w:rsidR="00655CB5">
        <w:t>”</w:t>
      </w:r>
      <w:r w:rsidRPr="00577EC9">
        <w:t xml:space="preserve"> por </w:t>
      </w:r>
      <w:r w:rsidR="00655CB5">
        <w:t>“</w:t>
      </w:r>
      <w:r w:rsidRPr="00577EC9">
        <w:t>OP8</w:t>
      </w:r>
      <w:r w:rsidR="00655CB5">
        <w:t>”</w:t>
      </w:r>
      <w:r w:rsidRPr="00577EC9">
        <w:t xml:space="preserve"> y en la columna </w:t>
      </w:r>
      <w:r w:rsidR="00655CB5">
        <w:t>“núm.</w:t>
      </w:r>
      <w:r w:rsidRPr="00577EC9">
        <w:t xml:space="preserve"> (el epígrafe genérico)</w:t>
      </w:r>
      <w:r w:rsidR="00655CB5">
        <w:t>”</w:t>
      </w:r>
      <w:r w:rsidRPr="00577EC9">
        <w:t xml:space="preserve"> sustitúyase </w:t>
      </w:r>
      <w:r w:rsidR="00655CB5">
        <w:t>“</w:t>
      </w:r>
      <w:r w:rsidRPr="00577EC9">
        <w:t>3116</w:t>
      </w:r>
      <w:r w:rsidR="00655CB5">
        <w:t>”</w:t>
      </w:r>
      <w:r w:rsidRPr="00577EC9">
        <w:t xml:space="preserve"> por </w:t>
      </w:r>
      <w:r w:rsidR="00655CB5">
        <w:t>“</w:t>
      </w:r>
      <w:r w:rsidRPr="00577EC9">
        <w:t>3118</w:t>
      </w:r>
      <w:r w:rsidR="00655CB5">
        <w:t>”</w:t>
      </w:r>
      <w:r w:rsidR="00D64A6E">
        <w:t>.</w:t>
      </w:r>
    </w:p>
    <w:p w14:paraId="5F0BC645" w14:textId="77777777" w:rsidR="00577EC9" w:rsidRPr="00577EC9" w:rsidRDefault="00577EC9" w:rsidP="00425D86">
      <w:pPr>
        <w:pStyle w:val="H1G"/>
        <w:rPr>
          <w:lang w:val="en-GB"/>
        </w:rPr>
      </w:pPr>
      <w:r w:rsidRPr="00577EC9">
        <w:tab/>
      </w:r>
      <w:r w:rsidRPr="00577EC9">
        <w:tab/>
        <w:t>Capítulo 2</w:t>
      </w:r>
      <w:r w:rsidR="00D64A6E">
        <w:t>.</w:t>
      </w:r>
      <w:r w:rsidRPr="00577EC9">
        <w:t>6</w:t>
      </w:r>
    </w:p>
    <w:p w14:paraId="61C2365B" w14:textId="77777777" w:rsidR="00577EC9" w:rsidRPr="00577EC9" w:rsidRDefault="00577EC9" w:rsidP="00577EC9">
      <w:pPr>
        <w:pStyle w:val="SingleTxtG"/>
        <w:rPr>
          <w:lang w:val="en-GB"/>
        </w:rPr>
      </w:pPr>
      <w:r w:rsidRPr="00577EC9">
        <w:t>2.6.1 b)</w:t>
      </w:r>
      <w:r w:rsidRPr="00577EC9">
        <w:tab/>
        <w:t xml:space="preserve">Suprímase </w:t>
      </w:r>
      <w:r w:rsidR="00655CB5">
        <w:t>“</w:t>
      </w:r>
      <w:r w:rsidRPr="00577EC9">
        <w:t>, rickettsias</w:t>
      </w:r>
      <w:r w:rsidR="00655CB5">
        <w:t>”</w:t>
      </w:r>
      <w:r w:rsidRPr="00577EC9">
        <w:t>.</w:t>
      </w:r>
    </w:p>
    <w:p w14:paraId="72AC3379" w14:textId="77777777" w:rsidR="00577EC9" w:rsidRPr="00577EC9" w:rsidRDefault="00577EC9" w:rsidP="00577EC9">
      <w:pPr>
        <w:pStyle w:val="SingleTxtG"/>
        <w:rPr>
          <w:lang w:val="en-GB"/>
        </w:rPr>
      </w:pPr>
      <w:r w:rsidRPr="00577EC9">
        <w:lastRenderedPageBreak/>
        <w:t>2.6.3.1.1</w:t>
      </w:r>
      <w:r w:rsidRPr="00577EC9">
        <w:tab/>
        <w:t xml:space="preserve">Suprímase </w:t>
      </w:r>
      <w:r w:rsidR="00655CB5">
        <w:t>“</w:t>
      </w:r>
      <w:r w:rsidRPr="00577EC9">
        <w:t>, rickettsias</w:t>
      </w:r>
      <w:r w:rsidR="00655CB5">
        <w:t>”</w:t>
      </w:r>
      <w:r w:rsidRPr="00577EC9">
        <w:t>.</w:t>
      </w:r>
    </w:p>
    <w:p w14:paraId="533F90CF" w14:textId="77777777" w:rsidR="00577EC9" w:rsidRPr="00577EC9" w:rsidRDefault="00577EC9" w:rsidP="00577EC9">
      <w:pPr>
        <w:pStyle w:val="SingleTxtG"/>
        <w:rPr>
          <w:lang w:val="en-GB"/>
        </w:rPr>
      </w:pPr>
      <w:r w:rsidRPr="00577EC9">
        <w:t>2.6.3.1.6</w:t>
      </w:r>
      <w:r w:rsidRPr="00577EC9">
        <w:tab/>
        <w:t>Modifíquese para que diga lo siguiente:</w:t>
      </w:r>
    </w:p>
    <w:p w14:paraId="48A325BF" w14:textId="77777777" w:rsidR="00577EC9" w:rsidRPr="00577EC9" w:rsidRDefault="00655CB5" w:rsidP="00577EC9">
      <w:pPr>
        <w:pStyle w:val="SingleTxtG"/>
        <w:rPr>
          <w:lang w:val="en-GB"/>
        </w:rPr>
      </w:pPr>
      <w:r>
        <w:t>“</w:t>
      </w:r>
      <w:r w:rsidR="00577EC9" w:rsidRPr="00577EC9">
        <w:rPr>
          <w:i/>
          <w:iCs/>
        </w:rPr>
        <w:t>Por desechos médicos o clínicos</w:t>
      </w:r>
      <w:r w:rsidR="00577EC9" w:rsidRPr="00577EC9">
        <w:t>, los desechos derivados del tratamiento veterinario de animales o del tratamiento médico de seres humanos, o bien de la investigación biológica.</w:t>
      </w:r>
      <w:r>
        <w:t>”</w:t>
      </w:r>
    </w:p>
    <w:p w14:paraId="35EBF458" w14:textId="77777777" w:rsidR="00577EC9" w:rsidRPr="00577EC9" w:rsidRDefault="00577EC9" w:rsidP="00577EC9">
      <w:pPr>
        <w:pStyle w:val="SingleTxtG"/>
        <w:rPr>
          <w:lang w:val="en-GB"/>
        </w:rPr>
      </w:pPr>
      <w:r w:rsidRPr="00577EC9">
        <w:t>2.6.3.2.1</w:t>
      </w:r>
      <w:r w:rsidRPr="00577EC9">
        <w:tab/>
        <w:t xml:space="preserve">Sustitúyase </w:t>
      </w:r>
      <w:r w:rsidR="00655CB5">
        <w:t>“</w:t>
      </w:r>
      <w:r w:rsidRPr="00577EC9">
        <w:t xml:space="preserve"> o 3373</w:t>
      </w:r>
      <w:r w:rsidR="00655CB5">
        <w:t>”</w:t>
      </w:r>
      <w:r w:rsidRPr="00577EC9">
        <w:t xml:space="preserve"> por </w:t>
      </w:r>
      <w:r w:rsidR="00655CB5">
        <w:t>“</w:t>
      </w:r>
      <w:r w:rsidRPr="00577EC9">
        <w:t>, 3373 o 3549</w:t>
      </w:r>
      <w:r w:rsidR="00655CB5">
        <w:t>”</w:t>
      </w:r>
      <w:r w:rsidRPr="00577EC9">
        <w:t>.</w:t>
      </w:r>
    </w:p>
    <w:p w14:paraId="38099349" w14:textId="77777777" w:rsidR="00577EC9" w:rsidRPr="00577EC9" w:rsidRDefault="00577EC9" w:rsidP="00577EC9">
      <w:pPr>
        <w:pStyle w:val="SingleTxtG"/>
        <w:rPr>
          <w:lang w:val="en-GB"/>
        </w:rPr>
      </w:pPr>
      <w:r w:rsidRPr="00577EC9">
        <w:t>2.6.3.2.2.1</w:t>
      </w:r>
      <w:r w:rsidRPr="00577EC9">
        <w:tab/>
        <w:t xml:space="preserve">En la nota 3, suprímase </w:t>
      </w:r>
      <w:r w:rsidR="00655CB5">
        <w:t>“</w:t>
      </w:r>
      <w:r w:rsidRPr="00577EC9">
        <w:t>, mycoplasmas, rickettsias</w:t>
      </w:r>
      <w:r w:rsidR="00655CB5">
        <w:t>”</w:t>
      </w:r>
      <w:r w:rsidRPr="00577EC9">
        <w:t>.</w:t>
      </w:r>
    </w:p>
    <w:p w14:paraId="62641DA7" w14:textId="77777777" w:rsidR="00577EC9" w:rsidRPr="00577EC9" w:rsidRDefault="00577EC9" w:rsidP="00577EC9">
      <w:pPr>
        <w:pStyle w:val="SingleTxtG"/>
        <w:rPr>
          <w:lang w:val="en-GB"/>
        </w:rPr>
      </w:pPr>
      <w:r w:rsidRPr="00D60294">
        <w:rPr>
          <w:spacing w:val="-1"/>
        </w:rPr>
        <w:t>2.6.3.2.3.9 a)</w:t>
      </w:r>
      <w:r w:rsidRPr="00577EC9">
        <w:tab/>
        <w:t xml:space="preserve">En el paréntesis, detrás de </w:t>
      </w:r>
      <w:r w:rsidR="00655CB5">
        <w:t>“núm.</w:t>
      </w:r>
      <w:r w:rsidRPr="00577EC9">
        <w:t xml:space="preserve"> ONU 3291</w:t>
      </w:r>
      <w:r w:rsidR="00655CB5">
        <w:t>”</w:t>
      </w:r>
      <w:r w:rsidRPr="00577EC9">
        <w:t xml:space="preserve"> añádase </w:t>
      </w:r>
      <w:r w:rsidR="00655CB5">
        <w:t>“</w:t>
      </w:r>
      <w:r w:rsidRPr="00577EC9">
        <w:t xml:space="preserve">y </w:t>
      </w:r>
      <w:r w:rsidR="00655CB5">
        <w:t>núm.</w:t>
      </w:r>
      <w:r w:rsidRPr="00577EC9">
        <w:t xml:space="preserve"> ONU 3549</w:t>
      </w:r>
      <w:r w:rsidR="00655CB5">
        <w:t>”</w:t>
      </w:r>
    </w:p>
    <w:p w14:paraId="35D26A1B" w14:textId="77777777" w:rsidR="00577EC9" w:rsidRPr="00577EC9" w:rsidRDefault="00577EC9" w:rsidP="00577EC9">
      <w:pPr>
        <w:pStyle w:val="SingleTxtG"/>
        <w:rPr>
          <w:lang w:val="en-GB"/>
        </w:rPr>
      </w:pPr>
      <w:r w:rsidRPr="00577EC9">
        <w:t>2.6.3.5.1</w:t>
      </w:r>
      <w:r w:rsidRPr="00577EC9">
        <w:tab/>
        <w:t>Modifíquese para que diga lo siguiente:</w:t>
      </w:r>
    </w:p>
    <w:p w14:paraId="643D70DD" w14:textId="77777777" w:rsidR="00577EC9" w:rsidRPr="00577EC9" w:rsidRDefault="00655CB5" w:rsidP="00577EC9">
      <w:pPr>
        <w:pStyle w:val="SingleTxtG"/>
        <w:rPr>
          <w:lang w:val="en-GB"/>
        </w:rPr>
      </w:pPr>
      <w:r>
        <w:t>“</w:t>
      </w:r>
      <w:r w:rsidR="00577EC9" w:rsidRPr="00577EC9">
        <w:t>2.6.3.5.1</w:t>
      </w:r>
      <w:r w:rsidR="00577EC9" w:rsidRPr="00577EC9">
        <w:tab/>
        <w:t>Los desechos médicos o clínicos que contengan:</w:t>
      </w:r>
    </w:p>
    <w:p w14:paraId="241FAD12" w14:textId="77777777" w:rsidR="00577EC9" w:rsidRPr="00577EC9" w:rsidRDefault="00577EC9" w:rsidP="00425D86">
      <w:pPr>
        <w:pStyle w:val="SingleTxtG"/>
        <w:ind w:left="2268"/>
        <w:rPr>
          <w:lang w:val="en-GB"/>
        </w:rPr>
      </w:pPr>
      <w:r w:rsidRPr="00577EC9">
        <w:t>a)</w:t>
      </w:r>
      <w:r w:rsidRPr="00577EC9">
        <w:tab/>
        <w:t xml:space="preserve">Sustancias infecciosas de la </w:t>
      </w:r>
      <w:r w:rsidR="00655CB5">
        <w:t>categoría A se asignarán a los núms.</w:t>
      </w:r>
      <w:r w:rsidRPr="00577EC9">
        <w:t xml:space="preserve"> ONU 2814, 2900 o 3549,</w:t>
      </w:r>
      <w:r w:rsidR="005E3266">
        <w:t xml:space="preserve"> </w:t>
      </w:r>
      <w:r w:rsidRPr="00577EC9">
        <w:t xml:space="preserve">según corresponda. Los desechos médicos que contengan sustancias infecciosas de la categoría A generadas por el tratamiento médico de personas o por el tratamiento veterinario de animales se podrán asignar al </w:t>
      </w:r>
      <w:r w:rsidR="00655CB5">
        <w:t>núm.</w:t>
      </w:r>
      <w:r w:rsidRPr="00577EC9">
        <w:t xml:space="preserve"> ONU 3549. El </w:t>
      </w:r>
      <w:r w:rsidR="00655CB5">
        <w:t>núm.</w:t>
      </w:r>
      <w:r w:rsidRPr="00577EC9">
        <w:t xml:space="preserve"> ONU 3549 no se utilizará para desechos derivados de la investigación biológica ni para residuos líquidos; </w:t>
      </w:r>
    </w:p>
    <w:p w14:paraId="6E3F5CC2" w14:textId="77777777" w:rsidR="00577EC9" w:rsidRPr="00577EC9" w:rsidRDefault="00577EC9" w:rsidP="00425D86">
      <w:pPr>
        <w:pStyle w:val="SingleTxtG"/>
        <w:ind w:left="2268"/>
        <w:rPr>
          <w:lang w:val="en-GB"/>
        </w:rPr>
      </w:pPr>
      <w:r w:rsidRPr="00577EC9">
        <w:t>b)</w:t>
      </w:r>
      <w:r w:rsidRPr="00577EC9">
        <w:tab/>
        <w:t>Las sustancias infecciosas de la categoría B se asignarán al </w:t>
      </w:r>
      <w:r w:rsidR="00655CB5">
        <w:t>núm.</w:t>
      </w:r>
      <w:r w:rsidRPr="00577EC9">
        <w:t> ONU 3291.</w:t>
      </w:r>
      <w:r w:rsidR="00655CB5">
        <w:t>”</w:t>
      </w:r>
    </w:p>
    <w:p w14:paraId="0FD67AC9" w14:textId="77777777" w:rsidR="00577EC9" w:rsidRPr="00577EC9" w:rsidRDefault="00577EC9" w:rsidP="00425D86">
      <w:pPr>
        <w:pStyle w:val="H1G"/>
        <w:rPr>
          <w:lang w:val="en-GB"/>
        </w:rPr>
      </w:pPr>
      <w:r w:rsidRPr="00577EC9">
        <w:tab/>
      </w:r>
      <w:r w:rsidRPr="00577EC9">
        <w:tab/>
        <w:t>Capítulo 2.7</w:t>
      </w:r>
    </w:p>
    <w:p w14:paraId="323131AF" w14:textId="77777777" w:rsidR="00577EC9" w:rsidRPr="00577EC9" w:rsidRDefault="00577EC9" w:rsidP="00577EC9">
      <w:pPr>
        <w:pStyle w:val="SingleTxtG"/>
        <w:rPr>
          <w:lang w:val="en-GB"/>
        </w:rPr>
      </w:pPr>
      <w:r w:rsidRPr="00577EC9">
        <w:t>2.7.2.1.1</w:t>
      </w:r>
      <w:r w:rsidRPr="00577EC9">
        <w:tab/>
        <w:t xml:space="preserve">Sustitúyase </w:t>
      </w:r>
      <w:r w:rsidR="00655CB5">
        <w:t>“</w:t>
      </w:r>
      <w:r w:rsidRPr="00577EC9">
        <w:t>2.7.2.4.2</w:t>
      </w:r>
      <w:r w:rsidR="00655CB5">
        <w:t>”</w:t>
      </w:r>
      <w:r w:rsidRPr="00577EC9">
        <w:t xml:space="preserve"> por </w:t>
      </w:r>
      <w:r w:rsidR="00655CB5">
        <w:t>“</w:t>
      </w:r>
      <w:r w:rsidRPr="00577EC9">
        <w:t>2.7.2.4</w:t>
      </w:r>
      <w:r w:rsidR="00655CB5">
        <w:t>”</w:t>
      </w:r>
      <w:r w:rsidRPr="00577EC9">
        <w:t>.</w:t>
      </w:r>
    </w:p>
    <w:p w14:paraId="244BD70D" w14:textId="77777777" w:rsidR="00577EC9" w:rsidRPr="00577EC9" w:rsidRDefault="00D64A6E" w:rsidP="00577EC9">
      <w:pPr>
        <w:pStyle w:val="SingleTxtG"/>
        <w:rPr>
          <w:lang w:val="en-GB"/>
        </w:rPr>
      </w:pPr>
      <w:r>
        <w:t>Cuadro 2.7.2.1.1</w:t>
      </w:r>
      <w:r>
        <w:tab/>
        <w:t>Para el núm.</w:t>
      </w:r>
      <w:r w:rsidR="00577EC9" w:rsidRPr="00577EC9">
        <w:t xml:space="preserve"> ONU 2913, en la columna </w:t>
      </w:r>
      <w:r w:rsidR="00655CB5">
        <w:t>“</w:t>
      </w:r>
      <w:r w:rsidR="00577EC9" w:rsidRPr="00577EC9">
        <w:t>Designación oficial de transporte y descripción</w:t>
      </w:r>
      <w:r w:rsidR="00655CB5">
        <w:t>”</w:t>
      </w:r>
      <w:r w:rsidR="00577EC9" w:rsidRPr="00577EC9">
        <w:t xml:space="preserve">, sustitúyase </w:t>
      </w:r>
      <w:r w:rsidR="00655CB5">
        <w:t>“</w:t>
      </w:r>
      <w:r w:rsidR="00577EC9" w:rsidRPr="00577EC9">
        <w:t>OCS-I u OCS-II</w:t>
      </w:r>
      <w:r w:rsidR="00655CB5">
        <w:t>”</w:t>
      </w:r>
      <w:r w:rsidR="00577EC9" w:rsidRPr="00577EC9">
        <w:t xml:space="preserve"> por </w:t>
      </w:r>
      <w:r w:rsidR="00655CB5">
        <w:t>“</w:t>
      </w:r>
      <w:r w:rsidR="00577EC9" w:rsidRPr="00577EC9">
        <w:t>OCS-I, OCS-II u OCS-III</w:t>
      </w:r>
      <w:r w:rsidR="00655CB5">
        <w:t>”</w:t>
      </w:r>
      <w:r w:rsidR="00577EC9" w:rsidRPr="00577EC9">
        <w:t>.</w:t>
      </w:r>
    </w:p>
    <w:p w14:paraId="0C85C459" w14:textId="77777777" w:rsidR="00577EC9" w:rsidRDefault="00577EC9" w:rsidP="00577EC9">
      <w:pPr>
        <w:pStyle w:val="SingleTxtG"/>
      </w:pPr>
      <w:r w:rsidRPr="00577EC9">
        <w:t>Cuadro 2.7.2.2.1</w:t>
      </w:r>
      <w:r w:rsidRPr="00577EC9">
        <w:tab/>
        <w:t xml:space="preserve"> Añádanse, en el orden adecuado, las filas siguientes</w:t>
      </w:r>
      <w:r w:rsidR="00D64A6E">
        <w:t>.</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060"/>
        <w:gridCol w:w="992"/>
        <w:gridCol w:w="992"/>
        <w:gridCol w:w="992"/>
      </w:tblGrid>
      <w:tr w:rsidR="00577EC9" w:rsidRPr="00C54F00" w14:paraId="0533D927" w14:textId="77777777" w:rsidTr="00371851">
        <w:trPr>
          <w:trHeight w:hRule="exact" w:val="300"/>
        </w:trPr>
        <w:tc>
          <w:tcPr>
            <w:tcW w:w="1526" w:type="dxa"/>
            <w:shd w:val="clear" w:color="auto" w:fill="auto"/>
            <w:hideMark/>
          </w:tcPr>
          <w:p w14:paraId="02CA4DC6" w14:textId="77777777" w:rsidR="00577EC9" w:rsidRPr="00C54F00" w:rsidRDefault="00577EC9" w:rsidP="00371851">
            <w:pPr>
              <w:ind w:right="-20"/>
              <w:jc w:val="both"/>
              <w:rPr>
                <w:sz w:val="18"/>
                <w:szCs w:val="18"/>
              </w:rPr>
            </w:pPr>
            <w:r>
              <w:t>Ba-135m</w:t>
            </w:r>
          </w:p>
        </w:tc>
        <w:tc>
          <w:tcPr>
            <w:tcW w:w="1060" w:type="dxa"/>
            <w:shd w:val="clear" w:color="auto" w:fill="auto"/>
            <w:hideMark/>
          </w:tcPr>
          <w:p w14:paraId="26164454" w14:textId="77777777" w:rsidR="00577EC9" w:rsidRPr="00C54F00" w:rsidRDefault="00577EC9" w:rsidP="00371851">
            <w:pPr>
              <w:ind w:right="-20"/>
              <w:jc w:val="center"/>
              <w:rPr>
                <w:sz w:val="18"/>
              </w:rPr>
            </w:pPr>
            <w:r>
              <w:t>2 × 10</w:t>
            </w:r>
            <w:r>
              <w:rPr>
                <w:vertAlign w:val="superscript"/>
              </w:rPr>
              <w:t>1</w:t>
            </w:r>
          </w:p>
        </w:tc>
        <w:tc>
          <w:tcPr>
            <w:tcW w:w="992" w:type="dxa"/>
            <w:shd w:val="clear" w:color="auto" w:fill="auto"/>
            <w:hideMark/>
          </w:tcPr>
          <w:p w14:paraId="3F48021D" w14:textId="77777777" w:rsidR="00577EC9" w:rsidRPr="00C54F00" w:rsidRDefault="00577EC9" w:rsidP="00371851">
            <w:pPr>
              <w:ind w:right="-20"/>
              <w:jc w:val="center"/>
              <w:rPr>
                <w:sz w:val="18"/>
              </w:rPr>
            </w:pPr>
            <w:r>
              <w:t>6 × 10</w:t>
            </w:r>
            <w:r>
              <w:rPr>
                <w:vertAlign w:val="superscript"/>
              </w:rPr>
              <w:t>–1</w:t>
            </w:r>
          </w:p>
        </w:tc>
        <w:tc>
          <w:tcPr>
            <w:tcW w:w="992" w:type="dxa"/>
            <w:shd w:val="clear" w:color="auto" w:fill="auto"/>
            <w:hideMark/>
          </w:tcPr>
          <w:p w14:paraId="4885FAD6" w14:textId="77777777" w:rsidR="00577EC9" w:rsidRPr="00C54F00" w:rsidRDefault="00577EC9" w:rsidP="00371851">
            <w:pPr>
              <w:ind w:right="-20"/>
              <w:jc w:val="center"/>
              <w:rPr>
                <w:sz w:val="18"/>
              </w:rPr>
            </w:pPr>
            <w:r>
              <w:t>1 × 10</w:t>
            </w:r>
            <w:r>
              <w:rPr>
                <w:vertAlign w:val="superscript"/>
              </w:rPr>
              <w:t>2</w:t>
            </w:r>
          </w:p>
        </w:tc>
        <w:tc>
          <w:tcPr>
            <w:tcW w:w="992" w:type="dxa"/>
            <w:shd w:val="clear" w:color="auto" w:fill="auto"/>
            <w:hideMark/>
          </w:tcPr>
          <w:p w14:paraId="56F4B796" w14:textId="77777777" w:rsidR="00577EC9" w:rsidRPr="00C54F00" w:rsidRDefault="00577EC9" w:rsidP="00371851">
            <w:pPr>
              <w:ind w:left="-171" w:right="-20" w:firstLine="205"/>
              <w:jc w:val="center"/>
              <w:rPr>
                <w:sz w:val="18"/>
              </w:rPr>
            </w:pPr>
            <w:r>
              <w:t>1 × 10</w:t>
            </w:r>
            <w:r>
              <w:rPr>
                <w:vertAlign w:val="superscript"/>
              </w:rPr>
              <w:t>6</w:t>
            </w:r>
          </w:p>
        </w:tc>
      </w:tr>
      <w:tr w:rsidR="00577EC9" w:rsidRPr="00C54F00" w14:paraId="2367F58B" w14:textId="77777777" w:rsidTr="00371851">
        <w:trPr>
          <w:trHeight w:val="301"/>
        </w:trPr>
        <w:tc>
          <w:tcPr>
            <w:tcW w:w="1526" w:type="dxa"/>
            <w:shd w:val="clear" w:color="auto" w:fill="auto"/>
          </w:tcPr>
          <w:p w14:paraId="311E509C" w14:textId="77777777" w:rsidR="00577EC9" w:rsidRPr="00C54F00" w:rsidRDefault="00577EC9" w:rsidP="00371851">
            <w:pPr>
              <w:tabs>
                <w:tab w:val="left" w:pos="2460"/>
                <w:tab w:val="left" w:pos="3640"/>
                <w:tab w:val="left" w:pos="4700"/>
                <w:tab w:val="left" w:pos="6040"/>
              </w:tabs>
              <w:ind w:right="-20"/>
              <w:rPr>
                <w:color w:val="231F20"/>
                <w:sz w:val="18"/>
                <w:szCs w:val="18"/>
              </w:rPr>
            </w:pPr>
            <w:r>
              <w:t>Ge-69</w:t>
            </w:r>
          </w:p>
        </w:tc>
        <w:tc>
          <w:tcPr>
            <w:tcW w:w="1060" w:type="dxa"/>
            <w:shd w:val="clear" w:color="auto" w:fill="auto"/>
          </w:tcPr>
          <w:p w14:paraId="73074749" w14:textId="77777777" w:rsidR="00577EC9" w:rsidRPr="00C54F00" w:rsidRDefault="00577EC9" w:rsidP="00371851">
            <w:pPr>
              <w:spacing w:line="280" w:lineRule="atLeast"/>
              <w:jc w:val="center"/>
              <w:rPr>
                <w:sz w:val="18"/>
                <w:szCs w:val="18"/>
              </w:rPr>
            </w:pPr>
            <w:r>
              <w:t>1 × 10</w:t>
            </w:r>
            <w:r>
              <w:rPr>
                <w:vertAlign w:val="superscript"/>
              </w:rPr>
              <w:t>0</w:t>
            </w:r>
          </w:p>
        </w:tc>
        <w:tc>
          <w:tcPr>
            <w:tcW w:w="992" w:type="dxa"/>
            <w:shd w:val="clear" w:color="auto" w:fill="auto"/>
          </w:tcPr>
          <w:p w14:paraId="7946BAD2" w14:textId="77777777" w:rsidR="00577EC9" w:rsidRPr="00C54F00" w:rsidRDefault="00577EC9" w:rsidP="00371851">
            <w:pPr>
              <w:spacing w:line="280" w:lineRule="atLeast"/>
              <w:jc w:val="center"/>
              <w:rPr>
                <w:sz w:val="18"/>
                <w:szCs w:val="18"/>
              </w:rPr>
            </w:pPr>
            <w:r>
              <w:t>1 × 10</w:t>
            </w:r>
            <w:r>
              <w:rPr>
                <w:vertAlign w:val="superscript"/>
              </w:rPr>
              <w:t>0</w:t>
            </w:r>
          </w:p>
        </w:tc>
        <w:tc>
          <w:tcPr>
            <w:tcW w:w="992" w:type="dxa"/>
            <w:shd w:val="clear" w:color="auto" w:fill="auto"/>
          </w:tcPr>
          <w:p w14:paraId="2979FB82" w14:textId="77777777" w:rsidR="00577EC9" w:rsidRPr="00C54F00" w:rsidRDefault="00577EC9" w:rsidP="00371851">
            <w:pPr>
              <w:spacing w:line="280" w:lineRule="atLeast"/>
              <w:jc w:val="center"/>
              <w:rPr>
                <w:sz w:val="18"/>
                <w:szCs w:val="18"/>
              </w:rPr>
            </w:pPr>
            <w:r>
              <w:t>1 × 10</w:t>
            </w:r>
            <w:r>
              <w:rPr>
                <w:vertAlign w:val="superscript"/>
              </w:rPr>
              <w:t>1</w:t>
            </w:r>
          </w:p>
        </w:tc>
        <w:tc>
          <w:tcPr>
            <w:tcW w:w="992" w:type="dxa"/>
            <w:shd w:val="clear" w:color="auto" w:fill="auto"/>
          </w:tcPr>
          <w:p w14:paraId="47B26F63" w14:textId="77777777" w:rsidR="00577EC9" w:rsidRPr="00C54F00" w:rsidRDefault="00577EC9" w:rsidP="00371851">
            <w:pPr>
              <w:tabs>
                <w:tab w:val="left" w:pos="2460"/>
                <w:tab w:val="left" w:pos="3640"/>
                <w:tab w:val="left" w:pos="4700"/>
                <w:tab w:val="left" w:pos="6040"/>
              </w:tabs>
              <w:ind w:left="-171" w:right="-20" w:firstLine="205"/>
              <w:jc w:val="center"/>
              <w:rPr>
                <w:sz w:val="18"/>
                <w:szCs w:val="18"/>
              </w:rPr>
            </w:pPr>
            <w:r>
              <w:t>1 × 10</w:t>
            </w:r>
            <w:r>
              <w:rPr>
                <w:vertAlign w:val="superscript"/>
              </w:rPr>
              <w:t>6</w:t>
            </w:r>
          </w:p>
        </w:tc>
      </w:tr>
      <w:tr w:rsidR="00577EC9" w:rsidRPr="00C54F00" w14:paraId="26F592C4" w14:textId="77777777" w:rsidTr="00371851">
        <w:trPr>
          <w:trHeight w:val="301"/>
        </w:trPr>
        <w:tc>
          <w:tcPr>
            <w:tcW w:w="1526" w:type="dxa"/>
            <w:shd w:val="clear" w:color="auto" w:fill="auto"/>
          </w:tcPr>
          <w:p w14:paraId="6643A165" w14:textId="77777777" w:rsidR="00577EC9" w:rsidRPr="00C54F00" w:rsidRDefault="00577EC9" w:rsidP="00371851">
            <w:pPr>
              <w:tabs>
                <w:tab w:val="left" w:pos="2460"/>
                <w:tab w:val="left" w:pos="3640"/>
                <w:tab w:val="left" w:pos="4700"/>
                <w:tab w:val="left" w:pos="6040"/>
              </w:tabs>
              <w:ind w:right="-20"/>
              <w:rPr>
                <w:sz w:val="18"/>
                <w:szCs w:val="18"/>
              </w:rPr>
            </w:pPr>
            <w:r>
              <w:t>Ir-193m</w:t>
            </w:r>
          </w:p>
        </w:tc>
        <w:tc>
          <w:tcPr>
            <w:tcW w:w="1060" w:type="dxa"/>
            <w:shd w:val="clear" w:color="auto" w:fill="auto"/>
          </w:tcPr>
          <w:p w14:paraId="4B939FF8" w14:textId="77777777" w:rsidR="00577EC9" w:rsidRPr="00C54F00" w:rsidRDefault="00577EC9" w:rsidP="00371851">
            <w:pPr>
              <w:spacing w:line="280" w:lineRule="atLeast"/>
              <w:jc w:val="center"/>
              <w:rPr>
                <w:sz w:val="18"/>
                <w:szCs w:val="18"/>
              </w:rPr>
            </w:pPr>
            <w:r>
              <w:t>4 × 10</w:t>
            </w:r>
            <w:r>
              <w:rPr>
                <w:vertAlign w:val="superscript"/>
              </w:rPr>
              <w:t>1</w:t>
            </w:r>
          </w:p>
        </w:tc>
        <w:tc>
          <w:tcPr>
            <w:tcW w:w="992" w:type="dxa"/>
            <w:shd w:val="clear" w:color="auto" w:fill="auto"/>
          </w:tcPr>
          <w:p w14:paraId="796CC5BB" w14:textId="77777777" w:rsidR="00577EC9" w:rsidRPr="00C54F00" w:rsidRDefault="00577EC9" w:rsidP="00371851">
            <w:pPr>
              <w:spacing w:line="280" w:lineRule="atLeast"/>
              <w:jc w:val="center"/>
              <w:rPr>
                <w:sz w:val="18"/>
                <w:szCs w:val="18"/>
              </w:rPr>
            </w:pPr>
            <w:r>
              <w:t>4 × 10</w:t>
            </w:r>
            <w:r>
              <w:rPr>
                <w:vertAlign w:val="superscript"/>
              </w:rPr>
              <w:t>0</w:t>
            </w:r>
          </w:p>
        </w:tc>
        <w:tc>
          <w:tcPr>
            <w:tcW w:w="992" w:type="dxa"/>
            <w:shd w:val="clear" w:color="auto" w:fill="auto"/>
          </w:tcPr>
          <w:p w14:paraId="5CEA9290" w14:textId="77777777" w:rsidR="00577EC9" w:rsidRPr="00C54F00" w:rsidRDefault="00577EC9" w:rsidP="00371851">
            <w:pPr>
              <w:spacing w:line="280" w:lineRule="atLeast"/>
              <w:jc w:val="center"/>
              <w:rPr>
                <w:sz w:val="18"/>
                <w:szCs w:val="18"/>
              </w:rPr>
            </w:pPr>
            <w:r>
              <w:t>1 × 10</w:t>
            </w:r>
            <w:r>
              <w:rPr>
                <w:vertAlign w:val="superscript"/>
              </w:rPr>
              <w:t>4</w:t>
            </w:r>
          </w:p>
        </w:tc>
        <w:tc>
          <w:tcPr>
            <w:tcW w:w="992" w:type="dxa"/>
            <w:shd w:val="clear" w:color="auto" w:fill="auto"/>
          </w:tcPr>
          <w:p w14:paraId="2E05936D" w14:textId="77777777" w:rsidR="00577EC9" w:rsidRPr="00C54F00" w:rsidRDefault="00577EC9" w:rsidP="00371851">
            <w:pPr>
              <w:tabs>
                <w:tab w:val="left" w:pos="2460"/>
                <w:tab w:val="left" w:pos="3640"/>
                <w:tab w:val="left" w:pos="4700"/>
                <w:tab w:val="left" w:pos="6040"/>
              </w:tabs>
              <w:ind w:left="-171" w:right="-20" w:firstLine="205"/>
              <w:jc w:val="center"/>
              <w:rPr>
                <w:sz w:val="18"/>
                <w:szCs w:val="18"/>
              </w:rPr>
            </w:pPr>
            <w:r>
              <w:t>1 × 10</w:t>
            </w:r>
            <w:r>
              <w:rPr>
                <w:vertAlign w:val="superscript"/>
              </w:rPr>
              <w:t>7</w:t>
            </w:r>
          </w:p>
        </w:tc>
      </w:tr>
      <w:tr w:rsidR="00577EC9" w:rsidRPr="00C54F00" w14:paraId="5D40F1B0" w14:textId="77777777" w:rsidTr="00371851">
        <w:trPr>
          <w:trHeight w:hRule="exact" w:val="300"/>
        </w:trPr>
        <w:tc>
          <w:tcPr>
            <w:tcW w:w="1526" w:type="dxa"/>
            <w:shd w:val="clear" w:color="auto" w:fill="auto"/>
          </w:tcPr>
          <w:p w14:paraId="360C3EB2" w14:textId="77777777" w:rsidR="00577EC9" w:rsidRPr="00C54F00" w:rsidRDefault="00577EC9" w:rsidP="00371851">
            <w:pPr>
              <w:ind w:right="-20"/>
              <w:rPr>
                <w:color w:val="231F20"/>
                <w:sz w:val="18"/>
                <w:szCs w:val="18"/>
              </w:rPr>
            </w:pPr>
            <w:r>
              <w:t>Ni-57</w:t>
            </w:r>
          </w:p>
        </w:tc>
        <w:tc>
          <w:tcPr>
            <w:tcW w:w="1060" w:type="dxa"/>
            <w:shd w:val="clear" w:color="auto" w:fill="auto"/>
          </w:tcPr>
          <w:p w14:paraId="0ECE162C" w14:textId="77777777" w:rsidR="00577EC9" w:rsidRPr="00C54F00" w:rsidRDefault="00577EC9" w:rsidP="00371851">
            <w:pPr>
              <w:ind w:right="-20"/>
              <w:jc w:val="center"/>
              <w:rPr>
                <w:color w:val="231F20"/>
                <w:sz w:val="18"/>
                <w:szCs w:val="18"/>
              </w:rPr>
            </w:pPr>
            <w:r>
              <w:t>6 × 10</w:t>
            </w:r>
            <w:r>
              <w:rPr>
                <w:vertAlign w:val="superscript"/>
              </w:rPr>
              <w:t>–1</w:t>
            </w:r>
          </w:p>
        </w:tc>
        <w:tc>
          <w:tcPr>
            <w:tcW w:w="992" w:type="dxa"/>
            <w:shd w:val="clear" w:color="auto" w:fill="auto"/>
          </w:tcPr>
          <w:p w14:paraId="133551DB" w14:textId="77777777" w:rsidR="00577EC9" w:rsidRPr="00C54F00" w:rsidRDefault="00577EC9" w:rsidP="00371851">
            <w:pPr>
              <w:ind w:right="-20"/>
              <w:jc w:val="center"/>
              <w:rPr>
                <w:color w:val="231F20"/>
                <w:sz w:val="18"/>
                <w:szCs w:val="18"/>
              </w:rPr>
            </w:pPr>
            <w:r>
              <w:t>6 × 10</w:t>
            </w:r>
            <w:r>
              <w:rPr>
                <w:vertAlign w:val="superscript"/>
              </w:rPr>
              <w:t>–1</w:t>
            </w:r>
          </w:p>
        </w:tc>
        <w:tc>
          <w:tcPr>
            <w:tcW w:w="992" w:type="dxa"/>
            <w:shd w:val="clear" w:color="auto" w:fill="auto"/>
            <w:hideMark/>
          </w:tcPr>
          <w:p w14:paraId="7F91F70D" w14:textId="77777777" w:rsidR="00577EC9" w:rsidRPr="00C54F00" w:rsidRDefault="00577EC9" w:rsidP="00371851">
            <w:pPr>
              <w:ind w:right="-20"/>
              <w:jc w:val="center"/>
              <w:rPr>
                <w:color w:val="231F20"/>
                <w:sz w:val="18"/>
                <w:szCs w:val="18"/>
              </w:rPr>
            </w:pPr>
            <w:r>
              <w:t>1 × 10</w:t>
            </w:r>
            <w:r>
              <w:rPr>
                <w:vertAlign w:val="superscript"/>
              </w:rPr>
              <w:t>1</w:t>
            </w:r>
          </w:p>
        </w:tc>
        <w:tc>
          <w:tcPr>
            <w:tcW w:w="992" w:type="dxa"/>
            <w:shd w:val="clear" w:color="auto" w:fill="auto"/>
            <w:hideMark/>
          </w:tcPr>
          <w:p w14:paraId="1DBFAC47" w14:textId="77777777" w:rsidR="00577EC9" w:rsidRPr="00C54F00" w:rsidRDefault="00577EC9" w:rsidP="00371851">
            <w:pPr>
              <w:ind w:left="-171" w:right="-20" w:firstLine="205"/>
              <w:jc w:val="center"/>
              <w:rPr>
                <w:color w:val="231F20"/>
                <w:sz w:val="18"/>
                <w:szCs w:val="18"/>
              </w:rPr>
            </w:pPr>
            <w:r>
              <w:t>1 × 10</w:t>
            </w:r>
            <w:r>
              <w:rPr>
                <w:vertAlign w:val="superscript"/>
              </w:rPr>
              <w:t>6</w:t>
            </w:r>
          </w:p>
        </w:tc>
      </w:tr>
      <w:tr w:rsidR="00577EC9" w:rsidRPr="00C54F00" w14:paraId="649178B1" w14:textId="77777777" w:rsidTr="00371851">
        <w:trPr>
          <w:trHeight w:hRule="exact" w:val="300"/>
        </w:trPr>
        <w:tc>
          <w:tcPr>
            <w:tcW w:w="1526" w:type="dxa"/>
            <w:shd w:val="clear" w:color="auto" w:fill="auto"/>
            <w:hideMark/>
          </w:tcPr>
          <w:p w14:paraId="1F84DB3C" w14:textId="77777777" w:rsidR="00577EC9" w:rsidRPr="00C54F00" w:rsidRDefault="00577EC9" w:rsidP="00371851">
            <w:pPr>
              <w:ind w:right="-20"/>
              <w:rPr>
                <w:color w:val="231F20"/>
                <w:sz w:val="18"/>
                <w:szCs w:val="18"/>
              </w:rPr>
            </w:pPr>
            <w:r>
              <w:t>Sr-83</w:t>
            </w:r>
          </w:p>
        </w:tc>
        <w:tc>
          <w:tcPr>
            <w:tcW w:w="1060" w:type="dxa"/>
            <w:shd w:val="clear" w:color="auto" w:fill="auto"/>
            <w:hideMark/>
          </w:tcPr>
          <w:p w14:paraId="46DB4EA9" w14:textId="77777777" w:rsidR="00577EC9" w:rsidRPr="00C54F00" w:rsidRDefault="00577EC9" w:rsidP="00371851">
            <w:pPr>
              <w:ind w:right="-20"/>
              <w:jc w:val="center"/>
              <w:rPr>
                <w:color w:val="231F20"/>
                <w:sz w:val="18"/>
                <w:szCs w:val="18"/>
              </w:rPr>
            </w:pPr>
            <w:r>
              <w:t>1 × 10</w:t>
            </w:r>
            <w:r>
              <w:rPr>
                <w:vertAlign w:val="superscript"/>
              </w:rPr>
              <w:t>0</w:t>
            </w:r>
          </w:p>
        </w:tc>
        <w:tc>
          <w:tcPr>
            <w:tcW w:w="992" w:type="dxa"/>
            <w:shd w:val="clear" w:color="auto" w:fill="auto"/>
            <w:hideMark/>
          </w:tcPr>
          <w:p w14:paraId="66657645" w14:textId="77777777" w:rsidR="00577EC9" w:rsidRPr="00C54F00" w:rsidRDefault="00577EC9" w:rsidP="00371851">
            <w:pPr>
              <w:ind w:right="-20"/>
              <w:jc w:val="center"/>
              <w:rPr>
                <w:color w:val="231F20"/>
                <w:sz w:val="18"/>
                <w:szCs w:val="18"/>
              </w:rPr>
            </w:pPr>
            <w:r>
              <w:t>1 × 10</w:t>
            </w:r>
            <w:r>
              <w:rPr>
                <w:vertAlign w:val="superscript"/>
              </w:rPr>
              <w:t>0</w:t>
            </w:r>
          </w:p>
        </w:tc>
        <w:tc>
          <w:tcPr>
            <w:tcW w:w="992" w:type="dxa"/>
            <w:shd w:val="clear" w:color="auto" w:fill="auto"/>
            <w:hideMark/>
          </w:tcPr>
          <w:p w14:paraId="5D771CD7" w14:textId="77777777" w:rsidR="00577EC9" w:rsidRPr="00C54F00" w:rsidRDefault="00577EC9" w:rsidP="00371851">
            <w:pPr>
              <w:ind w:right="-20"/>
              <w:jc w:val="center"/>
              <w:rPr>
                <w:color w:val="231F20"/>
                <w:sz w:val="18"/>
                <w:szCs w:val="18"/>
              </w:rPr>
            </w:pPr>
            <w:r>
              <w:t>1 × 10</w:t>
            </w:r>
            <w:r>
              <w:rPr>
                <w:vertAlign w:val="superscript"/>
              </w:rPr>
              <w:t>1</w:t>
            </w:r>
          </w:p>
        </w:tc>
        <w:tc>
          <w:tcPr>
            <w:tcW w:w="992" w:type="dxa"/>
            <w:shd w:val="clear" w:color="auto" w:fill="auto"/>
            <w:hideMark/>
          </w:tcPr>
          <w:p w14:paraId="3D9A53E6" w14:textId="77777777" w:rsidR="00577EC9" w:rsidRPr="00C54F00" w:rsidRDefault="00577EC9" w:rsidP="00371851">
            <w:pPr>
              <w:ind w:left="-171" w:right="-20" w:firstLine="205"/>
              <w:jc w:val="center"/>
              <w:rPr>
                <w:color w:val="231F20"/>
                <w:sz w:val="18"/>
                <w:szCs w:val="18"/>
              </w:rPr>
            </w:pPr>
            <w:r>
              <w:t>1 × 10</w:t>
            </w:r>
            <w:r>
              <w:rPr>
                <w:vertAlign w:val="superscript"/>
              </w:rPr>
              <w:t>6</w:t>
            </w:r>
          </w:p>
        </w:tc>
      </w:tr>
      <w:tr w:rsidR="00577EC9" w:rsidRPr="00C54F00" w14:paraId="24A8BA99" w14:textId="77777777" w:rsidTr="00371851">
        <w:trPr>
          <w:trHeight w:hRule="exact" w:val="300"/>
        </w:trPr>
        <w:tc>
          <w:tcPr>
            <w:tcW w:w="1526" w:type="dxa"/>
            <w:shd w:val="clear" w:color="auto" w:fill="auto"/>
          </w:tcPr>
          <w:p w14:paraId="3BD00BD9" w14:textId="77777777" w:rsidR="00577EC9" w:rsidRPr="00C54F00" w:rsidRDefault="00577EC9" w:rsidP="00371851">
            <w:pPr>
              <w:ind w:right="-20"/>
              <w:rPr>
                <w:color w:val="231F20"/>
                <w:sz w:val="18"/>
                <w:szCs w:val="18"/>
              </w:rPr>
            </w:pPr>
            <w:r>
              <w:t>Tb-149</w:t>
            </w:r>
          </w:p>
        </w:tc>
        <w:tc>
          <w:tcPr>
            <w:tcW w:w="1060" w:type="dxa"/>
            <w:shd w:val="clear" w:color="auto" w:fill="auto"/>
          </w:tcPr>
          <w:p w14:paraId="37634CBD" w14:textId="77777777" w:rsidR="00577EC9" w:rsidRPr="00C54F00" w:rsidRDefault="00577EC9" w:rsidP="00371851">
            <w:pPr>
              <w:ind w:right="-20"/>
              <w:jc w:val="center"/>
              <w:rPr>
                <w:color w:val="231F20"/>
                <w:sz w:val="18"/>
                <w:szCs w:val="18"/>
              </w:rPr>
            </w:pPr>
            <w:r>
              <w:t>8 × 10</w:t>
            </w:r>
            <w:r>
              <w:rPr>
                <w:vertAlign w:val="superscript"/>
              </w:rPr>
              <w:t>–1</w:t>
            </w:r>
          </w:p>
        </w:tc>
        <w:tc>
          <w:tcPr>
            <w:tcW w:w="992" w:type="dxa"/>
            <w:shd w:val="clear" w:color="auto" w:fill="auto"/>
          </w:tcPr>
          <w:p w14:paraId="7783BE61" w14:textId="77777777" w:rsidR="00577EC9" w:rsidRPr="00C54F00" w:rsidRDefault="00577EC9" w:rsidP="00371851">
            <w:pPr>
              <w:ind w:right="-20"/>
              <w:jc w:val="center"/>
              <w:rPr>
                <w:color w:val="231F20"/>
                <w:sz w:val="18"/>
                <w:szCs w:val="18"/>
              </w:rPr>
            </w:pPr>
            <w:r>
              <w:t>8 × 10</w:t>
            </w:r>
            <w:r>
              <w:rPr>
                <w:vertAlign w:val="superscript"/>
              </w:rPr>
              <w:t>–1</w:t>
            </w:r>
          </w:p>
        </w:tc>
        <w:tc>
          <w:tcPr>
            <w:tcW w:w="992" w:type="dxa"/>
            <w:shd w:val="clear" w:color="auto" w:fill="auto"/>
          </w:tcPr>
          <w:p w14:paraId="142B99A2" w14:textId="77777777" w:rsidR="00577EC9" w:rsidRPr="00C54F00" w:rsidRDefault="00577EC9" w:rsidP="00371851">
            <w:pPr>
              <w:ind w:right="-20"/>
              <w:jc w:val="center"/>
              <w:rPr>
                <w:color w:val="231F20"/>
                <w:sz w:val="18"/>
                <w:szCs w:val="18"/>
              </w:rPr>
            </w:pPr>
            <w:r>
              <w:t>1 × 10</w:t>
            </w:r>
            <w:r>
              <w:rPr>
                <w:vertAlign w:val="superscript"/>
              </w:rPr>
              <w:t>1</w:t>
            </w:r>
          </w:p>
        </w:tc>
        <w:tc>
          <w:tcPr>
            <w:tcW w:w="992" w:type="dxa"/>
            <w:shd w:val="clear" w:color="auto" w:fill="auto"/>
          </w:tcPr>
          <w:p w14:paraId="67B1A235" w14:textId="77777777" w:rsidR="00577EC9" w:rsidRPr="00C54F00" w:rsidRDefault="00577EC9" w:rsidP="00371851">
            <w:pPr>
              <w:ind w:left="-171" w:right="-20" w:firstLine="205"/>
              <w:jc w:val="center"/>
              <w:rPr>
                <w:color w:val="231F20"/>
                <w:sz w:val="18"/>
                <w:szCs w:val="18"/>
              </w:rPr>
            </w:pPr>
            <w:r>
              <w:t>1 × 10</w:t>
            </w:r>
            <w:r>
              <w:rPr>
                <w:vertAlign w:val="superscript"/>
              </w:rPr>
              <w:t>6</w:t>
            </w:r>
          </w:p>
        </w:tc>
      </w:tr>
      <w:tr w:rsidR="00577EC9" w:rsidRPr="00C54F00" w14:paraId="282A13EC" w14:textId="77777777" w:rsidTr="00371851">
        <w:trPr>
          <w:trHeight w:hRule="exact" w:val="288"/>
        </w:trPr>
        <w:tc>
          <w:tcPr>
            <w:tcW w:w="1526" w:type="dxa"/>
            <w:shd w:val="clear" w:color="auto" w:fill="auto"/>
          </w:tcPr>
          <w:p w14:paraId="780B5645" w14:textId="77777777" w:rsidR="00577EC9" w:rsidRPr="00C54F00" w:rsidRDefault="00577EC9" w:rsidP="00371851">
            <w:pPr>
              <w:ind w:right="-20"/>
              <w:rPr>
                <w:color w:val="231F20"/>
                <w:sz w:val="18"/>
                <w:szCs w:val="18"/>
              </w:rPr>
            </w:pPr>
            <w:r>
              <w:t>Tb-161</w:t>
            </w:r>
          </w:p>
        </w:tc>
        <w:tc>
          <w:tcPr>
            <w:tcW w:w="1060" w:type="dxa"/>
            <w:shd w:val="clear" w:color="auto" w:fill="auto"/>
          </w:tcPr>
          <w:p w14:paraId="65F99B56" w14:textId="77777777" w:rsidR="00577EC9" w:rsidRPr="00C54F00" w:rsidRDefault="00577EC9" w:rsidP="00371851">
            <w:pPr>
              <w:ind w:right="-20"/>
              <w:jc w:val="center"/>
              <w:rPr>
                <w:color w:val="231F20"/>
                <w:sz w:val="18"/>
                <w:szCs w:val="18"/>
              </w:rPr>
            </w:pPr>
            <w:r>
              <w:t>3 × 10</w:t>
            </w:r>
            <w:r>
              <w:rPr>
                <w:vertAlign w:val="superscript"/>
              </w:rPr>
              <w:t>1</w:t>
            </w:r>
          </w:p>
        </w:tc>
        <w:tc>
          <w:tcPr>
            <w:tcW w:w="992" w:type="dxa"/>
            <w:shd w:val="clear" w:color="auto" w:fill="auto"/>
          </w:tcPr>
          <w:p w14:paraId="33C91F44" w14:textId="77777777" w:rsidR="00577EC9" w:rsidRPr="00C54F00" w:rsidRDefault="00577EC9" w:rsidP="00371851">
            <w:pPr>
              <w:ind w:right="-20"/>
              <w:jc w:val="center"/>
              <w:rPr>
                <w:color w:val="231F20"/>
                <w:sz w:val="18"/>
                <w:szCs w:val="18"/>
              </w:rPr>
            </w:pPr>
            <w:r>
              <w:t>7 × 10</w:t>
            </w:r>
            <w:r>
              <w:rPr>
                <w:vertAlign w:val="superscript"/>
              </w:rPr>
              <w:t>–1</w:t>
            </w:r>
          </w:p>
        </w:tc>
        <w:tc>
          <w:tcPr>
            <w:tcW w:w="992" w:type="dxa"/>
            <w:shd w:val="clear" w:color="auto" w:fill="auto"/>
          </w:tcPr>
          <w:p w14:paraId="45C13231" w14:textId="77777777" w:rsidR="00577EC9" w:rsidRPr="00C54F00" w:rsidRDefault="00577EC9" w:rsidP="00371851">
            <w:pPr>
              <w:ind w:right="-20"/>
              <w:jc w:val="center"/>
              <w:rPr>
                <w:color w:val="231F20"/>
                <w:sz w:val="18"/>
                <w:szCs w:val="18"/>
              </w:rPr>
            </w:pPr>
            <w:r>
              <w:t>1 × 10</w:t>
            </w:r>
            <w:r>
              <w:rPr>
                <w:vertAlign w:val="superscript"/>
              </w:rPr>
              <w:t>3</w:t>
            </w:r>
          </w:p>
        </w:tc>
        <w:tc>
          <w:tcPr>
            <w:tcW w:w="992" w:type="dxa"/>
            <w:shd w:val="clear" w:color="auto" w:fill="auto"/>
          </w:tcPr>
          <w:p w14:paraId="1FAF6E60" w14:textId="77777777" w:rsidR="00577EC9" w:rsidRPr="00C54F00" w:rsidRDefault="00577EC9" w:rsidP="00371851">
            <w:pPr>
              <w:ind w:left="-171" w:right="-20" w:firstLine="205"/>
              <w:jc w:val="center"/>
              <w:rPr>
                <w:color w:val="231F20"/>
                <w:sz w:val="18"/>
                <w:szCs w:val="18"/>
              </w:rPr>
            </w:pPr>
            <w:r>
              <w:t>1 × 10</w:t>
            </w:r>
            <w:r>
              <w:rPr>
                <w:vertAlign w:val="superscript"/>
              </w:rPr>
              <w:t>6</w:t>
            </w:r>
          </w:p>
        </w:tc>
      </w:tr>
    </w:tbl>
    <w:p w14:paraId="714AFD4D" w14:textId="77777777" w:rsidR="00577EC9" w:rsidRPr="00577EC9" w:rsidRDefault="00577EC9" w:rsidP="00425D86">
      <w:pPr>
        <w:pStyle w:val="SingleTxtG"/>
        <w:spacing w:before="240"/>
        <w:rPr>
          <w:lang w:val="en-GB"/>
        </w:rPr>
      </w:pPr>
      <w:r w:rsidRPr="00577EC9">
        <w:t xml:space="preserve">En la nota b) del cuadro, al final de la frase introductoria, añádase </w:t>
      </w:r>
      <w:r w:rsidR="00655CB5">
        <w:t>“</w:t>
      </w:r>
      <w:r w:rsidR="00564673">
        <w:t xml:space="preserve"> </w:t>
      </w:r>
      <w:r w:rsidRPr="00577EC9">
        <w:t>(la actividad que hay que tener en cuenta es solamente la del nucleido predecesor)</w:t>
      </w:r>
      <w:r w:rsidR="00655CB5">
        <w:t>”</w:t>
      </w:r>
      <w:r w:rsidRPr="00577EC9">
        <w:t xml:space="preserve">. Después de </w:t>
      </w:r>
      <w:r w:rsidR="00655CB5">
        <w:t>“</w:t>
      </w:r>
      <w:r w:rsidRPr="00577EC9">
        <w:t>Th-nat</w:t>
      </w:r>
      <w:r w:rsidR="00655CB5">
        <w:t>”</w:t>
      </w:r>
      <w:r w:rsidRPr="00577EC9">
        <w:t xml:space="preserve"> y </w:t>
      </w:r>
      <w:r w:rsidR="00655CB5">
        <w:t>“</w:t>
      </w:r>
      <w:r w:rsidR="00A26136">
        <w:t>U</w:t>
      </w:r>
      <w:r w:rsidR="00A26136">
        <w:noBreakHyphen/>
      </w:r>
      <w:r w:rsidRPr="00577EC9">
        <w:t>nat</w:t>
      </w:r>
      <w:r w:rsidR="00655CB5">
        <w:t>”</w:t>
      </w:r>
      <w:r w:rsidRPr="00577EC9">
        <w:t xml:space="preserve">, insértese una referencia a la nota de pie de página. La nota de pie de página reza así: </w:t>
      </w:r>
      <w:r w:rsidR="00655CB5" w:rsidRPr="00A26136">
        <w:rPr>
          <w:i/>
        </w:rPr>
        <w:t>“</w:t>
      </w:r>
      <w:r w:rsidRPr="00A26136">
        <w:rPr>
          <w:i/>
          <w:iCs/>
        </w:rPr>
        <w:t>En el caso del Th-natural, el nucleido predecesor</w:t>
      </w:r>
      <w:r w:rsidR="00A26136">
        <w:rPr>
          <w:i/>
          <w:iCs/>
        </w:rPr>
        <w:t xml:space="preserve"> es el TH-232, en el caso del U</w:t>
      </w:r>
      <w:r w:rsidR="00A26136">
        <w:rPr>
          <w:i/>
          <w:iCs/>
        </w:rPr>
        <w:noBreakHyphen/>
      </w:r>
      <w:r w:rsidRPr="00A26136">
        <w:rPr>
          <w:i/>
          <w:iCs/>
        </w:rPr>
        <w:t>natural el nucleido predecesor es el U-238.</w:t>
      </w:r>
      <w:r w:rsidR="00655CB5" w:rsidRPr="00A26136">
        <w:rPr>
          <w:i/>
        </w:rPr>
        <w:t>”</w:t>
      </w:r>
      <w:r w:rsidR="00A26136">
        <w:t>.</w:t>
      </w:r>
    </w:p>
    <w:p w14:paraId="64E4787E" w14:textId="77777777" w:rsidR="00577EC9" w:rsidRPr="00577EC9" w:rsidRDefault="00577EC9" w:rsidP="00577EC9">
      <w:pPr>
        <w:pStyle w:val="SingleTxtG"/>
        <w:rPr>
          <w:lang w:val="en-GB"/>
        </w:rPr>
      </w:pPr>
      <w:r w:rsidRPr="00577EC9">
        <w:t>2.7.2.2.2</w:t>
      </w:r>
      <w:r w:rsidRPr="00577EC9">
        <w:tab/>
        <w:t xml:space="preserve">En el apartado a), sustitúyase </w:t>
      </w:r>
      <w:r w:rsidR="00655CB5">
        <w:t>“</w:t>
      </w:r>
      <w:r w:rsidRPr="00577EC9">
        <w:t>Normas básicas internacionales de seguridad para la protección contra la radiación ionizante y para la seguridad de las fuentes de radiaci</w:t>
      </w:r>
      <w:r w:rsidR="002C5BE2">
        <w:t>ón, Colección Seguridad núm.</w:t>
      </w:r>
      <w:r w:rsidRPr="00577EC9">
        <w:t xml:space="preserve"> 115, OIEA, Viena (1996)</w:t>
      </w:r>
      <w:r w:rsidR="00655CB5">
        <w:t>”</w:t>
      </w:r>
      <w:r w:rsidRPr="00577EC9">
        <w:t xml:space="preserve"> por </w:t>
      </w:r>
      <w:r w:rsidR="00655CB5">
        <w:t>“</w:t>
      </w:r>
      <w:r w:rsidRPr="00577EC9">
        <w:t>Protección radiológica y seguridad de las fuentes de radiación: normas básicas internacionales de seguridad</w:t>
      </w:r>
      <w:r w:rsidR="00655CB5">
        <w:t>”</w:t>
      </w:r>
      <w:r w:rsidRPr="00577EC9">
        <w:t xml:space="preserve">, Colección Normas de Seguridad del OIEA, Requisitos de Seguridad Generales </w:t>
      </w:r>
      <w:r w:rsidR="00655CB5">
        <w:t>núm.</w:t>
      </w:r>
      <w:r w:rsidRPr="00577EC9">
        <w:t xml:space="preserve"> GSR Part 3, OIEA, Viena (2014)</w:t>
      </w:r>
      <w:r w:rsidR="00655CB5">
        <w:t>”</w:t>
      </w:r>
      <w:r w:rsidRPr="00577EC9">
        <w:t>.</w:t>
      </w:r>
    </w:p>
    <w:p w14:paraId="2BEF6DFD" w14:textId="77777777" w:rsidR="00577EC9" w:rsidRPr="00577EC9" w:rsidRDefault="00577EC9" w:rsidP="00577EC9">
      <w:pPr>
        <w:pStyle w:val="SingleTxtG"/>
        <w:rPr>
          <w:lang w:val="en-GB"/>
        </w:rPr>
      </w:pPr>
      <w:r w:rsidRPr="00577EC9">
        <w:t xml:space="preserve">El apartado b), al final, sustitúyase </w:t>
      </w:r>
      <w:r w:rsidR="00655CB5">
        <w:t>“</w:t>
      </w:r>
      <w:r w:rsidRPr="00577EC9">
        <w:t xml:space="preserve">Normas básicas internacionales de seguridad para la protección contra la radiación ionizante y para la seguridad de las fuentes de </w:t>
      </w:r>
      <w:r w:rsidR="002C5BE2">
        <w:t>radiación, Colección Seguridad núm.</w:t>
      </w:r>
      <w:r w:rsidRPr="00577EC9">
        <w:t xml:space="preserve"> 115, OIEA, Viena (1996)</w:t>
      </w:r>
      <w:r w:rsidR="00655CB5">
        <w:t>”</w:t>
      </w:r>
      <w:r w:rsidRPr="00577EC9">
        <w:t xml:space="preserve"> por </w:t>
      </w:r>
      <w:r w:rsidR="00655CB5">
        <w:t>“</w:t>
      </w:r>
      <w:r w:rsidRPr="00577EC9">
        <w:t>GSR Part 3</w:t>
      </w:r>
      <w:r w:rsidR="00655CB5">
        <w:t>”</w:t>
      </w:r>
      <w:r w:rsidRPr="00577EC9">
        <w:t>.</w:t>
      </w:r>
    </w:p>
    <w:p w14:paraId="1B5B5230" w14:textId="77777777" w:rsidR="00577EC9" w:rsidRPr="00577EC9" w:rsidRDefault="00577EC9" w:rsidP="00577EC9">
      <w:pPr>
        <w:pStyle w:val="SingleTxtG"/>
        <w:rPr>
          <w:lang w:val="en-GB"/>
        </w:rPr>
      </w:pPr>
      <w:r w:rsidRPr="00577EC9">
        <w:t>2.7.2.2.3</w:t>
      </w:r>
      <w:r w:rsidRPr="00577EC9">
        <w:tab/>
        <w:t xml:space="preserve">La enmienda del texto inglés </w:t>
      </w:r>
      <w:r w:rsidR="00E64C29">
        <w:t>no se aplica al texto español.</w:t>
      </w:r>
    </w:p>
    <w:p w14:paraId="196CB5A9" w14:textId="77777777" w:rsidR="00577EC9" w:rsidRPr="00577EC9" w:rsidRDefault="00882F20" w:rsidP="00577EC9">
      <w:pPr>
        <w:pStyle w:val="SingleTxtG"/>
        <w:rPr>
          <w:lang w:val="en-GB"/>
        </w:rPr>
      </w:pPr>
      <w:r w:rsidRPr="00882F20">
        <w:rPr>
          <w:spacing w:val="-1"/>
        </w:rPr>
        <w:t>2.7.2.3.1.2 c)</w:t>
      </w:r>
      <w:r>
        <w:tab/>
      </w:r>
      <w:r w:rsidR="00577EC9" w:rsidRPr="00577EC9">
        <w:t xml:space="preserve">Suprímase </w:t>
      </w:r>
      <w:r w:rsidR="00655CB5">
        <w:t>“</w:t>
      </w:r>
      <w:r w:rsidR="00577EC9" w:rsidRPr="00577EC9">
        <w:t>que cumplan los requisitos de 2.7.2.3.1.3</w:t>
      </w:r>
      <w:r w:rsidR="00655CB5">
        <w:t>”</w:t>
      </w:r>
      <w:r w:rsidR="00577EC9" w:rsidRPr="00577EC9">
        <w:t>.</w:t>
      </w:r>
      <w:r>
        <w:t xml:space="preserve"> Suprímase el inciso </w:t>
      </w:r>
      <w:r w:rsidR="00577EC9" w:rsidRPr="00577EC9">
        <w:t xml:space="preserve">ii) y renumérese el inciso iii) como ii). </w:t>
      </w:r>
    </w:p>
    <w:p w14:paraId="7A81CD09" w14:textId="77777777" w:rsidR="00577EC9" w:rsidRPr="00577EC9" w:rsidRDefault="00577EC9" w:rsidP="00577EC9">
      <w:pPr>
        <w:pStyle w:val="SingleTxtG"/>
        <w:rPr>
          <w:lang w:val="en-GB"/>
        </w:rPr>
      </w:pPr>
      <w:r w:rsidRPr="00577EC9">
        <w:lastRenderedPageBreak/>
        <w:t>2.7.2.3.1.3</w:t>
      </w:r>
      <w:r w:rsidRPr="00577EC9">
        <w:tab/>
        <w:t xml:space="preserve">Suprímase y añádase </w:t>
      </w:r>
      <w:r w:rsidR="00655CB5" w:rsidRPr="00882F20">
        <w:rPr>
          <w:i/>
        </w:rPr>
        <w:t>“</w:t>
      </w:r>
      <w:r w:rsidRPr="00882F20">
        <w:rPr>
          <w:i/>
          <w:iCs/>
        </w:rPr>
        <w:t>Suprimido</w:t>
      </w:r>
      <w:r w:rsidR="00655CB5" w:rsidRPr="00882F20">
        <w:rPr>
          <w:i/>
        </w:rPr>
        <w:t>”</w:t>
      </w:r>
      <w:r w:rsidRPr="00577EC9">
        <w:t>.</w:t>
      </w:r>
    </w:p>
    <w:p w14:paraId="60A3DEC2" w14:textId="77777777" w:rsidR="00577EC9" w:rsidRPr="00577EC9" w:rsidRDefault="00577EC9" w:rsidP="00577EC9">
      <w:pPr>
        <w:pStyle w:val="SingleTxtG"/>
        <w:rPr>
          <w:lang w:val="en-GB"/>
        </w:rPr>
      </w:pPr>
      <w:r w:rsidRPr="00577EC9">
        <w:t>2.7.2.3.2</w:t>
      </w:r>
      <w:r w:rsidRPr="00577EC9">
        <w:tab/>
        <w:t xml:space="preserve">En la oración introductoria antes del apartado a), sustitúyase </w:t>
      </w:r>
      <w:r w:rsidR="00655CB5">
        <w:t>“</w:t>
      </w:r>
      <w:r w:rsidRPr="00577EC9">
        <w:t>dos</w:t>
      </w:r>
      <w:r w:rsidR="00655CB5">
        <w:t>”</w:t>
      </w:r>
      <w:r w:rsidRPr="00577EC9">
        <w:t xml:space="preserve"> por </w:t>
      </w:r>
      <w:r w:rsidR="00655CB5">
        <w:t>“</w:t>
      </w:r>
      <w:r w:rsidRPr="00577EC9">
        <w:t>tres</w:t>
      </w:r>
      <w:r w:rsidR="00655CB5">
        <w:t>”</w:t>
      </w:r>
      <w:r w:rsidRPr="00577EC9">
        <w:t>. Añádase el nuevo apartado c) siguiente:</w:t>
      </w:r>
    </w:p>
    <w:p w14:paraId="09A5A87F" w14:textId="77777777" w:rsidR="00577EC9" w:rsidRPr="00577EC9" w:rsidRDefault="00655CB5" w:rsidP="00425D86">
      <w:pPr>
        <w:pStyle w:val="SingleTxtG"/>
        <w:ind w:left="2268"/>
        <w:rPr>
          <w:lang w:val="en-GB"/>
        </w:rPr>
      </w:pPr>
      <w:r>
        <w:t>“</w:t>
      </w:r>
      <w:r w:rsidR="00577EC9" w:rsidRPr="00577EC9">
        <w:t>c)</w:t>
      </w:r>
      <w:r w:rsidR="00577EC9" w:rsidRPr="00577EC9">
        <w:tab/>
        <w:t xml:space="preserve">OCS-III: Un objeto sólido de grandes dimensiones que, debido a su tamaño, no puede transportarse en un tipo de bulto descrito en la presente Reglamentación y en el que: </w:t>
      </w:r>
      <w:bookmarkStart w:id="1" w:name="_Hlk2261198"/>
    </w:p>
    <w:p w14:paraId="333DD8D1" w14:textId="77777777" w:rsidR="00577EC9" w:rsidRPr="00577EC9" w:rsidRDefault="00577EC9" w:rsidP="0017628D">
      <w:pPr>
        <w:pStyle w:val="SingleTxtG"/>
        <w:ind w:left="3402" w:hanging="567"/>
        <w:rPr>
          <w:lang w:val="en-GB"/>
        </w:rPr>
      </w:pPr>
      <w:r w:rsidRPr="00577EC9">
        <w:t>i)</w:t>
      </w:r>
      <w:r w:rsidRPr="00577EC9">
        <w:tab/>
        <w:t>Todas las aberturas estén hermétic</w:t>
      </w:r>
      <w:r w:rsidR="0017628D">
        <w:t xml:space="preserve">amente cerradas para evitar la </w:t>
      </w:r>
      <w:r w:rsidRPr="00577EC9">
        <w:t xml:space="preserve">liberación de material radiactivo en las condiciones definidas </w:t>
      </w:r>
      <w:r w:rsidRPr="00577EC9">
        <w:tab/>
        <w:t>en 4.1.9.2.4 e);</w:t>
      </w:r>
    </w:p>
    <w:p w14:paraId="66B3AB1B" w14:textId="77777777" w:rsidR="00577EC9" w:rsidRPr="00577EC9" w:rsidRDefault="0017628D" w:rsidP="0017628D">
      <w:pPr>
        <w:pStyle w:val="SingleTxtG"/>
        <w:ind w:left="3402" w:hanging="567"/>
        <w:rPr>
          <w:lang w:val="en-GB"/>
        </w:rPr>
      </w:pPr>
      <w:r>
        <w:t>ii)</w:t>
      </w:r>
      <w:r w:rsidR="00577EC9" w:rsidRPr="00577EC9">
        <w:tab/>
        <w:t xml:space="preserve">El interior del objeto esté lo más seco posible; </w:t>
      </w:r>
    </w:p>
    <w:p w14:paraId="15B81B34" w14:textId="77777777" w:rsidR="00577EC9" w:rsidRPr="00577EC9" w:rsidRDefault="00577EC9" w:rsidP="0017628D">
      <w:pPr>
        <w:pStyle w:val="SingleTxtG"/>
        <w:ind w:left="3402" w:hanging="567"/>
        <w:rPr>
          <w:lang w:val="en-GB"/>
        </w:rPr>
      </w:pPr>
      <w:r w:rsidRPr="00577EC9">
        <w:t>iii)</w:t>
      </w:r>
      <w:r w:rsidRPr="00577EC9">
        <w:tab/>
        <w:t xml:space="preserve">La contaminación transitoria en las superficies externas no </w:t>
      </w:r>
      <w:r w:rsidRPr="00577EC9">
        <w:tab/>
        <w:t>exceda los lím</w:t>
      </w:r>
      <w:r w:rsidR="0017628D">
        <w:t>ites especificados en 4.1.9.1.2;</w:t>
      </w:r>
    </w:p>
    <w:p w14:paraId="52F85F0C" w14:textId="77777777" w:rsidR="00577EC9" w:rsidRPr="00577EC9" w:rsidRDefault="00577EC9" w:rsidP="0017628D">
      <w:pPr>
        <w:pStyle w:val="SingleTxtG"/>
        <w:ind w:left="3402" w:hanging="567"/>
        <w:rPr>
          <w:lang w:val="en-GB"/>
        </w:rPr>
      </w:pPr>
      <w:r w:rsidRPr="00577EC9">
        <w:t>iv)</w:t>
      </w:r>
      <w:r w:rsidRPr="00577EC9">
        <w:tab/>
        <w:t>La contaminación transitoria más la contaminación fija en la superficie inaccesible, promediada sobre 300 cm</w:t>
      </w:r>
      <w:r w:rsidRPr="00577EC9">
        <w:rPr>
          <w:vertAlign w:val="superscript"/>
        </w:rPr>
        <w:t>2</w:t>
      </w:r>
      <w:r w:rsidRPr="00577EC9">
        <w:t xml:space="preserve"> no sea superior a 8 × 10</w:t>
      </w:r>
      <w:r w:rsidRPr="00577EC9">
        <w:rPr>
          <w:vertAlign w:val="superscript"/>
        </w:rPr>
        <w:t>5</w:t>
      </w:r>
      <w:r w:rsidRPr="00577EC9">
        <w:t xml:space="preserve"> Bq/cm</w:t>
      </w:r>
      <w:r w:rsidRPr="00577EC9">
        <w:rPr>
          <w:vertAlign w:val="superscript"/>
        </w:rPr>
        <w:t>2</w:t>
      </w:r>
      <w:r w:rsidRPr="00577EC9">
        <w:t xml:space="preserve"> en el caso de emisores beta y gamma y de emisores alfa de baja toxicidad, o a 8 × 10</w:t>
      </w:r>
      <w:r w:rsidRPr="00577EC9">
        <w:rPr>
          <w:vertAlign w:val="superscript"/>
        </w:rPr>
        <w:t>4</w:t>
      </w:r>
      <w:r w:rsidRPr="00577EC9">
        <w:t xml:space="preserve"> Bq/cm</w:t>
      </w:r>
      <w:r w:rsidRPr="00577EC9">
        <w:rPr>
          <w:vertAlign w:val="superscript"/>
        </w:rPr>
        <w:t>2</w:t>
      </w:r>
      <w:r w:rsidRPr="00577EC9">
        <w:t xml:space="preserve"> en el caso de todos los demás emisores alfa.</w:t>
      </w:r>
      <w:r w:rsidR="00655CB5">
        <w:t>”</w:t>
      </w:r>
      <w:bookmarkEnd w:id="1"/>
    </w:p>
    <w:p w14:paraId="1D63424D" w14:textId="77777777" w:rsidR="00577EC9" w:rsidRPr="00577EC9" w:rsidRDefault="00577EC9" w:rsidP="00742B86">
      <w:pPr>
        <w:pStyle w:val="SingleTxtG"/>
        <w:tabs>
          <w:tab w:val="left" w:pos="2835"/>
        </w:tabs>
        <w:rPr>
          <w:lang w:val="en-GB"/>
        </w:rPr>
      </w:pPr>
      <w:r w:rsidRPr="00577EC9">
        <w:t>2.7.2.3.3.5 b)</w:t>
      </w:r>
      <w:r w:rsidRPr="00577EC9">
        <w:tab/>
      </w:r>
      <w:r w:rsidRPr="00577EC9">
        <w:tab/>
        <w:t>La enmienda del texto inglés no se aplica al texto español.</w:t>
      </w:r>
    </w:p>
    <w:p w14:paraId="03F34FE1" w14:textId="77777777" w:rsidR="00577EC9" w:rsidRPr="00577EC9" w:rsidRDefault="00577EC9" w:rsidP="00742B86">
      <w:pPr>
        <w:pStyle w:val="SingleTxtG"/>
        <w:tabs>
          <w:tab w:val="left" w:pos="2835"/>
        </w:tabs>
        <w:rPr>
          <w:lang w:val="en-GB"/>
        </w:rPr>
      </w:pPr>
      <w:r w:rsidRPr="00577EC9">
        <w:t>2.7.2.3.3.5 c)</w:t>
      </w:r>
      <w:r w:rsidRPr="00577EC9">
        <w:tab/>
      </w:r>
      <w:r w:rsidRPr="00577EC9">
        <w:tab/>
        <w:t>La enmienda del texto inglés no se aplica al texto español.</w:t>
      </w:r>
    </w:p>
    <w:p w14:paraId="284C1E4A" w14:textId="77777777" w:rsidR="00577EC9" w:rsidRPr="00577EC9" w:rsidRDefault="00577EC9" w:rsidP="00742B86">
      <w:pPr>
        <w:pStyle w:val="SingleTxtG"/>
        <w:tabs>
          <w:tab w:val="left" w:pos="2835"/>
        </w:tabs>
        <w:rPr>
          <w:lang w:val="en-GB"/>
        </w:rPr>
      </w:pPr>
      <w:r w:rsidRPr="00577EC9">
        <w:t>2.7.2.3.3.7</w:t>
      </w:r>
      <w:r w:rsidRPr="00577EC9">
        <w:tab/>
      </w:r>
      <w:r w:rsidR="00D67D34">
        <w:tab/>
      </w:r>
      <w:r w:rsidRPr="00577EC9">
        <w:t xml:space="preserve">En el apartado b), sustitúyase </w:t>
      </w:r>
      <w:r w:rsidR="00655CB5">
        <w:t>“</w:t>
      </w:r>
      <w:r w:rsidRPr="00577EC9">
        <w:t>se calentará el agua con el espécimen</w:t>
      </w:r>
      <w:r w:rsidR="00655CB5">
        <w:t>”</w:t>
      </w:r>
      <w:r w:rsidRPr="00577EC9">
        <w:t xml:space="preserve"> por </w:t>
      </w:r>
      <w:r w:rsidR="00655CB5">
        <w:t>“</w:t>
      </w:r>
      <w:r w:rsidRPr="00577EC9">
        <w:t>se calen</w:t>
      </w:r>
      <w:r w:rsidR="00E64C29">
        <w:t>tarán el agua y el espécimen</w:t>
      </w:r>
      <w:r w:rsidR="00655CB5">
        <w:t>”</w:t>
      </w:r>
      <w:r w:rsidR="00E64C29">
        <w:t xml:space="preserve">. </w:t>
      </w:r>
      <w:r w:rsidRPr="00577EC9">
        <w:t xml:space="preserve">En el apartado e), sustitúyase </w:t>
      </w:r>
      <w:r w:rsidR="00655CB5">
        <w:t>“</w:t>
      </w:r>
      <w:r w:rsidRPr="00577EC9">
        <w:t>el agua con el espécimen</w:t>
      </w:r>
      <w:r w:rsidR="00655CB5">
        <w:t>”</w:t>
      </w:r>
      <w:r w:rsidRPr="00577EC9">
        <w:t xml:space="preserve"> por </w:t>
      </w:r>
      <w:r w:rsidR="00655CB5">
        <w:t>“</w:t>
      </w:r>
      <w:r w:rsidRPr="00577EC9">
        <w:t>el agua y el espécimen</w:t>
      </w:r>
      <w:r w:rsidR="00655CB5">
        <w:t>”</w:t>
      </w:r>
      <w:r w:rsidRPr="00577EC9">
        <w:t>.</w:t>
      </w:r>
    </w:p>
    <w:p w14:paraId="0B32D587" w14:textId="77777777" w:rsidR="00577EC9" w:rsidRPr="00577EC9" w:rsidRDefault="00577EC9" w:rsidP="00577EC9">
      <w:pPr>
        <w:pStyle w:val="SingleTxtG"/>
        <w:rPr>
          <w:lang w:val="en-GB"/>
        </w:rPr>
      </w:pPr>
      <w:r w:rsidRPr="00577EC9">
        <w:t>2.7.2.3.3.8 a) ii)</w:t>
      </w:r>
      <w:r w:rsidRPr="00577EC9">
        <w:tab/>
        <w:t xml:space="preserve">Sustitúyase </w:t>
      </w:r>
      <w:r w:rsidR="00655CB5">
        <w:t>“</w:t>
      </w:r>
      <w:r w:rsidRPr="00577EC9">
        <w:t>el agua con el espécimen se calentará</w:t>
      </w:r>
      <w:r w:rsidR="00655CB5">
        <w:t>”</w:t>
      </w:r>
      <w:r w:rsidRPr="00577EC9">
        <w:t xml:space="preserve"> por </w:t>
      </w:r>
      <w:r w:rsidR="00655CB5">
        <w:t>“</w:t>
      </w:r>
      <w:r w:rsidRPr="00577EC9">
        <w:t>a continuación, el agua con el espécimen se calentará</w:t>
      </w:r>
      <w:r w:rsidR="00655CB5">
        <w:t>”</w:t>
      </w:r>
      <w:r w:rsidRPr="00577EC9">
        <w:t>.</w:t>
      </w:r>
    </w:p>
    <w:p w14:paraId="38364AF3" w14:textId="77777777" w:rsidR="00577EC9" w:rsidRPr="00577EC9" w:rsidRDefault="00577EC9" w:rsidP="00742B86">
      <w:pPr>
        <w:pStyle w:val="SingleTxtG"/>
        <w:tabs>
          <w:tab w:val="left" w:pos="2835"/>
        </w:tabs>
        <w:rPr>
          <w:lang w:val="en-GB"/>
        </w:rPr>
      </w:pPr>
      <w:r w:rsidRPr="00577EC9">
        <w:t>2.7.2.3.4.1 a)</w:t>
      </w:r>
      <w:r w:rsidRPr="00577EC9">
        <w:tab/>
      </w:r>
      <w:r w:rsidRPr="00577EC9">
        <w:tab/>
        <w:t xml:space="preserve">Sustitúyase </w:t>
      </w:r>
      <w:r w:rsidR="00655CB5">
        <w:t>“</w:t>
      </w:r>
      <w:r w:rsidRPr="00577EC9">
        <w:t>nivel de radiación</w:t>
      </w:r>
      <w:r w:rsidR="00655CB5">
        <w:t>”</w:t>
      </w:r>
      <w:r w:rsidRPr="00577EC9">
        <w:t xml:space="preserve"> por </w:t>
      </w:r>
      <w:r w:rsidR="00655CB5">
        <w:t>“</w:t>
      </w:r>
      <w:r w:rsidRPr="00577EC9">
        <w:t>tasa de dosis</w:t>
      </w:r>
      <w:r w:rsidR="00655CB5">
        <w:t>”</w:t>
      </w:r>
      <w:r w:rsidRPr="00577EC9">
        <w:t>.</w:t>
      </w:r>
    </w:p>
    <w:p w14:paraId="15E61AE1" w14:textId="77777777" w:rsidR="00577EC9" w:rsidRPr="00577EC9" w:rsidRDefault="00577EC9" w:rsidP="00742B86">
      <w:pPr>
        <w:pStyle w:val="SingleTxtG"/>
        <w:tabs>
          <w:tab w:val="left" w:pos="2835"/>
        </w:tabs>
        <w:rPr>
          <w:lang w:val="en-GB"/>
        </w:rPr>
      </w:pPr>
      <w:r w:rsidRPr="00577EC9">
        <w:t>2.7.2.3.5 e)</w:t>
      </w:r>
      <w:r w:rsidRPr="00577EC9">
        <w:tab/>
      </w:r>
      <w:r w:rsidRPr="00577EC9">
        <w:tab/>
        <w:t xml:space="preserve">Sustitúyase </w:t>
      </w:r>
      <w:r w:rsidR="00655CB5">
        <w:t>“</w:t>
      </w:r>
      <w:r w:rsidRPr="00577EC9">
        <w:t>límites previstos en</w:t>
      </w:r>
      <w:r w:rsidR="00655CB5">
        <w:t>”</w:t>
      </w:r>
      <w:r w:rsidRPr="00577EC9">
        <w:t xml:space="preserve"> por </w:t>
      </w:r>
      <w:r w:rsidR="00655CB5">
        <w:t>“</w:t>
      </w:r>
      <w:r w:rsidRPr="00577EC9">
        <w:t>requisitos de</w:t>
      </w:r>
      <w:r w:rsidR="00655CB5">
        <w:t>”</w:t>
      </w:r>
      <w:r w:rsidRPr="00577EC9">
        <w:t>.</w:t>
      </w:r>
    </w:p>
    <w:p w14:paraId="37A1F1F8" w14:textId="77777777" w:rsidR="00577EC9" w:rsidRPr="00577EC9" w:rsidRDefault="00577EC9" w:rsidP="00742B86">
      <w:pPr>
        <w:pStyle w:val="SingleTxtG"/>
        <w:tabs>
          <w:tab w:val="left" w:pos="2835"/>
        </w:tabs>
        <w:rPr>
          <w:lang w:val="en-GB"/>
        </w:rPr>
      </w:pPr>
      <w:r w:rsidRPr="00577EC9">
        <w:t>2.7.2.3.6</w:t>
      </w:r>
      <w:r w:rsidRPr="00577EC9">
        <w:tab/>
      </w:r>
      <w:r w:rsidRPr="00577EC9">
        <w:tab/>
        <w:t>La enmienda del texto inglés no se aplica al texto español.</w:t>
      </w:r>
    </w:p>
    <w:p w14:paraId="5ACC94D4" w14:textId="77777777" w:rsidR="00577EC9" w:rsidRPr="00577EC9" w:rsidRDefault="00577EC9" w:rsidP="00742B86">
      <w:pPr>
        <w:pStyle w:val="SingleTxtG"/>
        <w:tabs>
          <w:tab w:val="left" w:pos="2835"/>
        </w:tabs>
        <w:rPr>
          <w:i/>
          <w:lang w:val="en-GB"/>
        </w:rPr>
      </w:pPr>
      <w:r w:rsidRPr="00577EC9">
        <w:t>2.7.2.4.1.3</w:t>
      </w:r>
      <w:r w:rsidRPr="00577EC9">
        <w:tab/>
      </w:r>
      <w:r w:rsidR="00D67D34">
        <w:tab/>
      </w:r>
      <w:r w:rsidRPr="00577EC9">
        <w:t xml:space="preserve">Al final del apartado c), suprímase </w:t>
      </w:r>
      <w:r w:rsidR="00655CB5">
        <w:t>“</w:t>
      </w:r>
      <w:r w:rsidRPr="00577EC9">
        <w:t>y</w:t>
      </w:r>
      <w:r w:rsidR="00655CB5">
        <w:t>”</w:t>
      </w:r>
      <w:r w:rsidRPr="00577EC9">
        <w:t xml:space="preserve">. Al final del apartado d), sustitúyase </w:t>
      </w:r>
      <w:r w:rsidR="00655CB5">
        <w:t>“</w:t>
      </w:r>
      <w:r w:rsidRPr="00577EC9">
        <w:t>.</w:t>
      </w:r>
      <w:r w:rsidR="00655CB5">
        <w:t>”</w:t>
      </w:r>
      <w:r w:rsidRPr="00577EC9">
        <w:t xml:space="preserve"> por </w:t>
      </w:r>
      <w:r w:rsidR="00655CB5">
        <w:t>“</w:t>
      </w:r>
      <w:r w:rsidRPr="00577EC9">
        <w:t>;</w:t>
      </w:r>
      <w:r w:rsidR="00655CB5">
        <w:t>”</w:t>
      </w:r>
      <w:r w:rsidRPr="00577EC9">
        <w:t>. Añádanse dos nuevos apartados e) y f) con el texto siguiente:</w:t>
      </w:r>
    </w:p>
    <w:p w14:paraId="75766BC5" w14:textId="77777777" w:rsidR="00577EC9" w:rsidRPr="00577EC9" w:rsidRDefault="00742B86" w:rsidP="00D67D34">
      <w:pPr>
        <w:pStyle w:val="SingleTxtG"/>
        <w:ind w:left="2268"/>
        <w:rPr>
          <w:lang w:val="en-GB"/>
        </w:rPr>
      </w:pPr>
      <w:r>
        <w:t>“</w:t>
      </w:r>
      <w:r w:rsidR="00577EC9" w:rsidRPr="00577EC9">
        <w:t>e)</w:t>
      </w:r>
      <w:r w:rsidR="00577EC9" w:rsidRPr="00577EC9">
        <w:tab/>
      </w:r>
      <w:r w:rsidR="00577EC9" w:rsidRPr="00577EC9">
        <w:rPr>
          <w:i/>
          <w:iCs/>
        </w:rPr>
        <w:t>Reservado;</w:t>
      </w:r>
    </w:p>
    <w:p w14:paraId="5B114DD7" w14:textId="77777777" w:rsidR="00577EC9" w:rsidRPr="00577EC9" w:rsidRDefault="00577EC9" w:rsidP="00D67D34">
      <w:pPr>
        <w:pStyle w:val="SingleTxtG"/>
        <w:ind w:left="2268"/>
        <w:rPr>
          <w:lang w:val="en-GB"/>
        </w:rPr>
      </w:pPr>
      <w:r w:rsidRPr="00577EC9">
        <w:t>f)</w:t>
      </w:r>
      <w:r w:rsidRPr="00577EC9">
        <w:tab/>
        <w:t>Si el bulto contiene sustancias fisionables, se aplicará una de las disposiciones de los apartados 2.7.2.3.5 a) a f).</w:t>
      </w:r>
      <w:r w:rsidR="00655CB5">
        <w:t>”</w:t>
      </w:r>
      <w:bookmarkStart w:id="2" w:name="_Hlk2262352"/>
      <w:bookmarkEnd w:id="2"/>
    </w:p>
    <w:p w14:paraId="41E412E3" w14:textId="77777777" w:rsidR="00577EC9" w:rsidRPr="00577EC9" w:rsidRDefault="00577EC9" w:rsidP="00577EC9">
      <w:pPr>
        <w:pStyle w:val="SingleTxtG"/>
        <w:rPr>
          <w:lang w:val="en-GB"/>
        </w:rPr>
      </w:pPr>
      <w:r w:rsidRPr="00577EC9">
        <w:t>2.7.2.4.1.4</w:t>
      </w:r>
      <w:r w:rsidRPr="00577EC9">
        <w:tab/>
        <w:t xml:space="preserve">Al final del apartado a), suprímase </w:t>
      </w:r>
      <w:r w:rsidR="00655CB5">
        <w:t>“</w:t>
      </w:r>
      <w:r w:rsidRPr="00577EC9">
        <w:t>y</w:t>
      </w:r>
      <w:r w:rsidR="00655CB5">
        <w:t>”</w:t>
      </w:r>
      <w:r w:rsidRPr="00577EC9">
        <w:t xml:space="preserve">. Al final del actual inciso b) ii), sustitúyase </w:t>
      </w:r>
      <w:r w:rsidR="00655CB5">
        <w:t>“</w:t>
      </w:r>
      <w:r w:rsidRPr="00577EC9">
        <w:t>.</w:t>
      </w:r>
      <w:r w:rsidR="00655CB5">
        <w:t>”</w:t>
      </w:r>
      <w:r w:rsidRPr="00577EC9">
        <w:t xml:space="preserve"> por </w:t>
      </w:r>
      <w:r w:rsidR="00655CB5">
        <w:t>“</w:t>
      </w:r>
      <w:r w:rsidRPr="00577EC9">
        <w:t>; y</w:t>
      </w:r>
      <w:r w:rsidR="00655CB5">
        <w:t>”</w:t>
      </w:r>
      <w:r w:rsidRPr="00577EC9">
        <w:t>. Añádase un nuevo apartado c):</w:t>
      </w:r>
    </w:p>
    <w:p w14:paraId="65B569E0" w14:textId="77777777" w:rsidR="00577EC9" w:rsidRPr="00577EC9" w:rsidRDefault="00655CB5" w:rsidP="00D67D34">
      <w:pPr>
        <w:pStyle w:val="SingleTxtG"/>
        <w:ind w:left="2268"/>
        <w:rPr>
          <w:lang w:val="en-GB"/>
        </w:rPr>
      </w:pPr>
      <w:r>
        <w:t>“</w:t>
      </w:r>
      <w:r w:rsidR="00577EC9" w:rsidRPr="00577EC9">
        <w:t xml:space="preserve">c) </w:t>
      </w:r>
      <w:r w:rsidR="00577EC9" w:rsidRPr="00577EC9">
        <w:tab/>
        <w:t>Si el bulto contiene sustancias fisionables, se aplicará una de las disposiciones de los apartados 2.7.2.3.5 a) a f).</w:t>
      </w:r>
      <w:r>
        <w:t>”</w:t>
      </w:r>
    </w:p>
    <w:p w14:paraId="7BABA74A" w14:textId="77777777" w:rsidR="00577EC9" w:rsidRPr="00577EC9" w:rsidRDefault="00577EC9" w:rsidP="00577EC9">
      <w:pPr>
        <w:pStyle w:val="SingleTxtG"/>
        <w:rPr>
          <w:lang w:val="en-GB"/>
        </w:rPr>
      </w:pPr>
      <w:r w:rsidRPr="00577EC9">
        <w:t>2.7.2.4.1.7</w:t>
      </w:r>
      <w:r w:rsidRPr="00577EC9">
        <w:tab/>
        <w:t>Añádase un nuevo apartado e):</w:t>
      </w:r>
    </w:p>
    <w:p w14:paraId="033DB7D3" w14:textId="77777777" w:rsidR="00577EC9" w:rsidRPr="00577EC9" w:rsidRDefault="00655CB5" w:rsidP="00D67D34">
      <w:pPr>
        <w:pStyle w:val="SingleTxtG"/>
        <w:ind w:left="2268"/>
        <w:rPr>
          <w:lang w:val="en-GB"/>
        </w:rPr>
      </w:pPr>
      <w:r>
        <w:t>“</w:t>
      </w:r>
      <w:r w:rsidR="00577EC9" w:rsidRPr="00577EC9">
        <w:t>e)</w:t>
      </w:r>
      <w:r w:rsidR="00577EC9" w:rsidRPr="00577EC9">
        <w:tab/>
        <w:t>Si el embalaje ha contenido material fisionable, se aplicará una de las disposiciones de los apartados 2.7.2.3.5 a) a f) o una de las disposiciones de exclusión de 2.7.1.3.</w:t>
      </w:r>
      <w:r>
        <w:t>”</w:t>
      </w:r>
      <w:bookmarkStart w:id="3" w:name="_Hlk2263168"/>
      <w:bookmarkEnd w:id="3"/>
    </w:p>
    <w:p w14:paraId="71C1C987" w14:textId="77777777" w:rsidR="00577EC9" w:rsidRPr="00577EC9" w:rsidRDefault="00577EC9" w:rsidP="00577EC9">
      <w:pPr>
        <w:pStyle w:val="SingleTxtG"/>
        <w:rPr>
          <w:lang w:val="en-GB"/>
        </w:rPr>
      </w:pPr>
      <w:r w:rsidRPr="00577EC9">
        <w:t xml:space="preserve">Trasladar la </w:t>
      </w:r>
      <w:r w:rsidR="00655CB5">
        <w:t>“</w:t>
      </w:r>
      <w:r w:rsidRPr="00577EC9">
        <w:t>y</w:t>
      </w:r>
      <w:r w:rsidR="00655CB5">
        <w:t>”</w:t>
      </w:r>
      <w:r w:rsidRPr="00577EC9">
        <w:t xml:space="preserve"> del final del inciso c) ii) al final del apartado d).</w:t>
      </w:r>
    </w:p>
    <w:p w14:paraId="325D42DF" w14:textId="77777777" w:rsidR="00577EC9" w:rsidRPr="00577EC9" w:rsidRDefault="00577EC9" w:rsidP="00D67D34">
      <w:pPr>
        <w:pStyle w:val="H1G"/>
        <w:rPr>
          <w:lang w:val="en-GB"/>
        </w:rPr>
      </w:pPr>
      <w:r w:rsidRPr="00577EC9">
        <w:tab/>
      </w:r>
      <w:r w:rsidRPr="00577EC9">
        <w:tab/>
        <w:t>Capítulo 2.8</w:t>
      </w:r>
    </w:p>
    <w:p w14:paraId="3EDB351C" w14:textId="77777777" w:rsidR="00577EC9" w:rsidRPr="00577EC9" w:rsidRDefault="00577EC9" w:rsidP="00742B86">
      <w:pPr>
        <w:pStyle w:val="SingleTxtG"/>
        <w:tabs>
          <w:tab w:val="left" w:pos="2268"/>
        </w:tabs>
        <w:rPr>
          <w:lang w:val="en-GB"/>
        </w:rPr>
      </w:pPr>
      <w:r w:rsidRPr="00577EC9">
        <w:t>2.8.1.1</w:t>
      </w:r>
      <w:r w:rsidRPr="00577EC9">
        <w:tab/>
      </w:r>
      <w:r w:rsidRPr="00577EC9">
        <w:tab/>
        <w:t>La enmienda al texto francés no se aplica al texto español.</w:t>
      </w:r>
    </w:p>
    <w:p w14:paraId="7A9153AD" w14:textId="77777777" w:rsidR="00577EC9" w:rsidRPr="00577EC9" w:rsidRDefault="00577EC9" w:rsidP="00742B86">
      <w:pPr>
        <w:pStyle w:val="SingleTxtG"/>
        <w:tabs>
          <w:tab w:val="left" w:pos="2268"/>
        </w:tabs>
        <w:rPr>
          <w:lang w:val="en-GB"/>
        </w:rPr>
      </w:pPr>
      <w:r w:rsidRPr="00577EC9">
        <w:lastRenderedPageBreak/>
        <w:t>2.8.3.2</w:t>
      </w:r>
      <w:r w:rsidRPr="00577EC9">
        <w:tab/>
      </w:r>
      <w:r w:rsidRPr="00577EC9">
        <w:tab/>
        <w:t xml:space="preserve">En la segunda frase, sustitúyase </w:t>
      </w:r>
      <w:r w:rsidR="00655CB5">
        <w:t>“</w:t>
      </w:r>
      <w:r w:rsidRPr="00577EC9">
        <w:t>adscripción</w:t>
      </w:r>
      <w:r w:rsidR="00655CB5">
        <w:t>”</w:t>
      </w:r>
      <w:r w:rsidRPr="00577EC9">
        <w:t xml:space="preserve"> por </w:t>
      </w:r>
      <w:r w:rsidR="00655CB5">
        <w:t>“</w:t>
      </w:r>
      <w:r w:rsidRPr="00577EC9">
        <w:t>clasificación</w:t>
      </w:r>
      <w:r w:rsidR="00655CB5">
        <w:t>”</w:t>
      </w:r>
      <w:r w:rsidRPr="00577EC9">
        <w:t xml:space="preserve"> y </w:t>
      </w:r>
      <w:r w:rsidR="00655CB5">
        <w:t>“</w:t>
      </w:r>
      <w:r w:rsidRPr="00577EC9">
        <w:t>las directrices de la OCDE para los ensayos 404</w:t>
      </w:r>
      <w:r w:rsidRPr="00577EC9">
        <w:rPr>
          <w:vertAlign w:val="superscript"/>
        </w:rPr>
        <w:t>1</w:t>
      </w:r>
      <w:r w:rsidRPr="00577EC9">
        <w:t xml:space="preserve"> o 435</w:t>
      </w:r>
      <w:r w:rsidRPr="00577EC9">
        <w:rPr>
          <w:vertAlign w:val="superscript"/>
        </w:rPr>
        <w:t>2</w:t>
      </w:r>
      <w:r w:rsidR="00655CB5">
        <w:t>”</w:t>
      </w:r>
      <w:r w:rsidRPr="00577EC9">
        <w:t xml:space="preserve"> por </w:t>
      </w:r>
      <w:r w:rsidR="00655CB5">
        <w:t>“</w:t>
      </w:r>
      <w:r w:rsidRPr="00577EC9">
        <w:t>las directrices de ensayo de la OCDE</w:t>
      </w:r>
      <w:r w:rsidRPr="00577EC9">
        <w:rPr>
          <w:vertAlign w:val="superscript"/>
        </w:rPr>
        <w:t>1</w:t>
      </w:r>
      <w:r w:rsidR="00742B86">
        <w:rPr>
          <w:vertAlign w:val="superscript"/>
        </w:rPr>
        <w:t xml:space="preserve"> </w:t>
      </w:r>
      <w:r w:rsidRPr="00577EC9">
        <w:rPr>
          <w:vertAlign w:val="superscript"/>
        </w:rPr>
        <w:t>2</w:t>
      </w:r>
      <w:r w:rsidR="00742B86">
        <w:rPr>
          <w:vertAlign w:val="superscript"/>
        </w:rPr>
        <w:t xml:space="preserve"> </w:t>
      </w:r>
      <w:r w:rsidRPr="00577EC9">
        <w:rPr>
          <w:vertAlign w:val="superscript"/>
        </w:rPr>
        <w:t>3</w:t>
      </w:r>
      <w:r w:rsidR="00742B86">
        <w:rPr>
          <w:vertAlign w:val="superscript"/>
        </w:rPr>
        <w:t xml:space="preserve"> </w:t>
      </w:r>
      <w:r w:rsidRPr="00577EC9">
        <w:rPr>
          <w:vertAlign w:val="superscript"/>
        </w:rPr>
        <w:t>4</w:t>
      </w:r>
      <w:r w:rsidR="00655CB5">
        <w:t>”</w:t>
      </w:r>
      <w:r w:rsidRPr="00577EC9">
        <w:t>.</w:t>
      </w:r>
    </w:p>
    <w:p w14:paraId="34441241" w14:textId="77777777" w:rsidR="00577EC9" w:rsidRPr="00577EC9" w:rsidRDefault="00577EC9" w:rsidP="00577EC9">
      <w:pPr>
        <w:pStyle w:val="SingleTxtG"/>
        <w:rPr>
          <w:lang w:val="en-GB"/>
        </w:rPr>
      </w:pPr>
      <w:r w:rsidRPr="00577EC9">
        <w:t xml:space="preserve">En la tercera frase, sustitúyase </w:t>
      </w:r>
      <w:r w:rsidR="00655CB5">
        <w:t>“</w:t>
      </w:r>
      <w:r w:rsidRPr="00577EC9">
        <w:t>las directrices de la OCDE para los ensayos 430</w:t>
      </w:r>
      <w:r w:rsidRPr="00577EC9">
        <w:rPr>
          <w:vertAlign w:val="superscript"/>
        </w:rPr>
        <w:t>3</w:t>
      </w:r>
      <w:r w:rsidRPr="00577EC9">
        <w:t xml:space="preserve"> o 431</w:t>
      </w:r>
      <w:r w:rsidRPr="00577EC9">
        <w:rPr>
          <w:vertAlign w:val="superscript"/>
        </w:rPr>
        <w:t>4</w:t>
      </w:r>
      <w:r w:rsidR="00655CB5">
        <w:t>”</w:t>
      </w:r>
      <w:r w:rsidRPr="00577EC9">
        <w:t xml:space="preserve"> por </w:t>
      </w:r>
      <w:r w:rsidR="00655CB5">
        <w:t>“</w:t>
      </w:r>
      <w:r w:rsidRPr="00577EC9">
        <w:t>las directrices de ensayo de la OCDE</w:t>
      </w:r>
      <w:r w:rsidRPr="00577EC9">
        <w:rPr>
          <w:vertAlign w:val="superscript"/>
        </w:rPr>
        <w:t>1,2,3,4</w:t>
      </w:r>
      <w:r w:rsidR="00655CB5">
        <w:t>”</w:t>
      </w:r>
      <w:r w:rsidRPr="00577EC9">
        <w:t>.</w:t>
      </w:r>
    </w:p>
    <w:p w14:paraId="327D0B93" w14:textId="77777777" w:rsidR="00577EC9" w:rsidRPr="00577EC9" w:rsidRDefault="00577EC9" w:rsidP="00577EC9">
      <w:pPr>
        <w:pStyle w:val="SingleTxtG"/>
        <w:rPr>
          <w:lang w:val="en-GB"/>
        </w:rPr>
      </w:pPr>
      <w:r w:rsidRPr="00577EC9">
        <w:t xml:space="preserve">Suprímase la nota de </w:t>
      </w:r>
      <w:r w:rsidR="005E3266">
        <w:t>pie de página 4 y renumérese la</w:t>
      </w:r>
      <w:r w:rsidRPr="00577EC9">
        <w:t xml:space="preserve"> actual nota 3 como nota 4. En la nota renumerada, insértese </w:t>
      </w:r>
      <w:r w:rsidR="00655CB5" w:rsidRPr="00564673">
        <w:rPr>
          <w:i/>
        </w:rPr>
        <w:t>“</w:t>
      </w:r>
      <w:r w:rsidRPr="00564673">
        <w:rPr>
          <w:i/>
          <w:iCs/>
        </w:rPr>
        <w:t>Method</w:t>
      </w:r>
      <w:r w:rsidR="00655CB5" w:rsidRPr="00564673">
        <w:rPr>
          <w:i/>
        </w:rPr>
        <w:t>”</w:t>
      </w:r>
      <w:r w:rsidRPr="00577EC9">
        <w:t xml:space="preserve"> entre </w:t>
      </w:r>
      <w:r w:rsidR="00655CB5" w:rsidRPr="00564673">
        <w:rPr>
          <w:i/>
        </w:rPr>
        <w:t>“</w:t>
      </w:r>
      <w:r w:rsidRPr="00564673">
        <w:rPr>
          <w:i/>
          <w:iCs/>
        </w:rPr>
        <w:t>Test</w:t>
      </w:r>
      <w:r w:rsidR="00655CB5" w:rsidRPr="00564673">
        <w:rPr>
          <w:i/>
        </w:rPr>
        <w:t>”</w:t>
      </w:r>
      <w:r w:rsidRPr="00577EC9">
        <w:t xml:space="preserve"> y </w:t>
      </w:r>
      <w:r w:rsidR="00655CB5" w:rsidRPr="00564673">
        <w:rPr>
          <w:i/>
        </w:rPr>
        <w:t>“</w:t>
      </w:r>
      <w:r w:rsidRPr="00564673">
        <w:rPr>
          <w:i/>
          <w:iCs/>
        </w:rPr>
        <w:t>(TER)</w:t>
      </w:r>
      <w:r w:rsidR="00655CB5" w:rsidRPr="00564673">
        <w:rPr>
          <w:i/>
        </w:rPr>
        <w:t>”</w:t>
      </w:r>
      <w:r w:rsidRPr="00577EC9">
        <w:t xml:space="preserve">. Insértese la nueva nota 3 siguiente: </w:t>
      </w:r>
      <w:r w:rsidR="00655CB5">
        <w:t>“</w:t>
      </w:r>
      <w:r w:rsidRPr="00577EC9">
        <w:t xml:space="preserve">3 </w:t>
      </w:r>
      <w:r w:rsidRPr="00577EC9">
        <w:rPr>
          <w:i/>
          <w:iCs/>
        </w:rPr>
        <w:t xml:space="preserve">Directriz de la OCDE para los ensayos de productos químicos núm. 431 </w:t>
      </w:r>
      <w:r w:rsidR="00742B86">
        <w:rPr>
          <w:i/>
          <w:iCs/>
        </w:rPr>
        <w:t>‘</w:t>
      </w:r>
      <w:r w:rsidRPr="00577EC9">
        <w:rPr>
          <w:i/>
          <w:iCs/>
        </w:rPr>
        <w:t>In Vitro Skin Corrosion: reconstructed human epidermis (RHE) test method</w:t>
      </w:r>
      <w:r w:rsidR="00742B86">
        <w:rPr>
          <w:i/>
          <w:iCs/>
        </w:rPr>
        <w:t>’</w:t>
      </w:r>
      <w:r w:rsidRPr="00577EC9">
        <w:rPr>
          <w:i/>
          <w:iCs/>
        </w:rPr>
        <w:t xml:space="preserve"> 2016</w:t>
      </w:r>
      <w:r w:rsidR="00655CB5">
        <w:t>”</w:t>
      </w:r>
      <w:r w:rsidRPr="00577EC9">
        <w:t>.</w:t>
      </w:r>
    </w:p>
    <w:p w14:paraId="0231D694" w14:textId="77777777" w:rsidR="00577EC9" w:rsidRPr="00577EC9" w:rsidRDefault="00577EC9" w:rsidP="005E3266">
      <w:pPr>
        <w:pStyle w:val="SingleTxtG"/>
        <w:rPr>
          <w:lang w:val="en-GB"/>
        </w:rPr>
      </w:pPr>
      <w:r w:rsidRPr="00577EC9">
        <w:t xml:space="preserve">Al final del párrafo, añádase la siguiente frase nueva: </w:t>
      </w:r>
      <w:r w:rsidR="00655CB5">
        <w:t>“</w:t>
      </w:r>
      <w:r w:rsidRPr="00577EC9">
        <w:t xml:space="preserve">Si los resultados de los ensayos </w:t>
      </w:r>
      <w:r w:rsidR="00742B86">
        <w:rPr>
          <w:i/>
          <w:iCs/>
        </w:rPr>
        <w:t>in </w:t>
      </w:r>
      <w:r w:rsidRPr="00577EC9">
        <w:rPr>
          <w:i/>
          <w:iCs/>
        </w:rPr>
        <w:t xml:space="preserve">vitro </w:t>
      </w:r>
      <w:r w:rsidRPr="00577EC9">
        <w:t>indican que la sustancia o mezcla es corrosiva y no está clasificada en el grupo de embalaje I, pero el método de ensayo no permite discriminar</w:t>
      </w:r>
      <w:r w:rsidR="00742B86">
        <w:t xml:space="preserve"> entre los grupos de embalaje </w:t>
      </w:r>
      <w:r w:rsidRPr="00577EC9">
        <w:t>II y III, se considerará que pertenece al grupo de embalaje II.</w:t>
      </w:r>
      <w:r w:rsidR="00655CB5">
        <w:t>”</w:t>
      </w:r>
      <w:bookmarkStart w:id="4" w:name="_Hlk2321753"/>
      <w:bookmarkEnd w:id="4"/>
      <w:r w:rsidR="00742B86">
        <w:t>.</w:t>
      </w:r>
    </w:p>
    <w:p w14:paraId="4D01ACE1" w14:textId="77777777" w:rsidR="00577EC9" w:rsidRPr="00577EC9" w:rsidRDefault="00577EC9" w:rsidP="005E3266">
      <w:pPr>
        <w:pStyle w:val="H1G"/>
        <w:rPr>
          <w:lang w:val="en-GB"/>
        </w:rPr>
      </w:pPr>
      <w:r w:rsidRPr="00577EC9">
        <w:tab/>
      </w:r>
      <w:r w:rsidRPr="00577EC9">
        <w:tab/>
        <w:t>Capítulo 2.9</w:t>
      </w:r>
    </w:p>
    <w:p w14:paraId="545207A9" w14:textId="77777777" w:rsidR="00577EC9" w:rsidRPr="00577EC9" w:rsidRDefault="00577EC9" w:rsidP="00577EC9">
      <w:pPr>
        <w:pStyle w:val="SingleTxtG"/>
        <w:rPr>
          <w:lang w:val="en-GB"/>
        </w:rPr>
      </w:pPr>
      <w:r w:rsidRPr="00577EC9">
        <w:t>2.9.2</w:t>
      </w:r>
      <w:r w:rsidRPr="00577EC9">
        <w:tab/>
        <w:t xml:space="preserve">En el epígrafe </w:t>
      </w:r>
      <w:r w:rsidR="00655CB5">
        <w:t>“</w:t>
      </w:r>
      <w:r w:rsidRPr="00577EC9">
        <w:t>Otras sustancias u objetos que presenten un peligro durante el transporte...</w:t>
      </w:r>
      <w:r w:rsidR="00655CB5">
        <w:t>”</w:t>
      </w:r>
      <w:r w:rsidRPr="00577EC9">
        <w:t xml:space="preserve">, después de </w:t>
      </w:r>
      <w:r w:rsidR="00655CB5">
        <w:t>“</w:t>
      </w:r>
      <w:r w:rsidRPr="00577EC9">
        <w:t>3359 UNIDAD DE TRANSPORTE DE MERCANCÍAS SOMETIDA A FUMIGACIÓN</w:t>
      </w:r>
      <w:r w:rsidR="00655CB5">
        <w:t>”</w:t>
      </w:r>
      <w:r w:rsidRPr="00577EC9">
        <w:t xml:space="preserve">, añádase </w:t>
      </w:r>
      <w:r w:rsidR="00655CB5">
        <w:t>“</w:t>
      </w:r>
      <w:r w:rsidRPr="00577EC9">
        <w:t>3363 MERCANCÍAS PELIGROSAS EN ARTÍCULOS o</w:t>
      </w:r>
      <w:r w:rsidR="00655CB5">
        <w:t>”</w:t>
      </w:r>
      <w:bookmarkStart w:id="5" w:name="_Hlk2321978"/>
      <w:bookmarkEnd w:id="5"/>
      <w:r w:rsidR="00F5164B">
        <w:t>.</w:t>
      </w:r>
    </w:p>
    <w:p w14:paraId="69FCB9A8" w14:textId="77777777" w:rsidR="00577EC9" w:rsidRPr="00577EC9" w:rsidRDefault="00577EC9" w:rsidP="00577EC9">
      <w:pPr>
        <w:pStyle w:val="SingleTxtG"/>
        <w:rPr>
          <w:lang w:val="en-GB"/>
        </w:rPr>
      </w:pPr>
      <w:r w:rsidRPr="00577EC9">
        <w:t>2.9.4 g)</w:t>
      </w:r>
      <w:r w:rsidRPr="00577EC9">
        <w:tab/>
        <w:t xml:space="preserve">Después de </w:t>
      </w:r>
      <w:r w:rsidR="00655CB5">
        <w:t>“</w:t>
      </w:r>
      <w:r w:rsidRPr="00577EC9">
        <w:t>Fabricantes y distribuidores de pilas o baterías</w:t>
      </w:r>
      <w:r w:rsidR="00655CB5">
        <w:t>”</w:t>
      </w:r>
      <w:r w:rsidRPr="00577EC9">
        <w:t xml:space="preserve">, añádase </w:t>
      </w:r>
      <w:r w:rsidR="00655CB5">
        <w:t>“</w:t>
      </w:r>
      <w:r w:rsidRPr="00577EC9">
        <w:t>fabricadas después del 30 de junio de 2003</w:t>
      </w:r>
      <w:r w:rsidR="00655CB5">
        <w:t>”</w:t>
      </w:r>
      <w:r w:rsidRPr="00577EC9">
        <w:t>.</w:t>
      </w:r>
    </w:p>
    <w:p w14:paraId="1F6B4504" w14:textId="77777777" w:rsidR="00577EC9" w:rsidRPr="00577EC9" w:rsidRDefault="00577EC9" w:rsidP="00D67D34">
      <w:pPr>
        <w:pStyle w:val="H1G"/>
        <w:rPr>
          <w:lang w:val="en-GB"/>
        </w:rPr>
      </w:pPr>
      <w:r w:rsidRPr="00577EC9">
        <w:tab/>
      </w:r>
      <w:r w:rsidRPr="00577EC9">
        <w:tab/>
        <w:t>Capítulo 3.2, lista de mercancías peligrosas</w:t>
      </w:r>
    </w:p>
    <w:p w14:paraId="71435BE7" w14:textId="77777777" w:rsidR="00577EC9" w:rsidRDefault="00577EC9" w:rsidP="00577EC9">
      <w:pPr>
        <w:pStyle w:val="SingleTxtG"/>
      </w:pPr>
      <w:r w:rsidRPr="00577EC9">
        <w:t>Añádanse, en el orden adecuado, las siguientes entradas:</w:t>
      </w:r>
    </w:p>
    <w:tbl>
      <w:tblPr>
        <w:tblW w:w="4439"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3558"/>
        <w:gridCol w:w="708"/>
        <w:gridCol w:w="284"/>
        <w:gridCol w:w="284"/>
        <w:gridCol w:w="568"/>
        <w:gridCol w:w="284"/>
        <w:gridCol w:w="426"/>
        <w:gridCol w:w="908"/>
        <w:gridCol w:w="325"/>
        <w:gridCol w:w="356"/>
        <w:gridCol w:w="309"/>
      </w:tblGrid>
      <w:tr w:rsidR="00577EC9" w:rsidRPr="00C54F00" w14:paraId="535888DB" w14:textId="77777777" w:rsidTr="00371851">
        <w:trPr>
          <w:trHeight w:hRule="exact" w:val="370"/>
        </w:trPr>
        <w:tc>
          <w:tcPr>
            <w:tcW w:w="315" w:type="pct"/>
          </w:tcPr>
          <w:p w14:paraId="4029A8A0" w14:textId="77777777" w:rsidR="00577EC9" w:rsidRPr="001F0283" w:rsidRDefault="00577EC9" w:rsidP="00371851">
            <w:pPr>
              <w:spacing w:before="40" w:after="120" w:line="276" w:lineRule="auto"/>
              <w:jc w:val="center"/>
              <w:rPr>
                <w:bCs/>
                <w:sz w:val="18"/>
                <w:szCs w:val="18"/>
              </w:rPr>
            </w:pPr>
            <w:r w:rsidRPr="001F0283">
              <w:rPr>
                <w:sz w:val="18"/>
                <w:szCs w:val="18"/>
              </w:rPr>
              <w:t>(1)</w:t>
            </w:r>
          </w:p>
        </w:tc>
        <w:tc>
          <w:tcPr>
            <w:tcW w:w="2082" w:type="pct"/>
          </w:tcPr>
          <w:p w14:paraId="1936D7C5" w14:textId="77777777" w:rsidR="00577EC9" w:rsidRPr="001F0283" w:rsidRDefault="00577EC9" w:rsidP="00371851">
            <w:pPr>
              <w:spacing w:before="40" w:after="120" w:line="276" w:lineRule="auto"/>
              <w:jc w:val="center"/>
              <w:rPr>
                <w:bCs/>
                <w:sz w:val="18"/>
                <w:szCs w:val="18"/>
              </w:rPr>
            </w:pPr>
            <w:r w:rsidRPr="001F0283">
              <w:rPr>
                <w:sz w:val="18"/>
                <w:szCs w:val="18"/>
              </w:rPr>
              <w:t>(2)</w:t>
            </w:r>
          </w:p>
        </w:tc>
        <w:tc>
          <w:tcPr>
            <w:tcW w:w="414" w:type="pct"/>
          </w:tcPr>
          <w:p w14:paraId="68006BA4" w14:textId="77777777" w:rsidR="00577EC9" w:rsidRPr="001F0283" w:rsidRDefault="00577EC9" w:rsidP="00371851">
            <w:pPr>
              <w:spacing w:before="40" w:after="120" w:line="276" w:lineRule="auto"/>
              <w:jc w:val="center"/>
              <w:rPr>
                <w:bCs/>
                <w:sz w:val="18"/>
                <w:szCs w:val="18"/>
              </w:rPr>
            </w:pPr>
            <w:r w:rsidRPr="001F0283">
              <w:rPr>
                <w:sz w:val="18"/>
                <w:szCs w:val="18"/>
              </w:rPr>
              <w:t>(3)</w:t>
            </w:r>
          </w:p>
        </w:tc>
        <w:tc>
          <w:tcPr>
            <w:tcW w:w="166" w:type="pct"/>
          </w:tcPr>
          <w:p w14:paraId="732E72ED" w14:textId="77777777" w:rsidR="00577EC9" w:rsidRPr="001F0283" w:rsidRDefault="00577EC9" w:rsidP="00371851">
            <w:pPr>
              <w:spacing w:before="40" w:after="120" w:line="276" w:lineRule="auto"/>
              <w:jc w:val="center"/>
              <w:rPr>
                <w:bCs/>
                <w:sz w:val="18"/>
                <w:szCs w:val="18"/>
              </w:rPr>
            </w:pPr>
            <w:r w:rsidRPr="001F0283">
              <w:rPr>
                <w:sz w:val="18"/>
                <w:szCs w:val="18"/>
              </w:rPr>
              <w:t>(4)</w:t>
            </w:r>
          </w:p>
        </w:tc>
        <w:tc>
          <w:tcPr>
            <w:tcW w:w="166" w:type="pct"/>
          </w:tcPr>
          <w:p w14:paraId="57FBF411" w14:textId="77777777" w:rsidR="00577EC9" w:rsidRPr="001F0283" w:rsidRDefault="00577EC9" w:rsidP="00371851">
            <w:pPr>
              <w:spacing w:before="40" w:after="120" w:line="276" w:lineRule="auto"/>
              <w:jc w:val="center"/>
              <w:rPr>
                <w:bCs/>
                <w:sz w:val="18"/>
                <w:szCs w:val="18"/>
              </w:rPr>
            </w:pPr>
            <w:r w:rsidRPr="001F0283">
              <w:rPr>
                <w:sz w:val="18"/>
                <w:szCs w:val="18"/>
              </w:rPr>
              <w:t>(5)</w:t>
            </w:r>
          </w:p>
        </w:tc>
        <w:tc>
          <w:tcPr>
            <w:tcW w:w="332" w:type="pct"/>
          </w:tcPr>
          <w:p w14:paraId="77CF27AF" w14:textId="77777777" w:rsidR="00577EC9" w:rsidRPr="001F0283" w:rsidRDefault="00577EC9" w:rsidP="00371851">
            <w:pPr>
              <w:spacing w:before="40" w:after="120" w:line="276" w:lineRule="auto"/>
              <w:jc w:val="center"/>
              <w:rPr>
                <w:bCs/>
                <w:sz w:val="18"/>
                <w:szCs w:val="18"/>
              </w:rPr>
            </w:pPr>
            <w:r w:rsidRPr="001F0283">
              <w:rPr>
                <w:sz w:val="18"/>
                <w:szCs w:val="18"/>
              </w:rPr>
              <w:t>(6)</w:t>
            </w:r>
          </w:p>
        </w:tc>
        <w:tc>
          <w:tcPr>
            <w:tcW w:w="166" w:type="pct"/>
          </w:tcPr>
          <w:p w14:paraId="613259E9" w14:textId="77777777" w:rsidR="00577EC9" w:rsidRPr="001F0283" w:rsidRDefault="00577EC9" w:rsidP="00371851">
            <w:pPr>
              <w:spacing w:before="40" w:after="120" w:line="276" w:lineRule="auto"/>
              <w:jc w:val="center"/>
              <w:rPr>
                <w:bCs/>
                <w:sz w:val="18"/>
                <w:szCs w:val="18"/>
              </w:rPr>
            </w:pPr>
            <w:r w:rsidRPr="001F0283">
              <w:rPr>
                <w:sz w:val="18"/>
                <w:szCs w:val="18"/>
              </w:rPr>
              <w:t>(7a)</w:t>
            </w:r>
          </w:p>
        </w:tc>
        <w:tc>
          <w:tcPr>
            <w:tcW w:w="249" w:type="pct"/>
          </w:tcPr>
          <w:p w14:paraId="63B02ADD" w14:textId="77777777" w:rsidR="00577EC9" w:rsidRPr="001F0283" w:rsidRDefault="00577EC9" w:rsidP="00371851">
            <w:pPr>
              <w:spacing w:before="40" w:after="120" w:line="276" w:lineRule="auto"/>
              <w:jc w:val="center"/>
              <w:rPr>
                <w:bCs/>
                <w:sz w:val="18"/>
                <w:szCs w:val="18"/>
              </w:rPr>
            </w:pPr>
            <w:r w:rsidRPr="001F0283">
              <w:rPr>
                <w:sz w:val="18"/>
                <w:szCs w:val="18"/>
              </w:rPr>
              <w:t>(7b)</w:t>
            </w:r>
          </w:p>
        </w:tc>
        <w:tc>
          <w:tcPr>
            <w:tcW w:w="531" w:type="pct"/>
          </w:tcPr>
          <w:p w14:paraId="78695DB6" w14:textId="77777777" w:rsidR="00577EC9" w:rsidRPr="001F0283" w:rsidRDefault="00577EC9" w:rsidP="00371851">
            <w:pPr>
              <w:spacing w:before="40" w:after="120" w:line="276" w:lineRule="auto"/>
              <w:jc w:val="center"/>
              <w:rPr>
                <w:bCs/>
                <w:sz w:val="18"/>
                <w:szCs w:val="18"/>
              </w:rPr>
            </w:pPr>
            <w:r w:rsidRPr="001F0283">
              <w:rPr>
                <w:sz w:val="18"/>
                <w:szCs w:val="18"/>
              </w:rPr>
              <w:t>(8)</w:t>
            </w:r>
          </w:p>
        </w:tc>
        <w:tc>
          <w:tcPr>
            <w:tcW w:w="190" w:type="pct"/>
          </w:tcPr>
          <w:p w14:paraId="7D3D11DD" w14:textId="77777777" w:rsidR="00577EC9" w:rsidRPr="001F0283" w:rsidRDefault="00577EC9" w:rsidP="00371851">
            <w:pPr>
              <w:spacing w:before="40" w:after="120" w:line="276" w:lineRule="auto"/>
              <w:jc w:val="center"/>
              <w:rPr>
                <w:bCs/>
                <w:sz w:val="18"/>
                <w:szCs w:val="18"/>
              </w:rPr>
            </w:pPr>
            <w:r w:rsidRPr="001F0283">
              <w:rPr>
                <w:sz w:val="18"/>
                <w:szCs w:val="18"/>
              </w:rPr>
              <w:t>(9)</w:t>
            </w:r>
          </w:p>
        </w:tc>
        <w:tc>
          <w:tcPr>
            <w:tcW w:w="208" w:type="pct"/>
          </w:tcPr>
          <w:p w14:paraId="2AE34A24" w14:textId="77777777" w:rsidR="00577EC9" w:rsidRPr="001F0283" w:rsidRDefault="00577EC9" w:rsidP="00371851">
            <w:pPr>
              <w:spacing w:before="40" w:after="120" w:line="276" w:lineRule="auto"/>
              <w:jc w:val="center"/>
              <w:rPr>
                <w:bCs/>
                <w:sz w:val="18"/>
                <w:szCs w:val="18"/>
              </w:rPr>
            </w:pPr>
            <w:r w:rsidRPr="001F0283">
              <w:rPr>
                <w:sz w:val="18"/>
                <w:szCs w:val="18"/>
              </w:rPr>
              <w:t>10)</w:t>
            </w:r>
          </w:p>
        </w:tc>
        <w:tc>
          <w:tcPr>
            <w:tcW w:w="181" w:type="pct"/>
          </w:tcPr>
          <w:p w14:paraId="6CA00E7B" w14:textId="77777777" w:rsidR="00577EC9" w:rsidRPr="001F0283" w:rsidRDefault="00577EC9" w:rsidP="00371851">
            <w:pPr>
              <w:spacing w:before="40" w:after="120" w:line="276" w:lineRule="auto"/>
              <w:jc w:val="center"/>
              <w:rPr>
                <w:bCs/>
                <w:iCs/>
                <w:sz w:val="18"/>
                <w:szCs w:val="18"/>
              </w:rPr>
            </w:pPr>
            <w:r w:rsidRPr="001F0283">
              <w:rPr>
                <w:sz w:val="18"/>
                <w:szCs w:val="18"/>
              </w:rPr>
              <w:t>(11)</w:t>
            </w:r>
          </w:p>
        </w:tc>
      </w:tr>
      <w:tr w:rsidR="00577EC9" w:rsidRPr="00C54F00" w14:paraId="6AC11B57" w14:textId="77777777" w:rsidTr="00371851">
        <w:trPr>
          <w:trHeight w:hRule="exact" w:val="775"/>
        </w:trPr>
        <w:tc>
          <w:tcPr>
            <w:tcW w:w="315" w:type="pct"/>
          </w:tcPr>
          <w:p w14:paraId="06872349" w14:textId="77777777" w:rsidR="00577EC9" w:rsidRPr="001F0283" w:rsidRDefault="00577EC9" w:rsidP="00371851">
            <w:pPr>
              <w:spacing w:before="40" w:after="120" w:line="276" w:lineRule="auto"/>
              <w:jc w:val="center"/>
              <w:rPr>
                <w:bCs/>
                <w:sz w:val="18"/>
                <w:szCs w:val="18"/>
              </w:rPr>
            </w:pPr>
            <w:r w:rsidRPr="001F0283">
              <w:rPr>
                <w:sz w:val="18"/>
                <w:szCs w:val="18"/>
              </w:rPr>
              <w:t>0511</w:t>
            </w:r>
          </w:p>
        </w:tc>
        <w:tc>
          <w:tcPr>
            <w:tcW w:w="2082" w:type="pct"/>
          </w:tcPr>
          <w:p w14:paraId="09616650" w14:textId="77777777" w:rsidR="00577EC9" w:rsidRPr="001F0283" w:rsidRDefault="00577EC9" w:rsidP="00371851">
            <w:pPr>
              <w:pStyle w:val="TableParagraph"/>
              <w:spacing w:before="6"/>
              <w:ind w:left="6" w:right="6"/>
              <w:jc w:val="left"/>
              <w:rPr>
                <w:b/>
                <w:sz w:val="18"/>
                <w:szCs w:val="18"/>
              </w:rPr>
            </w:pPr>
            <w:r w:rsidRPr="001F0283">
              <w:rPr>
                <w:sz w:val="18"/>
                <w:szCs w:val="18"/>
                <w:lang w:val="es-ES"/>
              </w:rPr>
              <w:t>DETONADORES, ELECTRÓNICOS programables para voladuras†</w:t>
            </w:r>
          </w:p>
        </w:tc>
        <w:tc>
          <w:tcPr>
            <w:tcW w:w="414" w:type="pct"/>
          </w:tcPr>
          <w:p w14:paraId="789EC6C7" w14:textId="77777777" w:rsidR="00577EC9" w:rsidRPr="001F0283" w:rsidRDefault="00577EC9" w:rsidP="00371851">
            <w:pPr>
              <w:pStyle w:val="TableParagraph"/>
              <w:spacing w:before="6"/>
              <w:ind w:left="127" w:right="126"/>
              <w:rPr>
                <w:b/>
                <w:sz w:val="18"/>
                <w:szCs w:val="18"/>
              </w:rPr>
            </w:pPr>
            <w:r w:rsidRPr="001F0283">
              <w:rPr>
                <w:sz w:val="18"/>
                <w:szCs w:val="18"/>
                <w:lang w:val="es-ES"/>
              </w:rPr>
              <w:t>1.1B</w:t>
            </w:r>
          </w:p>
        </w:tc>
        <w:tc>
          <w:tcPr>
            <w:tcW w:w="166" w:type="pct"/>
          </w:tcPr>
          <w:p w14:paraId="7E3CB793" w14:textId="77777777" w:rsidR="00577EC9" w:rsidRPr="001F0283" w:rsidRDefault="00577EC9" w:rsidP="00371851">
            <w:pPr>
              <w:pStyle w:val="TableParagraph"/>
              <w:spacing w:before="6"/>
              <w:ind w:left="107" w:right="107"/>
              <w:rPr>
                <w:b/>
                <w:sz w:val="18"/>
                <w:szCs w:val="18"/>
                <w:lang w:val="en-GB"/>
              </w:rPr>
            </w:pPr>
          </w:p>
        </w:tc>
        <w:tc>
          <w:tcPr>
            <w:tcW w:w="166" w:type="pct"/>
          </w:tcPr>
          <w:p w14:paraId="7A5B8932" w14:textId="77777777" w:rsidR="00577EC9" w:rsidRPr="001F0283" w:rsidRDefault="00577EC9" w:rsidP="00371851">
            <w:pPr>
              <w:pStyle w:val="TableParagraph"/>
              <w:spacing w:before="6"/>
              <w:ind w:left="67" w:right="67"/>
              <w:rPr>
                <w:b/>
                <w:sz w:val="18"/>
                <w:szCs w:val="18"/>
                <w:lang w:val="en-GB"/>
              </w:rPr>
            </w:pPr>
          </w:p>
        </w:tc>
        <w:tc>
          <w:tcPr>
            <w:tcW w:w="332" w:type="pct"/>
          </w:tcPr>
          <w:p w14:paraId="24AB3AAD" w14:textId="77777777" w:rsidR="00577EC9" w:rsidRPr="001F0283" w:rsidRDefault="00577EC9" w:rsidP="00371851">
            <w:pPr>
              <w:pStyle w:val="TableParagraph"/>
              <w:spacing w:before="6"/>
              <w:ind w:left="106" w:right="102"/>
              <w:rPr>
                <w:b/>
                <w:sz w:val="18"/>
                <w:szCs w:val="18"/>
                <w:lang w:val="en-GB"/>
              </w:rPr>
            </w:pPr>
          </w:p>
        </w:tc>
        <w:tc>
          <w:tcPr>
            <w:tcW w:w="166" w:type="pct"/>
          </w:tcPr>
          <w:p w14:paraId="57F6CDE5" w14:textId="77777777" w:rsidR="00577EC9" w:rsidRPr="001F0283" w:rsidRDefault="00577EC9" w:rsidP="00371851">
            <w:pPr>
              <w:pStyle w:val="TableParagraph"/>
              <w:spacing w:before="6"/>
              <w:ind w:left="-15" w:right="16"/>
              <w:rPr>
                <w:b/>
                <w:sz w:val="18"/>
                <w:szCs w:val="18"/>
              </w:rPr>
            </w:pPr>
            <w:r w:rsidRPr="001F0283">
              <w:rPr>
                <w:sz w:val="18"/>
                <w:szCs w:val="18"/>
                <w:lang w:val="es-ES"/>
              </w:rPr>
              <w:t>0</w:t>
            </w:r>
          </w:p>
        </w:tc>
        <w:tc>
          <w:tcPr>
            <w:tcW w:w="249" w:type="pct"/>
          </w:tcPr>
          <w:p w14:paraId="3245BC3C" w14:textId="77777777" w:rsidR="00577EC9" w:rsidRPr="001F0283" w:rsidRDefault="00577EC9" w:rsidP="00371851">
            <w:pPr>
              <w:pStyle w:val="TableParagraph"/>
              <w:spacing w:before="6"/>
              <w:rPr>
                <w:b/>
                <w:sz w:val="18"/>
                <w:szCs w:val="18"/>
              </w:rPr>
            </w:pPr>
            <w:r w:rsidRPr="001F0283">
              <w:rPr>
                <w:sz w:val="18"/>
                <w:szCs w:val="18"/>
                <w:lang w:val="es-ES"/>
              </w:rPr>
              <w:t>E0</w:t>
            </w:r>
          </w:p>
        </w:tc>
        <w:tc>
          <w:tcPr>
            <w:tcW w:w="531" w:type="pct"/>
          </w:tcPr>
          <w:p w14:paraId="38530ECE" w14:textId="77777777" w:rsidR="00577EC9" w:rsidRPr="001F0283" w:rsidRDefault="00577EC9" w:rsidP="00371851">
            <w:pPr>
              <w:pStyle w:val="TableParagraph"/>
              <w:spacing w:before="6"/>
              <w:ind w:left="141" w:right="141"/>
              <w:rPr>
                <w:b/>
                <w:sz w:val="18"/>
                <w:szCs w:val="18"/>
              </w:rPr>
            </w:pPr>
            <w:r w:rsidRPr="001F0283">
              <w:rPr>
                <w:sz w:val="18"/>
                <w:szCs w:val="18"/>
                <w:lang w:val="es-ES"/>
              </w:rPr>
              <w:t>P131</w:t>
            </w:r>
          </w:p>
        </w:tc>
        <w:tc>
          <w:tcPr>
            <w:tcW w:w="190" w:type="pct"/>
          </w:tcPr>
          <w:p w14:paraId="656BD9D6" w14:textId="77777777" w:rsidR="00577EC9" w:rsidRPr="001F0283" w:rsidRDefault="00577EC9" w:rsidP="00371851">
            <w:pPr>
              <w:pStyle w:val="TableParagraph"/>
              <w:spacing w:before="6"/>
              <w:ind w:right="226"/>
              <w:jc w:val="right"/>
              <w:rPr>
                <w:b/>
                <w:sz w:val="18"/>
                <w:szCs w:val="18"/>
                <w:u w:val="single"/>
                <w:lang w:val="en-GB"/>
              </w:rPr>
            </w:pPr>
          </w:p>
        </w:tc>
        <w:tc>
          <w:tcPr>
            <w:tcW w:w="208" w:type="pct"/>
          </w:tcPr>
          <w:p w14:paraId="7590E13F" w14:textId="77777777" w:rsidR="00577EC9" w:rsidRPr="001F0283" w:rsidRDefault="00577EC9" w:rsidP="00371851">
            <w:pPr>
              <w:pStyle w:val="TableParagraph"/>
              <w:spacing w:before="6"/>
              <w:ind w:left="7" w:right="8"/>
              <w:rPr>
                <w:b/>
                <w:sz w:val="18"/>
                <w:szCs w:val="18"/>
                <w:u w:val="single"/>
                <w:lang w:val="en-GB"/>
              </w:rPr>
            </w:pPr>
          </w:p>
        </w:tc>
        <w:tc>
          <w:tcPr>
            <w:tcW w:w="181" w:type="pct"/>
          </w:tcPr>
          <w:p w14:paraId="521E2D6A" w14:textId="77777777" w:rsidR="00577EC9" w:rsidRPr="001F0283" w:rsidRDefault="00577EC9" w:rsidP="00371851">
            <w:pPr>
              <w:pStyle w:val="TableParagraph"/>
              <w:spacing w:before="6"/>
              <w:ind w:left="213"/>
              <w:jc w:val="left"/>
              <w:rPr>
                <w:b/>
                <w:sz w:val="18"/>
                <w:szCs w:val="18"/>
                <w:u w:val="single"/>
                <w:lang w:val="en-GB"/>
              </w:rPr>
            </w:pPr>
          </w:p>
        </w:tc>
      </w:tr>
      <w:tr w:rsidR="00577EC9" w:rsidRPr="00C54F00" w14:paraId="18A2F6AC" w14:textId="77777777" w:rsidTr="00371851">
        <w:trPr>
          <w:trHeight w:hRule="exact" w:val="811"/>
        </w:trPr>
        <w:tc>
          <w:tcPr>
            <w:tcW w:w="315" w:type="pct"/>
          </w:tcPr>
          <w:p w14:paraId="0D42BEA9" w14:textId="77777777" w:rsidR="00577EC9" w:rsidRPr="001F0283" w:rsidRDefault="00577EC9" w:rsidP="00371851">
            <w:pPr>
              <w:spacing w:before="40" w:after="120" w:line="276" w:lineRule="auto"/>
              <w:jc w:val="center"/>
              <w:rPr>
                <w:bCs/>
                <w:sz w:val="18"/>
                <w:szCs w:val="18"/>
              </w:rPr>
            </w:pPr>
            <w:r w:rsidRPr="001F0283">
              <w:rPr>
                <w:sz w:val="18"/>
                <w:szCs w:val="18"/>
              </w:rPr>
              <w:t>0512</w:t>
            </w:r>
          </w:p>
        </w:tc>
        <w:tc>
          <w:tcPr>
            <w:tcW w:w="2082" w:type="pct"/>
          </w:tcPr>
          <w:p w14:paraId="54991C01" w14:textId="77777777" w:rsidR="00577EC9" w:rsidRPr="001F0283" w:rsidRDefault="00577EC9" w:rsidP="00371851">
            <w:pPr>
              <w:pStyle w:val="TableParagraph"/>
              <w:spacing w:before="6"/>
              <w:ind w:left="6" w:right="6"/>
              <w:jc w:val="left"/>
              <w:rPr>
                <w:sz w:val="18"/>
                <w:szCs w:val="18"/>
              </w:rPr>
            </w:pPr>
            <w:r w:rsidRPr="001F0283">
              <w:rPr>
                <w:sz w:val="18"/>
                <w:szCs w:val="18"/>
                <w:lang w:val="es-ES"/>
              </w:rPr>
              <w:t>DETONADORES, ELECTRÓNICOS programables para voladuras†</w:t>
            </w:r>
          </w:p>
        </w:tc>
        <w:tc>
          <w:tcPr>
            <w:tcW w:w="414" w:type="pct"/>
          </w:tcPr>
          <w:p w14:paraId="10D43E90" w14:textId="77777777" w:rsidR="00577EC9" w:rsidRPr="001F0283" w:rsidRDefault="00577EC9" w:rsidP="00371851">
            <w:pPr>
              <w:pStyle w:val="TableParagraph"/>
              <w:spacing w:before="6"/>
              <w:ind w:left="127" w:right="126"/>
              <w:rPr>
                <w:sz w:val="18"/>
                <w:szCs w:val="18"/>
              </w:rPr>
            </w:pPr>
            <w:r w:rsidRPr="001F0283">
              <w:rPr>
                <w:sz w:val="18"/>
                <w:szCs w:val="18"/>
                <w:lang w:val="es-ES"/>
              </w:rPr>
              <w:t>1.4B</w:t>
            </w:r>
          </w:p>
        </w:tc>
        <w:tc>
          <w:tcPr>
            <w:tcW w:w="166" w:type="pct"/>
          </w:tcPr>
          <w:p w14:paraId="3970D8E1" w14:textId="77777777" w:rsidR="00577EC9" w:rsidRPr="001F0283" w:rsidRDefault="00577EC9" w:rsidP="00371851">
            <w:pPr>
              <w:pStyle w:val="TableParagraph"/>
              <w:spacing w:before="6"/>
              <w:ind w:left="107" w:right="107"/>
              <w:rPr>
                <w:b/>
                <w:sz w:val="18"/>
                <w:szCs w:val="18"/>
                <w:lang w:val="en-GB"/>
              </w:rPr>
            </w:pPr>
          </w:p>
        </w:tc>
        <w:tc>
          <w:tcPr>
            <w:tcW w:w="166" w:type="pct"/>
          </w:tcPr>
          <w:p w14:paraId="393CFCEA" w14:textId="77777777" w:rsidR="00577EC9" w:rsidRPr="001F0283" w:rsidRDefault="00577EC9" w:rsidP="00371851">
            <w:pPr>
              <w:pStyle w:val="TableParagraph"/>
              <w:spacing w:before="6"/>
              <w:ind w:left="67" w:right="67"/>
              <w:rPr>
                <w:b/>
                <w:sz w:val="18"/>
                <w:szCs w:val="18"/>
                <w:lang w:val="en-GB"/>
              </w:rPr>
            </w:pPr>
          </w:p>
        </w:tc>
        <w:tc>
          <w:tcPr>
            <w:tcW w:w="332" w:type="pct"/>
          </w:tcPr>
          <w:p w14:paraId="73BF7A4A" w14:textId="77777777" w:rsidR="00577EC9" w:rsidRPr="001F0283" w:rsidRDefault="00577EC9" w:rsidP="00371851">
            <w:pPr>
              <w:pStyle w:val="TableParagraph"/>
              <w:spacing w:before="6"/>
              <w:ind w:left="106" w:right="102"/>
              <w:rPr>
                <w:b/>
                <w:sz w:val="18"/>
                <w:szCs w:val="18"/>
                <w:lang w:val="en-GB"/>
              </w:rPr>
            </w:pPr>
          </w:p>
        </w:tc>
        <w:tc>
          <w:tcPr>
            <w:tcW w:w="166" w:type="pct"/>
          </w:tcPr>
          <w:p w14:paraId="13C36E8F" w14:textId="77777777" w:rsidR="00577EC9" w:rsidRPr="001F0283" w:rsidRDefault="00577EC9" w:rsidP="00371851">
            <w:pPr>
              <w:pStyle w:val="TableParagraph"/>
              <w:spacing w:before="6"/>
              <w:ind w:left="-15" w:right="16"/>
              <w:rPr>
                <w:sz w:val="18"/>
                <w:szCs w:val="18"/>
              </w:rPr>
            </w:pPr>
            <w:r w:rsidRPr="001F0283">
              <w:rPr>
                <w:sz w:val="18"/>
                <w:szCs w:val="18"/>
                <w:lang w:val="es-ES"/>
              </w:rPr>
              <w:t>0</w:t>
            </w:r>
          </w:p>
        </w:tc>
        <w:tc>
          <w:tcPr>
            <w:tcW w:w="249" w:type="pct"/>
          </w:tcPr>
          <w:p w14:paraId="4B751939" w14:textId="77777777" w:rsidR="00577EC9" w:rsidRPr="001F0283" w:rsidRDefault="00577EC9" w:rsidP="00371851">
            <w:pPr>
              <w:pStyle w:val="TableParagraph"/>
              <w:spacing w:before="6"/>
              <w:rPr>
                <w:sz w:val="18"/>
                <w:szCs w:val="18"/>
              </w:rPr>
            </w:pPr>
            <w:r w:rsidRPr="001F0283">
              <w:rPr>
                <w:sz w:val="18"/>
                <w:szCs w:val="18"/>
                <w:lang w:val="es-ES"/>
              </w:rPr>
              <w:t>E0</w:t>
            </w:r>
          </w:p>
        </w:tc>
        <w:tc>
          <w:tcPr>
            <w:tcW w:w="531" w:type="pct"/>
          </w:tcPr>
          <w:p w14:paraId="66557F2A" w14:textId="77777777" w:rsidR="00577EC9" w:rsidRPr="001F0283" w:rsidRDefault="00577EC9" w:rsidP="00371851">
            <w:pPr>
              <w:pStyle w:val="TableParagraph"/>
              <w:spacing w:before="6"/>
              <w:ind w:left="141" w:right="141"/>
              <w:rPr>
                <w:sz w:val="18"/>
                <w:szCs w:val="18"/>
              </w:rPr>
            </w:pPr>
            <w:r w:rsidRPr="001F0283">
              <w:rPr>
                <w:sz w:val="18"/>
                <w:szCs w:val="18"/>
                <w:lang w:val="es-ES"/>
              </w:rPr>
              <w:t>P131</w:t>
            </w:r>
          </w:p>
        </w:tc>
        <w:tc>
          <w:tcPr>
            <w:tcW w:w="190" w:type="pct"/>
          </w:tcPr>
          <w:p w14:paraId="78FC57D4" w14:textId="77777777" w:rsidR="00577EC9" w:rsidRPr="001F0283" w:rsidRDefault="00577EC9" w:rsidP="00371851">
            <w:pPr>
              <w:pStyle w:val="TableParagraph"/>
              <w:spacing w:before="6"/>
              <w:ind w:right="226"/>
              <w:jc w:val="right"/>
              <w:rPr>
                <w:b/>
                <w:sz w:val="18"/>
                <w:szCs w:val="18"/>
                <w:u w:val="single"/>
                <w:lang w:val="en-GB"/>
              </w:rPr>
            </w:pPr>
          </w:p>
        </w:tc>
        <w:tc>
          <w:tcPr>
            <w:tcW w:w="208" w:type="pct"/>
          </w:tcPr>
          <w:p w14:paraId="03C25D99" w14:textId="77777777" w:rsidR="00577EC9" w:rsidRPr="001F0283" w:rsidRDefault="00577EC9" w:rsidP="00371851">
            <w:pPr>
              <w:pStyle w:val="TableParagraph"/>
              <w:spacing w:before="6"/>
              <w:ind w:left="7" w:right="8"/>
              <w:rPr>
                <w:b/>
                <w:sz w:val="18"/>
                <w:szCs w:val="18"/>
                <w:u w:val="single"/>
                <w:lang w:val="en-GB"/>
              </w:rPr>
            </w:pPr>
          </w:p>
        </w:tc>
        <w:tc>
          <w:tcPr>
            <w:tcW w:w="181" w:type="pct"/>
          </w:tcPr>
          <w:p w14:paraId="528D7A8B" w14:textId="77777777" w:rsidR="00577EC9" w:rsidRPr="001F0283" w:rsidRDefault="00577EC9" w:rsidP="00371851">
            <w:pPr>
              <w:pStyle w:val="TableParagraph"/>
              <w:spacing w:before="6"/>
              <w:ind w:left="213"/>
              <w:jc w:val="left"/>
              <w:rPr>
                <w:b/>
                <w:sz w:val="18"/>
                <w:szCs w:val="18"/>
                <w:u w:val="single"/>
                <w:lang w:val="en-GB"/>
              </w:rPr>
            </w:pPr>
          </w:p>
        </w:tc>
      </w:tr>
      <w:tr w:rsidR="00577EC9" w:rsidRPr="00C54F00" w14:paraId="749126E5" w14:textId="77777777" w:rsidTr="00371851">
        <w:trPr>
          <w:trHeight w:hRule="exact" w:val="811"/>
        </w:trPr>
        <w:tc>
          <w:tcPr>
            <w:tcW w:w="315" w:type="pct"/>
          </w:tcPr>
          <w:p w14:paraId="3EDDE599" w14:textId="77777777" w:rsidR="00577EC9" w:rsidRPr="001F0283" w:rsidRDefault="00577EC9" w:rsidP="00371851">
            <w:pPr>
              <w:spacing w:before="40" w:after="120" w:line="276" w:lineRule="auto"/>
              <w:jc w:val="center"/>
              <w:rPr>
                <w:bCs/>
                <w:sz w:val="18"/>
                <w:szCs w:val="18"/>
              </w:rPr>
            </w:pPr>
            <w:r w:rsidRPr="001F0283">
              <w:rPr>
                <w:sz w:val="18"/>
                <w:szCs w:val="18"/>
              </w:rPr>
              <w:t>0513</w:t>
            </w:r>
          </w:p>
        </w:tc>
        <w:tc>
          <w:tcPr>
            <w:tcW w:w="2082" w:type="pct"/>
          </w:tcPr>
          <w:p w14:paraId="61BDF280" w14:textId="77777777" w:rsidR="00577EC9" w:rsidRPr="001F0283" w:rsidRDefault="00577EC9" w:rsidP="00371851">
            <w:pPr>
              <w:pStyle w:val="TableParagraph"/>
              <w:spacing w:before="6"/>
              <w:ind w:left="6" w:right="6"/>
              <w:jc w:val="left"/>
              <w:rPr>
                <w:sz w:val="18"/>
                <w:szCs w:val="18"/>
              </w:rPr>
            </w:pPr>
            <w:r w:rsidRPr="001F0283">
              <w:rPr>
                <w:sz w:val="18"/>
                <w:szCs w:val="18"/>
                <w:lang w:val="es-ES"/>
              </w:rPr>
              <w:t>DETONADORES, ELECTRÓNICOS programables para voladuras†</w:t>
            </w:r>
          </w:p>
        </w:tc>
        <w:tc>
          <w:tcPr>
            <w:tcW w:w="414" w:type="pct"/>
          </w:tcPr>
          <w:p w14:paraId="4F0D031F" w14:textId="77777777" w:rsidR="00577EC9" w:rsidRPr="001F0283" w:rsidRDefault="00577EC9" w:rsidP="00371851">
            <w:pPr>
              <w:pStyle w:val="TableParagraph"/>
              <w:spacing w:before="6"/>
              <w:ind w:left="127" w:right="126"/>
              <w:rPr>
                <w:sz w:val="18"/>
                <w:szCs w:val="18"/>
              </w:rPr>
            </w:pPr>
            <w:r w:rsidRPr="001F0283">
              <w:rPr>
                <w:sz w:val="18"/>
                <w:szCs w:val="18"/>
                <w:lang w:val="es-ES"/>
              </w:rPr>
              <w:t>1.4S</w:t>
            </w:r>
          </w:p>
        </w:tc>
        <w:tc>
          <w:tcPr>
            <w:tcW w:w="166" w:type="pct"/>
          </w:tcPr>
          <w:p w14:paraId="413DA84F" w14:textId="77777777" w:rsidR="00577EC9" w:rsidRPr="001F0283" w:rsidRDefault="00577EC9" w:rsidP="00371851">
            <w:pPr>
              <w:pStyle w:val="TableParagraph"/>
              <w:spacing w:before="6"/>
              <w:ind w:left="107" w:right="107"/>
              <w:rPr>
                <w:b/>
                <w:sz w:val="18"/>
                <w:szCs w:val="18"/>
                <w:lang w:val="en-GB"/>
              </w:rPr>
            </w:pPr>
          </w:p>
        </w:tc>
        <w:tc>
          <w:tcPr>
            <w:tcW w:w="166" w:type="pct"/>
          </w:tcPr>
          <w:p w14:paraId="756EB5B0" w14:textId="77777777" w:rsidR="00577EC9" w:rsidRPr="001F0283" w:rsidRDefault="00577EC9" w:rsidP="00371851">
            <w:pPr>
              <w:pStyle w:val="TableParagraph"/>
              <w:spacing w:before="6"/>
              <w:ind w:left="67" w:right="67"/>
              <w:rPr>
                <w:b/>
                <w:sz w:val="18"/>
                <w:szCs w:val="18"/>
                <w:lang w:val="en-GB"/>
              </w:rPr>
            </w:pPr>
          </w:p>
        </w:tc>
        <w:tc>
          <w:tcPr>
            <w:tcW w:w="332" w:type="pct"/>
          </w:tcPr>
          <w:p w14:paraId="333D1CB8" w14:textId="77777777" w:rsidR="00577EC9" w:rsidRPr="001F0283" w:rsidRDefault="00577EC9" w:rsidP="00371851">
            <w:pPr>
              <w:pStyle w:val="TableParagraph"/>
              <w:spacing w:before="6"/>
              <w:ind w:left="106" w:right="102"/>
              <w:rPr>
                <w:b/>
                <w:sz w:val="18"/>
                <w:szCs w:val="18"/>
              </w:rPr>
            </w:pPr>
            <w:r w:rsidRPr="001F0283">
              <w:rPr>
                <w:sz w:val="18"/>
                <w:szCs w:val="18"/>
                <w:lang w:val="es-ES"/>
              </w:rPr>
              <w:t>347</w:t>
            </w:r>
          </w:p>
        </w:tc>
        <w:tc>
          <w:tcPr>
            <w:tcW w:w="166" w:type="pct"/>
          </w:tcPr>
          <w:p w14:paraId="4A839B61" w14:textId="77777777" w:rsidR="00577EC9" w:rsidRPr="001F0283" w:rsidRDefault="00577EC9" w:rsidP="00371851">
            <w:pPr>
              <w:pStyle w:val="TableParagraph"/>
              <w:spacing w:before="6"/>
              <w:ind w:left="-15" w:right="16"/>
              <w:rPr>
                <w:sz w:val="18"/>
                <w:szCs w:val="18"/>
              </w:rPr>
            </w:pPr>
            <w:r w:rsidRPr="001F0283">
              <w:rPr>
                <w:sz w:val="18"/>
                <w:szCs w:val="18"/>
                <w:lang w:val="es-ES"/>
              </w:rPr>
              <w:t>0</w:t>
            </w:r>
          </w:p>
        </w:tc>
        <w:tc>
          <w:tcPr>
            <w:tcW w:w="249" w:type="pct"/>
          </w:tcPr>
          <w:p w14:paraId="35ECBE97" w14:textId="77777777" w:rsidR="00577EC9" w:rsidRPr="001F0283" w:rsidRDefault="00577EC9" w:rsidP="00371851">
            <w:pPr>
              <w:pStyle w:val="TableParagraph"/>
              <w:spacing w:before="6"/>
              <w:rPr>
                <w:sz w:val="18"/>
                <w:szCs w:val="18"/>
              </w:rPr>
            </w:pPr>
            <w:r w:rsidRPr="001F0283">
              <w:rPr>
                <w:sz w:val="18"/>
                <w:szCs w:val="18"/>
                <w:lang w:val="es-ES"/>
              </w:rPr>
              <w:t>E0</w:t>
            </w:r>
          </w:p>
        </w:tc>
        <w:tc>
          <w:tcPr>
            <w:tcW w:w="531" w:type="pct"/>
          </w:tcPr>
          <w:p w14:paraId="56588557" w14:textId="77777777" w:rsidR="00577EC9" w:rsidRPr="001F0283" w:rsidRDefault="00577EC9" w:rsidP="00371851">
            <w:pPr>
              <w:pStyle w:val="TableParagraph"/>
              <w:spacing w:before="6"/>
              <w:ind w:left="141" w:right="141"/>
              <w:rPr>
                <w:sz w:val="18"/>
                <w:szCs w:val="18"/>
              </w:rPr>
            </w:pPr>
            <w:r w:rsidRPr="001F0283">
              <w:rPr>
                <w:sz w:val="18"/>
                <w:szCs w:val="18"/>
                <w:lang w:val="es-ES"/>
              </w:rPr>
              <w:t>P131</w:t>
            </w:r>
          </w:p>
        </w:tc>
        <w:tc>
          <w:tcPr>
            <w:tcW w:w="190" w:type="pct"/>
          </w:tcPr>
          <w:p w14:paraId="1D003652" w14:textId="77777777" w:rsidR="00577EC9" w:rsidRPr="001F0283" w:rsidRDefault="00577EC9" w:rsidP="00371851">
            <w:pPr>
              <w:pStyle w:val="TableParagraph"/>
              <w:spacing w:before="6"/>
              <w:ind w:right="226"/>
              <w:jc w:val="right"/>
              <w:rPr>
                <w:b/>
                <w:sz w:val="18"/>
                <w:szCs w:val="18"/>
                <w:u w:val="single"/>
                <w:lang w:val="en-GB"/>
              </w:rPr>
            </w:pPr>
          </w:p>
        </w:tc>
        <w:tc>
          <w:tcPr>
            <w:tcW w:w="208" w:type="pct"/>
          </w:tcPr>
          <w:p w14:paraId="2C30A7DB" w14:textId="77777777" w:rsidR="00577EC9" w:rsidRPr="001F0283" w:rsidRDefault="00577EC9" w:rsidP="00371851">
            <w:pPr>
              <w:pStyle w:val="TableParagraph"/>
              <w:spacing w:before="6"/>
              <w:ind w:left="7" w:right="8"/>
              <w:rPr>
                <w:b/>
                <w:sz w:val="18"/>
                <w:szCs w:val="18"/>
                <w:u w:val="single"/>
                <w:lang w:val="en-GB"/>
              </w:rPr>
            </w:pPr>
          </w:p>
        </w:tc>
        <w:tc>
          <w:tcPr>
            <w:tcW w:w="181" w:type="pct"/>
          </w:tcPr>
          <w:p w14:paraId="61A43BA6" w14:textId="77777777" w:rsidR="00577EC9" w:rsidRPr="001F0283" w:rsidRDefault="00577EC9" w:rsidP="00371851">
            <w:pPr>
              <w:pStyle w:val="TableParagraph"/>
              <w:spacing w:before="6"/>
              <w:ind w:left="213"/>
              <w:jc w:val="left"/>
              <w:rPr>
                <w:b/>
                <w:sz w:val="18"/>
                <w:szCs w:val="18"/>
                <w:u w:val="single"/>
                <w:lang w:val="en-GB"/>
              </w:rPr>
            </w:pPr>
          </w:p>
        </w:tc>
      </w:tr>
      <w:tr w:rsidR="00577EC9" w:rsidRPr="00C54F00" w14:paraId="36E38CE5" w14:textId="77777777" w:rsidTr="00371851">
        <w:trPr>
          <w:trHeight w:hRule="exact" w:val="1186"/>
        </w:trPr>
        <w:tc>
          <w:tcPr>
            <w:tcW w:w="315" w:type="pct"/>
          </w:tcPr>
          <w:p w14:paraId="7F8E05FD" w14:textId="77777777" w:rsidR="00577EC9" w:rsidRPr="001F0283" w:rsidRDefault="00577EC9" w:rsidP="00371851">
            <w:pPr>
              <w:spacing w:before="40" w:after="120" w:line="276" w:lineRule="auto"/>
              <w:jc w:val="center"/>
              <w:rPr>
                <w:bCs/>
                <w:sz w:val="18"/>
                <w:szCs w:val="18"/>
              </w:rPr>
            </w:pPr>
            <w:r w:rsidRPr="001F0283">
              <w:rPr>
                <w:sz w:val="18"/>
                <w:szCs w:val="18"/>
              </w:rPr>
              <w:t>3549</w:t>
            </w:r>
          </w:p>
        </w:tc>
        <w:tc>
          <w:tcPr>
            <w:tcW w:w="2082" w:type="pct"/>
          </w:tcPr>
          <w:p w14:paraId="0688C335" w14:textId="77777777" w:rsidR="00577EC9" w:rsidRPr="001F0283" w:rsidRDefault="00577EC9" w:rsidP="00371851">
            <w:pPr>
              <w:pStyle w:val="TableParagraph"/>
              <w:spacing w:before="6"/>
              <w:ind w:left="6" w:right="6"/>
              <w:jc w:val="left"/>
              <w:rPr>
                <w:sz w:val="18"/>
                <w:szCs w:val="18"/>
              </w:rPr>
            </w:pPr>
            <w:r w:rsidRPr="001F0283">
              <w:rPr>
                <w:sz w:val="18"/>
                <w:szCs w:val="18"/>
                <w:lang w:val="es-ES"/>
              </w:rPr>
              <w:t xml:space="preserve">RESIDUOS MÉDICOS, DE CATEGORÍA A, QUE AFECTAN A LAS PERSONAS, sólidos </w:t>
            </w:r>
            <w:r>
              <w:rPr>
                <w:sz w:val="18"/>
                <w:szCs w:val="18"/>
                <w:lang w:val="es-ES"/>
              </w:rPr>
              <w:t>o</w:t>
            </w:r>
            <w:r w:rsidRPr="001F0283">
              <w:rPr>
                <w:sz w:val="18"/>
                <w:szCs w:val="18"/>
                <w:lang w:val="es-ES"/>
              </w:rPr>
              <w:t xml:space="preserve"> RESIDUOS MÉDICOS, DE CATEGORÍA A, QUE AFECTAN A LOS ANIMALES únicamente, sólidos</w:t>
            </w:r>
          </w:p>
        </w:tc>
        <w:tc>
          <w:tcPr>
            <w:tcW w:w="414" w:type="pct"/>
          </w:tcPr>
          <w:p w14:paraId="47B58B51" w14:textId="77777777" w:rsidR="00577EC9" w:rsidRPr="001F0283" w:rsidRDefault="00577EC9" w:rsidP="00371851">
            <w:pPr>
              <w:pStyle w:val="TableParagraph"/>
              <w:spacing w:before="6"/>
              <w:ind w:left="127" w:right="126"/>
              <w:rPr>
                <w:sz w:val="18"/>
                <w:szCs w:val="18"/>
              </w:rPr>
            </w:pPr>
            <w:r w:rsidRPr="001F0283">
              <w:rPr>
                <w:sz w:val="18"/>
                <w:szCs w:val="18"/>
                <w:lang w:val="es-ES"/>
              </w:rPr>
              <w:t>6,2</w:t>
            </w:r>
          </w:p>
        </w:tc>
        <w:tc>
          <w:tcPr>
            <w:tcW w:w="166" w:type="pct"/>
          </w:tcPr>
          <w:p w14:paraId="1AAE6BB5" w14:textId="77777777" w:rsidR="00577EC9" w:rsidRPr="001F0283" w:rsidRDefault="00577EC9" w:rsidP="00371851">
            <w:pPr>
              <w:pStyle w:val="TableParagraph"/>
              <w:spacing w:before="6"/>
              <w:ind w:left="107" w:right="107"/>
              <w:rPr>
                <w:b/>
                <w:sz w:val="18"/>
                <w:szCs w:val="18"/>
                <w:lang w:val="en-GB"/>
              </w:rPr>
            </w:pPr>
          </w:p>
        </w:tc>
        <w:tc>
          <w:tcPr>
            <w:tcW w:w="166" w:type="pct"/>
          </w:tcPr>
          <w:p w14:paraId="3066CAF5" w14:textId="77777777" w:rsidR="00577EC9" w:rsidRPr="001F0283" w:rsidRDefault="00577EC9" w:rsidP="00371851">
            <w:pPr>
              <w:pStyle w:val="TableParagraph"/>
              <w:spacing w:before="6"/>
              <w:ind w:left="67" w:right="67"/>
              <w:rPr>
                <w:b/>
                <w:sz w:val="18"/>
                <w:szCs w:val="18"/>
                <w:lang w:val="en-GB"/>
              </w:rPr>
            </w:pPr>
          </w:p>
        </w:tc>
        <w:tc>
          <w:tcPr>
            <w:tcW w:w="332" w:type="pct"/>
          </w:tcPr>
          <w:p w14:paraId="7284E86D" w14:textId="77777777" w:rsidR="00577EC9" w:rsidRPr="001F0283" w:rsidRDefault="00577EC9" w:rsidP="00371851">
            <w:pPr>
              <w:pStyle w:val="TableParagraph"/>
              <w:spacing w:before="6"/>
              <w:ind w:left="106" w:right="102"/>
              <w:rPr>
                <w:sz w:val="18"/>
                <w:szCs w:val="18"/>
              </w:rPr>
            </w:pPr>
            <w:r w:rsidRPr="001F0283">
              <w:rPr>
                <w:sz w:val="18"/>
                <w:szCs w:val="18"/>
                <w:lang w:val="es-ES"/>
              </w:rPr>
              <w:t>395</w:t>
            </w:r>
          </w:p>
        </w:tc>
        <w:tc>
          <w:tcPr>
            <w:tcW w:w="166" w:type="pct"/>
          </w:tcPr>
          <w:p w14:paraId="6FD58C1D" w14:textId="77777777" w:rsidR="00577EC9" w:rsidRPr="001F0283" w:rsidRDefault="00577EC9" w:rsidP="00371851">
            <w:pPr>
              <w:pStyle w:val="TableParagraph"/>
              <w:spacing w:before="6"/>
              <w:ind w:left="-15" w:right="16"/>
              <w:rPr>
                <w:sz w:val="18"/>
                <w:szCs w:val="18"/>
              </w:rPr>
            </w:pPr>
            <w:r w:rsidRPr="001F0283">
              <w:rPr>
                <w:sz w:val="18"/>
                <w:szCs w:val="18"/>
                <w:lang w:val="es-ES"/>
              </w:rPr>
              <w:t>0</w:t>
            </w:r>
          </w:p>
        </w:tc>
        <w:tc>
          <w:tcPr>
            <w:tcW w:w="249" w:type="pct"/>
          </w:tcPr>
          <w:p w14:paraId="6E6D31BD" w14:textId="77777777" w:rsidR="00577EC9" w:rsidRPr="001F0283" w:rsidRDefault="00577EC9" w:rsidP="00371851">
            <w:pPr>
              <w:pStyle w:val="TableParagraph"/>
              <w:spacing w:before="6"/>
              <w:rPr>
                <w:sz w:val="18"/>
                <w:szCs w:val="18"/>
              </w:rPr>
            </w:pPr>
            <w:r w:rsidRPr="001F0283">
              <w:rPr>
                <w:sz w:val="18"/>
                <w:szCs w:val="18"/>
                <w:lang w:val="es-ES"/>
              </w:rPr>
              <w:t>E0</w:t>
            </w:r>
          </w:p>
        </w:tc>
        <w:tc>
          <w:tcPr>
            <w:tcW w:w="531" w:type="pct"/>
          </w:tcPr>
          <w:p w14:paraId="6E1A0D94" w14:textId="77777777" w:rsidR="00577EC9" w:rsidRPr="001F0283" w:rsidRDefault="00577EC9" w:rsidP="00371851">
            <w:pPr>
              <w:spacing w:before="40" w:after="40" w:line="220" w:lineRule="exact"/>
              <w:ind w:right="113"/>
              <w:jc w:val="center"/>
              <w:rPr>
                <w:sz w:val="18"/>
                <w:szCs w:val="18"/>
              </w:rPr>
            </w:pPr>
            <w:r w:rsidRPr="001F0283">
              <w:rPr>
                <w:sz w:val="18"/>
                <w:szCs w:val="18"/>
              </w:rPr>
              <w:t>P622</w:t>
            </w:r>
          </w:p>
          <w:p w14:paraId="7887D296" w14:textId="77777777" w:rsidR="00577EC9" w:rsidRPr="001F0283" w:rsidRDefault="00577EC9" w:rsidP="00371851">
            <w:pPr>
              <w:pStyle w:val="TableParagraph"/>
              <w:spacing w:before="6"/>
              <w:ind w:left="141" w:right="141"/>
              <w:rPr>
                <w:sz w:val="18"/>
                <w:szCs w:val="18"/>
              </w:rPr>
            </w:pPr>
            <w:r w:rsidRPr="001F0283">
              <w:rPr>
                <w:sz w:val="18"/>
                <w:szCs w:val="18"/>
                <w:lang w:val="es-ES"/>
              </w:rPr>
              <w:t>LP622</w:t>
            </w:r>
          </w:p>
        </w:tc>
        <w:tc>
          <w:tcPr>
            <w:tcW w:w="190" w:type="pct"/>
          </w:tcPr>
          <w:p w14:paraId="0DA6AD05" w14:textId="77777777" w:rsidR="00577EC9" w:rsidRPr="001F0283" w:rsidRDefault="00577EC9" w:rsidP="00371851">
            <w:pPr>
              <w:pStyle w:val="TableParagraph"/>
              <w:spacing w:before="6"/>
              <w:ind w:right="226"/>
              <w:jc w:val="right"/>
              <w:rPr>
                <w:b/>
                <w:sz w:val="18"/>
                <w:szCs w:val="18"/>
                <w:u w:val="single"/>
                <w:lang w:val="en-GB"/>
              </w:rPr>
            </w:pPr>
          </w:p>
        </w:tc>
        <w:tc>
          <w:tcPr>
            <w:tcW w:w="208" w:type="pct"/>
          </w:tcPr>
          <w:p w14:paraId="4E485B47" w14:textId="77777777" w:rsidR="00577EC9" w:rsidRPr="001F0283" w:rsidRDefault="00577EC9" w:rsidP="00371851">
            <w:pPr>
              <w:pStyle w:val="TableParagraph"/>
              <w:spacing w:before="6"/>
              <w:ind w:left="7" w:right="8"/>
              <w:rPr>
                <w:b/>
                <w:sz w:val="18"/>
                <w:szCs w:val="18"/>
                <w:u w:val="single"/>
                <w:lang w:val="en-GB"/>
              </w:rPr>
            </w:pPr>
          </w:p>
        </w:tc>
        <w:tc>
          <w:tcPr>
            <w:tcW w:w="181" w:type="pct"/>
          </w:tcPr>
          <w:p w14:paraId="48E2910D" w14:textId="77777777" w:rsidR="00577EC9" w:rsidRPr="001F0283" w:rsidRDefault="00577EC9" w:rsidP="00371851">
            <w:pPr>
              <w:pStyle w:val="TableParagraph"/>
              <w:spacing w:before="6"/>
              <w:ind w:left="213"/>
              <w:jc w:val="left"/>
              <w:rPr>
                <w:b/>
                <w:sz w:val="18"/>
                <w:szCs w:val="18"/>
                <w:u w:val="single"/>
                <w:lang w:val="en-GB"/>
              </w:rPr>
            </w:pPr>
          </w:p>
        </w:tc>
      </w:tr>
    </w:tbl>
    <w:p w14:paraId="52A0F99E" w14:textId="77777777" w:rsidR="00577EC9" w:rsidRPr="00577EC9" w:rsidRDefault="00577EC9" w:rsidP="00D67D34">
      <w:pPr>
        <w:pStyle w:val="SingleTxtG"/>
        <w:spacing w:before="240"/>
        <w:rPr>
          <w:lang w:val="en-GB"/>
        </w:rPr>
      </w:pPr>
      <w:r w:rsidRPr="00577EC9">
        <w:t>Para lo</w:t>
      </w:r>
      <w:r w:rsidR="00655CB5">
        <w:t>s núms.</w:t>
      </w:r>
      <w:r w:rsidRPr="00577EC9">
        <w:t xml:space="preserve"> ONU 0005, 0007, 0012, 0014, 0033, 0037, 0136, 0167, 0180, 0238, 0240, 0242, 0279, 0291, 0294, 0295, 0324, 0326, 0327, 0330, 0338, 0339, 0348, 0369, 0371, 0413, 0414, 0417, 0426, 0427, 0453, 0457, 0458, 0458, 0459 y 0460, en la columna (8), bajo </w:t>
      </w:r>
      <w:r w:rsidR="00655CB5">
        <w:t>“</w:t>
      </w:r>
      <w:r w:rsidRPr="00577EC9">
        <w:t>P130</w:t>
      </w:r>
      <w:r w:rsidR="00655CB5">
        <w:t>”</w:t>
      </w:r>
      <w:r w:rsidRPr="00577EC9">
        <w:t xml:space="preserve">, añádase </w:t>
      </w:r>
      <w:r w:rsidR="00655CB5">
        <w:t>“</w:t>
      </w:r>
      <w:r w:rsidRPr="00577EC9">
        <w:t>LP101</w:t>
      </w:r>
      <w:r w:rsidR="00655CB5">
        <w:t>”</w:t>
      </w:r>
      <w:r w:rsidRPr="00577EC9">
        <w:t>.</w:t>
      </w:r>
    </w:p>
    <w:p w14:paraId="049506BB" w14:textId="77777777" w:rsidR="00577EC9" w:rsidRPr="00577EC9" w:rsidRDefault="00577EC9" w:rsidP="00577EC9">
      <w:pPr>
        <w:pStyle w:val="SingleTxtG"/>
        <w:rPr>
          <w:lang w:val="en-GB"/>
        </w:rPr>
      </w:pPr>
      <w:r w:rsidRPr="00577EC9">
        <w:t xml:space="preserve">Para los </w:t>
      </w:r>
      <w:r w:rsidR="00655CB5">
        <w:t>núms.</w:t>
      </w:r>
      <w:r w:rsidRPr="00577EC9">
        <w:t xml:space="preserve"> ONU 0340, 0341, 0342 y 0343, en la columna (6), insértese </w:t>
      </w:r>
      <w:r w:rsidR="00655CB5">
        <w:t>“</w:t>
      </w:r>
      <w:r w:rsidRPr="00577EC9">
        <w:t>393</w:t>
      </w:r>
      <w:r w:rsidR="00655CB5">
        <w:t>”</w:t>
      </w:r>
      <w:r w:rsidRPr="00577EC9">
        <w:t>.</w:t>
      </w:r>
    </w:p>
    <w:p w14:paraId="642FEFB9" w14:textId="77777777" w:rsidR="00577EC9" w:rsidRPr="00577EC9" w:rsidRDefault="00577EC9" w:rsidP="00577EC9">
      <w:pPr>
        <w:pStyle w:val="SingleTxtG"/>
        <w:rPr>
          <w:lang w:val="en-GB"/>
        </w:rPr>
      </w:pPr>
      <w:r w:rsidRPr="00577EC9">
        <w:t xml:space="preserve">Para los </w:t>
      </w:r>
      <w:r w:rsidR="00655CB5">
        <w:t>núms.</w:t>
      </w:r>
      <w:r w:rsidRPr="00577EC9">
        <w:t xml:space="preserve"> ONU 1002, 1006, 1013, 1046, 1056, 1058, 1065, 1066, 1080, 1952, 1956, 2036, 3070, 3163, 3297, 3298 y 3299, en la columna (6), insértese </w:t>
      </w:r>
      <w:r w:rsidR="00655CB5">
        <w:t>“</w:t>
      </w:r>
      <w:r w:rsidRPr="00577EC9">
        <w:t>392</w:t>
      </w:r>
      <w:r w:rsidR="00655CB5">
        <w:t>”</w:t>
      </w:r>
      <w:r w:rsidRPr="00577EC9">
        <w:t>.</w:t>
      </w:r>
    </w:p>
    <w:p w14:paraId="1E0C8A77" w14:textId="77777777" w:rsidR="00577EC9" w:rsidRPr="00577EC9" w:rsidRDefault="00577EC9" w:rsidP="00577EC9">
      <w:pPr>
        <w:pStyle w:val="SingleTxtG"/>
        <w:rPr>
          <w:lang w:val="en-GB"/>
        </w:rPr>
      </w:pPr>
      <w:r w:rsidRPr="00577EC9">
        <w:t xml:space="preserve">Para los </w:t>
      </w:r>
      <w:r w:rsidR="00655CB5">
        <w:t>núms.</w:t>
      </w:r>
      <w:r w:rsidRPr="00577EC9">
        <w:t xml:space="preserve"> ONU 1092, 1098, 1143, 1163, 1238, 1239, 1244, 1595, 1695, 1752, 1809, 2334, 2337, 2646 y 3023, en la columna (11), suprímase </w:t>
      </w:r>
      <w:r w:rsidR="00655CB5">
        <w:t>“</w:t>
      </w:r>
      <w:r w:rsidRPr="00577EC9">
        <w:t>TP35</w:t>
      </w:r>
      <w:r w:rsidR="00655CB5">
        <w:t>”</w:t>
      </w:r>
      <w:r w:rsidRPr="00577EC9">
        <w:t>.</w:t>
      </w:r>
    </w:p>
    <w:p w14:paraId="6228AD2D" w14:textId="77777777" w:rsidR="00577EC9" w:rsidRPr="00577EC9" w:rsidRDefault="00577EC9" w:rsidP="00577EC9">
      <w:pPr>
        <w:pStyle w:val="SingleTxtG"/>
        <w:rPr>
          <w:lang w:val="en-GB"/>
        </w:rPr>
      </w:pPr>
      <w:r w:rsidRPr="00577EC9">
        <w:lastRenderedPageBreak/>
        <w:t xml:space="preserve">Para los </w:t>
      </w:r>
      <w:r w:rsidR="00655CB5">
        <w:t>núms.</w:t>
      </w:r>
      <w:r w:rsidRPr="00577EC9">
        <w:t xml:space="preserve"> ONU 1135, 1182, 1251, 1541, 1580, 1605, 1670, 1810, 1834, 1838, 1892, 2232, 2382, 2474, 2477, 2481, 2482, 2483, 2484, 2485, 2486, 2487, 2488, 2521, 2605, 2606, 2644, 2668, 3079 y 3246, en la columna (11), suprímase </w:t>
      </w:r>
      <w:r w:rsidR="00655CB5">
        <w:t>“</w:t>
      </w:r>
      <w:r w:rsidRPr="00577EC9">
        <w:t>TP37</w:t>
      </w:r>
      <w:r w:rsidR="00655CB5">
        <w:t>”</w:t>
      </w:r>
      <w:r w:rsidRPr="00577EC9">
        <w:t>.</w:t>
      </w:r>
    </w:p>
    <w:p w14:paraId="4D888F28" w14:textId="77777777" w:rsidR="00577EC9" w:rsidRPr="00577EC9" w:rsidRDefault="00577EC9" w:rsidP="00577EC9">
      <w:pPr>
        <w:pStyle w:val="SingleTxtG"/>
      </w:pPr>
      <w:r w:rsidRPr="00577EC9">
        <w:t xml:space="preserve">Para los </w:t>
      </w:r>
      <w:r w:rsidR="00655CB5">
        <w:t>núms.</w:t>
      </w:r>
      <w:r w:rsidRPr="00577EC9">
        <w:t xml:space="preserve"> ONU 1372, 1387, 1856, 1857 y 3360, en la columna (6), sustitúyase </w:t>
      </w:r>
      <w:r w:rsidR="00655CB5">
        <w:t>“</w:t>
      </w:r>
      <w:r w:rsidRPr="00577EC9">
        <w:t>117</w:t>
      </w:r>
      <w:r w:rsidR="00655CB5">
        <w:t>”</w:t>
      </w:r>
      <w:r w:rsidRPr="00577EC9">
        <w:t xml:space="preserve"> por </w:t>
      </w:r>
      <w:r w:rsidR="00655CB5">
        <w:t>“</w:t>
      </w:r>
      <w:r w:rsidRPr="00577EC9">
        <w:t>123</w:t>
      </w:r>
      <w:r w:rsidR="00655CB5">
        <w:t>”</w:t>
      </w:r>
      <w:r w:rsidRPr="00577EC9">
        <w:t>.</w:t>
      </w:r>
    </w:p>
    <w:p w14:paraId="0AE8DC62" w14:textId="77777777" w:rsidR="00577EC9" w:rsidRPr="00577EC9" w:rsidRDefault="00577EC9" w:rsidP="00577EC9">
      <w:pPr>
        <w:pStyle w:val="SingleTxtG"/>
        <w:rPr>
          <w:lang w:val="en-GB"/>
        </w:rPr>
      </w:pPr>
      <w:r w:rsidRPr="00577EC9">
        <w:t xml:space="preserve">Para el </w:t>
      </w:r>
      <w:r w:rsidR="00655CB5">
        <w:t>núm.</w:t>
      </w:r>
      <w:r w:rsidRPr="00577EC9">
        <w:t xml:space="preserve"> ONU 2037,</w:t>
      </w:r>
      <w:r w:rsidR="00F5164B">
        <w:t xml:space="preserve"> e</w:t>
      </w:r>
      <w:r w:rsidRPr="00577EC9">
        <w:t xml:space="preserve">n la columna (6), insértese </w:t>
      </w:r>
      <w:r w:rsidR="00655CB5">
        <w:t>“</w:t>
      </w:r>
      <w:r w:rsidRPr="00577EC9">
        <w:t>327</w:t>
      </w:r>
      <w:r w:rsidR="00655CB5">
        <w:t>”</w:t>
      </w:r>
      <w:r w:rsidRPr="00577EC9">
        <w:t xml:space="preserve">. En la columna (8), insértese </w:t>
      </w:r>
      <w:r w:rsidR="00655CB5">
        <w:t>“</w:t>
      </w:r>
      <w:r w:rsidRPr="00577EC9">
        <w:t>LP200</w:t>
      </w:r>
      <w:r w:rsidR="00655CB5">
        <w:t>”</w:t>
      </w:r>
      <w:r w:rsidRPr="00577EC9">
        <w:t xml:space="preserve">. En la columna (9), insértese </w:t>
      </w:r>
      <w:r w:rsidR="00655CB5">
        <w:t>“</w:t>
      </w:r>
      <w:r w:rsidRPr="00577EC9">
        <w:t>PP96</w:t>
      </w:r>
      <w:r w:rsidR="00655CB5">
        <w:t>”</w:t>
      </w:r>
      <w:r w:rsidRPr="00577EC9">
        <w:t xml:space="preserve"> frente a </w:t>
      </w:r>
      <w:r w:rsidR="00655CB5">
        <w:t>“</w:t>
      </w:r>
      <w:r w:rsidRPr="00577EC9">
        <w:t>P003</w:t>
      </w:r>
      <w:r w:rsidR="00655CB5">
        <w:t>”</w:t>
      </w:r>
      <w:r w:rsidRPr="00577EC9">
        <w:t xml:space="preserve"> y </w:t>
      </w:r>
      <w:r w:rsidR="00655CB5">
        <w:t>“</w:t>
      </w:r>
      <w:r w:rsidRPr="00577EC9">
        <w:t>L2</w:t>
      </w:r>
      <w:r w:rsidR="00655CB5">
        <w:t>”</w:t>
      </w:r>
      <w:r w:rsidRPr="00577EC9">
        <w:t xml:space="preserve"> frente a </w:t>
      </w:r>
      <w:r w:rsidR="00655CB5">
        <w:t>“</w:t>
      </w:r>
      <w:r w:rsidRPr="00577EC9">
        <w:t>LP200</w:t>
      </w:r>
      <w:r w:rsidR="00655CB5">
        <w:t>”</w:t>
      </w:r>
      <w:r w:rsidRPr="00577EC9">
        <w:t>.</w:t>
      </w:r>
    </w:p>
    <w:p w14:paraId="225B4FD4" w14:textId="77777777" w:rsidR="00577EC9" w:rsidRPr="00577EC9" w:rsidRDefault="00577EC9" w:rsidP="00577EC9">
      <w:pPr>
        <w:pStyle w:val="SingleTxtG"/>
        <w:rPr>
          <w:lang w:val="en-GB"/>
        </w:rPr>
      </w:pPr>
      <w:r w:rsidRPr="00577EC9">
        <w:t xml:space="preserve">Para el </w:t>
      </w:r>
      <w:r w:rsidR="00655CB5">
        <w:t>núm.</w:t>
      </w:r>
      <w:r w:rsidRPr="00577EC9">
        <w:t xml:space="preserve"> ONU 2381, en la columna (11), suprímase </w:t>
      </w:r>
      <w:r w:rsidR="00655CB5">
        <w:t>“</w:t>
      </w:r>
      <w:r w:rsidRPr="00577EC9">
        <w:t>TP39</w:t>
      </w:r>
      <w:r w:rsidR="00655CB5">
        <w:t>”</w:t>
      </w:r>
      <w:r w:rsidRPr="00577EC9">
        <w:t xml:space="preserve">. </w:t>
      </w:r>
    </w:p>
    <w:p w14:paraId="241242A5" w14:textId="77777777" w:rsidR="00577EC9" w:rsidRPr="00577EC9" w:rsidRDefault="00577EC9" w:rsidP="00577EC9">
      <w:pPr>
        <w:pStyle w:val="SingleTxtG"/>
        <w:rPr>
          <w:lang w:val="en-GB"/>
        </w:rPr>
      </w:pPr>
      <w:r w:rsidRPr="00577EC9">
        <w:t xml:space="preserve">Para el </w:t>
      </w:r>
      <w:r w:rsidR="00655CB5">
        <w:t>núm.</w:t>
      </w:r>
      <w:r w:rsidRPr="00577EC9">
        <w:t xml:space="preserve"> ONU 2383, en la columna (6), suprímase </w:t>
      </w:r>
      <w:r w:rsidR="00655CB5">
        <w:t>“</w:t>
      </w:r>
      <w:r w:rsidRPr="00577EC9">
        <w:t>386</w:t>
      </w:r>
      <w:r w:rsidR="00655CB5">
        <w:t>”</w:t>
      </w:r>
      <w:r w:rsidRPr="00577EC9">
        <w:t>.</w:t>
      </w:r>
    </w:p>
    <w:p w14:paraId="6B938A7B" w14:textId="77777777" w:rsidR="00577EC9" w:rsidRPr="00577EC9" w:rsidRDefault="00577EC9" w:rsidP="00577EC9">
      <w:pPr>
        <w:pStyle w:val="SingleTxtG"/>
      </w:pPr>
      <w:r w:rsidRPr="00577EC9">
        <w:t xml:space="preserve">Para el </w:t>
      </w:r>
      <w:r w:rsidR="00655CB5">
        <w:t>núm.</w:t>
      </w:r>
      <w:r w:rsidRPr="00577EC9">
        <w:t xml:space="preserve"> ONU 2522, en la columna (2), añádase </w:t>
      </w:r>
      <w:r w:rsidR="00655CB5">
        <w:t>“</w:t>
      </w:r>
      <w:r w:rsidRPr="00577EC9">
        <w:t>, ESTABILIZADO</w:t>
      </w:r>
      <w:r w:rsidR="00655CB5">
        <w:t>”</w:t>
      </w:r>
      <w:r w:rsidRPr="00577EC9">
        <w:t xml:space="preserve"> al final y en la columna (6) añádase </w:t>
      </w:r>
      <w:r w:rsidR="00655CB5">
        <w:t>“</w:t>
      </w:r>
      <w:r w:rsidRPr="00577EC9">
        <w:t>386</w:t>
      </w:r>
      <w:r w:rsidR="00655CB5">
        <w:t>”</w:t>
      </w:r>
      <w:r w:rsidRPr="00577EC9">
        <w:t>.</w:t>
      </w:r>
    </w:p>
    <w:p w14:paraId="16348905" w14:textId="77777777" w:rsidR="00577EC9" w:rsidRPr="00577EC9" w:rsidRDefault="00577EC9" w:rsidP="00577EC9">
      <w:pPr>
        <w:pStyle w:val="SingleTxtG"/>
        <w:rPr>
          <w:lang w:val="en-GB"/>
        </w:rPr>
      </w:pPr>
      <w:r w:rsidRPr="00577EC9">
        <w:t xml:space="preserve">Para los </w:t>
      </w:r>
      <w:r w:rsidR="00655CB5">
        <w:t>núms.</w:t>
      </w:r>
      <w:r w:rsidRPr="00577EC9">
        <w:t xml:space="preserve"> ONU 2555, 2556, 2557 y 3380, en la columna (6), insértese </w:t>
      </w:r>
      <w:r w:rsidR="00655CB5">
        <w:t>“</w:t>
      </w:r>
      <w:r w:rsidRPr="00577EC9">
        <w:t>394</w:t>
      </w:r>
      <w:r w:rsidR="00655CB5">
        <w:t>”</w:t>
      </w:r>
      <w:r w:rsidRPr="00577EC9">
        <w:t>.</w:t>
      </w:r>
    </w:p>
    <w:p w14:paraId="787953DD" w14:textId="77777777" w:rsidR="00577EC9" w:rsidRPr="00577EC9" w:rsidRDefault="00577EC9" w:rsidP="00577EC9">
      <w:pPr>
        <w:pStyle w:val="SingleTxtG"/>
        <w:rPr>
          <w:lang w:val="en-GB"/>
        </w:rPr>
      </w:pPr>
      <w:r w:rsidRPr="00577EC9">
        <w:t xml:space="preserve">Para los </w:t>
      </w:r>
      <w:r w:rsidR="00655CB5">
        <w:t>núms.</w:t>
      </w:r>
      <w:r w:rsidRPr="00577EC9">
        <w:t xml:space="preserve"> ONU 3091 y 3481, en la columna (6), insértese </w:t>
      </w:r>
      <w:r w:rsidR="00655CB5">
        <w:t>“</w:t>
      </w:r>
      <w:r w:rsidRPr="00577EC9">
        <w:t>390</w:t>
      </w:r>
      <w:r w:rsidR="00655CB5">
        <w:t>”</w:t>
      </w:r>
      <w:r w:rsidRPr="00577EC9">
        <w:t>.</w:t>
      </w:r>
    </w:p>
    <w:p w14:paraId="61933753" w14:textId="77777777" w:rsidR="00577EC9" w:rsidRPr="00577EC9" w:rsidRDefault="00577EC9" w:rsidP="00577EC9">
      <w:pPr>
        <w:pStyle w:val="SingleTxtG"/>
        <w:rPr>
          <w:lang w:val="en-GB"/>
        </w:rPr>
      </w:pPr>
      <w:r w:rsidRPr="00577EC9">
        <w:t xml:space="preserve">Para el </w:t>
      </w:r>
      <w:r w:rsidR="00655CB5">
        <w:t>núm.</w:t>
      </w:r>
      <w:r w:rsidRPr="00577EC9">
        <w:t xml:space="preserve"> ONU 3148, en la columna (11), suprímase </w:t>
      </w:r>
      <w:r w:rsidR="00655CB5">
        <w:t>“</w:t>
      </w:r>
      <w:r w:rsidRPr="00577EC9">
        <w:t>TP38</w:t>
      </w:r>
      <w:r w:rsidR="00655CB5">
        <w:t>”</w:t>
      </w:r>
      <w:r w:rsidRPr="00577EC9">
        <w:t>.</w:t>
      </w:r>
    </w:p>
    <w:p w14:paraId="67BE56AC" w14:textId="77777777" w:rsidR="00577EC9" w:rsidRPr="00577EC9" w:rsidRDefault="00577EC9" w:rsidP="00577EC9">
      <w:pPr>
        <w:pStyle w:val="SingleTxtG"/>
        <w:rPr>
          <w:lang w:val="en-GB"/>
        </w:rPr>
      </w:pPr>
      <w:r w:rsidRPr="00577EC9">
        <w:t xml:space="preserve">Para el </w:t>
      </w:r>
      <w:r w:rsidR="00655CB5">
        <w:t>núm.</w:t>
      </w:r>
      <w:r w:rsidRPr="00577EC9">
        <w:t xml:space="preserve"> ONU 3164, en la columna (9), añádase </w:t>
      </w:r>
      <w:r w:rsidR="00655CB5">
        <w:t>“</w:t>
      </w:r>
      <w:r w:rsidRPr="00577EC9">
        <w:t>PP32</w:t>
      </w:r>
      <w:r w:rsidR="00655CB5">
        <w:t>”</w:t>
      </w:r>
      <w:r w:rsidRPr="00577EC9">
        <w:t xml:space="preserve"> frente a </w:t>
      </w:r>
      <w:r w:rsidR="00655CB5">
        <w:t>“</w:t>
      </w:r>
      <w:r w:rsidRPr="00577EC9">
        <w:t>P003</w:t>
      </w:r>
      <w:r w:rsidR="00655CB5">
        <w:t>”</w:t>
      </w:r>
      <w:r w:rsidRPr="00577EC9">
        <w:t>.</w:t>
      </w:r>
    </w:p>
    <w:p w14:paraId="0C0FF76E" w14:textId="77777777" w:rsidR="00577EC9" w:rsidRPr="00577EC9" w:rsidRDefault="00577EC9" w:rsidP="00577EC9">
      <w:pPr>
        <w:pStyle w:val="SingleTxtG"/>
        <w:rPr>
          <w:lang w:val="en-GB"/>
        </w:rPr>
      </w:pPr>
      <w:r w:rsidRPr="00577EC9">
        <w:t xml:space="preserve">Para el </w:t>
      </w:r>
      <w:r w:rsidR="00655CB5">
        <w:t>núm.</w:t>
      </w:r>
      <w:r w:rsidRPr="00577EC9">
        <w:t xml:space="preserve"> ONU 3291, en la columna (5), suprímase </w:t>
      </w:r>
      <w:r w:rsidR="00655CB5">
        <w:t>“</w:t>
      </w:r>
      <w:r w:rsidRPr="00577EC9">
        <w:t>II</w:t>
      </w:r>
      <w:r w:rsidR="00655CB5">
        <w:t>”</w:t>
      </w:r>
      <w:r w:rsidRPr="00577EC9">
        <w:t>.</w:t>
      </w:r>
    </w:p>
    <w:p w14:paraId="5B93DC80" w14:textId="77777777" w:rsidR="00577EC9" w:rsidRPr="00577EC9" w:rsidRDefault="00577EC9" w:rsidP="00577EC9">
      <w:pPr>
        <w:pStyle w:val="SingleTxtG"/>
        <w:rPr>
          <w:lang w:val="en-GB"/>
        </w:rPr>
      </w:pPr>
      <w:r w:rsidRPr="00577EC9">
        <w:t xml:space="preserve">Para el </w:t>
      </w:r>
      <w:r w:rsidR="00655CB5">
        <w:t>núm.</w:t>
      </w:r>
      <w:r w:rsidRPr="00577EC9">
        <w:t xml:space="preserve"> ONU 3363, en la columna (2), al principio de la descripción, añádase </w:t>
      </w:r>
      <w:r w:rsidR="00655CB5">
        <w:t>“</w:t>
      </w:r>
      <w:r w:rsidRPr="00577EC9">
        <w:t>MERCANCÍAS PELIGROSAS EN LOS ARTÍCULOS o</w:t>
      </w:r>
      <w:r w:rsidR="00655CB5">
        <w:t>”</w:t>
      </w:r>
      <w:r w:rsidRPr="00577EC9">
        <w:t>.</w:t>
      </w:r>
    </w:p>
    <w:p w14:paraId="527EF46A" w14:textId="77777777" w:rsidR="00577EC9" w:rsidRPr="00577EC9" w:rsidRDefault="00577EC9" w:rsidP="00577EC9">
      <w:pPr>
        <w:pStyle w:val="SingleTxtG"/>
        <w:rPr>
          <w:lang w:val="en-GB"/>
        </w:rPr>
      </w:pPr>
      <w:r w:rsidRPr="00577EC9">
        <w:t xml:space="preserve">Para el </w:t>
      </w:r>
      <w:r w:rsidR="00655CB5">
        <w:t>núm.</w:t>
      </w:r>
      <w:r w:rsidRPr="00577EC9">
        <w:t xml:space="preserve"> ONU 3500, en la columna (9), insértese </w:t>
      </w:r>
      <w:r w:rsidR="00655CB5">
        <w:t>“</w:t>
      </w:r>
      <w:r w:rsidRPr="00577EC9">
        <w:t>PP97</w:t>
      </w:r>
      <w:r w:rsidR="00655CB5">
        <w:t>”</w:t>
      </w:r>
      <w:r w:rsidRPr="00577EC9">
        <w:t xml:space="preserve"> frente a </w:t>
      </w:r>
      <w:r w:rsidR="00655CB5">
        <w:t>“</w:t>
      </w:r>
      <w:r w:rsidRPr="00577EC9">
        <w:t>P206</w:t>
      </w:r>
      <w:r w:rsidR="00655CB5">
        <w:t>”</w:t>
      </w:r>
      <w:r w:rsidRPr="00577EC9">
        <w:t>.</w:t>
      </w:r>
    </w:p>
    <w:p w14:paraId="6B735F25" w14:textId="77777777" w:rsidR="00577EC9" w:rsidRPr="00577EC9" w:rsidRDefault="00577EC9" w:rsidP="00577EC9">
      <w:pPr>
        <w:pStyle w:val="SingleTxtG"/>
        <w:rPr>
          <w:lang w:val="en-GB"/>
        </w:rPr>
      </w:pPr>
      <w:r w:rsidRPr="00577EC9">
        <w:t xml:space="preserve">Para el </w:t>
      </w:r>
      <w:r w:rsidR="00655CB5">
        <w:t>núm.</w:t>
      </w:r>
      <w:r w:rsidRPr="00577EC9">
        <w:t xml:space="preserve"> ONU 3529, </w:t>
      </w:r>
      <w:r w:rsidR="00F5164B">
        <w:t xml:space="preserve">en </w:t>
      </w:r>
      <w:r w:rsidRPr="00577EC9">
        <w:t xml:space="preserve">la columna (6), añádase </w:t>
      </w:r>
      <w:r w:rsidR="00655CB5">
        <w:t>“</w:t>
      </w:r>
      <w:r w:rsidRPr="00577EC9">
        <w:t>356</w:t>
      </w:r>
      <w:r w:rsidR="00655CB5">
        <w:t>”</w:t>
      </w:r>
      <w:r w:rsidRPr="00577EC9">
        <w:t>.</w:t>
      </w:r>
    </w:p>
    <w:p w14:paraId="44160A13" w14:textId="77777777" w:rsidR="00577EC9" w:rsidRPr="00577EC9" w:rsidRDefault="00577EC9" w:rsidP="00D67D34">
      <w:pPr>
        <w:pStyle w:val="H1G"/>
        <w:rPr>
          <w:lang w:val="en-GB"/>
        </w:rPr>
      </w:pPr>
      <w:r w:rsidRPr="00577EC9">
        <w:tab/>
      </w:r>
      <w:r w:rsidRPr="00577EC9">
        <w:tab/>
        <w:t>Capítulo 3.3</w:t>
      </w:r>
    </w:p>
    <w:p w14:paraId="1C8D49A8" w14:textId="77777777" w:rsidR="00577EC9" w:rsidRPr="00577EC9" w:rsidRDefault="00577EC9" w:rsidP="00577EC9">
      <w:pPr>
        <w:pStyle w:val="SingleTxtG"/>
        <w:rPr>
          <w:lang w:val="en-GB"/>
        </w:rPr>
      </w:pPr>
      <w:r w:rsidRPr="00577EC9">
        <w:t>DE 172 d)</w:t>
      </w:r>
      <w:r w:rsidRPr="00577EC9">
        <w:tab/>
        <w:t xml:space="preserve">Sustitúyase </w:t>
      </w:r>
      <w:r w:rsidR="00655CB5">
        <w:t>“</w:t>
      </w:r>
      <w:r w:rsidRPr="00577EC9">
        <w:t>clase o división secundaria</w:t>
      </w:r>
      <w:r w:rsidR="00655CB5">
        <w:t>”</w:t>
      </w:r>
      <w:r w:rsidRPr="00577EC9">
        <w:t xml:space="preserve"> por </w:t>
      </w:r>
      <w:r w:rsidR="00655CB5">
        <w:t>“</w:t>
      </w:r>
      <w:r w:rsidRPr="00577EC9">
        <w:t>clase o división del riesgo secundario</w:t>
      </w:r>
      <w:r w:rsidR="00655CB5">
        <w:t>”</w:t>
      </w:r>
      <w:r w:rsidRPr="00577EC9">
        <w:t>.</w:t>
      </w:r>
    </w:p>
    <w:p w14:paraId="734F61D5" w14:textId="77777777" w:rsidR="00577EC9" w:rsidRPr="00577EC9" w:rsidRDefault="00577EC9" w:rsidP="00577EC9">
      <w:pPr>
        <w:pStyle w:val="SingleTxtG"/>
        <w:rPr>
          <w:bCs/>
          <w:lang w:val="en-GB"/>
        </w:rPr>
      </w:pPr>
      <w:r w:rsidRPr="00577EC9">
        <w:t>DE 239</w:t>
      </w:r>
      <w:r w:rsidRPr="00577EC9">
        <w:tab/>
        <w:t>Suprímase la última frase.</w:t>
      </w:r>
    </w:p>
    <w:p w14:paraId="4769243C" w14:textId="77777777" w:rsidR="00577EC9" w:rsidRPr="00577EC9" w:rsidRDefault="00577EC9" w:rsidP="00577EC9">
      <w:pPr>
        <w:pStyle w:val="SingleTxtG"/>
        <w:rPr>
          <w:lang w:val="en-GB"/>
        </w:rPr>
      </w:pPr>
      <w:r w:rsidRPr="00577EC9">
        <w:t>DE 274</w:t>
      </w:r>
      <w:r w:rsidRPr="00577EC9">
        <w:tab/>
        <w:t>Al final, añádanse los nuevos párrafos siguientes:</w:t>
      </w:r>
    </w:p>
    <w:p w14:paraId="279FF561" w14:textId="77777777" w:rsidR="00577EC9" w:rsidRPr="00577EC9" w:rsidRDefault="00655CB5" w:rsidP="00577EC9">
      <w:pPr>
        <w:pStyle w:val="SingleTxtG"/>
        <w:rPr>
          <w:lang w:val="en-GB"/>
        </w:rPr>
      </w:pPr>
      <w:r>
        <w:t>“</w:t>
      </w:r>
      <w:r w:rsidR="00577EC9" w:rsidRPr="00577EC9">
        <w:t xml:space="preserve">Únicamente para los </w:t>
      </w:r>
      <w:r>
        <w:t>núms.</w:t>
      </w:r>
      <w:r w:rsidR="00577EC9" w:rsidRPr="00577EC9">
        <w:t xml:space="preserve"> ONU 3077 y ONU 3082, el nombre técnico podrá ser un nombre que figure en letras mayúsculas en la columna 2 de la lista de mercancías peligrosas, siempre que dicho nombre no incluya </w:t>
      </w:r>
      <w:r w:rsidR="00F5164B">
        <w:t>‘</w:t>
      </w:r>
      <w:r w:rsidR="00577EC9" w:rsidRPr="00577EC9">
        <w:t>N.E.P.</w:t>
      </w:r>
      <w:r w:rsidR="00F5164B">
        <w:t>’</w:t>
      </w:r>
      <w:r w:rsidR="00577EC9" w:rsidRPr="00577EC9">
        <w:t xml:space="preserve"> y que no se aplique la disposición especial 274. Se utilizará el nombre que mejor describa la sustancia o mezcla, por ejemplo:</w:t>
      </w:r>
    </w:p>
    <w:p w14:paraId="3E954D13" w14:textId="77777777" w:rsidR="00577EC9" w:rsidRPr="00577EC9" w:rsidRDefault="00F5164B" w:rsidP="00577EC9">
      <w:pPr>
        <w:pStyle w:val="SingleTxtG"/>
        <w:rPr>
          <w:lang w:val="en-GB"/>
        </w:rPr>
      </w:pPr>
      <w:r>
        <w:t>Núm</w:t>
      </w:r>
      <w:r w:rsidR="00655CB5">
        <w:t>.</w:t>
      </w:r>
      <w:r w:rsidR="00577EC9" w:rsidRPr="00577EC9">
        <w:t xml:space="preserve"> ONU 3082 SUSTANCIA PELIGROSA PARA EL MEDIO AMBIENTE, LÍQUIDA, N.E.P (PINTURA).</w:t>
      </w:r>
    </w:p>
    <w:p w14:paraId="00BAACA5" w14:textId="77777777" w:rsidR="00577EC9" w:rsidRPr="00577EC9" w:rsidRDefault="00F5164B" w:rsidP="00577EC9">
      <w:pPr>
        <w:pStyle w:val="SingleTxtG"/>
        <w:rPr>
          <w:lang w:val="en-GB"/>
        </w:rPr>
      </w:pPr>
      <w:r>
        <w:t>Núm</w:t>
      </w:r>
      <w:r w:rsidR="00655CB5">
        <w:t>.</w:t>
      </w:r>
      <w:r w:rsidR="00577EC9" w:rsidRPr="00577EC9">
        <w:t xml:space="preserve"> ONU 3082 SUSTANCIA PELIGROSA PARA EL MEDIO AMBIENTE, LÍQUIDA, N.E.P (PRODUCTOS DE PERFUMERÍA).</w:t>
      </w:r>
    </w:p>
    <w:p w14:paraId="147DE825" w14:textId="77777777" w:rsidR="00577EC9" w:rsidRPr="00577EC9" w:rsidRDefault="00577EC9" w:rsidP="00577EC9">
      <w:pPr>
        <w:pStyle w:val="SingleTxtG"/>
        <w:rPr>
          <w:lang w:val="en-GB"/>
        </w:rPr>
      </w:pPr>
      <w:r w:rsidRPr="00577EC9">
        <w:t>DE 301</w:t>
      </w:r>
      <w:r w:rsidRPr="00577EC9">
        <w:tab/>
        <w:t xml:space="preserve">En la primera frase, sustitúyase </w:t>
      </w:r>
      <w:r w:rsidR="00655CB5">
        <w:t>“</w:t>
      </w:r>
      <w:r w:rsidRPr="00577EC9">
        <w:t>se aplica a las máquinas o los aparatos</w:t>
      </w:r>
      <w:r w:rsidR="00655CB5">
        <w:t>”</w:t>
      </w:r>
      <w:r w:rsidRPr="00577EC9">
        <w:t xml:space="preserve"> por </w:t>
      </w:r>
      <w:r w:rsidR="00655CB5">
        <w:t>“</w:t>
      </w:r>
      <w:r w:rsidRPr="00577EC9">
        <w:t>se aplica a artículos como máquinas, aparatos o dispositivos</w:t>
      </w:r>
      <w:r w:rsidR="00655CB5">
        <w:t>”</w:t>
      </w:r>
      <w:r w:rsidRPr="00577EC9">
        <w:t xml:space="preserve">. En las frases primera, segunda, tercera, cuarta, quinta y última, sustitúyase </w:t>
      </w:r>
      <w:r w:rsidR="00655CB5">
        <w:t>“</w:t>
      </w:r>
      <w:r w:rsidRPr="00577EC9">
        <w:t>máquinas o aparatos</w:t>
      </w:r>
      <w:r w:rsidR="00655CB5">
        <w:t>”</w:t>
      </w:r>
      <w:r w:rsidRPr="00577EC9">
        <w:t xml:space="preserve"> por </w:t>
      </w:r>
      <w:r w:rsidR="00655CB5">
        <w:t>“</w:t>
      </w:r>
      <w:r w:rsidRPr="00577EC9">
        <w:t>artículos</w:t>
      </w:r>
      <w:r w:rsidR="00655CB5">
        <w:t>”</w:t>
      </w:r>
      <w:r w:rsidRPr="00577EC9">
        <w:t>.</w:t>
      </w:r>
    </w:p>
    <w:p w14:paraId="3D3FA1BE" w14:textId="77777777" w:rsidR="00577EC9" w:rsidRPr="00577EC9" w:rsidRDefault="00577EC9" w:rsidP="00577EC9">
      <w:pPr>
        <w:pStyle w:val="SingleTxtG"/>
        <w:rPr>
          <w:lang w:val="en-GB"/>
        </w:rPr>
      </w:pPr>
      <w:r w:rsidRPr="00577EC9">
        <w:t>DE 309</w:t>
      </w:r>
      <w:r w:rsidRPr="00577EC9">
        <w:tab/>
        <w:t xml:space="preserve">En el último párrafo, sustitúyase </w:t>
      </w:r>
      <w:r w:rsidR="00655CB5">
        <w:t>“</w:t>
      </w:r>
      <w:r w:rsidRPr="00577EC9">
        <w:t>superar satisfactoriamente las pruebas de tipo a), b) y c) de la serie de pruebas 8</w:t>
      </w:r>
      <w:r w:rsidR="00655CB5">
        <w:t>”</w:t>
      </w:r>
      <w:r w:rsidRPr="00577EC9">
        <w:t xml:space="preserve"> por </w:t>
      </w:r>
      <w:r w:rsidR="00655CB5">
        <w:t>“</w:t>
      </w:r>
      <w:r w:rsidRPr="00577EC9">
        <w:t>satisfacer los criterios para la clasificación como ENA</w:t>
      </w:r>
      <w:r w:rsidR="00655CB5">
        <w:t>”</w:t>
      </w:r>
      <w:r w:rsidRPr="00577EC9">
        <w:t>.</w:t>
      </w:r>
    </w:p>
    <w:p w14:paraId="4D2CD43F" w14:textId="77777777" w:rsidR="00577EC9" w:rsidRPr="00577EC9" w:rsidRDefault="00577EC9" w:rsidP="00577EC9">
      <w:pPr>
        <w:pStyle w:val="SingleTxtG"/>
        <w:rPr>
          <w:lang w:val="en-GB"/>
        </w:rPr>
      </w:pPr>
      <w:r w:rsidRPr="00577EC9">
        <w:t>DE 327</w:t>
      </w:r>
      <w:r w:rsidRPr="00577EC9">
        <w:tab/>
        <w:t xml:space="preserve">En la primera frase, sustitúyase </w:t>
      </w:r>
      <w:r w:rsidR="00655CB5">
        <w:t>“</w:t>
      </w:r>
      <w:r w:rsidRPr="00577EC9">
        <w:t>aerosoles de desecho transportados</w:t>
      </w:r>
      <w:r w:rsidR="00655CB5">
        <w:t>”</w:t>
      </w:r>
      <w:r w:rsidRPr="00577EC9">
        <w:t xml:space="preserve"> por </w:t>
      </w:r>
      <w:r w:rsidR="00655CB5">
        <w:t>“</w:t>
      </w:r>
      <w:r w:rsidRPr="00577EC9">
        <w:t>Aerosoles de desecho y cartuchos de gas de desecho transportados</w:t>
      </w:r>
      <w:r w:rsidR="00655CB5">
        <w:t>”</w:t>
      </w:r>
      <w:r w:rsidRPr="00577EC9">
        <w:t xml:space="preserve"> y </w:t>
      </w:r>
      <w:r w:rsidR="00655CB5">
        <w:t>“</w:t>
      </w:r>
      <w:r w:rsidRPr="00577EC9">
        <w:t>con arreglo a esta disposición especial</w:t>
      </w:r>
      <w:r w:rsidR="00655CB5">
        <w:t>”</w:t>
      </w:r>
      <w:r w:rsidRPr="00577EC9">
        <w:t xml:space="preserve"> por </w:t>
      </w:r>
      <w:r w:rsidR="00655CB5">
        <w:t>“</w:t>
      </w:r>
      <w:r w:rsidRPr="00577EC9">
        <w:t xml:space="preserve">con arreglo a los </w:t>
      </w:r>
      <w:r w:rsidR="00655CB5">
        <w:t>núms.</w:t>
      </w:r>
      <w:r w:rsidRPr="00577EC9">
        <w:t xml:space="preserve"> ONU 1950 o 2037, según proceda,</w:t>
      </w:r>
      <w:r w:rsidR="00655CB5">
        <w:t>”</w:t>
      </w:r>
      <w:r w:rsidRPr="00577EC9">
        <w:t>.</w:t>
      </w:r>
    </w:p>
    <w:p w14:paraId="4BD74B5B" w14:textId="77777777" w:rsidR="00577EC9" w:rsidRPr="00577EC9" w:rsidRDefault="00577EC9" w:rsidP="00577EC9">
      <w:pPr>
        <w:pStyle w:val="SingleTxtG"/>
        <w:rPr>
          <w:lang w:val="en-GB"/>
        </w:rPr>
      </w:pPr>
      <w:r w:rsidRPr="00577EC9">
        <w:t xml:space="preserve">Después de la tercera frase, insértese la nueva frase siguiente: </w:t>
      </w:r>
      <w:r w:rsidR="00655CB5">
        <w:t>“</w:t>
      </w:r>
      <w:r w:rsidRPr="00577EC9">
        <w:t xml:space="preserve">Los cartuchos de gas de desecho, con exclusión de los que presenten fugas o graves deformaciones, deberán estar embalados/envasados de conformidad con la instrucción de embalaje/envasado P003 y con </w:t>
      </w:r>
      <w:r w:rsidRPr="00577EC9">
        <w:lastRenderedPageBreak/>
        <w:t>las disposiciones especiales PP17 y PP96, o con la instrucción de embalaje/envasado LP200 y la disposición especial L2.</w:t>
      </w:r>
      <w:r w:rsidR="00655CB5">
        <w:t>”</w:t>
      </w:r>
      <w:r w:rsidRPr="00577EC9">
        <w:t>.</w:t>
      </w:r>
    </w:p>
    <w:p w14:paraId="1D72AD10" w14:textId="77777777" w:rsidR="00577EC9" w:rsidRPr="00577EC9" w:rsidRDefault="00577EC9" w:rsidP="00577EC9">
      <w:pPr>
        <w:pStyle w:val="SingleTxtG"/>
        <w:rPr>
          <w:lang w:val="en-GB"/>
        </w:rPr>
      </w:pPr>
      <w:r w:rsidRPr="00577EC9">
        <w:t xml:space="preserve">En la frase siguiente, sustitúyase </w:t>
      </w:r>
      <w:r w:rsidR="00655CB5">
        <w:t>“</w:t>
      </w:r>
      <w:r w:rsidRPr="00577EC9">
        <w:t>los aerosoles se transportarán en embalajes de socorro</w:t>
      </w:r>
      <w:r w:rsidR="00655CB5">
        <w:t>”</w:t>
      </w:r>
      <w:r w:rsidRPr="00577EC9">
        <w:t xml:space="preserve"> por </w:t>
      </w:r>
      <w:r w:rsidR="00655CB5">
        <w:t>“</w:t>
      </w:r>
      <w:r w:rsidRPr="00577EC9">
        <w:t>los aerosoles y los cartuchos de gas se transportarán en receptáculos a presión de socorro o en embalajes de socorro</w:t>
      </w:r>
      <w:r w:rsidR="00655CB5">
        <w:t>”</w:t>
      </w:r>
      <w:r w:rsidRPr="00577EC9">
        <w:t>.</w:t>
      </w:r>
    </w:p>
    <w:p w14:paraId="536611D5" w14:textId="77777777" w:rsidR="00577EC9" w:rsidRPr="00577EC9" w:rsidRDefault="00577EC9" w:rsidP="00577EC9">
      <w:pPr>
        <w:pStyle w:val="SingleTxtG"/>
        <w:rPr>
          <w:lang w:val="en-GB"/>
        </w:rPr>
      </w:pPr>
      <w:r w:rsidRPr="00577EC9">
        <w:t xml:space="preserve">En la última frase, sustitúyase </w:t>
      </w:r>
      <w:r w:rsidR="00655CB5">
        <w:t>“</w:t>
      </w:r>
      <w:r w:rsidRPr="00577EC9">
        <w:t>Los aerosoles de desecho no deberán</w:t>
      </w:r>
      <w:r w:rsidR="00655CB5">
        <w:t>”</w:t>
      </w:r>
      <w:r w:rsidRPr="00577EC9">
        <w:t xml:space="preserve"> por </w:t>
      </w:r>
      <w:r w:rsidR="00655CB5">
        <w:t>“</w:t>
      </w:r>
      <w:r w:rsidRPr="00577EC9">
        <w:t>Los aerosoles de desecho y los cartuchos de gas de desecho no deberán</w:t>
      </w:r>
      <w:r w:rsidR="00655CB5">
        <w:t>”</w:t>
      </w:r>
      <w:r w:rsidRPr="00577EC9">
        <w:t>. Al final, añádase el nuevo párrafo siguiente:</w:t>
      </w:r>
    </w:p>
    <w:p w14:paraId="0DC6FC1D" w14:textId="77777777" w:rsidR="00577EC9" w:rsidRPr="00577EC9" w:rsidRDefault="00655CB5" w:rsidP="00577EC9">
      <w:pPr>
        <w:pStyle w:val="SingleTxtG"/>
        <w:rPr>
          <w:lang w:val="en-GB"/>
        </w:rPr>
      </w:pPr>
      <w:r>
        <w:t>“</w:t>
      </w:r>
      <w:r w:rsidR="00577EC9" w:rsidRPr="00577EC9">
        <w:t>Los cartuchos de gas de desecho que se hubieran llenado con gases de la División 2.2 y que hayan sido perforados no están sujetos a la presente Reglamentación.</w:t>
      </w:r>
      <w:r>
        <w:t>”</w:t>
      </w:r>
      <w:bookmarkStart w:id="6" w:name="_Hlk2326726"/>
      <w:bookmarkEnd w:id="6"/>
    </w:p>
    <w:p w14:paraId="25C28EF2" w14:textId="77777777" w:rsidR="00577EC9" w:rsidRPr="00577EC9" w:rsidRDefault="00577EC9" w:rsidP="00577EC9">
      <w:pPr>
        <w:pStyle w:val="SingleTxtG"/>
        <w:rPr>
          <w:lang w:val="en-GB"/>
        </w:rPr>
      </w:pPr>
      <w:r w:rsidRPr="00577EC9">
        <w:t>DE 356</w:t>
      </w:r>
      <w:r w:rsidRPr="00577EC9">
        <w:tab/>
        <w:t xml:space="preserve">Después de </w:t>
      </w:r>
      <w:r w:rsidR="00655CB5">
        <w:t>“</w:t>
      </w:r>
      <w:r w:rsidRPr="00577EC9">
        <w:t>en vehículos, embarcaciones</w:t>
      </w:r>
      <w:r w:rsidR="00655CB5">
        <w:t>”</w:t>
      </w:r>
      <w:r w:rsidRPr="00577EC9">
        <w:t xml:space="preserve">, añádase </w:t>
      </w:r>
      <w:r w:rsidR="00655CB5">
        <w:t>“</w:t>
      </w:r>
      <w:r w:rsidRPr="00577EC9">
        <w:t>, maquinaria, motores</w:t>
      </w:r>
      <w:r w:rsidR="00655CB5">
        <w:t>”</w:t>
      </w:r>
      <w:r w:rsidRPr="00577EC9">
        <w:t xml:space="preserve"> (dos veces). La segunda enmienda del texto inglés no se aplica al texto español.</w:t>
      </w:r>
      <w:bookmarkStart w:id="7" w:name="_Hlk2326794"/>
      <w:bookmarkEnd w:id="7"/>
    </w:p>
    <w:p w14:paraId="33F2AC69" w14:textId="77777777" w:rsidR="00577EC9" w:rsidRPr="00577EC9" w:rsidRDefault="00577EC9" w:rsidP="00577EC9">
      <w:pPr>
        <w:pStyle w:val="SingleTxtG"/>
        <w:rPr>
          <w:bCs/>
          <w:lang w:val="en-GB"/>
        </w:rPr>
      </w:pPr>
      <w:r w:rsidRPr="00577EC9">
        <w:t>DE 360</w:t>
      </w:r>
      <w:r w:rsidRPr="00577EC9">
        <w:tab/>
        <w:t xml:space="preserve">La primera enmienda del texto inglés no se aplica al texto español. </w:t>
      </w:r>
    </w:p>
    <w:p w14:paraId="7FCD1175" w14:textId="77777777" w:rsidR="00577EC9" w:rsidRPr="00577EC9" w:rsidRDefault="00577EC9" w:rsidP="00577EC9">
      <w:pPr>
        <w:pStyle w:val="SingleTxtG"/>
        <w:rPr>
          <w:lang w:val="en-GB"/>
        </w:rPr>
      </w:pPr>
      <w:r w:rsidRPr="00577EC9">
        <w:t xml:space="preserve">Al final, añádase la siguiente frase: </w:t>
      </w:r>
      <w:r w:rsidR="00655CB5">
        <w:t>“</w:t>
      </w:r>
      <w:r w:rsidRPr="00577EC9">
        <w:t xml:space="preserve">Las baterías de litio instaladas en las unidades de transporte de carga, diseñadas únicamente para suministrar energía externa a la unidad de transporte, se asignarán a la entrada </w:t>
      </w:r>
      <w:r w:rsidR="00655CB5">
        <w:t>núm.</w:t>
      </w:r>
      <w:r w:rsidRPr="00577EC9">
        <w:t xml:space="preserve"> ONU 3536 BATERÍAS DE LITIO INSTALADAS EN LA UNIDAD DE TRANSPORTE DE CARGA</w:t>
      </w:r>
      <w:r w:rsidR="00655CB5">
        <w:t>”</w:t>
      </w:r>
      <w:r w:rsidRPr="00577EC9">
        <w:t>.</w:t>
      </w:r>
      <w:bookmarkStart w:id="8" w:name="_Hlk2326874"/>
      <w:bookmarkEnd w:id="8"/>
    </w:p>
    <w:p w14:paraId="7923A31F" w14:textId="77777777" w:rsidR="00577EC9" w:rsidRPr="00577EC9" w:rsidRDefault="00577EC9" w:rsidP="00577EC9">
      <w:pPr>
        <w:pStyle w:val="SingleTxtG"/>
        <w:rPr>
          <w:bCs/>
          <w:lang w:val="en-GB"/>
        </w:rPr>
      </w:pPr>
      <w:r w:rsidRPr="00577EC9">
        <w:t>DE 363 j)</w:t>
      </w:r>
      <w:r w:rsidRPr="00577EC9">
        <w:tab/>
        <w:t>En el último párrafo, suprímase</w:t>
      </w:r>
      <w:r w:rsidR="00F5164B">
        <w:t xml:space="preserve"> “</w:t>
      </w:r>
      <w:r w:rsidRPr="00577EC9">
        <w:t>, conforme a lo dispuesto en 5.3.1.1.2</w:t>
      </w:r>
      <w:r w:rsidR="00655CB5">
        <w:t>”</w:t>
      </w:r>
      <w:r w:rsidRPr="00577EC9">
        <w:t xml:space="preserve"> y añádase la frase nueva siguiente: Los rótulos corresponderán a la clase indicada en la columna 3 de la lista de mercancías peligrosas del capítulo 3.2 y se ajustarán a las especificaciones indicadas en 5.3.1.2.1;</w:t>
      </w:r>
      <w:r w:rsidR="00655CB5">
        <w:t>”</w:t>
      </w:r>
      <w:r w:rsidRPr="00577EC9">
        <w:t>.</w:t>
      </w:r>
      <w:bookmarkStart w:id="9" w:name="_Hlk2327033"/>
      <w:bookmarkEnd w:id="9"/>
    </w:p>
    <w:p w14:paraId="6735D292" w14:textId="77777777" w:rsidR="00577EC9" w:rsidRPr="00577EC9" w:rsidRDefault="00577EC9" w:rsidP="00577EC9">
      <w:pPr>
        <w:pStyle w:val="SingleTxtG"/>
        <w:rPr>
          <w:lang w:val="en-GB"/>
        </w:rPr>
      </w:pPr>
      <w:r w:rsidRPr="00577EC9">
        <w:t>DE 363 k)</w:t>
      </w:r>
      <w:r w:rsidRPr="00577EC9">
        <w:tab/>
        <w:t xml:space="preserve">En el último párrafo, suprímase </w:t>
      </w:r>
      <w:r w:rsidR="00655CB5">
        <w:t>“</w:t>
      </w:r>
      <w:r w:rsidRPr="00577EC9">
        <w:t>, conforme a lo dispuesto en 5.3.1.1.2</w:t>
      </w:r>
      <w:r w:rsidR="00655CB5">
        <w:t>”</w:t>
      </w:r>
      <w:r w:rsidRPr="00577EC9">
        <w:t xml:space="preserve"> y añádase la frase nueva siguiente: </w:t>
      </w:r>
      <w:r w:rsidR="00655CB5">
        <w:t>“</w:t>
      </w:r>
      <w:r w:rsidRPr="00577EC9">
        <w:t>Los rótulos corresponderán a la clase indicada en la columna 3 de la lista de mercancías peligrosas del capítulo 3.2 y se ajustarán a las especificaciones indicadas en 5.3.1.2.1;</w:t>
      </w:r>
      <w:r w:rsidR="00655CB5">
        <w:t>”</w:t>
      </w:r>
      <w:r w:rsidRPr="00577EC9">
        <w:t>.</w:t>
      </w:r>
    </w:p>
    <w:p w14:paraId="16DC240D" w14:textId="77777777" w:rsidR="00577EC9" w:rsidRPr="00577EC9" w:rsidRDefault="00577EC9" w:rsidP="00577EC9">
      <w:pPr>
        <w:pStyle w:val="SingleTxtG"/>
        <w:rPr>
          <w:lang w:val="en-GB"/>
        </w:rPr>
      </w:pPr>
      <w:r w:rsidRPr="00577EC9">
        <w:t>DE 370</w:t>
      </w:r>
      <w:r w:rsidRPr="00577EC9">
        <w:tab/>
        <w:t>Modifíquese la primera frase para que diga</w:t>
      </w:r>
      <w:r w:rsidR="00655CB5">
        <w:t xml:space="preserve"> lo siguiente: “Este epígrafe so</w:t>
      </w:r>
      <w:r w:rsidRPr="00577EC9">
        <w:t>lo se aplica al nitrato de amonio que cumpla uno de los criterios siguientes:</w:t>
      </w:r>
      <w:r w:rsidR="00655CB5">
        <w:t>”</w:t>
      </w:r>
      <w:r w:rsidRPr="00577EC9">
        <w:t xml:space="preserve"> y, al final del primer guion, sustitúyase </w:t>
      </w:r>
      <w:r w:rsidR="00655CB5">
        <w:t>“</w:t>
      </w:r>
      <w:r w:rsidRPr="00577EC9">
        <w:t>y</w:t>
      </w:r>
      <w:r w:rsidR="00655CB5">
        <w:t>”</w:t>
      </w:r>
      <w:r w:rsidRPr="00577EC9">
        <w:t xml:space="preserve"> por </w:t>
      </w:r>
      <w:r w:rsidR="00655CB5">
        <w:t>“</w:t>
      </w:r>
      <w:r w:rsidRPr="00577EC9">
        <w:t>o</w:t>
      </w:r>
      <w:r w:rsidR="00655CB5">
        <w:t>”</w:t>
      </w:r>
      <w:r w:rsidRPr="00577EC9">
        <w:t>.</w:t>
      </w:r>
    </w:p>
    <w:p w14:paraId="165FC79D" w14:textId="77777777" w:rsidR="00577EC9" w:rsidRPr="00577EC9" w:rsidRDefault="00577EC9" w:rsidP="00577EC9">
      <w:pPr>
        <w:pStyle w:val="SingleTxtG"/>
        <w:rPr>
          <w:lang w:val="en-GB"/>
        </w:rPr>
      </w:pPr>
      <w:r w:rsidRPr="00577EC9">
        <w:t>Al final, después de los guiones, añádase el nuevo párrafo siguiente:</w:t>
      </w:r>
    </w:p>
    <w:p w14:paraId="7379910C" w14:textId="77777777" w:rsidR="00577EC9" w:rsidRPr="00577EC9" w:rsidRDefault="00655CB5" w:rsidP="00577EC9">
      <w:pPr>
        <w:pStyle w:val="SingleTxtG"/>
        <w:rPr>
          <w:lang w:val="en-GB"/>
        </w:rPr>
      </w:pPr>
      <w:r>
        <w:t>“</w:t>
      </w:r>
      <w:r w:rsidR="00577EC9" w:rsidRPr="00577EC9">
        <w:t>Este epígrafe no se aplicará al nitrato de amonio para el que ya existe una denominación de transporte adecuada en la lista de mercancías peligrosas del capítulo 3.2, incluido el nitrato de amonio mezclado con fuelóleo (ANFO) o cualquiera de las calidades comerciales de nitrato de amonio</w:t>
      </w:r>
      <w:r w:rsidR="00F5164B">
        <w:t>.</w:t>
      </w:r>
      <w:r>
        <w:t>”</w:t>
      </w:r>
    </w:p>
    <w:p w14:paraId="19BE7059" w14:textId="77777777" w:rsidR="00577EC9" w:rsidRPr="00577EC9" w:rsidRDefault="00FD474E" w:rsidP="00577EC9">
      <w:pPr>
        <w:pStyle w:val="SingleTxtG"/>
        <w:rPr>
          <w:lang w:val="en-GB"/>
        </w:rPr>
      </w:pPr>
      <w:r>
        <w:t>DE 376</w:t>
      </w:r>
      <w:r w:rsidR="00577EC9" w:rsidRPr="00577EC9">
        <w:tab/>
        <w:t>Modifíquese la nota para que diga lo siguiente:</w:t>
      </w:r>
    </w:p>
    <w:p w14:paraId="39E8CAE4" w14:textId="77777777" w:rsidR="00577EC9" w:rsidRPr="00577EC9" w:rsidRDefault="00655CB5" w:rsidP="00577EC9">
      <w:pPr>
        <w:pStyle w:val="SingleTxtG"/>
        <w:rPr>
          <w:i/>
          <w:iCs/>
          <w:u w:val="single"/>
          <w:lang w:val="en-GB"/>
        </w:rPr>
      </w:pPr>
      <w:bookmarkStart w:id="10" w:name="_Hlk518007155"/>
      <w:r>
        <w:rPr>
          <w:i/>
          <w:iCs/>
        </w:rPr>
        <w:t>“</w:t>
      </w:r>
      <w:r w:rsidR="00577EC9" w:rsidRPr="00F5164B">
        <w:rPr>
          <w:bCs/>
          <w:i/>
          <w:iCs/>
        </w:rPr>
        <w:t>NOTA</w:t>
      </w:r>
      <w:r w:rsidR="00577EC9" w:rsidRPr="00577EC9">
        <w:rPr>
          <w:i/>
          <w:iCs/>
        </w:rPr>
        <w:t>: Al evaluar una celda o batería como dañada o defectuosa, se llevará a cabo una valoración con arreglo a los criterios de seguridad del fabricante de la celda, batería o producto o por parte de un técnico experto que conozca las características de seguridad de la celda o batería</w:t>
      </w:r>
      <w:r w:rsidR="00577EC9" w:rsidRPr="00577EC9">
        <w:t xml:space="preserve">. </w:t>
      </w:r>
      <w:r w:rsidR="00577EC9" w:rsidRPr="00577EC9">
        <w:rPr>
          <w:i/>
          <w:iCs/>
        </w:rPr>
        <w:t>La valoración o evaluación podrá incluir, sin limitarse a ellos, los siguientes criterios:</w:t>
      </w:r>
      <w:bookmarkEnd w:id="10"/>
    </w:p>
    <w:p w14:paraId="32BC6E63" w14:textId="77777777" w:rsidR="00577EC9" w:rsidRPr="00577EC9" w:rsidRDefault="00577EC9" w:rsidP="00D67D34">
      <w:pPr>
        <w:pStyle w:val="SingleTxtG"/>
        <w:ind w:left="2268"/>
        <w:rPr>
          <w:i/>
          <w:iCs/>
          <w:lang w:val="en-GB"/>
        </w:rPr>
      </w:pPr>
      <w:r w:rsidRPr="00577EC9">
        <w:rPr>
          <w:i/>
          <w:iCs/>
          <w:lang w:val="en-GB"/>
        </w:rPr>
        <w:t>a)</w:t>
      </w:r>
      <w:r w:rsidRPr="00577EC9">
        <w:rPr>
          <w:i/>
          <w:iCs/>
          <w:lang w:val="en-GB"/>
        </w:rPr>
        <w:tab/>
      </w:r>
      <w:r w:rsidRPr="00577EC9">
        <w:rPr>
          <w:i/>
          <w:iCs/>
        </w:rPr>
        <w:t>El peligro agudo, como una fuga de electrolito, gas o fuego;</w:t>
      </w:r>
    </w:p>
    <w:p w14:paraId="01E3927A" w14:textId="77777777" w:rsidR="00577EC9" w:rsidRPr="00577EC9" w:rsidRDefault="00577EC9" w:rsidP="00D67D34">
      <w:pPr>
        <w:pStyle w:val="SingleTxtG"/>
        <w:ind w:left="2268"/>
        <w:rPr>
          <w:i/>
          <w:iCs/>
          <w:lang w:val="en-GB"/>
        </w:rPr>
      </w:pPr>
      <w:r w:rsidRPr="00577EC9">
        <w:rPr>
          <w:i/>
          <w:iCs/>
          <w:lang w:val="en-GB"/>
        </w:rPr>
        <w:t>b)</w:t>
      </w:r>
      <w:r w:rsidRPr="00577EC9">
        <w:rPr>
          <w:i/>
          <w:iCs/>
          <w:lang w:val="en-GB"/>
        </w:rPr>
        <w:tab/>
      </w:r>
      <w:r w:rsidRPr="00577EC9">
        <w:rPr>
          <w:i/>
          <w:iCs/>
        </w:rPr>
        <w:t>El uso o mal uso de la celda o batería;</w:t>
      </w:r>
    </w:p>
    <w:p w14:paraId="127702E1" w14:textId="77777777" w:rsidR="00577EC9" w:rsidRPr="00577EC9" w:rsidRDefault="00577EC9" w:rsidP="00D67D34">
      <w:pPr>
        <w:pStyle w:val="SingleTxtG"/>
        <w:ind w:left="2268"/>
        <w:rPr>
          <w:i/>
          <w:iCs/>
          <w:lang w:val="en-GB"/>
        </w:rPr>
      </w:pPr>
      <w:r w:rsidRPr="00577EC9">
        <w:rPr>
          <w:i/>
          <w:iCs/>
          <w:lang w:val="en-GB"/>
        </w:rPr>
        <w:t>c)</w:t>
      </w:r>
      <w:r w:rsidRPr="00577EC9">
        <w:rPr>
          <w:i/>
          <w:iCs/>
          <w:lang w:val="en-GB"/>
        </w:rPr>
        <w:tab/>
      </w:r>
      <w:r w:rsidRPr="00577EC9">
        <w:rPr>
          <w:i/>
          <w:iCs/>
        </w:rPr>
        <w:t>Los signos de daños físicos, como la deformación de la carcasa de la celda o batería, o la coloración de la carcasa;</w:t>
      </w:r>
      <w:r w:rsidRPr="00577EC9">
        <w:t xml:space="preserve"> </w:t>
      </w:r>
    </w:p>
    <w:p w14:paraId="7AB619D3" w14:textId="77777777" w:rsidR="00577EC9" w:rsidRPr="00577EC9" w:rsidRDefault="00577EC9" w:rsidP="00D67D34">
      <w:pPr>
        <w:pStyle w:val="SingleTxtG"/>
        <w:ind w:left="2268"/>
        <w:rPr>
          <w:i/>
          <w:iCs/>
          <w:lang w:val="en-GB"/>
        </w:rPr>
      </w:pPr>
      <w:r w:rsidRPr="00577EC9">
        <w:rPr>
          <w:i/>
          <w:iCs/>
          <w:lang w:val="en-GB"/>
        </w:rPr>
        <w:t>d)</w:t>
      </w:r>
      <w:r w:rsidRPr="00577EC9">
        <w:rPr>
          <w:i/>
          <w:iCs/>
          <w:lang w:val="en-GB"/>
        </w:rPr>
        <w:tab/>
      </w:r>
      <w:r w:rsidRPr="00577EC9">
        <w:rPr>
          <w:i/>
          <w:iCs/>
        </w:rPr>
        <w:t>La protección contra cortocircuitos externos e internos, como medidas de voltaje o de aislamiento;</w:t>
      </w:r>
    </w:p>
    <w:p w14:paraId="3709AB50" w14:textId="77777777" w:rsidR="00577EC9" w:rsidRPr="00577EC9" w:rsidRDefault="00577EC9" w:rsidP="00D67D34">
      <w:pPr>
        <w:pStyle w:val="SingleTxtG"/>
        <w:ind w:left="2268"/>
        <w:rPr>
          <w:i/>
          <w:iCs/>
          <w:lang w:val="en-GB"/>
        </w:rPr>
      </w:pPr>
      <w:r w:rsidRPr="00577EC9">
        <w:rPr>
          <w:i/>
          <w:iCs/>
          <w:lang w:val="en-GB"/>
        </w:rPr>
        <w:t>e)</w:t>
      </w:r>
      <w:r w:rsidRPr="00577EC9">
        <w:rPr>
          <w:i/>
          <w:iCs/>
          <w:lang w:val="en-GB"/>
        </w:rPr>
        <w:tab/>
      </w:r>
      <w:r w:rsidRPr="00577EC9">
        <w:rPr>
          <w:i/>
          <w:iCs/>
        </w:rPr>
        <w:t>El estado de las características de seguridad de la celda o batería;</w:t>
      </w:r>
      <w:r w:rsidRPr="00577EC9">
        <w:t xml:space="preserve"> </w:t>
      </w:r>
      <w:r w:rsidRPr="00577EC9">
        <w:rPr>
          <w:i/>
          <w:iCs/>
        </w:rPr>
        <w:t>o</w:t>
      </w:r>
    </w:p>
    <w:p w14:paraId="08FDF90D" w14:textId="77777777" w:rsidR="00577EC9" w:rsidRPr="00577EC9" w:rsidRDefault="00577EC9" w:rsidP="00D67D34">
      <w:pPr>
        <w:pStyle w:val="SingleTxtG"/>
        <w:ind w:left="2268"/>
        <w:rPr>
          <w:lang w:val="en-GB"/>
        </w:rPr>
      </w:pPr>
      <w:r w:rsidRPr="00577EC9">
        <w:rPr>
          <w:i/>
          <w:iCs/>
          <w:lang w:val="en-GB"/>
        </w:rPr>
        <w:t>f)</w:t>
      </w:r>
      <w:r w:rsidRPr="00577EC9">
        <w:rPr>
          <w:i/>
          <w:iCs/>
          <w:lang w:val="en-GB"/>
        </w:rPr>
        <w:tab/>
      </w:r>
      <w:r w:rsidRPr="00577EC9">
        <w:rPr>
          <w:i/>
          <w:iCs/>
        </w:rPr>
        <w:t>Los daños que haya podido sufrir cualquier componente de seguridad interno, como el sistema de gestión de las baterías</w:t>
      </w:r>
      <w:r w:rsidR="00F5164B">
        <w:rPr>
          <w:i/>
          <w:iCs/>
        </w:rPr>
        <w:t>.</w:t>
      </w:r>
      <w:r w:rsidR="00655CB5">
        <w:rPr>
          <w:i/>
          <w:iCs/>
        </w:rPr>
        <w:t>”</w:t>
      </w:r>
    </w:p>
    <w:p w14:paraId="12482B29" w14:textId="77777777" w:rsidR="00577EC9" w:rsidRPr="00577EC9" w:rsidRDefault="00FD474E" w:rsidP="00577EC9">
      <w:pPr>
        <w:pStyle w:val="SingleTxtG"/>
        <w:rPr>
          <w:bCs/>
          <w:lang w:val="en-GB"/>
        </w:rPr>
      </w:pPr>
      <w:r>
        <w:t>DE 379 d) i)</w:t>
      </w:r>
      <w:r>
        <w:tab/>
      </w:r>
      <w:r w:rsidR="00577EC9" w:rsidRPr="00577EC9">
        <w:t xml:space="preserve">Sustitúyase </w:t>
      </w:r>
      <w:r w:rsidR="00655CB5">
        <w:t>“</w:t>
      </w:r>
      <w:r w:rsidR="00577EC9" w:rsidRPr="00577EC9">
        <w:t>ISO 11114-1:2012</w:t>
      </w:r>
      <w:r w:rsidR="00655CB5">
        <w:t>”</w:t>
      </w:r>
      <w:r w:rsidR="00577EC9" w:rsidRPr="00577EC9">
        <w:t xml:space="preserve"> por </w:t>
      </w:r>
      <w:r w:rsidR="00655CB5">
        <w:t>“</w:t>
      </w:r>
      <w:r w:rsidR="00577EC9" w:rsidRPr="00577EC9">
        <w:t>ISO 11114-1:2012 + A1:2017</w:t>
      </w:r>
      <w:r w:rsidR="00655CB5">
        <w:t>”</w:t>
      </w:r>
      <w:r w:rsidR="00577EC9" w:rsidRPr="00577EC9">
        <w:t>.</w:t>
      </w:r>
    </w:p>
    <w:p w14:paraId="75AC89A6" w14:textId="77777777" w:rsidR="00577EC9" w:rsidRPr="00577EC9" w:rsidRDefault="00577EC9" w:rsidP="00577EC9">
      <w:pPr>
        <w:pStyle w:val="SingleTxtG"/>
        <w:rPr>
          <w:bCs/>
          <w:lang w:val="en-GB"/>
        </w:rPr>
      </w:pPr>
      <w:r w:rsidRPr="00577EC9">
        <w:lastRenderedPageBreak/>
        <w:t>DE 388</w:t>
      </w:r>
      <w:r w:rsidRPr="00577EC9">
        <w:tab/>
        <w:t>Al final del séptimo párrafo, añádase la frase siguiente:</w:t>
      </w:r>
    </w:p>
    <w:p w14:paraId="7729A9A0" w14:textId="77777777" w:rsidR="00577EC9" w:rsidRPr="00577EC9" w:rsidRDefault="00655CB5" w:rsidP="00577EC9">
      <w:pPr>
        <w:pStyle w:val="SingleTxtG"/>
        <w:rPr>
          <w:lang w:val="en-GB"/>
        </w:rPr>
      </w:pPr>
      <w:r>
        <w:t>“</w:t>
      </w:r>
      <w:r w:rsidR="00577EC9" w:rsidRPr="00577EC9">
        <w:t xml:space="preserve">Las baterías de iones de litio o de litio metálico instaladas en las unidades de transporte de carga y diseñadas únicamente para suministrar energía externa a la unidad de transporte, se asignarán a la entrada </w:t>
      </w:r>
      <w:r>
        <w:t>núm.</w:t>
      </w:r>
      <w:r w:rsidR="00577EC9" w:rsidRPr="00577EC9">
        <w:t xml:space="preserve"> ONU 3536 BATERÍAS DE LITIO INSTALADAS EN LA UNIDAD DE TRANSPORTE DE CARGA baterías de iones de litio o baterías de litio metálico</w:t>
      </w:r>
      <w:r w:rsidR="00F5164B">
        <w:t>.</w:t>
      </w:r>
      <w:r>
        <w:t>”</w:t>
      </w:r>
      <w:bookmarkStart w:id="11" w:name="_Hlk2327998"/>
      <w:bookmarkEnd w:id="11"/>
    </w:p>
    <w:p w14:paraId="145D56F0" w14:textId="77777777" w:rsidR="00577EC9" w:rsidRPr="00577EC9" w:rsidRDefault="00577EC9" w:rsidP="00577EC9">
      <w:pPr>
        <w:pStyle w:val="SingleTxtG"/>
        <w:rPr>
          <w:lang w:val="en-GB"/>
        </w:rPr>
      </w:pPr>
      <w:r w:rsidRPr="00577EC9">
        <w:t>Añádanse las nuevas disposiciones especiales siguientes:</w:t>
      </w:r>
    </w:p>
    <w:p w14:paraId="5BDCF9BF" w14:textId="77777777" w:rsidR="00577EC9" w:rsidRPr="00577EC9" w:rsidRDefault="00655CB5" w:rsidP="00577EC9">
      <w:pPr>
        <w:pStyle w:val="SingleTxtG"/>
        <w:rPr>
          <w:lang w:val="en-GB"/>
        </w:rPr>
      </w:pPr>
      <w:r>
        <w:t>“</w:t>
      </w:r>
      <w:r w:rsidR="00577EC9" w:rsidRPr="00577EC9">
        <w:t>390</w:t>
      </w:r>
      <w:r w:rsidR="00577EC9" w:rsidRPr="00577EC9">
        <w:tab/>
        <w:t>Cuando un bulto contenga una combinación de baterías de litio contenidas en el equipo y baterías de litio embaladas con el equipo, se aplicarán los siguientes requisitos a los efectos del marcado y la documentación del bulto:</w:t>
      </w:r>
      <w:bookmarkStart w:id="12" w:name="_Hlk2328048"/>
    </w:p>
    <w:p w14:paraId="4765F5F1" w14:textId="77777777" w:rsidR="00577EC9" w:rsidRPr="00577EC9" w:rsidRDefault="00577EC9" w:rsidP="00371851">
      <w:pPr>
        <w:pStyle w:val="SingleTxtG"/>
        <w:ind w:left="1701"/>
        <w:rPr>
          <w:lang w:val="en-GB"/>
        </w:rPr>
      </w:pPr>
      <w:r w:rsidRPr="00577EC9">
        <w:t>a)</w:t>
      </w:r>
      <w:r w:rsidRPr="00577EC9">
        <w:tab/>
      </w:r>
      <w:r w:rsidR="00F5164B" w:rsidRPr="00577EC9">
        <w:t xml:space="preserve">El </w:t>
      </w:r>
      <w:r w:rsidRPr="00577EC9">
        <w:t xml:space="preserve">bulto llevará la indicación </w:t>
      </w:r>
      <w:r w:rsidR="00655CB5">
        <w:t>“núm.</w:t>
      </w:r>
      <w:r w:rsidRPr="00577EC9">
        <w:t xml:space="preserve"> ONU 3091 baterías de litio metálico embaladas con el equipo</w:t>
      </w:r>
      <w:r w:rsidR="00655CB5">
        <w:t>”</w:t>
      </w:r>
      <w:r w:rsidRPr="00577EC9">
        <w:t xml:space="preserve"> o </w:t>
      </w:r>
      <w:r w:rsidR="00655CB5">
        <w:t>“núm.</w:t>
      </w:r>
      <w:r w:rsidRPr="00577EC9">
        <w:t xml:space="preserve"> ONU 3481 baterías de iones de litio embaladas con el equipo</w:t>
      </w:r>
      <w:r w:rsidR="00655CB5">
        <w:t>”</w:t>
      </w:r>
      <w:r w:rsidRPr="00577EC9">
        <w:t>, según proceda. Si un bulto contiene baterías de iones de litio y baterías de litio metálico embaladas con el equipo y contenidas en él, el bulto deberá marcarse con arreglo a los requisitos para ambos tipos de baterías. No obstante, no será necesario tener en cuenta las baterías de botón instaladas en el equipo (in</w:t>
      </w:r>
      <w:r w:rsidR="00F5164B">
        <w:t>cluidas las placas de circuito);</w:t>
      </w:r>
    </w:p>
    <w:p w14:paraId="2D990B6C" w14:textId="77777777" w:rsidR="00577EC9" w:rsidRPr="00577EC9" w:rsidRDefault="00577EC9" w:rsidP="00371851">
      <w:pPr>
        <w:pStyle w:val="SingleTxtG"/>
        <w:ind w:left="1701"/>
        <w:rPr>
          <w:lang w:val="en-GB"/>
        </w:rPr>
      </w:pPr>
      <w:r w:rsidRPr="00577EC9">
        <w:t>b)</w:t>
      </w:r>
      <w:r w:rsidRPr="00577EC9">
        <w:tab/>
      </w:r>
      <w:r w:rsidR="00F5164B" w:rsidRPr="00577EC9">
        <w:t xml:space="preserve">El </w:t>
      </w:r>
      <w:r w:rsidRPr="00577EC9">
        <w:t xml:space="preserve">documento de transporte llevará la indicación </w:t>
      </w:r>
      <w:r w:rsidR="00655CB5">
        <w:t>“núm.</w:t>
      </w:r>
      <w:r w:rsidRPr="00577EC9">
        <w:t xml:space="preserve"> ONU 3091 baterías de litio metálico embaladas con el equipo</w:t>
      </w:r>
      <w:r w:rsidR="00655CB5">
        <w:t>”</w:t>
      </w:r>
      <w:r w:rsidRPr="00577EC9">
        <w:t xml:space="preserve"> o </w:t>
      </w:r>
      <w:r w:rsidR="00655CB5">
        <w:t>“núm.</w:t>
      </w:r>
      <w:r w:rsidRPr="00577EC9">
        <w:t xml:space="preserve"> ONU 3481 baterías de iones de litio embaladas con el equipo</w:t>
      </w:r>
      <w:r w:rsidR="00655CB5">
        <w:t>”</w:t>
      </w:r>
      <w:r w:rsidRPr="00577EC9">
        <w:t xml:space="preserve">, según proceda. Si un bulto contiene baterías de iones de litio y baterías de litio metálico embaladas con el equipo y contenidas en él, el documento de transporte llevará las indicaciones </w:t>
      </w:r>
      <w:r w:rsidR="00655CB5">
        <w:t>“núm.</w:t>
      </w:r>
      <w:r w:rsidRPr="00577EC9">
        <w:t xml:space="preserve"> ONU 3091 baterías de litio metálico embaladas con el equipo</w:t>
      </w:r>
      <w:r w:rsidR="00655CB5">
        <w:t>”</w:t>
      </w:r>
      <w:r w:rsidRPr="00577EC9">
        <w:t xml:space="preserve"> y </w:t>
      </w:r>
      <w:r w:rsidR="00655CB5">
        <w:t>“núm.</w:t>
      </w:r>
      <w:r w:rsidRPr="00577EC9">
        <w:t xml:space="preserve"> ONU 3481 baterías de iones de litio embaladas con el equipo</w:t>
      </w:r>
      <w:r w:rsidR="00655CB5">
        <w:t>”</w:t>
      </w:r>
      <w:r w:rsidRPr="00577EC9">
        <w:t>.</w:t>
      </w:r>
      <w:bookmarkEnd w:id="12"/>
    </w:p>
    <w:p w14:paraId="63580526" w14:textId="77777777" w:rsidR="00577EC9" w:rsidRPr="00577EC9" w:rsidRDefault="00655CB5" w:rsidP="00371851">
      <w:pPr>
        <w:pStyle w:val="SingleTxtG"/>
        <w:ind w:left="1701"/>
        <w:rPr>
          <w:lang w:val="en-GB"/>
        </w:rPr>
      </w:pPr>
      <w:r>
        <w:t>“</w:t>
      </w:r>
      <w:r w:rsidR="00577EC9" w:rsidRPr="00577EC9">
        <w:t>393</w:t>
      </w:r>
      <w:r w:rsidR="00577EC9" w:rsidRPr="00577EC9">
        <w:tab/>
        <w:t>La nitrocelulosa cumplirá los criterios de la prueba de Bergmann-Junk o de la prueba del papel de violeta de metilo del apéndice 10 del Manual de Pruebas y Criterios. No es necesario aplicar las pruebas del tipo 3 c).</w:t>
      </w:r>
      <w:r>
        <w:t>”</w:t>
      </w:r>
      <w:bookmarkStart w:id="13" w:name="_Hlk2328101"/>
    </w:p>
    <w:p w14:paraId="42CA779E" w14:textId="77777777" w:rsidR="00577EC9" w:rsidRPr="00577EC9" w:rsidRDefault="00655CB5" w:rsidP="00371851">
      <w:pPr>
        <w:pStyle w:val="SingleTxtG"/>
        <w:ind w:left="1701"/>
        <w:rPr>
          <w:lang w:val="en-GB"/>
        </w:rPr>
      </w:pPr>
      <w:r>
        <w:t>“</w:t>
      </w:r>
      <w:r w:rsidR="00577EC9" w:rsidRPr="00577EC9">
        <w:t>394</w:t>
      </w:r>
      <w:r w:rsidR="00577EC9" w:rsidRPr="00577EC9">
        <w:tab/>
        <w:t>La nitrocelulosa cumplirá los criterios de la prueba de Bergmann-Junk o de la prueba del papel de violeta de metilo del apéndice 10 del Manual de Pruebas y Criterios.</w:t>
      </w:r>
      <w:r>
        <w:t>”</w:t>
      </w:r>
    </w:p>
    <w:p w14:paraId="6C5BC90E" w14:textId="77777777" w:rsidR="00577EC9" w:rsidRPr="00577EC9" w:rsidRDefault="00655CB5" w:rsidP="00371851">
      <w:pPr>
        <w:pStyle w:val="SingleTxtG"/>
        <w:ind w:left="1701"/>
        <w:rPr>
          <w:lang w:val="en-GB"/>
        </w:rPr>
      </w:pPr>
      <w:r>
        <w:t>“</w:t>
      </w:r>
      <w:r w:rsidR="00577EC9" w:rsidRPr="00577EC9">
        <w:t>395</w:t>
      </w:r>
      <w:r w:rsidR="00577EC9" w:rsidRPr="00577EC9">
        <w:tab/>
        <w:t>Esta entrada se utilizará únicamente para los residuos médicos sólidos de la categoría A transportados para su eliminación</w:t>
      </w:r>
      <w:r w:rsidR="00F5164B">
        <w:t>.</w:t>
      </w:r>
      <w:r>
        <w:t>”</w:t>
      </w:r>
      <w:bookmarkEnd w:id="13"/>
    </w:p>
    <w:p w14:paraId="183D0411" w14:textId="77777777" w:rsidR="00577EC9" w:rsidRPr="00577EC9" w:rsidRDefault="00577EC9" w:rsidP="00371851">
      <w:pPr>
        <w:pStyle w:val="H1G"/>
        <w:rPr>
          <w:lang w:val="en-GB"/>
        </w:rPr>
      </w:pPr>
      <w:r w:rsidRPr="00577EC9">
        <w:tab/>
      </w:r>
      <w:r w:rsidRPr="00577EC9">
        <w:tab/>
        <w:t>Apéndice A</w:t>
      </w:r>
    </w:p>
    <w:p w14:paraId="77D1BBE4" w14:textId="77777777" w:rsidR="00577EC9" w:rsidRDefault="00577EC9" w:rsidP="00577EC9">
      <w:pPr>
        <w:pStyle w:val="SingleTxtG"/>
      </w:pPr>
      <w:r w:rsidRPr="00577EC9">
        <w:t xml:space="preserve">En el cuadro, para la División 6.2, bajo </w:t>
      </w:r>
      <w:r w:rsidR="00655CB5">
        <w:t>“</w:t>
      </w:r>
      <w:r w:rsidRPr="00577EC9">
        <w:t>Epígrafes específicos</w:t>
      </w:r>
      <w:r w:rsidR="00655CB5">
        <w:t>”</w:t>
      </w:r>
      <w:r w:rsidRPr="00577EC9">
        <w:t>, añádanse las nuevas entradas siguientes:</w:t>
      </w:r>
    </w:p>
    <w:tbl>
      <w:tblPr>
        <w:tblStyle w:val="TableGrid"/>
        <w:tblW w:w="0" w:type="auto"/>
        <w:tblInd w:w="1134" w:type="dxa"/>
        <w:tblLayout w:type="fixed"/>
        <w:tblLook w:val="04A0" w:firstRow="1" w:lastRow="0" w:firstColumn="1" w:lastColumn="0" w:noHBand="0" w:noVBand="1"/>
      </w:tblPr>
      <w:tblGrid>
        <w:gridCol w:w="1242"/>
        <w:gridCol w:w="1276"/>
        <w:gridCol w:w="1134"/>
        <w:gridCol w:w="4456"/>
      </w:tblGrid>
      <w:tr w:rsidR="00577EC9" w:rsidRPr="00C54F00" w14:paraId="68E0AA51" w14:textId="77777777" w:rsidTr="00371851">
        <w:tc>
          <w:tcPr>
            <w:tcW w:w="1242" w:type="dxa"/>
            <w:tcBorders>
              <w:top w:val="single" w:sz="4" w:space="0" w:color="auto"/>
              <w:left w:val="single" w:sz="4" w:space="0" w:color="auto"/>
              <w:bottom w:val="single" w:sz="4" w:space="0" w:color="auto"/>
              <w:right w:val="single" w:sz="4" w:space="0" w:color="auto"/>
            </w:tcBorders>
            <w:hideMark/>
          </w:tcPr>
          <w:p w14:paraId="4422111D" w14:textId="77777777" w:rsidR="00577EC9" w:rsidRPr="00C54F00" w:rsidRDefault="00577EC9" w:rsidP="00371851">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line="240" w:lineRule="auto"/>
              <w:jc w:val="center"/>
              <w:rPr>
                <w:color w:val="000000"/>
              </w:rPr>
            </w:pPr>
            <w:r>
              <w:t>6.2</w:t>
            </w:r>
          </w:p>
        </w:tc>
        <w:tc>
          <w:tcPr>
            <w:tcW w:w="1276" w:type="dxa"/>
            <w:tcBorders>
              <w:top w:val="single" w:sz="4" w:space="0" w:color="auto"/>
              <w:left w:val="single" w:sz="4" w:space="0" w:color="auto"/>
              <w:bottom w:val="single" w:sz="4" w:space="0" w:color="auto"/>
              <w:right w:val="single" w:sz="4" w:space="0" w:color="auto"/>
            </w:tcBorders>
            <w:hideMark/>
          </w:tcPr>
          <w:p w14:paraId="69F765F7" w14:textId="77777777" w:rsidR="00577EC9" w:rsidRPr="00C54F00" w:rsidRDefault="00577EC9" w:rsidP="00371851">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530FAC2A" w14:textId="77777777" w:rsidR="00577EC9" w:rsidRPr="00C54F00" w:rsidRDefault="00577EC9" w:rsidP="00371851">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line="240" w:lineRule="auto"/>
              <w:jc w:val="center"/>
              <w:rPr>
                <w:color w:val="000000"/>
              </w:rPr>
            </w:pPr>
            <w:r>
              <w:t>3549</w:t>
            </w:r>
          </w:p>
        </w:tc>
        <w:tc>
          <w:tcPr>
            <w:tcW w:w="4456" w:type="dxa"/>
            <w:tcBorders>
              <w:top w:val="single" w:sz="4" w:space="0" w:color="auto"/>
              <w:left w:val="single" w:sz="4" w:space="0" w:color="auto"/>
              <w:bottom w:val="single" w:sz="4" w:space="0" w:color="auto"/>
              <w:right w:val="single" w:sz="4" w:space="0" w:color="auto"/>
            </w:tcBorders>
            <w:hideMark/>
          </w:tcPr>
          <w:p w14:paraId="1B4CB5A1" w14:textId="77777777" w:rsidR="00577EC9" w:rsidRPr="00C54F00" w:rsidRDefault="00577EC9" w:rsidP="00F5164B">
            <w:pPr>
              <w:keepNext/>
              <w:keepLines/>
              <w:autoSpaceDE w:val="0"/>
              <w:autoSpaceDN w:val="0"/>
              <w:adjustRightInd w:val="0"/>
              <w:spacing w:line="240" w:lineRule="auto"/>
              <w:rPr>
                <w:color w:val="000000"/>
                <w:sz w:val="18"/>
                <w:szCs w:val="18"/>
              </w:rPr>
            </w:pPr>
            <w:r>
              <w:t>RESIDUOS MÉDICOS, CATEGORÍA A, QUE AFECTAN AL SER HUMANO, sólidos</w:t>
            </w:r>
          </w:p>
        </w:tc>
      </w:tr>
      <w:tr w:rsidR="00577EC9" w:rsidRPr="00C54F00" w14:paraId="7365BE01" w14:textId="77777777" w:rsidTr="00371851">
        <w:tc>
          <w:tcPr>
            <w:tcW w:w="1242" w:type="dxa"/>
            <w:tcBorders>
              <w:top w:val="single" w:sz="4" w:space="0" w:color="auto"/>
              <w:left w:val="single" w:sz="4" w:space="0" w:color="auto"/>
              <w:bottom w:val="single" w:sz="4" w:space="0" w:color="auto"/>
              <w:right w:val="single" w:sz="4" w:space="0" w:color="auto"/>
            </w:tcBorders>
          </w:tcPr>
          <w:p w14:paraId="0DF2D48C" w14:textId="77777777" w:rsidR="00577EC9" w:rsidRPr="00C54F00" w:rsidRDefault="00577EC9" w:rsidP="00371851">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line="240" w:lineRule="auto"/>
              <w:jc w:val="center"/>
              <w:rPr>
                <w:color w:val="000000"/>
              </w:rPr>
            </w:pPr>
            <w:r>
              <w:t>6.2</w:t>
            </w:r>
          </w:p>
        </w:tc>
        <w:tc>
          <w:tcPr>
            <w:tcW w:w="1276" w:type="dxa"/>
            <w:tcBorders>
              <w:top w:val="single" w:sz="4" w:space="0" w:color="auto"/>
              <w:left w:val="single" w:sz="4" w:space="0" w:color="auto"/>
              <w:bottom w:val="single" w:sz="4" w:space="0" w:color="auto"/>
              <w:right w:val="single" w:sz="4" w:space="0" w:color="auto"/>
            </w:tcBorders>
          </w:tcPr>
          <w:p w14:paraId="37D0C0A6" w14:textId="77777777" w:rsidR="00577EC9" w:rsidRPr="00C54F00" w:rsidRDefault="00577EC9" w:rsidP="00371851">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14:paraId="5E7B6636" w14:textId="77777777" w:rsidR="00577EC9" w:rsidRPr="00C54F00" w:rsidRDefault="00577EC9" w:rsidP="00371851">
            <w:pPr>
              <w:tabs>
                <w:tab w:val="left" w:pos="-1328"/>
                <w:tab w:val="left" w:pos="-1045"/>
                <w:tab w:val="left" w:pos="63"/>
                <w:tab w:val="left" w:pos="630"/>
                <w:tab w:val="left" w:pos="1197"/>
                <w:tab w:val="left" w:pos="1706"/>
                <w:tab w:val="left" w:pos="1764"/>
                <w:tab w:val="left" w:pos="1990"/>
                <w:tab w:val="left" w:pos="2331"/>
                <w:tab w:val="left" w:pos="2898"/>
                <w:tab w:val="left" w:pos="3465"/>
              </w:tabs>
              <w:autoSpaceDE w:val="0"/>
              <w:autoSpaceDN w:val="0"/>
              <w:adjustRightInd w:val="0"/>
              <w:spacing w:line="240" w:lineRule="auto"/>
              <w:jc w:val="center"/>
              <w:rPr>
                <w:color w:val="000000"/>
              </w:rPr>
            </w:pPr>
            <w:r>
              <w:t>3549</w:t>
            </w:r>
          </w:p>
        </w:tc>
        <w:tc>
          <w:tcPr>
            <w:tcW w:w="4456" w:type="dxa"/>
            <w:tcBorders>
              <w:top w:val="single" w:sz="4" w:space="0" w:color="auto"/>
              <w:left w:val="single" w:sz="4" w:space="0" w:color="auto"/>
              <w:bottom w:val="single" w:sz="4" w:space="0" w:color="auto"/>
              <w:right w:val="single" w:sz="4" w:space="0" w:color="auto"/>
            </w:tcBorders>
          </w:tcPr>
          <w:p w14:paraId="3F0D1184" w14:textId="77777777" w:rsidR="00577EC9" w:rsidRPr="00C54F00" w:rsidRDefault="00577EC9" w:rsidP="00F5164B">
            <w:pPr>
              <w:keepNext/>
              <w:keepLines/>
              <w:autoSpaceDE w:val="0"/>
              <w:autoSpaceDN w:val="0"/>
              <w:adjustRightInd w:val="0"/>
              <w:spacing w:line="240" w:lineRule="auto"/>
              <w:rPr>
                <w:color w:val="000000"/>
                <w:sz w:val="18"/>
                <w:szCs w:val="18"/>
              </w:rPr>
            </w:pPr>
            <w:r>
              <w:t>RESIDUOS MÉDICOS, CATEGORÍA A, QUE AFECTAN A LOS ANIMALES únicamente, sólidos</w:t>
            </w:r>
          </w:p>
        </w:tc>
      </w:tr>
    </w:tbl>
    <w:p w14:paraId="21373064" w14:textId="77777777" w:rsidR="00577EC9" w:rsidRPr="00577EC9" w:rsidRDefault="00577EC9" w:rsidP="00371851">
      <w:pPr>
        <w:pStyle w:val="H1G"/>
        <w:rPr>
          <w:lang w:val="en-GB"/>
        </w:rPr>
      </w:pPr>
      <w:r w:rsidRPr="00577EC9">
        <w:tab/>
      </w:r>
      <w:r w:rsidRPr="00577EC9">
        <w:tab/>
        <w:t>Apéndice B</w:t>
      </w:r>
    </w:p>
    <w:p w14:paraId="5D4821E7" w14:textId="77777777" w:rsidR="00577EC9" w:rsidRPr="00577EC9" w:rsidRDefault="00577EC9" w:rsidP="00577EC9">
      <w:pPr>
        <w:pStyle w:val="SingleTxtG"/>
        <w:rPr>
          <w:lang w:val="en-GB"/>
        </w:rPr>
      </w:pPr>
      <w:r w:rsidRPr="00577EC9">
        <w:t xml:space="preserve">En la definición </w:t>
      </w:r>
      <w:r w:rsidR="00655CB5">
        <w:t>“</w:t>
      </w:r>
      <w:r w:rsidRPr="00577EC9">
        <w:t>Detonadores</w:t>
      </w:r>
      <w:r w:rsidR="00655CB5">
        <w:t>”</w:t>
      </w:r>
      <w:r w:rsidRPr="00577EC9">
        <w:t xml:space="preserve">, sustitúyase </w:t>
      </w:r>
      <w:r w:rsidR="00655CB5">
        <w:t>“</w:t>
      </w:r>
      <w:r w:rsidRPr="00577EC9">
        <w:t>DETONADORES para voladuras, ELÉCTRICOS y NO ELÉCTRICOS</w:t>
      </w:r>
      <w:r w:rsidR="00655CB5">
        <w:t>”</w:t>
      </w:r>
      <w:r w:rsidRPr="00577EC9">
        <w:t xml:space="preserve"> por </w:t>
      </w:r>
      <w:r w:rsidR="00655CB5">
        <w:t>“</w:t>
      </w:r>
      <w:r w:rsidRPr="00577EC9">
        <w:t>DETONADORES para voladuras, ELÉ</w:t>
      </w:r>
      <w:r w:rsidR="00564673">
        <w:t>CTRICOS, NO ELÉCTRICOS y ELECTRÓ</w:t>
      </w:r>
      <w:r w:rsidRPr="00577EC9">
        <w:t>NICOS programables</w:t>
      </w:r>
      <w:r w:rsidR="00655CB5">
        <w:t>”</w:t>
      </w:r>
      <w:r w:rsidRPr="00577EC9">
        <w:t>.</w:t>
      </w:r>
    </w:p>
    <w:p w14:paraId="33496FE3" w14:textId="77777777" w:rsidR="00577EC9" w:rsidRPr="00577EC9" w:rsidRDefault="00577EC9" w:rsidP="00577EC9">
      <w:pPr>
        <w:pStyle w:val="SingleTxtG"/>
        <w:rPr>
          <w:lang w:val="en-GB"/>
        </w:rPr>
      </w:pPr>
      <w:r w:rsidRPr="00577EC9">
        <w:t xml:space="preserve">Añádase la siguiente nueva definición de </w:t>
      </w:r>
      <w:r w:rsidR="00655CB5">
        <w:t>“</w:t>
      </w:r>
      <w:r w:rsidRPr="00577EC9">
        <w:t>DETONADORES, ELECTRÓNICOS programables para voladuras</w:t>
      </w:r>
      <w:r w:rsidR="00655CB5">
        <w:t>”</w:t>
      </w:r>
      <w:r w:rsidRPr="00577EC9">
        <w:t>:</w:t>
      </w:r>
    </w:p>
    <w:p w14:paraId="2356308F" w14:textId="77777777" w:rsidR="00577EC9" w:rsidRPr="00577EC9" w:rsidRDefault="00655CB5" w:rsidP="00577EC9">
      <w:pPr>
        <w:pStyle w:val="SingleTxtG"/>
        <w:rPr>
          <w:b/>
          <w:bCs/>
          <w:i/>
          <w:iCs/>
          <w:lang w:val="en-GB"/>
        </w:rPr>
      </w:pPr>
      <w:r>
        <w:t>“</w:t>
      </w:r>
      <w:r w:rsidR="00577EC9" w:rsidRPr="00577EC9">
        <w:rPr>
          <w:b/>
          <w:bCs/>
          <w:i/>
          <w:iCs/>
        </w:rPr>
        <w:t>DETONADORES, ELECTRÓNICOS programables para voladuras</w:t>
      </w:r>
      <w:bookmarkStart w:id="14" w:name="_Hlk2329088"/>
    </w:p>
    <w:p w14:paraId="3C91904D" w14:textId="77777777" w:rsidR="00577EC9" w:rsidRPr="00577EC9" w:rsidRDefault="00577EC9" w:rsidP="00577EC9">
      <w:pPr>
        <w:pStyle w:val="SingleTxtG"/>
        <w:rPr>
          <w:lang w:val="en-GB"/>
        </w:rPr>
      </w:pPr>
      <w:r w:rsidRPr="00577EC9">
        <w:lastRenderedPageBreak/>
        <w:t>Detonadores con características de seguridad mejoradas, que utilizan componentes electrónicos para transmitir una señal de disparo con comandos validados y comunicaciones seguras. Los detonadores de este tipo no pueden ser iniciados por otros medios</w:t>
      </w:r>
      <w:r w:rsidR="00334CC8">
        <w:t>.</w:t>
      </w:r>
      <w:r w:rsidR="00655CB5">
        <w:t>”</w:t>
      </w:r>
      <w:bookmarkEnd w:id="14"/>
    </w:p>
    <w:p w14:paraId="3759B636" w14:textId="77777777" w:rsidR="00577EC9" w:rsidRPr="00577EC9" w:rsidRDefault="00577EC9" w:rsidP="0004134F">
      <w:pPr>
        <w:pStyle w:val="H1G"/>
        <w:rPr>
          <w:lang w:val="en-GB"/>
        </w:rPr>
      </w:pPr>
      <w:r w:rsidRPr="00577EC9">
        <w:tab/>
      </w:r>
      <w:r w:rsidRPr="00577EC9">
        <w:tab/>
        <w:t>Índice alfabético</w:t>
      </w:r>
    </w:p>
    <w:p w14:paraId="07B0001A" w14:textId="77777777" w:rsidR="00577EC9" w:rsidRDefault="00577EC9" w:rsidP="00577EC9">
      <w:pPr>
        <w:pStyle w:val="SingleTxtG"/>
      </w:pPr>
      <w:r w:rsidRPr="00577EC9">
        <w:t>Añádanse, en el orden alfabético, las siguientes nuevas entradas:</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577EC9" w:rsidRPr="0080223A" w14:paraId="0F9C8994" w14:textId="77777777" w:rsidTr="00371851">
        <w:tc>
          <w:tcPr>
            <w:tcW w:w="6241" w:type="dxa"/>
            <w:shd w:val="clear" w:color="auto" w:fill="auto"/>
          </w:tcPr>
          <w:p w14:paraId="060087B1" w14:textId="77777777" w:rsidR="00577EC9" w:rsidRPr="0080223A" w:rsidRDefault="00577EC9" w:rsidP="00371851">
            <w:pPr>
              <w:spacing w:before="40" w:after="40" w:line="220" w:lineRule="exact"/>
              <w:ind w:right="113"/>
            </w:pPr>
            <w:r>
              <w:t>MERCANCÍAS PELIGROSAS EN LOS ARTÍCULOS</w:t>
            </w:r>
          </w:p>
        </w:tc>
        <w:tc>
          <w:tcPr>
            <w:tcW w:w="810" w:type="dxa"/>
            <w:shd w:val="clear" w:color="auto" w:fill="auto"/>
            <w:vAlign w:val="bottom"/>
          </w:tcPr>
          <w:p w14:paraId="5D624526" w14:textId="77777777" w:rsidR="00577EC9" w:rsidRPr="0080223A" w:rsidRDefault="00577EC9" w:rsidP="00371851">
            <w:pPr>
              <w:spacing w:before="40" w:after="40" w:line="220" w:lineRule="exact"/>
              <w:ind w:right="113"/>
              <w:jc w:val="center"/>
            </w:pPr>
            <w:r>
              <w:t>9</w:t>
            </w:r>
          </w:p>
        </w:tc>
        <w:tc>
          <w:tcPr>
            <w:tcW w:w="810" w:type="dxa"/>
            <w:shd w:val="clear" w:color="auto" w:fill="auto"/>
            <w:vAlign w:val="bottom"/>
          </w:tcPr>
          <w:p w14:paraId="1E03B752" w14:textId="77777777" w:rsidR="00577EC9" w:rsidRPr="0080223A" w:rsidRDefault="00577EC9" w:rsidP="00371851">
            <w:pPr>
              <w:spacing w:before="40" w:after="40" w:line="220" w:lineRule="exact"/>
              <w:ind w:right="113"/>
              <w:jc w:val="center"/>
            </w:pPr>
            <w:r>
              <w:t>3363</w:t>
            </w:r>
          </w:p>
        </w:tc>
      </w:tr>
      <w:tr w:rsidR="00577EC9" w:rsidRPr="0080223A" w14:paraId="59183073" w14:textId="77777777" w:rsidTr="00371851">
        <w:tc>
          <w:tcPr>
            <w:tcW w:w="6241" w:type="dxa"/>
            <w:shd w:val="clear" w:color="auto" w:fill="auto"/>
          </w:tcPr>
          <w:p w14:paraId="03569C81" w14:textId="77777777" w:rsidR="00577EC9" w:rsidRPr="0080223A" w:rsidRDefault="00577EC9" w:rsidP="00371851">
            <w:pPr>
              <w:spacing w:before="40" w:after="40" w:line="220" w:lineRule="exact"/>
              <w:ind w:right="113"/>
            </w:pPr>
            <w:r>
              <w:t>RESIDUOS MÉDICOS, CATEGORÍA A, QUE AFECTAN AL SER HUMANO, sólidos</w:t>
            </w:r>
          </w:p>
        </w:tc>
        <w:tc>
          <w:tcPr>
            <w:tcW w:w="810" w:type="dxa"/>
            <w:shd w:val="clear" w:color="auto" w:fill="auto"/>
            <w:vAlign w:val="bottom"/>
          </w:tcPr>
          <w:p w14:paraId="2CBEBB02" w14:textId="77777777" w:rsidR="00577EC9" w:rsidRPr="0080223A" w:rsidRDefault="00577EC9" w:rsidP="00371851">
            <w:pPr>
              <w:spacing w:before="40" w:after="40" w:line="220" w:lineRule="exact"/>
              <w:ind w:right="113"/>
              <w:jc w:val="center"/>
            </w:pPr>
            <w:r>
              <w:t>6.2</w:t>
            </w:r>
          </w:p>
        </w:tc>
        <w:tc>
          <w:tcPr>
            <w:tcW w:w="810" w:type="dxa"/>
            <w:shd w:val="clear" w:color="auto" w:fill="auto"/>
            <w:vAlign w:val="bottom"/>
          </w:tcPr>
          <w:p w14:paraId="2C1913C5" w14:textId="77777777" w:rsidR="00577EC9" w:rsidRPr="0080223A" w:rsidRDefault="00577EC9" w:rsidP="00371851">
            <w:pPr>
              <w:spacing w:before="40" w:after="40" w:line="220" w:lineRule="exact"/>
              <w:ind w:right="113"/>
              <w:jc w:val="center"/>
            </w:pPr>
            <w:r>
              <w:t>3549</w:t>
            </w:r>
          </w:p>
        </w:tc>
      </w:tr>
      <w:tr w:rsidR="00577EC9" w:rsidRPr="0080223A" w14:paraId="4C63227D" w14:textId="77777777" w:rsidTr="00371851">
        <w:tc>
          <w:tcPr>
            <w:tcW w:w="6241" w:type="dxa"/>
            <w:shd w:val="clear" w:color="auto" w:fill="auto"/>
          </w:tcPr>
          <w:p w14:paraId="10079B59" w14:textId="77777777" w:rsidR="00577EC9" w:rsidRPr="0080223A" w:rsidRDefault="00577EC9" w:rsidP="00371851">
            <w:pPr>
              <w:spacing w:before="40" w:after="40" w:line="220" w:lineRule="exact"/>
              <w:ind w:right="113"/>
            </w:pPr>
            <w:r>
              <w:t>RESIDUOS MÉDICOS, CATEGORÍA A, QUE AFECTAN A LOS ANIMALES únicamente, sólidos</w:t>
            </w:r>
          </w:p>
        </w:tc>
        <w:tc>
          <w:tcPr>
            <w:tcW w:w="810" w:type="dxa"/>
            <w:shd w:val="clear" w:color="auto" w:fill="auto"/>
            <w:vAlign w:val="center"/>
          </w:tcPr>
          <w:p w14:paraId="0EDF6A92" w14:textId="77777777" w:rsidR="00577EC9" w:rsidRPr="0080223A" w:rsidRDefault="00577EC9" w:rsidP="00371851">
            <w:pPr>
              <w:spacing w:before="40" w:after="40" w:line="220" w:lineRule="exact"/>
              <w:ind w:right="113"/>
              <w:jc w:val="center"/>
            </w:pPr>
            <w:r>
              <w:t>6.2</w:t>
            </w:r>
          </w:p>
        </w:tc>
        <w:tc>
          <w:tcPr>
            <w:tcW w:w="810" w:type="dxa"/>
            <w:shd w:val="clear" w:color="auto" w:fill="auto"/>
            <w:vAlign w:val="center"/>
          </w:tcPr>
          <w:p w14:paraId="2C081039" w14:textId="77777777" w:rsidR="00577EC9" w:rsidRPr="0080223A" w:rsidRDefault="00577EC9" w:rsidP="00371851">
            <w:pPr>
              <w:spacing w:before="40" w:after="40" w:line="220" w:lineRule="exact"/>
              <w:ind w:right="113"/>
              <w:jc w:val="center"/>
            </w:pPr>
            <w:r>
              <w:t>3549</w:t>
            </w:r>
          </w:p>
        </w:tc>
      </w:tr>
    </w:tbl>
    <w:p w14:paraId="122EEFB4" w14:textId="77777777" w:rsidR="00577EC9" w:rsidRPr="00577EC9" w:rsidRDefault="00577EC9" w:rsidP="0004134F">
      <w:pPr>
        <w:pStyle w:val="SingleTxtG"/>
        <w:spacing w:before="240"/>
        <w:rPr>
          <w:lang w:val="en-GB"/>
        </w:rPr>
      </w:pPr>
      <w:r w:rsidRPr="00577EC9">
        <w:t xml:space="preserve">En la entrada </w:t>
      </w:r>
      <w:r w:rsidR="00655CB5">
        <w:t>“</w:t>
      </w:r>
      <w:r w:rsidRPr="00577EC9">
        <w:t>2-DIMETILAMINOETILAMINOETILMETACRILATO</w:t>
      </w:r>
      <w:r w:rsidR="00655CB5">
        <w:t>”</w:t>
      </w:r>
      <w:r w:rsidRPr="00577EC9">
        <w:t xml:space="preserve">, en la columna </w:t>
      </w:r>
      <w:r w:rsidR="00655CB5">
        <w:t>“</w:t>
      </w:r>
      <w:r w:rsidRPr="00577EC9">
        <w:t>Nombre y descripción</w:t>
      </w:r>
      <w:r w:rsidR="00655CB5">
        <w:t>”</w:t>
      </w:r>
      <w:r w:rsidRPr="00577EC9">
        <w:t xml:space="preserve">, añádase al final </w:t>
      </w:r>
      <w:r w:rsidR="00655CB5">
        <w:t>“</w:t>
      </w:r>
      <w:r w:rsidRPr="00577EC9">
        <w:t>, ESTABILIZADO</w:t>
      </w:r>
      <w:r w:rsidR="00655CB5">
        <w:t>”</w:t>
      </w:r>
      <w:r w:rsidRPr="00577EC9">
        <w:t>.</w:t>
      </w:r>
    </w:p>
    <w:p w14:paraId="2DAE7B26" w14:textId="77777777" w:rsidR="00577EC9" w:rsidRPr="00577EC9" w:rsidRDefault="00577EC9" w:rsidP="0004134F">
      <w:pPr>
        <w:pStyle w:val="H1G"/>
        <w:rPr>
          <w:lang w:val="en-GB"/>
        </w:rPr>
      </w:pPr>
      <w:r w:rsidRPr="00577EC9">
        <w:tab/>
      </w:r>
      <w:r w:rsidRPr="00577EC9">
        <w:tab/>
        <w:t>Capítulo 4.1</w:t>
      </w:r>
    </w:p>
    <w:p w14:paraId="19B72178" w14:textId="77777777" w:rsidR="00577EC9" w:rsidRPr="00577EC9" w:rsidRDefault="00577EC9" w:rsidP="00334CC8">
      <w:pPr>
        <w:pStyle w:val="SingleTxtG"/>
        <w:tabs>
          <w:tab w:val="left" w:pos="2268"/>
        </w:tabs>
        <w:rPr>
          <w:lang w:val="en-GB"/>
        </w:rPr>
      </w:pPr>
      <w:r w:rsidRPr="00577EC9">
        <w:t>4.1.1</w:t>
      </w:r>
      <w:r w:rsidRPr="00577EC9">
        <w:tab/>
        <w:t xml:space="preserve">En la nota, sustitúyase </w:t>
      </w:r>
      <w:r w:rsidR="00655CB5">
        <w:t>“</w:t>
      </w:r>
      <w:r w:rsidRPr="00577EC9">
        <w:t>(División 6.2)</w:t>
      </w:r>
      <w:r w:rsidR="00655CB5">
        <w:t>”</w:t>
      </w:r>
      <w:r w:rsidRPr="00577EC9">
        <w:t xml:space="preserve"> por </w:t>
      </w:r>
      <w:r w:rsidR="00655CB5">
        <w:t>“</w:t>
      </w:r>
      <w:r w:rsidRPr="00577EC9">
        <w:t xml:space="preserve">(División 6.2, </w:t>
      </w:r>
      <w:r w:rsidR="00655CB5">
        <w:t>núms.</w:t>
      </w:r>
      <w:r w:rsidRPr="00577EC9">
        <w:t xml:space="preserve"> ONU 2814 y 2900)</w:t>
      </w:r>
      <w:r w:rsidR="00655CB5">
        <w:t>”</w:t>
      </w:r>
      <w:r w:rsidRPr="00577EC9">
        <w:t xml:space="preserve">. Modifíquese el final de la oración para que diga </w:t>
      </w:r>
      <w:r w:rsidR="00655CB5">
        <w:t>“</w:t>
      </w:r>
      <w:r w:rsidRPr="00577EC9">
        <w:t>(P201, P207 y LP02 para la clase 2 y P620, P621, P622, IBC620, LP621 y LP622 para la División 6.2)</w:t>
      </w:r>
      <w:r w:rsidR="00655CB5">
        <w:t>”</w:t>
      </w:r>
      <w:r w:rsidRPr="00577EC9">
        <w:t>.</w:t>
      </w:r>
    </w:p>
    <w:p w14:paraId="218BC912" w14:textId="77777777" w:rsidR="00577EC9" w:rsidRPr="00577EC9" w:rsidRDefault="00577EC9" w:rsidP="00334CC8">
      <w:pPr>
        <w:pStyle w:val="SingleTxtG"/>
        <w:tabs>
          <w:tab w:val="left" w:pos="2268"/>
        </w:tabs>
        <w:rPr>
          <w:lang w:val="en-GB"/>
        </w:rPr>
      </w:pPr>
      <w:r w:rsidRPr="00577EC9">
        <w:t>4.1.1.3</w:t>
      </w:r>
      <w:r w:rsidRPr="00577EC9">
        <w:tab/>
      </w:r>
      <w:r w:rsidRPr="00577EC9">
        <w:tab/>
        <w:t>Añádase un nuevo 4.1.1.3.1 que diga lo siguiente:</w:t>
      </w:r>
    </w:p>
    <w:p w14:paraId="0AAD6E2A" w14:textId="77777777" w:rsidR="00577EC9" w:rsidRPr="00577EC9" w:rsidRDefault="00655CB5" w:rsidP="00577EC9">
      <w:pPr>
        <w:pStyle w:val="SingleTxtG"/>
        <w:rPr>
          <w:lang w:val="en-GB"/>
        </w:rPr>
      </w:pPr>
      <w:r>
        <w:t>“</w:t>
      </w:r>
      <w:r w:rsidR="00577EC9" w:rsidRPr="00577EC9">
        <w:t>4.1.1.3.1</w:t>
      </w:r>
      <w:r w:rsidR="00577EC9" w:rsidRPr="00577EC9">
        <w:tab/>
        <w:t>Los embalajes/envases, incluidos los RIG y los grandes embalajes/envases, podrán ser conformes a uno o más modelos tipo que hayan superado los ensayos y llevar más de una marca.</w:t>
      </w:r>
      <w:r>
        <w:t>”</w:t>
      </w:r>
    </w:p>
    <w:p w14:paraId="3A6804B2" w14:textId="77777777" w:rsidR="00577EC9" w:rsidRPr="00577EC9" w:rsidRDefault="00577EC9" w:rsidP="002E2E15">
      <w:pPr>
        <w:pStyle w:val="SingleTxtG"/>
        <w:tabs>
          <w:tab w:val="left" w:pos="2835"/>
        </w:tabs>
        <w:rPr>
          <w:lang w:val="en-GB"/>
        </w:rPr>
      </w:pPr>
      <w:r w:rsidRPr="00577EC9">
        <w:t>4.1.4.1, P003</w:t>
      </w:r>
      <w:r w:rsidRPr="00577EC9">
        <w:tab/>
      </w:r>
      <w:r w:rsidRPr="00577EC9">
        <w:tab/>
        <w:t xml:space="preserve">Para la instrucción de embalaje/envasado PP32, después de </w:t>
      </w:r>
      <w:r w:rsidR="00655CB5">
        <w:t>“</w:t>
      </w:r>
      <w:r w:rsidRPr="00577EC9">
        <w:t>3358</w:t>
      </w:r>
      <w:r w:rsidR="00655CB5">
        <w:t>”</w:t>
      </w:r>
      <w:r w:rsidRPr="00577EC9">
        <w:t xml:space="preserve">, añada </w:t>
      </w:r>
      <w:r w:rsidR="00655CB5">
        <w:t>“</w:t>
      </w:r>
      <w:r w:rsidRPr="00577EC9">
        <w:t xml:space="preserve">y artículos resistentes consignados con el </w:t>
      </w:r>
      <w:r w:rsidR="00334CC8">
        <w:t>núm.</w:t>
      </w:r>
      <w:r w:rsidRPr="00577EC9">
        <w:t xml:space="preserve"> ONU 3164</w:t>
      </w:r>
      <w:r w:rsidR="00655CB5">
        <w:t>”</w:t>
      </w:r>
      <w:r w:rsidRPr="00577EC9">
        <w:t>.</w:t>
      </w:r>
    </w:p>
    <w:p w14:paraId="4388E66C" w14:textId="77777777" w:rsidR="00577EC9" w:rsidRPr="00577EC9" w:rsidRDefault="00577EC9" w:rsidP="002E2E15">
      <w:pPr>
        <w:pStyle w:val="SingleTxtG"/>
        <w:tabs>
          <w:tab w:val="left" w:pos="2835"/>
        </w:tabs>
        <w:rPr>
          <w:lang w:val="en-GB"/>
        </w:rPr>
      </w:pPr>
      <w:r w:rsidRPr="00577EC9">
        <w:t>4.1.4.1, P003</w:t>
      </w:r>
      <w:r w:rsidRPr="00577EC9">
        <w:tab/>
      </w:r>
      <w:r w:rsidRPr="00577EC9">
        <w:tab/>
        <w:t>Añádase la nueva disposición especial siguiente:</w:t>
      </w:r>
    </w:p>
    <w:p w14:paraId="75FC9B31" w14:textId="77777777" w:rsidR="00577EC9" w:rsidRPr="00577EC9" w:rsidRDefault="00655CB5" w:rsidP="00334CC8">
      <w:pPr>
        <w:pStyle w:val="SingleTxtG"/>
        <w:tabs>
          <w:tab w:val="left" w:pos="2268"/>
        </w:tabs>
        <w:rPr>
          <w:lang w:val="en-GB"/>
        </w:rPr>
      </w:pPr>
      <w:r>
        <w:t>“</w:t>
      </w:r>
      <w:r w:rsidR="00577EC9" w:rsidRPr="00334CC8">
        <w:rPr>
          <w:b/>
        </w:rPr>
        <w:t>PP96</w:t>
      </w:r>
      <w:r w:rsidR="00577EC9" w:rsidRPr="00577EC9">
        <w:tab/>
      </w:r>
      <w:r w:rsidR="00577EC9" w:rsidRPr="00577EC9">
        <w:tab/>
        <w:t xml:space="preserve">En el caso del </w:t>
      </w:r>
      <w:r>
        <w:t>núm.</w:t>
      </w:r>
      <w:r w:rsidR="00577EC9" w:rsidRPr="00577EC9">
        <w:t xml:space="preserve"> ONU 2037 cartuchos de gas de desecho transportados de conformidad con la disposición especial 327, los embalajes/envases deberán estar adecuadamente ventilados para evitar la creación de atmósferas peligrosas y la acumulación de presión</w:t>
      </w:r>
      <w:r w:rsidR="00334CC8">
        <w:t>.</w:t>
      </w:r>
      <w:r>
        <w:t>”</w:t>
      </w:r>
    </w:p>
    <w:p w14:paraId="76DA9E75" w14:textId="77777777" w:rsidR="00577EC9" w:rsidRPr="00577EC9" w:rsidRDefault="00577EC9" w:rsidP="00334CC8">
      <w:pPr>
        <w:pStyle w:val="SingleTxtG"/>
        <w:tabs>
          <w:tab w:val="left" w:pos="2835"/>
        </w:tabs>
        <w:rPr>
          <w:lang w:val="en-GB"/>
        </w:rPr>
      </w:pPr>
      <w:r w:rsidRPr="00577EC9">
        <w:t>4.1.4.1, P200</w:t>
      </w:r>
      <w:r w:rsidRPr="00577EC9">
        <w:tab/>
      </w:r>
      <w:r w:rsidR="00334CC8">
        <w:tab/>
      </w:r>
      <w:r w:rsidRPr="00577EC9">
        <w:t xml:space="preserve">En el apartado 3 c), en la primera frase, suprímase </w:t>
      </w:r>
      <w:r w:rsidR="00655CB5">
        <w:t>“</w:t>
      </w:r>
      <w:r w:rsidRPr="00577EC9">
        <w:t>(factor de llenado)</w:t>
      </w:r>
      <w:r w:rsidR="00655CB5">
        <w:t>”</w:t>
      </w:r>
      <w:r w:rsidRPr="00577EC9">
        <w:t>.</w:t>
      </w:r>
    </w:p>
    <w:p w14:paraId="3BFDF1DB" w14:textId="77777777" w:rsidR="00577EC9" w:rsidRPr="00577EC9" w:rsidRDefault="00577EC9" w:rsidP="00334CC8">
      <w:pPr>
        <w:pStyle w:val="SingleTxtG"/>
        <w:tabs>
          <w:tab w:val="left" w:pos="2835"/>
        </w:tabs>
        <w:rPr>
          <w:bCs/>
          <w:lang w:val="en-GB"/>
        </w:rPr>
      </w:pPr>
      <w:r w:rsidRPr="00577EC9">
        <w:t>4.1.4.1, P200</w:t>
      </w:r>
      <w:r w:rsidRPr="00577EC9">
        <w:tab/>
      </w:r>
      <w:r w:rsidRPr="00577EC9">
        <w:tab/>
        <w:t xml:space="preserve">En el párrafo 4), sustitúyase en la última línea la referencia a </w:t>
      </w:r>
      <w:r w:rsidR="00655CB5">
        <w:t>“</w:t>
      </w:r>
      <w:r w:rsidRPr="00577EC9">
        <w:t>ISO 24431:2006 Botellas de gas – Botellas para gases comprimidos y licuados (excluido el acetileno) – Inspección durante el llenado</w:t>
      </w:r>
      <w:r w:rsidR="00655CB5">
        <w:t>”</w:t>
      </w:r>
      <w:r w:rsidRPr="00577EC9">
        <w:t xml:space="preserve"> por </w:t>
      </w:r>
      <w:r w:rsidR="00655CB5">
        <w:t>“</w:t>
      </w:r>
      <w:r w:rsidRPr="00577EC9">
        <w:t>ISO 24431:2016 Botellas de gas – Botellas sin soldadura, soldadas y de material compuesto para gases comprimidos y licuados (excluido el acetileno) – Inspección durante el llenado</w:t>
      </w:r>
      <w:r w:rsidR="00655CB5">
        <w:t>”</w:t>
      </w:r>
      <w:r w:rsidRPr="00577EC9">
        <w:t>.</w:t>
      </w:r>
    </w:p>
    <w:p w14:paraId="18342212" w14:textId="77777777" w:rsidR="00577EC9" w:rsidRPr="00577EC9" w:rsidRDefault="00577EC9" w:rsidP="00334CC8">
      <w:pPr>
        <w:pStyle w:val="SingleTxtG"/>
        <w:tabs>
          <w:tab w:val="left" w:pos="2835"/>
        </w:tabs>
        <w:rPr>
          <w:lang w:val="en-GB"/>
        </w:rPr>
      </w:pPr>
      <w:r w:rsidRPr="00577EC9">
        <w:t>4.1.1.4, P200</w:t>
      </w:r>
      <w:r w:rsidRPr="00577EC9">
        <w:tab/>
      </w:r>
      <w:r w:rsidRPr="00577EC9">
        <w:tab/>
        <w:t xml:space="preserve">En el cuadro 2, sustitúyanse los valores de la columna </w:t>
      </w:r>
      <w:r w:rsidR="00655CB5">
        <w:t>“</w:t>
      </w:r>
      <w:r w:rsidRPr="00577EC9">
        <w:t>CL</w:t>
      </w:r>
      <w:r w:rsidRPr="00577EC9">
        <w:rPr>
          <w:vertAlign w:val="subscript"/>
        </w:rPr>
        <w:t>50</w:t>
      </w:r>
      <w:r w:rsidRPr="00577EC9">
        <w:t xml:space="preserve"> ml/m</w:t>
      </w:r>
      <w:r w:rsidRPr="00577EC9">
        <w:rPr>
          <w:vertAlign w:val="superscript"/>
        </w:rPr>
        <w:t>3</w:t>
      </w:r>
      <w:r w:rsidR="00655CB5">
        <w:t>”</w:t>
      </w:r>
      <w:r w:rsidRPr="00577EC9">
        <w:t xml:space="preserve"> por los siguientes:</w:t>
      </w:r>
    </w:p>
    <w:p w14:paraId="230BD945" w14:textId="77777777" w:rsidR="00577EC9" w:rsidRPr="00577EC9" w:rsidRDefault="00334CC8" w:rsidP="0004134F">
      <w:pPr>
        <w:pStyle w:val="Bullet2G"/>
        <w:rPr>
          <w:lang w:val="en-GB"/>
        </w:rPr>
      </w:pPr>
      <w:r>
        <w:t>Núm</w:t>
      </w:r>
      <w:r w:rsidR="00655CB5">
        <w:t>.</w:t>
      </w:r>
      <w:r w:rsidR="00577EC9" w:rsidRPr="00577EC9">
        <w:t xml:space="preserve"> ONU 1859: sustitúyase </w:t>
      </w:r>
      <w:r w:rsidR="00655CB5">
        <w:t>“</w:t>
      </w:r>
      <w:r w:rsidR="00577EC9" w:rsidRPr="00577EC9">
        <w:t>450</w:t>
      </w:r>
      <w:r w:rsidR="00655CB5">
        <w:t>”</w:t>
      </w:r>
      <w:r w:rsidR="00577EC9" w:rsidRPr="00577EC9">
        <w:t xml:space="preserve"> por </w:t>
      </w:r>
      <w:r w:rsidR="00655CB5">
        <w:t>“</w:t>
      </w:r>
      <w:r w:rsidR="00577EC9" w:rsidRPr="00577EC9">
        <w:t>922</w:t>
      </w:r>
      <w:r w:rsidR="00655CB5">
        <w:t>”</w:t>
      </w:r>
      <w:r w:rsidR="00577EC9" w:rsidRPr="00577EC9">
        <w:t>.</w:t>
      </w:r>
    </w:p>
    <w:p w14:paraId="189ADF8B" w14:textId="77777777" w:rsidR="00577EC9" w:rsidRPr="00577EC9" w:rsidRDefault="00334CC8" w:rsidP="0004134F">
      <w:pPr>
        <w:pStyle w:val="Bullet2G"/>
        <w:rPr>
          <w:lang w:val="en-GB"/>
        </w:rPr>
      </w:pPr>
      <w:r>
        <w:t>Núm</w:t>
      </w:r>
      <w:r w:rsidR="00655CB5">
        <w:t>.</w:t>
      </w:r>
      <w:r w:rsidR="00577EC9" w:rsidRPr="00577EC9">
        <w:t xml:space="preserve"> ONU 2188: sustitúyase </w:t>
      </w:r>
      <w:r w:rsidR="00655CB5">
        <w:t>“</w:t>
      </w:r>
      <w:r w:rsidR="00577EC9" w:rsidRPr="00577EC9">
        <w:t>20</w:t>
      </w:r>
      <w:r w:rsidR="00655CB5">
        <w:t>”</w:t>
      </w:r>
      <w:r w:rsidR="00577EC9" w:rsidRPr="00577EC9">
        <w:t xml:space="preserve"> por </w:t>
      </w:r>
      <w:r w:rsidR="00655CB5">
        <w:t>“</w:t>
      </w:r>
      <w:r w:rsidR="00577EC9" w:rsidRPr="00577EC9">
        <w:t>178</w:t>
      </w:r>
      <w:r w:rsidR="00655CB5">
        <w:t>”</w:t>
      </w:r>
      <w:r w:rsidR="00577EC9" w:rsidRPr="00577EC9">
        <w:t>.</w:t>
      </w:r>
    </w:p>
    <w:p w14:paraId="087EA92C" w14:textId="77777777" w:rsidR="00577EC9" w:rsidRPr="00577EC9" w:rsidRDefault="00334CC8" w:rsidP="0004134F">
      <w:pPr>
        <w:pStyle w:val="Bullet2G"/>
        <w:rPr>
          <w:lang w:val="en-GB"/>
        </w:rPr>
      </w:pPr>
      <w:r>
        <w:t>Núm</w:t>
      </w:r>
      <w:r w:rsidR="00655CB5">
        <w:t>.</w:t>
      </w:r>
      <w:r w:rsidR="00577EC9" w:rsidRPr="00577EC9">
        <w:t xml:space="preserve"> ONU 2202: sustitúyase </w:t>
      </w:r>
      <w:r w:rsidR="00655CB5">
        <w:t>“</w:t>
      </w:r>
      <w:r w:rsidR="00577EC9" w:rsidRPr="00577EC9">
        <w:t>2</w:t>
      </w:r>
      <w:r w:rsidR="00655CB5">
        <w:t>”</w:t>
      </w:r>
      <w:r w:rsidR="00577EC9" w:rsidRPr="00577EC9">
        <w:t xml:space="preserve"> por </w:t>
      </w:r>
      <w:r w:rsidR="00655CB5">
        <w:t>“</w:t>
      </w:r>
      <w:r w:rsidR="00577EC9" w:rsidRPr="00577EC9">
        <w:t>51</w:t>
      </w:r>
      <w:r w:rsidR="00655CB5">
        <w:t>”</w:t>
      </w:r>
      <w:r w:rsidR="00577EC9" w:rsidRPr="00577EC9">
        <w:t>.</w:t>
      </w:r>
    </w:p>
    <w:p w14:paraId="7E2CB002" w14:textId="77777777" w:rsidR="00577EC9" w:rsidRPr="00577EC9" w:rsidRDefault="00334CC8" w:rsidP="0004134F">
      <w:pPr>
        <w:pStyle w:val="Bullet2G"/>
        <w:rPr>
          <w:lang w:val="en-GB"/>
        </w:rPr>
      </w:pPr>
      <w:r>
        <w:t>Núm</w:t>
      </w:r>
      <w:r w:rsidR="00655CB5">
        <w:t>.</w:t>
      </w:r>
      <w:r w:rsidR="00577EC9" w:rsidRPr="00577EC9">
        <w:t xml:space="preserve"> ONU 2534: sustitúyase </w:t>
      </w:r>
      <w:r w:rsidR="00655CB5">
        <w:t>“</w:t>
      </w:r>
      <w:r w:rsidR="00577EC9" w:rsidRPr="00577EC9">
        <w:t>600</w:t>
      </w:r>
      <w:r w:rsidR="00655CB5">
        <w:t>”</w:t>
      </w:r>
      <w:r w:rsidR="00577EC9" w:rsidRPr="00577EC9">
        <w:t xml:space="preserve"> por </w:t>
      </w:r>
      <w:r w:rsidR="00655CB5">
        <w:t>“</w:t>
      </w:r>
      <w:r w:rsidR="00577EC9" w:rsidRPr="00577EC9">
        <w:t>2810</w:t>
      </w:r>
      <w:r w:rsidR="00655CB5">
        <w:t>”</w:t>
      </w:r>
      <w:r w:rsidR="00577EC9" w:rsidRPr="00577EC9">
        <w:t>.</w:t>
      </w:r>
    </w:p>
    <w:p w14:paraId="13693151" w14:textId="77777777" w:rsidR="00577EC9" w:rsidRPr="00577EC9" w:rsidRDefault="00334CC8" w:rsidP="0004134F">
      <w:pPr>
        <w:pStyle w:val="Bullet2G"/>
        <w:rPr>
          <w:lang w:val="en-GB"/>
        </w:rPr>
      </w:pPr>
      <w:r>
        <w:t>Núm</w:t>
      </w:r>
      <w:r w:rsidR="00655CB5">
        <w:t>.</w:t>
      </w:r>
      <w:r w:rsidR="00577EC9" w:rsidRPr="00577EC9">
        <w:t xml:space="preserve"> ONU 2676: sustitúyase </w:t>
      </w:r>
      <w:r w:rsidR="00655CB5">
        <w:t>“</w:t>
      </w:r>
      <w:r w:rsidR="00577EC9" w:rsidRPr="00577EC9">
        <w:t>20</w:t>
      </w:r>
      <w:r w:rsidR="00655CB5">
        <w:t>”</w:t>
      </w:r>
      <w:r w:rsidR="00577EC9" w:rsidRPr="00577EC9">
        <w:t xml:space="preserve"> por </w:t>
      </w:r>
      <w:r w:rsidR="00655CB5">
        <w:t>“</w:t>
      </w:r>
      <w:r w:rsidR="00577EC9" w:rsidRPr="00577EC9">
        <w:t>178</w:t>
      </w:r>
      <w:r w:rsidR="00655CB5">
        <w:t>”</w:t>
      </w:r>
      <w:r w:rsidR="00577EC9" w:rsidRPr="00577EC9">
        <w:t>.</w:t>
      </w:r>
    </w:p>
    <w:p w14:paraId="4595BC2E" w14:textId="77777777" w:rsidR="00577EC9" w:rsidRPr="00577EC9" w:rsidRDefault="00577EC9" w:rsidP="00334CC8">
      <w:pPr>
        <w:pStyle w:val="SingleTxtG"/>
        <w:tabs>
          <w:tab w:val="left" w:pos="2835"/>
        </w:tabs>
        <w:rPr>
          <w:lang w:val="en-GB"/>
        </w:rPr>
      </w:pPr>
      <w:r w:rsidRPr="00577EC9">
        <w:t>4.1.4.1, P206</w:t>
      </w:r>
      <w:r w:rsidRPr="00577EC9">
        <w:tab/>
      </w:r>
      <w:r w:rsidRPr="00577EC9">
        <w:tab/>
        <w:t xml:space="preserve">En el título de la última fila de la instrucción de embalaje/envasado, sustitúyase </w:t>
      </w:r>
      <w:r w:rsidR="00655CB5">
        <w:t>“</w:t>
      </w:r>
      <w:r w:rsidRPr="00577EC9">
        <w:t>Disposición especial relativa al embalaje/envasado</w:t>
      </w:r>
      <w:r w:rsidR="00655CB5">
        <w:t>”</w:t>
      </w:r>
      <w:r w:rsidRPr="00577EC9">
        <w:t xml:space="preserve"> por </w:t>
      </w:r>
      <w:r w:rsidR="00655CB5">
        <w:t>“</w:t>
      </w:r>
      <w:r w:rsidRPr="00577EC9">
        <w:t>Disposiciones especiales relativas al embalaje/envasado</w:t>
      </w:r>
      <w:r w:rsidR="00655CB5">
        <w:t>”</w:t>
      </w:r>
      <w:r w:rsidRPr="00577EC9">
        <w:t>.</w:t>
      </w:r>
    </w:p>
    <w:p w14:paraId="1C60FCB1" w14:textId="77777777" w:rsidR="00577EC9" w:rsidRPr="00577EC9" w:rsidRDefault="00577EC9" w:rsidP="00577EC9">
      <w:pPr>
        <w:pStyle w:val="SingleTxtG"/>
        <w:rPr>
          <w:lang w:val="en-GB"/>
        </w:rPr>
      </w:pPr>
      <w:r w:rsidRPr="00577EC9">
        <w:t>Añádase la nueva disposición especial siguiente:</w:t>
      </w:r>
    </w:p>
    <w:p w14:paraId="4FCACCD2" w14:textId="77777777" w:rsidR="00577EC9" w:rsidRPr="00577EC9" w:rsidRDefault="00655CB5" w:rsidP="00334CC8">
      <w:pPr>
        <w:pStyle w:val="SingleTxtG"/>
        <w:tabs>
          <w:tab w:val="left" w:pos="2268"/>
        </w:tabs>
        <w:rPr>
          <w:lang w:val="en-GB"/>
        </w:rPr>
      </w:pPr>
      <w:r>
        <w:lastRenderedPageBreak/>
        <w:t>“</w:t>
      </w:r>
      <w:r w:rsidR="00577EC9" w:rsidRPr="00334CC8">
        <w:rPr>
          <w:b/>
        </w:rPr>
        <w:t>PP97</w:t>
      </w:r>
      <w:r w:rsidR="00577EC9" w:rsidRPr="00577EC9">
        <w:tab/>
      </w:r>
      <w:r w:rsidR="00577EC9" w:rsidRPr="00577EC9">
        <w:tab/>
        <w:t xml:space="preserve">En el caso de los agentes de extinción de incendios asignados al </w:t>
      </w:r>
      <w:r>
        <w:t>núm.</w:t>
      </w:r>
      <w:r w:rsidR="00334CC8">
        <w:t> ONU </w:t>
      </w:r>
      <w:r w:rsidR="00577EC9" w:rsidRPr="00577EC9">
        <w:t xml:space="preserve">3500, el período máximo de ensayo para la inspección periódica será de </w:t>
      </w:r>
      <w:r w:rsidR="00334CC8">
        <w:t>diez</w:t>
      </w:r>
      <w:r w:rsidR="00577EC9" w:rsidRPr="00577EC9">
        <w:t xml:space="preserve"> años. Podrán transportarse en tubos con una capacidad máxima de agua de 450 l, de conformidad con los requisitos aplicables del capítulo 6.2.</w:t>
      </w:r>
      <w:r>
        <w:t>”</w:t>
      </w:r>
    </w:p>
    <w:p w14:paraId="322068CF" w14:textId="77777777" w:rsidR="00577EC9" w:rsidRPr="00577EC9" w:rsidRDefault="00334CC8" w:rsidP="00577EC9">
      <w:pPr>
        <w:pStyle w:val="SingleTxtG"/>
        <w:rPr>
          <w:lang w:val="en-GB"/>
        </w:rPr>
      </w:pPr>
      <w:r>
        <w:t>4.1.4.1 P207</w:t>
      </w:r>
      <w:r>
        <w:tab/>
      </w:r>
      <w:r w:rsidR="00577EC9" w:rsidRPr="00577EC9">
        <w:t xml:space="preserve">En la disposición especial de embalaje/envasado PP87, sustitúyase </w:t>
      </w:r>
      <w:r w:rsidR="00655CB5">
        <w:t>“</w:t>
      </w:r>
      <w:r w:rsidR="00577EC9" w:rsidRPr="00577EC9">
        <w:t>atmósfera inflamable</w:t>
      </w:r>
      <w:r w:rsidR="00655CB5">
        <w:t>”</w:t>
      </w:r>
      <w:r w:rsidR="00577EC9" w:rsidRPr="00577EC9">
        <w:t xml:space="preserve"> por </w:t>
      </w:r>
      <w:r w:rsidR="00655CB5">
        <w:t>“</w:t>
      </w:r>
      <w:r w:rsidR="00577EC9" w:rsidRPr="00577EC9">
        <w:t>atmósferas peligrosas</w:t>
      </w:r>
      <w:r w:rsidR="00655CB5">
        <w:t>”</w:t>
      </w:r>
      <w:r w:rsidR="00577EC9" w:rsidRPr="00577EC9">
        <w:t>.</w:t>
      </w:r>
    </w:p>
    <w:p w14:paraId="2061A2D8" w14:textId="77777777" w:rsidR="00577EC9" w:rsidRPr="00577EC9" w:rsidRDefault="00334CC8" w:rsidP="00577EC9">
      <w:pPr>
        <w:pStyle w:val="SingleTxtG"/>
        <w:rPr>
          <w:lang w:val="en-GB"/>
        </w:rPr>
      </w:pPr>
      <w:r>
        <w:t>4.1.4.1, P301</w:t>
      </w:r>
      <w:r>
        <w:tab/>
      </w:r>
      <w:r w:rsidR="00577EC9" w:rsidRPr="00577EC9">
        <w:t xml:space="preserve">En la última frase del párrafo 1), sustitúyase </w:t>
      </w:r>
      <w:r w:rsidR="00655CB5">
        <w:t>“</w:t>
      </w:r>
      <w:r w:rsidR="00577EC9" w:rsidRPr="00577EC9">
        <w:t>recipiente</w:t>
      </w:r>
      <w:r w:rsidR="00655CB5">
        <w:t>”</w:t>
      </w:r>
      <w:r w:rsidR="00577EC9" w:rsidRPr="00577EC9">
        <w:t xml:space="preserve"> por </w:t>
      </w:r>
      <w:r w:rsidR="00655CB5">
        <w:t>“</w:t>
      </w:r>
      <w:r w:rsidR="00577EC9" w:rsidRPr="00577EC9">
        <w:t>contenedor primario</w:t>
      </w:r>
      <w:r w:rsidR="00655CB5">
        <w:t>”</w:t>
      </w:r>
      <w:r w:rsidR="00577EC9" w:rsidRPr="00577EC9">
        <w:t xml:space="preserve"> y en la última frase del párrafo 2), sustitúyase </w:t>
      </w:r>
      <w:r w:rsidR="00655CB5">
        <w:t>“</w:t>
      </w:r>
      <w:r w:rsidR="00577EC9" w:rsidRPr="00577EC9">
        <w:t>unidad</w:t>
      </w:r>
      <w:r w:rsidR="00655CB5">
        <w:t>”</w:t>
      </w:r>
      <w:r w:rsidR="00577EC9" w:rsidRPr="00577EC9">
        <w:t xml:space="preserve"> por </w:t>
      </w:r>
      <w:r w:rsidR="00655CB5">
        <w:t>“</w:t>
      </w:r>
      <w:r w:rsidR="00577EC9" w:rsidRPr="00577EC9">
        <w:t>contenedor primario</w:t>
      </w:r>
      <w:r w:rsidR="00655CB5">
        <w:t>”</w:t>
      </w:r>
      <w:r w:rsidR="00577EC9" w:rsidRPr="00577EC9">
        <w:t>.</w:t>
      </w:r>
    </w:p>
    <w:p w14:paraId="5CB1038C" w14:textId="77777777" w:rsidR="00577EC9" w:rsidRPr="00577EC9" w:rsidRDefault="00577EC9" w:rsidP="00577EC9">
      <w:pPr>
        <w:pStyle w:val="SingleTxtG"/>
        <w:rPr>
          <w:lang w:val="en-GB"/>
        </w:rPr>
      </w:pPr>
      <w:r w:rsidRPr="00577EC9">
        <w:t>4.1.4.1. P400</w:t>
      </w:r>
      <w:r w:rsidRPr="00577EC9">
        <w:tab/>
        <w:t>En los párrafos 2) y 3):</w:t>
      </w:r>
    </w:p>
    <w:p w14:paraId="0DE1EBDA" w14:textId="77777777" w:rsidR="00577EC9" w:rsidRPr="00577EC9" w:rsidRDefault="00577EC9" w:rsidP="0004134F">
      <w:pPr>
        <w:pStyle w:val="Bullet2G"/>
        <w:rPr>
          <w:lang w:val="en-GB"/>
        </w:rPr>
      </w:pPr>
      <w:r w:rsidRPr="00577EC9">
        <w:t xml:space="preserve">En la primera frase, suprímase </w:t>
      </w:r>
      <w:r w:rsidR="00655CB5">
        <w:t>“</w:t>
      </w:r>
      <w:r w:rsidRPr="00577EC9">
        <w:t>atornillados</w:t>
      </w:r>
      <w:r w:rsidR="00655CB5">
        <w:t>”</w:t>
      </w:r>
      <w:r w:rsidRPr="00577EC9">
        <w:t>.</w:t>
      </w:r>
    </w:p>
    <w:p w14:paraId="2F21C371" w14:textId="77777777" w:rsidR="00577EC9" w:rsidRPr="00577EC9" w:rsidRDefault="00577EC9" w:rsidP="0004134F">
      <w:pPr>
        <w:pStyle w:val="Bullet2G"/>
        <w:rPr>
          <w:lang w:val="en-GB"/>
        </w:rPr>
      </w:pPr>
      <w:r w:rsidRPr="00577EC9">
        <w:t xml:space="preserve">Después de la primera frase, insértese la nueva frase siguiente: </w:t>
      </w:r>
      <w:r w:rsidR="00655CB5">
        <w:t>“</w:t>
      </w:r>
      <w:r w:rsidRPr="00577EC9">
        <w:t>Los embalajes/envases interiores deberán tener cierres atornillados sujetos por cualquier medio que impida que se suelten o aflojen en caso de impacto o vibración durante el transporte.</w:t>
      </w:r>
      <w:r w:rsidR="00655CB5">
        <w:t>”</w:t>
      </w:r>
      <w:r w:rsidRPr="00577EC9">
        <w:t>.</w:t>
      </w:r>
    </w:p>
    <w:p w14:paraId="3D539733" w14:textId="77777777" w:rsidR="00577EC9" w:rsidRPr="00577EC9" w:rsidRDefault="002E2E15" w:rsidP="00577EC9">
      <w:pPr>
        <w:pStyle w:val="SingleTxtG"/>
        <w:rPr>
          <w:lang w:val="en-GB"/>
        </w:rPr>
      </w:pPr>
      <w:r>
        <w:t>4.1.4.1, P404</w:t>
      </w:r>
      <w:r>
        <w:tab/>
      </w:r>
      <w:r w:rsidR="00577EC9" w:rsidRPr="00577EC9">
        <w:t xml:space="preserve">En la frase introductoria, sustitúyase </w:t>
      </w:r>
      <w:r w:rsidR="00655CB5">
        <w:t>“</w:t>
      </w:r>
      <w:r w:rsidR="00577EC9" w:rsidRPr="00577EC9">
        <w:t>3391, 3393 y 3461</w:t>
      </w:r>
      <w:r w:rsidR="00655CB5">
        <w:t>”</w:t>
      </w:r>
      <w:r w:rsidR="00577EC9" w:rsidRPr="00577EC9">
        <w:t xml:space="preserve"> por </w:t>
      </w:r>
      <w:r w:rsidR="00655CB5">
        <w:t>“</w:t>
      </w:r>
      <w:r w:rsidR="00334CC8">
        <w:t>3391 y </w:t>
      </w:r>
      <w:r w:rsidR="00577EC9" w:rsidRPr="00577EC9">
        <w:t>3393</w:t>
      </w:r>
      <w:r w:rsidR="00655CB5">
        <w:t>”</w:t>
      </w:r>
      <w:r w:rsidR="00577EC9" w:rsidRPr="00577EC9">
        <w:t>.</w:t>
      </w:r>
    </w:p>
    <w:p w14:paraId="4ADC4E80" w14:textId="77777777" w:rsidR="00577EC9" w:rsidRPr="00577EC9" w:rsidRDefault="00577EC9" w:rsidP="00577EC9">
      <w:pPr>
        <w:pStyle w:val="SingleTxtG"/>
        <w:rPr>
          <w:lang w:val="en-GB"/>
        </w:rPr>
      </w:pPr>
      <w:r w:rsidRPr="00577EC9">
        <w:t xml:space="preserve">En el párrafo 1), bajo </w:t>
      </w:r>
      <w:r w:rsidR="00655CB5">
        <w:t>“</w:t>
      </w:r>
      <w:r w:rsidRPr="00577EC9">
        <w:t>Embalajes/envases interiores</w:t>
      </w:r>
      <w:r w:rsidR="00655CB5">
        <w:t>”</w:t>
      </w:r>
      <w:r w:rsidRPr="00577EC9">
        <w:t>:</w:t>
      </w:r>
    </w:p>
    <w:p w14:paraId="00BC6F94" w14:textId="77777777" w:rsidR="00577EC9" w:rsidRPr="00577EC9" w:rsidRDefault="00577EC9" w:rsidP="0004134F">
      <w:pPr>
        <w:pStyle w:val="Bullet2G"/>
        <w:rPr>
          <w:lang w:val="en-GB"/>
        </w:rPr>
      </w:pPr>
      <w:r w:rsidRPr="00577EC9">
        <w:t xml:space="preserve">En el primer párrafo, suprímase </w:t>
      </w:r>
      <w:r w:rsidR="00655CB5">
        <w:t>“</w:t>
      </w:r>
      <w:r w:rsidRPr="00577EC9">
        <w:t>y tendrán tapones roscados</w:t>
      </w:r>
      <w:r w:rsidR="00655CB5">
        <w:t>”</w:t>
      </w:r>
      <w:r w:rsidRPr="00577EC9">
        <w:t xml:space="preserve">. </w:t>
      </w:r>
    </w:p>
    <w:p w14:paraId="58112388" w14:textId="77777777" w:rsidR="00577EC9" w:rsidRPr="00577EC9" w:rsidRDefault="00577EC9" w:rsidP="0004134F">
      <w:pPr>
        <w:pStyle w:val="Bullet2G"/>
        <w:rPr>
          <w:lang w:val="en-GB"/>
        </w:rPr>
      </w:pPr>
      <w:r w:rsidRPr="00577EC9">
        <w:t xml:space="preserve">En el segundo párrafo, suprímase </w:t>
      </w:r>
      <w:r w:rsidR="00655CB5">
        <w:t>“</w:t>
      </w:r>
      <w:r w:rsidRPr="00577EC9">
        <w:t>roscados</w:t>
      </w:r>
      <w:r w:rsidR="00655CB5">
        <w:t>”</w:t>
      </w:r>
      <w:r w:rsidRPr="00577EC9">
        <w:t xml:space="preserve">. </w:t>
      </w:r>
    </w:p>
    <w:p w14:paraId="248CFD0A" w14:textId="77777777" w:rsidR="00577EC9" w:rsidRPr="00577EC9" w:rsidRDefault="00577EC9" w:rsidP="0004134F">
      <w:pPr>
        <w:pStyle w:val="Bullet2G"/>
        <w:rPr>
          <w:lang w:val="en-GB"/>
        </w:rPr>
      </w:pPr>
      <w:r w:rsidRPr="00577EC9">
        <w:t>Antes de la última frase, añádase el nuevo tercer párrafo siguiente (</w:t>
      </w:r>
      <w:r w:rsidR="00655CB5">
        <w:t>“</w:t>
      </w:r>
      <w:r w:rsidRPr="00577EC9">
        <w:t>Los embalajes/envases exteriores tendrán una masa neta máxima de 125 kg</w:t>
      </w:r>
      <w:r w:rsidR="00655CB5">
        <w:t>”</w:t>
      </w:r>
      <w:r w:rsidRPr="00577EC9">
        <w:t xml:space="preserve">): </w:t>
      </w:r>
    </w:p>
    <w:p w14:paraId="4FD42566" w14:textId="77777777" w:rsidR="00577EC9" w:rsidRPr="00577EC9" w:rsidRDefault="00655CB5" w:rsidP="00334CC8">
      <w:pPr>
        <w:pStyle w:val="SingleTxtG"/>
        <w:ind w:left="3005"/>
        <w:rPr>
          <w:lang w:val="en-GB"/>
        </w:rPr>
      </w:pPr>
      <w:r>
        <w:t>“</w:t>
      </w:r>
      <w:r w:rsidR="00577EC9" w:rsidRPr="00577EC9">
        <w:t>Los embalajes/envases interiores deberán tener cierres atornillados o cierres sujetos físicamente por cualquier medio que impida que se suelten o aflojen en caso de impacto o vibración durante el transporte.</w:t>
      </w:r>
      <w:r>
        <w:t>”</w:t>
      </w:r>
    </w:p>
    <w:p w14:paraId="18AB9FCF" w14:textId="77777777" w:rsidR="00577EC9" w:rsidRPr="00577EC9" w:rsidRDefault="00577EC9" w:rsidP="00577EC9">
      <w:pPr>
        <w:pStyle w:val="SingleTxtG"/>
        <w:rPr>
          <w:i/>
          <w:iCs/>
          <w:lang w:val="en-GB"/>
        </w:rPr>
      </w:pPr>
      <w:r w:rsidRPr="00577EC9">
        <w:t xml:space="preserve">En el párrafo 2), entre </w:t>
      </w:r>
      <w:r w:rsidR="00655CB5">
        <w:t>“</w:t>
      </w:r>
      <w:r w:rsidRPr="00577EC9">
        <w:t>, 1B1</w:t>
      </w:r>
      <w:r w:rsidR="00655CB5">
        <w:t>”</w:t>
      </w:r>
      <w:r w:rsidRPr="00577EC9">
        <w:t xml:space="preserve"> y </w:t>
      </w:r>
      <w:r w:rsidR="00655CB5">
        <w:t>“</w:t>
      </w:r>
      <w:r w:rsidRPr="00577EC9">
        <w:t>, 1N1</w:t>
      </w:r>
      <w:r w:rsidR="00655CB5">
        <w:t>”</w:t>
      </w:r>
      <w:r w:rsidRPr="00577EC9">
        <w:t xml:space="preserve">, insértese </w:t>
      </w:r>
      <w:r w:rsidR="00655CB5">
        <w:t>“</w:t>
      </w:r>
      <w:r w:rsidRPr="00577EC9">
        <w:t>, 1B2</w:t>
      </w:r>
      <w:r w:rsidR="00655CB5">
        <w:t>”</w:t>
      </w:r>
      <w:r w:rsidRPr="00577EC9">
        <w:t>.</w:t>
      </w:r>
    </w:p>
    <w:p w14:paraId="0B1E954E" w14:textId="77777777" w:rsidR="00577EC9" w:rsidRDefault="00577EC9" w:rsidP="004F3C2C">
      <w:pPr>
        <w:pStyle w:val="SingleTxtG"/>
        <w:keepNext/>
        <w:keepLines/>
        <w:tabs>
          <w:tab w:val="left" w:pos="2268"/>
        </w:tabs>
        <w:rPr>
          <w:b/>
          <w:bCs/>
        </w:rPr>
      </w:pPr>
      <w:r w:rsidRPr="00577EC9">
        <w:lastRenderedPageBreak/>
        <w:t>4.1.4.1</w:t>
      </w:r>
      <w:r w:rsidRPr="00577EC9">
        <w:tab/>
      </w:r>
      <w:r w:rsidRPr="00577EC9">
        <w:tab/>
        <w:t>Añádase la siguiente nueva instru</w:t>
      </w:r>
      <w:r w:rsidR="007F220C">
        <w:t>cción de embalaje/envasado P622.</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681"/>
        <w:gridCol w:w="1502"/>
        <w:gridCol w:w="3214"/>
        <w:gridCol w:w="1796"/>
        <w:gridCol w:w="1422"/>
      </w:tblGrid>
      <w:tr w:rsidR="00577EC9" w:rsidRPr="00C54F00" w14:paraId="56F99A22" w14:textId="77777777" w:rsidTr="007F220C">
        <w:tc>
          <w:tcPr>
            <w:tcW w:w="1681" w:type="dxa"/>
            <w:tcBorders>
              <w:top w:val="single" w:sz="4" w:space="0" w:color="000000"/>
              <w:bottom w:val="single" w:sz="4" w:space="0" w:color="000000"/>
            </w:tcBorders>
          </w:tcPr>
          <w:p w14:paraId="2F52814B" w14:textId="77777777" w:rsidR="00577EC9" w:rsidRPr="00C54F00" w:rsidRDefault="00577EC9" w:rsidP="00371851">
            <w:pPr>
              <w:keepNext/>
              <w:spacing w:before="60" w:after="60" w:line="240" w:lineRule="auto"/>
              <w:rPr>
                <w:b/>
                <w:bCs/>
                <w:color w:val="000000"/>
                <w:sz w:val="18"/>
                <w:szCs w:val="18"/>
              </w:rPr>
            </w:pPr>
            <w:r>
              <w:rPr>
                <w:b/>
                <w:bCs/>
              </w:rPr>
              <w:t>P622</w:t>
            </w:r>
          </w:p>
        </w:tc>
        <w:tc>
          <w:tcPr>
            <w:tcW w:w="6512" w:type="dxa"/>
            <w:gridSpan w:val="3"/>
            <w:tcBorders>
              <w:top w:val="single" w:sz="4" w:space="0" w:color="000000"/>
              <w:bottom w:val="single" w:sz="4" w:space="0" w:color="000000"/>
            </w:tcBorders>
          </w:tcPr>
          <w:p w14:paraId="0B36D751" w14:textId="77777777" w:rsidR="00577EC9" w:rsidRPr="00C54F00" w:rsidRDefault="00577EC9" w:rsidP="00371851">
            <w:pPr>
              <w:keepNext/>
              <w:spacing w:before="60" w:after="60" w:line="240" w:lineRule="auto"/>
              <w:jc w:val="center"/>
              <w:rPr>
                <w:b/>
                <w:bCs/>
                <w:color w:val="000000"/>
                <w:sz w:val="18"/>
                <w:szCs w:val="18"/>
              </w:rPr>
            </w:pPr>
            <w:r>
              <w:rPr>
                <w:b/>
                <w:bCs/>
              </w:rPr>
              <w:t>INSTRUCCIÓN DE EMBALAJE/ENVASADO</w:t>
            </w:r>
          </w:p>
        </w:tc>
        <w:tc>
          <w:tcPr>
            <w:tcW w:w="1422" w:type="dxa"/>
            <w:tcBorders>
              <w:top w:val="single" w:sz="4" w:space="0" w:color="000000"/>
              <w:bottom w:val="single" w:sz="4" w:space="0" w:color="000000"/>
            </w:tcBorders>
          </w:tcPr>
          <w:p w14:paraId="51EEF353" w14:textId="77777777" w:rsidR="00577EC9" w:rsidRPr="00C54F00" w:rsidRDefault="00577EC9" w:rsidP="007F220C">
            <w:pPr>
              <w:keepNext/>
              <w:spacing w:before="60" w:after="60" w:line="240" w:lineRule="auto"/>
              <w:jc w:val="right"/>
              <w:rPr>
                <w:b/>
                <w:bCs/>
                <w:color w:val="000000"/>
                <w:sz w:val="18"/>
                <w:szCs w:val="18"/>
              </w:rPr>
            </w:pPr>
            <w:r>
              <w:rPr>
                <w:b/>
                <w:bCs/>
              </w:rPr>
              <w:t>P622</w:t>
            </w:r>
          </w:p>
        </w:tc>
      </w:tr>
      <w:tr w:rsidR="00577EC9" w:rsidRPr="00C54F00" w14:paraId="10E360F8" w14:textId="77777777" w:rsidTr="00371851">
        <w:tc>
          <w:tcPr>
            <w:tcW w:w="9615" w:type="dxa"/>
            <w:gridSpan w:val="5"/>
            <w:tcBorders>
              <w:top w:val="single" w:sz="4" w:space="0" w:color="000000"/>
              <w:bottom w:val="single" w:sz="4" w:space="0" w:color="000000"/>
            </w:tcBorders>
          </w:tcPr>
          <w:p w14:paraId="409AE22B" w14:textId="77777777" w:rsidR="00577EC9" w:rsidRPr="00C54F00" w:rsidRDefault="00577EC9" w:rsidP="00371851">
            <w:pPr>
              <w:keepNext/>
              <w:spacing w:before="60" w:after="60" w:line="240" w:lineRule="auto"/>
              <w:rPr>
                <w:color w:val="000000"/>
                <w:sz w:val="18"/>
                <w:szCs w:val="18"/>
              </w:rPr>
            </w:pPr>
            <w:r>
              <w:t xml:space="preserve">Esta instrucción se aplica a los residuos con el </w:t>
            </w:r>
            <w:r w:rsidR="00655CB5">
              <w:t>núm.</w:t>
            </w:r>
            <w:r>
              <w:t xml:space="preserve"> ONU 3549 transportados para su eliminación.</w:t>
            </w:r>
          </w:p>
        </w:tc>
      </w:tr>
      <w:tr w:rsidR="00577EC9" w:rsidRPr="00C54F00" w14:paraId="22D08316" w14:textId="77777777" w:rsidTr="00371851">
        <w:tc>
          <w:tcPr>
            <w:tcW w:w="9615" w:type="dxa"/>
            <w:gridSpan w:val="5"/>
            <w:tcBorders>
              <w:top w:val="single" w:sz="4" w:space="0" w:color="000000"/>
              <w:bottom w:val="single" w:sz="4" w:space="0" w:color="000000"/>
            </w:tcBorders>
          </w:tcPr>
          <w:p w14:paraId="7E0BB94C" w14:textId="77777777" w:rsidR="00577EC9" w:rsidRPr="00C54F00" w:rsidRDefault="00577EC9" w:rsidP="00371851">
            <w:pPr>
              <w:keepNext/>
              <w:spacing w:before="60" w:after="60" w:line="240" w:lineRule="auto"/>
              <w:rPr>
                <w:color w:val="000000"/>
                <w:sz w:val="18"/>
                <w:szCs w:val="18"/>
              </w:rPr>
            </w:pPr>
            <w:r>
              <w:t>Se autorizan los siguientes embalajes/envases, siempre que se respeten las disposic</w:t>
            </w:r>
            <w:r w:rsidR="007F220C">
              <w:t>iones generales del 4.1.1 y del </w:t>
            </w:r>
            <w:r>
              <w:t>4.1.3:</w:t>
            </w:r>
          </w:p>
        </w:tc>
      </w:tr>
      <w:tr w:rsidR="00577EC9" w:rsidRPr="00C54F00" w14:paraId="7D3517B3" w14:textId="77777777" w:rsidTr="00371851">
        <w:tc>
          <w:tcPr>
            <w:tcW w:w="3183" w:type="dxa"/>
            <w:gridSpan w:val="2"/>
            <w:tcBorders>
              <w:top w:val="single" w:sz="4" w:space="0" w:color="000000"/>
              <w:bottom w:val="single" w:sz="4" w:space="0" w:color="000000"/>
              <w:right w:val="single" w:sz="4" w:space="0" w:color="auto"/>
            </w:tcBorders>
          </w:tcPr>
          <w:p w14:paraId="34419AD1" w14:textId="77777777" w:rsidR="00577EC9" w:rsidRPr="00C54F00" w:rsidRDefault="00577EC9" w:rsidP="00371851">
            <w:pPr>
              <w:keepNext/>
              <w:spacing w:before="60" w:after="60" w:line="240" w:lineRule="auto"/>
              <w:rPr>
                <w:b/>
                <w:color w:val="000000"/>
                <w:sz w:val="18"/>
                <w:szCs w:val="18"/>
              </w:rPr>
            </w:pPr>
            <w:r>
              <w:rPr>
                <w:b/>
                <w:bCs/>
              </w:rPr>
              <w:t>Embalajes/envases interiores</w:t>
            </w:r>
          </w:p>
        </w:tc>
        <w:tc>
          <w:tcPr>
            <w:tcW w:w="3214" w:type="dxa"/>
            <w:tcBorders>
              <w:top w:val="single" w:sz="4" w:space="0" w:color="000000"/>
              <w:left w:val="single" w:sz="4" w:space="0" w:color="auto"/>
              <w:bottom w:val="single" w:sz="4" w:space="0" w:color="000000"/>
              <w:right w:val="single" w:sz="4" w:space="0" w:color="auto"/>
            </w:tcBorders>
          </w:tcPr>
          <w:p w14:paraId="53DD03C4" w14:textId="77777777" w:rsidR="00577EC9" w:rsidRPr="00C54F00" w:rsidRDefault="00577EC9" w:rsidP="00371851">
            <w:pPr>
              <w:keepNext/>
              <w:spacing w:before="60" w:after="60" w:line="240" w:lineRule="auto"/>
              <w:rPr>
                <w:b/>
                <w:color w:val="000000"/>
                <w:sz w:val="18"/>
                <w:szCs w:val="18"/>
              </w:rPr>
            </w:pPr>
            <w:r>
              <w:rPr>
                <w:b/>
                <w:bCs/>
              </w:rPr>
              <w:t>Embalajes/envases intermedios</w:t>
            </w:r>
          </w:p>
        </w:tc>
        <w:tc>
          <w:tcPr>
            <w:tcW w:w="3218" w:type="dxa"/>
            <w:gridSpan w:val="2"/>
            <w:tcBorders>
              <w:top w:val="single" w:sz="4" w:space="0" w:color="000000"/>
              <w:left w:val="single" w:sz="4" w:space="0" w:color="auto"/>
              <w:bottom w:val="single" w:sz="4" w:space="0" w:color="000000"/>
            </w:tcBorders>
          </w:tcPr>
          <w:p w14:paraId="60E646C0" w14:textId="77777777" w:rsidR="00577EC9" w:rsidRPr="00C54F00" w:rsidRDefault="00577EC9" w:rsidP="00371851">
            <w:pPr>
              <w:keepNext/>
              <w:spacing w:before="60" w:after="60" w:line="240" w:lineRule="auto"/>
              <w:rPr>
                <w:b/>
                <w:color w:val="000000"/>
                <w:sz w:val="18"/>
                <w:szCs w:val="18"/>
              </w:rPr>
            </w:pPr>
            <w:r>
              <w:rPr>
                <w:b/>
                <w:bCs/>
              </w:rPr>
              <w:t>Embalajes/envases exteriores</w:t>
            </w:r>
          </w:p>
        </w:tc>
      </w:tr>
      <w:tr w:rsidR="00577EC9" w:rsidRPr="00C54F00" w14:paraId="78D65821" w14:textId="77777777" w:rsidTr="00371851">
        <w:trPr>
          <w:trHeight w:val="1610"/>
        </w:trPr>
        <w:tc>
          <w:tcPr>
            <w:tcW w:w="3183" w:type="dxa"/>
            <w:gridSpan w:val="2"/>
            <w:tcBorders>
              <w:top w:val="single" w:sz="4" w:space="0" w:color="000000"/>
              <w:bottom w:val="single" w:sz="4" w:space="0" w:color="000000"/>
              <w:right w:val="single" w:sz="4" w:space="0" w:color="auto"/>
            </w:tcBorders>
          </w:tcPr>
          <w:p w14:paraId="78DB3A11" w14:textId="77777777" w:rsidR="00577EC9" w:rsidRPr="00C54F00" w:rsidRDefault="00577EC9" w:rsidP="00371851">
            <w:pPr>
              <w:keepNext/>
              <w:spacing w:before="60" w:after="60" w:line="240" w:lineRule="auto"/>
              <w:rPr>
                <w:color w:val="000000"/>
                <w:sz w:val="18"/>
                <w:szCs w:val="18"/>
              </w:rPr>
            </w:pPr>
            <w:r>
              <w:t>de metal</w:t>
            </w:r>
          </w:p>
          <w:p w14:paraId="0D4F8AC0" w14:textId="77777777" w:rsidR="00577EC9" w:rsidRPr="00C54F00" w:rsidRDefault="00577EC9" w:rsidP="00371851">
            <w:pPr>
              <w:keepNext/>
              <w:spacing w:before="60" w:after="60" w:line="240" w:lineRule="auto"/>
              <w:rPr>
                <w:color w:val="000000"/>
                <w:sz w:val="18"/>
                <w:szCs w:val="18"/>
              </w:rPr>
            </w:pPr>
            <w:r>
              <w:t>de plástico</w:t>
            </w:r>
          </w:p>
        </w:tc>
        <w:tc>
          <w:tcPr>
            <w:tcW w:w="3214" w:type="dxa"/>
            <w:tcBorders>
              <w:top w:val="single" w:sz="4" w:space="0" w:color="000000"/>
              <w:left w:val="single" w:sz="4" w:space="0" w:color="auto"/>
              <w:bottom w:val="single" w:sz="4" w:space="0" w:color="000000"/>
              <w:right w:val="single" w:sz="4" w:space="0" w:color="auto"/>
            </w:tcBorders>
          </w:tcPr>
          <w:p w14:paraId="3F8AA2DE" w14:textId="77777777" w:rsidR="00577EC9" w:rsidRPr="00C54F00" w:rsidRDefault="00577EC9" w:rsidP="00371851">
            <w:pPr>
              <w:keepNext/>
              <w:spacing w:before="60" w:after="60" w:line="240" w:lineRule="auto"/>
              <w:rPr>
                <w:color w:val="000000"/>
                <w:sz w:val="18"/>
                <w:szCs w:val="18"/>
              </w:rPr>
            </w:pPr>
            <w:r>
              <w:t>de metal</w:t>
            </w:r>
          </w:p>
          <w:p w14:paraId="4497048D" w14:textId="77777777" w:rsidR="00577EC9" w:rsidRPr="00C54F00" w:rsidRDefault="00577EC9" w:rsidP="00371851">
            <w:pPr>
              <w:keepNext/>
              <w:spacing w:before="60" w:after="60" w:line="240" w:lineRule="auto"/>
              <w:rPr>
                <w:color w:val="000000"/>
                <w:sz w:val="18"/>
                <w:szCs w:val="18"/>
              </w:rPr>
            </w:pPr>
            <w:r>
              <w:t>de plástico</w:t>
            </w:r>
          </w:p>
        </w:tc>
        <w:tc>
          <w:tcPr>
            <w:tcW w:w="3218" w:type="dxa"/>
            <w:gridSpan w:val="2"/>
            <w:tcBorders>
              <w:top w:val="single" w:sz="4" w:space="0" w:color="000000"/>
              <w:left w:val="single" w:sz="4" w:space="0" w:color="auto"/>
              <w:bottom w:val="single" w:sz="4" w:space="0" w:color="000000"/>
            </w:tcBorders>
          </w:tcPr>
          <w:p w14:paraId="70967042" w14:textId="77777777" w:rsidR="00577EC9" w:rsidRPr="00C54F00" w:rsidRDefault="00577EC9" w:rsidP="00371851">
            <w:pPr>
              <w:keepNext/>
              <w:spacing w:before="60" w:after="60" w:line="240" w:lineRule="auto"/>
              <w:rPr>
                <w:b/>
                <w:color w:val="000000"/>
                <w:sz w:val="18"/>
                <w:szCs w:val="18"/>
              </w:rPr>
            </w:pPr>
            <w:r>
              <w:rPr>
                <w:b/>
                <w:bCs/>
              </w:rPr>
              <w:t>Cajas</w:t>
            </w:r>
          </w:p>
          <w:p w14:paraId="565D886A" w14:textId="77777777" w:rsidR="00577EC9" w:rsidRPr="00C54F00" w:rsidRDefault="00577EC9" w:rsidP="00371851">
            <w:pPr>
              <w:keepNext/>
              <w:spacing w:before="60" w:after="60" w:line="240" w:lineRule="auto"/>
              <w:rPr>
                <w:color w:val="000000"/>
                <w:sz w:val="18"/>
                <w:szCs w:val="18"/>
              </w:rPr>
            </w:pPr>
            <w:r>
              <w:t>de acero (4A)</w:t>
            </w:r>
          </w:p>
          <w:p w14:paraId="5D472ED6" w14:textId="77777777" w:rsidR="00577EC9" w:rsidRPr="00C54F00" w:rsidRDefault="00577EC9" w:rsidP="00371851">
            <w:pPr>
              <w:keepNext/>
              <w:spacing w:before="60" w:after="60" w:line="240" w:lineRule="auto"/>
              <w:rPr>
                <w:color w:val="000000"/>
                <w:sz w:val="18"/>
                <w:szCs w:val="18"/>
              </w:rPr>
            </w:pPr>
            <w:r>
              <w:t>de aluminio (4B)</w:t>
            </w:r>
          </w:p>
          <w:p w14:paraId="0EDCA9E7" w14:textId="77777777" w:rsidR="00577EC9" w:rsidRPr="00C54F00" w:rsidRDefault="00577EC9" w:rsidP="00371851">
            <w:pPr>
              <w:keepNext/>
              <w:spacing w:before="60" w:after="60" w:line="240" w:lineRule="auto"/>
              <w:rPr>
                <w:color w:val="000000"/>
                <w:sz w:val="18"/>
                <w:szCs w:val="18"/>
              </w:rPr>
            </w:pPr>
            <w:r>
              <w:t>de otro metal</w:t>
            </w:r>
          </w:p>
          <w:p w14:paraId="426EB472" w14:textId="77777777" w:rsidR="00577EC9" w:rsidRPr="00C54F00" w:rsidRDefault="00577EC9" w:rsidP="00371851">
            <w:pPr>
              <w:keepNext/>
              <w:spacing w:before="60" w:after="60" w:line="240" w:lineRule="auto"/>
              <w:rPr>
                <w:color w:val="000000"/>
                <w:sz w:val="18"/>
                <w:szCs w:val="18"/>
              </w:rPr>
            </w:pPr>
            <w:r>
              <w:t>de madera contrachapada (4D);</w:t>
            </w:r>
          </w:p>
          <w:p w14:paraId="2C0D55BA" w14:textId="77777777" w:rsidR="00577EC9" w:rsidRPr="00C54F00" w:rsidRDefault="00577EC9" w:rsidP="00371851">
            <w:pPr>
              <w:keepNext/>
              <w:spacing w:before="60" w:after="60" w:line="240" w:lineRule="auto"/>
              <w:rPr>
                <w:color w:val="000000"/>
                <w:sz w:val="18"/>
                <w:szCs w:val="18"/>
              </w:rPr>
            </w:pPr>
            <w:r>
              <w:t>de cartón (4G)</w:t>
            </w:r>
          </w:p>
          <w:p w14:paraId="169E9205" w14:textId="77777777" w:rsidR="00577EC9" w:rsidRPr="00C54F00" w:rsidRDefault="00577EC9" w:rsidP="00371851">
            <w:pPr>
              <w:keepNext/>
              <w:spacing w:before="60" w:after="60" w:line="240" w:lineRule="auto"/>
              <w:rPr>
                <w:color w:val="000000"/>
                <w:sz w:val="18"/>
                <w:szCs w:val="18"/>
              </w:rPr>
            </w:pPr>
            <w:r>
              <w:t>de plástico rígido (4H2)</w:t>
            </w:r>
          </w:p>
          <w:p w14:paraId="5C548E4D" w14:textId="77777777" w:rsidR="00577EC9" w:rsidRPr="00C54F00" w:rsidRDefault="00577EC9" w:rsidP="00371851">
            <w:pPr>
              <w:keepNext/>
              <w:spacing w:before="60" w:after="60" w:line="240" w:lineRule="auto"/>
              <w:rPr>
                <w:b/>
                <w:color w:val="000000"/>
                <w:sz w:val="18"/>
                <w:szCs w:val="18"/>
              </w:rPr>
            </w:pPr>
            <w:r>
              <w:rPr>
                <w:b/>
                <w:bCs/>
              </w:rPr>
              <w:t>Bidones</w:t>
            </w:r>
          </w:p>
          <w:p w14:paraId="32E3FA90" w14:textId="77777777" w:rsidR="00577EC9" w:rsidRPr="00C54F00" w:rsidRDefault="00577EC9" w:rsidP="00371851">
            <w:pPr>
              <w:keepNext/>
              <w:spacing w:before="60" w:after="60" w:line="240" w:lineRule="auto"/>
              <w:rPr>
                <w:color w:val="000000"/>
                <w:sz w:val="18"/>
                <w:szCs w:val="18"/>
              </w:rPr>
            </w:pPr>
            <w:r>
              <w:t>de acero (1A2)</w:t>
            </w:r>
          </w:p>
          <w:p w14:paraId="6F1030F0" w14:textId="77777777" w:rsidR="00577EC9" w:rsidRPr="00C54F00" w:rsidRDefault="00577EC9" w:rsidP="00371851">
            <w:pPr>
              <w:keepNext/>
              <w:spacing w:before="60" w:after="60" w:line="240" w:lineRule="auto"/>
              <w:rPr>
                <w:color w:val="000000"/>
                <w:sz w:val="18"/>
                <w:szCs w:val="18"/>
              </w:rPr>
            </w:pPr>
            <w:r>
              <w:t>de aluminio (1B2)</w:t>
            </w:r>
          </w:p>
          <w:p w14:paraId="5B326417" w14:textId="77777777" w:rsidR="00577EC9" w:rsidRPr="00C54F00" w:rsidRDefault="00577EC9" w:rsidP="00371851">
            <w:pPr>
              <w:keepNext/>
              <w:spacing w:before="60" w:after="60" w:line="240" w:lineRule="auto"/>
              <w:rPr>
                <w:color w:val="000000"/>
                <w:sz w:val="18"/>
                <w:szCs w:val="18"/>
              </w:rPr>
            </w:pPr>
            <w:r>
              <w:t>de otro metal (1N2)</w:t>
            </w:r>
          </w:p>
          <w:p w14:paraId="3736BEC4" w14:textId="77777777" w:rsidR="00577EC9" w:rsidRPr="00C54F00" w:rsidRDefault="00577EC9" w:rsidP="00371851">
            <w:pPr>
              <w:keepNext/>
              <w:spacing w:before="60" w:after="60" w:line="240" w:lineRule="auto"/>
              <w:rPr>
                <w:color w:val="000000"/>
                <w:sz w:val="18"/>
                <w:szCs w:val="18"/>
              </w:rPr>
            </w:pPr>
            <w:r>
              <w:t>de madera contrachapada (1D)</w:t>
            </w:r>
          </w:p>
          <w:p w14:paraId="4A413B12" w14:textId="77777777" w:rsidR="00577EC9" w:rsidRPr="00C54F00" w:rsidRDefault="00577EC9" w:rsidP="00371851">
            <w:pPr>
              <w:keepNext/>
              <w:spacing w:before="60" w:after="60" w:line="240" w:lineRule="auto"/>
              <w:rPr>
                <w:color w:val="000000"/>
                <w:sz w:val="18"/>
                <w:szCs w:val="18"/>
              </w:rPr>
            </w:pPr>
            <w:r>
              <w:t>de cartón (1G)</w:t>
            </w:r>
          </w:p>
          <w:p w14:paraId="43840186" w14:textId="77777777" w:rsidR="00577EC9" w:rsidRPr="00C54F00" w:rsidRDefault="00577EC9" w:rsidP="00371851">
            <w:pPr>
              <w:keepNext/>
              <w:spacing w:before="60" w:after="60" w:line="240" w:lineRule="auto"/>
              <w:rPr>
                <w:color w:val="000000"/>
                <w:sz w:val="18"/>
                <w:szCs w:val="18"/>
              </w:rPr>
            </w:pPr>
            <w:r>
              <w:t>de plástico (1H2)</w:t>
            </w:r>
          </w:p>
          <w:p w14:paraId="3A3B3F4E" w14:textId="77777777" w:rsidR="00577EC9" w:rsidRPr="00C54F00" w:rsidRDefault="00577EC9" w:rsidP="00371851">
            <w:pPr>
              <w:keepNext/>
              <w:spacing w:before="60" w:after="60" w:line="240" w:lineRule="auto"/>
              <w:rPr>
                <w:b/>
                <w:color w:val="000000"/>
                <w:sz w:val="18"/>
                <w:szCs w:val="18"/>
              </w:rPr>
            </w:pPr>
            <w:r>
              <w:rPr>
                <w:b/>
                <w:bCs/>
              </w:rPr>
              <w:t>Jerricanes</w:t>
            </w:r>
          </w:p>
          <w:p w14:paraId="0DF87412" w14:textId="77777777" w:rsidR="00577EC9" w:rsidRPr="00C54F00" w:rsidRDefault="00577EC9" w:rsidP="00371851">
            <w:pPr>
              <w:keepNext/>
              <w:spacing w:before="60" w:after="60" w:line="240" w:lineRule="auto"/>
              <w:rPr>
                <w:color w:val="000000"/>
                <w:sz w:val="18"/>
                <w:szCs w:val="18"/>
              </w:rPr>
            </w:pPr>
            <w:r>
              <w:t>de acero (3A2)</w:t>
            </w:r>
          </w:p>
          <w:p w14:paraId="0F899D20" w14:textId="77777777" w:rsidR="00577EC9" w:rsidRPr="00C54F00" w:rsidRDefault="00577EC9" w:rsidP="00371851">
            <w:pPr>
              <w:keepNext/>
              <w:spacing w:before="60" w:after="60" w:line="240" w:lineRule="auto"/>
              <w:rPr>
                <w:color w:val="000000"/>
                <w:sz w:val="18"/>
                <w:szCs w:val="18"/>
              </w:rPr>
            </w:pPr>
            <w:r>
              <w:t>de aluminio (3B2)</w:t>
            </w:r>
          </w:p>
          <w:p w14:paraId="2D5D8C26" w14:textId="77777777" w:rsidR="00577EC9" w:rsidRPr="00C54F00" w:rsidRDefault="00577EC9" w:rsidP="00371851">
            <w:pPr>
              <w:keepNext/>
              <w:spacing w:before="60" w:after="60" w:line="240" w:lineRule="auto"/>
              <w:rPr>
                <w:color w:val="000000"/>
                <w:sz w:val="18"/>
                <w:szCs w:val="18"/>
              </w:rPr>
            </w:pPr>
            <w:r>
              <w:t>de plástico (3H2)</w:t>
            </w:r>
          </w:p>
        </w:tc>
      </w:tr>
      <w:tr w:rsidR="00577EC9" w:rsidRPr="00C54F00" w14:paraId="62DC1F21" w14:textId="77777777" w:rsidTr="00371851">
        <w:tc>
          <w:tcPr>
            <w:tcW w:w="9615" w:type="dxa"/>
            <w:gridSpan w:val="5"/>
          </w:tcPr>
          <w:p w14:paraId="51FFF162" w14:textId="77777777" w:rsidR="00577EC9" w:rsidRPr="00C54F00" w:rsidRDefault="00577EC9" w:rsidP="00371851">
            <w:pPr>
              <w:keepNext/>
              <w:spacing w:before="60" w:after="60" w:line="240" w:lineRule="auto"/>
              <w:rPr>
                <w:color w:val="000000"/>
                <w:sz w:val="18"/>
                <w:szCs w:val="18"/>
              </w:rPr>
            </w:pPr>
            <w:r>
              <w:t>Los embalajes/envases exteriores serán conformes al nivel de prestaciones del grupo de e</w:t>
            </w:r>
            <w:r w:rsidR="00E64C29">
              <w:t>mbalaje/envase I para sólidos.</w:t>
            </w:r>
          </w:p>
        </w:tc>
      </w:tr>
      <w:tr w:rsidR="00577EC9" w:rsidRPr="00C54F00" w14:paraId="5C6A93E9" w14:textId="77777777" w:rsidTr="00371851">
        <w:trPr>
          <w:trHeight w:val="244"/>
        </w:trPr>
        <w:tc>
          <w:tcPr>
            <w:tcW w:w="9615" w:type="dxa"/>
            <w:gridSpan w:val="5"/>
            <w:tcBorders>
              <w:top w:val="single" w:sz="4" w:space="0" w:color="000000"/>
              <w:bottom w:val="single" w:sz="4" w:space="0" w:color="000000"/>
            </w:tcBorders>
          </w:tcPr>
          <w:p w14:paraId="31A32FB9" w14:textId="77777777" w:rsidR="00577EC9" w:rsidRPr="00C54F00" w:rsidRDefault="00577EC9" w:rsidP="00371851">
            <w:pPr>
              <w:keepNext/>
              <w:spacing w:before="60" w:after="60" w:line="240" w:lineRule="auto"/>
              <w:rPr>
                <w:color w:val="000000"/>
                <w:sz w:val="18"/>
                <w:szCs w:val="18"/>
              </w:rPr>
            </w:pPr>
            <w:r>
              <w:rPr>
                <w:b/>
                <w:bCs/>
              </w:rPr>
              <w:t>Requisitos adicionales:</w:t>
            </w:r>
          </w:p>
        </w:tc>
      </w:tr>
      <w:tr w:rsidR="00577EC9" w:rsidRPr="00C54F00" w14:paraId="6C7C880D" w14:textId="77777777" w:rsidTr="00371851">
        <w:trPr>
          <w:trHeight w:val="360"/>
        </w:trPr>
        <w:tc>
          <w:tcPr>
            <w:tcW w:w="9615" w:type="dxa"/>
            <w:gridSpan w:val="5"/>
            <w:tcBorders>
              <w:top w:val="single" w:sz="4" w:space="0" w:color="000000"/>
              <w:bottom w:val="single" w:sz="4" w:space="0" w:color="auto"/>
            </w:tcBorders>
            <w:vAlign w:val="center"/>
          </w:tcPr>
          <w:p w14:paraId="7FB94B53" w14:textId="77777777" w:rsidR="00577EC9" w:rsidRPr="00C54F00" w:rsidRDefault="00577EC9" w:rsidP="00577EC9">
            <w:pPr>
              <w:pStyle w:val="ListParagraph"/>
              <w:keepNext/>
              <w:numPr>
                <w:ilvl w:val="0"/>
                <w:numId w:val="25"/>
              </w:numPr>
              <w:spacing w:before="60" w:after="60" w:line="240" w:lineRule="auto"/>
              <w:ind w:left="390"/>
              <w:rPr>
                <w:color w:val="000000"/>
                <w:sz w:val="18"/>
                <w:szCs w:val="18"/>
              </w:rPr>
            </w:pPr>
            <w:r>
              <w:rPr>
                <w:lang w:val="es-ES"/>
              </w:rPr>
              <w:t>Los artículos frágiles deberán estar contenidos en un embalaje/envase interior rígido o en un embalaje/envase intermedio rígido.</w:t>
            </w:r>
          </w:p>
          <w:p w14:paraId="028BAEC2" w14:textId="77777777" w:rsidR="00577EC9" w:rsidRPr="00C54F00" w:rsidRDefault="00577EC9" w:rsidP="00577EC9">
            <w:pPr>
              <w:pStyle w:val="ListParagraph"/>
              <w:keepNext/>
              <w:numPr>
                <w:ilvl w:val="0"/>
                <w:numId w:val="25"/>
              </w:numPr>
              <w:spacing w:before="60" w:after="60" w:line="240" w:lineRule="auto"/>
              <w:ind w:left="390"/>
              <w:rPr>
                <w:color w:val="000000"/>
                <w:sz w:val="18"/>
                <w:szCs w:val="18"/>
              </w:rPr>
            </w:pPr>
            <w:r>
              <w:rPr>
                <w:lang w:val="es-ES"/>
              </w:rPr>
              <w:t>Los embalajes/envases interiores destinados a contener objetos puntiagudos, como fragmentos de vidrio o agujas, habrán de ser rígidos y resistentes a las perforaciones.</w:t>
            </w:r>
          </w:p>
          <w:p w14:paraId="43BC08D7" w14:textId="77777777" w:rsidR="00577EC9" w:rsidRPr="00C54F00" w:rsidRDefault="00577EC9" w:rsidP="00577EC9">
            <w:pPr>
              <w:pStyle w:val="ListParagraph"/>
              <w:keepNext/>
              <w:numPr>
                <w:ilvl w:val="0"/>
                <w:numId w:val="25"/>
              </w:numPr>
              <w:spacing w:before="60" w:after="60" w:line="240" w:lineRule="auto"/>
              <w:ind w:left="390"/>
              <w:rPr>
                <w:color w:val="000000"/>
                <w:sz w:val="18"/>
                <w:szCs w:val="18"/>
              </w:rPr>
            </w:pPr>
            <w:r>
              <w:rPr>
                <w:lang w:val="es-ES"/>
              </w:rPr>
              <w:t>El embalaje/envase interior, el embalaje/envase intermedio y el embalaje/envase exterior deberán ser impermeables a los líquidos. Los embalajes/envases exteriores que, por su diseño, no sean impermeables a los líquidos deberán ir provistos de un revestimiento u otra medida adecuada que los haga impermeables.</w:t>
            </w:r>
          </w:p>
          <w:p w14:paraId="1FABFB13" w14:textId="77777777" w:rsidR="00577EC9" w:rsidRPr="00C54F00" w:rsidRDefault="00577EC9" w:rsidP="00577EC9">
            <w:pPr>
              <w:pStyle w:val="ListParagraph"/>
              <w:keepNext/>
              <w:numPr>
                <w:ilvl w:val="0"/>
                <w:numId w:val="25"/>
              </w:numPr>
              <w:spacing w:before="60" w:after="60" w:line="240" w:lineRule="auto"/>
              <w:ind w:left="390"/>
              <w:jc w:val="both"/>
              <w:rPr>
                <w:color w:val="000000"/>
                <w:sz w:val="18"/>
                <w:szCs w:val="18"/>
              </w:rPr>
            </w:pPr>
            <w:r>
              <w:rPr>
                <w:lang w:val="es-ES"/>
              </w:rPr>
              <w:t xml:space="preserve">El embalaje/envase interior y/o el embalaje/envase intermedio podrán ser flexibles. Cuando se utilicen embalajes/envases flexibles, deberán poder superar el ensayo de resistencia al impacto hasta 165 g, como mínimo, de acuerdo con la norma ISO 7765-1:1988 </w:t>
            </w:r>
            <w:r w:rsidR="00655CB5">
              <w:rPr>
                <w:lang w:val="es-ES"/>
              </w:rPr>
              <w:t>“</w:t>
            </w:r>
            <w:r>
              <w:rPr>
                <w:lang w:val="es-ES"/>
              </w:rPr>
              <w:t>P</w:t>
            </w:r>
            <w:r w:rsidR="007F220C">
              <w:rPr>
                <w:lang w:val="es-ES"/>
              </w:rPr>
              <w:t>elículas y láminas de plástico –</w:t>
            </w:r>
            <w:r>
              <w:rPr>
                <w:lang w:val="es-ES"/>
              </w:rPr>
              <w:t xml:space="preserve"> Determinación de la resistencia al impacto por el método de caída de dardo </w:t>
            </w:r>
            <w:r w:rsidR="007F220C">
              <w:rPr>
                <w:lang w:val="es-ES"/>
              </w:rPr>
              <w:t>–</w:t>
            </w:r>
            <w:r>
              <w:rPr>
                <w:lang w:val="es-ES"/>
              </w:rPr>
              <w:t xml:space="preserve"> Parte 1: Método de la escalera</w:t>
            </w:r>
            <w:r w:rsidR="00655CB5">
              <w:rPr>
                <w:lang w:val="es-ES"/>
              </w:rPr>
              <w:t>”</w:t>
            </w:r>
            <w:r>
              <w:rPr>
                <w:lang w:val="es-ES"/>
              </w:rPr>
              <w:t xml:space="preserve"> y el ensayo de resistencia al desgarro hasta 480 g, como mínimo, en planos tanto paralelos como perpendiculares con respecto a la longitud de la bolsa, de acuerdo con la norma ISO 6383-2:1983 </w:t>
            </w:r>
            <w:r w:rsidR="00655CB5">
              <w:rPr>
                <w:lang w:val="es-ES"/>
              </w:rPr>
              <w:t>“</w:t>
            </w:r>
            <w:r>
              <w:rPr>
                <w:lang w:val="es-ES"/>
              </w:rPr>
              <w:t>Plásticos: películas y láminas de p</w:t>
            </w:r>
            <w:r w:rsidR="007F220C">
              <w:rPr>
                <w:lang w:val="es-ES"/>
              </w:rPr>
              <w:t>lástico</w:t>
            </w:r>
            <w:r>
              <w:rPr>
                <w:lang w:val="es-ES"/>
              </w:rPr>
              <w:t>: determinación de la resistencia al rasgado. Parte 2, Método de Elmendorf</w:t>
            </w:r>
            <w:r w:rsidR="00655CB5">
              <w:rPr>
                <w:lang w:val="es-ES"/>
              </w:rPr>
              <w:t>”</w:t>
            </w:r>
            <w:r>
              <w:rPr>
                <w:lang w:val="es-ES"/>
              </w:rPr>
              <w:t>.</w:t>
            </w:r>
            <w:r w:rsidR="00E64C29">
              <w:rPr>
                <w:lang w:val="es-ES"/>
              </w:rPr>
              <w:t xml:space="preserve"> </w:t>
            </w:r>
            <w:r>
              <w:rPr>
                <w:lang w:val="es-ES"/>
              </w:rPr>
              <w:t xml:space="preserve">La masa neta máxima de cada embalaje/envase </w:t>
            </w:r>
            <w:r w:rsidR="007F220C">
              <w:rPr>
                <w:lang w:val="es-ES"/>
              </w:rPr>
              <w:t>interior flexible será de 30 kg.</w:t>
            </w:r>
          </w:p>
          <w:p w14:paraId="23CBBFA7" w14:textId="77777777" w:rsidR="00577EC9" w:rsidRPr="00C54F00" w:rsidRDefault="00577EC9" w:rsidP="00577EC9">
            <w:pPr>
              <w:pStyle w:val="ListParagraph"/>
              <w:keepNext/>
              <w:numPr>
                <w:ilvl w:val="0"/>
                <w:numId w:val="25"/>
              </w:numPr>
              <w:spacing w:before="60" w:after="60" w:line="240" w:lineRule="auto"/>
              <w:ind w:left="390"/>
              <w:jc w:val="both"/>
              <w:rPr>
                <w:color w:val="000000"/>
                <w:sz w:val="18"/>
                <w:szCs w:val="18"/>
              </w:rPr>
            </w:pPr>
            <w:r>
              <w:rPr>
                <w:lang w:val="es-ES"/>
              </w:rPr>
              <w:t>Cada embalaje/envase intermedio flexible contendrá un único embalaje/envase interior.</w:t>
            </w:r>
          </w:p>
          <w:p w14:paraId="5A84228A" w14:textId="77777777" w:rsidR="00577EC9" w:rsidRPr="00C54F00" w:rsidRDefault="00577EC9" w:rsidP="00577EC9">
            <w:pPr>
              <w:pStyle w:val="ListParagraph"/>
              <w:keepNext/>
              <w:numPr>
                <w:ilvl w:val="0"/>
                <w:numId w:val="25"/>
              </w:numPr>
              <w:spacing w:before="60" w:after="60" w:line="240" w:lineRule="auto"/>
              <w:ind w:left="390"/>
              <w:jc w:val="both"/>
              <w:rPr>
                <w:color w:val="000000"/>
                <w:sz w:val="18"/>
                <w:szCs w:val="18"/>
              </w:rPr>
            </w:pPr>
            <w:r>
              <w:rPr>
                <w:lang w:val="es-ES"/>
              </w:rPr>
              <w:t>Los embalajes/envases interiores que contengan una pequeña cantidad de líquido libre podrán incluirse en los embalajes intermedios siempre que haya suficiente material absorbente o solidificante en el embalaje/envase interior o intermedio para absorber o solidificar todo el contenido líquido presente. Se utilizará un material absorbente adecuado que resista las temperaturas y vibraciones que puedan producirse en condiciones normales de transporte.</w:t>
            </w:r>
          </w:p>
          <w:p w14:paraId="1A2DDCCE" w14:textId="77777777" w:rsidR="00577EC9" w:rsidRPr="00C54F00" w:rsidRDefault="00577EC9" w:rsidP="00577EC9">
            <w:pPr>
              <w:pStyle w:val="ListParagraph"/>
              <w:keepNext/>
              <w:numPr>
                <w:ilvl w:val="0"/>
                <w:numId w:val="25"/>
              </w:numPr>
              <w:spacing w:before="60" w:after="60" w:line="240" w:lineRule="auto"/>
              <w:ind w:left="390"/>
              <w:jc w:val="both"/>
              <w:rPr>
                <w:color w:val="000000"/>
                <w:sz w:val="18"/>
                <w:szCs w:val="18"/>
              </w:rPr>
            </w:pPr>
            <w:r>
              <w:rPr>
                <w:lang w:val="es-ES"/>
              </w:rPr>
              <w:t>Los embalajes/envases intermedios irán sujetos dentro de los embalajes/envases exteriores con un material amortig</w:t>
            </w:r>
            <w:r w:rsidR="007F220C">
              <w:rPr>
                <w:lang w:val="es-ES"/>
              </w:rPr>
              <w:t>uador y/o absorbente apropiado.</w:t>
            </w:r>
          </w:p>
        </w:tc>
      </w:tr>
    </w:tbl>
    <w:p w14:paraId="007C43ED" w14:textId="77777777" w:rsidR="00577EC9" w:rsidRDefault="007F220C" w:rsidP="00564673">
      <w:pPr>
        <w:pStyle w:val="SingleTxtG"/>
        <w:keepNext/>
        <w:tabs>
          <w:tab w:val="left" w:pos="2268"/>
        </w:tabs>
        <w:spacing w:before="480"/>
        <w:rPr>
          <w:b/>
          <w:bCs/>
        </w:rPr>
      </w:pPr>
      <w:r>
        <w:lastRenderedPageBreak/>
        <w:t>4.1.4.1</w:t>
      </w:r>
      <w:r>
        <w:tab/>
      </w:r>
      <w:r w:rsidR="00577EC9" w:rsidRPr="00577EC9">
        <w:t>P801</w:t>
      </w:r>
      <w:r w:rsidR="00577EC9" w:rsidRPr="00577EC9">
        <w:tab/>
        <w:t>Sustitúyase la actual in</w:t>
      </w:r>
      <w:r>
        <w:t>strucción P801 por la siguiente.</w:t>
      </w:r>
    </w:p>
    <w:tbl>
      <w:tblPr>
        <w:tblStyle w:val="TableGrid"/>
        <w:tblW w:w="9630" w:type="dxa"/>
        <w:tblInd w:w="85" w:type="dxa"/>
        <w:tblLayout w:type="fixed"/>
        <w:tblLook w:val="04A0" w:firstRow="1" w:lastRow="0" w:firstColumn="1" w:lastColumn="0" w:noHBand="0" w:noVBand="1"/>
      </w:tblPr>
      <w:tblGrid>
        <w:gridCol w:w="9630"/>
      </w:tblGrid>
      <w:tr w:rsidR="00577EC9" w:rsidRPr="00C54F00" w14:paraId="3FFAED86" w14:textId="77777777" w:rsidTr="00371851">
        <w:tc>
          <w:tcPr>
            <w:tcW w:w="9630" w:type="dxa"/>
          </w:tcPr>
          <w:p w14:paraId="3A468F79" w14:textId="77777777" w:rsidR="00577EC9" w:rsidRPr="00C54F00" w:rsidRDefault="00577EC9" w:rsidP="00564673">
            <w:pPr>
              <w:keepNext/>
              <w:suppressLineNumbers/>
              <w:tabs>
                <w:tab w:val="left" w:pos="2257"/>
                <w:tab w:val="left" w:pos="8981"/>
              </w:tabs>
              <w:rPr>
                <w:b/>
                <w:sz w:val="18"/>
                <w:szCs w:val="18"/>
              </w:rPr>
            </w:pPr>
            <w:r>
              <w:rPr>
                <w:b/>
                <w:bCs/>
              </w:rPr>
              <w:t>P801</w:t>
            </w:r>
            <w:r w:rsidR="00655CB5">
              <w:rPr>
                <w:b/>
                <w:bCs/>
              </w:rPr>
              <w:tab/>
            </w:r>
            <w:r>
              <w:rPr>
                <w:b/>
                <w:bCs/>
              </w:rPr>
              <w:t>INSTRUCCIÓN DE EMBALAJE/ENVASADO</w:t>
            </w:r>
            <w:r w:rsidR="00655CB5">
              <w:rPr>
                <w:b/>
                <w:bCs/>
              </w:rPr>
              <w:tab/>
            </w:r>
            <w:r>
              <w:rPr>
                <w:b/>
                <w:bCs/>
              </w:rPr>
              <w:t>P801</w:t>
            </w:r>
          </w:p>
        </w:tc>
      </w:tr>
      <w:tr w:rsidR="00577EC9" w:rsidRPr="00C54F00" w14:paraId="29656B1F" w14:textId="77777777" w:rsidTr="00371851">
        <w:tc>
          <w:tcPr>
            <w:tcW w:w="9630" w:type="dxa"/>
          </w:tcPr>
          <w:p w14:paraId="18770772" w14:textId="77777777" w:rsidR="00577EC9" w:rsidRPr="00C54F00" w:rsidRDefault="00577EC9" w:rsidP="00371851">
            <w:pPr>
              <w:keepNext/>
              <w:keepLines/>
              <w:suppressLineNumbers/>
              <w:rPr>
                <w:sz w:val="18"/>
                <w:szCs w:val="18"/>
              </w:rPr>
            </w:pPr>
            <w:r>
              <w:t xml:space="preserve">Esta instrucción se aplica a los </w:t>
            </w:r>
            <w:r w:rsidR="00655CB5">
              <w:t>núms.</w:t>
            </w:r>
            <w:r>
              <w:t xml:space="preserve"> ONU 2794, 2795 y 3028</w:t>
            </w:r>
          </w:p>
        </w:tc>
      </w:tr>
      <w:tr w:rsidR="00577EC9" w:rsidRPr="00C54F00" w14:paraId="169B714A" w14:textId="77777777" w:rsidTr="00371851">
        <w:tc>
          <w:tcPr>
            <w:tcW w:w="9630" w:type="dxa"/>
          </w:tcPr>
          <w:p w14:paraId="32CB3B69" w14:textId="77777777" w:rsidR="007F220C" w:rsidRDefault="00577EC9" w:rsidP="007F220C">
            <w:pPr>
              <w:keepNext/>
              <w:keepLines/>
              <w:suppressLineNumbers/>
              <w:spacing w:after="60"/>
            </w:pPr>
            <w:r>
              <w:t>Se autorizan los siguientes embalajes/envases, siempre que se respeten las disposici</w:t>
            </w:r>
            <w:r w:rsidR="007F220C">
              <w:t>ones generales de los epígrafes </w:t>
            </w:r>
            <w:r>
              <w:t>4.1.1.1, 4.1.1.2, 4.1.1.6, y 4.1.3:</w:t>
            </w:r>
          </w:p>
          <w:p w14:paraId="39B2F8FF" w14:textId="77777777" w:rsidR="00577EC9" w:rsidRPr="007F220C" w:rsidRDefault="007F220C" w:rsidP="007F220C">
            <w:pPr>
              <w:keepNext/>
              <w:keepLines/>
              <w:suppressLineNumbers/>
              <w:spacing w:after="60"/>
              <w:rPr>
                <w:sz w:val="18"/>
                <w:szCs w:val="18"/>
              </w:rPr>
            </w:pPr>
            <w:r>
              <w:t xml:space="preserve">1) </w:t>
            </w:r>
            <w:r w:rsidR="00577EC9">
              <w:t>Embalajes/envases exteriores rígidos, cajas</w:t>
            </w:r>
            <w:r w:rsidR="0023791F">
              <w:t xml:space="preserve"> de listones de madera o palés.</w:t>
            </w:r>
          </w:p>
          <w:p w14:paraId="22071DEA" w14:textId="77777777" w:rsidR="00577EC9" w:rsidRPr="00C54F00" w:rsidRDefault="00577EC9" w:rsidP="00371851">
            <w:pPr>
              <w:keepNext/>
              <w:keepLines/>
              <w:suppressLineNumbers/>
              <w:snapToGrid w:val="0"/>
              <w:spacing w:before="120" w:after="120" w:line="40" w:lineRule="atLeast"/>
              <w:ind w:left="368"/>
              <w:rPr>
                <w:sz w:val="18"/>
                <w:szCs w:val="18"/>
              </w:rPr>
            </w:pPr>
            <w:r>
              <w:t>Además, deberán satisfacerse las siguientes condiciones:</w:t>
            </w:r>
          </w:p>
          <w:p w14:paraId="0613543B"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a)</w:t>
            </w:r>
            <w:r>
              <w:rPr>
                <w:lang w:val="es-ES"/>
              </w:rPr>
              <w:tab/>
              <w:t xml:space="preserve">Los apilamientos de baterías se colocarán en niveles separados por una capa de material no conductor de la electricidad; </w:t>
            </w:r>
          </w:p>
          <w:p w14:paraId="2E931415"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b)</w:t>
            </w:r>
            <w:r>
              <w:rPr>
                <w:lang w:val="es-ES"/>
              </w:rPr>
              <w:tab/>
              <w:t>Los bornes de las baterías no deberán soportar el peso de otros elementos colocados encima.</w:t>
            </w:r>
          </w:p>
          <w:p w14:paraId="5B762964"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c)</w:t>
            </w:r>
            <w:r>
              <w:rPr>
                <w:lang w:val="es-ES"/>
              </w:rPr>
              <w:tab/>
              <w:t>Las baterías deberán embalarse o asegurarse de manera que se impida cualquier movimiento accidental.</w:t>
            </w:r>
          </w:p>
          <w:p w14:paraId="5F1ED145"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d)</w:t>
            </w:r>
            <w:r>
              <w:rPr>
                <w:lang w:val="es-ES"/>
              </w:rPr>
              <w:tab/>
              <w:t>Las baterías no deberán tener fugas en condiciones normales de transporte o se tomarán las medidas adecuadas para evitar la liberación de electrolito del embalaje/envase (por ejemplo, embalando/envasando individualmente las baterías o mediante otros métodos igualmente eficaces); y</w:t>
            </w:r>
          </w:p>
          <w:p w14:paraId="3C4F2C24"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e) Las baterías deberán estar protegidas contra los cortocircuitos.</w:t>
            </w:r>
          </w:p>
          <w:p w14:paraId="445D4662" w14:textId="77777777" w:rsidR="00577EC9" w:rsidRPr="00C54F00" w:rsidRDefault="00577EC9" w:rsidP="00371851">
            <w:pPr>
              <w:keepNext/>
              <w:keepLines/>
              <w:suppressLineNumbers/>
              <w:ind w:left="368" w:hanging="368"/>
              <w:rPr>
                <w:sz w:val="18"/>
                <w:szCs w:val="18"/>
              </w:rPr>
            </w:pPr>
            <w:r>
              <w:t xml:space="preserve">2) Para transportar baterías usadas también podrán utilizarse contenedores de acero inoxidable o de plástico. </w:t>
            </w:r>
          </w:p>
          <w:p w14:paraId="4961E741" w14:textId="77777777" w:rsidR="00577EC9" w:rsidRPr="00C54F00" w:rsidRDefault="00577EC9" w:rsidP="00371851">
            <w:pPr>
              <w:keepNext/>
              <w:keepLines/>
              <w:suppressLineNumbers/>
              <w:snapToGrid w:val="0"/>
              <w:spacing w:before="120" w:after="120" w:line="40" w:lineRule="atLeast"/>
              <w:ind w:left="368"/>
              <w:rPr>
                <w:sz w:val="18"/>
                <w:szCs w:val="18"/>
              </w:rPr>
            </w:pPr>
            <w:r>
              <w:t>Además, deberán satisfacerse las siguientes condiciones:</w:t>
            </w:r>
          </w:p>
          <w:p w14:paraId="4BF197A8"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a)</w:t>
            </w:r>
            <w:r>
              <w:rPr>
                <w:lang w:val="es-ES"/>
              </w:rPr>
              <w:tab/>
              <w:t>Los contenedores deberán ser resistentes al electrolito contenido en las baterías;</w:t>
            </w:r>
          </w:p>
          <w:p w14:paraId="0E53E937"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b)</w:t>
            </w:r>
            <w:r>
              <w:rPr>
                <w:lang w:val="es-ES"/>
              </w:rPr>
              <w:tab/>
              <w:t>Los contenedores no deberán llenarse hasta una altura superior a la de sus lados;</w:t>
            </w:r>
          </w:p>
          <w:p w14:paraId="4426AD02"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c)</w:t>
            </w:r>
            <w:r>
              <w:rPr>
                <w:lang w:val="es-ES"/>
              </w:rPr>
              <w:tab/>
              <w:t>La parte exterior de los contenedores no deberá tener residuos del electrolito contenido en las baterías;</w:t>
            </w:r>
          </w:p>
          <w:p w14:paraId="1AC81140"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d)</w:t>
            </w:r>
            <w:r>
              <w:rPr>
                <w:lang w:val="es-ES"/>
              </w:rPr>
              <w:tab/>
              <w:t>En condiciones normales de transporte, los contenedores no deberán mostrar fugas de electrolito;</w:t>
            </w:r>
          </w:p>
          <w:p w14:paraId="084A90D5"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e)</w:t>
            </w:r>
            <w:r>
              <w:rPr>
                <w:lang w:val="es-ES"/>
              </w:rPr>
              <w:tab/>
              <w:t>Se tomarán medidas para garantizar que los contenedores llenos no puedan perder su contenido; y</w:t>
            </w:r>
          </w:p>
          <w:p w14:paraId="2FA2E0EB" w14:textId="77777777" w:rsidR="00577EC9" w:rsidRPr="00C54F00" w:rsidRDefault="00577EC9" w:rsidP="007F220C">
            <w:pPr>
              <w:pStyle w:val="ListParagraph"/>
              <w:keepNext/>
              <w:keepLines/>
              <w:suppressLineNumbers/>
              <w:snapToGrid w:val="0"/>
              <w:spacing w:before="120" w:after="120" w:line="40" w:lineRule="atLeast"/>
              <w:ind w:left="661" w:hanging="284"/>
              <w:contextualSpacing w:val="0"/>
              <w:rPr>
                <w:sz w:val="18"/>
                <w:szCs w:val="18"/>
              </w:rPr>
            </w:pPr>
            <w:r>
              <w:rPr>
                <w:lang w:val="es-ES"/>
              </w:rPr>
              <w:t>f)</w:t>
            </w:r>
            <w:r>
              <w:rPr>
                <w:lang w:val="es-ES"/>
              </w:rPr>
              <w:tab/>
              <w:t>Se tomarán medidas para evitar cortocircuitos (por ejemplo, baterías descargadas, protección individual de los bordes de las baterías, etc.).</w:t>
            </w:r>
          </w:p>
        </w:tc>
      </w:tr>
    </w:tbl>
    <w:p w14:paraId="6455D628" w14:textId="77777777" w:rsidR="00577EC9" w:rsidRPr="00577EC9" w:rsidRDefault="00577EC9" w:rsidP="0004134F">
      <w:pPr>
        <w:pStyle w:val="SingleTxtG"/>
        <w:spacing w:before="240"/>
        <w:rPr>
          <w:lang w:val="en-GB"/>
        </w:rPr>
      </w:pPr>
      <w:r w:rsidRPr="00577EC9">
        <w:t>4.1.4.1, P903</w:t>
      </w:r>
      <w:r w:rsidRPr="00577EC9">
        <w:tab/>
        <w:t>Añádase el nuevo párrafo 5) siguiente:</w:t>
      </w:r>
    </w:p>
    <w:p w14:paraId="4C05B82A" w14:textId="77777777" w:rsidR="00577EC9" w:rsidRPr="00577EC9" w:rsidRDefault="00655CB5" w:rsidP="00577EC9">
      <w:pPr>
        <w:pStyle w:val="SingleTxtG"/>
        <w:rPr>
          <w:lang w:val="en-GB"/>
        </w:rPr>
      </w:pPr>
      <w:r>
        <w:t>“</w:t>
      </w:r>
      <w:r w:rsidR="0004134F">
        <w:t>5)</w:t>
      </w:r>
      <w:r w:rsidR="00577EC9" w:rsidRPr="00577EC9">
        <w:tab/>
        <w:t>En el caso de los embalajes/envases que contengan tanto pilas como baterías embaladas con el equipo y contenidas en el equipo:</w:t>
      </w:r>
    </w:p>
    <w:p w14:paraId="1276F1DC" w14:textId="77777777" w:rsidR="00577EC9" w:rsidRPr="00577EC9" w:rsidRDefault="00577EC9" w:rsidP="0004134F">
      <w:pPr>
        <w:pStyle w:val="SingleTxtG"/>
        <w:ind w:left="1701"/>
        <w:rPr>
          <w:lang w:val="en-GB"/>
        </w:rPr>
      </w:pPr>
      <w:r w:rsidRPr="00577EC9">
        <w:t>a)</w:t>
      </w:r>
      <w:r w:rsidRPr="00577EC9">
        <w:tab/>
        <w:t>En el caso de las pilas y baterías, embalajes/envases que las envuelvan completamente, colocados luego con el equipo en un embalaje/envase que sea conforme con las prescripciones del párrafo 1) de la presente instr</w:t>
      </w:r>
      <w:r w:rsidR="00656E0C">
        <w:t>ucción de embalaje/envasado;</w:t>
      </w:r>
      <w:r w:rsidR="00655CB5">
        <w:t xml:space="preserve"> o</w:t>
      </w:r>
    </w:p>
    <w:p w14:paraId="78294D26" w14:textId="77777777" w:rsidR="00577EC9" w:rsidRPr="00577EC9" w:rsidRDefault="00577EC9" w:rsidP="0004134F">
      <w:pPr>
        <w:pStyle w:val="SingleTxtG"/>
        <w:ind w:left="1701"/>
        <w:rPr>
          <w:lang w:val="en-GB"/>
        </w:rPr>
      </w:pPr>
      <w:r w:rsidRPr="00577EC9">
        <w:t>b)</w:t>
      </w:r>
      <w:r w:rsidRPr="00577EC9">
        <w:tab/>
        <w:t xml:space="preserve">Embalajes/envases que sean conformes con las prescripciones del párrafo 1) de la presente instrucción de embalaje/envasado, colocados luego con el equipo en un embalaje/envase exterior resistente construido con un material adecuado y de resistencia y diseño apropiados en relación con la capacidad y el uso previsto. El embalaje/envase exterior estará construido de manera que se evite su funcionamiento accidental durante el transporte y no es necesario que cumpla los requisitos del 4.1.1.3. </w:t>
      </w:r>
    </w:p>
    <w:p w14:paraId="6381AEE7" w14:textId="77777777" w:rsidR="00577EC9" w:rsidRPr="00577EC9" w:rsidRDefault="00577EC9" w:rsidP="00577EC9">
      <w:pPr>
        <w:pStyle w:val="SingleTxtG"/>
        <w:rPr>
          <w:lang w:val="en-GB"/>
        </w:rPr>
      </w:pPr>
      <w:r w:rsidRPr="00577EC9">
        <w:t xml:space="preserve">El equipo se sujetará para que no se mueva dentro del embalaje/envase exterior. </w:t>
      </w:r>
    </w:p>
    <w:p w14:paraId="011FB6C1" w14:textId="77777777" w:rsidR="00577EC9" w:rsidRPr="00577EC9" w:rsidRDefault="00577EC9" w:rsidP="00577EC9">
      <w:pPr>
        <w:pStyle w:val="SingleTxtG"/>
        <w:rPr>
          <w:lang w:val="en-GB"/>
        </w:rPr>
      </w:pPr>
      <w:r w:rsidRPr="00577EC9">
        <w:t>Dispositivos tales como las marcas de identificación por radiofrecuencia, los relojes y los registradores de temperatura, que no sean capaces de generar un desprendimiento de calor peligroso, podrán transportarse intencionalmente en estado activo en embalajes/envases exteriores robustos. Cuando estén activos, esos dispositivos deberán satisfacer las normas definidas para la radiación electromagnética a fin de que su funcionamiento no interfiera con los sistemas de las aeronaves.</w:t>
      </w:r>
      <w:r w:rsidR="00655CB5">
        <w:t>”</w:t>
      </w:r>
    </w:p>
    <w:p w14:paraId="38B2ADA1" w14:textId="77777777" w:rsidR="00577EC9" w:rsidRPr="00577EC9" w:rsidRDefault="00577EC9" w:rsidP="00BB0807">
      <w:pPr>
        <w:pStyle w:val="SingleTxtG"/>
        <w:tabs>
          <w:tab w:val="left" w:pos="2835"/>
        </w:tabs>
        <w:rPr>
          <w:lang w:val="en-GB"/>
        </w:rPr>
      </w:pPr>
      <w:r w:rsidRPr="00577EC9">
        <w:t>4.1.4.1 P907</w:t>
      </w:r>
      <w:r w:rsidRPr="00577EC9">
        <w:tab/>
      </w:r>
      <w:r w:rsidRPr="00577EC9">
        <w:tab/>
        <w:t xml:space="preserve">Sustitúyase la frase introductoria por: </w:t>
      </w:r>
      <w:r w:rsidR="00655CB5">
        <w:t>“</w:t>
      </w:r>
      <w:r w:rsidRPr="00577EC9">
        <w:t xml:space="preserve">Esta instrucción de embalaje/envasado se aplica a los artículos, tales como maquinaria, aparatos o dispositivos con el </w:t>
      </w:r>
      <w:r w:rsidR="00655CB5">
        <w:t>núm.</w:t>
      </w:r>
      <w:r w:rsidRPr="00577EC9">
        <w:t xml:space="preserve"> ONU 3363</w:t>
      </w:r>
      <w:r w:rsidR="00655CB5">
        <w:t>”</w:t>
      </w:r>
      <w:r w:rsidRPr="00577EC9">
        <w:t>.</w:t>
      </w:r>
    </w:p>
    <w:p w14:paraId="39BBD713" w14:textId="77777777" w:rsidR="00577EC9" w:rsidRPr="00577EC9" w:rsidRDefault="00577EC9" w:rsidP="00577EC9">
      <w:pPr>
        <w:pStyle w:val="SingleTxtG"/>
        <w:rPr>
          <w:lang w:val="en-GB"/>
        </w:rPr>
      </w:pPr>
      <w:r w:rsidRPr="00577EC9">
        <w:lastRenderedPageBreak/>
        <w:t xml:space="preserve">En el texto que sigue a esta frase introductoria, en la primera oración, sustitúyase </w:t>
      </w:r>
      <w:r w:rsidR="00655CB5">
        <w:t>“</w:t>
      </w:r>
      <w:r w:rsidRPr="00577EC9">
        <w:t>la maquinaria o los aparatos</w:t>
      </w:r>
      <w:r w:rsidR="00655CB5">
        <w:t>”</w:t>
      </w:r>
      <w:r w:rsidRPr="00577EC9">
        <w:t xml:space="preserve"> por </w:t>
      </w:r>
      <w:r w:rsidR="00655CB5">
        <w:t>“</w:t>
      </w:r>
      <w:r w:rsidRPr="00577EC9">
        <w:t>los artículos</w:t>
      </w:r>
      <w:r w:rsidR="00655CB5">
        <w:t>”</w:t>
      </w:r>
      <w:r w:rsidRPr="00577EC9">
        <w:t xml:space="preserve">. En la segunda frase, sustitúyase </w:t>
      </w:r>
      <w:r w:rsidR="00655CB5">
        <w:t>“</w:t>
      </w:r>
      <w:r w:rsidRPr="00577EC9">
        <w:t>maquinaria o aparatos</w:t>
      </w:r>
      <w:r w:rsidR="00655CB5">
        <w:t>”</w:t>
      </w:r>
      <w:r w:rsidRPr="00577EC9">
        <w:t xml:space="preserve"> por </w:t>
      </w:r>
      <w:r w:rsidR="00655CB5">
        <w:t>“</w:t>
      </w:r>
      <w:r w:rsidRPr="00577EC9">
        <w:t>un artículo</w:t>
      </w:r>
      <w:r w:rsidR="00655CB5">
        <w:t>”</w:t>
      </w:r>
      <w:r w:rsidRPr="00577EC9">
        <w:t xml:space="preserve">. En la quinta frase, sustitúyase </w:t>
      </w:r>
      <w:r w:rsidR="00655CB5">
        <w:t>“</w:t>
      </w:r>
      <w:r w:rsidRPr="00577EC9">
        <w:t>la maquinaria o aparato</w:t>
      </w:r>
      <w:r w:rsidR="00655CB5">
        <w:t>”</w:t>
      </w:r>
      <w:r w:rsidRPr="00577EC9">
        <w:t xml:space="preserve"> por </w:t>
      </w:r>
      <w:r w:rsidR="00655CB5">
        <w:t>“</w:t>
      </w:r>
      <w:r w:rsidRPr="00577EC9">
        <w:t>el artículo</w:t>
      </w:r>
      <w:r w:rsidR="00655CB5">
        <w:t>”</w:t>
      </w:r>
      <w:r w:rsidRPr="00577EC9">
        <w:t xml:space="preserve"> y </w:t>
      </w:r>
      <w:r w:rsidR="00655CB5">
        <w:t>“</w:t>
      </w:r>
      <w:r w:rsidRPr="00577EC9">
        <w:t>de la maquinaria o del aparato</w:t>
      </w:r>
      <w:r w:rsidR="00655CB5">
        <w:t>”</w:t>
      </w:r>
      <w:r w:rsidRPr="00577EC9">
        <w:t xml:space="preserve"> por </w:t>
      </w:r>
      <w:r w:rsidR="00655CB5">
        <w:t>“</w:t>
      </w:r>
      <w:r w:rsidRPr="00577EC9">
        <w:t>del artículo</w:t>
      </w:r>
      <w:r w:rsidR="00655CB5">
        <w:t>”</w:t>
      </w:r>
      <w:r w:rsidRPr="00577EC9">
        <w:t xml:space="preserve">. En la sexta frase, sustitúyase </w:t>
      </w:r>
      <w:r w:rsidR="00655CB5">
        <w:t>“</w:t>
      </w:r>
      <w:r w:rsidRPr="00577EC9">
        <w:t>de la maquinaria o aparato</w:t>
      </w:r>
      <w:r w:rsidR="00655CB5">
        <w:t>”</w:t>
      </w:r>
      <w:r w:rsidRPr="00577EC9">
        <w:t xml:space="preserve"> por </w:t>
      </w:r>
      <w:r w:rsidR="00655CB5">
        <w:t>“</w:t>
      </w:r>
      <w:r w:rsidRPr="00577EC9">
        <w:t>del artículo</w:t>
      </w:r>
      <w:r w:rsidR="00655CB5">
        <w:t>”</w:t>
      </w:r>
      <w:r w:rsidRPr="00577EC9">
        <w:t>.</w:t>
      </w:r>
    </w:p>
    <w:p w14:paraId="7636D42F" w14:textId="77777777" w:rsidR="00577EC9" w:rsidRDefault="00577EC9" w:rsidP="00577EC9">
      <w:pPr>
        <w:pStyle w:val="SingleTxtG"/>
      </w:pPr>
      <w:r w:rsidRPr="00577EC9">
        <w:t>4.1.4.2, IBC520</w:t>
      </w:r>
      <w:r w:rsidRPr="00577EC9">
        <w:tab/>
        <w:t xml:space="preserve">Para el </w:t>
      </w:r>
      <w:r w:rsidR="00655CB5">
        <w:t>núm.</w:t>
      </w:r>
      <w:r w:rsidRPr="00577EC9">
        <w:t xml:space="preserve"> ONU 3119, insértense las dos nuevas entradas siguientes en el orden adecuado:</w:t>
      </w:r>
    </w:p>
    <w:tbl>
      <w:tblPr>
        <w:tblStyle w:val="TableGrid"/>
        <w:tblW w:w="8654" w:type="dxa"/>
        <w:tblInd w:w="985" w:type="dxa"/>
        <w:tblLayout w:type="fixed"/>
        <w:tblLook w:val="01E0" w:firstRow="1" w:lastRow="1" w:firstColumn="1" w:lastColumn="1" w:noHBand="0" w:noVBand="0"/>
      </w:tblPr>
      <w:tblGrid>
        <w:gridCol w:w="720"/>
        <w:gridCol w:w="3060"/>
        <w:gridCol w:w="759"/>
        <w:gridCol w:w="1134"/>
        <w:gridCol w:w="1417"/>
        <w:gridCol w:w="1564"/>
      </w:tblGrid>
      <w:tr w:rsidR="00577EC9" w:rsidRPr="00C54F00" w14:paraId="7A30C773" w14:textId="77777777" w:rsidTr="00371851">
        <w:tc>
          <w:tcPr>
            <w:tcW w:w="720" w:type="dxa"/>
            <w:vMerge w:val="restart"/>
            <w:shd w:val="clear" w:color="auto" w:fill="auto"/>
          </w:tcPr>
          <w:p w14:paraId="3076F893" w14:textId="77777777" w:rsidR="00577EC9" w:rsidRPr="00C54F00" w:rsidRDefault="00577EC9" w:rsidP="00371851">
            <w:pPr>
              <w:spacing w:before="40" w:after="120"/>
              <w:ind w:right="113"/>
              <w:rPr>
                <w:sz w:val="18"/>
                <w:szCs w:val="18"/>
              </w:rPr>
            </w:pPr>
          </w:p>
        </w:tc>
        <w:tc>
          <w:tcPr>
            <w:tcW w:w="3060" w:type="dxa"/>
            <w:shd w:val="clear" w:color="auto" w:fill="auto"/>
            <w:vAlign w:val="bottom"/>
          </w:tcPr>
          <w:p w14:paraId="5F2AEFA6" w14:textId="77777777" w:rsidR="00577EC9" w:rsidRPr="00C54F00" w:rsidRDefault="00577EC9" w:rsidP="00371851">
            <w:pPr>
              <w:spacing w:before="60" w:after="60" w:line="200" w:lineRule="exact"/>
              <w:ind w:left="57" w:right="57"/>
              <w:rPr>
                <w:rFonts w:asciiTheme="majorBidi" w:hAnsiTheme="majorBidi" w:cstheme="majorBidi"/>
                <w:sz w:val="16"/>
                <w:szCs w:val="16"/>
              </w:rPr>
            </w:pPr>
            <w:r>
              <w:t>Peroxipivalato de terc butilo, al 42</w:t>
            </w:r>
            <w:r w:rsidR="00656E0C">
              <w:t xml:space="preserve"> </w:t>
            </w:r>
            <w:r>
              <w:t>%, como máximo, en forma de dispersión estable en agua</w:t>
            </w:r>
          </w:p>
        </w:tc>
        <w:tc>
          <w:tcPr>
            <w:tcW w:w="759" w:type="dxa"/>
            <w:shd w:val="clear" w:color="auto" w:fill="auto"/>
          </w:tcPr>
          <w:p w14:paraId="0D38A1C1" w14:textId="77777777" w:rsidR="00577EC9" w:rsidRPr="00C54F00" w:rsidRDefault="00577EC9" w:rsidP="00656E0C">
            <w:pPr>
              <w:spacing w:before="60" w:after="60" w:line="200" w:lineRule="exact"/>
              <w:ind w:left="-89" w:right="-83"/>
              <w:jc w:val="center"/>
              <w:rPr>
                <w:rFonts w:asciiTheme="majorBidi" w:hAnsiTheme="majorBidi" w:cstheme="majorBidi"/>
                <w:sz w:val="16"/>
                <w:szCs w:val="16"/>
              </w:rPr>
            </w:pPr>
            <w:r>
              <w:t>31HA1</w:t>
            </w:r>
          </w:p>
        </w:tc>
        <w:tc>
          <w:tcPr>
            <w:tcW w:w="1134" w:type="dxa"/>
            <w:shd w:val="clear" w:color="auto" w:fill="auto"/>
          </w:tcPr>
          <w:p w14:paraId="50A2128C" w14:textId="77777777" w:rsidR="00577EC9" w:rsidRPr="00C54F00" w:rsidRDefault="00577EC9" w:rsidP="00656E0C">
            <w:pPr>
              <w:spacing w:before="60" w:after="60" w:line="200" w:lineRule="exact"/>
              <w:jc w:val="center"/>
              <w:rPr>
                <w:rFonts w:asciiTheme="majorBidi" w:hAnsiTheme="majorBidi" w:cstheme="majorBidi"/>
                <w:sz w:val="16"/>
                <w:szCs w:val="16"/>
              </w:rPr>
            </w:pPr>
            <w:r>
              <w:t>1 000</w:t>
            </w:r>
          </w:p>
        </w:tc>
        <w:tc>
          <w:tcPr>
            <w:tcW w:w="1417" w:type="dxa"/>
            <w:shd w:val="clear" w:color="auto" w:fill="auto"/>
          </w:tcPr>
          <w:p w14:paraId="74AE6FDB" w14:textId="77777777" w:rsidR="00577EC9" w:rsidRPr="00C54F00" w:rsidRDefault="00577EC9" w:rsidP="00656E0C">
            <w:pPr>
              <w:spacing w:before="60" w:after="60" w:line="200" w:lineRule="exact"/>
              <w:jc w:val="center"/>
              <w:rPr>
                <w:rFonts w:asciiTheme="majorBidi" w:hAnsiTheme="majorBidi" w:cstheme="majorBidi"/>
                <w:sz w:val="16"/>
                <w:szCs w:val="16"/>
              </w:rPr>
            </w:pPr>
            <w:r>
              <w:t>0 ºC</w:t>
            </w:r>
          </w:p>
        </w:tc>
        <w:tc>
          <w:tcPr>
            <w:tcW w:w="1564" w:type="dxa"/>
            <w:shd w:val="clear" w:color="auto" w:fill="auto"/>
          </w:tcPr>
          <w:p w14:paraId="63060D15" w14:textId="77777777" w:rsidR="00577EC9" w:rsidRPr="00C54F00" w:rsidRDefault="00577EC9" w:rsidP="00656E0C">
            <w:pPr>
              <w:spacing w:before="60" w:after="60" w:line="200" w:lineRule="exact"/>
              <w:jc w:val="center"/>
              <w:rPr>
                <w:rFonts w:asciiTheme="majorBidi" w:hAnsiTheme="majorBidi" w:cstheme="majorBidi"/>
                <w:sz w:val="16"/>
                <w:szCs w:val="16"/>
              </w:rPr>
            </w:pPr>
            <w:r>
              <w:t>+10 ºC</w:t>
            </w:r>
          </w:p>
        </w:tc>
      </w:tr>
      <w:tr w:rsidR="00577EC9" w:rsidRPr="00C54F00" w14:paraId="22F0051A" w14:textId="77777777" w:rsidTr="00371851">
        <w:tc>
          <w:tcPr>
            <w:tcW w:w="720" w:type="dxa"/>
            <w:vMerge/>
            <w:shd w:val="clear" w:color="auto" w:fill="auto"/>
          </w:tcPr>
          <w:p w14:paraId="3C608B67" w14:textId="77777777" w:rsidR="00577EC9" w:rsidRPr="00C54F00" w:rsidRDefault="00577EC9" w:rsidP="00371851">
            <w:pPr>
              <w:spacing w:before="40" w:after="120"/>
              <w:ind w:right="113"/>
              <w:rPr>
                <w:sz w:val="18"/>
                <w:szCs w:val="18"/>
              </w:rPr>
            </w:pPr>
          </w:p>
        </w:tc>
        <w:tc>
          <w:tcPr>
            <w:tcW w:w="3060" w:type="dxa"/>
            <w:shd w:val="clear" w:color="auto" w:fill="auto"/>
            <w:vAlign w:val="bottom"/>
          </w:tcPr>
          <w:p w14:paraId="5ED0B560" w14:textId="77777777" w:rsidR="00577EC9" w:rsidRPr="00C54F00" w:rsidRDefault="00577EC9" w:rsidP="00656E0C">
            <w:pPr>
              <w:spacing w:before="60" w:after="60" w:line="200" w:lineRule="exact"/>
              <w:ind w:left="57" w:right="57"/>
              <w:rPr>
                <w:rFonts w:asciiTheme="majorBidi" w:hAnsiTheme="majorBidi" w:cstheme="majorBidi"/>
                <w:sz w:val="16"/>
                <w:szCs w:val="16"/>
              </w:rPr>
            </w:pPr>
            <w:r>
              <w:t xml:space="preserve">Peroxipivalato de terc-butilo, al </w:t>
            </w:r>
            <w:r w:rsidR="00656E0C">
              <w:t xml:space="preserve">42 </w:t>
            </w:r>
            <w:r>
              <w:t>%, como máximo, en un diluyente tipo A</w:t>
            </w:r>
          </w:p>
        </w:tc>
        <w:tc>
          <w:tcPr>
            <w:tcW w:w="759" w:type="dxa"/>
            <w:shd w:val="clear" w:color="auto" w:fill="auto"/>
          </w:tcPr>
          <w:p w14:paraId="07CAFE3E" w14:textId="77777777" w:rsidR="00656E0C" w:rsidRDefault="00577EC9" w:rsidP="00656E0C">
            <w:pPr>
              <w:spacing w:before="60" w:after="60" w:line="200" w:lineRule="exact"/>
              <w:ind w:left="-89" w:right="-83"/>
              <w:jc w:val="center"/>
            </w:pPr>
            <w:r>
              <w:t>31HA1</w:t>
            </w:r>
          </w:p>
          <w:p w14:paraId="11884640" w14:textId="77777777" w:rsidR="00577EC9" w:rsidRPr="00C54F00" w:rsidRDefault="00577EC9" w:rsidP="00656E0C">
            <w:pPr>
              <w:spacing w:before="60" w:after="60" w:line="200" w:lineRule="exact"/>
              <w:ind w:left="-89" w:right="-83"/>
              <w:jc w:val="center"/>
              <w:rPr>
                <w:rFonts w:asciiTheme="majorBidi" w:hAnsiTheme="majorBidi" w:cstheme="majorBidi"/>
                <w:sz w:val="16"/>
                <w:szCs w:val="16"/>
              </w:rPr>
            </w:pPr>
            <w:r>
              <w:t>31A</w:t>
            </w:r>
          </w:p>
        </w:tc>
        <w:tc>
          <w:tcPr>
            <w:tcW w:w="1134" w:type="dxa"/>
            <w:shd w:val="clear" w:color="auto" w:fill="auto"/>
          </w:tcPr>
          <w:p w14:paraId="33FBC1CB" w14:textId="77777777" w:rsidR="00656E0C" w:rsidRDefault="00577EC9" w:rsidP="00656E0C">
            <w:pPr>
              <w:spacing w:before="60" w:after="60" w:line="200" w:lineRule="exact"/>
              <w:jc w:val="center"/>
            </w:pPr>
            <w:r>
              <w:t>1</w:t>
            </w:r>
            <w:r w:rsidR="00656E0C">
              <w:t xml:space="preserve"> 000</w:t>
            </w:r>
          </w:p>
          <w:p w14:paraId="5C465998" w14:textId="77777777" w:rsidR="00577EC9" w:rsidRPr="00C54F00" w:rsidRDefault="00577EC9" w:rsidP="00656E0C">
            <w:pPr>
              <w:spacing w:before="60" w:after="60" w:line="200" w:lineRule="exact"/>
              <w:jc w:val="center"/>
              <w:rPr>
                <w:rFonts w:asciiTheme="majorBidi" w:hAnsiTheme="majorBidi" w:cstheme="majorBidi"/>
                <w:sz w:val="16"/>
                <w:szCs w:val="16"/>
              </w:rPr>
            </w:pPr>
            <w:r>
              <w:t>1 250</w:t>
            </w:r>
          </w:p>
        </w:tc>
        <w:tc>
          <w:tcPr>
            <w:tcW w:w="1417" w:type="dxa"/>
            <w:shd w:val="clear" w:color="auto" w:fill="auto"/>
          </w:tcPr>
          <w:p w14:paraId="11E7F5B0" w14:textId="77777777" w:rsidR="00656E0C" w:rsidRDefault="00656E0C" w:rsidP="00656E0C">
            <w:pPr>
              <w:spacing w:before="60" w:after="60" w:line="200" w:lineRule="exact"/>
              <w:jc w:val="center"/>
            </w:pPr>
            <w:r>
              <w:t>+10 ºC</w:t>
            </w:r>
          </w:p>
          <w:p w14:paraId="0AC90FC5" w14:textId="77777777" w:rsidR="00577EC9" w:rsidRPr="00C54F00" w:rsidRDefault="00577EC9" w:rsidP="00656E0C">
            <w:pPr>
              <w:spacing w:before="60" w:after="60" w:line="200" w:lineRule="exact"/>
              <w:jc w:val="center"/>
              <w:rPr>
                <w:rFonts w:asciiTheme="majorBidi" w:hAnsiTheme="majorBidi" w:cstheme="majorBidi"/>
                <w:sz w:val="16"/>
                <w:szCs w:val="16"/>
              </w:rPr>
            </w:pPr>
            <w:r>
              <w:t>+10 ºC</w:t>
            </w:r>
          </w:p>
        </w:tc>
        <w:tc>
          <w:tcPr>
            <w:tcW w:w="1564" w:type="dxa"/>
            <w:shd w:val="clear" w:color="auto" w:fill="auto"/>
          </w:tcPr>
          <w:p w14:paraId="5E6EC032" w14:textId="77777777" w:rsidR="00656E0C" w:rsidRDefault="00656E0C" w:rsidP="00656E0C">
            <w:pPr>
              <w:spacing w:before="60" w:after="60" w:line="200" w:lineRule="exact"/>
              <w:jc w:val="center"/>
            </w:pPr>
            <w:r>
              <w:t>+15 ºC</w:t>
            </w:r>
          </w:p>
          <w:p w14:paraId="59D030E1" w14:textId="77777777" w:rsidR="00577EC9" w:rsidRPr="00C54F00" w:rsidRDefault="00577EC9" w:rsidP="00656E0C">
            <w:pPr>
              <w:spacing w:before="60" w:after="60" w:line="200" w:lineRule="exact"/>
              <w:jc w:val="center"/>
              <w:rPr>
                <w:rFonts w:asciiTheme="majorBidi" w:hAnsiTheme="majorBidi" w:cstheme="majorBidi"/>
                <w:sz w:val="16"/>
                <w:szCs w:val="16"/>
              </w:rPr>
            </w:pPr>
            <w:r>
              <w:t>+15 ºC</w:t>
            </w:r>
          </w:p>
        </w:tc>
      </w:tr>
    </w:tbl>
    <w:p w14:paraId="6D00765B" w14:textId="77777777" w:rsidR="00577EC9" w:rsidRPr="00577EC9" w:rsidRDefault="00577EC9" w:rsidP="00A60A96">
      <w:pPr>
        <w:pStyle w:val="SingleTxtG"/>
        <w:spacing w:before="240"/>
        <w:rPr>
          <w:lang w:val="en-GB"/>
        </w:rPr>
      </w:pPr>
      <w:r w:rsidRPr="00577EC9">
        <w:t>4.1.4.3, LP200</w:t>
      </w:r>
      <w:r w:rsidRPr="00577EC9">
        <w:tab/>
        <w:t xml:space="preserve">En la frase introductoria, sustitúyase </w:t>
      </w:r>
      <w:r w:rsidR="00655CB5">
        <w:t>“núm.</w:t>
      </w:r>
      <w:r w:rsidRPr="00577EC9">
        <w:t xml:space="preserve"> ONU 1950</w:t>
      </w:r>
      <w:r w:rsidR="00655CB5">
        <w:t>”</w:t>
      </w:r>
      <w:r w:rsidRPr="00577EC9">
        <w:t xml:space="preserve"> por </w:t>
      </w:r>
      <w:r w:rsidR="00655CB5">
        <w:t>“núm.</w:t>
      </w:r>
      <w:r w:rsidR="006B0886">
        <w:t> </w:t>
      </w:r>
      <w:r w:rsidRPr="00577EC9">
        <w:t xml:space="preserve">ONU 1950 y </w:t>
      </w:r>
      <w:r w:rsidR="00655CB5">
        <w:t>núm.</w:t>
      </w:r>
      <w:r w:rsidRPr="00577EC9">
        <w:t xml:space="preserve"> ONU 2037</w:t>
      </w:r>
      <w:r w:rsidR="00655CB5">
        <w:t>”</w:t>
      </w:r>
      <w:r w:rsidRPr="00577EC9">
        <w:t>.</w:t>
      </w:r>
    </w:p>
    <w:p w14:paraId="45C97EF0" w14:textId="77777777" w:rsidR="00577EC9" w:rsidRPr="00577EC9" w:rsidRDefault="00577EC9" w:rsidP="00577EC9">
      <w:pPr>
        <w:pStyle w:val="SingleTxtG"/>
        <w:rPr>
          <w:lang w:val="en-GB"/>
        </w:rPr>
      </w:pPr>
      <w:r w:rsidRPr="00577EC9">
        <w:t xml:space="preserve">En el párrafo siguiente, sustitúyase </w:t>
      </w:r>
      <w:r w:rsidR="00655CB5">
        <w:t>“</w:t>
      </w:r>
      <w:r w:rsidRPr="00577EC9">
        <w:t>Se autorizan los grandes embalajes/envases siguientes para los aerosoles</w:t>
      </w:r>
      <w:r w:rsidR="00655CB5">
        <w:t>”</w:t>
      </w:r>
      <w:r w:rsidRPr="00577EC9">
        <w:t xml:space="preserve"> por </w:t>
      </w:r>
      <w:r w:rsidR="00655CB5">
        <w:t>“</w:t>
      </w:r>
      <w:r w:rsidRPr="00577EC9">
        <w:t>Se autorizan los grandes embalajes/envases siguientes para los aerosoles y los cartuchos de gas</w:t>
      </w:r>
      <w:r w:rsidR="00655CB5">
        <w:t>”</w:t>
      </w:r>
      <w:r w:rsidRPr="00577EC9">
        <w:t>.</w:t>
      </w:r>
    </w:p>
    <w:p w14:paraId="5E179D05" w14:textId="77777777" w:rsidR="00577EC9" w:rsidRPr="00577EC9" w:rsidRDefault="00577EC9" w:rsidP="00577EC9">
      <w:pPr>
        <w:pStyle w:val="SingleTxtG"/>
        <w:rPr>
          <w:lang w:val="en-GB"/>
        </w:rPr>
      </w:pPr>
      <w:r w:rsidRPr="00577EC9">
        <w:t xml:space="preserve">En la primera frase de la disposición especial de embalaje L2, después de </w:t>
      </w:r>
      <w:r w:rsidR="00655CB5">
        <w:t>“</w:t>
      </w:r>
      <w:r w:rsidRPr="00577EC9">
        <w:t>movimiento peligroso</w:t>
      </w:r>
      <w:r w:rsidR="00655CB5">
        <w:t>”</w:t>
      </w:r>
      <w:r w:rsidRPr="00577EC9">
        <w:t xml:space="preserve">, suprímase </w:t>
      </w:r>
      <w:r w:rsidR="00655CB5">
        <w:t>“</w:t>
      </w:r>
      <w:r w:rsidRPr="00577EC9">
        <w:t>de los aerosoles</w:t>
      </w:r>
      <w:r w:rsidR="00655CB5">
        <w:t>”</w:t>
      </w:r>
      <w:r w:rsidRPr="00577EC9">
        <w:t xml:space="preserve">. Modifíquese la última frase para que diga: </w:t>
      </w:r>
      <w:r w:rsidR="00655CB5">
        <w:t>“</w:t>
      </w:r>
      <w:r w:rsidRPr="00577EC9">
        <w:t>En el caso de los aerosoles y cartuchos de gas desechados transportados de conformidad con la disposición especial 327, los grandes embalajes/envases deberán estar adecuadamente ventilados para evitar la creación de atmósferas peligrosas y la acumulación de presión</w:t>
      </w:r>
      <w:r w:rsidR="00655CB5">
        <w:t>”</w:t>
      </w:r>
      <w:r w:rsidR="0098252B">
        <w:t>.</w:t>
      </w:r>
    </w:p>
    <w:p w14:paraId="4AEFAEDE" w14:textId="77777777" w:rsidR="00577EC9" w:rsidRDefault="00577EC9" w:rsidP="00A437C9">
      <w:pPr>
        <w:pStyle w:val="SingleTxtG"/>
        <w:keepNext/>
        <w:keepLines/>
        <w:tabs>
          <w:tab w:val="left" w:pos="2268"/>
        </w:tabs>
        <w:rPr>
          <w:b/>
          <w:bCs/>
        </w:rPr>
      </w:pPr>
      <w:r w:rsidRPr="00577EC9">
        <w:lastRenderedPageBreak/>
        <w:t>4.1.4.3</w:t>
      </w:r>
      <w:r w:rsidRPr="00577EC9">
        <w:tab/>
      </w:r>
      <w:r w:rsidRPr="00577EC9">
        <w:tab/>
        <w:t>Añádase la siguiente nueva instruc</w:t>
      </w:r>
      <w:r w:rsidR="00E3150A">
        <w:t>ción de embalaje/envasado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779"/>
        <w:gridCol w:w="1713"/>
        <w:gridCol w:w="3214"/>
        <w:gridCol w:w="2221"/>
        <w:gridCol w:w="994"/>
      </w:tblGrid>
      <w:tr w:rsidR="00577EC9" w:rsidRPr="00C54F00" w14:paraId="59D2D313" w14:textId="77777777" w:rsidTr="00371851">
        <w:tc>
          <w:tcPr>
            <w:tcW w:w="779" w:type="dxa"/>
            <w:tcBorders>
              <w:bottom w:val="single" w:sz="4" w:space="0" w:color="000000"/>
            </w:tcBorders>
          </w:tcPr>
          <w:p w14:paraId="6814639F" w14:textId="77777777" w:rsidR="00577EC9" w:rsidRPr="00C54F00" w:rsidRDefault="00577EC9" w:rsidP="00371851">
            <w:pPr>
              <w:keepNext/>
              <w:spacing w:before="60" w:after="60" w:line="240" w:lineRule="auto"/>
              <w:rPr>
                <w:b/>
                <w:bCs/>
                <w:color w:val="000000"/>
                <w:sz w:val="18"/>
                <w:szCs w:val="18"/>
              </w:rPr>
            </w:pPr>
            <w:r>
              <w:rPr>
                <w:b/>
                <w:bCs/>
              </w:rPr>
              <w:t>LP622</w:t>
            </w:r>
          </w:p>
        </w:tc>
        <w:tc>
          <w:tcPr>
            <w:tcW w:w="7148" w:type="dxa"/>
            <w:gridSpan w:val="3"/>
            <w:tcBorders>
              <w:bottom w:val="single" w:sz="4" w:space="0" w:color="000000"/>
            </w:tcBorders>
          </w:tcPr>
          <w:p w14:paraId="713EB6F5" w14:textId="77777777" w:rsidR="00577EC9" w:rsidRPr="00C54F00" w:rsidRDefault="00577EC9" w:rsidP="00371851">
            <w:pPr>
              <w:keepNext/>
              <w:spacing w:before="60" w:after="60" w:line="240" w:lineRule="auto"/>
              <w:jc w:val="center"/>
              <w:rPr>
                <w:b/>
                <w:bCs/>
                <w:color w:val="000000"/>
                <w:sz w:val="18"/>
                <w:szCs w:val="18"/>
              </w:rPr>
            </w:pPr>
            <w:r>
              <w:rPr>
                <w:b/>
                <w:bCs/>
              </w:rPr>
              <w:t>INSTRUCCIÓN DE EMBALAJE/ENVASADO</w:t>
            </w:r>
          </w:p>
        </w:tc>
        <w:tc>
          <w:tcPr>
            <w:tcW w:w="994" w:type="dxa"/>
            <w:tcBorders>
              <w:bottom w:val="single" w:sz="4" w:space="0" w:color="000000"/>
            </w:tcBorders>
          </w:tcPr>
          <w:p w14:paraId="0DFDB9F0" w14:textId="77777777" w:rsidR="00577EC9" w:rsidRPr="00C54F00" w:rsidRDefault="00577EC9" w:rsidP="00E3150A">
            <w:pPr>
              <w:keepNext/>
              <w:spacing w:before="60" w:after="60" w:line="240" w:lineRule="auto"/>
              <w:jc w:val="right"/>
              <w:rPr>
                <w:b/>
                <w:bCs/>
                <w:color w:val="000000"/>
                <w:sz w:val="18"/>
                <w:szCs w:val="18"/>
              </w:rPr>
            </w:pPr>
            <w:r>
              <w:rPr>
                <w:b/>
                <w:bCs/>
              </w:rPr>
              <w:t>LP622</w:t>
            </w:r>
          </w:p>
        </w:tc>
      </w:tr>
      <w:tr w:rsidR="00577EC9" w:rsidRPr="00C54F00" w14:paraId="5F272DB8" w14:textId="77777777" w:rsidTr="00371851">
        <w:tc>
          <w:tcPr>
            <w:tcW w:w="8921" w:type="dxa"/>
            <w:gridSpan w:val="5"/>
            <w:tcBorders>
              <w:top w:val="single" w:sz="4" w:space="0" w:color="000000"/>
              <w:bottom w:val="single" w:sz="4" w:space="0" w:color="000000"/>
            </w:tcBorders>
          </w:tcPr>
          <w:p w14:paraId="07F86429" w14:textId="77777777" w:rsidR="00577EC9" w:rsidRPr="00C54F00" w:rsidRDefault="00577EC9" w:rsidP="00371851">
            <w:pPr>
              <w:keepNext/>
              <w:spacing w:before="60" w:after="60" w:line="240" w:lineRule="auto"/>
              <w:rPr>
                <w:color w:val="000000"/>
                <w:sz w:val="18"/>
                <w:szCs w:val="18"/>
              </w:rPr>
            </w:pPr>
            <w:r>
              <w:t xml:space="preserve">Esta instrucción se aplica a los residuos con el </w:t>
            </w:r>
            <w:r w:rsidR="00655CB5">
              <w:t>núm.</w:t>
            </w:r>
            <w:r>
              <w:t xml:space="preserve"> ONU 3549 transportados para su eliminación.</w:t>
            </w:r>
          </w:p>
        </w:tc>
      </w:tr>
      <w:tr w:rsidR="00577EC9" w:rsidRPr="00C54F00" w14:paraId="2E2CF87F" w14:textId="77777777" w:rsidTr="00371851">
        <w:tc>
          <w:tcPr>
            <w:tcW w:w="8921" w:type="dxa"/>
            <w:gridSpan w:val="5"/>
            <w:tcBorders>
              <w:top w:val="single" w:sz="4" w:space="0" w:color="000000"/>
              <w:bottom w:val="single" w:sz="4" w:space="0" w:color="000000"/>
            </w:tcBorders>
          </w:tcPr>
          <w:p w14:paraId="7D11C7DA" w14:textId="77777777" w:rsidR="00577EC9" w:rsidRPr="00C54F00" w:rsidRDefault="00577EC9" w:rsidP="00371851">
            <w:pPr>
              <w:keepNext/>
              <w:spacing w:before="60" w:after="60" w:line="240" w:lineRule="auto"/>
              <w:rPr>
                <w:color w:val="000000"/>
                <w:sz w:val="18"/>
                <w:szCs w:val="18"/>
              </w:rPr>
            </w:pPr>
            <w:r>
              <w:t>Se autorizan los grandes embalajes/envases siguientes, siempre que se respeten</w:t>
            </w:r>
            <w:r w:rsidR="00E3150A">
              <w:t xml:space="preserve"> las disposiciones generales de </w:t>
            </w:r>
            <w:r w:rsidRPr="008037CF">
              <w:rPr>
                <w:bCs/>
              </w:rPr>
              <w:t>4.1.1</w:t>
            </w:r>
            <w:r w:rsidRPr="008037CF">
              <w:t xml:space="preserve"> y </w:t>
            </w:r>
            <w:r w:rsidRPr="008037CF">
              <w:rPr>
                <w:bCs/>
              </w:rPr>
              <w:t>4.1.3</w:t>
            </w:r>
            <w:r w:rsidRPr="008037CF">
              <w:t>:</w:t>
            </w:r>
          </w:p>
        </w:tc>
      </w:tr>
      <w:tr w:rsidR="00577EC9" w:rsidRPr="00C54F00" w14:paraId="36D06082" w14:textId="77777777" w:rsidTr="00371851">
        <w:trPr>
          <w:trHeight w:val="20"/>
        </w:trPr>
        <w:tc>
          <w:tcPr>
            <w:tcW w:w="2492" w:type="dxa"/>
            <w:gridSpan w:val="2"/>
            <w:tcBorders>
              <w:top w:val="single" w:sz="4" w:space="0" w:color="000000"/>
              <w:bottom w:val="single" w:sz="4" w:space="0" w:color="000000"/>
              <w:right w:val="single" w:sz="4" w:space="0" w:color="auto"/>
            </w:tcBorders>
          </w:tcPr>
          <w:p w14:paraId="0E45F52F" w14:textId="77777777" w:rsidR="00577EC9" w:rsidRPr="00C54F00" w:rsidRDefault="00577EC9" w:rsidP="00371851">
            <w:pPr>
              <w:keepNext/>
              <w:spacing w:before="60" w:after="60" w:line="240" w:lineRule="auto"/>
              <w:rPr>
                <w:b/>
                <w:color w:val="000000"/>
                <w:sz w:val="18"/>
                <w:szCs w:val="18"/>
              </w:rPr>
            </w:pPr>
            <w:r>
              <w:rPr>
                <w:b/>
                <w:bCs/>
              </w:rPr>
              <w:t>Embalajes/envases interiores</w:t>
            </w:r>
          </w:p>
        </w:tc>
        <w:tc>
          <w:tcPr>
            <w:tcW w:w="3214" w:type="dxa"/>
            <w:tcBorders>
              <w:top w:val="single" w:sz="4" w:space="0" w:color="000000"/>
              <w:left w:val="single" w:sz="4" w:space="0" w:color="auto"/>
              <w:bottom w:val="single" w:sz="4" w:space="0" w:color="000000"/>
              <w:right w:val="single" w:sz="4" w:space="0" w:color="auto"/>
            </w:tcBorders>
          </w:tcPr>
          <w:p w14:paraId="2CDBC5C5" w14:textId="77777777" w:rsidR="00577EC9" w:rsidRPr="00C54F00" w:rsidRDefault="00577EC9" w:rsidP="00371851">
            <w:pPr>
              <w:keepNext/>
              <w:spacing w:before="60" w:after="60" w:line="240" w:lineRule="auto"/>
              <w:rPr>
                <w:b/>
                <w:color w:val="000000"/>
                <w:sz w:val="18"/>
                <w:szCs w:val="18"/>
              </w:rPr>
            </w:pPr>
            <w:r>
              <w:rPr>
                <w:b/>
                <w:bCs/>
              </w:rPr>
              <w:t>Embalajes/envases intermedios</w:t>
            </w:r>
          </w:p>
        </w:tc>
        <w:tc>
          <w:tcPr>
            <w:tcW w:w="3215" w:type="dxa"/>
            <w:gridSpan w:val="2"/>
            <w:tcBorders>
              <w:top w:val="single" w:sz="4" w:space="0" w:color="000000"/>
              <w:left w:val="single" w:sz="4" w:space="0" w:color="auto"/>
              <w:bottom w:val="single" w:sz="4" w:space="0" w:color="000000"/>
            </w:tcBorders>
          </w:tcPr>
          <w:p w14:paraId="063EEB2A" w14:textId="77777777" w:rsidR="00577EC9" w:rsidRPr="00C54F00" w:rsidRDefault="00577EC9" w:rsidP="00371851">
            <w:pPr>
              <w:keepNext/>
              <w:spacing w:before="60" w:after="60" w:line="240" w:lineRule="auto"/>
              <w:rPr>
                <w:b/>
                <w:color w:val="000000"/>
                <w:sz w:val="18"/>
                <w:szCs w:val="18"/>
              </w:rPr>
            </w:pPr>
            <w:r>
              <w:rPr>
                <w:b/>
                <w:bCs/>
              </w:rPr>
              <w:t>Embalajes/envases exteriores</w:t>
            </w:r>
          </w:p>
        </w:tc>
      </w:tr>
      <w:tr w:rsidR="00577EC9" w:rsidRPr="00C54F00" w14:paraId="0E295FDC" w14:textId="77777777" w:rsidTr="00371851">
        <w:trPr>
          <w:trHeight w:val="288"/>
        </w:trPr>
        <w:tc>
          <w:tcPr>
            <w:tcW w:w="2492" w:type="dxa"/>
            <w:gridSpan w:val="2"/>
            <w:tcBorders>
              <w:top w:val="single" w:sz="4" w:space="0" w:color="000000"/>
              <w:bottom w:val="single" w:sz="4" w:space="0" w:color="000000"/>
              <w:right w:val="single" w:sz="4" w:space="0" w:color="auto"/>
            </w:tcBorders>
          </w:tcPr>
          <w:p w14:paraId="7313222E" w14:textId="77777777" w:rsidR="00577EC9" w:rsidRPr="00C54F00" w:rsidRDefault="00577EC9" w:rsidP="00371851">
            <w:pPr>
              <w:keepNext/>
              <w:spacing w:before="60" w:after="60" w:line="240" w:lineRule="auto"/>
              <w:rPr>
                <w:color w:val="000000"/>
                <w:sz w:val="18"/>
                <w:szCs w:val="18"/>
              </w:rPr>
            </w:pPr>
            <w:r>
              <w:t>de metal</w:t>
            </w:r>
          </w:p>
          <w:p w14:paraId="40133F70" w14:textId="77777777" w:rsidR="00577EC9" w:rsidRPr="00C54F00" w:rsidRDefault="00577EC9" w:rsidP="00371851">
            <w:pPr>
              <w:keepNext/>
              <w:spacing w:before="60" w:after="60" w:line="240" w:lineRule="auto"/>
              <w:rPr>
                <w:color w:val="000000"/>
                <w:sz w:val="18"/>
                <w:szCs w:val="18"/>
              </w:rPr>
            </w:pPr>
            <w:r>
              <w:t>de plástico</w:t>
            </w:r>
          </w:p>
        </w:tc>
        <w:tc>
          <w:tcPr>
            <w:tcW w:w="3214" w:type="dxa"/>
            <w:tcBorders>
              <w:top w:val="single" w:sz="4" w:space="0" w:color="000000"/>
              <w:left w:val="single" w:sz="4" w:space="0" w:color="auto"/>
              <w:bottom w:val="single" w:sz="4" w:space="0" w:color="000000"/>
              <w:right w:val="single" w:sz="4" w:space="0" w:color="auto"/>
            </w:tcBorders>
          </w:tcPr>
          <w:p w14:paraId="3D7587ED" w14:textId="77777777" w:rsidR="00577EC9" w:rsidRPr="00C54F00" w:rsidRDefault="00577EC9" w:rsidP="00371851">
            <w:pPr>
              <w:keepNext/>
              <w:spacing w:before="60" w:after="60" w:line="240" w:lineRule="auto"/>
              <w:rPr>
                <w:color w:val="000000"/>
                <w:sz w:val="18"/>
                <w:szCs w:val="18"/>
              </w:rPr>
            </w:pPr>
            <w:r>
              <w:t>de metal</w:t>
            </w:r>
          </w:p>
          <w:p w14:paraId="60EC5993" w14:textId="77777777" w:rsidR="00577EC9" w:rsidRPr="00C54F00" w:rsidRDefault="00577EC9" w:rsidP="00371851">
            <w:pPr>
              <w:keepNext/>
              <w:spacing w:before="60" w:after="60" w:line="240" w:lineRule="auto"/>
              <w:rPr>
                <w:color w:val="000000"/>
                <w:sz w:val="18"/>
                <w:szCs w:val="18"/>
              </w:rPr>
            </w:pPr>
            <w:r>
              <w:t>de plástico</w:t>
            </w:r>
          </w:p>
        </w:tc>
        <w:tc>
          <w:tcPr>
            <w:tcW w:w="3215" w:type="dxa"/>
            <w:gridSpan w:val="2"/>
            <w:tcBorders>
              <w:top w:val="single" w:sz="4" w:space="0" w:color="000000"/>
              <w:left w:val="single" w:sz="4" w:space="0" w:color="auto"/>
              <w:bottom w:val="single" w:sz="4" w:space="0" w:color="000000"/>
            </w:tcBorders>
          </w:tcPr>
          <w:p w14:paraId="66354B5E" w14:textId="77777777" w:rsidR="00577EC9" w:rsidRPr="00C54F00" w:rsidRDefault="00577EC9" w:rsidP="00371851">
            <w:pPr>
              <w:keepNext/>
              <w:spacing w:before="60" w:after="60" w:line="240" w:lineRule="auto"/>
              <w:rPr>
                <w:color w:val="000000"/>
                <w:sz w:val="18"/>
                <w:szCs w:val="18"/>
              </w:rPr>
            </w:pPr>
            <w:r>
              <w:t>de acero (50A)</w:t>
            </w:r>
          </w:p>
          <w:p w14:paraId="259955BA" w14:textId="77777777" w:rsidR="00577EC9" w:rsidRPr="00C54F00" w:rsidRDefault="00577EC9" w:rsidP="00371851">
            <w:pPr>
              <w:keepNext/>
              <w:spacing w:before="60" w:after="60" w:line="240" w:lineRule="auto"/>
              <w:rPr>
                <w:color w:val="000000"/>
                <w:sz w:val="18"/>
                <w:szCs w:val="18"/>
              </w:rPr>
            </w:pPr>
            <w:r>
              <w:t>de aluminio (50B)</w:t>
            </w:r>
          </w:p>
          <w:p w14:paraId="067A8EB9" w14:textId="77777777" w:rsidR="00577EC9" w:rsidRPr="00C54F00" w:rsidRDefault="00E3150A" w:rsidP="00371851">
            <w:pPr>
              <w:keepNext/>
              <w:spacing w:before="60" w:after="60" w:line="240" w:lineRule="auto"/>
              <w:rPr>
                <w:color w:val="000000"/>
                <w:sz w:val="18"/>
                <w:szCs w:val="18"/>
              </w:rPr>
            </w:pPr>
            <w:r>
              <w:t>de otro metal (50N)</w:t>
            </w:r>
          </w:p>
          <w:p w14:paraId="26C213FE" w14:textId="77777777" w:rsidR="00577EC9" w:rsidRPr="00C54F00" w:rsidRDefault="00577EC9" w:rsidP="00371851">
            <w:pPr>
              <w:keepNext/>
              <w:spacing w:before="60" w:after="60" w:line="240" w:lineRule="auto"/>
              <w:rPr>
                <w:color w:val="000000"/>
                <w:sz w:val="18"/>
                <w:szCs w:val="18"/>
              </w:rPr>
            </w:pPr>
            <w:r>
              <w:t>de madera contrachapada (50D)</w:t>
            </w:r>
          </w:p>
          <w:p w14:paraId="7E85C75E" w14:textId="77777777" w:rsidR="00577EC9" w:rsidRPr="00C54F00" w:rsidRDefault="00577EC9" w:rsidP="00371851">
            <w:pPr>
              <w:keepNext/>
              <w:spacing w:before="60" w:after="60" w:line="240" w:lineRule="auto"/>
              <w:rPr>
                <w:color w:val="000000"/>
                <w:sz w:val="18"/>
                <w:szCs w:val="18"/>
              </w:rPr>
            </w:pPr>
            <w:r>
              <w:t>de cartón rígido (50G)</w:t>
            </w:r>
          </w:p>
          <w:p w14:paraId="6D3E6804" w14:textId="77777777" w:rsidR="00577EC9" w:rsidRPr="00C54F00" w:rsidRDefault="00577EC9" w:rsidP="00371851">
            <w:pPr>
              <w:keepNext/>
              <w:spacing w:before="60" w:after="60" w:line="240" w:lineRule="auto"/>
              <w:rPr>
                <w:color w:val="000000"/>
                <w:sz w:val="18"/>
                <w:szCs w:val="18"/>
              </w:rPr>
            </w:pPr>
            <w:r>
              <w:t>de plástico rígido (50H)</w:t>
            </w:r>
          </w:p>
        </w:tc>
      </w:tr>
      <w:tr w:rsidR="00577EC9" w:rsidRPr="00C54F00" w14:paraId="4F2C3446" w14:textId="77777777" w:rsidTr="00371851">
        <w:tc>
          <w:tcPr>
            <w:tcW w:w="8921" w:type="dxa"/>
            <w:gridSpan w:val="5"/>
            <w:tcBorders>
              <w:top w:val="single" w:sz="4" w:space="0" w:color="000000"/>
              <w:bottom w:val="single" w:sz="4" w:space="0" w:color="000000"/>
            </w:tcBorders>
          </w:tcPr>
          <w:p w14:paraId="644F3EE1" w14:textId="77777777" w:rsidR="00577EC9" w:rsidRPr="00C54F00" w:rsidRDefault="00577EC9" w:rsidP="00371851">
            <w:pPr>
              <w:keepNext/>
              <w:spacing w:before="60" w:after="60" w:line="240" w:lineRule="auto"/>
              <w:rPr>
                <w:color w:val="000000"/>
                <w:sz w:val="18"/>
                <w:szCs w:val="18"/>
              </w:rPr>
            </w:pPr>
            <w:r>
              <w:t xml:space="preserve">Los embalajes/envases exteriores serán conformes al nivel de prestaciones del grupo de embalaje/envase I para sólidos. </w:t>
            </w:r>
          </w:p>
        </w:tc>
      </w:tr>
      <w:tr w:rsidR="00577EC9" w:rsidRPr="00C54F00" w14:paraId="50D8A206" w14:textId="77777777" w:rsidTr="00371851">
        <w:trPr>
          <w:trHeight w:val="4336"/>
        </w:trPr>
        <w:tc>
          <w:tcPr>
            <w:tcW w:w="8921" w:type="dxa"/>
            <w:gridSpan w:val="5"/>
            <w:tcBorders>
              <w:bottom w:val="single" w:sz="4" w:space="0" w:color="auto"/>
            </w:tcBorders>
          </w:tcPr>
          <w:p w14:paraId="6DDE48E7" w14:textId="77777777" w:rsidR="00577EC9" w:rsidRPr="00C54F00" w:rsidRDefault="00577EC9" w:rsidP="00371851">
            <w:pPr>
              <w:keepNext/>
              <w:spacing w:before="60" w:after="60" w:line="240" w:lineRule="auto"/>
              <w:rPr>
                <w:b/>
                <w:color w:val="000000"/>
                <w:sz w:val="18"/>
                <w:szCs w:val="18"/>
              </w:rPr>
            </w:pPr>
            <w:r>
              <w:rPr>
                <w:b/>
                <w:bCs/>
              </w:rPr>
              <w:t>Requisitos adicionales</w:t>
            </w:r>
            <w:r w:rsidRPr="00E3150A">
              <w:rPr>
                <w:b/>
              </w:rPr>
              <w:t>:</w:t>
            </w:r>
          </w:p>
          <w:p w14:paraId="039FC034" w14:textId="77777777" w:rsidR="00577EC9" w:rsidRPr="00C54F00" w:rsidRDefault="00577EC9" w:rsidP="00371851">
            <w:pPr>
              <w:keepNext/>
              <w:spacing w:before="60" w:after="60" w:line="240" w:lineRule="auto"/>
              <w:ind w:left="372" w:hanging="284"/>
              <w:rPr>
                <w:color w:val="000000"/>
                <w:sz w:val="18"/>
                <w:szCs w:val="18"/>
              </w:rPr>
            </w:pPr>
            <w:r>
              <w:t>1.</w:t>
            </w:r>
            <w:r>
              <w:tab/>
              <w:t>Los artículos frágiles deberán estar contenidos en un embalaje/envase interior rígido o en un embalaje/envase intermedio rígido.</w:t>
            </w:r>
          </w:p>
          <w:p w14:paraId="229D4F27" w14:textId="77777777" w:rsidR="00577EC9" w:rsidRPr="00C54F00" w:rsidRDefault="00577EC9" w:rsidP="00371851">
            <w:pPr>
              <w:keepNext/>
              <w:spacing w:before="60" w:after="60" w:line="240" w:lineRule="auto"/>
              <w:ind w:left="372" w:hanging="284"/>
              <w:rPr>
                <w:color w:val="000000"/>
                <w:sz w:val="18"/>
                <w:szCs w:val="18"/>
              </w:rPr>
            </w:pPr>
            <w:r>
              <w:t>2.</w:t>
            </w:r>
            <w:r>
              <w:tab/>
              <w:t>Los embalajes/envases interiores destinados a contener objetos puntiagudos, como fragmentos de vidrio o agujas, habrán de ser rígidos y resistentes a las perforaciones.</w:t>
            </w:r>
          </w:p>
          <w:p w14:paraId="07F250DB" w14:textId="77777777" w:rsidR="00577EC9" w:rsidRPr="00C54F00" w:rsidRDefault="00577EC9" w:rsidP="00371851">
            <w:pPr>
              <w:keepNext/>
              <w:spacing w:before="60" w:after="60" w:line="240" w:lineRule="auto"/>
              <w:ind w:left="372" w:hanging="284"/>
              <w:rPr>
                <w:color w:val="000000"/>
                <w:sz w:val="18"/>
                <w:szCs w:val="18"/>
              </w:rPr>
            </w:pPr>
            <w:r>
              <w:t>3.</w:t>
            </w:r>
            <w:r>
              <w:tab/>
              <w:t>El embalaje/envase interior, el embalaje/envase intermedio y el embalaje/envase exterior deberán ser impermeables a los líquidos. Los embalajes/envases exteriores que, por su diseño, no sean impermeables a los líquidos deberán ir provistos de un revestimiento u otra medida adecuada que os haga impermeables.</w:t>
            </w:r>
          </w:p>
          <w:p w14:paraId="7614922F" w14:textId="77777777" w:rsidR="00577EC9" w:rsidRPr="00C54F00" w:rsidRDefault="00577EC9" w:rsidP="00371851">
            <w:pPr>
              <w:keepNext/>
              <w:spacing w:before="60" w:after="60" w:line="240" w:lineRule="auto"/>
              <w:ind w:left="372" w:hanging="284"/>
              <w:rPr>
                <w:color w:val="000000"/>
                <w:sz w:val="18"/>
                <w:szCs w:val="18"/>
              </w:rPr>
            </w:pPr>
            <w:r>
              <w:t>4.</w:t>
            </w:r>
            <w:r>
              <w:tab/>
              <w:t xml:space="preserve">El embalaje/envase interior y/o el embalaje/envase intermedio podrán ser flexibles. Cuando se utilicen embalajes/envases flexibles, deberán poder superar el ensayo de resistencia al impacto hasta 165 g, como mínimo, de acuerdo con la norma ISO 7765-1:1988 </w:t>
            </w:r>
            <w:r w:rsidR="00655CB5">
              <w:t>“</w:t>
            </w:r>
            <w:r>
              <w:t xml:space="preserve">Películas y láminas de plástico </w:t>
            </w:r>
            <w:r w:rsidR="00E3150A">
              <w:t>–</w:t>
            </w:r>
            <w:r>
              <w:t xml:space="preserve"> Determinación de la resistencia al impacto p</w:t>
            </w:r>
            <w:r w:rsidR="00E3150A">
              <w:t>or el método de caída de dardo –</w:t>
            </w:r>
            <w:r>
              <w:t xml:space="preserve"> Parte 1: Método de la escalera</w:t>
            </w:r>
            <w:r w:rsidR="00655CB5">
              <w:t>”</w:t>
            </w:r>
            <w:r>
              <w:t xml:space="preserve"> y el ensayo de resistencia al desgarro hasta 480 g, como mínimo, en planos tanto paralelos como perpendiculares con respecto a la longitud de la bolsa, de acuerdo con la norma ISO 6383-2:1983 </w:t>
            </w:r>
            <w:r w:rsidR="00655CB5">
              <w:t>“</w:t>
            </w:r>
            <w:r>
              <w:t xml:space="preserve">Plásticos: películas y láminas de plástico: determinación de la resistencia al rasgado. </w:t>
            </w:r>
            <w:r w:rsidR="00655CB5">
              <w:t xml:space="preserve">Parte 2, Método de Elmendorf”. </w:t>
            </w:r>
            <w:r>
              <w:t xml:space="preserve">La masa neta máxima de cada embalaje/envase </w:t>
            </w:r>
            <w:r w:rsidR="00E3150A">
              <w:t>interior flexible será de 30 kg.</w:t>
            </w:r>
          </w:p>
          <w:p w14:paraId="0E3910DC" w14:textId="77777777" w:rsidR="00577EC9" w:rsidRPr="00C54F00" w:rsidRDefault="00577EC9" w:rsidP="00371851">
            <w:pPr>
              <w:keepNext/>
              <w:spacing w:before="60" w:after="60" w:line="240" w:lineRule="auto"/>
              <w:ind w:left="372" w:hanging="284"/>
              <w:rPr>
                <w:color w:val="000000"/>
                <w:sz w:val="18"/>
                <w:szCs w:val="18"/>
              </w:rPr>
            </w:pPr>
            <w:r>
              <w:t>5.</w:t>
            </w:r>
            <w:r>
              <w:tab/>
              <w:t>Cada embalaje/envase intermedio flexible contendrá un único embalaje/envase interior.</w:t>
            </w:r>
          </w:p>
          <w:p w14:paraId="3E487E18" w14:textId="77777777" w:rsidR="00577EC9" w:rsidRPr="00C54F00" w:rsidRDefault="00577EC9" w:rsidP="00371851">
            <w:pPr>
              <w:keepNext/>
              <w:spacing w:before="60" w:after="60" w:line="240" w:lineRule="auto"/>
              <w:ind w:left="372" w:hanging="284"/>
              <w:rPr>
                <w:color w:val="000000"/>
                <w:sz w:val="18"/>
                <w:szCs w:val="18"/>
              </w:rPr>
            </w:pPr>
            <w:r>
              <w:t>6.</w:t>
            </w:r>
            <w:r>
              <w:tab/>
              <w:t>Los embalajes/envases interiores que contengan una pequeña cantidad de líquido libre podrán incluirse en los embalajes intermedios siempre que haya suficiente material absorbente o solidificante en el embalaje/envase interior o intermedio para absorber o solidificar todo el contenido líquido presente.</w:t>
            </w:r>
            <w:r w:rsidR="00655CB5">
              <w:t xml:space="preserve"> </w:t>
            </w:r>
            <w:r>
              <w:t>Se utilizará un material absorbente adecuado que resista las temperaturas y vibraciones que puedan producirse en condiciones normales de transporte.</w:t>
            </w:r>
          </w:p>
          <w:p w14:paraId="7E1A4511" w14:textId="77777777" w:rsidR="00577EC9" w:rsidRPr="00C54F00" w:rsidRDefault="00577EC9" w:rsidP="00371851">
            <w:pPr>
              <w:keepNext/>
              <w:spacing w:before="60" w:after="60" w:line="240" w:lineRule="auto"/>
              <w:ind w:left="372" w:hanging="284"/>
              <w:rPr>
                <w:color w:val="000000"/>
                <w:sz w:val="18"/>
                <w:szCs w:val="18"/>
              </w:rPr>
            </w:pPr>
            <w:r>
              <w:t>7.</w:t>
            </w:r>
            <w:r>
              <w:tab/>
              <w:t>Los embalajes/envases intermedios irán sujetos dentro de los embalajes/envases exteriores con un material amortiguador y/o absorbente apropiado.</w:t>
            </w:r>
          </w:p>
        </w:tc>
      </w:tr>
    </w:tbl>
    <w:p w14:paraId="21CC9BF8" w14:textId="77777777" w:rsidR="00577EC9" w:rsidRPr="00577EC9" w:rsidRDefault="00577EC9" w:rsidP="00A60A96">
      <w:pPr>
        <w:pStyle w:val="SingleTxtG"/>
        <w:spacing w:before="240"/>
        <w:rPr>
          <w:bCs/>
          <w:lang w:val="en-GB"/>
        </w:rPr>
      </w:pPr>
      <w:r w:rsidRPr="00577EC9">
        <w:t>4.1.6.1.2</w:t>
      </w:r>
      <w:r w:rsidRPr="00577EC9">
        <w:tab/>
        <w:t xml:space="preserve">Sustitúyase </w:t>
      </w:r>
      <w:r w:rsidR="00655CB5">
        <w:t>“</w:t>
      </w:r>
      <w:r w:rsidRPr="00577EC9">
        <w:t>ISO 11114-1:2012</w:t>
      </w:r>
      <w:r w:rsidR="00655CB5">
        <w:t>”</w:t>
      </w:r>
      <w:r w:rsidRPr="00577EC9">
        <w:t xml:space="preserve"> por </w:t>
      </w:r>
      <w:r w:rsidR="00655CB5">
        <w:t>“</w:t>
      </w:r>
      <w:r w:rsidRPr="00577EC9">
        <w:t>ISO 11114-1:2012 + A1:2017</w:t>
      </w:r>
      <w:r w:rsidR="00655CB5">
        <w:t>”</w:t>
      </w:r>
      <w:r w:rsidRPr="00577EC9">
        <w:t>.</w:t>
      </w:r>
    </w:p>
    <w:p w14:paraId="41884020" w14:textId="77777777" w:rsidR="00577EC9" w:rsidRPr="00577EC9" w:rsidRDefault="00577EC9" w:rsidP="00577EC9">
      <w:pPr>
        <w:pStyle w:val="SingleTxtG"/>
        <w:rPr>
          <w:lang w:val="en-GB"/>
        </w:rPr>
      </w:pPr>
      <w:r w:rsidRPr="00577EC9">
        <w:t>4.1.6.1.8</w:t>
      </w:r>
      <w:r w:rsidRPr="00577EC9">
        <w:tab/>
        <w:t xml:space="preserve">En la segunda frase del penúltimo párrafo, sustitúyase </w:t>
      </w:r>
      <w:r w:rsidR="00655CB5">
        <w:t>“</w:t>
      </w:r>
      <w:r w:rsidRPr="00577EC9">
        <w:t>anexo A de la norma ISO 10297:2006 o el anexo A de la norma ISO 10297:2014</w:t>
      </w:r>
      <w:r w:rsidR="00655CB5">
        <w:t>”</w:t>
      </w:r>
      <w:r w:rsidRPr="00577EC9">
        <w:t xml:space="preserve"> por </w:t>
      </w:r>
      <w:r w:rsidR="00655CB5">
        <w:t>“</w:t>
      </w:r>
      <w:r w:rsidRPr="00577EC9">
        <w:t>anexo A de la norma ISO 10297:2006, el anexo A de la norma ISO 10297:2014 o el anexo A de la norma ISO 10297 + A1:2017. En el caso de los recipientes a presión con válvulas de autocierre con protección inherente, deberán cumplirse los requisi</w:t>
      </w:r>
      <w:r w:rsidR="00E3150A">
        <w:t>tos del anexo A de la norma ISO </w:t>
      </w:r>
      <w:r w:rsidRPr="00577EC9">
        <w:t>17879:2017</w:t>
      </w:r>
      <w:r w:rsidR="00655CB5">
        <w:t>”</w:t>
      </w:r>
      <w:r w:rsidRPr="00577EC9">
        <w:t>.</w:t>
      </w:r>
    </w:p>
    <w:p w14:paraId="2310ECF5" w14:textId="77777777" w:rsidR="00577EC9" w:rsidRPr="00577EC9" w:rsidRDefault="00577EC9" w:rsidP="00577EC9">
      <w:pPr>
        <w:pStyle w:val="SingleTxtG"/>
        <w:rPr>
          <w:lang w:val="en-GB"/>
        </w:rPr>
      </w:pPr>
      <w:r w:rsidRPr="00577EC9">
        <w:t>4.1.9.1.4</w:t>
      </w:r>
      <w:r w:rsidRPr="00577EC9">
        <w:tab/>
        <w:t xml:space="preserve">Añádase al final la siguiente frase: </w:t>
      </w:r>
      <w:r w:rsidR="00655CB5">
        <w:t>“</w:t>
      </w:r>
      <w:r w:rsidRPr="00577EC9">
        <w:t>Este requisito no se aplica a las superficies internas de los contenedores de carga utilizados como embalajes/envases, ya estén cargados o vacíos</w:t>
      </w:r>
      <w:r w:rsidR="00655CB5">
        <w:t>”</w:t>
      </w:r>
      <w:r w:rsidRPr="00577EC9">
        <w:t>.</w:t>
      </w:r>
    </w:p>
    <w:p w14:paraId="5B5F4AF8" w14:textId="77777777" w:rsidR="00577EC9" w:rsidRPr="00577EC9" w:rsidRDefault="00577EC9" w:rsidP="00E3150A">
      <w:pPr>
        <w:pStyle w:val="SingleTxtG"/>
        <w:keepNext/>
        <w:keepLines/>
        <w:rPr>
          <w:lang w:val="en-GB"/>
        </w:rPr>
      </w:pPr>
      <w:r w:rsidRPr="00577EC9">
        <w:lastRenderedPageBreak/>
        <w:t>4.1.9.1.8</w:t>
      </w:r>
      <w:r w:rsidRPr="00577EC9">
        <w:tab/>
        <w:t>Añádase un nuevo apartado e):</w:t>
      </w:r>
    </w:p>
    <w:p w14:paraId="71CBEF5F" w14:textId="77777777" w:rsidR="00577EC9" w:rsidRPr="00577EC9" w:rsidRDefault="00577EC9" w:rsidP="00577EC9">
      <w:pPr>
        <w:pStyle w:val="SingleTxtG"/>
        <w:rPr>
          <w:lang w:val="en-GB"/>
        </w:rPr>
      </w:pPr>
      <w:r w:rsidRPr="00577EC9">
        <w:tab/>
      </w:r>
      <w:r w:rsidR="00655CB5">
        <w:t>“</w:t>
      </w:r>
      <w:r w:rsidR="00BB0807">
        <w:t>e)</w:t>
      </w:r>
      <w:r w:rsidR="00BB0807">
        <w:tab/>
      </w:r>
      <w:r w:rsidRPr="00577EC9">
        <w:t>Cuando se trate de bultos destinados a su expedición después del almacenamiento, se garantizará que todos los componentes del embalaje/envase y el contenido radiactivo se hayan mantenido durante el almacenamiento de manera que se hayan cumplido todos los requisitos especificados en las disposiciones pertinentes de la presente Reglamentación y en los certificados de aprobación aplicables.</w:t>
      </w:r>
      <w:bookmarkStart w:id="15" w:name="_Toc474335055"/>
      <w:bookmarkStart w:id="16" w:name="_Toc477347012"/>
      <w:bookmarkEnd w:id="15"/>
      <w:bookmarkEnd w:id="16"/>
      <w:r w:rsidR="00655CB5">
        <w:t>”</w:t>
      </w:r>
    </w:p>
    <w:p w14:paraId="37AB0334" w14:textId="77777777" w:rsidR="00577EC9" w:rsidRPr="00577EC9" w:rsidRDefault="00577EC9" w:rsidP="00577EC9">
      <w:pPr>
        <w:pStyle w:val="SingleTxtG"/>
        <w:rPr>
          <w:lang w:val="en-GB"/>
        </w:rPr>
      </w:pPr>
      <w:r w:rsidRPr="00577EC9">
        <w:t>4.1.9.2.4</w:t>
      </w:r>
      <w:r w:rsidRPr="00577EC9">
        <w:tab/>
        <w:t xml:space="preserve">En la frase introductoria, sustitúyase </w:t>
      </w:r>
      <w:r w:rsidR="00655CB5">
        <w:t>“</w:t>
      </w:r>
      <w:r w:rsidRPr="00577EC9">
        <w:t>y OCS-I</w:t>
      </w:r>
      <w:r w:rsidR="00655CB5">
        <w:t>”</w:t>
      </w:r>
      <w:r w:rsidRPr="00577EC9">
        <w:t xml:space="preserve"> por</w:t>
      </w:r>
      <w:r w:rsidR="00947596">
        <w:t xml:space="preserve"> “</w:t>
      </w:r>
      <w:r w:rsidRPr="00577EC9">
        <w:t>, OCS-I y OCS-III</w:t>
      </w:r>
      <w:r w:rsidR="00655CB5">
        <w:t>”</w:t>
      </w:r>
      <w:r w:rsidRPr="00577EC9">
        <w:t xml:space="preserve">. Al final del apartado d), sustitúyase </w:t>
      </w:r>
      <w:r w:rsidR="00655CB5">
        <w:t>“</w:t>
      </w:r>
      <w:r w:rsidRPr="00577EC9">
        <w:t>.</w:t>
      </w:r>
      <w:r w:rsidR="00655CB5">
        <w:t>”</w:t>
      </w:r>
      <w:r w:rsidRPr="00577EC9">
        <w:t xml:space="preserve"> por </w:t>
      </w:r>
      <w:r w:rsidR="00655CB5">
        <w:t>“</w:t>
      </w:r>
      <w:r w:rsidRPr="00577EC9">
        <w:t>; y</w:t>
      </w:r>
      <w:r w:rsidR="00655CB5">
        <w:t>”</w:t>
      </w:r>
      <w:r w:rsidRPr="00577EC9">
        <w:t>. Añádase el nuevo apartado e) siguiente:</w:t>
      </w:r>
    </w:p>
    <w:p w14:paraId="36A6A6C0" w14:textId="77777777" w:rsidR="00577EC9" w:rsidRPr="00577EC9" w:rsidRDefault="00655CB5" w:rsidP="00A60A96">
      <w:pPr>
        <w:pStyle w:val="SingleTxtG"/>
        <w:ind w:left="2268"/>
        <w:rPr>
          <w:lang w:val="en-GB"/>
        </w:rPr>
      </w:pPr>
      <w:r>
        <w:t>“</w:t>
      </w:r>
      <w:r w:rsidR="00577EC9" w:rsidRPr="00577EC9">
        <w:t>e)</w:t>
      </w:r>
      <w:r w:rsidR="00577EC9" w:rsidRPr="00577EC9">
        <w:tab/>
        <w:t>En el caso de SCO-III:</w:t>
      </w:r>
    </w:p>
    <w:p w14:paraId="3257EAD1" w14:textId="77777777" w:rsidR="00577EC9" w:rsidRPr="00577EC9" w:rsidRDefault="00577EC9" w:rsidP="00A60A96">
      <w:pPr>
        <w:pStyle w:val="SingleTxtG"/>
        <w:ind w:left="2835"/>
        <w:rPr>
          <w:lang w:val="en-GB"/>
        </w:rPr>
      </w:pPr>
      <w:r w:rsidRPr="00577EC9">
        <w:t>i)</w:t>
      </w:r>
      <w:r w:rsidRPr="00577EC9">
        <w:tab/>
        <w:t xml:space="preserve">El transporte será por carretera, ferrocarril, vía marítima o vía fluvial interior de uso exclusivo. </w:t>
      </w:r>
    </w:p>
    <w:p w14:paraId="71D8304F" w14:textId="77777777" w:rsidR="00577EC9" w:rsidRPr="00577EC9" w:rsidRDefault="00577EC9" w:rsidP="00A60A96">
      <w:pPr>
        <w:pStyle w:val="SingleTxtG"/>
        <w:ind w:left="2835"/>
        <w:rPr>
          <w:lang w:val="en-GB"/>
        </w:rPr>
      </w:pPr>
      <w:r w:rsidRPr="00577EC9">
        <w:t>ii)</w:t>
      </w:r>
      <w:r w:rsidRPr="00577EC9">
        <w:tab/>
        <w:t>No se permitirá el apilamiento.</w:t>
      </w:r>
    </w:p>
    <w:p w14:paraId="0DC2457B" w14:textId="77777777" w:rsidR="00577EC9" w:rsidRPr="00577EC9" w:rsidRDefault="00577EC9" w:rsidP="00A60A96">
      <w:pPr>
        <w:pStyle w:val="SingleTxtG"/>
        <w:ind w:left="2835"/>
        <w:rPr>
          <w:lang w:val="en-GB"/>
        </w:rPr>
      </w:pPr>
      <w:r w:rsidRPr="00577EC9">
        <w:t>iii)</w:t>
      </w:r>
      <w:r w:rsidRPr="00577EC9">
        <w:tab/>
        <w:t xml:space="preserve">Todas las actividades relacionadas con el envío, incluidas la protección contra las radiaciones, la respuesta de emergencia y cualesquiera precauciones especiales o controles administrativos u operacionales especiales que vayan a aplicarse durante el transporte, se describirán en un plan de transporte. En ese plan se deberá demostrar que el nivel global de seguridad en el transporte es al menos equivalente al que se alcanzaría si </w:t>
      </w:r>
      <w:r w:rsidR="00947596">
        <w:t>se cumplieran los requisitos de </w:t>
      </w:r>
      <w:r w:rsidRPr="00577EC9">
        <w:t>6.4.7.14 (únicamente para el ensayo especificado en 6.4.15.6, precedido de los ensayos especificados en 6.4.15.2 y 6.4.15.3).</w:t>
      </w:r>
    </w:p>
    <w:p w14:paraId="70F0400B" w14:textId="77777777" w:rsidR="00577EC9" w:rsidRPr="00577EC9" w:rsidRDefault="00577EC9" w:rsidP="00A60A96">
      <w:pPr>
        <w:pStyle w:val="SingleTxtG"/>
        <w:ind w:left="2835"/>
        <w:rPr>
          <w:lang w:val="en-GB"/>
        </w:rPr>
      </w:pPr>
      <w:r w:rsidRPr="00577EC9">
        <w:t>iv)</w:t>
      </w:r>
      <w:r w:rsidRPr="00577EC9">
        <w:tab/>
        <w:t>En el caso de un bulto de tipo IP-2 deberán cumplirse los requisitos de 6.4.5.1 y 6.4.5.2, con la salvedad de que el daño máximo a que se hace referencia en 6.4.15.4 podrá determinarse con arreglo a las disposiciones que figuren en el plan de transporte, y no se aplicarán los requisitos de 6.4.15.5.</w:t>
      </w:r>
    </w:p>
    <w:p w14:paraId="4BD5E752" w14:textId="77777777" w:rsidR="00577EC9" w:rsidRPr="00577EC9" w:rsidRDefault="00577EC9" w:rsidP="00A60A96">
      <w:pPr>
        <w:pStyle w:val="SingleTxtG"/>
        <w:ind w:left="2835"/>
        <w:rPr>
          <w:lang w:val="en-GB"/>
        </w:rPr>
      </w:pPr>
      <w:r w:rsidRPr="00577EC9">
        <w:t>v)</w:t>
      </w:r>
      <w:r w:rsidRPr="00577EC9">
        <w:tab/>
        <w:t>El objeto y cualquier blindaje se fijarán al vehículo de acuerdo con 6.4.2.1.</w:t>
      </w:r>
    </w:p>
    <w:p w14:paraId="68182268" w14:textId="77777777" w:rsidR="00577EC9" w:rsidRPr="00577EC9" w:rsidRDefault="00577EC9" w:rsidP="00A60A96">
      <w:pPr>
        <w:pStyle w:val="SingleTxtG"/>
        <w:ind w:left="2835"/>
        <w:rPr>
          <w:lang w:val="en-GB"/>
        </w:rPr>
      </w:pPr>
      <w:r w:rsidRPr="00577EC9">
        <w:t>vi)</w:t>
      </w:r>
      <w:r w:rsidRPr="00577EC9">
        <w:tab/>
        <w:t>El envío estará sujeto a aprobación multilateral</w:t>
      </w:r>
      <w:r w:rsidR="00947596">
        <w:t>.</w:t>
      </w:r>
      <w:r w:rsidR="00655CB5">
        <w:t>”</w:t>
      </w:r>
    </w:p>
    <w:p w14:paraId="00ECE606" w14:textId="77777777" w:rsidR="00577EC9" w:rsidRPr="00577EC9" w:rsidRDefault="00A60A96" w:rsidP="00A60A96">
      <w:pPr>
        <w:pStyle w:val="H1G"/>
        <w:rPr>
          <w:lang w:val="en-GB"/>
        </w:rPr>
      </w:pPr>
      <w:r>
        <w:tab/>
      </w:r>
      <w:r>
        <w:tab/>
      </w:r>
      <w:r w:rsidR="00577EC9" w:rsidRPr="00577EC9">
        <w:t>Capítulo 4.2</w:t>
      </w:r>
    </w:p>
    <w:p w14:paraId="1B41196C" w14:textId="77777777" w:rsidR="00577EC9" w:rsidRPr="00577EC9" w:rsidRDefault="00577EC9" w:rsidP="00577EC9">
      <w:pPr>
        <w:pStyle w:val="SingleTxtG"/>
        <w:rPr>
          <w:lang w:val="en-GB"/>
        </w:rPr>
      </w:pPr>
      <w:r w:rsidRPr="00577EC9">
        <w:t>Añádase el nuevo 4.2.3.7.3 siguiente:</w:t>
      </w:r>
    </w:p>
    <w:p w14:paraId="2B790247" w14:textId="77777777" w:rsidR="00577EC9" w:rsidRPr="00577EC9" w:rsidRDefault="00655CB5" w:rsidP="00577EC9">
      <w:pPr>
        <w:pStyle w:val="SingleTxtG"/>
        <w:rPr>
          <w:lang w:val="en-GB"/>
        </w:rPr>
      </w:pPr>
      <w:r>
        <w:t>“</w:t>
      </w:r>
      <w:r w:rsidR="00BB0807">
        <w:t>4.2.3.7.3</w:t>
      </w:r>
      <w:r w:rsidR="00577EC9" w:rsidRPr="00577EC9">
        <w:tab/>
        <w:t>La fecha de finalización del tiempo de retención real se consignará en el documento de transporte (véase 5.4.1.5.13)</w:t>
      </w:r>
      <w:r w:rsidR="005A18E8">
        <w:t>.</w:t>
      </w:r>
      <w:r>
        <w:t>”</w:t>
      </w:r>
    </w:p>
    <w:p w14:paraId="5C592C0E" w14:textId="77777777" w:rsidR="00577EC9" w:rsidRPr="00577EC9" w:rsidRDefault="00577EC9" w:rsidP="00577EC9">
      <w:pPr>
        <w:pStyle w:val="SingleTxtG"/>
        <w:rPr>
          <w:lang w:val="en-GB"/>
        </w:rPr>
      </w:pPr>
      <w:r w:rsidRPr="00577EC9">
        <w:t>4.2.5.3, TP19</w:t>
      </w:r>
      <w:r w:rsidRPr="00577EC9">
        <w:tab/>
        <w:t>Modifíquese para que diga lo siguiente:</w:t>
      </w:r>
    </w:p>
    <w:p w14:paraId="63FBF781" w14:textId="77777777" w:rsidR="00577EC9" w:rsidRPr="00577EC9" w:rsidRDefault="00655CB5" w:rsidP="005A18E8">
      <w:pPr>
        <w:pStyle w:val="SingleTxtG"/>
        <w:tabs>
          <w:tab w:val="left" w:pos="2268"/>
        </w:tabs>
        <w:rPr>
          <w:lang w:val="en-GB"/>
        </w:rPr>
      </w:pPr>
      <w:r>
        <w:t>“</w:t>
      </w:r>
      <w:r w:rsidR="00577EC9" w:rsidRPr="00577EC9">
        <w:rPr>
          <w:b/>
          <w:bCs/>
        </w:rPr>
        <w:t>TP19</w:t>
      </w:r>
      <w:r w:rsidR="005A18E8">
        <w:rPr>
          <w:b/>
          <w:bCs/>
        </w:rPr>
        <w:tab/>
      </w:r>
      <w:r w:rsidR="00577EC9" w:rsidRPr="00577EC9">
        <w:t>En el momento de la construcción, el espesor mínimo del depósito determinado con arreglo a 6.7.3.4 se aumentará en 3 mm como tolerancia a la corrosión. El espesor del depósito se verificará ultrasónicamente a intervalos entre los ensayos hidráulicos periódicos y nunca podrá ser inferior al espesor mínimo determinado con arreglo a 6.7.3.4.</w:t>
      </w:r>
      <w:r>
        <w:t>”</w:t>
      </w:r>
    </w:p>
    <w:p w14:paraId="5452ECEC" w14:textId="77777777" w:rsidR="00577EC9" w:rsidRPr="00577EC9" w:rsidRDefault="00577EC9" w:rsidP="005A18E8">
      <w:pPr>
        <w:pStyle w:val="SingleTxtG"/>
        <w:tabs>
          <w:tab w:val="left" w:pos="2268"/>
        </w:tabs>
        <w:rPr>
          <w:bCs/>
          <w:i/>
          <w:iCs/>
          <w:lang w:val="en-GB"/>
        </w:rPr>
      </w:pPr>
      <w:r w:rsidRPr="00577EC9">
        <w:t>4.2.5.3</w:t>
      </w:r>
      <w:r w:rsidRPr="00577EC9">
        <w:tab/>
        <w:t xml:space="preserve">Suprímanse las instrucciones sobre cisternas portátiles TP35, TP37, TP38 y TP39 y añádase </w:t>
      </w:r>
      <w:r w:rsidR="00655CB5" w:rsidRPr="005A18E8">
        <w:rPr>
          <w:i/>
        </w:rPr>
        <w:t>“</w:t>
      </w:r>
      <w:r w:rsidRPr="005A18E8">
        <w:rPr>
          <w:i/>
          <w:iCs/>
        </w:rPr>
        <w:t>Suprimido</w:t>
      </w:r>
      <w:r w:rsidR="00655CB5" w:rsidRPr="005A18E8">
        <w:rPr>
          <w:i/>
        </w:rPr>
        <w:t>”</w:t>
      </w:r>
      <w:r w:rsidRPr="00577EC9">
        <w:t>.</w:t>
      </w:r>
    </w:p>
    <w:p w14:paraId="0C580A81" w14:textId="77777777" w:rsidR="00577EC9" w:rsidRPr="00577EC9" w:rsidRDefault="00577EC9" w:rsidP="00A60A96">
      <w:pPr>
        <w:pStyle w:val="H1G"/>
        <w:rPr>
          <w:i/>
          <w:iCs/>
          <w:lang w:val="en-GB"/>
        </w:rPr>
      </w:pPr>
      <w:r w:rsidRPr="00577EC9">
        <w:tab/>
      </w:r>
      <w:r w:rsidRPr="00577EC9">
        <w:tab/>
        <w:t>Capítulo 5.1</w:t>
      </w:r>
    </w:p>
    <w:p w14:paraId="2897B881" w14:textId="77777777" w:rsidR="00A60A96" w:rsidRDefault="00577EC9" w:rsidP="00577EC9">
      <w:pPr>
        <w:pStyle w:val="SingleTxtG"/>
      </w:pPr>
      <w:r w:rsidRPr="00577EC9">
        <w:t>5.1.5.1.2</w:t>
      </w:r>
      <w:r w:rsidRPr="00577EC9">
        <w:tab/>
        <w:t xml:space="preserve">Trasládese la </w:t>
      </w:r>
      <w:r w:rsidR="00655CB5">
        <w:t>“</w:t>
      </w:r>
      <w:r w:rsidRPr="00577EC9">
        <w:t>y</w:t>
      </w:r>
      <w:r w:rsidR="00655CB5">
        <w:t>”</w:t>
      </w:r>
      <w:r w:rsidRPr="00577EC9">
        <w:t xml:space="preserve"> del final del aparta</w:t>
      </w:r>
      <w:r w:rsidR="00A60A96">
        <w:t>do c) al final del apartado d).</w:t>
      </w:r>
    </w:p>
    <w:p w14:paraId="5F8DE4D5" w14:textId="77777777" w:rsidR="00577EC9" w:rsidRPr="00577EC9" w:rsidRDefault="00577EC9" w:rsidP="00A60A96">
      <w:pPr>
        <w:pStyle w:val="SingleTxtG"/>
        <w:ind w:left="2268"/>
        <w:rPr>
          <w:lang w:val="en-GB"/>
        </w:rPr>
      </w:pPr>
      <w:r w:rsidRPr="00577EC9">
        <w:t>Añádase un nuevo apartado e) con el texto siguiente:</w:t>
      </w:r>
    </w:p>
    <w:p w14:paraId="6190B384" w14:textId="77777777" w:rsidR="00577EC9" w:rsidRPr="00577EC9" w:rsidRDefault="00655CB5" w:rsidP="00A60A96">
      <w:pPr>
        <w:pStyle w:val="SingleTxtG"/>
        <w:ind w:left="2268"/>
        <w:rPr>
          <w:lang w:val="en-GB"/>
        </w:rPr>
      </w:pPr>
      <w:r>
        <w:t>“</w:t>
      </w:r>
      <w:r w:rsidR="00577EC9" w:rsidRPr="00577EC9">
        <w:t>e)</w:t>
      </w:r>
      <w:r w:rsidR="00577EC9" w:rsidRPr="00577EC9">
        <w:tab/>
        <w:t>El envío de SCO-III.</w:t>
      </w:r>
      <w:r>
        <w:t>”</w:t>
      </w:r>
    </w:p>
    <w:p w14:paraId="0743BDA0" w14:textId="77777777" w:rsidR="00577EC9" w:rsidRPr="00577EC9" w:rsidRDefault="00577EC9" w:rsidP="00577EC9">
      <w:pPr>
        <w:pStyle w:val="SingleTxtG"/>
        <w:rPr>
          <w:lang w:val="en-GB"/>
        </w:rPr>
      </w:pPr>
      <w:r w:rsidRPr="00577EC9">
        <w:t>5.1.5.1.4 b)</w:t>
      </w:r>
      <w:r w:rsidRPr="00577EC9">
        <w:tab/>
        <w:t>La enmienda del texto en inglés no se aplica al texto español.</w:t>
      </w:r>
    </w:p>
    <w:p w14:paraId="4CCE6177" w14:textId="77777777" w:rsidR="00577EC9" w:rsidRPr="00577EC9" w:rsidRDefault="00577EC9" w:rsidP="00577EC9">
      <w:pPr>
        <w:pStyle w:val="SingleTxtG"/>
        <w:rPr>
          <w:lang w:val="en-GB"/>
        </w:rPr>
      </w:pPr>
      <w:r w:rsidRPr="00577EC9">
        <w:lastRenderedPageBreak/>
        <w:t>5.1.5.3.1</w:t>
      </w:r>
      <w:r w:rsidRPr="00577EC9">
        <w:tab/>
        <w:t xml:space="preserve">En la frase introductoria, sustitúyase </w:t>
      </w:r>
      <w:r w:rsidR="00655CB5">
        <w:t>“</w:t>
      </w:r>
      <w:r w:rsidRPr="00577EC9">
        <w:t>u OCS-I</w:t>
      </w:r>
      <w:r w:rsidR="00655CB5">
        <w:t>”</w:t>
      </w:r>
      <w:r w:rsidRPr="00577EC9">
        <w:t xml:space="preserve"> por</w:t>
      </w:r>
      <w:r w:rsidR="005A18E8">
        <w:t xml:space="preserve"> “</w:t>
      </w:r>
      <w:r w:rsidRPr="00577EC9">
        <w:t>, OCS-I u OCS-III</w:t>
      </w:r>
      <w:r w:rsidR="00655CB5">
        <w:t>”</w:t>
      </w:r>
      <w:r w:rsidRPr="00577EC9">
        <w:t xml:space="preserve">. En el apartado a), sustitúyase </w:t>
      </w:r>
      <w:r w:rsidR="00655CB5">
        <w:t>“</w:t>
      </w:r>
      <w:r w:rsidRPr="00577EC9">
        <w:t>nivel de radiación</w:t>
      </w:r>
      <w:r w:rsidR="00655CB5">
        <w:t>”</w:t>
      </w:r>
      <w:r w:rsidRPr="00577EC9">
        <w:t xml:space="preserve"> por </w:t>
      </w:r>
      <w:r w:rsidR="00655CB5">
        <w:t>“</w:t>
      </w:r>
      <w:r w:rsidRPr="00577EC9">
        <w:t>tasa de dosis</w:t>
      </w:r>
      <w:r w:rsidR="00655CB5">
        <w:t>”</w:t>
      </w:r>
      <w:r w:rsidRPr="00577EC9">
        <w:t xml:space="preserve"> (dos veces) y </w:t>
      </w:r>
      <w:r w:rsidR="00655CB5">
        <w:t>“</w:t>
      </w:r>
      <w:r w:rsidRPr="00577EC9">
        <w:t>y SCO-I</w:t>
      </w:r>
      <w:r w:rsidR="00655CB5">
        <w:t>”</w:t>
      </w:r>
      <w:r w:rsidRPr="00577EC9">
        <w:t xml:space="preserve"> por </w:t>
      </w:r>
      <w:r w:rsidR="00655CB5">
        <w:t>“</w:t>
      </w:r>
      <w:r w:rsidRPr="00577EC9">
        <w:t>, SCO-I u SCO-III</w:t>
      </w:r>
      <w:r w:rsidR="00655CB5">
        <w:t>”</w:t>
      </w:r>
      <w:r w:rsidRPr="00577EC9">
        <w:t xml:space="preserve">. En el apartado b), sustitúyase </w:t>
      </w:r>
      <w:r w:rsidR="00655CB5">
        <w:t>“</w:t>
      </w:r>
      <w:r w:rsidRPr="00577EC9">
        <w:t>y OCS-I</w:t>
      </w:r>
      <w:r w:rsidR="00655CB5">
        <w:t>”</w:t>
      </w:r>
      <w:r w:rsidRPr="00577EC9">
        <w:t xml:space="preserve"> por </w:t>
      </w:r>
      <w:r w:rsidR="00655CB5">
        <w:t>“</w:t>
      </w:r>
      <w:r w:rsidR="005A18E8">
        <w:t>, OCS-I y OCS</w:t>
      </w:r>
      <w:r w:rsidR="005A18E8">
        <w:noBreakHyphen/>
      </w:r>
      <w:r w:rsidRPr="00577EC9">
        <w:t>III</w:t>
      </w:r>
      <w:r w:rsidR="00655CB5">
        <w:t>”</w:t>
      </w:r>
      <w:r w:rsidRPr="00577EC9">
        <w:t xml:space="preserve">. Al final del apartado c), añádase </w:t>
      </w:r>
      <w:r w:rsidR="00655CB5">
        <w:t>“</w:t>
      </w:r>
      <w:r w:rsidRPr="00577EC9">
        <w:t xml:space="preserve">, y el número resultante será el valor del </w:t>
      </w:r>
      <w:r w:rsidRPr="00045737">
        <w:rPr>
          <w:iCs/>
        </w:rPr>
        <w:t>IT</w:t>
      </w:r>
      <w:r w:rsidR="00655CB5">
        <w:t>”</w:t>
      </w:r>
      <w:r w:rsidRPr="00577EC9">
        <w:t>.</w:t>
      </w:r>
    </w:p>
    <w:p w14:paraId="247DF0DE" w14:textId="77777777" w:rsidR="00577EC9" w:rsidRPr="00577EC9" w:rsidRDefault="00D043DE" w:rsidP="00577EC9">
      <w:pPr>
        <w:pStyle w:val="SingleTxtG"/>
        <w:rPr>
          <w:bCs/>
          <w:lang w:val="en-GB"/>
        </w:rPr>
      </w:pPr>
      <w:r>
        <w:t>Cuadro 5.1.5.3.1</w:t>
      </w:r>
      <w:r w:rsidR="00577EC9" w:rsidRPr="00577EC9">
        <w:tab/>
        <w:t xml:space="preserve">En el título, sustitúyase </w:t>
      </w:r>
      <w:r w:rsidR="00655CB5">
        <w:t>“</w:t>
      </w:r>
      <w:r w:rsidR="00577EC9" w:rsidRPr="00577EC9">
        <w:t>y OCS-I</w:t>
      </w:r>
      <w:r w:rsidR="00655CB5">
        <w:t>”</w:t>
      </w:r>
      <w:r w:rsidR="00577EC9" w:rsidRPr="00577EC9">
        <w:t xml:space="preserve"> por </w:t>
      </w:r>
      <w:r w:rsidR="00655CB5">
        <w:t>“</w:t>
      </w:r>
      <w:r w:rsidR="00577EC9" w:rsidRPr="00577EC9">
        <w:t>, OCS-I y OCS-III</w:t>
      </w:r>
      <w:r w:rsidR="00655CB5">
        <w:t>”</w:t>
      </w:r>
      <w:r w:rsidR="00577EC9" w:rsidRPr="00577EC9">
        <w:t>.</w:t>
      </w:r>
    </w:p>
    <w:p w14:paraId="0E8E37F0" w14:textId="77777777" w:rsidR="00577EC9" w:rsidRPr="00577EC9" w:rsidRDefault="00577EC9" w:rsidP="00577EC9">
      <w:pPr>
        <w:pStyle w:val="SingleTxtG"/>
        <w:rPr>
          <w:lang w:val="en-GB"/>
        </w:rPr>
      </w:pPr>
      <w:r w:rsidRPr="00577EC9">
        <w:t>5.1.5.3.2</w:t>
      </w:r>
      <w:r w:rsidRPr="00577EC9">
        <w:tab/>
        <w:t>Modifíquese para que diga lo siguiente:</w:t>
      </w:r>
    </w:p>
    <w:p w14:paraId="0104AA03" w14:textId="77777777" w:rsidR="00577EC9" w:rsidRPr="00577EC9" w:rsidRDefault="00655CB5" w:rsidP="00577EC9">
      <w:pPr>
        <w:pStyle w:val="SingleTxtG"/>
        <w:rPr>
          <w:lang w:val="en-GB"/>
        </w:rPr>
      </w:pPr>
      <w:r>
        <w:t>“</w:t>
      </w:r>
      <w:r w:rsidR="00577EC9" w:rsidRPr="00577EC9">
        <w:t xml:space="preserve">El IT de cada sobreenvase rígido, contenedor de carga o medio de transporte se obtendrá sumando los IT de todos los bultos que contiene. En el caso de un envío procedente de un solo expedidor, este podrá determinar el IT midiendo directamente la tasa de dosis. </w:t>
      </w:r>
    </w:p>
    <w:p w14:paraId="2AFAF4EE" w14:textId="77777777" w:rsidR="00577EC9" w:rsidRPr="00577EC9" w:rsidRDefault="00577EC9" w:rsidP="00577EC9">
      <w:pPr>
        <w:pStyle w:val="SingleTxtG"/>
        <w:rPr>
          <w:lang w:val="en-GB"/>
        </w:rPr>
      </w:pPr>
      <w:r w:rsidRPr="00577EC9">
        <w:t>La IT de un sobreenvase no rígido se obtendrá únicamente sumando los IT de todos los bultos</w:t>
      </w:r>
      <w:r w:rsidR="005A18E8">
        <w:t>.</w:t>
      </w:r>
      <w:r w:rsidR="00655CB5">
        <w:t>”</w:t>
      </w:r>
    </w:p>
    <w:p w14:paraId="78931F02" w14:textId="77777777" w:rsidR="00577EC9" w:rsidRPr="00577EC9" w:rsidRDefault="00577EC9" w:rsidP="00577EC9">
      <w:pPr>
        <w:pStyle w:val="SingleTxtG"/>
        <w:rPr>
          <w:lang w:val="en-GB"/>
        </w:rPr>
      </w:pPr>
      <w:r w:rsidRPr="00577EC9">
        <w:t>5.1.5.3.4</w:t>
      </w:r>
      <w:r w:rsidRPr="00577EC9">
        <w:tab/>
        <w:t xml:space="preserve">En el apartado b), sustitúyase </w:t>
      </w:r>
      <w:r w:rsidR="00655CB5">
        <w:t>“</w:t>
      </w:r>
      <w:r w:rsidRPr="00577EC9">
        <w:t>índice de transporte</w:t>
      </w:r>
      <w:r w:rsidR="00655CB5">
        <w:t>”</w:t>
      </w:r>
      <w:r w:rsidRPr="00577EC9">
        <w:t xml:space="preserve"> por </w:t>
      </w:r>
      <w:r w:rsidR="00655CB5">
        <w:t>“</w:t>
      </w:r>
      <w:r w:rsidRPr="00577EC9">
        <w:t>IT</w:t>
      </w:r>
      <w:r w:rsidR="00655CB5">
        <w:t>”</w:t>
      </w:r>
      <w:r w:rsidRPr="00577EC9">
        <w:t>.</w:t>
      </w:r>
    </w:p>
    <w:p w14:paraId="3F197F2F" w14:textId="77777777" w:rsidR="00577EC9" w:rsidRPr="00577EC9" w:rsidRDefault="00577EC9" w:rsidP="00A60A96">
      <w:pPr>
        <w:pStyle w:val="H1G"/>
        <w:rPr>
          <w:lang w:val="en-GB"/>
        </w:rPr>
      </w:pPr>
      <w:r w:rsidRPr="00577EC9">
        <w:tab/>
      </w:r>
      <w:r w:rsidRPr="00577EC9">
        <w:tab/>
        <w:t>Capítulo 5.2</w:t>
      </w:r>
    </w:p>
    <w:p w14:paraId="5030FC13" w14:textId="77777777" w:rsidR="00577EC9" w:rsidRPr="00577EC9" w:rsidRDefault="00577EC9" w:rsidP="00EB0B5A">
      <w:pPr>
        <w:pStyle w:val="SingleTxtG"/>
        <w:tabs>
          <w:tab w:val="left" w:pos="2268"/>
        </w:tabs>
        <w:rPr>
          <w:lang w:val="en-GB"/>
        </w:rPr>
      </w:pPr>
      <w:r w:rsidRPr="00577EC9">
        <w:t>5.2.1.1</w:t>
      </w:r>
      <w:r w:rsidRPr="00577EC9">
        <w:tab/>
      </w:r>
      <w:r w:rsidRPr="00577EC9">
        <w:tab/>
        <w:t xml:space="preserve">Modifíquese el final de la segunda frase como sigue: </w:t>
      </w:r>
      <w:r w:rsidR="00655CB5">
        <w:t>“</w:t>
      </w:r>
      <w:r w:rsidRPr="00577EC9">
        <w:t>y en el de las botellas de hasta 60 l de capacidad en agua, en que tendrán como mínimo 6 mm de altura, y en el caso de los bultos de hasta 5 l de capacidad o hasta 5 kg de masa neta máxima, en que tendrán un tamaño apropiado</w:t>
      </w:r>
      <w:r w:rsidR="005A18E8">
        <w:t>.</w:t>
      </w:r>
      <w:r w:rsidR="00655CB5">
        <w:t>”</w:t>
      </w:r>
      <w:r w:rsidRPr="00577EC9">
        <w:t>.</w:t>
      </w:r>
    </w:p>
    <w:p w14:paraId="0243421E" w14:textId="77777777" w:rsidR="00577EC9" w:rsidRPr="00577EC9" w:rsidRDefault="00577EC9" w:rsidP="00577EC9">
      <w:pPr>
        <w:pStyle w:val="SingleTxtG"/>
        <w:rPr>
          <w:lang w:val="en-GB"/>
        </w:rPr>
      </w:pPr>
      <w:r w:rsidRPr="00577EC9">
        <w:t>5.2.1.5.6</w:t>
      </w:r>
      <w:r w:rsidRPr="00577EC9">
        <w:tab/>
        <w:t>Al final, añádase la nueva frase siguiente:</w:t>
      </w:r>
    </w:p>
    <w:p w14:paraId="694C2AE0" w14:textId="77777777" w:rsidR="00577EC9" w:rsidRPr="00577EC9" w:rsidRDefault="00655CB5" w:rsidP="00577EC9">
      <w:pPr>
        <w:pStyle w:val="SingleTxtG"/>
        <w:rPr>
          <w:lang w:val="en-GB"/>
        </w:rPr>
      </w:pPr>
      <w:r>
        <w:t>“</w:t>
      </w:r>
      <w:r w:rsidR="00577EC9" w:rsidRPr="00577EC9">
        <w:t xml:space="preserve">Se eliminará o cubrirá en el bulto cualquier marca realizada de conformidad con los requisitos de los apartados 5.2.1.5.4 a) y b) y 5.2.1.5.5 c) relativos al tipo de bulto que no se refiera al </w:t>
      </w:r>
      <w:r>
        <w:t>núm.</w:t>
      </w:r>
      <w:r w:rsidR="00577EC9" w:rsidRPr="00577EC9">
        <w:t xml:space="preserve"> ONU y a la denominación oficial de transporte asignada al envío</w:t>
      </w:r>
      <w:r w:rsidR="005A18E8">
        <w:t>.</w:t>
      </w:r>
      <w:r>
        <w:t>”</w:t>
      </w:r>
      <w:r w:rsidR="00577EC9" w:rsidRPr="00577EC9">
        <w:t>.</w:t>
      </w:r>
    </w:p>
    <w:p w14:paraId="2A15B323" w14:textId="77777777" w:rsidR="00577EC9" w:rsidRPr="00577EC9" w:rsidRDefault="00577EC9" w:rsidP="00577EC9">
      <w:pPr>
        <w:pStyle w:val="SingleTxtG"/>
        <w:rPr>
          <w:lang w:val="en-GB"/>
        </w:rPr>
      </w:pPr>
      <w:r w:rsidRPr="00577EC9">
        <w:t>5.2.1.9.2</w:t>
      </w:r>
      <w:r w:rsidRPr="00577EC9">
        <w:tab/>
        <w:t xml:space="preserve">En la figura 5.2.5, sustitúyase </w:t>
      </w:r>
      <w:r w:rsidR="00655CB5">
        <w:t>“</w:t>
      </w:r>
      <w:r w:rsidRPr="00577EC9">
        <w:t>120 mm</w:t>
      </w:r>
      <w:r w:rsidR="00655CB5">
        <w:t>”</w:t>
      </w:r>
      <w:r w:rsidRPr="00577EC9">
        <w:t xml:space="preserve"> por </w:t>
      </w:r>
      <w:r w:rsidR="00655CB5">
        <w:t>“</w:t>
      </w:r>
      <w:r w:rsidRPr="00577EC9">
        <w:t>100 mm</w:t>
      </w:r>
      <w:r w:rsidR="00655CB5">
        <w:t>”</w:t>
      </w:r>
      <w:r w:rsidRPr="00577EC9">
        <w:t xml:space="preserve"> y </w:t>
      </w:r>
      <w:r w:rsidR="00655CB5">
        <w:t>“</w:t>
      </w:r>
      <w:r w:rsidRPr="00577EC9">
        <w:t>110 mm</w:t>
      </w:r>
      <w:r w:rsidR="00655CB5">
        <w:t>”</w:t>
      </w:r>
      <w:r w:rsidRPr="00577EC9">
        <w:t xml:space="preserve"> por </w:t>
      </w:r>
      <w:r w:rsidR="00655CB5">
        <w:t>“</w:t>
      </w:r>
      <w:r w:rsidRPr="00577EC9">
        <w:t>100 mm</w:t>
      </w:r>
      <w:r w:rsidR="00655CB5">
        <w:t>”</w:t>
      </w:r>
      <w:r w:rsidRPr="00577EC9">
        <w:t>.</w:t>
      </w:r>
    </w:p>
    <w:p w14:paraId="1D861571" w14:textId="77777777" w:rsidR="00577EC9" w:rsidRPr="00577EC9" w:rsidRDefault="005A18E8" w:rsidP="00A60A96">
      <w:pPr>
        <w:pStyle w:val="SingleTxtG"/>
        <w:ind w:left="2268"/>
        <w:rPr>
          <w:lang w:val="en-GB"/>
        </w:rPr>
      </w:pPr>
      <w:r>
        <w:t>En el último párrafo:</w:t>
      </w:r>
    </w:p>
    <w:p w14:paraId="3BF14DB8" w14:textId="77777777" w:rsidR="00577EC9" w:rsidRPr="00577EC9" w:rsidRDefault="00577EC9" w:rsidP="00A60A96">
      <w:pPr>
        <w:pStyle w:val="Bullet2G"/>
        <w:ind w:left="2438"/>
        <w:rPr>
          <w:lang w:val="en-GB"/>
        </w:rPr>
      </w:pPr>
      <w:r w:rsidRPr="00577EC9">
        <w:t xml:space="preserve">Primera frase: sustitúyase </w:t>
      </w:r>
      <w:r w:rsidR="00655CB5">
        <w:t>“</w:t>
      </w:r>
      <w:r w:rsidRPr="00577EC9">
        <w:t>un rectángulo</w:t>
      </w:r>
      <w:r w:rsidR="00655CB5">
        <w:t>”</w:t>
      </w:r>
      <w:r w:rsidRPr="00577EC9">
        <w:t xml:space="preserve"> por </w:t>
      </w:r>
      <w:r w:rsidR="00655CB5">
        <w:t>“</w:t>
      </w:r>
      <w:r w:rsidRPr="00577EC9">
        <w:t>un rectángulo o un cuadrado</w:t>
      </w:r>
      <w:r w:rsidR="00655CB5">
        <w:t>”</w:t>
      </w:r>
      <w:r w:rsidRPr="00577EC9">
        <w:t>.</w:t>
      </w:r>
    </w:p>
    <w:p w14:paraId="333F5221" w14:textId="77777777" w:rsidR="00577EC9" w:rsidRPr="00577EC9" w:rsidRDefault="00577EC9" w:rsidP="00A60A96">
      <w:pPr>
        <w:pStyle w:val="Bullet2G"/>
        <w:ind w:left="2438"/>
        <w:rPr>
          <w:lang w:val="en-GB"/>
        </w:rPr>
      </w:pPr>
      <w:r w:rsidRPr="00577EC9">
        <w:t xml:space="preserve">Segunda frase: sustitúyase </w:t>
      </w:r>
      <w:r w:rsidR="00655CB5">
        <w:t>“</w:t>
      </w:r>
      <w:r w:rsidRPr="00577EC9">
        <w:t>120 mm de anchura × 110 mm de altura</w:t>
      </w:r>
      <w:r w:rsidR="00655CB5">
        <w:t>”</w:t>
      </w:r>
      <w:r w:rsidRPr="00577EC9">
        <w:t xml:space="preserve"> por </w:t>
      </w:r>
      <w:r w:rsidR="00655CB5">
        <w:t>“</w:t>
      </w:r>
      <w:r w:rsidRPr="00577EC9">
        <w:t>100 mm de anchura × 100 mm de altura</w:t>
      </w:r>
      <w:r w:rsidR="00655CB5">
        <w:t>”</w:t>
      </w:r>
      <w:r w:rsidRPr="00577EC9">
        <w:t>.</w:t>
      </w:r>
    </w:p>
    <w:p w14:paraId="1F3E7E01" w14:textId="77777777" w:rsidR="00577EC9" w:rsidRPr="00577EC9" w:rsidRDefault="00577EC9" w:rsidP="00A60A96">
      <w:pPr>
        <w:pStyle w:val="Bullet2G"/>
        <w:ind w:left="2438"/>
        <w:rPr>
          <w:lang w:val="en-GB"/>
        </w:rPr>
      </w:pPr>
      <w:r w:rsidRPr="00577EC9">
        <w:t xml:space="preserve">Quinta frase: suprímase </w:t>
      </w:r>
      <w:r w:rsidR="00655CB5">
        <w:t>“</w:t>
      </w:r>
      <w:r w:rsidRPr="00577EC9">
        <w:t>/o el grosor de las líneas</w:t>
      </w:r>
      <w:r w:rsidR="00655CB5">
        <w:t>”</w:t>
      </w:r>
      <w:r w:rsidRPr="00577EC9">
        <w:t xml:space="preserve"> y sustitúyase </w:t>
      </w:r>
      <w:r w:rsidR="00655CB5">
        <w:t>“</w:t>
      </w:r>
      <w:r w:rsidRPr="00577EC9">
        <w:t>105 mm de anchura x 74 mm de altura</w:t>
      </w:r>
      <w:r w:rsidR="00655CB5">
        <w:t>”</w:t>
      </w:r>
      <w:r w:rsidRPr="00577EC9">
        <w:t xml:space="preserve"> por </w:t>
      </w:r>
      <w:r w:rsidR="00655CB5">
        <w:t>“</w:t>
      </w:r>
      <w:r w:rsidRPr="00577EC9">
        <w:t>100 mm de anchura x 70 mm de altura</w:t>
      </w:r>
      <w:r w:rsidR="00655CB5">
        <w:t>”</w:t>
      </w:r>
      <w:r w:rsidRPr="00577EC9">
        <w:t>.</w:t>
      </w:r>
    </w:p>
    <w:p w14:paraId="3B74A0D0" w14:textId="77777777" w:rsidR="00577EC9" w:rsidRPr="00577EC9" w:rsidRDefault="00577EC9" w:rsidP="00577EC9">
      <w:pPr>
        <w:pStyle w:val="SingleTxtG"/>
        <w:rPr>
          <w:lang w:val="en-GB"/>
        </w:rPr>
      </w:pPr>
      <w:r w:rsidRPr="00577EC9">
        <w:t>5.2.2.1.12.2</w:t>
      </w:r>
      <w:r w:rsidRPr="00577EC9">
        <w:tab/>
        <w:t xml:space="preserve">En el apartado d), sustitúyase </w:t>
      </w:r>
      <w:r w:rsidR="00655CB5">
        <w:t>“</w:t>
      </w:r>
      <w:r w:rsidRPr="00577EC9">
        <w:t>(No se requiere la inscripción del índice de transporte en el caso de la categoría I-BLANCA)</w:t>
      </w:r>
      <w:r w:rsidR="00655CB5">
        <w:t>”</w:t>
      </w:r>
      <w:r w:rsidRPr="00577EC9">
        <w:t xml:space="preserve"> por </w:t>
      </w:r>
      <w:r w:rsidR="00655CB5">
        <w:t>“</w:t>
      </w:r>
      <w:r w:rsidRPr="00577EC9">
        <w:t>(excepto en el caso de la categoría I</w:t>
      </w:r>
      <w:r w:rsidRPr="00577EC9">
        <w:noBreakHyphen/>
        <w:t>BLANCA)</w:t>
      </w:r>
      <w:r w:rsidR="00655CB5">
        <w:t>”</w:t>
      </w:r>
      <w:r w:rsidRPr="00577EC9">
        <w:t>.</w:t>
      </w:r>
    </w:p>
    <w:p w14:paraId="044A2B1A" w14:textId="77777777" w:rsidR="00577EC9" w:rsidRPr="00577EC9" w:rsidRDefault="00577EC9" w:rsidP="00577EC9">
      <w:pPr>
        <w:pStyle w:val="SingleTxtG"/>
        <w:rPr>
          <w:lang w:val="en-GB"/>
        </w:rPr>
      </w:pPr>
      <w:r w:rsidRPr="00577EC9">
        <w:t>5.2.2.2.1.1.2</w:t>
      </w:r>
      <w:r w:rsidRPr="00577EC9">
        <w:tab/>
        <w:t>Modifíquese para que diga lo siguiente:</w:t>
      </w:r>
    </w:p>
    <w:p w14:paraId="2C642843" w14:textId="77777777" w:rsidR="00577EC9" w:rsidRPr="00577EC9" w:rsidRDefault="005A18E8" w:rsidP="00577EC9">
      <w:pPr>
        <w:pStyle w:val="SingleTxtG"/>
        <w:rPr>
          <w:lang w:val="en-GB"/>
        </w:rPr>
      </w:pPr>
      <w:r>
        <w:t>“5.2.2.2.1.1.2</w:t>
      </w:r>
      <w:r>
        <w:tab/>
      </w:r>
      <w:r w:rsidR="00577EC9" w:rsidRPr="00577EC9">
        <w:t>Las etiquetas tendrán la forma de un cuadrado rotado en un ángulo de 45º (la forma de un rombo). Las dimensiones mínimas serán de 100 mm x 100 mm. En todo el perímetro del rombo la etiqueta llevará una línea interna trazada a 5 mm del borde y paralela a él.</w:t>
      </w:r>
      <w:r w:rsidR="00655CB5">
        <w:t>”</w:t>
      </w:r>
    </w:p>
    <w:p w14:paraId="19696570" w14:textId="77777777" w:rsidR="00577EC9" w:rsidRPr="00577EC9" w:rsidRDefault="00577EC9" w:rsidP="00A60A96">
      <w:pPr>
        <w:pStyle w:val="H1G"/>
        <w:rPr>
          <w:lang w:val="en-GB"/>
        </w:rPr>
      </w:pPr>
      <w:r w:rsidRPr="00577EC9">
        <w:tab/>
      </w:r>
      <w:r w:rsidRPr="00577EC9">
        <w:tab/>
        <w:t>Capítulo 5.3</w:t>
      </w:r>
    </w:p>
    <w:p w14:paraId="7B653E05" w14:textId="77777777" w:rsidR="00577EC9" w:rsidRPr="00577EC9" w:rsidRDefault="00577EC9" w:rsidP="00577EC9">
      <w:pPr>
        <w:pStyle w:val="SingleTxtG"/>
        <w:rPr>
          <w:lang w:val="en-GB"/>
        </w:rPr>
      </w:pPr>
      <w:r w:rsidRPr="00577EC9">
        <w:t>5.3.1.1.5.1</w:t>
      </w:r>
      <w:r w:rsidRPr="00577EC9">
        <w:tab/>
        <w:t xml:space="preserve">Después de </w:t>
      </w:r>
      <w:r w:rsidR="00655CB5">
        <w:t>“</w:t>
      </w:r>
      <w:r w:rsidRPr="00577EC9">
        <w:t>Los contenedores grandes que contengan</w:t>
      </w:r>
      <w:r w:rsidR="00655CB5">
        <w:t>”</w:t>
      </w:r>
      <w:r w:rsidRPr="00577EC9">
        <w:t xml:space="preserve">, añádase </w:t>
      </w:r>
      <w:r w:rsidR="00655CB5">
        <w:t>“</w:t>
      </w:r>
      <w:r w:rsidRPr="00577EC9">
        <w:t>material BAE-I sin embalar o SCO-I o</w:t>
      </w:r>
      <w:r w:rsidR="00655CB5">
        <w:t>”</w:t>
      </w:r>
      <w:r w:rsidRPr="00577EC9">
        <w:t xml:space="preserve">. </w:t>
      </w:r>
    </w:p>
    <w:p w14:paraId="760938D4" w14:textId="77777777" w:rsidR="00577EC9" w:rsidRPr="00577EC9" w:rsidRDefault="00577EC9" w:rsidP="00577EC9">
      <w:pPr>
        <w:pStyle w:val="SingleTxtG"/>
        <w:rPr>
          <w:lang w:val="en-GB"/>
        </w:rPr>
      </w:pPr>
      <w:r w:rsidRPr="00577EC9">
        <w:t>5.3.2.1.1</w:t>
      </w:r>
      <w:r w:rsidRPr="00577EC9">
        <w:tab/>
        <w:t xml:space="preserve">Sustitúyase </w:t>
      </w:r>
      <w:r w:rsidR="00655CB5">
        <w:t>“</w:t>
      </w:r>
      <w:r w:rsidRPr="00577EC9">
        <w:t>material BAE-I o SCO-1</w:t>
      </w:r>
      <w:r w:rsidR="00655CB5">
        <w:t>”</w:t>
      </w:r>
      <w:r w:rsidRPr="00577EC9">
        <w:t xml:space="preserve"> por </w:t>
      </w:r>
      <w:r w:rsidR="00655CB5">
        <w:t>“</w:t>
      </w:r>
      <w:r w:rsidRPr="00577EC9">
        <w:t>material BAE-I, SCO-I o SCO</w:t>
      </w:r>
      <w:r w:rsidRPr="00577EC9">
        <w:noBreakHyphen/>
        <w:t>III</w:t>
      </w:r>
      <w:r w:rsidR="00655CB5">
        <w:t>”</w:t>
      </w:r>
      <w:r w:rsidRPr="00577EC9">
        <w:t>.</w:t>
      </w:r>
    </w:p>
    <w:p w14:paraId="5AD61653" w14:textId="77777777" w:rsidR="00577EC9" w:rsidRPr="00577EC9" w:rsidRDefault="00577EC9" w:rsidP="00A60A96">
      <w:pPr>
        <w:pStyle w:val="H1G"/>
        <w:rPr>
          <w:lang w:val="en-GB"/>
        </w:rPr>
      </w:pPr>
      <w:r w:rsidRPr="00577EC9">
        <w:lastRenderedPageBreak/>
        <w:tab/>
      </w:r>
      <w:r w:rsidRPr="00577EC9">
        <w:tab/>
        <w:t>Capítulo 5.4</w:t>
      </w:r>
    </w:p>
    <w:p w14:paraId="62234AFD" w14:textId="77777777" w:rsidR="00577EC9" w:rsidRPr="00577EC9" w:rsidRDefault="00577EC9" w:rsidP="00577EC9">
      <w:pPr>
        <w:pStyle w:val="SingleTxtG"/>
        <w:rPr>
          <w:lang w:val="en-GB"/>
        </w:rPr>
      </w:pPr>
      <w:r w:rsidRPr="00577EC9">
        <w:t>5.4.1.5.1</w:t>
      </w:r>
      <w:r w:rsidRPr="00577EC9">
        <w:tab/>
        <w:t>La enmienda del texto francés no se aplica al texto español.</w:t>
      </w:r>
    </w:p>
    <w:p w14:paraId="7F00A7C5" w14:textId="77777777" w:rsidR="00577EC9" w:rsidRPr="00577EC9" w:rsidRDefault="00577EC9" w:rsidP="00577EC9">
      <w:pPr>
        <w:pStyle w:val="SingleTxtG"/>
        <w:rPr>
          <w:lang w:val="en-GB"/>
        </w:rPr>
      </w:pPr>
      <w:r w:rsidRPr="00577EC9">
        <w:t>5.4.1.5.7.1</w:t>
      </w:r>
      <w:r w:rsidRPr="00577EC9">
        <w:tab/>
        <w:t>Modifíquense los apartados d) y e) de la siguiente manera:</w:t>
      </w:r>
    </w:p>
    <w:p w14:paraId="573124EE" w14:textId="77777777" w:rsidR="00577EC9" w:rsidRPr="00577EC9" w:rsidRDefault="00655CB5" w:rsidP="00A60A96">
      <w:pPr>
        <w:pStyle w:val="SingleTxtG"/>
        <w:ind w:left="2268"/>
        <w:rPr>
          <w:lang w:val="en-GB"/>
        </w:rPr>
      </w:pPr>
      <w:r>
        <w:t>“</w:t>
      </w:r>
      <w:r w:rsidR="00577EC9" w:rsidRPr="00577EC9">
        <w:t>d)</w:t>
      </w:r>
      <w:r w:rsidR="00577EC9" w:rsidRPr="00577EC9">
        <w:tab/>
        <w:t xml:space="preserve">La categoría del bulto, sobreenvase </w:t>
      </w:r>
      <w:r w:rsidR="005A18E8">
        <w:t>o contenedor de carga, según  lo  </w:t>
      </w:r>
      <w:r w:rsidR="00577EC9" w:rsidRPr="00577EC9">
        <w:t>asignado en 5.1.5.3.4, es de</w:t>
      </w:r>
      <w:r w:rsidR="005A18E8">
        <w:t>cir, I-BLANCA, II-AMARILLA, III</w:t>
      </w:r>
      <w:r w:rsidR="005A18E8">
        <w:noBreakHyphen/>
      </w:r>
      <w:r w:rsidR="00577EC9" w:rsidRPr="00577EC9">
        <w:t>AMARILLA;</w:t>
      </w:r>
    </w:p>
    <w:p w14:paraId="13629BC0" w14:textId="77777777" w:rsidR="00577EC9" w:rsidRPr="00577EC9" w:rsidRDefault="00577EC9" w:rsidP="00A60A96">
      <w:pPr>
        <w:pStyle w:val="SingleTxtG"/>
        <w:ind w:left="2268"/>
        <w:rPr>
          <w:lang w:val="en-GB"/>
        </w:rPr>
      </w:pPr>
      <w:r w:rsidRPr="00577EC9">
        <w:t>e)</w:t>
      </w:r>
      <w:r w:rsidRPr="00577EC9">
        <w:tab/>
        <w:t>El IT determinado según 5.1.5.3.1 y 5.1.5.3.2 (excepto para la categoría I-BLANCA);</w:t>
      </w:r>
      <w:r w:rsidR="00655CB5">
        <w:t>”</w:t>
      </w:r>
    </w:p>
    <w:p w14:paraId="48FDCDB2" w14:textId="77777777" w:rsidR="00577EC9" w:rsidRPr="00577EC9" w:rsidRDefault="00577EC9" w:rsidP="00577EC9">
      <w:pPr>
        <w:pStyle w:val="SingleTxtG"/>
        <w:rPr>
          <w:lang w:val="en-GB"/>
        </w:rPr>
      </w:pPr>
      <w:r w:rsidRPr="00577EC9">
        <w:t xml:space="preserve">En el apartado j), sustitúyase </w:t>
      </w:r>
      <w:r w:rsidR="00655CB5">
        <w:t>“</w:t>
      </w:r>
      <w:r w:rsidRPr="00577EC9">
        <w:t>OCS-I y OCS-II</w:t>
      </w:r>
      <w:r w:rsidR="00655CB5">
        <w:t>”</w:t>
      </w:r>
      <w:r w:rsidRPr="00577EC9">
        <w:t xml:space="preserve"> por </w:t>
      </w:r>
      <w:r w:rsidR="00655CB5">
        <w:t>“</w:t>
      </w:r>
      <w:r w:rsidRPr="00577EC9">
        <w:t>, OCS-I, OCS-II y</w:t>
      </w:r>
      <w:r w:rsidR="00655CB5">
        <w:t xml:space="preserve"> </w:t>
      </w:r>
      <w:r w:rsidRPr="00577EC9">
        <w:t>OCS</w:t>
      </w:r>
      <w:r w:rsidRPr="00577EC9">
        <w:noBreakHyphen/>
        <w:t>III</w:t>
      </w:r>
      <w:r w:rsidR="00655CB5">
        <w:t>”</w:t>
      </w:r>
      <w:r w:rsidRPr="00577EC9">
        <w:t>.</w:t>
      </w:r>
    </w:p>
    <w:p w14:paraId="4BC9014D" w14:textId="77777777" w:rsidR="00577EC9" w:rsidRPr="00577EC9" w:rsidRDefault="00577EC9" w:rsidP="00577EC9">
      <w:pPr>
        <w:pStyle w:val="SingleTxtG"/>
        <w:rPr>
          <w:lang w:val="en-GB"/>
        </w:rPr>
      </w:pPr>
      <w:r w:rsidRPr="00577EC9">
        <w:t>Añádase el nuevo 5.4.1.5.13 siguiente:</w:t>
      </w:r>
    </w:p>
    <w:p w14:paraId="7943C66E" w14:textId="77777777" w:rsidR="00577EC9" w:rsidRPr="00577EC9" w:rsidRDefault="00655CB5" w:rsidP="00577EC9">
      <w:pPr>
        <w:pStyle w:val="SingleTxtG"/>
        <w:rPr>
          <w:lang w:val="en-GB"/>
        </w:rPr>
      </w:pPr>
      <w:r>
        <w:t>“</w:t>
      </w:r>
      <w:r w:rsidR="00EB0B5A">
        <w:t>5.4.1.5.13</w:t>
      </w:r>
      <w:r w:rsidR="00577EC9" w:rsidRPr="00577EC9">
        <w:tab/>
      </w:r>
      <w:r w:rsidR="00577EC9" w:rsidRPr="00577EC9">
        <w:rPr>
          <w:i/>
          <w:iCs/>
        </w:rPr>
        <w:t>Tiempo de retención real</w:t>
      </w:r>
    </w:p>
    <w:p w14:paraId="38205389" w14:textId="77777777" w:rsidR="00577EC9" w:rsidRPr="00577EC9" w:rsidRDefault="00577EC9" w:rsidP="00577EC9">
      <w:pPr>
        <w:pStyle w:val="SingleTxtG"/>
        <w:rPr>
          <w:lang w:val="en-GB"/>
        </w:rPr>
      </w:pPr>
      <w:r w:rsidRPr="00577EC9">
        <w:t>En el caso de las cisternas portátiles que transporten gases licuados refrigerados, el expedidor anotará en el documento de transporte la fecha en que finalice el tiempo de retención real, con el siguiente formato:</w:t>
      </w:r>
    </w:p>
    <w:p w14:paraId="4B318610" w14:textId="77777777" w:rsidR="00577EC9" w:rsidRPr="00577EC9" w:rsidRDefault="00655CB5" w:rsidP="00577EC9">
      <w:pPr>
        <w:pStyle w:val="SingleTxtG"/>
        <w:rPr>
          <w:lang w:val="en-GB"/>
        </w:rPr>
      </w:pPr>
      <w:r>
        <w:t>“</w:t>
      </w:r>
      <w:r w:rsidR="00577EC9" w:rsidRPr="00577EC9">
        <w:t>FIN DEL TIEMPO DE RETENCI</w:t>
      </w:r>
      <w:r w:rsidR="00EC7E23">
        <w:t>Ó</w:t>
      </w:r>
      <w:r w:rsidR="00577EC9" w:rsidRPr="00577EC9">
        <w:t>N: ................ (DD/MM/AAAA).</w:t>
      </w:r>
      <w:r>
        <w:t>”</w:t>
      </w:r>
    </w:p>
    <w:p w14:paraId="45F0DEBE" w14:textId="77777777" w:rsidR="00577EC9" w:rsidRPr="00577EC9" w:rsidRDefault="00577EC9" w:rsidP="00EB0B5A">
      <w:pPr>
        <w:pStyle w:val="SingleTxtG"/>
        <w:tabs>
          <w:tab w:val="left" w:pos="2268"/>
        </w:tabs>
        <w:rPr>
          <w:lang w:val="en-GB"/>
        </w:rPr>
      </w:pPr>
      <w:r w:rsidRPr="00577EC9">
        <w:t>5.4.2.2</w:t>
      </w:r>
      <w:r w:rsidRPr="00577EC9">
        <w:tab/>
      </w:r>
      <w:r w:rsidRPr="00577EC9">
        <w:tab/>
        <w:t xml:space="preserve">Al final de la primera frase, sustitúyase </w:t>
      </w:r>
      <w:r w:rsidR="00655CB5">
        <w:t>“</w:t>
      </w:r>
      <w:r w:rsidRPr="00577EC9">
        <w:t>o bien puede unirse un documento al otro</w:t>
      </w:r>
      <w:r w:rsidR="00655CB5">
        <w:t>”</w:t>
      </w:r>
      <w:r w:rsidRPr="00577EC9">
        <w:t xml:space="preserve"> por </w:t>
      </w:r>
      <w:r w:rsidR="00655CB5">
        <w:t>“</w:t>
      </w:r>
      <w:r w:rsidRPr="00577EC9">
        <w:t>o bien pueden unirse</w:t>
      </w:r>
      <w:r w:rsidR="00655CB5">
        <w:t>”</w:t>
      </w:r>
      <w:r w:rsidRPr="00577EC9">
        <w:t>.</w:t>
      </w:r>
    </w:p>
    <w:p w14:paraId="449DEB13" w14:textId="77777777" w:rsidR="00577EC9" w:rsidRPr="00577EC9" w:rsidRDefault="00577EC9" w:rsidP="00A60A96">
      <w:pPr>
        <w:pStyle w:val="H1G"/>
        <w:rPr>
          <w:lang w:val="en-GB"/>
        </w:rPr>
      </w:pPr>
      <w:r w:rsidRPr="00577EC9">
        <w:tab/>
      </w:r>
      <w:r w:rsidRPr="00577EC9">
        <w:tab/>
        <w:t>Capítulo 5.5</w:t>
      </w:r>
    </w:p>
    <w:p w14:paraId="79501FC0" w14:textId="77777777" w:rsidR="00577EC9" w:rsidRPr="00577EC9" w:rsidRDefault="00577EC9" w:rsidP="00577EC9">
      <w:pPr>
        <w:pStyle w:val="SingleTxtG"/>
        <w:rPr>
          <w:lang w:val="en-GB"/>
        </w:rPr>
      </w:pPr>
      <w:r w:rsidRPr="00577EC9">
        <w:t>5.5.3</w:t>
      </w:r>
      <w:r w:rsidRPr="00577EC9">
        <w:tab/>
        <w:t xml:space="preserve">Al final, en el texto entre paréntesis, después de </w:t>
      </w:r>
      <w:r w:rsidR="00655CB5">
        <w:t>“</w:t>
      </w:r>
      <w:r w:rsidRPr="00577EC9">
        <w:t>(</w:t>
      </w:r>
      <w:r w:rsidR="00655CB5">
        <w:t>núm.</w:t>
      </w:r>
      <w:r w:rsidRPr="00577EC9">
        <w:t xml:space="preserve"> ONU 1951)</w:t>
      </w:r>
      <w:r w:rsidR="00655CB5">
        <w:t>”</w:t>
      </w:r>
      <w:r w:rsidRPr="00577EC9">
        <w:t xml:space="preserve">, añádase </w:t>
      </w:r>
      <w:r w:rsidR="00655CB5">
        <w:t>“</w:t>
      </w:r>
      <w:r w:rsidR="005A18E8">
        <w:t>o </w:t>
      </w:r>
      <w:r w:rsidRPr="00577EC9">
        <w:t>nitrógeno</w:t>
      </w:r>
      <w:r w:rsidR="00655CB5">
        <w:t>”</w:t>
      </w:r>
      <w:r w:rsidRPr="00577EC9">
        <w:t>.</w:t>
      </w:r>
    </w:p>
    <w:p w14:paraId="11DEFF84" w14:textId="77777777" w:rsidR="00577EC9" w:rsidRPr="00577EC9" w:rsidRDefault="00577EC9" w:rsidP="00577EC9">
      <w:pPr>
        <w:pStyle w:val="SingleTxtG"/>
        <w:rPr>
          <w:lang w:val="en-GB"/>
        </w:rPr>
      </w:pPr>
      <w:r w:rsidRPr="00577EC9">
        <w:t>Al final, añádase la nueva nota siguiente:</w:t>
      </w:r>
    </w:p>
    <w:p w14:paraId="32FD1AAF" w14:textId="77777777" w:rsidR="00577EC9" w:rsidRPr="005A18E8" w:rsidRDefault="00655CB5" w:rsidP="00577EC9">
      <w:pPr>
        <w:pStyle w:val="SingleTxtG"/>
        <w:rPr>
          <w:i/>
          <w:lang w:val="en-GB"/>
        </w:rPr>
      </w:pPr>
      <w:r w:rsidRPr="005A18E8">
        <w:rPr>
          <w:i/>
        </w:rPr>
        <w:t>“</w:t>
      </w:r>
      <w:r w:rsidR="00577EC9" w:rsidRPr="005A18E8">
        <w:rPr>
          <w:bCs/>
          <w:i/>
          <w:iCs/>
        </w:rPr>
        <w:t>NOTA</w:t>
      </w:r>
      <w:r w:rsidR="00577EC9" w:rsidRPr="005A18E8">
        <w:rPr>
          <w:i/>
        </w:rPr>
        <w:t>:</w:t>
      </w:r>
      <w:r w:rsidR="005A18E8">
        <w:rPr>
          <w:i/>
        </w:rPr>
        <w:t xml:space="preserve"> </w:t>
      </w:r>
      <w:r w:rsidR="00577EC9" w:rsidRPr="005A18E8">
        <w:rPr>
          <w:i/>
          <w:iCs/>
        </w:rPr>
        <w:t xml:space="preserve">En el contexto de la presente sección, el término </w:t>
      </w:r>
      <w:r w:rsidR="005A18E8">
        <w:rPr>
          <w:i/>
          <w:iCs/>
        </w:rPr>
        <w:t>‘</w:t>
      </w:r>
      <w:r w:rsidR="00577EC9" w:rsidRPr="005A18E8">
        <w:rPr>
          <w:i/>
          <w:iCs/>
        </w:rPr>
        <w:t>acondicionamiento</w:t>
      </w:r>
      <w:r w:rsidR="005A18E8">
        <w:rPr>
          <w:i/>
          <w:iCs/>
        </w:rPr>
        <w:t>’</w:t>
      </w:r>
      <w:r w:rsidR="00577EC9" w:rsidRPr="005A18E8">
        <w:rPr>
          <w:i/>
          <w:iCs/>
        </w:rPr>
        <w:t xml:space="preserve"> puede utilizarse en un sentido más amplio e incluye la protección</w:t>
      </w:r>
      <w:r w:rsidR="005A18E8">
        <w:rPr>
          <w:i/>
          <w:iCs/>
        </w:rPr>
        <w:t>.</w:t>
      </w:r>
      <w:r w:rsidRPr="005A18E8">
        <w:rPr>
          <w:i/>
          <w:iCs/>
        </w:rPr>
        <w:t>”</w:t>
      </w:r>
    </w:p>
    <w:p w14:paraId="32F57A1A" w14:textId="77777777" w:rsidR="00577EC9" w:rsidRPr="00577EC9" w:rsidRDefault="00577EC9" w:rsidP="00577EC9">
      <w:pPr>
        <w:pStyle w:val="SingleTxtG"/>
        <w:rPr>
          <w:lang w:val="en-GB"/>
        </w:rPr>
      </w:pPr>
      <w:r w:rsidRPr="00577EC9">
        <w:t>5.5.3.6.2</w:t>
      </w:r>
      <w:r w:rsidRPr="00577EC9">
        <w:tab/>
        <w:t xml:space="preserve">En la figura 5.5.2, modifíquese el título para que diga </w:t>
      </w:r>
      <w:r w:rsidR="00655CB5">
        <w:t>“</w:t>
      </w:r>
      <w:r w:rsidRPr="00577EC9">
        <w:t>Marca de advertencia de asfixia para las unidades de transporte que transportan mercancías</w:t>
      </w:r>
      <w:r w:rsidR="00655CB5">
        <w:t>”</w:t>
      </w:r>
      <w:r w:rsidRPr="00577EC9">
        <w:t xml:space="preserve">. Suprímase la referencia a la nota ** y la nota correspondiente. En la nota *, al principio, sustitúyase </w:t>
      </w:r>
      <w:r w:rsidR="00655CB5">
        <w:t>“</w:t>
      </w:r>
      <w:r w:rsidRPr="00577EC9">
        <w:t>del refrigerante/agente de acondicionamiento</w:t>
      </w:r>
      <w:r w:rsidR="00655CB5">
        <w:t>”</w:t>
      </w:r>
      <w:r w:rsidRPr="00577EC9">
        <w:t xml:space="preserve"> por </w:t>
      </w:r>
      <w:r w:rsidR="00655CB5">
        <w:t>“</w:t>
      </w:r>
      <w:r w:rsidRPr="00577EC9">
        <w:t>o el nombre del gas asfixiante utilizado como refrigerante/agente de acondicionamiento</w:t>
      </w:r>
      <w:r w:rsidR="00655CB5">
        <w:t>”</w:t>
      </w:r>
      <w:r w:rsidRPr="00577EC9">
        <w:t xml:space="preserve">. Al final de la nota *, añádase </w:t>
      </w:r>
      <w:r w:rsidR="00655CB5">
        <w:t>“</w:t>
      </w:r>
      <w:r w:rsidRPr="00577EC9">
        <w:t xml:space="preserve">Podrá añadirse información adicional como </w:t>
      </w:r>
      <w:r w:rsidR="005A18E8">
        <w:t>‘</w:t>
      </w:r>
      <w:r w:rsidRPr="00577EC9">
        <w:t>COMO REFRIGERANTE</w:t>
      </w:r>
      <w:r w:rsidR="005A18E8">
        <w:t>’</w:t>
      </w:r>
      <w:r w:rsidRPr="00577EC9">
        <w:t xml:space="preserve"> o </w:t>
      </w:r>
      <w:r w:rsidR="005A18E8">
        <w:t>‘</w:t>
      </w:r>
      <w:r w:rsidRPr="00577EC9">
        <w:t>COMO AGENTE DE ACONDICIONAMIENTO</w:t>
      </w:r>
      <w:r w:rsidR="005A18E8">
        <w:t>’”</w:t>
      </w:r>
      <w:r w:rsidRPr="00577EC9">
        <w:t>. Al final de 5.5.3.6.2, suprímase la Nota.</w:t>
      </w:r>
    </w:p>
    <w:p w14:paraId="0E59F8B6" w14:textId="77777777" w:rsidR="00577EC9" w:rsidRPr="00577EC9" w:rsidRDefault="00577EC9" w:rsidP="005A18E8">
      <w:pPr>
        <w:pStyle w:val="SingleTxtG"/>
        <w:tabs>
          <w:tab w:val="left" w:pos="2268"/>
        </w:tabs>
        <w:rPr>
          <w:lang w:val="en-GB"/>
        </w:rPr>
      </w:pPr>
      <w:r w:rsidRPr="00577EC9">
        <w:t>5.5.4</w:t>
      </w:r>
      <w:r w:rsidRPr="00577EC9">
        <w:tab/>
        <w:t>Añádase una nueva sección 5.5.4 que diga lo siguiente:</w:t>
      </w:r>
    </w:p>
    <w:p w14:paraId="2CA7199D" w14:textId="77777777" w:rsidR="00577EC9" w:rsidRPr="00577EC9" w:rsidRDefault="00655CB5" w:rsidP="005A18E8">
      <w:pPr>
        <w:pStyle w:val="SingleTxtG"/>
        <w:tabs>
          <w:tab w:val="left" w:pos="2268"/>
        </w:tabs>
        <w:rPr>
          <w:lang w:val="en-GB"/>
        </w:rPr>
      </w:pPr>
      <w:r>
        <w:t>“</w:t>
      </w:r>
      <w:r w:rsidR="00577EC9" w:rsidRPr="00577EC9">
        <w:rPr>
          <w:b/>
          <w:bCs/>
        </w:rPr>
        <w:t>5.5.4</w:t>
      </w:r>
      <w:r w:rsidR="00577EC9" w:rsidRPr="00577EC9">
        <w:tab/>
      </w:r>
      <w:r w:rsidR="00577EC9" w:rsidRPr="00577EC9">
        <w:tab/>
      </w:r>
      <w:r w:rsidR="00577EC9" w:rsidRPr="00577EC9">
        <w:rPr>
          <w:b/>
          <w:bCs/>
        </w:rPr>
        <w:t>Mercancías peligrosas contenidas en equipos utilizados o destinados a ser utilizados durante el transporte</w:t>
      </w:r>
    </w:p>
    <w:p w14:paraId="218E580E" w14:textId="77777777" w:rsidR="00577EC9" w:rsidRPr="00577EC9" w:rsidRDefault="00577EC9" w:rsidP="005A18E8">
      <w:pPr>
        <w:pStyle w:val="SingleTxtG"/>
        <w:tabs>
          <w:tab w:val="left" w:pos="2268"/>
        </w:tabs>
        <w:rPr>
          <w:lang w:val="en-GB"/>
        </w:rPr>
      </w:pPr>
      <w:r w:rsidRPr="00577EC9">
        <w:t>5.5.4.1</w:t>
      </w:r>
      <w:r w:rsidRPr="00577EC9">
        <w:tab/>
      </w:r>
      <w:r w:rsidRPr="00577EC9">
        <w:tab/>
        <w:t>Las mercancías peligrosas (por ejemplo, baterías de litio, cartuchos de pilas de combustible) contenidas en equipos tales como registradores de datos y dispositivos de seguimiento de la carga, fijadas o colocadas en bultos, sobreenvases, contenedores o compartimentos de carga no están sujetas a más disposición de la presente Reglamentación que la siguiente:</w:t>
      </w:r>
    </w:p>
    <w:p w14:paraId="6CD4D784" w14:textId="77777777" w:rsidR="00577EC9" w:rsidRPr="00577EC9" w:rsidRDefault="00577EC9" w:rsidP="005A18E8">
      <w:pPr>
        <w:pStyle w:val="SingleTxtG"/>
        <w:ind w:left="2835" w:hanging="567"/>
        <w:rPr>
          <w:lang w:val="en-GB"/>
        </w:rPr>
      </w:pPr>
      <w:r w:rsidRPr="00577EC9">
        <w:t>a)</w:t>
      </w:r>
      <w:r w:rsidRPr="00577EC9">
        <w:tab/>
        <w:t xml:space="preserve">El equipo se utilizará o estará destinado a ser utilizado durante el </w:t>
      </w:r>
      <w:r w:rsidRPr="00577EC9">
        <w:tab/>
        <w:t xml:space="preserve">transporte; </w:t>
      </w:r>
    </w:p>
    <w:p w14:paraId="3C5CD944" w14:textId="77777777" w:rsidR="00577EC9" w:rsidRPr="00577EC9" w:rsidRDefault="00577EC9" w:rsidP="005A18E8">
      <w:pPr>
        <w:pStyle w:val="SingleTxtG"/>
        <w:ind w:left="2835" w:hanging="567"/>
        <w:rPr>
          <w:lang w:val="en-GB"/>
        </w:rPr>
      </w:pPr>
      <w:r w:rsidRPr="00577EC9">
        <w:t>b)</w:t>
      </w:r>
      <w:r w:rsidRPr="00577EC9">
        <w:tab/>
      </w:r>
      <w:r w:rsidR="005A18E8" w:rsidRPr="00577EC9">
        <w:t xml:space="preserve">Las </w:t>
      </w:r>
      <w:r w:rsidRPr="00577EC9">
        <w:t>mercancías peligrosas contenidas en el equipo (por ejemplo, baterías de litio, cartuchos de pilas de combustible) deberán cumplir los requisitos aplicables de construcción y ensayo especificados en la presente Reglamentación; y</w:t>
      </w:r>
    </w:p>
    <w:p w14:paraId="5107D859" w14:textId="77777777" w:rsidR="00577EC9" w:rsidRPr="00577EC9" w:rsidRDefault="00577EC9" w:rsidP="005A18E8">
      <w:pPr>
        <w:pStyle w:val="SingleTxtG"/>
        <w:ind w:left="2835" w:hanging="567"/>
        <w:rPr>
          <w:lang w:val="en-GB"/>
        </w:rPr>
      </w:pPr>
      <w:r w:rsidRPr="00577EC9">
        <w:t>c)</w:t>
      </w:r>
      <w:r w:rsidRPr="00577EC9">
        <w:tab/>
      </w:r>
      <w:r w:rsidR="005A18E8" w:rsidRPr="00577EC9">
        <w:t xml:space="preserve">El </w:t>
      </w:r>
      <w:r w:rsidRPr="00577EC9">
        <w:t>equipo deberá ser capaz de resistir los choques y las cargas que se producen normalmente durante el transporte.</w:t>
      </w:r>
    </w:p>
    <w:p w14:paraId="3503B596" w14:textId="77777777" w:rsidR="00577EC9" w:rsidRPr="00577EC9" w:rsidRDefault="00577EC9" w:rsidP="00B45B6E">
      <w:pPr>
        <w:pStyle w:val="SingleTxtG"/>
        <w:tabs>
          <w:tab w:val="left" w:pos="2268"/>
        </w:tabs>
        <w:rPr>
          <w:lang w:val="en-GB"/>
        </w:rPr>
      </w:pPr>
      <w:r w:rsidRPr="00577EC9">
        <w:lastRenderedPageBreak/>
        <w:t>5.5.4.2</w:t>
      </w:r>
      <w:r w:rsidRPr="00577EC9">
        <w:tab/>
      </w:r>
      <w:r w:rsidRPr="00577EC9">
        <w:tab/>
        <w:t>Cuando dicho equipo que contenga mercancías peligrosas se transporte en consignación, se utilizará la entrada correspondiente de la lista de mercancías peligrosas del capítulo 3.2 y se aplicarán todas las disposiciones pertinentes de la presente Reglamentación.</w:t>
      </w:r>
      <w:r w:rsidR="00655CB5">
        <w:t>”</w:t>
      </w:r>
    </w:p>
    <w:p w14:paraId="6A59FA81" w14:textId="77777777" w:rsidR="00577EC9" w:rsidRPr="00577EC9" w:rsidRDefault="00577EC9" w:rsidP="00A60A96">
      <w:pPr>
        <w:pStyle w:val="H1G"/>
        <w:rPr>
          <w:lang w:val="en-GB"/>
        </w:rPr>
      </w:pPr>
      <w:r w:rsidRPr="00577EC9">
        <w:tab/>
      </w:r>
      <w:r w:rsidRPr="00577EC9">
        <w:tab/>
        <w:t>Capítulo 6.1</w:t>
      </w:r>
    </w:p>
    <w:p w14:paraId="18EC1DDA" w14:textId="77777777" w:rsidR="00577EC9" w:rsidRPr="00577EC9" w:rsidRDefault="00577EC9" w:rsidP="00577EC9">
      <w:pPr>
        <w:pStyle w:val="SingleTxtG"/>
        <w:rPr>
          <w:lang w:val="en-GB"/>
        </w:rPr>
      </w:pPr>
      <w:r w:rsidRPr="00577EC9">
        <w:t>6.1.1.1 e)</w:t>
      </w:r>
      <w:r w:rsidRPr="00577EC9">
        <w:tab/>
        <w:t xml:space="preserve">Al final, añádase </w:t>
      </w:r>
      <w:r w:rsidR="00655CB5">
        <w:t>“</w:t>
      </w:r>
      <w:r w:rsidRPr="00577EC9">
        <w:t xml:space="preserve">excepto el </w:t>
      </w:r>
      <w:r w:rsidR="00655CB5">
        <w:t>núm.</w:t>
      </w:r>
      <w:r w:rsidRPr="00577EC9">
        <w:t xml:space="preserve"> ONU 3549</w:t>
      </w:r>
      <w:r w:rsidR="00655CB5">
        <w:t>”</w:t>
      </w:r>
      <w:r w:rsidRPr="00577EC9">
        <w:t>.</w:t>
      </w:r>
    </w:p>
    <w:p w14:paraId="3541F8C1" w14:textId="77777777" w:rsidR="00577EC9" w:rsidRPr="00577EC9" w:rsidRDefault="00577EC9" w:rsidP="00B45B6E">
      <w:pPr>
        <w:pStyle w:val="SingleTxtG"/>
        <w:tabs>
          <w:tab w:val="left" w:pos="2268"/>
        </w:tabs>
        <w:rPr>
          <w:lang w:val="en-GB"/>
        </w:rPr>
      </w:pPr>
      <w:r w:rsidRPr="00577EC9">
        <w:t>6.1.3.1</w:t>
      </w:r>
      <w:r w:rsidRPr="00577EC9">
        <w:tab/>
      </w:r>
      <w:r w:rsidRPr="00577EC9">
        <w:tab/>
        <w:t xml:space="preserve">Modifíquese la tercera frase para que diga lo siguiente: </w:t>
      </w:r>
    </w:p>
    <w:p w14:paraId="3EF0E5AC" w14:textId="77777777" w:rsidR="00577EC9" w:rsidRPr="00577EC9" w:rsidRDefault="00655CB5" w:rsidP="00577EC9">
      <w:pPr>
        <w:pStyle w:val="SingleTxtG"/>
        <w:rPr>
          <w:lang w:val="en-GB"/>
        </w:rPr>
      </w:pPr>
      <w:r>
        <w:t>“</w:t>
      </w:r>
      <w:r w:rsidR="00577EC9" w:rsidRPr="00577EC9">
        <w:t>Las letras, las cifras y los símbolos deberán medir 12 mm de altura como mínimo, salvo en los embalajes/envases de hasta 30 l de capacidad o hasta 30 kg de masa neta máxima, en los que su altura deberá ser de 6 mm como mínimo, así como en los embalajes/envases de hasta 5 l de capacidad o hasta 5 kg de masa neta máxima, en cuyo caso serán de un tamaño adecuado.</w:t>
      </w:r>
      <w:r>
        <w:t>”</w:t>
      </w:r>
    </w:p>
    <w:p w14:paraId="3AA7BDFE" w14:textId="77777777" w:rsidR="00577EC9" w:rsidRPr="00577EC9" w:rsidRDefault="00577EC9" w:rsidP="00577EC9">
      <w:pPr>
        <w:pStyle w:val="SingleTxtG"/>
        <w:rPr>
          <w:lang w:val="en-GB"/>
        </w:rPr>
      </w:pPr>
      <w:r w:rsidRPr="00577EC9">
        <w:t>6.1.3.1 e)</w:t>
      </w:r>
      <w:r w:rsidRPr="00577EC9">
        <w:tab/>
        <w:t>En el texto de la nota explicativa del asterisco, después del reloj, sustitúyase la segunda frase por la siguiente:</w:t>
      </w:r>
    </w:p>
    <w:p w14:paraId="50309031" w14:textId="77777777" w:rsidR="00577EC9" w:rsidRPr="00577EC9" w:rsidRDefault="00655CB5" w:rsidP="00577EC9">
      <w:pPr>
        <w:pStyle w:val="SingleTxtG"/>
        <w:rPr>
          <w:lang w:val="en-GB"/>
        </w:rPr>
      </w:pPr>
      <w:r>
        <w:t>“</w:t>
      </w:r>
      <w:r w:rsidR="00577EC9" w:rsidRPr="00577EC9">
        <w:t xml:space="preserve">En tal caso, y cuando el reloj esté situado junto a la marca </w:t>
      </w:r>
      <w:r w:rsidR="00B45B6E">
        <w:t>‘</w:t>
      </w:r>
      <w:r w:rsidR="00577EC9" w:rsidRPr="00577EC9">
        <w:t>UN</w:t>
      </w:r>
      <w:r w:rsidR="00B45B6E">
        <w:t>’</w:t>
      </w:r>
      <w:r w:rsidR="00577EC9" w:rsidRPr="00577EC9">
        <w:t xml:space="preserve"> del modelo tipo, se podrá prescindir de la indicación del año en la marca. Sin embargo, cuando el reloj no esté situado junto a la marca </w:t>
      </w:r>
      <w:r w:rsidR="00B45B6E">
        <w:t>‘</w:t>
      </w:r>
      <w:r w:rsidR="00577EC9" w:rsidRPr="00577EC9">
        <w:t>UN</w:t>
      </w:r>
      <w:r w:rsidR="00B45B6E">
        <w:t>’</w:t>
      </w:r>
      <w:r w:rsidR="00577EC9" w:rsidRPr="00577EC9">
        <w:t xml:space="preserve"> del modelo tipo, los dos dígitos del año en la marca y en el reloj deberán ser idénticos.</w:t>
      </w:r>
      <w:r>
        <w:t>”</w:t>
      </w:r>
    </w:p>
    <w:p w14:paraId="7218763F" w14:textId="77777777" w:rsidR="00577EC9" w:rsidRPr="00577EC9" w:rsidRDefault="00577EC9" w:rsidP="00577EC9">
      <w:pPr>
        <w:pStyle w:val="SingleTxtG"/>
        <w:rPr>
          <w:iCs/>
          <w:lang w:val="en-GB"/>
        </w:rPr>
      </w:pPr>
      <w:r w:rsidRPr="00577EC9">
        <w:t>Añádase el nuevo 6.1.3.13 siguiente:</w:t>
      </w:r>
    </w:p>
    <w:p w14:paraId="2F7D55E9" w14:textId="77777777" w:rsidR="00577EC9" w:rsidRPr="00577EC9" w:rsidRDefault="00655CB5" w:rsidP="00577EC9">
      <w:pPr>
        <w:pStyle w:val="SingleTxtG"/>
        <w:rPr>
          <w:iCs/>
          <w:lang w:val="en-GB"/>
        </w:rPr>
      </w:pPr>
      <w:r>
        <w:t>“</w:t>
      </w:r>
      <w:r w:rsidR="00577EC9" w:rsidRPr="00577EC9">
        <w:t>6.1.3.13</w:t>
      </w:r>
      <w:r w:rsidR="00577EC9" w:rsidRPr="00577EC9">
        <w:tab/>
        <w:t>Cuando un embalaje/envase se ajuste a un tipo o más de diseño de embalaje/envase probado, incluido un tipo o más de RIG o de diseño de embalaje/envase grande probado, el embalaje/envase podrá llevar más de una marca para indicar los requisitos de los ensayos pertinentes que haya superado. Cuando en un embalaje/envase aparezca más de una marca, las marcas deberán figurar muy cerca unas de otras y cada una de ellas deberá mostrarse en su totalidad.</w:t>
      </w:r>
      <w:r>
        <w:t>”</w:t>
      </w:r>
    </w:p>
    <w:p w14:paraId="76558B68" w14:textId="77777777" w:rsidR="00577EC9" w:rsidRPr="00577EC9" w:rsidRDefault="00577EC9" w:rsidP="00577EC9">
      <w:pPr>
        <w:pStyle w:val="SingleTxtG"/>
        <w:rPr>
          <w:iCs/>
          <w:lang w:val="en-GB"/>
        </w:rPr>
      </w:pPr>
      <w:r w:rsidRPr="00577EC9">
        <w:t>Añádase el nuevo 6.1.4.2.6 siguiente:</w:t>
      </w:r>
    </w:p>
    <w:p w14:paraId="4AD204B9" w14:textId="77777777" w:rsidR="00577EC9" w:rsidRPr="00577EC9" w:rsidRDefault="00655CB5" w:rsidP="00577EC9">
      <w:pPr>
        <w:pStyle w:val="SingleTxtG"/>
        <w:rPr>
          <w:lang w:val="en-GB"/>
        </w:rPr>
      </w:pPr>
      <w:r>
        <w:t>“</w:t>
      </w:r>
      <w:r w:rsidR="00577EC9" w:rsidRPr="00577EC9">
        <w:t>6.1.4.2.6</w:t>
      </w:r>
      <w:r w:rsidR="00577EC9" w:rsidRPr="00577EC9">
        <w:tab/>
        <w:t>Si los materiales utilizados para el cuerpo, la tapa, el fondo, los cierres y los accesorios no son compatibles con la sustancia que se ha de transportar, se aplicarán tratamientos o revestimientos interiores de protección apropiados. Esos tratamientos o revestimientos habrán de conservar sus propiedades de protección en las condiciones normales de transporte.</w:t>
      </w:r>
      <w:r>
        <w:t>”</w:t>
      </w:r>
    </w:p>
    <w:p w14:paraId="760C156E" w14:textId="77777777" w:rsidR="00577EC9" w:rsidRPr="00577EC9" w:rsidRDefault="00577EC9" w:rsidP="00577EC9">
      <w:pPr>
        <w:pStyle w:val="SingleTxtG"/>
        <w:rPr>
          <w:lang w:val="en-GB"/>
        </w:rPr>
      </w:pPr>
      <w:r w:rsidRPr="00577EC9">
        <w:t xml:space="preserve">Renumérense </w:t>
      </w:r>
      <w:r w:rsidR="00E740EA">
        <w:t>los actuales 6.1.4.2.6 y 6.1.4.</w:t>
      </w:r>
      <w:r w:rsidRPr="00577EC9">
        <w:t>2.7 como 6.1.4.2.7 y 6.1.4.2.8.</w:t>
      </w:r>
    </w:p>
    <w:p w14:paraId="489F1033" w14:textId="77777777" w:rsidR="00577EC9" w:rsidRPr="00577EC9" w:rsidRDefault="00577EC9" w:rsidP="00577EC9">
      <w:pPr>
        <w:pStyle w:val="SingleTxtG"/>
        <w:rPr>
          <w:iCs/>
          <w:lang w:val="en-GB"/>
        </w:rPr>
      </w:pPr>
      <w:r w:rsidRPr="00577EC9">
        <w:t>Añádase el nuevo 6.1.4.3.6 siguiente:</w:t>
      </w:r>
    </w:p>
    <w:p w14:paraId="193D5C75" w14:textId="77777777" w:rsidR="00577EC9" w:rsidRPr="00577EC9" w:rsidRDefault="00655CB5" w:rsidP="00577EC9">
      <w:pPr>
        <w:pStyle w:val="SingleTxtG"/>
        <w:rPr>
          <w:lang w:val="en-GB"/>
        </w:rPr>
      </w:pPr>
      <w:r>
        <w:t>“</w:t>
      </w:r>
      <w:r w:rsidR="00577EC9" w:rsidRPr="00577EC9">
        <w:t>6.1.4.3.6</w:t>
      </w:r>
      <w:r w:rsidR="00577EC9" w:rsidRPr="00577EC9">
        <w:tab/>
        <w:t>Si los materiales utilizados para el cuerpo, la tapa, el fondo, los cierres y los accesorios no son compatibles con la sustancia que se ha de transportar, se aplicarán tratamientos o revestimientos interiores de protección apropiados. Esos tratamientos o revestimientos habrán de conservar sus propiedades de protección en las condiciones normales de transporte.</w:t>
      </w:r>
      <w:r>
        <w:t>”</w:t>
      </w:r>
    </w:p>
    <w:p w14:paraId="6210A581" w14:textId="77777777" w:rsidR="00577EC9" w:rsidRPr="00577EC9" w:rsidRDefault="00577EC9" w:rsidP="00577EC9">
      <w:pPr>
        <w:pStyle w:val="SingleTxtG"/>
        <w:rPr>
          <w:lang w:val="en-GB"/>
        </w:rPr>
      </w:pPr>
      <w:r w:rsidRPr="00577EC9">
        <w:t>Renumérense los actuales 6.1.4.3.6 y 6.1.4.3.7 como 6.1.4.3.7 y 6.1.4.3.8.</w:t>
      </w:r>
    </w:p>
    <w:p w14:paraId="33AA3E20" w14:textId="77777777" w:rsidR="00577EC9" w:rsidRPr="00577EC9" w:rsidRDefault="00577EC9" w:rsidP="00A60A96">
      <w:pPr>
        <w:pStyle w:val="H1G"/>
        <w:rPr>
          <w:lang w:val="en-GB"/>
        </w:rPr>
      </w:pPr>
      <w:r w:rsidRPr="00577EC9">
        <w:tab/>
      </w:r>
      <w:r w:rsidRPr="00577EC9">
        <w:tab/>
        <w:t>Capítulo 6.2</w:t>
      </w:r>
    </w:p>
    <w:p w14:paraId="251E198F" w14:textId="77777777" w:rsidR="00577EC9" w:rsidRPr="00577EC9" w:rsidRDefault="00577EC9" w:rsidP="00577EC9">
      <w:pPr>
        <w:pStyle w:val="SingleTxtG"/>
        <w:rPr>
          <w:lang w:val="en-GB"/>
        </w:rPr>
      </w:pPr>
      <w:r w:rsidRPr="00577EC9">
        <w:t>6.2.2.1.1</w:t>
      </w:r>
      <w:r w:rsidRPr="00577EC9">
        <w:tab/>
        <w:t xml:space="preserve">En el cuadro, en las líneas correspondientes a las normas ISO 11119-3:2002 e ISO 11119-3:2013, añádase la siguiente nueva Nota en la segunda columna: </w:t>
      </w:r>
    </w:p>
    <w:p w14:paraId="0EC744D1" w14:textId="77777777" w:rsidR="00577EC9" w:rsidRPr="00577EC9" w:rsidRDefault="00655CB5" w:rsidP="00577EC9">
      <w:pPr>
        <w:pStyle w:val="SingleTxtG"/>
        <w:rPr>
          <w:lang w:val="en-GB"/>
        </w:rPr>
      </w:pPr>
      <w:r>
        <w:t>“</w:t>
      </w:r>
      <w:r w:rsidR="00577EC9" w:rsidRPr="00B45B6E">
        <w:rPr>
          <w:bCs/>
          <w:i/>
          <w:iCs/>
        </w:rPr>
        <w:t>NOTA</w:t>
      </w:r>
      <w:r w:rsidR="00577EC9" w:rsidRPr="00E740EA">
        <w:rPr>
          <w:i/>
        </w:rPr>
        <w:t>:</w:t>
      </w:r>
      <w:r w:rsidR="00577EC9" w:rsidRPr="00577EC9">
        <w:tab/>
        <w:t>Esta norma no se aplicará a las botellas sin revestimiento fabricadas a partir de dos partes unidas entre sí.</w:t>
      </w:r>
      <w:r>
        <w:t>”</w:t>
      </w:r>
    </w:p>
    <w:p w14:paraId="0DA7AC71" w14:textId="77777777" w:rsidR="00577EC9" w:rsidRDefault="00784BA1" w:rsidP="00D24E61">
      <w:pPr>
        <w:pStyle w:val="SingleTxtG"/>
        <w:keepNext/>
        <w:keepLines/>
      </w:pPr>
      <w:r>
        <w:lastRenderedPageBreak/>
        <w:t>6.2.2.1.1</w:t>
      </w:r>
      <w:r w:rsidR="00577EC9" w:rsidRPr="00577EC9">
        <w:tab/>
        <w:t>En el cuadro, después de la línea corre</w:t>
      </w:r>
      <w:r w:rsidR="00E740EA">
        <w:t>spondiente a la norma ISO 11119</w:t>
      </w:r>
      <w:r w:rsidR="00E740EA">
        <w:noBreakHyphen/>
      </w:r>
      <w:r w:rsidR="00577EC9" w:rsidRPr="00577EC9">
        <w:t>3:2013</w:t>
      </w:r>
      <w:r w:rsidR="00655CB5">
        <w:t>”</w:t>
      </w:r>
      <w:r w:rsidR="00577EC9" w:rsidRPr="00577EC9">
        <w:t>, añádase la nueva fila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536"/>
        <w:gridCol w:w="1275"/>
      </w:tblGrid>
      <w:tr w:rsidR="00577EC9" w:rsidRPr="00C54F00" w14:paraId="4F8991F3" w14:textId="77777777" w:rsidTr="00B45B6E">
        <w:tc>
          <w:tcPr>
            <w:tcW w:w="1668" w:type="dxa"/>
            <w:shd w:val="clear" w:color="auto" w:fill="auto"/>
          </w:tcPr>
          <w:p w14:paraId="748F2C76" w14:textId="77777777" w:rsidR="00577EC9" w:rsidRPr="00C54F00" w:rsidRDefault="00B45B6E" w:rsidP="00B45B6E">
            <w:pPr>
              <w:spacing w:before="120" w:after="120"/>
              <w:ind w:right="-108"/>
            </w:pPr>
            <w:r>
              <w:t>ISO 11119-4:</w:t>
            </w:r>
            <w:r w:rsidR="00577EC9">
              <w:t>2016</w:t>
            </w:r>
          </w:p>
        </w:tc>
        <w:tc>
          <w:tcPr>
            <w:tcW w:w="4536" w:type="dxa"/>
            <w:shd w:val="clear" w:color="auto" w:fill="auto"/>
          </w:tcPr>
          <w:p w14:paraId="33A99AA9" w14:textId="77777777" w:rsidR="00577EC9" w:rsidRPr="00B45B6E" w:rsidRDefault="00577EC9" w:rsidP="00B45B6E">
            <w:pPr>
              <w:spacing w:before="120" w:after="120"/>
            </w:pPr>
            <w:r>
              <w:t>Botellas de gas –</w:t>
            </w:r>
            <w:r w:rsidR="00655CB5">
              <w:t xml:space="preserve"> </w:t>
            </w:r>
            <w:r>
              <w:t xml:space="preserve">Botellas de gas rellenables de construcción compuesta – Diseño, construcción y ensayo </w:t>
            </w:r>
            <w:r w:rsidR="00B45B6E">
              <w:t>–</w:t>
            </w:r>
            <w:r>
              <w:t xml:space="preserve"> Parte 4: Botellas de gas de materiales compuestos reforzados con fibra y totalmente envueltos con un revestimiento metálico soldado que transmita la carga, de hasta 150 </w:t>
            </w:r>
            <w:r w:rsidR="00B45B6E">
              <w:rPr>
                <w:iCs/>
              </w:rPr>
              <w:t>l</w:t>
            </w:r>
          </w:p>
        </w:tc>
        <w:tc>
          <w:tcPr>
            <w:tcW w:w="1275" w:type="dxa"/>
            <w:shd w:val="clear" w:color="auto" w:fill="auto"/>
          </w:tcPr>
          <w:p w14:paraId="0C9F1F89" w14:textId="77777777" w:rsidR="00577EC9" w:rsidRPr="00C54F00" w:rsidRDefault="00577EC9" w:rsidP="00371851">
            <w:pPr>
              <w:spacing w:before="120" w:after="120"/>
            </w:pPr>
            <w:r>
              <w:t>Hasta nuevo aviso</w:t>
            </w:r>
          </w:p>
        </w:tc>
      </w:tr>
    </w:tbl>
    <w:p w14:paraId="6BB1068B" w14:textId="77777777" w:rsidR="00577EC9" w:rsidRPr="00577EC9" w:rsidRDefault="00577EC9" w:rsidP="00F117AA">
      <w:pPr>
        <w:pStyle w:val="SingleTxtG"/>
        <w:spacing w:before="240"/>
        <w:rPr>
          <w:lang w:val="en-GB"/>
        </w:rPr>
      </w:pPr>
      <w:r w:rsidRPr="00577EC9">
        <w:t>6.2.2.1.2</w:t>
      </w:r>
      <w:r w:rsidRPr="00577EC9">
        <w:tab/>
        <w:t>En el cuadro, en la línea correspondiente a la norma ISO 11119-3:2013, añádase la siguiente nueva Nota en la columna central:</w:t>
      </w:r>
    </w:p>
    <w:p w14:paraId="0154F896" w14:textId="77777777" w:rsidR="00577EC9" w:rsidRPr="00577EC9" w:rsidRDefault="00655CB5" w:rsidP="00577EC9">
      <w:pPr>
        <w:pStyle w:val="SingleTxtG"/>
        <w:rPr>
          <w:lang w:val="en-GB"/>
        </w:rPr>
      </w:pPr>
      <w:r>
        <w:t>“</w:t>
      </w:r>
      <w:r w:rsidR="00577EC9" w:rsidRPr="00B45B6E">
        <w:rPr>
          <w:bCs/>
          <w:i/>
          <w:iCs/>
        </w:rPr>
        <w:t>NOTA</w:t>
      </w:r>
      <w:r w:rsidR="00577EC9" w:rsidRPr="00B45B6E">
        <w:rPr>
          <w:i/>
        </w:rPr>
        <w:t>:</w:t>
      </w:r>
      <w:r w:rsidR="00577EC9" w:rsidRPr="00577EC9">
        <w:tab/>
        <w:t>Esta norma no se aplicará a las botellas sin revestimiento fabricadas a partir de dos partes unidas entre sí.</w:t>
      </w:r>
      <w:r>
        <w:t>”</w:t>
      </w:r>
    </w:p>
    <w:p w14:paraId="33D15029" w14:textId="77777777" w:rsidR="00577EC9" w:rsidRDefault="00577EC9" w:rsidP="00577EC9">
      <w:pPr>
        <w:pStyle w:val="SingleTxtG"/>
      </w:pPr>
      <w:r w:rsidRPr="00577EC9">
        <w:t>6.2.2.1.3</w:t>
      </w:r>
      <w:r w:rsidRPr="00577EC9">
        <w:tab/>
        <w:t xml:space="preserve">En la tabla, bajo el encabezamiento </w:t>
      </w:r>
      <w:r w:rsidR="00655CB5">
        <w:t>“</w:t>
      </w:r>
      <w:r w:rsidRPr="00577EC9">
        <w:t>Para el depósito de la botella</w:t>
      </w:r>
      <w:r w:rsidR="00655CB5">
        <w:t>”</w:t>
      </w:r>
      <w:r w:rsidRPr="00577EC9">
        <w:t xml:space="preserve">, añádanse al final las dos filas siguientes: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4"/>
        <w:gridCol w:w="4084"/>
        <w:gridCol w:w="1659"/>
      </w:tblGrid>
      <w:tr w:rsidR="00577EC9" w:rsidRPr="00C54F00" w14:paraId="41046E5F" w14:textId="77777777" w:rsidTr="00371851">
        <w:trPr>
          <w:trHeight w:val="262"/>
          <w:jc w:val="center"/>
        </w:trPr>
        <w:tc>
          <w:tcPr>
            <w:tcW w:w="1864" w:type="dxa"/>
            <w:tcMar>
              <w:top w:w="0" w:type="dxa"/>
              <w:left w:w="108" w:type="dxa"/>
              <w:bottom w:w="0" w:type="dxa"/>
              <w:right w:w="108" w:type="dxa"/>
            </w:tcMar>
            <w:hideMark/>
          </w:tcPr>
          <w:p w14:paraId="7FFCFB2D" w14:textId="77777777" w:rsidR="00577EC9" w:rsidRPr="000C4187" w:rsidRDefault="00577EC9" w:rsidP="00371851">
            <w:pPr>
              <w:rPr>
                <w:iCs/>
              </w:rPr>
            </w:pPr>
            <w:r w:rsidRPr="000C4187">
              <w:t>ISO 4706:2008</w:t>
            </w:r>
          </w:p>
        </w:tc>
        <w:tc>
          <w:tcPr>
            <w:tcW w:w="4084" w:type="dxa"/>
            <w:tcMar>
              <w:top w:w="0" w:type="dxa"/>
              <w:left w:w="108" w:type="dxa"/>
              <w:bottom w:w="0" w:type="dxa"/>
              <w:right w:w="108" w:type="dxa"/>
            </w:tcMar>
            <w:hideMark/>
          </w:tcPr>
          <w:p w14:paraId="273CE13A" w14:textId="77777777" w:rsidR="00577EC9" w:rsidRPr="000C4187" w:rsidRDefault="00577EC9" w:rsidP="00371851">
            <w:pPr>
              <w:pStyle w:val="NoSpacing"/>
              <w:rPr>
                <w:sz w:val="20"/>
                <w:szCs w:val="20"/>
              </w:rPr>
            </w:pPr>
            <w:r w:rsidRPr="000C4187">
              <w:rPr>
                <w:sz w:val="20"/>
                <w:szCs w:val="20"/>
                <w:lang w:val="es-ES"/>
              </w:rPr>
              <w:t>Botellas de gas - Botellas de gas rellenables, de acero y con soldadura - Presión de ensayo máxima de 60 bar</w:t>
            </w:r>
          </w:p>
        </w:tc>
        <w:tc>
          <w:tcPr>
            <w:tcW w:w="1659" w:type="dxa"/>
            <w:tcMar>
              <w:top w:w="0" w:type="dxa"/>
              <w:left w:w="108" w:type="dxa"/>
              <w:bottom w:w="0" w:type="dxa"/>
              <w:right w:w="108" w:type="dxa"/>
            </w:tcMar>
            <w:hideMark/>
          </w:tcPr>
          <w:p w14:paraId="65993147" w14:textId="77777777" w:rsidR="00577EC9" w:rsidRPr="00C54F00" w:rsidRDefault="00577EC9" w:rsidP="00371851">
            <w:pPr>
              <w:rPr>
                <w:iCs/>
              </w:rPr>
            </w:pPr>
            <w:r>
              <w:t>Hasta nuevo aviso</w:t>
            </w:r>
          </w:p>
        </w:tc>
      </w:tr>
      <w:tr w:rsidR="00577EC9" w:rsidRPr="00C54F00" w14:paraId="77CAAF5A" w14:textId="77777777" w:rsidTr="00371851">
        <w:trPr>
          <w:trHeight w:val="262"/>
          <w:jc w:val="center"/>
        </w:trPr>
        <w:tc>
          <w:tcPr>
            <w:tcW w:w="1864" w:type="dxa"/>
            <w:tcMar>
              <w:top w:w="0" w:type="dxa"/>
              <w:left w:w="108" w:type="dxa"/>
              <w:bottom w:w="0" w:type="dxa"/>
              <w:right w:w="108" w:type="dxa"/>
            </w:tcMar>
          </w:tcPr>
          <w:p w14:paraId="620B1CD5" w14:textId="77777777" w:rsidR="00577EC9" w:rsidRPr="000C4187" w:rsidRDefault="00577EC9" w:rsidP="00371851">
            <w:pPr>
              <w:rPr>
                <w:iCs/>
              </w:rPr>
            </w:pPr>
            <w:r w:rsidRPr="000C4187">
              <w:t>ISO 7866:2012 + Cor 1:2014</w:t>
            </w:r>
          </w:p>
        </w:tc>
        <w:tc>
          <w:tcPr>
            <w:tcW w:w="4084" w:type="dxa"/>
            <w:tcMar>
              <w:top w:w="0" w:type="dxa"/>
              <w:left w:w="108" w:type="dxa"/>
              <w:bottom w:w="0" w:type="dxa"/>
              <w:right w:w="108" w:type="dxa"/>
            </w:tcMar>
          </w:tcPr>
          <w:p w14:paraId="5F5E0DEA" w14:textId="77777777" w:rsidR="00577EC9" w:rsidRPr="000C4187" w:rsidRDefault="00577EC9" w:rsidP="00371851">
            <w:pPr>
              <w:pStyle w:val="NoSpacing"/>
              <w:rPr>
                <w:sz w:val="20"/>
                <w:szCs w:val="20"/>
              </w:rPr>
            </w:pPr>
            <w:r w:rsidRPr="000C4187">
              <w:rPr>
                <w:sz w:val="20"/>
                <w:szCs w:val="20"/>
                <w:lang w:val="es-ES"/>
              </w:rPr>
              <w:t>Botellas de gas – Botellas de gas rellenables, de aleación de aluminio sin soldaduras – Diseño, construcción y ensayo</w:t>
            </w:r>
          </w:p>
          <w:p w14:paraId="3648B17C" w14:textId="77777777" w:rsidR="00577EC9" w:rsidRPr="000C4187" w:rsidRDefault="00577EC9" w:rsidP="00371851">
            <w:pPr>
              <w:pStyle w:val="NoSpacing"/>
              <w:rPr>
                <w:i/>
                <w:sz w:val="20"/>
                <w:szCs w:val="20"/>
              </w:rPr>
            </w:pPr>
            <w:r w:rsidRPr="000C4187">
              <w:rPr>
                <w:i/>
                <w:iCs/>
                <w:sz w:val="20"/>
                <w:szCs w:val="20"/>
                <w:lang w:val="es-ES"/>
              </w:rPr>
              <w:t xml:space="preserve">NOTA: No se </w:t>
            </w:r>
            <w:r>
              <w:rPr>
                <w:i/>
                <w:iCs/>
                <w:sz w:val="20"/>
                <w:szCs w:val="20"/>
                <w:lang w:val="es-ES"/>
              </w:rPr>
              <w:t>utilizará</w:t>
            </w:r>
            <w:r w:rsidRPr="000C4187">
              <w:rPr>
                <w:i/>
                <w:iCs/>
                <w:sz w:val="20"/>
                <w:szCs w:val="20"/>
                <w:lang w:val="es-ES"/>
              </w:rPr>
              <w:t xml:space="preserve"> la aleación de aluminio 6351A – T6 o equivalente</w:t>
            </w:r>
          </w:p>
        </w:tc>
        <w:tc>
          <w:tcPr>
            <w:tcW w:w="1659" w:type="dxa"/>
            <w:tcMar>
              <w:top w:w="0" w:type="dxa"/>
              <w:left w:w="108" w:type="dxa"/>
              <w:bottom w:w="0" w:type="dxa"/>
              <w:right w:w="108" w:type="dxa"/>
            </w:tcMar>
          </w:tcPr>
          <w:p w14:paraId="1DCDB5F8" w14:textId="77777777" w:rsidR="00577EC9" w:rsidRPr="00C54F00" w:rsidRDefault="00577EC9" w:rsidP="00371851">
            <w:pPr>
              <w:rPr>
                <w:iCs/>
              </w:rPr>
            </w:pPr>
            <w:r>
              <w:t>Hasta nuevo aviso</w:t>
            </w:r>
          </w:p>
        </w:tc>
      </w:tr>
    </w:tbl>
    <w:p w14:paraId="35B5FBBE" w14:textId="77777777" w:rsidR="00577EC9" w:rsidRPr="00577EC9" w:rsidRDefault="00577EC9" w:rsidP="00F117AA">
      <w:pPr>
        <w:pStyle w:val="SingleTxtG"/>
        <w:spacing w:before="240"/>
        <w:rPr>
          <w:lang w:val="en-GB"/>
        </w:rPr>
      </w:pPr>
      <w:r w:rsidRPr="00577EC9">
        <w:t>6.2.2.1.3</w:t>
      </w:r>
      <w:r w:rsidRPr="00577EC9">
        <w:tab/>
        <w:t>Modifíquese el encabezamiento del segundo cuadro para que diga lo siguiente:</w:t>
      </w:r>
    </w:p>
    <w:p w14:paraId="21877F2B" w14:textId="77777777" w:rsidR="00577EC9" w:rsidRPr="00577EC9" w:rsidRDefault="00655CB5" w:rsidP="00577EC9">
      <w:pPr>
        <w:pStyle w:val="SingleTxtG"/>
        <w:rPr>
          <w:lang w:val="en-GB"/>
        </w:rPr>
      </w:pPr>
      <w:r>
        <w:t>“</w:t>
      </w:r>
      <w:r w:rsidR="00577EC9" w:rsidRPr="00577EC9">
        <w:t>Para la botella de acetileno, incluido el material poroso</w:t>
      </w:r>
      <w:r>
        <w:t>”</w:t>
      </w:r>
    </w:p>
    <w:p w14:paraId="6626519C" w14:textId="77777777" w:rsidR="00577EC9" w:rsidRPr="00577EC9" w:rsidRDefault="00577EC9" w:rsidP="00B45B6E">
      <w:pPr>
        <w:pStyle w:val="SingleTxtG"/>
        <w:tabs>
          <w:tab w:val="left" w:pos="2268"/>
        </w:tabs>
        <w:rPr>
          <w:bCs/>
          <w:lang w:val="en-GB"/>
        </w:rPr>
      </w:pPr>
      <w:r w:rsidRPr="00577EC9">
        <w:t>6.2.2.2</w:t>
      </w:r>
      <w:r w:rsidRPr="00577EC9">
        <w:tab/>
        <w:t xml:space="preserve">Sustitúyase </w:t>
      </w:r>
      <w:r w:rsidR="00655CB5">
        <w:t>“</w:t>
      </w:r>
      <w:r w:rsidRPr="00577EC9">
        <w:t>ISO 11114-1:2012</w:t>
      </w:r>
      <w:r w:rsidR="00655CB5">
        <w:t>”</w:t>
      </w:r>
      <w:r w:rsidRPr="00577EC9">
        <w:t xml:space="preserve"> por </w:t>
      </w:r>
      <w:r w:rsidR="00655CB5">
        <w:t>“</w:t>
      </w:r>
      <w:r w:rsidRPr="00577EC9">
        <w:t>ISO 11114-1:2012 + A1:2017</w:t>
      </w:r>
      <w:r w:rsidR="00655CB5">
        <w:t>”</w:t>
      </w:r>
      <w:r w:rsidRPr="00577EC9">
        <w:t>.</w:t>
      </w:r>
    </w:p>
    <w:p w14:paraId="6715C854" w14:textId="77777777" w:rsidR="00577EC9" w:rsidRDefault="00577EC9" w:rsidP="00B45B6E">
      <w:pPr>
        <w:pStyle w:val="SingleTxtG"/>
        <w:tabs>
          <w:tab w:val="left" w:pos="2268"/>
        </w:tabs>
      </w:pPr>
      <w:r w:rsidRPr="00577EC9">
        <w:t>6.2.2.3</w:t>
      </w:r>
      <w:r w:rsidRPr="00577EC9">
        <w:tab/>
      </w:r>
      <w:r w:rsidRPr="00577EC9">
        <w:tab/>
        <w:t xml:space="preserve">En el primer cuadro, en la fila correspondiente a la norma ISO 10297:2014, en la columna titulada </w:t>
      </w:r>
      <w:r w:rsidR="00655CB5">
        <w:t>“</w:t>
      </w:r>
      <w:r w:rsidRPr="00577EC9">
        <w:t>Aplicable a la fabricación</w:t>
      </w:r>
      <w:r w:rsidR="00655CB5">
        <w:t>”</w:t>
      </w:r>
      <w:r w:rsidRPr="00577EC9">
        <w:t xml:space="preserve">, sustitúyase </w:t>
      </w:r>
      <w:r w:rsidR="00655CB5">
        <w:t>“</w:t>
      </w:r>
      <w:r w:rsidRPr="00577EC9">
        <w:t>Hasta nuevo aviso</w:t>
      </w:r>
      <w:r w:rsidR="00655CB5">
        <w:t>”</w:t>
      </w:r>
      <w:r w:rsidRPr="00577EC9">
        <w:t xml:space="preserve"> por </w:t>
      </w:r>
      <w:r w:rsidR="00655CB5">
        <w:t>“</w:t>
      </w:r>
      <w:r w:rsidRPr="00577EC9">
        <w:t>Hasta el 31 de diciembre de 2022</w:t>
      </w:r>
      <w:r w:rsidR="00655CB5">
        <w:t>”</w:t>
      </w:r>
      <w:r w:rsidRPr="00577EC9">
        <w:t xml:space="preserve">. Después de la fila correspondiente a </w:t>
      </w:r>
      <w:r w:rsidR="00655CB5">
        <w:t>“</w:t>
      </w:r>
      <w:r w:rsidR="00B45B6E">
        <w:t>ISO </w:t>
      </w:r>
      <w:r w:rsidRPr="00577EC9">
        <w:t>10297:2014</w:t>
      </w:r>
      <w:r w:rsidR="00655CB5">
        <w:t>”</w:t>
      </w:r>
      <w:r w:rsidRPr="00577EC9">
        <w:t>, añádase una línea nueva que diga lo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140"/>
        <w:gridCol w:w="1598"/>
      </w:tblGrid>
      <w:tr w:rsidR="00577EC9" w:rsidRPr="00C54F00" w14:paraId="5078416B" w14:textId="77777777" w:rsidTr="00371851">
        <w:tc>
          <w:tcPr>
            <w:tcW w:w="1741" w:type="dxa"/>
            <w:shd w:val="clear" w:color="auto" w:fill="auto"/>
          </w:tcPr>
          <w:p w14:paraId="49B3259E" w14:textId="77777777" w:rsidR="00577EC9" w:rsidRPr="00C54F00" w:rsidRDefault="00577EC9" w:rsidP="00371851">
            <w:r>
              <w:t>ISO 10297:2014 + A1:2017</w:t>
            </w:r>
          </w:p>
        </w:tc>
        <w:tc>
          <w:tcPr>
            <w:tcW w:w="4140" w:type="dxa"/>
            <w:shd w:val="clear" w:color="auto" w:fill="auto"/>
          </w:tcPr>
          <w:p w14:paraId="78B6F5D6" w14:textId="77777777" w:rsidR="00577EC9" w:rsidRPr="00C54F00" w:rsidRDefault="00577EC9" w:rsidP="00371851">
            <w:pPr>
              <w:jc w:val="both"/>
            </w:pPr>
            <w:r>
              <w:t>Botellas de gas – Válvulas de botellas de gas – Especificaciones y ensayos de tipo</w:t>
            </w:r>
          </w:p>
        </w:tc>
        <w:tc>
          <w:tcPr>
            <w:tcW w:w="1598" w:type="dxa"/>
            <w:shd w:val="clear" w:color="auto" w:fill="auto"/>
          </w:tcPr>
          <w:p w14:paraId="1E0211F9" w14:textId="77777777" w:rsidR="00577EC9" w:rsidRPr="00C54F00" w:rsidRDefault="00577EC9" w:rsidP="00371851">
            <w:r>
              <w:t>Hasta nuevo aviso</w:t>
            </w:r>
          </w:p>
        </w:tc>
      </w:tr>
    </w:tbl>
    <w:p w14:paraId="3072760C" w14:textId="77777777" w:rsidR="00577EC9" w:rsidRDefault="00E740EA" w:rsidP="00784BA1">
      <w:pPr>
        <w:pStyle w:val="SingleTxtG"/>
        <w:tabs>
          <w:tab w:val="left" w:pos="2268"/>
        </w:tabs>
        <w:spacing w:before="240"/>
      </w:pPr>
      <w:r>
        <w:t>6.2.2.3</w:t>
      </w:r>
      <w:r w:rsidR="00577EC9" w:rsidRPr="00577EC9">
        <w:tab/>
        <w:t xml:space="preserve">En el primer cuadro, en la fila correspondiente a la norma ISO 14246:2014, sustitúyase </w:t>
      </w:r>
      <w:r w:rsidR="00655CB5">
        <w:t>“</w:t>
      </w:r>
      <w:r w:rsidR="00577EC9" w:rsidRPr="00577EC9">
        <w:t>Hasta nuevo aviso</w:t>
      </w:r>
      <w:r w:rsidR="00655CB5">
        <w:t>”</w:t>
      </w:r>
      <w:r w:rsidR="00577EC9" w:rsidRPr="00577EC9">
        <w:t xml:space="preserve"> por </w:t>
      </w:r>
      <w:r w:rsidR="00655CB5">
        <w:t>“</w:t>
      </w:r>
      <w:r w:rsidR="00577EC9" w:rsidRPr="00577EC9">
        <w:t>Hasta el 31 de diciembre de 2024</w:t>
      </w:r>
      <w:r w:rsidR="00655CB5">
        <w:t>”</w:t>
      </w:r>
      <w:r w:rsidR="00577EC9" w:rsidRPr="00577EC9">
        <w:t xml:space="preserve">. Después de la fila correspondiente a ISO 14246:2014, insértese la nueva fila siguiente: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140"/>
        <w:gridCol w:w="1620"/>
      </w:tblGrid>
      <w:tr w:rsidR="00577EC9" w:rsidRPr="00C54F00" w14:paraId="49E445AF" w14:textId="77777777" w:rsidTr="00371851">
        <w:tc>
          <w:tcPr>
            <w:tcW w:w="1741" w:type="dxa"/>
            <w:shd w:val="clear" w:color="auto" w:fill="auto"/>
          </w:tcPr>
          <w:p w14:paraId="32276B79" w14:textId="77777777" w:rsidR="00577EC9" w:rsidRPr="00C54F00" w:rsidRDefault="00577EC9" w:rsidP="00371851">
            <w:pPr>
              <w:spacing w:before="120" w:after="120"/>
            </w:pPr>
            <w:r>
              <w:t xml:space="preserve">ISO 14246:2014 + A1:2017 </w:t>
            </w:r>
          </w:p>
        </w:tc>
        <w:tc>
          <w:tcPr>
            <w:tcW w:w="4140" w:type="dxa"/>
            <w:shd w:val="clear" w:color="auto" w:fill="auto"/>
          </w:tcPr>
          <w:p w14:paraId="2D52D4E1" w14:textId="77777777" w:rsidR="00577EC9" w:rsidRPr="00C54F00" w:rsidRDefault="00B45B6E" w:rsidP="00371851">
            <w:pPr>
              <w:spacing w:before="120" w:after="120"/>
            </w:pPr>
            <w:r>
              <w:t>Botellas de gas – Válvulas de botellas –</w:t>
            </w:r>
            <w:r w:rsidR="00577EC9">
              <w:t xml:space="preserve"> Exámenes y pruebas de fabricación</w:t>
            </w:r>
          </w:p>
        </w:tc>
        <w:tc>
          <w:tcPr>
            <w:tcW w:w="1620" w:type="dxa"/>
            <w:shd w:val="clear" w:color="auto" w:fill="auto"/>
          </w:tcPr>
          <w:p w14:paraId="5DBD7FFF" w14:textId="77777777" w:rsidR="00577EC9" w:rsidRPr="00C54F00" w:rsidRDefault="00577EC9" w:rsidP="00371851">
            <w:pPr>
              <w:spacing w:before="120" w:after="120"/>
            </w:pPr>
            <w:r>
              <w:t>Hasta nuevo aviso</w:t>
            </w:r>
          </w:p>
        </w:tc>
      </w:tr>
    </w:tbl>
    <w:p w14:paraId="55522191" w14:textId="77777777" w:rsidR="00577EC9" w:rsidRDefault="00577EC9" w:rsidP="00784BA1">
      <w:pPr>
        <w:pStyle w:val="SingleTxtG"/>
        <w:tabs>
          <w:tab w:val="left" w:pos="2268"/>
        </w:tabs>
        <w:spacing w:before="240"/>
      </w:pPr>
      <w:r w:rsidRPr="00577EC9">
        <w:t>6.2.2.3</w:t>
      </w:r>
      <w:r w:rsidRPr="00577EC9">
        <w:tab/>
      </w:r>
      <w:r w:rsidRPr="00577EC9">
        <w:tab/>
        <w:t>En el primer cuadro, añádase la nueva fila siguiente:</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4540"/>
        <w:gridCol w:w="1359"/>
      </w:tblGrid>
      <w:tr w:rsidR="00577EC9" w:rsidRPr="00C54F00" w14:paraId="180394B2" w14:textId="77777777" w:rsidTr="00371851">
        <w:trPr>
          <w:trHeight w:val="463"/>
        </w:trPr>
        <w:tc>
          <w:tcPr>
            <w:tcW w:w="1663" w:type="dxa"/>
            <w:shd w:val="clear" w:color="auto" w:fill="auto"/>
          </w:tcPr>
          <w:p w14:paraId="4ADE8D18" w14:textId="77777777" w:rsidR="00577EC9" w:rsidRPr="00C54F00" w:rsidRDefault="00B45B6E" w:rsidP="00371851">
            <w:r>
              <w:t>ISO 1787</w:t>
            </w:r>
            <w:r w:rsidR="00577EC9">
              <w:t>9:2017</w:t>
            </w:r>
          </w:p>
        </w:tc>
        <w:tc>
          <w:tcPr>
            <w:tcW w:w="4540" w:type="dxa"/>
            <w:shd w:val="clear" w:color="auto" w:fill="auto"/>
          </w:tcPr>
          <w:p w14:paraId="56D7AE41" w14:textId="77777777" w:rsidR="00577EC9" w:rsidRPr="00C54F00" w:rsidRDefault="00577EC9" w:rsidP="00371851">
            <w:r>
              <w:t>Botellas de gas – Válvulas de botellas de gas de cierre automático – Especificaciones y ensayos de tipo</w:t>
            </w:r>
          </w:p>
          <w:p w14:paraId="2B44D9F8" w14:textId="77777777" w:rsidR="00577EC9" w:rsidRPr="00C54F00" w:rsidRDefault="00577EC9" w:rsidP="00371851">
            <w:pPr>
              <w:rPr>
                <w:i/>
              </w:rPr>
            </w:pPr>
            <w:r>
              <w:rPr>
                <w:i/>
                <w:iCs/>
              </w:rPr>
              <w:t>NOTA: Esta norma no se aplicará a las válvulas de cierre automático en botellas de acetileno.</w:t>
            </w:r>
            <w:r>
              <w:t xml:space="preserve"> </w:t>
            </w:r>
          </w:p>
        </w:tc>
        <w:tc>
          <w:tcPr>
            <w:tcW w:w="1359" w:type="dxa"/>
            <w:shd w:val="clear" w:color="auto" w:fill="auto"/>
          </w:tcPr>
          <w:p w14:paraId="0B6AB738" w14:textId="77777777" w:rsidR="00577EC9" w:rsidRPr="00C54F00" w:rsidRDefault="00577EC9" w:rsidP="00371851">
            <w:r>
              <w:t>Hasta nuevo aviso</w:t>
            </w:r>
          </w:p>
        </w:tc>
      </w:tr>
    </w:tbl>
    <w:p w14:paraId="5C6C30BA" w14:textId="77777777" w:rsidR="00577EC9" w:rsidRPr="00577EC9" w:rsidRDefault="00784BA1" w:rsidP="00D24E61">
      <w:pPr>
        <w:pStyle w:val="SingleTxtG"/>
        <w:keepNext/>
        <w:keepLines/>
        <w:tabs>
          <w:tab w:val="left" w:pos="2268"/>
        </w:tabs>
        <w:spacing w:before="240"/>
        <w:rPr>
          <w:lang w:val="en-GB"/>
        </w:rPr>
      </w:pPr>
      <w:r>
        <w:lastRenderedPageBreak/>
        <w:t>6.2.2.4</w:t>
      </w:r>
      <w:r w:rsidR="00577EC9" w:rsidRPr="00577EC9">
        <w:tab/>
        <w:t>Suprímase la fila correspondiente a la norma ISO 10462:2005.</w:t>
      </w:r>
    </w:p>
    <w:p w14:paraId="3D963506" w14:textId="77777777" w:rsidR="00577EC9" w:rsidRDefault="00577EC9" w:rsidP="00D24E61">
      <w:pPr>
        <w:pStyle w:val="SingleTxtG"/>
        <w:keepNext/>
        <w:keepLines/>
      </w:pPr>
      <w:r w:rsidRPr="00577EC9">
        <w:t>Al final del primer cuadro, inmediatamente después de la fila correspondiente a la norma ISO 22434:2006, añádase la nueva fila siguiente: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577EC9" w:rsidRPr="00C54F00" w14:paraId="0F97C29E" w14:textId="77777777" w:rsidTr="00371851">
        <w:tc>
          <w:tcPr>
            <w:tcW w:w="1544" w:type="dxa"/>
            <w:shd w:val="clear" w:color="auto" w:fill="auto"/>
          </w:tcPr>
          <w:p w14:paraId="467CFEC5" w14:textId="77777777" w:rsidR="00577EC9" w:rsidRPr="00C54F00" w:rsidRDefault="00577EC9" w:rsidP="00371851">
            <w:r>
              <w:t>ISO 20475:2018</w:t>
            </w:r>
          </w:p>
        </w:tc>
        <w:tc>
          <w:tcPr>
            <w:tcW w:w="4820" w:type="dxa"/>
            <w:shd w:val="clear" w:color="auto" w:fill="auto"/>
          </w:tcPr>
          <w:p w14:paraId="4446B25E" w14:textId="77777777" w:rsidR="00577EC9" w:rsidRPr="00C54F00" w:rsidRDefault="00577EC9" w:rsidP="00371851">
            <w:r>
              <w:t>Botellas de gas – Bloques de botellas –</w:t>
            </w:r>
            <w:r w:rsidR="00655CB5">
              <w:t xml:space="preserve"> </w:t>
            </w:r>
            <w:r>
              <w:t>Inspección y ensayo periódicos</w:t>
            </w:r>
          </w:p>
        </w:tc>
        <w:tc>
          <w:tcPr>
            <w:tcW w:w="1275" w:type="dxa"/>
            <w:shd w:val="clear" w:color="auto" w:fill="auto"/>
          </w:tcPr>
          <w:p w14:paraId="6735A214" w14:textId="77777777" w:rsidR="00577EC9" w:rsidRPr="00C54F00" w:rsidRDefault="00577EC9" w:rsidP="00371851">
            <w:r>
              <w:t>Hasta nuevo aviso</w:t>
            </w:r>
          </w:p>
        </w:tc>
      </w:tr>
    </w:tbl>
    <w:p w14:paraId="4C11E9B6" w14:textId="77777777" w:rsidR="00577EC9" w:rsidRPr="00577EC9" w:rsidRDefault="00577EC9" w:rsidP="00F117AA">
      <w:pPr>
        <w:pStyle w:val="SingleTxtG"/>
        <w:spacing w:before="240"/>
        <w:rPr>
          <w:lang w:val="en-GB"/>
        </w:rPr>
      </w:pPr>
      <w:r w:rsidRPr="00577EC9">
        <w:t>6.2.2.7.2 c)</w:t>
      </w:r>
      <w:r w:rsidRPr="00577EC9">
        <w:tab/>
        <w:t>Al final, añádase la nueva nota siguiente:</w:t>
      </w:r>
    </w:p>
    <w:p w14:paraId="663FBB70" w14:textId="77777777" w:rsidR="00577EC9" w:rsidRPr="00577EC9" w:rsidRDefault="00655CB5" w:rsidP="00577EC9">
      <w:pPr>
        <w:pStyle w:val="SingleTxtG"/>
        <w:rPr>
          <w:lang w:val="en-GB"/>
        </w:rPr>
      </w:pPr>
      <w:r>
        <w:t>“</w:t>
      </w:r>
      <w:r w:rsidR="00577EC9" w:rsidRPr="00B45B6E">
        <w:rPr>
          <w:i/>
          <w:iCs/>
        </w:rPr>
        <w:t>NOTA</w:t>
      </w:r>
      <w:r w:rsidR="00577EC9" w:rsidRPr="00577EC9">
        <w:rPr>
          <w:i/>
          <w:iCs/>
        </w:rPr>
        <w:t>:</w:t>
      </w:r>
      <w:r w:rsidR="00577EC9" w:rsidRPr="00577EC9">
        <w:t xml:space="preserve"> </w:t>
      </w:r>
      <w:r w:rsidR="00577EC9" w:rsidRPr="00577EC9">
        <w:tab/>
        <w:t>A efectos de esta marca, el país de certificación es el país de la autoridad competente que autorizó la inspección y el ensayo iniciales del recipiente en el momento de su fabricación</w:t>
      </w:r>
      <w:r w:rsidR="00B45B6E">
        <w:t>.</w:t>
      </w:r>
      <w:r>
        <w:t>”</w:t>
      </w:r>
    </w:p>
    <w:p w14:paraId="3606AD1A" w14:textId="77777777" w:rsidR="00577EC9" w:rsidRPr="00577EC9" w:rsidRDefault="00577EC9" w:rsidP="00577EC9">
      <w:pPr>
        <w:pStyle w:val="SingleTxtG"/>
        <w:rPr>
          <w:lang w:val="en-GB"/>
        </w:rPr>
      </w:pPr>
      <w:r w:rsidRPr="00577EC9">
        <w:t>6.2.2.9.2 c)</w:t>
      </w:r>
      <w:r w:rsidRPr="00577EC9">
        <w:tab/>
        <w:t>Al final, añádase la nueva nota siguiente:</w:t>
      </w:r>
    </w:p>
    <w:p w14:paraId="392B8A20" w14:textId="77777777" w:rsidR="00577EC9" w:rsidRPr="00577EC9" w:rsidRDefault="00655CB5" w:rsidP="00577EC9">
      <w:pPr>
        <w:pStyle w:val="SingleTxtG"/>
        <w:rPr>
          <w:lang w:val="en-GB"/>
        </w:rPr>
      </w:pPr>
      <w:r>
        <w:t>“</w:t>
      </w:r>
      <w:r w:rsidR="00577EC9" w:rsidRPr="00B45B6E">
        <w:rPr>
          <w:i/>
          <w:iCs/>
        </w:rPr>
        <w:t>NOTA</w:t>
      </w:r>
      <w:r w:rsidR="00577EC9" w:rsidRPr="00577EC9">
        <w:rPr>
          <w:i/>
          <w:iCs/>
        </w:rPr>
        <w:t>:</w:t>
      </w:r>
      <w:r w:rsidR="00577EC9" w:rsidRPr="00577EC9">
        <w:t xml:space="preserve"> </w:t>
      </w:r>
      <w:r w:rsidR="00577EC9" w:rsidRPr="00577EC9">
        <w:tab/>
        <w:t>A efectos de esta marca, el país de certificación es el país de la autoridad competente que autorizó la inspección y el ensayo iniciales del recipiente en el momento de su fabricación</w:t>
      </w:r>
      <w:r w:rsidR="00B45B6E">
        <w:t>.</w:t>
      </w:r>
      <w:r>
        <w:t>”</w:t>
      </w:r>
    </w:p>
    <w:p w14:paraId="565EB2A2" w14:textId="77777777" w:rsidR="00577EC9" w:rsidRPr="00577EC9" w:rsidRDefault="00577EC9" w:rsidP="00F117AA">
      <w:pPr>
        <w:pStyle w:val="H1G"/>
        <w:rPr>
          <w:lang w:val="en-GB"/>
        </w:rPr>
      </w:pPr>
      <w:r w:rsidRPr="00577EC9">
        <w:tab/>
      </w:r>
      <w:r w:rsidRPr="00577EC9">
        <w:tab/>
        <w:t>Capítulo 6.3</w:t>
      </w:r>
    </w:p>
    <w:p w14:paraId="09F7D5DC" w14:textId="77777777" w:rsidR="00577EC9" w:rsidRPr="00577EC9" w:rsidRDefault="00577EC9" w:rsidP="00577EC9">
      <w:pPr>
        <w:pStyle w:val="SingleTxtG"/>
        <w:rPr>
          <w:lang w:val="en-GB"/>
        </w:rPr>
      </w:pPr>
      <w:r w:rsidRPr="00577EC9">
        <w:t xml:space="preserve">En el título del capítulo 6.3, al final, añádase </w:t>
      </w:r>
      <w:r w:rsidR="00655CB5">
        <w:t>“</w:t>
      </w:r>
      <w:r w:rsidRPr="00577EC9">
        <w:t xml:space="preserve">(, </w:t>
      </w:r>
      <w:r w:rsidR="00655CB5">
        <w:t>núms.</w:t>
      </w:r>
      <w:r w:rsidRPr="00577EC9">
        <w:t xml:space="preserve"> ONU 2814 y 2900)</w:t>
      </w:r>
      <w:r w:rsidR="00655CB5">
        <w:t>”</w:t>
      </w:r>
      <w:r w:rsidRPr="00577EC9">
        <w:t>.</w:t>
      </w:r>
    </w:p>
    <w:p w14:paraId="03D406B5" w14:textId="77777777" w:rsidR="00577EC9" w:rsidRPr="00577EC9" w:rsidRDefault="00577EC9" w:rsidP="00784BA1">
      <w:pPr>
        <w:pStyle w:val="SingleTxtG"/>
        <w:tabs>
          <w:tab w:val="left" w:pos="2268"/>
        </w:tabs>
        <w:rPr>
          <w:lang w:val="en-GB"/>
        </w:rPr>
      </w:pPr>
      <w:r w:rsidRPr="00577EC9">
        <w:t>6.3.1.1</w:t>
      </w:r>
      <w:r w:rsidRPr="00577EC9">
        <w:tab/>
      </w:r>
      <w:r w:rsidRPr="00577EC9">
        <w:tab/>
        <w:t xml:space="preserve">Al final, añádase </w:t>
      </w:r>
      <w:r w:rsidR="00655CB5">
        <w:t>“</w:t>
      </w:r>
      <w:r w:rsidRPr="00577EC9">
        <w:t xml:space="preserve">, </w:t>
      </w:r>
      <w:r w:rsidR="00655CB5">
        <w:t>núms.</w:t>
      </w:r>
      <w:r w:rsidRPr="00577EC9">
        <w:t xml:space="preserve"> ONU 2814 y 2900</w:t>
      </w:r>
      <w:r w:rsidR="00655CB5">
        <w:t>”</w:t>
      </w:r>
      <w:r w:rsidRPr="00577EC9">
        <w:t>.</w:t>
      </w:r>
    </w:p>
    <w:p w14:paraId="7812008D" w14:textId="77777777" w:rsidR="00577EC9" w:rsidRPr="00577EC9" w:rsidRDefault="00577EC9" w:rsidP="00784BA1">
      <w:pPr>
        <w:pStyle w:val="SingleTxtG"/>
        <w:tabs>
          <w:tab w:val="left" w:pos="2268"/>
        </w:tabs>
        <w:rPr>
          <w:lang w:val="en-GB"/>
        </w:rPr>
      </w:pPr>
      <w:r w:rsidRPr="00577EC9">
        <w:t>6.3.4.1</w:t>
      </w:r>
      <w:r w:rsidRPr="00577EC9">
        <w:tab/>
      </w:r>
      <w:r w:rsidRPr="00577EC9">
        <w:tab/>
        <w:t>Modifíquese la tercera frase para que diga lo siguiente:</w:t>
      </w:r>
    </w:p>
    <w:p w14:paraId="65AC2744" w14:textId="77777777" w:rsidR="00577EC9" w:rsidRPr="00577EC9" w:rsidRDefault="00655CB5" w:rsidP="00577EC9">
      <w:pPr>
        <w:pStyle w:val="SingleTxtG"/>
        <w:rPr>
          <w:lang w:val="en-GB"/>
        </w:rPr>
      </w:pPr>
      <w:r>
        <w:t>“</w:t>
      </w:r>
      <w:r w:rsidR="00577EC9" w:rsidRPr="00577EC9">
        <w:t>Las letras, las cifras y los símbolos deberán medir 12 mm de altura como mínimo, salvo en los embalajes/envases de hasta 30 l de capacidad o 30 kg de masa neta máxima, en los que su altura deberá ser de 6 mm como mínimo, así como en los embalajes/envases de hasta 5 l de capacidad o hasta 5 kg de masa neta máxima, en cuyo caso serán de un tamaño adecuado.</w:t>
      </w:r>
      <w:r>
        <w:t>”</w:t>
      </w:r>
    </w:p>
    <w:p w14:paraId="186B5A42" w14:textId="77777777" w:rsidR="00577EC9" w:rsidRPr="00577EC9" w:rsidRDefault="00577EC9" w:rsidP="00577EC9">
      <w:pPr>
        <w:pStyle w:val="SingleTxtG"/>
        <w:rPr>
          <w:lang w:val="en-GB"/>
        </w:rPr>
      </w:pPr>
      <w:r w:rsidRPr="00577EC9">
        <w:t>6.3.5.2.2</w:t>
      </w:r>
      <w:r w:rsidRPr="00577EC9">
        <w:tab/>
        <w:t xml:space="preserve">En </w:t>
      </w:r>
      <w:r w:rsidR="00655CB5" w:rsidRPr="0000583D">
        <w:rPr>
          <w:i/>
        </w:rPr>
        <w:t>“</w:t>
      </w:r>
      <w:r w:rsidRPr="0000583D">
        <w:rPr>
          <w:i/>
          <w:iCs/>
        </w:rPr>
        <w:t>Explicación para el uso del cuadro</w:t>
      </w:r>
      <w:r w:rsidR="00655CB5" w:rsidRPr="0000583D">
        <w:rPr>
          <w:i/>
        </w:rPr>
        <w:t>”</w:t>
      </w:r>
      <w:r w:rsidRPr="00577EC9">
        <w:t xml:space="preserve">, al final del primer párrafo, suprímase </w:t>
      </w:r>
      <w:r w:rsidR="00655CB5">
        <w:t>“</w:t>
      </w:r>
      <w:r w:rsidRPr="00577EC9">
        <w:t>cinco veces después de ser acondicionada</w:t>
      </w:r>
      <w:r w:rsidR="00655CB5">
        <w:t>”</w:t>
      </w:r>
      <w:r w:rsidRPr="00577EC9">
        <w:t xml:space="preserve">. </w:t>
      </w:r>
    </w:p>
    <w:p w14:paraId="697267CC" w14:textId="77777777" w:rsidR="00577EC9" w:rsidRPr="00577EC9" w:rsidRDefault="00577EC9" w:rsidP="00577EC9">
      <w:pPr>
        <w:pStyle w:val="SingleTxtG"/>
        <w:rPr>
          <w:lang w:val="en-GB"/>
        </w:rPr>
      </w:pPr>
      <w:r w:rsidRPr="00577EC9">
        <w:t>6.3.5.3.1</w:t>
      </w:r>
      <w:r w:rsidRPr="00577EC9">
        <w:tab/>
        <w:t xml:space="preserve">Añádase a este párrafo el siguiente nuevo título: </w:t>
      </w:r>
      <w:r w:rsidR="00655CB5">
        <w:t>“</w:t>
      </w:r>
      <w:r w:rsidRPr="00577EC9">
        <w:t>Altura de caída y objetivo</w:t>
      </w:r>
      <w:r w:rsidR="00655CB5">
        <w:t>”</w:t>
      </w:r>
      <w:r w:rsidRPr="00577EC9">
        <w:t>.</w:t>
      </w:r>
    </w:p>
    <w:p w14:paraId="6504E46F" w14:textId="77777777" w:rsidR="00577EC9" w:rsidRPr="00577EC9" w:rsidRDefault="00577EC9" w:rsidP="00577EC9">
      <w:pPr>
        <w:pStyle w:val="SingleTxtG"/>
        <w:rPr>
          <w:lang w:val="en-GB"/>
        </w:rPr>
      </w:pPr>
      <w:r w:rsidRPr="00577EC9">
        <w:t>6.3.5.3.2</w:t>
      </w:r>
      <w:r w:rsidRPr="00577EC9">
        <w:tab/>
        <w:t xml:space="preserve">Añádase a este párrafo el siguiente nuevo título: </w:t>
      </w:r>
      <w:r w:rsidR="00655CB5">
        <w:t>“</w:t>
      </w:r>
      <w:r w:rsidRPr="00577EC9">
        <w:t>Número de muestras de ensayo y orientación de la caída</w:t>
      </w:r>
      <w:r w:rsidR="00655CB5">
        <w:t>”</w:t>
      </w:r>
      <w:r w:rsidRPr="00577EC9">
        <w:t xml:space="preserve">. Renumérese el texto de este párrafo como </w:t>
      </w:r>
      <w:r w:rsidR="00655CB5">
        <w:t>“</w:t>
      </w:r>
      <w:r w:rsidRPr="00577EC9">
        <w:t>6.3.5.3.2.1</w:t>
      </w:r>
      <w:r w:rsidR="00655CB5">
        <w:t>”</w:t>
      </w:r>
      <w:r w:rsidRPr="00577EC9">
        <w:t>.</w:t>
      </w:r>
    </w:p>
    <w:p w14:paraId="07BC62AD" w14:textId="77777777" w:rsidR="00577EC9" w:rsidRPr="00577EC9" w:rsidRDefault="00577EC9" w:rsidP="00577EC9">
      <w:pPr>
        <w:pStyle w:val="SingleTxtG"/>
        <w:rPr>
          <w:lang w:val="en-GB"/>
        </w:rPr>
      </w:pPr>
      <w:r w:rsidRPr="00577EC9">
        <w:t>6.3.5.3.3</w:t>
      </w:r>
      <w:r w:rsidRPr="00577EC9">
        <w:tab/>
        <w:t>Renumérese como 6.3.5.3.2.2.</w:t>
      </w:r>
    </w:p>
    <w:p w14:paraId="61222CFC" w14:textId="77777777" w:rsidR="00577EC9" w:rsidRPr="00577EC9" w:rsidRDefault="00577EC9" w:rsidP="00577EC9">
      <w:pPr>
        <w:pStyle w:val="SingleTxtG"/>
        <w:rPr>
          <w:lang w:val="en-GB"/>
        </w:rPr>
      </w:pPr>
      <w:r w:rsidRPr="00577EC9">
        <w:t>Renumérense lo</w:t>
      </w:r>
      <w:r w:rsidR="00E740EA">
        <w:t>s párrafos 6.3.5.3.4, 6.3.5.3.5, 6.3.5.3.6</w:t>
      </w:r>
      <w:r w:rsidRPr="00577EC9">
        <w:t xml:space="preserve">, </w:t>
      </w:r>
      <w:r w:rsidR="00E740EA">
        <w:t xml:space="preserve">6.3.5.3.6.1, </w:t>
      </w:r>
      <w:r w:rsidRPr="00577EC9">
        <w:t xml:space="preserve">6.3.5.3.6.2 y 6.3.5.3.6.3 como 6.3.5.3.3, 6.3.5.3.4, 6.3.5.3.5, 6.3.5.3.5.1, 6.3.5.3.5.2 y 6.3.5.3.5.3, respectivamente. Adáptense en consecuencia las referencias cruzadas como se indica a continuación: </w:t>
      </w:r>
    </w:p>
    <w:p w14:paraId="7724AAD7" w14:textId="77777777" w:rsidR="00577EC9" w:rsidRPr="00577EC9" w:rsidRDefault="00577EC9" w:rsidP="00577EC9">
      <w:pPr>
        <w:pStyle w:val="SingleTxtG"/>
        <w:rPr>
          <w:lang w:val="en-GB"/>
        </w:rPr>
      </w:pPr>
      <w:r w:rsidRPr="00577EC9">
        <w:t xml:space="preserve">En 6.3.5.2.2, en el cuadro y en el epígrafe </w:t>
      </w:r>
      <w:r w:rsidR="00655CB5" w:rsidRPr="0000583D">
        <w:rPr>
          <w:i/>
        </w:rPr>
        <w:t>“</w:t>
      </w:r>
      <w:r w:rsidRPr="0000583D">
        <w:rPr>
          <w:i/>
          <w:iCs/>
        </w:rPr>
        <w:t>Explicación para la utilización del cuadro</w:t>
      </w:r>
      <w:r w:rsidR="00655CB5" w:rsidRPr="0000583D">
        <w:rPr>
          <w:i/>
        </w:rPr>
        <w:t>”</w:t>
      </w:r>
      <w:r w:rsidRPr="00577EC9">
        <w:t xml:space="preserve">, sustitúyanse </w:t>
      </w:r>
      <w:r w:rsidR="00655CB5">
        <w:t>“</w:t>
      </w:r>
      <w:r w:rsidRPr="00577EC9">
        <w:t>6.3.5.3.6.1</w:t>
      </w:r>
      <w:r w:rsidR="00655CB5">
        <w:t>”</w:t>
      </w:r>
      <w:r w:rsidRPr="00577EC9">
        <w:t xml:space="preserve">, </w:t>
      </w:r>
      <w:r w:rsidR="00655CB5">
        <w:t>“</w:t>
      </w:r>
      <w:r w:rsidRPr="00577EC9">
        <w:t>6.3.5.3.6.2</w:t>
      </w:r>
      <w:r w:rsidR="00655CB5">
        <w:t>”</w:t>
      </w:r>
      <w:r w:rsidRPr="00577EC9">
        <w:t xml:space="preserve"> y </w:t>
      </w:r>
      <w:r w:rsidR="00655CB5">
        <w:t>“</w:t>
      </w:r>
      <w:r w:rsidRPr="00577EC9">
        <w:t>6.3.5.3.6.3</w:t>
      </w:r>
      <w:r w:rsidR="00655CB5">
        <w:t>”</w:t>
      </w:r>
      <w:r w:rsidRPr="00577EC9">
        <w:t xml:space="preserve"> por </w:t>
      </w:r>
      <w:r w:rsidR="00655CB5">
        <w:t>“</w:t>
      </w:r>
      <w:r w:rsidRPr="00577EC9">
        <w:t>6.3.5.3.5.1</w:t>
      </w:r>
      <w:r w:rsidR="00655CB5">
        <w:t>”</w:t>
      </w:r>
      <w:r w:rsidRPr="00577EC9">
        <w:t xml:space="preserve">, </w:t>
      </w:r>
      <w:r w:rsidR="00655CB5">
        <w:t>“</w:t>
      </w:r>
      <w:r w:rsidRPr="00577EC9">
        <w:t>6.3.5.3.5.2</w:t>
      </w:r>
      <w:r w:rsidR="00655CB5">
        <w:t>”</w:t>
      </w:r>
      <w:r w:rsidRPr="00577EC9">
        <w:t xml:space="preserve"> y </w:t>
      </w:r>
      <w:r w:rsidR="00655CB5">
        <w:t>“</w:t>
      </w:r>
      <w:r w:rsidRPr="00577EC9">
        <w:t>6.3.5.3.5.3</w:t>
      </w:r>
      <w:r w:rsidR="00655CB5">
        <w:t>”</w:t>
      </w:r>
      <w:r w:rsidRPr="00577EC9">
        <w:t>, respectivamente.</w:t>
      </w:r>
    </w:p>
    <w:p w14:paraId="54BAFE81" w14:textId="77777777" w:rsidR="00577EC9" w:rsidRPr="00577EC9" w:rsidRDefault="00577EC9" w:rsidP="00577EC9">
      <w:pPr>
        <w:pStyle w:val="SingleTxtG"/>
        <w:rPr>
          <w:lang w:val="en-GB"/>
        </w:rPr>
      </w:pPr>
      <w:r w:rsidRPr="00577EC9">
        <w:t xml:space="preserve">En 6.3.5.3.6.3, renumérese 6.3.5.3.5.3, sustitúyanse </w:t>
      </w:r>
      <w:r w:rsidR="00655CB5">
        <w:t>“</w:t>
      </w:r>
      <w:r w:rsidRPr="00577EC9">
        <w:t>6.3.5.3.6.1</w:t>
      </w:r>
      <w:r w:rsidR="00655CB5">
        <w:t>”</w:t>
      </w:r>
      <w:r w:rsidRPr="00577EC9">
        <w:t xml:space="preserve"> y </w:t>
      </w:r>
      <w:r w:rsidR="00655CB5">
        <w:t>“</w:t>
      </w:r>
      <w:r w:rsidRPr="00577EC9">
        <w:t>6.3.5.3.6.2</w:t>
      </w:r>
      <w:r w:rsidR="00655CB5">
        <w:t>”</w:t>
      </w:r>
      <w:r w:rsidRPr="00577EC9">
        <w:t xml:space="preserve"> por </w:t>
      </w:r>
      <w:r w:rsidR="00655CB5">
        <w:t>“</w:t>
      </w:r>
      <w:r w:rsidRPr="00577EC9">
        <w:t>6.3.5.3.5.1</w:t>
      </w:r>
      <w:r w:rsidR="00655CB5">
        <w:t>”</w:t>
      </w:r>
      <w:r w:rsidRPr="00577EC9">
        <w:t xml:space="preserve"> y </w:t>
      </w:r>
      <w:r w:rsidR="00655CB5">
        <w:t>“</w:t>
      </w:r>
      <w:r w:rsidRPr="00577EC9">
        <w:t>6.3.5.3.5.2</w:t>
      </w:r>
      <w:r w:rsidR="00655CB5">
        <w:t>”</w:t>
      </w:r>
      <w:r w:rsidRPr="00577EC9">
        <w:t xml:space="preserve">, respectivamente. Al final, sustitúyase </w:t>
      </w:r>
      <w:r w:rsidR="00655CB5">
        <w:t>“</w:t>
      </w:r>
      <w:r w:rsidRPr="00577EC9">
        <w:t>en 6.3.5.3.2</w:t>
      </w:r>
      <w:r w:rsidR="00655CB5">
        <w:t>”</w:t>
      </w:r>
      <w:r w:rsidRPr="00577EC9">
        <w:t xml:space="preserve"> por </w:t>
      </w:r>
      <w:r w:rsidR="00655CB5">
        <w:t>“</w:t>
      </w:r>
      <w:r w:rsidRPr="00577EC9">
        <w:t>en 6.3.5.3.2.1 o en 6.3.5.3.2.2, según proceda;</w:t>
      </w:r>
      <w:r w:rsidR="00655CB5">
        <w:t>”</w:t>
      </w:r>
      <w:r w:rsidRPr="00577EC9">
        <w:t>.</w:t>
      </w:r>
    </w:p>
    <w:p w14:paraId="24C27335" w14:textId="77777777" w:rsidR="00577EC9" w:rsidRPr="00577EC9" w:rsidRDefault="00577EC9" w:rsidP="00F117AA">
      <w:pPr>
        <w:pStyle w:val="H1G"/>
        <w:rPr>
          <w:lang w:val="en-GB"/>
        </w:rPr>
      </w:pPr>
      <w:r w:rsidRPr="00577EC9">
        <w:tab/>
      </w:r>
      <w:r w:rsidRPr="00577EC9">
        <w:tab/>
        <w:t>Capítulo 6.4</w:t>
      </w:r>
    </w:p>
    <w:p w14:paraId="52CA71A6" w14:textId="77777777" w:rsidR="00577EC9" w:rsidRPr="00577EC9" w:rsidRDefault="00577EC9" w:rsidP="0000583D">
      <w:pPr>
        <w:pStyle w:val="SingleTxtG"/>
        <w:tabs>
          <w:tab w:val="left" w:pos="2268"/>
        </w:tabs>
        <w:rPr>
          <w:lang w:val="en-GB"/>
        </w:rPr>
      </w:pPr>
      <w:r w:rsidRPr="00577EC9">
        <w:t>6.4.2.4</w:t>
      </w:r>
      <w:r w:rsidRPr="00577EC9">
        <w:tab/>
      </w:r>
      <w:r w:rsidRPr="00577EC9">
        <w:tab/>
        <w:t xml:space="preserve">Suprímase </w:t>
      </w:r>
      <w:r w:rsidR="00655CB5">
        <w:t>“</w:t>
      </w:r>
      <w:r w:rsidRPr="00577EC9">
        <w:t>y terminados</w:t>
      </w:r>
      <w:r w:rsidR="00655CB5">
        <w:t>”</w:t>
      </w:r>
      <w:r w:rsidRPr="00577EC9">
        <w:t>.</w:t>
      </w:r>
    </w:p>
    <w:p w14:paraId="3B76CC64" w14:textId="77777777" w:rsidR="00577EC9" w:rsidRPr="00577EC9" w:rsidRDefault="00577EC9" w:rsidP="0000583D">
      <w:pPr>
        <w:pStyle w:val="SingleTxtG"/>
        <w:tabs>
          <w:tab w:val="left" w:pos="2268"/>
        </w:tabs>
        <w:rPr>
          <w:lang w:val="en-GB"/>
        </w:rPr>
      </w:pPr>
      <w:r w:rsidRPr="00577EC9">
        <w:t>6.4.2.8</w:t>
      </w:r>
      <w:r w:rsidRPr="00577EC9">
        <w:tab/>
        <w:t>Insértese el nuevo párrafo siguiente:</w:t>
      </w:r>
    </w:p>
    <w:p w14:paraId="578BDF0F" w14:textId="77777777" w:rsidR="00577EC9" w:rsidRPr="00577EC9" w:rsidRDefault="00655CB5" w:rsidP="0000583D">
      <w:pPr>
        <w:pStyle w:val="SingleTxtG"/>
        <w:tabs>
          <w:tab w:val="left" w:pos="2268"/>
        </w:tabs>
        <w:rPr>
          <w:lang w:val="en-GB"/>
        </w:rPr>
      </w:pPr>
      <w:r>
        <w:t>“</w:t>
      </w:r>
      <w:r w:rsidR="00577EC9" w:rsidRPr="00577EC9">
        <w:t>6.4.2.8</w:t>
      </w:r>
      <w:r w:rsidR="00577EC9" w:rsidRPr="00577EC9">
        <w:tab/>
        <w:t>En el diseño del envase se tendrán en cuenta los</w:t>
      </w:r>
      <w:r w:rsidR="00F117AA">
        <w:t xml:space="preserve"> mecanismos de envejecimiento</w:t>
      </w:r>
      <w:r w:rsidR="0000583D">
        <w:t>.</w:t>
      </w:r>
      <w:r>
        <w:t>”</w:t>
      </w:r>
    </w:p>
    <w:p w14:paraId="2BF92E46" w14:textId="77777777" w:rsidR="00577EC9" w:rsidRPr="00577EC9" w:rsidRDefault="00577EC9" w:rsidP="00577EC9">
      <w:pPr>
        <w:pStyle w:val="SingleTxtG"/>
        <w:rPr>
          <w:lang w:val="en-GB"/>
        </w:rPr>
      </w:pPr>
      <w:r w:rsidRPr="00577EC9">
        <w:t>Modifíquese en consecuencia la numeración de los párrafos de 6.4.2.</w:t>
      </w:r>
    </w:p>
    <w:p w14:paraId="1170F585" w14:textId="77777777" w:rsidR="00577EC9" w:rsidRPr="00577EC9" w:rsidRDefault="00577EC9" w:rsidP="00784BA1">
      <w:pPr>
        <w:pStyle w:val="SingleTxtG"/>
        <w:tabs>
          <w:tab w:val="left" w:pos="2268"/>
        </w:tabs>
        <w:rPr>
          <w:lang w:val="en-GB"/>
        </w:rPr>
      </w:pPr>
      <w:r w:rsidRPr="00577EC9">
        <w:t>6.4.4</w:t>
      </w:r>
      <w:r w:rsidRPr="00577EC9">
        <w:tab/>
      </w:r>
      <w:r w:rsidRPr="00577EC9">
        <w:tab/>
        <w:t>Modifíquese la frase que sigue al encabezamiento para que diga lo siguiente:</w:t>
      </w:r>
    </w:p>
    <w:p w14:paraId="3587AABC" w14:textId="77777777" w:rsidR="00577EC9" w:rsidRPr="00577EC9" w:rsidRDefault="00655CB5" w:rsidP="00577EC9">
      <w:pPr>
        <w:pStyle w:val="SingleTxtG"/>
        <w:rPr>
          <w:lang w:val="en-GB"/>
        </w:rPr>
      </w:pPr>
      <w:r>
        <w:lastRenderedPageBreak/>
        <w:t>“</w:t>
      </w:r>
      <w:r w:rsidR="00577EC9" w:rsidRPr="00577EC9">
        <w:t>Los bultos exceptuados deberán diseñarse de conformidad con los requisitos especificados en 6.4.2.1-6.4.2.12 y, además, con los especificados en 6.4.7.2 si contienen material fisionable permitido por alguna de las disposiciones de los párrafos 2.7.2.3.5 a) a f), y los requisitos de 6.4.3 si se transportan por vía aérea</w:t>
      </w:r>
      <w:r w:rsidR="0000583D">
        <w:t>.</w:t>
      </w:r>
      <w:r>
        <w:t>”</w:t>
      </w:r>
    </w:p>
    <w:p w14:paraId="30ADC9B6" w14:textId="77777777" w:rsidR="00577EC9" w:rsidRPr="00577EC9" w:rsidRDefault="00577EC9" w:rsidP="00577EC9">
      <w:pPr>
        <w:pStyle w:val="SingleTxtG"/>
        <w:rPr>
          <w:lang w:val="en-GB"/>
        </w:rPr>
      </w:pPr>
      <w:r w:rsidRPr="00577EC9">
        <w:t>6.4.5.4.3</w:t>
      </w:r>
      <w:r w:rsidRPr="00577EC9">
        <w:tab/>
        <w:t xml:space="preserve">En la primera frase, suprímase </w:t>
      </w:r>
      <w:r w:rsidR="00655CB5">
        <w:t>“</w:t>
      </w:r>
      <w:r w:rsidRPr="00577EC9">
        <w:t>líquidos y gases</w:t>
      </w:r>
      <w:r w:rsidR="00655CB5">
        <w:t>”</w:t>
      </w:r>
      <w:r w:rsidRPr="00577EC9">
        <w:t xml:space="preserve">. Sustitúyase </w:t>
      </w:r>
      <w:r w:rsidR="00655CB5">
        <w:t>“</w:t>
      </w:r>
      <w:r w:rsidRPr="00577EC9">
        <w:t>cuadro 4.1.9.2.4</w:t>
      </w:r>
      <w:r w:rsidR="00655CB5">
        <w:t>”</w:t>
      </w:r>
      <w:r w:rsidRPr="00577EC9">
        <w:t xml:space="preserve"> por </w:t>
      </w:r>
      <w:r w:rsidR="00655CB5">
        <w:t>“</w:t>
      </w:r>
      <w:r w:rsidRPr="00577EC9">
        <w:t>cuadro 4.1.9.2.5</w:t>
      </w:r>
      <w:r w:rsidR="00655CB5">
        <w:t>”</w:t>
      </w:r>
      <w:r w:rsidRPr="00577EC9">
        <w:t>.</w:t>
      </w:r>
    </w:p>
    <w:p w14:paraId="162015AC" w14:textId="77777777" w:rsidR="00577EC9" w:rsidRPr="00577EC9" w:rsidRDefault="00577EC9" w:rsidP="0000583D">
      <w:pPr>
        <w:pStyle w:val="SingleTxtG"/>
        <w:tabs>
          <w:tab w:val="left" w:pos="2268"/>
        </w:tabs>
        <w:rPr>
          <w:lang w:val="en-GB"/>
        </w:rPr>
      </w:pPr>
      <w:r w:rsidRPr="00577EC9">
        <w:t>6.4.6.2</w:t>
      </w:r>
      <w:r w:rsidRPr="00577EC9">
        <w:tab/>
      </w:r>
      <w:r w:rsidRPr="00577EC9">
        <w:tab/>
        <w:t>La enmienda del texto inglés no se aplica al texto español.</w:t>
      </w:r>
    </w:p>
    <w:p w14:paraId="67EC370E" w14:textId="77777777" w:rsidR="00577EC9" w:rsidRPr="00577EC9" w:rsidRDefault="00577EC9" w:rsidP="0000583D">
      <w:pPr>
        <w:pStyle w:val="SingleTxtG"/>
        <w:tabs>
          <w:tab w:val="left" w:pos="2268"/>
        </w:tabs>
        <w:rPr>
          <w:lang w:val="en-GB"/>
        </w:rPr>
      </w:pPr>
      <w:r w:rsidRPr="00577EC9">
        <w:t>6.4.7.9</w:t>
      </w:r>
      <w:r w:rsidRPr="00577EC9">
        <w:tab/>
        <w:t>La enmienda del texto inglés no se aplica al texto español.</w:t>
      </w:r>
    </w:p>
    <w:p w14:paraId="6C09108A" w14:textId="77777777" w:rsidR="00577EC9" w:rsidRPr="00577EC9" w:rsidRDefault="00577EC9" w:rsidP="00577EC9">
      <w:pPr>
        <w:pStyle w:val="SingleTxtG"/>
        <w:rPr>
          <w:lang w:val="en-GB"/>
        </w:rPr>
      </w:pPr>
      <w:r w:rsidRPr="00577EC9">
        <w:t>6.4.7.17</w:t>
      </w:r>
      <w:r w:rsidRPr="00577EC9">
        <w:tab/>
        <w:t>Modifíquese para que diga lo siguiente:</w:t>
      </w:r>
    </w:p>
    <w:p w14:paraId="32CC7306" w14:textId="77777777" w:rsidR="00577EC9" w:rsidRPr="00577EC9" w:rsidRDefault="00655CB5" w:rsidP="00577EC9">
      <w:pPr>
        <w:pStyle w:val="SingleTxtG"/>
        <w:rPr>
          <w:lang w:val="en-GB"/>
        </w:rPr>
      </w:pPr>
      <w:r>
        <w:t>“</w:t>
      </w:r>
      <w:r w:rsidR="00577EC9" w:rsidRPr="00577EC9">
        <w:t>Los bultos del Tipo A diseñados para contener gases deberán impedir la pérdida o dispersión del contenido radiactivo si se les somete a los ensayos especificados en 6.4.16, salvo los bultos del Tipo A destinados a contener gas tritio o gases nobles que quedarán exceptuados de este requisito.</w:t>
      </w:r>
      <w:r>
        <w:t>”</w:t>
      </w:r>
    </w:p>
    <w:p w14:paraId="68656E71" w14:textId="77777777" w:rsidR="00577EC9" w:rsidRPr="00577EC9" w:rsidRDefault="00577EC9" w:rsidP="0000583D">
      <w:pPr>
        <w:pStyle w:val="SingleTxtG"/>
        <w:tabs>
          <w:tab w:val="left" w:pos="2268"/>
        </w:tabs>
        <w:rPr>
          <w:lang w:val="en-GB"/>
        </w:rPr>
      </w:pPr>
      <w:r w:rsidRPr="00577EC9">
        <w:t>6.4.8.2</w:t>
      </w:r>
      <w:r w:rsidRPr="00577EC9">
        <w:tab/>
      </w:r>
      <w:r w:rsidRPr="00577EC9">
        <w:tab/>
        <w:t>La enmienda del texto inglés no se aplica al texto español.</w:t>
      </w:r>
    </w:p>
    <w:p w14:paraId="164AC6E9" w14:textId="77777777" w:rsidR="00577EC9" w:rsidRPr="00577EC9" w:rsidRDefault="00EC7E23" w:rsidP="0000583D">
      <w:pPr>
        <w:pStyle w:val="SingleTxtG"/>
        <w:tabs>
          <w:tab w:val="left" w:pos="2268"/>
        </w:tabs>
        <w:rPr>
          <w:lang w:val="en-GB"/>
        </w:rPr>
      </w:pPr>
      <w:r>
        <w:t>6.4.8.8</w:t>
      </w:r>
      <w:r>
        <w:tab/>
      </w:r>
      <w:r>
        <w:tab/>
        <w:t>En el primer guio</w:t>
      </w:r>
      <w:r w:rsidR="00577EC9" w:rsidRPr="00577EC9">
        <w:t xml:space="preserve">n después de los incisos, sustitúyase </w:t>
      </w:r>
      <w:r w:rsidR="00655CB5">
        <w:t>“</w:t>
      </w:r>
      <w:r w:rsidR="00577EC9" w:rsidRPr="00577EC9">
        <w:t>nivel de radiación</w:t>
      </w:r>
      <w:r w:rsidR="00655CB5">
        <w:t>”</w:t>
      </w:r>
      <w:r w:rsidR="00577EC9" w:rsidRPr="00577EC9">
        <w:t xml:space="preserve"> por </w:t>
      </w:r>
      <w:r w:rsidR="00655CB5">
        <w:t>“</w:t>
      </w:r>
      <w:r w:rsidR="00577EC9" w:rsidRPr="00577EC9">
        <w:t>tasa de dosis</w:t>
      </w:r>
      <w:r w:rsidR="00655CB5">
        <w:t>”</w:t>
      </w:r>
      <w:r w:rsidR="00577EC9" w:rsidRPr="00577EC9">
        <w:t xml:space="preserve">. En la última frase, antes de </w:t>
      </w:r>
      <w:r w:rsidR="00655CB5">
        <w:t>“</w:t>
      </w:r>
      <w:r w:rsidR="00577EC9" w:rsidRPr="00577EC9">
        <w:t>límites de contaminación</w:t>
      </w:r>
      <w:r w:rsidR="00655CB5">
        <w:t>”</w:t>
      </w:r>
      <w:r w:rsidR="00577EC9" w:rsidRPr="00577EC9">
        <w:t xml:space="preserve">, añádase </w:t>
      </w:r>
      <w:r w:rsidR="00655CB5">
        <w:t>“</w:t>
      </w:r>
      <w:r w:rsidR="00577EC9" w:rsidRPr="00577EC9">
        <w:t>no fijados</w:t>
      </w:r>
      <w:r w:rsidR="00655CB5">
        <w:t>”</w:t>
      </w:r>
      <w:r w:rsidR="00577EC9" w:rsidRPr="00577EC9">
        <w:t>.</w:t>
      </w:r>
    </w:p>
    <w:p w14:paraId="4DBD94A9" w14:textId="77777777" w:rsidR="00577EC9" w:rsidRPr="00577EC9" w:rsidRDefault="00577EC9" w:rsidP="0000583D">
      <w:pPr>
        <w:pStyle w:val="SingleTxtG"/>
        <w:tabs>
          <w:tab w:val="left" w:pos="2268"/>
        </w:tabs>
        <w:rPr>
          <w:lang w:val="en-GB"/>
        </w:rPr>
      </w:pPr>
      <w:r w:rsidRPr="00577EC9">
        <w:t>6.4.9.1</w:t>
      </w:r>
      <w:r w:rsidRPr="00577EC9">
        <w:tab/>
      </w:r>
      <w:r w:rsidRPr="00577EC9">
        <w:tab/>
        <w:t xml:space="preserve">Al principio de la segunda frase, suprímase </w:t>
      </w:r>
      <w:r w:rsidR="00655CB5">
        <w:t>“</w:t>
      </w:r>
      <w:r w:rsidRPr="00577EC9">
        <w:t>No obstante,</w:t>
      </w:r>
      <w:r w:rsidR="00655CB5">
        <w:t>”</w:t>
      </w:r>
      <w:r w:rsidRPr="00577EC9">
        <w:t>.</w:t>
      </w:r>
    </w:p>
    <w:p w14:paraId="7CFD0430" w14:textId="77777777" w:rsidR="00577EC9" w:rsidRPr="00577EC9" w:rsidRDefault="00577EC9" w:rsidP="00577EC9">
      <w:pPr>
        <w:pStyle w:val="SingleTxtG"/>
        <w:rPr>
          <w:lang w:val="en-GB"/>
        </w:rPr>
      </w:pPr>
      <w:r w:rsidRPr="00577EC9">
        <w:t>6.4.11.2</w:t>
      </w:r>
      <w:r w:rsidRPr="00577EC9">
        <w:tab/>
        <w:t xml:space="preserve">En el inciso c) iv), sustitúyase </w:t>
      </w:r>
      <w:r w:rsidR="00655CB5">
        <w:t>“</w:t>
      </w:r>
      <w:r w:rsidRPr="00577EC9">
        <w:t>masa máxima</w:t>
      </w:r>
      <w:r w:rsidR="00655CB5">
        <w:t>”</w:t>
      </w:r>
      <w:r w:rsidRPr="00577EC9">
        <w:t xml:space="preserve"> por </w:t>
      </w:r>
      <w:r w:rsidR="00655CB5">
        <w:t>“</w:t>
      </w:r>
      <w:r w:rsidRPr="00577EC9">
        <w:t>masa total</w:t>
      </w:r>
      <w:r w:rsidR="00655CB5">
        <w:t>”</w:t>
      </w:r>
      <w:r w:rsidRPr="00577EC9">
        <w:t>.</w:t>
      </w:r>
    </w:p>
    <w:p w14:paraId="11969BC1" w14:textId="77777777" w:rsidR="00577EC9" w:rsidRPr="00577EC9" w:rsidRDefault="00577EC9" w:rsidP="00577EC9">
      <w:pPr>
        <w:pStyle w:val="SingleTxtG"/>
        <w:rPr>
          <w:lang w:val="en-GB"/>
        </w:rPr>
      </w:pPr>
      <w:r w:rsidRPr="00577EC9">
        <w:t xml:space="preserve">En el apartado d), sustitúyase </w:t>
      </w:r>
      <w:r w:rsidR="00655CB5">
        <w:t>“</w:t>
      </w:r>
      <w:r w:rsidRPr="00577EC9">
        <w:t>su concentración total</w:t>
      </w:r>
      <w:r w:rsidR="00655CB5">
        <w:t>”</w:t>
      </w:r>
      <w:r w:rsidRPr="00577EC9">
        <w:t xml:space="preserve"> por </w:t>
      </w:r>
      <w:r w:rsidR="00655CB5">
        <w:t>“</w:t>
      </w:r>
      <w:r w:rsidRPr="00577EC9">
        <w:t>la concentración total de estos materiales</w:t>
      </w:r>
      <w:r w:rsidR="00655CB5">
        <w:t>”</w:t>
      </w:r>
      <w:r w:rsidRPr="00577EC9">
        <w:t>.</w:t>
      </w:r>
    </w:p>
    <w:p w14:paraId="59E1E765" w14:textId="77777777" w:rsidR="00577EC9" w:rsidRPr="00577EC9" w:rsidRDefault="00577EC9" w:rsidP="00577EC9">
      <w:pPr>
        <w:pStyle w:val="SingleTxtG"/>
        <w:rPr>
          <w:lang w:val="en-GB"/>
        </w:rPr>
      </w:pPr>
      <w:r w:rsidRPr="00577EC9">
        <w:t>6.4.11.8 b) i)</w:t>
      </w:r>
      <w:r w:rsidRPr="00577EC9">
        <w:tab/>
        <w:t xml:space="preserve">Después de </w:t>
      </w:r>
      <w:r w:rsidR="00655CB5">
        <w:t>“</w:t>
      </w:r>
      <w:r w:rsidRPr="00577EC9">
        <w:t>entre la válvula</w:t>
      </w:r>
      <w:r w:rsidR="00655CB5">
        <w:t>”</w:t>
      </w:r>
      <w:r w:rsidRPr="00577EC9">
        <w:t xml:space="preserve"> añádase </w:t>
      </w:r>
      <w:r w:rsidR="00655CB5">
        <w:t>“</w:t>
      </w:r>
      <w:r w:rsidRPr="00577EC9">
        <w:t>o el tapón</w:t>
      </w:r>
      <w:r w:rsidR="00655CB5">
        <w:t>”</w:t>
      </w:r>
      <w:r w:rsidRPr="00577EC9">
        <w:t xml:space="preserve"> y, al final, después de </w:t>
      </w:r>
      <w:r w:rsidR="00655CB5">
        <w:t>“</w:t>
      </w:r>
      <w:r w:rsidRPr="00577EC9">
        <w:t>las válvulas</w:t>
      </w:r>
      <w:r w:rsidR="00655CB5">
        <w:t>”</w:t>
      </w:r>
      <w:r w:rsidRPr="00577EC9">
        <w:t xml:space="preserve"> añádase </w:t>
      </w:r>
      <w:r w:rsidR="00655CB5">
        <w:t>“</w:t>
      </w:r>
      <w:r w:rsidRPr="00577EC9">
        <w:t>y los tapones</w:t>
      </w:r>
      <w:r w:rsidR="00655CB5">
        <w:t>”</w:t>
      </w:r>
      <w:r w:rsidRPr="00577EC9">
        <w:t>.</w:t>
      </w:r>
    </w:p>
    <w:p w14:paraId="4A76F4F1" w14:textId="77777777" w:rsidR="00577EC9" w:rsidRPr="00577EC9" w:rsidRDefault="00577EC9" w:rsidP="00577EC9">
      <w:pPr>
        <w:pStyle w:val="SingleTxtG"/>
        <w:rPr>
          <w:lang w:val="en-GB"/>
        </w:rPr>
      </w:pPr>
      <w:r w:rsidRPr="00577EC9">
        <w:t>6.4.11.11 b)</w:t>
      </w:r>
      <w:r w:rsidRPr="00577EC9">
        <w:tab/>
        <w:t>Modifíquese para que diga lo siguiente:</w:t>
      </w:r>
    </w:p>
    <w:p w14:paraId="509FA6EE" w14:textId="77777777" w:rsidR="00577EC9" w:rsidRPr="00577EC9" w:rsidRDefault="00655CB5" w:rsidP="00577EC9">
      <w:pPr>
        <w:pStyle w:val="SingleTxtG"/>
        <w:rPr>
          <w:lang w:val="en-GB"/>
        </w:rPr>
      </w:pPr>
      <w:r>
        <w:t>“</w:t>
      </w:r>
      <w:r w:rsidR="0000583D">
        <w:t>b)</w:t>
      </w:r>
      <w:r w:rsidR="0000583D">
        <w:tab/>
      </w:r>
      <w:r w:rsidR="00577EC9" w:rsidRPr="00577EC9">
        <w:t>En la evaluación de 6.4.11.10, se podrán emplear las características especiales mencionadas en 6.4.11.8 siempre que se impida la penetración o fuga de agua de los espacios vacíos cuando el bulto se someta a los ensayos para bultos del Tipo C especificados en 6.4.20.1 y, posteriormente, al ensayo de infiltración de agua especificado en 6.4.19.3.</w:t>
      </w:r>
      <w:r>
        <w:t>”</w:t>
      </w:r>
    </w:p>
    <w:p w14:paraId="17D3C916" w14:textId="77777777" w:rsidR="00577EC9" w:rsidRPr="00577EC9" w:rsidRDefault="00577EC9" w:rsidP="00577EC9">
      <w:pPr>
        <w:pStyle w:val="SingleTxtG"/>
        <w:rPr>
          <w:lang w:val="en-GB"/>
        </w:rPr>
      </w:pPr>
      <w:r w:rsidRPr="00577EC9">
        <w:t>6.4.12.1 a)</w:t>
      </w:r>
      <w:r w:rsidRPr="00577EC9">
        <w:tab/>
        <w:t xml:space="preserve">Al principio, suprímase </w:t>
      </w:r>
      <w:r w:rsidR="00655CB5">
        <w:t>“</w:t>
      </w:r>
      <w:r w:rsidRPr="00577EC9">
        <w:t>materiales BAE-III, o</w:t>
      </w:r>
      <w:r w:rsidR="00655CB5">
        <w:t>”</w:t>
      </w:r>
      <w:r w:rsidRPr="00577EC9">
        <w:t>.</w:t>
      </w:r>
    </w:p>
    <w:p w14:paraId="32D6158D" w14:textId="77777777" w:rsidR="00577EC9" w:rsidRPr="00577EC9" w:rsidRDefault="00577EC9" w:rsidP="0000583D">
      <w:pPr>
        <w:pStyle w:val="SingleTxtG"/>
        <w:tabs>
          <w:tab w:val="left" w:pos="2268"/>
        </w:tabs>
        <w:rPr>
          <w:lang w:val="en-GB"/>
        </w:rPr>
      </w:pPr>
      <w:r w:rsidRPr="00577EC9">
        <w:t>6.4.13</w:t>
      </w:r>
      <w:r w:rsidRPr="00577EC9">
        <w:tab/>
      </w:r>
      <w:r w:rsidRPr="00577EC9">
        <w:tab/>
        <w:t>Modifíquese la frase introductoria para que diga lo siguiente:</w:t>
      </w:r>
    </w:p>
    <w:p w14:paraId="5A05A3C7" w14:textId="77777777" w:rsidR="00577EC9" w:rsidRPr="00577EC9" w:rsidRDefault="00655CB5" w:rsidP="00577EC9">
      <w:pPr>
        <w:pStyle w:val="SingleTxtG"/>
        <w:rPr>
          <w:lang w:val="en-GB"/>
        </w:rPr>
      </w:pPr>
      <w:r>
        <w:t>“</w:t>
      </w:r>
      <w:r w:rsidR="00577EC9" w:rsidRPr="00577EC9">
        <w:t>Después de cada ensayo o grupo de ensayos o secuencia de ensayos aplicables, según proceda, especificados en 6.4.15 a 6.4.21.</w:t>
      </w:r>
      <w:r>
        <w:t>”</w:t>
      </w:r>
    </w:p>
    <w:p w14:paraId="2568F62A" w14:textId="77777777" w:rsidR="00577EC9" w:rsidRPr="00577EC9" w:rsidRDefault="00577EC9" w:rsidP="00577EC9">
      <w:pPr>
        <w:pStyle w:val="SingleTxtG"/>
        <w:rPr>
          <w:lang w:val="en-GB"/>
        </w:rPr>
      </w:pPr>
      <w:r w:rsidRPr="00577EC9">
        <w:t>6.4.15.4 a)</w:t>
      </w:r>
      <w:r w:rsidRPr="00577EC9">
        <w:tab/>
        <w:t xml:space="preserve">Sustitúyase </w:t>
      </w:r>
      <w:r w:rsidR="00655CB5">
        <w:t>“</w:t>
      </w:r>
      <w:r w:rsidRPr="00577EC9">
        <w:t>de caída</w:t>
      </w:r>
      <w:r w:rsidR="00655CB5">
        <w:t>”</w:t>
      </w:r>
      <w:r w:rsidRPr="00577EC9">
        <w:t xml:space="preserve"> por </w:t>
      </w:r>
      <w:r w:rsidR="00655CB5">
        <w:t>“</w:t>
      </w:r>
      <w:r w:rsidRPr="00577EC9">
        <w:t>de la caída</w:t>
      </w:r>
      <w:r w:rsidR="00655CB5">
        <w:t>”</w:t>
      </w:r>
      <w:r w:rsidRPr="00577EC9">
        <w:t>.</w:t>
      </w:r>
    </w:p>
    <w:p w14:paraId="46B8802D" w14:textId="77777777" w:rsidR="00577EC9" w:rsidRPr="00577EC9" w:rsidRDefault="00577EC9" w:rsidP="00577EC9">
      <w:pPr>
        <w:pStyle w:val="SingleTxtG"/>
        <w:rPr>
          <w:lang w:val="en-GB"/>
        </w:rPr>
      </w:pPr>
      <w:r w:rsidRPr="00577EC9">
        <w:t>6.4.15.6 b)</w:t>
      </w:r>
      <w:r w:rsidRPr="00577EC9">
        <w:tab/>
        <w:t xml:space="preserve">Sustitúyase </w:t>
      </w:r>
      <w:r w:rsidR="00655CB5">
        <w:t>“</w:t>
      </w:r>
      <w:r w:rsidRPr="00577EC9">
        <w:t>de caída</w:t>
      </w:r>
      <w:r w:rsidR="00655CB5">
        <w:t>”</w:t>
      </w:r>
      <w:r w:rsidRPr="00577EC9">
        <w:t xml:space="preserve"> por </w:t>
      </w:r>
      <w:r w:rsidR="00655CB5">
        <w:t>“</w:t>
      </w:r>
      <w:r w:rsidRPr="00577EC9">
        <w:t>de la caída</w:t>
      </w:r>
      <w:r w:rsidR="00655CB5">
        <w:t>”</w:t>
      </w:r>
      <w:r w:rsidRPr="00577EC9">
        <w:t>.</w:t>
      </w:r>
    </w:p>
    <w:p w14:paraId="2F1A0CCD" w14:textId="77777777" w:rsidR="00577EC9" w:rsidRPr="00577EC9" w:rsidRDefault="00577EC9" w:rsidP="00577EC9">
      <w:pPr>
        <w:pStyle w:val="SingleTxtG"/>
        <w:rPr>
          <w:lang w:val="en-GB"/>
        </w:rPr>
      </w:pPr>
      <w:r w:rsidRPr="00577EC9">
        <w:t>6.4.17.2 b)</w:t>
      </w:r>
      <w:r w:rsidRPr="00577EC9">
        <w:tab/>
        <w:t>La enmienda del texto inglés no se aplica al texto español.</w:t>
      </w:r>
    </w:p>
    <w:p w14:paraId="1569CEC5" w14:textId="77777777" w:rsidR="00577EC9" w:rsidRPr="00577EC9" w:rsidRDefault="00577EC9" w:rsidP="00577EC9">
      <w:pPr>
        <w:pStyle w:val="SingleTxtG"/>
        <w:rPr>
          <w:lang w:val="en-GB"/>
        </w:rPr>
      </w:pPr>
      <w:r w:rsidRPr="00577EC9">
        <w:t>6.4.17.3 b)</w:t>
      </w:r>
      <w:r w:rsidRPr="00577EC9">
        <w:tab/>
        <w:t xml:space="preserve">Sustituir </w:t>
      </w:r>
      <w:r w:rsidR="00655CB5">
        <w:t>“</w:t>
      </w:r>
      <w:r w:rsidRPr="00577EC9">
        <w:t>las temperaturas en el espécimen disminuyan uniformemente</w:t>
      </w:r>
      <w:r w:rsidR="00655CB5">
        <w:t>”</w:t>
      </w:r>
      <w:r w:rsidRPr="00577EC9">
        <w:t xml:space="preserve"> por </w:t>
      </w:r>
      <w:r w:rsidR="00655CB5">
        <w:t>“</w:t>
      </w:r>
      <w:r w:rsidRPr="00577EC9">
        <w:t>las temperaturas en todas las partes del espécimen disminuyan</w:t>
      </w:r>
      <w:r w:rsidR="00655CB5">
        <w:t>”</w:t>
      </w:r>
      <w:r w:rsidRPr="00577EC9">
        <w:t>.</w:t>
      </w:r>
    </w:p>
    <w:p w14:paraId="172E1B2F" w14:textId="77777777" w:rsidR="00577EC9" w:rsidRPr="00577EC9" w:rsidRDefault="00F117AA" w:rsidP="00577EC9">
      <w:pPr>
        <w:pStyle w:val="SingleTxtG"/>
        <w:rPr>
          <w:lang w:val="en-GB"/>
        </w:rPr>
      </w:pPr>
      <w:r>
        <w:t>6.4.23.2</w:t>
      </w:r>
      <w:r>
        <w:tab/>
      </w:r>
      <w:r w:rsidR="00577EC9" w:rsidRPr="00577EC9">
        <w:t>Añádase un nuevo 6.4.23.2.1 que diga lo siguiente:</w:t>
      </w:r>
    </w:p>
    <w:p w14:paraId="5ED595B7" w14:textId="77777777" w:rsidR="00577EC9" w:rsidRPr="00577EC9" w:rsidRDefault="00655CB5" w:rsidP="00577EC9">
      <w:pPr>
        <w:pStyle w:val="SingleTxtG"/>
        <w:rPr>
          <w:lang w:val="en-GB"/>
        </w:rPr>
      </w:pPr>
      <w:r>
        <w:t>“</w:t>
      </w:r>
      <w:r w:rsidR="00577EC9" w:rsidRPr="00577EC9">
        <w:t>6.4.23.2.1</w:t>
      </w:r>
      <w:r w:rsidR="00577EC9" w:rsidRPr="00577EC9">
        <w:tab/>
        <w:t>En la solicitud de aprobación de una expedición SCO-III se indicarán:</w:t>
      </w:r>
    </w:p>
    <w:p w14:paraId="42DD7DCC" w14:textId="77777777" w:rsidR="00577EC9" w:rsidRPr="00577EC9" w:rsidRDefault="00525A4C" w:rsidP="00F117AA">
      <w:pPr>
        <w:pStyle w:val="SingleTxtG"/>
        <w:ind w:left="2268"/>
        <w:rPr>
          <w:lang w:val="en-GB"/>
        </w:rPr>
      </w:pPr>
      <w:r>
        <w:t>a)</w:t>
      </w:r>
      <w:r>
        <w:tab/>
        <w:t>Una declaración de en qué respectos y por qué</w:t>
      </w:r>
      <w:r w:rsidR="00577EC9" w:rsidRPr="00577EC9">
        <w:t xml:space="preserve"> razones el envío se considera SCO-III;</w:t>
      </w:r>
    </w:p>
    <w:p w14:paraId="462FDFAA" w14:textId="77777777" w:rsidR="00577EC9" w:rsidRPr="00577EC9" w:rsidRDefault="00577EC9" w:rsidP="00F117AA">
      <w:pPr>
        <w:pStyle w:val="SingleTxtG"/>
        <w:ind w:left="2268"/>
        <w:rPr>
          <w:lang w:val="en-GB"/>
        </w:rPr>
      </w:pPr>
      <w:r w:rsidRPr="00577EC9">
        <w:t>b)</w:t>
      </w:r>
      <w:r w:rsidRPr="00577EC9">
        <w:tab/>
        <w:t>Una justificación para elegir SCO-III en la que se demuestre que:</w:t>
      </w:r>
    </w:p>
    <w:p w14:paraId="35A44D75" w14:textId="77777777" w:rsidR="00577EC9" w:rsidRPr="00577EC9" w:rsidRDefault="00577EC9" w:rsidP="00F117AA">
      <w:pPr>
        <w:pStyle w:val="SingleTxtG"/>
        <w:ind w:left="3402" w:hanging="567"/>
        <w:rPr>
          <w:lang w:val="en-GB"/>
        </w:rPr>
      </w:pPr>
      <w:r w:rsidRPr="00577EC9">
        <w:t>i)</w:t>
      </w:r>
      <w:r w:rsidRPr="00577EC9">
        <w:tab/>
        <w:t>Actualmente no existe ningún embalaje/envase adecuado;</w:t>
      </w:r>
    </w:p>
    <w:p w14:paraId="7B3C4D07" w14:textId="77777777" w:rsidR="00577EC9" w:rsidRPr="00577EC9" w:rsidRDefault="00F117AA" w:rsidP="00F117AA">
      <w:pPr>
        <w:pStyle w:val="SingleTxtG"/>
        <w:ind w:left="3402" w:hanging="567"/>
        <w:rPr>
          <w:lang w:val="en-GB"/>
        </w:rPr>
      </w:pPr>
      <w:r>
        <w:t>ii)</w:t>
      </w:r>
      <w:r>
        <w:tab/>
      </w:r>
      <w:r w:rsidR="00577EC9" w:rsidRPr="00577EC9">
        <w:t>El diseño o la construcción de un embalaje/envase o la segmentación del objeto no resulta práctica, técnica o económicamente viable;</w:t>
      </w:r>
    </w:p>
    <w:p w14:paraId="53640957" w14:textId="77777777" w:rsidR="00577EC9" w:rsidRPr="00577EC9" w:rsidRDefault="00577EC9" w:rsidP="00F117AA">
      <w:pPr>
        <w:pStyle w:val="SingleTxtG"/>
        <w:ind w:left="3402" w:hanging="567"/>
        <w:rPr>
          <w:lang w:val="en-GB"/>
        </w:rPr>
      </w:pPr>
      <w:r w:rsidRPr="00577EC9">
        <w:t>iii)</w:t>
      </w:r>
      <w:r w:rsidRPr="00577EC9">
        <w:tab/>
        <w:t>No existe ninguna otra alternativa viable;</w:t>
      </w:r>
    </w:p>
    <w:p w14:paraId="3FC73BED" w14:textId="77777777" w:rsidR="00577EC9" w:rsidRPr="00577EC9" w:rsidRDefault="00577EC9" w:rsidP="00F117AA">
      <w:pPr>
        <w:pStyle w:val="SingleTxtG"/>
        <w:ind w:left="2268"/>
        <w:rPr>
          <w:lang w:val="en-GB"/>
        </w:rPr>
      </w:pPr>
      <w:r w:rsidRPr="00577EC9">
        <w:lastRenderedPageBreak/>
        <w:t>c)</w:t>
      </w:r>
      <w:r w:rsidRPr="00577EC9">
        <w:tab/>
        <w:t>Una descripción detallada del contenido radiactivo previsto en la que se haga referencia a su estado físico y químico y el tipo de radiación emitida;</w:t>
      </w:r>
    </w:p>
    <w:p w14:paraId="5952CD76" w14:textId="77777777" w:rsidR="00577EC9" w:rsidRPr="00577EC9" w:rsidRDefault="00F117AA" w:rsidP="00F117AA">
      <w:pPr>
        <w:pStyle w:val="SingleTxtG"/>
        <w:ind w:left="2268"/>
        <w:rPr>
          <w:lang w:val="en-GB"/>
        </w:rPr>
      </w:pPr>
      <w:r>
        <w:t>d)</w:t>
      </w:r>
      <w:r w:rsidR="00577EC9" w:rsidRPr="00577EC9">
        <w:tab/>
        <w:t>Una declaración detallada del diseño del SCO-III, acompañada de un juego completo de planos y especificaciones de los materiales y de los métodos de fabricación;</w:t>
      </w:r>
    </w:p>
    <w:p w14:paraId="58A103F4" w14:textId="77777777" w:rsidR="00577EC9" w:rsidRPr="00577EC9" w:rsidRDefault="00577EC9" w:rsidP="00F117AA">
      <w:pPr>
        <w:pStyle w:val="SingleTxtG"/>
        <w:ind w:left="2268"/>
        <w:rPr>
          <w:lang w:val="en-GB"/>
        </w:rPr>
      </w:pPr>
      <w:r w:rsidRPr="00577EC9">
        <w:t>e)</w:t>
      </w:r>
      <w:r w:rsidRPr="00577EC9">
        <w:tab/>
        <w:t>Toda la información necesaria para satisfacer a la autoridad competente de que se cumplen los requisitos del apartado 4.1.9.2.4 e) y, en su caso, los de</w:t>
      </w:r>
      <w:r w:rsidR="00655CB5">
        <w:t xml:space="preserve"> </w:t>
      </w:r>
      <w:r w:rsidRPr="00577EC9">
        <w:t>7.1.8.2;</w:t>
      </w:r>
    </w:p>
    <w:p w14:paraId="34218A8C" w14:textId="77777777" w:rsidR="00577EC9" w:rsidRPr="00577EC9" w:rsidRDefault="00F117AA" w:rsidP="00F117AA">
      <w:pPr>
        <w:pStyle w:val="SingleTxtG"/>
        <w:ind w:left="2268"/>
        <w:rPr>
          <w:lang w:val="en-GB"/>
        </w:rPr>
      </w:pPr>
      <w:r>
        <w:t>f)</w:t>
      </w:r>
      <w:r w:rsidR="00577EC9" w:rsidRPr="00577EC9">
        <w:tab/>
        <w:t>Un plan de transporte;</w:t>
      </w:r>
    </w:p>
    <w:p w14:paraId="05CCEDB6" w14:textId="77777777" w:rsidR="00577EC9" w:rsidRPr="00577EC9" w:rsidRDefault="00F117AA" w:rsidP="00F117AA">
      <w:pPr>
        <w:pStyle w:val="SingleTxtG"/>
        <w:ind w:left="2268"/>
        <w:rPr>
          <w:lang w:val="en-GB"/>
        </w:rPr>
      </w:pPr>
      <w:r>
        <w:t>g)</w:t>
      </w:r>
      <w:r w:rsidR="00577EC9" w:rsidRPr="00577EC9">
        <w:tab/>
        <w:t>Una especificación del sistema de gestión aplicable como se requiere en 1.5.3.1;</w:t>
      </w:r>
    </w:p>
    <w:p w14:paraId="21C81238" w14:textId="77777777" w:rsidR="00577EC9" w:rsidRPr="00577EC9" w:rsidRDefault="00577EC9" w:rsidP="00577EC9">
      <w:pPr>
        <w:pStyle w:val="SingleTxtG"/>
        <w:rPr>
          <w:lang w:val="en-GB"/>
        </w:rPr>
      </w:pPr>
      <w:r w:rsidRPr="00577EC9">
        <w:t>6.4.23.4</w:t>
      </w:r>
      <w:r w:rsidRPr="00577EC9">
        <w:tab/>
        <w:t>Añádase el nuevo apartado f) siguiente:</w:t>
      </w:r>
    </w:p>
    <w:p w14:paraId="136FC38A" w14:textId="77777777" w:rsidR="00577EC9" w:rsidRPr="00577EC9" w:rsidRDefault="00655CB5" w:rsidP="00F117AA">
      <w:pPr>
        <w:pStyle w:val="SingleTxtG"/>
        <w:ind w:left="2268"/>
      </w:pPr>
      <w:r>
        <w:t>“</w:t>
      </w:r>
      <w:r w:rsidR="00F117AA">
        <w:t>f)</w:t>
      </w:r>
      <w:r w:rsidR="00577EC9" w:rsidRPr="00577EC9">
        <w:tab/>
        <w:t>Si el bulto se va a utilizar para el transporte después del almacenamiento, una justificación de las consideraciones relativas a los mecanismos de envejecimiento en el análisis de seguridad y en las instrucciones de uso y mantenimiento propuestas;</w:t>
      </w:r>
      <w:r>
        <w:t>”</w:t>
      </w:r>
    </w:p>
    <w:p w14:paraId="41AD4CC4" w14:textId="77777777" w:rsidR="00577EC9" w:rsidRPr="00577EC9" w:rsidRDefault="00577EC9" w:rsidP="00577EC9">
      <w:pPr>
        <w:pStyle w:val="SingleTxtG"/>
      </w:pPr>
      <w:r w:rsidRPr="00577EC9">
        <w:t>Renumérense los restantes apartados en consecuencia.</w:t>
      </w:r>
    </w:p>
    <w:p w14:paraId="3066C78E" w14:textId="77777777" w:rsidR="00577EC9" w:rsidRPr="00577EC9" w:rsidRDefault="00577EC9" w:rsidP="00577EC9">
      <w:pPr>
        <w:pStyle w:val="SingleTxtG"/>
      </w:pPr>
      <w:r w:rsidRPr="00577EC9">
        <w:t xml:space="preserve">Al final del nuevo apartado i) (actual h)), suprímase </w:t>
      </w:r>
      <w:r w:rsidR="00655CB5">
        <w:t>“</w:t>
      </w:r>
      <w:r w:rsidRPr="00577EC9">
        <w:t>y</w:t>
      </w:r>
      <w:r w:rsidR="00655CB5">
        <w:t>”</w:t>
      </w:r>
      <w:r w:rsidRPr="00577EC9">
        <w:t xml:space="preserve">. Al final del nuevo apartado j) (actual i)), sustitúyase </w:t>
      </w:r>
      <w:r w:rsidR="00655CB5">
        <w:t>“</w:t>
      </w:r>
      <w:r w:rsidRPr="00577EC9">
        <w:t>.</w:t>
      </w:r>
      <w:r w:rsidR="00655CB5">
        <w:t>”</w:t>
      </w:r>
      <w:r w:rsidRPr="00577EC9">
        <w:t xml:space="preserve"> por </w:t>
      </w:r>
      <w:r w:rsidR="00655CB5">
        <w:t>“</w:t>
      </w:r>
      <w:r w:rsidRPr="00577EC9">
        <w:t>; y</w:t>
      </w:r>
      <w:r w:rsidR="00655CB5">
        <w:t>”</w:t>
      </w:r>
      <w:r w:rsidRPr="00577EC9">
        <w:t>.</w:t>
      </w:r>
    </w:p>
    <w:p w14:paraId="72026FF2" w14:textId="77777777" w:rsidR="00577EC9" w:rsidRPr="00577EC9" w:rsidRDefault="00577EC9" w:rsidP="00577EC9">
      <w:pPr>
        <w:pStyle w:val="SingleTxtG"/>
      </w:pPr>
      <w:r w:rsidRPr="00577EC9">
        <w:t>Añádase un nuevo apartado k) que diga lo siguiente:</w:t>
      </w:r>
    </w:p>
    <w:p w14:paraId="628D7D30" w14:textId="77777777" w:rsidR="00577EC9" w:rsidRPr="00577EC9" w:rsidRDefault="00655CB5" w:rsidP="00F117AA">
      <w:pPr>
        <w:pStyle w:val="SingleTxtG"/>
        <w:ind w:left="2268"/>
        <w:rPr>
          <w:lang w:val="en-GB"/>
        </w:rPr>
      </w:pPr>
      <w:r>
        <w:t>“</w:t>
      </w:r>
      <w:r w:rsidR="00F117AA">
        <w:t>k)</w:t>
      </w:r>
      <w:r w:rsidR="00577EC9" w:rsidRPr="00577EC9">
        <w:tab/>
        <w:t>En el caso de los bultos que se vayan a utilizar para el transporte después del almacenamiento, un programa de análisis de lagunas en el que se describa un procedimiento sistemático para la evaluación periódica de los cambios en la Reglamentación, los avances en los conocimientos técnicos y los cambios relativos al diseño de los bultos durante el almacenamiento</w:t>
      </w:r>
      <w:r w:rsidR="0000583D">
        <w:t>.</w:t>
      </w:r>
      <w:r>
        <w:t>”</w:t>
      </w:r>
    </w:p>
    <w:p w14:paraId="69089864" w14:textId="77777777" w:rsidR="00577EC9" w:rsidRPr="00577EC9" w:rsidRDefault="00577EC9" w:rsidP="00577EC9">
      <w:pPr>
        <w:pStyle w:val="SingleTxtG"/>
        <w:rPr>
          <w:lang w:val="en-GB"/>
        </w:rPr>
      </w:pPr>
      <w:r w:rsidRPr="00577EC9">
        <w:t>6.4.23.8 c)</w:t>
      </w:r>
      <w:r w:rsidRPr="00577EC9">
        <w:tab/>
        <w:t xml:space="preserve">Sustitúyase </w:t>
      </w:r>
      <w:r w:rsidR="00655CB5">
        <w:t>“</w:t>
      </w:r>
      <w:r w:rsidRPr="00577EC9">
        <w:t>métodos de cálculo</w:t>
      </w:r>
      <w:r w:rsidR="00655CB5">
        <w:t>”</w:t>
      </w:r>
      <w:r w:rsidRPr="00577EC9">
        <w:t xml:space="preserve"> por </w:t>
      </w:r>
      <w:r w:rsidR="00655CB5">
        <w:t>“</w:t>
      </w:r>
      <w:r w:rsidRPr="00577EC9">
        <w:t>cálculos</w:t>
      </w:r>
      <w:r w:rsidR="00655CB5">
        <w:t>”</w:t>
      </w:r>
      <w:r w:rsidRPr="00577EC9">
        <w:t xml:space="preserve">. </w:t>
      </w:r>
    </w:p>
    <w:p w14:paraId="09CB1B22" w14:textId="77777777" w:rsidR="00577EC9" w:rsidRPr="00577EC9" w:rsidRDefault="00577EC9" w:rsidP="00577EC9">
      <w:pPr>
        <w:pStyle w:val="SingleTxtG"/>
        <w:rPr>
          <w:lang w:val="en-GB"/>
        </w:rPr>
      </w:pPr>
      <w:r w:rsidRPr="00577EC9">
        <w:t>6.4.23.10 h)</w:t>
      </w:r>
      <w:r w:rsidRPr="00577EC9">
        <w:tab/>
        <w:t xml:space="preserve">Sustitúyase </w:t>
      </w:r>
      <w:r w:rsidR="00655CB5">
        <w:t>“</w:t>
      </w:r>
      <w:r w:rsidRPr="00577EC9">
        <w:t xml:space="preserve">Normas básicas internacionales de seguridad para la protección contra la radiación ionizante y para la seguridad de las fuentes de radiación, Colección Seguridad </w:t>
      </w:r>
      <w:r w:rsidR="002C5BE2">
        <w:t>núm.</w:t>
      </w:r>
      <w:r w:rsidRPr="00577EC9">
        <w:t xml:space="preserve"> 115, OIEA, Viena (1996)</w:t>
      </w:r>
      <w:r w:rsidR="00655CB5">
        <w:t>”</w:t>
      </w:r>
      <w:r w:rsidRPr="00577EC9">
        <w:t xml:space="preserve"> por </w:t>
      </w:r>
      <w:r w:rsidR="00655CB5">
        <w:t>“</w:t>
      </w:r>
      <w:r w:rsidRPr="00577EC9">
        <w:t>Protección radiológica y seguridad de las fuentes de radiación: normas básicas internacionales de seguridad</w:t>
      </w:r>
      <w:r w:rsidR="00655CB5">
        <w:t>”</w:t>
      </w:r>
      <w:r w:rsidRPr="00577EC9">
        <w:t xml:space="preserve">, Colección Normas de Seguridad del OIEA, Requisitos de Seguridad Generales </w:t>
      </w:r>
      <w:r w:rsidR="00655CB5">
        <w:t>núm.</w:t>
      </w:r>
      <w:r w:rsidRPr="00577EC9">
        <w:t xml:space="preserve"> GSR Part 3, OIEA, Viena (2014)</w:t>
      </w:r>
      <w:r w:rsidR="00655CB5">
        <w:t>”</w:t>
      </w:r>
      <w:r w:rsidRPr="00577EC9">
        <w:t>.</w:t>
      </w:r>
    </w:p>
    <w:p w14:paraId="4FDCA2EB" w14:textId="77777777" w:rsidR="00577EC9" w:rsidRPr="00577EC9" w:rsidRDefault="00577EC9" w:rsidP="00577EC9">
      <w:pPr>
        <w:pStyle w:val="SingleTxtG"/>
        <w:rPr>
          <w:lang w:val="en-GB"/>
        </w:rPr>
      </w:pPr>
      <w:r w:rsidRPr="00577EC9">
        <w:t>6.4.23.11</w:t>
      </w:r>
      <w:r w:rsidRPr="00577EC9">
        <w:tab/>
        <w:t>Suprímase el apartado d).</w:t>
      </w:r>
    </w:p>
    <w:p w14:paraId="5E62FAB8" w14:textId="77777777" w:rsidR="00577EC9" w:rsidRPr="00577EC9" w:rsidRDefault="00577EC9" w:rsidP="00577EC9">
      <w:pPr>
        <w:pStyle w:val="SingleTxtG"/>
        <w:rPr>
          <w:lang w:val="en-GB"/>
        </w:rPr>
      </w:pPr>
      <w:r w:rsidRPr="00577EC9">
        <w:t>6.4.23.12 a)</w:t>
      </w:r>
      <w:r w:rsidRPr="00577EC9">
        <w:tab/>
        <w:t xml:space="preserve">Sustitúyase </w:t>
      </w:r>
      <w:r w:rsidR="00655CB5">
        <w:t>“</w:t>
      </w:r>
      <w:r w:rsidRPr="00577EC9">
        <w:t>6.4.23.11 a), b), c) y d)</w:t>
      </w:r>
      <w:r w:rsidR="00655CB5">
        <w:t>”</w:t>
      </w:r>
      <w:r w:rsidRPr="00577EC9">
        <w:t xml:space="preserve"> por </w:t>
      </w:r>
      <w:r w:rsidR="00655CB5">
        <w:t>“</w:t>
      </w:r>
      <w:r w:rsidRPr="00577EC9">
        <w:t>6.4.23.11 a), b) y c)</w:t>
      </w:r>
      <w:r w:rsidR="00655CB5">
        <w:t>”</w:t>
      </w:r>
      <w:r w:rsidRPr="00577EC9">
        <w:t xml:space="preserve"> y suprímase </w:t>
      </w:r>
      <w:r w:rsidR="00655CB5">
        <w:t>“</w:t>
      </w:r>
      <w:r w:rsidRPr="00577EC9">
        <w:t xml:space="preserve">, añadiendo, si procede, los símbolos </w:t>
      </w:r>
      <w:r w:rsidR="0000583D">
        <w:t>‘</w:t>
      </w:r>
      <w:r w:rsidRPr="00577EC9">
        <w:t>-96</w:t>
      </w:r>
      <w:r w:rsidR="0000583D">
        <w:t>’”</w:t>
      </w:r>
      <w:r w:rsidRPr="00577EC9">
        <w:t>. La otra enmienda del texto inglés no se aplica al texto español.</w:t>
      </w:r>
    </w:p>
    <w:p w14:paraId="16394D85" w14:textId="77777777" w:rsidR="00577EC9" w:rsidRPr="00577EC9" w:rsidRDefault="00577EC9" w:rsidP="00577EC9">
      <w:pPr>
        <w:pStyle w:val="SingleTxtG"/>
        <w:rPr>
          <w:lang w:val="en-GB"/>
        </w:rPr>
      </w:pPr>
      <w:r w:rsidRPr="00577EC9">
        <w:t>6.4.23.15</w:t>
      </w:r>
      <w:r w:rsidRPr="00577EC9">
        <w:tab/>
        <w:t xml:space="preserve">En el inciso k) iii), sustitúyase </w:t>
      </w:r>
      <w:r w:rsidR="00655CB5">
        <w:t>“</w:t>
      </w:r>
      <w:r w:rsidRPr="00577EC9">
        <w:t>contenido</w:t>
      </w:r>
      <w:r w:rsidR="00655CB5">
        <w:t>”</w:t>
      </w:r>
      <w:r w:rsidRPr="00577EC9">
        <w:t xml:space="preserve"> por </w:t>
      </w:r>
      <w:r w:rsidR="00655CB5">
        <w:t>“</w:t>
      </w:r>
      <w:r w:rsidRPr="00577EC9">
        <w:t>bulto</w:t>
      </w:r>
      <w:r w:rsidR="00655CB5">
        <w:t>”</w:t>
      </w:r>
      <w:r w:rsidRPr="00577EC9">
        <w:t>.</w:t>
      </w:r>
    </w:p>
    <w:p w14:paraId="2F5FB7A4" w14:textId="77777777" w:rsidR="00577EC9" w:rsidRPr="00577EC9" w:rsidRDefault="00577EC9" w:rsidP="00577EC9">
      <w:pPr>
        <w:pStyle w:val="SingleTxtG"/>
        <w:rPr>
          <w:lang w:val="en-GB"/>
        </w:rPr>
      </w:pPr>
      <w:r w:rsidRPr="00577EC9">
        <w:t>6.4.23.17</w:t>
      </w:r>
      <w:r w:rsidRPr="00577EC9">
        <w:tab/>
        <w:t xml:space="preserve">En el inciso n) iv), sustitúyase </w:t>
      </w:r>
      <w:r w:rsidR="00655CB5">
        <w:t>“</w:t>
      </w:r>
      <w:r w:rsidRPr="00577EC9">
        <w:t>contenido</w:t>
      </w:r>
      <w:r w:rsidR="00655CB5">
        <w:t>”</w:t>
      </w:r>
      <w:r w:rsidRPr="00577EC9">
        <w:t xml:space="preserve"> por </w:t>
      </w:r>
      <w:r w:rsidR="00655CB5">
        <w:t>“</w:t>
      </w:r>
      <w:r w:rsidRPr="00577EC9">
        <w:t>bulto</w:t>
      </w:r>
      <w:r w:rsidR="00655CB5">
        <w:t>”</w:t>
      </w:r>
      <w:r w:rsidRPr="00577EC9">
        <w:t>.</w:t>
      </w:r>
    </w:p>
    <w:p w14:paraId="0614DDA2" w14:textId="77777777" w:rsidR="00577EC9" w:rsidRPr="00577EC9" w:rsidRDefault="00577EC9" w:rsidP="00577EC9">
      <w:pPr>
        <w:pStyle w:val="SingleTxtG"/>
        <w:rPr>
          <w:lang w:val="en-GB"/>
        </w:rPr>
      </w:pPr>
      <w:r w:rsidRPr="00577EC9">
        <w:t>Después del apartado 6.4.23.17 o), Insértese el nuevo apartado p) siguiente y renumérense en consecuencia los demás apartados:</w:t>
      </w:r>
    </w:p>
    <w:p w14:paraId="6987352A" w14:textId="77777777" w:rsidR="00577EC9" w:rsidRPr="00577EC9" w:rsidRDefault="00655CB5" w:rsidP="00F117AA">
      <w:pPr>
        <w:pStyle w:val="SingleTxtG"/>
        <w:ind w:left="2268"/>
        <w:rPr>
          <w:lang w:val="en-GB"/>
        </w:rPr>
      </w:pPr>
      <w:r>
        <w:t>“</w:t>
      </w:r>
      <w:r w:rsidR="00577EC9" w:rsidRPr="00577EC9">
        <w:t>p)</w:t>
      </w:r>
      <w:r w:rsidR="00577EC9" w:rsidRPr="00577EC9">
        <w:tab/>
        <w:t>En el caso de los diseños de bultos sujetos a lo dispuesto en 6.4.24.2, una declaración en la que se especifiquen los requisitos de la normativa vigente a los que no se ajuste el bulto;</w:t>
      </w:r>
      <w:r>
        <w:t>”</w:t>
      </w:r>
    </w:p>
    <w:p w14:paraId="030F77A2" w14:textId="77777777" w:rsidR="00577EC9" w:rsidRPr="00577EC9" w:rsidRDefault="00577EC9" w:rsidP="00D24E61">
      <w:pPr>
        <w:pStyle w:val="SingleTxtG"/>
        <w:keepNext/>
        <w:keepLines/>
        <w:tabs>
          <w:tab w:val="left" w:pos="2268"/>
        </w:tabs>
        <w:rPr>
          <w:lang w:val="en-GB"/>
        </w:rPr>
      </w:pPr>
      <w:r w:rsidRPr="00577EC9">
        <w:lastRenderedPageBreak/>
        <w:t>6.4.24</w:t>
      </w:r>
      <w:r w:rsidRPr="00577EC9">
        <w:tab/>
      </w:r>
      <w:r w:rsidRPr="00577EC9">
        <w:tab/>
        <w:t xml:space="preserve">Modifíquese el título anterior a 6.4.24.1 para que diga lo siguiente: </w:t>
      </w:r>
      <w:r w:rsidR="00655CB5">
        <w:t>“</w:t>
      </w:r>
      <w:r w:rsidRPr="00577EC9">
        <w:t>Bultos que no requieren la aprobación del diseño de la autoridad competente de conformidad con las ediciones de 1985 y de 1985 (enmendada en 1990), de 1996, de 1996 (revisada), de 1996 (enmendada e</w:t>
      </w:r>
      <w:r w:rsidR="002C5BE2">
        <w:t>n 2003), de 2005 y de 2009 del núm.</w:t>
      </w:r>
      <w:r w:rsidRPr="00577EC9">
        <w:t xml:space="preserve"> 6 de la Colección Seguridad del OIEA y del </w:t>
      </w:r>
      <w:r w:rsidR="00655CB5">
        <w:t>núm.</w:t>
      </w:r>
      <w:r w:rsidRPr="00577EC9">
        <w:t xml:space="preserve"> SSR-6 de la Colección Normas de Seguridad del OIEA.</w:t>
      </w:r>
      <w:r w:rsidR="00655CB5">
        <w:t>”</w:t>
      </w:r>
      <w:r w:rsidR="00AE6B67">
        <w:t>.</w:t>
      </w:r>
    </w:p>
    <w:p w14:paraId="036D407F" w14:textId="77777777" w:rsidR="00577EC9" w:rsidRPr="00577EC9" w:rsidRDefault="00577EC9" w:rsidP="00AE6B67">
      <w:pPr>
        <w:pStyle w:val="SingleTxtG"/>
        <w:keepNext/>
        <w:keepLines/>
        <w:rPr>
          <w:lang w:val="en-GB"/>
        </w:rPr>
      </w:pPr>
      <w:r w:rsidRPr="00577EC9">
        <w:t>6.4.24.1</w:t>
      </w:r>
      <w:r w:rsidRPr="00577EC9">
        <w:tab/>
        <w:t>Modifíquese para que diga lo siguiente:</w:t>
      </w:r>
    </w:p>
    <w:p w14:paraId="114FF5EC" w14:textId="77777777" w:rsidR="00577EC9" w:rsidRPr="00577EC9" w:rsidRDefault="00655CB5" w:rsidP="00577EC9">
      <w:pPr>
        <w:pStyle w:val="SingleTxtG"/>
        <w:rPr>
          <w:lang w:val="en-GB"/>
        </w:rPr>
      </w:pPr>
      <w:r>
        <w:t>“</w:t>
      </w:r>
      <w:r w:rsidR="00577EC9" w:rsidRPr="00577EC9">
        <w:t>Los bultos para cuyo diseño no se requiera la aprobación de la autoridad competente (bultos exceptuados, tipo IP-1, tipo IP-2, tipo IP-3 y bultos de tipo A) deberán cumplir íntegramente la presente Reglamentación, con la salvedad de que:</w:t>
      </w:r>
    </w:p>
    <w:p w14:paraId="439A2888" w14:textId="77777777" w:rsidR="00577EC9" w:rsidRPr="00577EC9" w:rsidRDefault="00577EC9" w:rsidP="00F117AA">
      <w:pPr>
        <w:pStyle w:val="SingleTxtG"/>
        <w:ind w:left="2268"/>
        <w:rPr>
          <w:lang w:val="en-GB"/>
        </w:rPr>
      </w:pPr>
      <w:r w:rsidRPr="00577EC9">
        <w:t>a)</w:t>
      </w:r>
      <w:r w:rsidRPr="00577EC9">
        <w:tab/>
        <w:t>Los bultos que cumplan los requisitos e</w:t>
      </w:r>
      <w:r w:rsidR="002C5BE2">
        <w:t>stablecidos en las ediciones de   </w:t>
      </w:r>
      <w:r w:rsidRPr="00577EC9">
        <w:t xml:space="preserve">1985 o de 1985 (enmendada en 1990) del </w:t>
      </w:r>
      <w:r w:rsidR="002C5BE2">
        <w:t>núm.</w:t>
      </w:r>
      <w:r w:rsidRPr="00577EC9">
        <w:t xml:space="preserve"> 6 de la Colección Seguridad del OIEA:</w:t>
      </w:r>
    </w:p>
    <w:p w14:paraId="0C11B0C7" w14:textId="77777777" w:rsidR="00577EC9" w:rsidRPr="00577EC9" w:rsidRDefault="00577EC9" w:rsidP="00F117AA">
      <w:pPr>
        <w:pStyle w:val="SingleTxtG"/>
        <w:ind w:left="3402" w:hanging="567"/>
        <w:rPr>
          <w:lang w:val="en-GB"/>
        </w:rPr>
      </w:pPr>
      <w:r w:rsidRPr="00577EC9">
        <w:t>i)</w:t>
      </w:r>
      <w:r w:rsidRPr="00577EC9">
        <w:tab/>
        <w:t xml:space="preserve">Se podrán seguir utilizando </w:t>
      </w:r>
      <w:r w:rsidR="002C5BE2">
        <w:t>en el transporte siempre que se </w:t>
      </w:r>
      <w:r w:rsidRPr="00577EC9">
        <w:t>hayan preparado para el transpor</w:t>
      </w:r>
      <w:r w:rsidR="002C5BE2">
        <w:t xml:space="preserve">te antes del 31 de diciembre de </w:t>
      </w:r>
      <w:r w:rsidRPr="00577EC9">
        <w:t>2003, y con sujeción a los requisitos establecidos en 6.4.24.4, si procede; o</w:t>
      </w:r>
    </w:p>
    <w:p w14:paraId="1DB7897A" w14:textId="77777777" w:rsidR="00577EC9" w:rsidRPr="00577EC9" w:rsidRDefault="00577EC9" w:rsidP="00F117AA">
      <w:pPr>
        <w:pStyle w:val="SingleTxtG"/>
        <w:ind w:left="3402" w:hanging="567"/>
        <w:rPr>
          <w:lang w:val="en-GB"/>
        </w:rPr>
      </w:pPr>
      <w:r w:rsidRPr="00577EC9">
        <w:t>ii)</w:t>
      </w:r>
      <w:r w:rsidRPr="00577EC9">
        <w:tab/>
        <w:t>Se podrán seguir utilizando siempre que se cumplan todas las condiciones siguientes:</w:t>
      </w:r>
    </w:p>
    <w:p w14:paraId="2521D63A" w14:textId="77777777" w:rsidR="00577EC9" w:rsidRPr="00577EC9" w:rsidRDefault="00577EC9" w:rsidP="00F117AA">
      <w:pPr>
        <w:pStyle w:val="SingleTxtG"/>
        <w:ind w:left="3402"/>
        <w:rPr>
          <w:lang w:val="en-GB"/>
        </w:rPr>
      </w:pPr>
      <w:r w:rsidRPr="00577EC9">
        <w:t>-</w:t>
      </w:r>
      <w:r w:rsidRPr="00577EC9">
        <w:tab/>
        <w:t xml:space="preserve">No hayan sido diseñados para </w:t>
      </w:r>
      <w:r w:rsidR="002C5BE2">
        <w:t>contener hexafluoruro de uranio.</w:t>
      </w:r>
    </w:p>
    <w:p w14:paraId="1E243ECC" w14:textId="77777777" w:rsidR="00577EC9" w:rsidRPr="00577EC9" w:rsidRDefault="00577EC9" w:rsidP="00F117AA">
      <w:pPr>
        <w:pStyle w:val="SingleTxtG"/>
        <w:ind w:left="3402"/>
        <w:rPr>
          <w:lang w:val="en-GB"/>
        </w:rPr>
      </w:pPr>
      <w:r w:rsidRPr="00577EC9">
        <w:t>-</w:t>
      </w:r>
      <w:r w:rsidRPr="00577EC9">
        <w:tab/>
        <w:t>Se apliquen las prescripciones pertinentes de la sección 1.5.3.</w:t>
      </w:r>
      <w:r w:rsidR="002C5BE2">
        <w:t>1 de la presente Reglamentación.</w:t>
      </w:r>
    </w:p>
    <w:p w14:paraId="6F89D5C6" w14:textId="77777777" w:rsidR="00577EC9" w:rsidRPr="00577EC9" w:rsidRDefault="00577EC9" w:rsidP="00F117AA">
      <w:pPr>
        <w:pStyle w:val="SingleTxtG"/>
        <w:ind w:left="3402"/>
        <w:rPr>
          <w:lang w:val="en-GB"/>
        </w:rPr>
      </w:pPr>
      <w:r w:rsidRPr="00577EC9">
        <w:t>-</w:t>
      </w:r>
      <w:r w:rsidRPr="00577EC9">
        <w:tab/>
        <w:t>Se apliquen los límites de actividad y la clasificación que figuran en el capítulo 2.</w:t>
      </w:r>
      <w:r w:rsidR="002C5BE2">
        <w:t>7 de la presente Reglamentación.</w:t>
      </w:r>
    </w:p>
    <w:p w14:paraId="15DAF994" w14:textId="77777777" w:rsidR="00577EC9" w:rsidRPr="00577EC9" w:rsidRDefault="00577EC9" w:rsidP="00F117AA">
      <w:pPr>
        <w:pStyle w:val="SingleTxtG"/>
        <w:ind w:left="3402"/>
        <w:rPr>
          <w:lang w:val="en-GB"/>
        </w:rPr>
      </w:pPr>
      <w:r w:rsidRPr="00577EC9">
        <w:t>-</w:t>
      </w:r>
      <w:r w:rsidRPr="00577EC9">
        <w:tab/>
        <w:t xml:space="preserve">Se apliquen los requisitos y controles para el transporte que figuran en las partes 1, 3, 4, 5 y 7 </w:t>
      </w:r>
      <w:r w:rsidR="002C5BE2">
        <w:t>de la presente Reglamentación.</w:t>
      </w:r>
    </w:p>
    <w:p w14:paraId="0CA564EE" w14:textId="77777777" w:rsidR="00577EC9" w:rsidRPr="00577EC9" w:rsidRDefault="00577EC9" w:rsidP="00F117AA">
      <w:pPr>
        <w:pStyle w:val="SingleTxtG"/>
        <w:ind w:left="3402"/>
        <w:rPr>
          <w:lang w:val="en-GB"/>
        </w:rPr>
      </w:pPr>
      <w:r w:rsidRPr="00577EC9">
        <w:t>-</w:t>
      </w:r>
      <w:r w:rsidRPr="00577EC9">
        <w:tab/>
        <w:t>El embalaje/envase no se haya fabricado o modificado después del 31 de diciembre de 2003.</w:t>
      </w:r>
    </w:p>
    <w:p w14:paraId="401DC0D9" w14:textId="77777777" w:rsidR="00577EC9" w:rsidRPr="00577EC9" w:rsidRDefault="00577EC9" w:rsidP="00577EC9">
      <w:pPr>
        <w:pStyle w:val="SingleTxtG"/>
        <w:rPr>
          <w:lang w:val="en-GB"/>
        </w:rPr>
      </w:pPr>
      <w:r w:rsidRPr="00577EC9">
        <w:t>b)</w:t>
      </w:r>
      <w:r w:rsidRPr="00577EC9">
        <w:tab/>
        <w:t xml:space="preserve">Los bultos que cumplan los requisitos establecidos en las ediciones de 1996, de 1996 (revisada), de 1996 (enmendada en 2003), de 2005 o de 2009 del </w:t>
      </w:r>
      <w:r w:rsidR="00655CB5">
        <w:t>núm.</w:t>
      </w:r>
      <w:r w:rsidRPr="00577EC9">
        <w:t xml:space="preserve"> 6 de la Colección Seguridad del OIEA, o del </w:t>
      </w:r>
      <w:r w:rsidR="00655CB5">
        <w:t>núm.</w:t>
      </w:r>
      <w:r w:rsidRPr="00577EC9">
        <w:t xml:space="preserve"> SSR-6 de la edición 2012 de la Colección de Normas de Seguridad del OIEA:</w:t>
      </w:r>
    </w:p>
    <w:p w14:paraId="507C1C1F" w14:textId="77777777" w:rsidR="00577EC9" w:rsidRPr="00577EC9" w:rsidRDefault="00577EC9" w:rsidP="00F117AA">
      <w:pPr>
        <w:pStyle w:val="SingleTxtG"/>
        <w:ind w:left="2835"/>
        <w:rPr>
          <w:lang w:val="en-GB"/>
        </w:rPr>
      </w:pPr>
      <w:r w:rsidRPr="00577EC9">
        <w:t>i)</w:t>
      </w:r>
      <w:r w:rsidRPr="00577EC9">
        <w:tab/>
        <w:t>Se podrán seguir utilizando siempr</w:t>
      </w:r>
      <w:r w:rsidR="00036516">
        <w:t xml:space="preserve">e que se hallan preparado para </w:t>
      </w:r>
      <w:r w:rsidRPr="00577EC9">
        <w:t>el transporte antes del 31 de diciembre de 2025, y con sujeción a los requisitos establecidos en 6.4.24.4, si procede; o</w:t>
      </w:r>
    </w:p>
    <w:p w14:paraId="444FC28E" w14:textId="77777777" w:rsidR="00577EC9" w:rsidRPr="00577EC9" w:rsidRDefault="00577EC9" w:rsidP="00F117AA">
      <w:pPr>
        <w:pStyle w:val="SingleTxtG"/>
        <w:ind w:left="2835"/>
        <w:rPr>
          <w:lang w:val="en-GB"/>
        </w:rPr>
      </w:pPr>
      <w:r w:rsidRPr="00577EC9">
        <w:t>ii)</w:t>
      </w:r>
      <w:r w:rsidRPr="00577EC9">
        <w:tab/>
        <w:t>Se podrán seguir utilizando siempre que se cumplan todas las condiciones siguientes:</w:t>
      </w:r>
    </w:p>
    <w:p w14:paraId="42E78DA3" w14:textId="77777777" w:rsidR="00577EC9" w:rsidRPr="00577EC9" w:rsidRDefault="00577EC9" w:rsidP="00F117AA">
      <w:pPr>
        <w:pStyle w:val="SingleTxtG"/>
        <w:ind w:left="3402"/>
        <w:rPr>
          <w:lang w:val="en-GB"/>
        </w:rPr>
      </w:pPr>
      <w:r w:rsidRPr="00577EC9">
        <w:t>-</w:t>
      </w:r>
      <w:r w:rsidRPr="00577EC9">
        <w:tab/>
        <w:t>Se apliquen las prescripciones de la sección 1.5.3.</w:t>
      </w:r>
      <w:r w:rsidR="002C5BE2">
        <w:t>1 de la presente Reglamentación.</w:t>
      </w:r>
    </w:p>
    <w:p w14:paraId="48318E11" w14:textId="77777777" w:rsidR="00577EC9" w:rsidRPr="00577EC9" w:rsidRDefault="00577EC9" w:rsidP="00F117AA">
      <w:pPr>
        <w:pStyle w:val="SingleTxtG"/>
        <w:ind w:left="3402"/>
        <w:rPr>
          <w:lang w:val="en-GB"/>
        </w:rPr>
      </w:pPr>
      <w:r w:rsidRPr="00577EC9">
        <w:t>-</w:t>
      </w:r>
      <w:r w:rsidRPr="00577EC9">
        <w:tab/>
        <w:t xml:space="preserve">Se apliquen los límites de actividad y la clasificación que figuran en el capítulo 2.7 de la presente </w:t>
      </w:r>
      <w:r w:rsidR="002C5BE2">
        <w:t>Reglamentación.</w:t>
      </w:r>
    </w:p>
    <w:p w14:paraId="3023F293" w14:textId="77777777" w:rsidR="00577EC9" w:rsidRPr="00577EC9" w:rsidRDefault="00577EC9" w:rsidP="00F117AA">
      <w:pPr>
        <w:pStyle w:val="SingleTxtG"/>
        <w:ind w:left="3402"/>
        <w:rPr>
          <w:lang w:val="en-GB"/>
        </w:rPr>
      </w:pPr>
      <w:r w:rsidRPr="00577EC9">
        <w:t>-</w:t>
      </w:r>
      <w:r w:rsidRPr="00577EC9">
        <w:tab/>
        <w:t xml:space="preserve">Se apliquen los requisitos y controles para el transporte que figuran en las partes 1, 3, 4, 5 y 7 </w:t>
      </w:r>
      <w:r w:rsidR="002C5BE2">
        <w:t>de la presente Reglamentación.</w:t>
      </w:r>
    </w:p>
    <w:p w14:paraId="6E1DC76B" w14:textId="77777777" w:rsidR="00577EC9" w:rsidRPr="00577EC9" w:rsidRDefault="00577EC9" w:rsidP="00F117AA">
      <w:pPr>
        <w:pStyle w:val="SingleTxtG"/>
        <w:ind w:left="3402"/>
        <w:rPr>
          <w:lang w:val="en-GB"/>
        </w:rPr>
      </w:pPr>
      <w:r w:rsidRPr="00577EC9">
        <w:t>-</w:t>
      </w:r>
      <w:r w:rsidRPr="00577EC9">
        <w:tab/>
        <w:t>El embalaje/envase no se haya fabricado o modificado después del 31 de diciembre de 2025.</w:t>
      </w:r>
      <w:r w:rsidR="00655CB5">
        <w:t>”</w:t>
      </w:r>
    </w:p>
    <w:p w14:paraId="077841CB" w14:textId="77777777" w:rsidR="00577EC9" w:rsidRPr="00577EC9" w:rsidRDefault="00577EC9" w:rsidP="00D24E61">
      <w:pPr>
        <w:pStyle w:val="SingleTxtG"/>
        <w:keepNext/>
        <w:keepLines/>
        <w:rPr>
          <w:lang w:val="en-GB"/>
        </w:rPr>
      </w:pPr>
      <w:r w:rsidRPr="00577EC9">
        <w:lastRenderedPageBreak/>
        <w:t>Modifíquese el título anterior a 6.4.24.</w:t>
      </w:r>
      <w:r w:rsidR="00AE6B67">
        <w:t>2</w:t>
      </w:r>
      <w:r w:rsidRPr="00577EC9">
        <w:t xml:space="preserve"> para que diga lo siguiente: </w:t>
      </w:r>
      <w:r w:rsidR="00655CB5">
        <w:t>“</w:t>
      </w:r>
      <w:r w:rsidRPr="00577EC9">
        <w:t xml:space="preserve">Bultos aprobados de conformidad con las ediciones de 1973, de 1973 (enmendada), de 1985 y de 1985 (enmendada en 1990), de 1996, de 1996 (revisada), de 1996 (enmendada en 2003), de 2005 y de 2009 del </w:t>
      </w:r>
      <w:r w:rsidR="00655CB5">
        <w:t>núm.</w:t>
      </w:r>
      <w:r w:rsidRPr="00577EC9">
        <w:t xml:space="preserve"> 6 de la Colección Seguridad del OIEA, o del </w:t>
      </w:r>
      <w:r w:rsidR="00655CB5">
        <w:t>núm.</w:t>
      </w:r>
      <w:r w:rsidRPr="00577EC9">
        <w:t xml:space="preserve"> SSR-6 de la edición 2012 de la Colección de Normas de Seguridad del OIEA.</w:t>
      </w:r>
      <w:r w:rsidR="00655CB5">
        <w:t>”</w:t>
      </w:r>
    </w:p>
    <w:p w14:paraId="2B80CE35" w14:textId="77777777" w:rsidR="00577EC9" w:rsidRPr="00577EC9" w:rsidRDefault="00577EC9" w:rsidP="00AE6B67">
      <w:pPr>
        <w:pStyle w:val="SingleTxtG"/>
        <w:keepNext/>
        <w:keepLines/>
        <w:rPr>
          <w:lang w:val="en-GB"/>
        </w:rPr>
      </w:pPr>
      <w:r w:rsidRPr="00577EC9">
        <w:t>6.4.24.2</w:t>
      </w:r>
      <w:r w:rsidRPr="00577EC9">
        <w:tab/>
        <w:t>Modifíquese para que diga lo siguiente:</w:t>
      </w:r>
    </w:p>
    <w:p w14:paraId="07738958" w14:textId="77777777" w:rsidR="00577EC9" w:rsidRPr="00577EC9" w:rsidRDefault="00655CB5" w:rsidP="00AE6B67">
      <w:pPr>
        <w:pStyle w:val="SingleTxtG"/>
        <w:keepNext/>
        <w:keepLines/>
        <w:rPr>
          <w:lang w:val="en-GB"/>
        </w:rPr>
      </w:pPr>
      <w:r>
        <w:t>“</w:t>
      </w:r>
      <w:r w:rsidR="00577EC9" w:rsidRPr="00577EC9">
        <w:t>Los bultos cuyo diseño requiera la aprobación de la autoridad competente deberán cumplir íntegramente la presente Reglamentación, con la salvedad de que:</w:t>
      </w:r>
    </w:p>
    <w:p w14:paraId="7668B062" w14:textId="77777777" w:rsidR="00577EC9" w:rsidRPr="00577EC9" w:rsidRDefault="00577EC9" w:rsidP="00A44021">
      <w:pPr>
        <w:pStyle w:val="SingleTxtG"/>
        <w:ind w:left="2268"/>
        <w:rPr>
          <w:lang w:val="en-GB"/>
        </w:rPr>
      </w:pPr>
      <w:r w:rsidRPr="00577EC9">
        <w:t>a)</w:t>
      </w:r>
      <w:r w:rsidRPr="00577EC9">
        <w:tab/>
        <w:t xml:space="preserve">Los embalajes/envases se hayan fabricado según un diseño de bulto aprobado por la autoridad competente en virtud de las disposiciones de las ediciones de 1985 o de 1985 (enmendada en 1990) del </w:t>
      </w:r>
      <w:r w:rsidR="00655CB5">
        <w:t>núm.</w:t>
      </w:r>
      <w:r w:rsidRPr="00577EC9">
        <w:t xml:space="preserve"> 6 de la Colección Normas de Seguridad del OIEA se podrán seguir utilizando siempre que se cumplan todas las condiciones siguientes:</w:t>
      </w:r>
    </w:p>
    <w:p w14:paraId="2943A161" w14:textId="77777777" w:rsidR="00577EC9" w:rsidRPr="00577EC9" w:rsidRDefault="00577EC9" w:rsidP="00A44021">
      <w:pPr>
        <w:pStyle w:val="SingleTxtG"/>
        <w:ind w:left="3402" w:hanging="567"/>
      </w:pPr>
      <w:r w:rsidRPr="00577EC9">
        <w:t>i)</w:t>
      </w:r>
      <w:r w:rsidRPr="00577EC9">
        <w:tab/>
        <w:t>El diseño del bulto esté sujeto a aprobación multilateral;</w:t>
      </w:r>
    </w:p>
    <w:p w14:paraId="2292D0CB" w14:textId="77777777" w:rsidR="00577EC9" w:rsidRPr="00577EC9" w:rsidRDefault="00577EC9" w:rsidP="00A44021">
      <w:pPr>
        <w:pStyle w:val="SingleTxtG"/>
        <w:ind w:left="3402" w:hanging="567"/>
      </w:pPr>
      <w:r w:rsidRPr="00577EC9">
        <w:t>ii)</w:t>
      </w:r>
      <w:r w:rsidRPr="00577EC9">
        <w:tab/>
        <w:t xml:space="preserve">Se apliquen las prescripciones pertinentes de la sección 1.5.3.1 </w:t>
      </w:r>
      <w:r w:rsidRPr="00577EC9">
        <w:tab/>
        <w:t xml:space="preserve">de la presente Reglamentación; </w:t>
      </w:r>
    </w:p>
    <w:p w14:paraId="7560CB51" w14:textId="77777777" w:rsidR="00577EC9" w:rsidRPr="00577EC9" w:rsidRDefault="00577EC9" w:rsidP="00A44021">
      <w:pPr>
        <w:pStyle w:val="SingleTxtG"/>
        <w:ind w:left="3402" w:hanging="567"/>
      </w:pPr>
      <w:r w:rsidRPr="00577EC9">
        <w:t>iii)</w:t>
      </w:r>
      <w:r w:rsidRPr="00577EC9">
        <w:tab/>
        <w:t>Se apliquen los límites de actividad y la clasi</w:t>
      </w:r>
      <w:r w:rsidR="00D84B85">
        <w:t xml:space="preserve">ficación que figuran </w:t>
      </w:r>
      <w:r w:rsidRPr="00577EC9">
        <w:t>en el capítulo 2.7 de la presente Reglamentación;</w:t>
      </w:r>
    </w:p>
    <w:p w14:paraId="1D64DEE2" w14:textId="77777777" w:rsidR="00577EC9" w:rsidRPr="00577EC9" w:rsidRDefault="00577EC9" w:rsidP="00A44021">
      <w:pPr>
        <w:pStyle w:val="SingleTxtG"/>
        <w:ind w:left="3402" w:hanging="567"/>
      </w:pPr>
      <w:r w:rsidRPr="00577EC9">
        <w:t>iv)</w:t>
      </w:r>
      <w:r w:rsidRPr="00577EC9">
        <w:tab/>
        <w:t xml:space="preserve">Se apliquen los requisitos </w:t>
      </w:r>
      <w:r w:rsidR="00D84B85">
        <w:t xml:space="preserve">y controles para el transporte </w:t>
      </w:r>
      <w:r w:rsidRPr="00577EC9">
        <w:tab/>
        <w:t>establecidos en las partes 1, 3, 4, 5 y 7 de la presente Reglamentación;</w:t>
      </w:r>
    </w:p>
    <w:p w14:paraId="41C752B4" w14:textId="77777777" w:rsidR="00577EC9" w:rsidRPr="00577EC9" w:rsidRDefault="00577EC9" w:rsidP="00A44021">
      <w:pPr>
        <w:pStyle w:val="SingleTxtG"/>
        <w:ind w:left="3402" w:hanging="567"/>
      </w:pPr>
      <w:r w:rsidRPr="00577EC9">
        <w:t>v)</w:t>
      </w:r>
      <w:r w:rsidRPr="00577EC9">
        <w:tab/>
        <w:t xml:space="preserve">En el caso de los bultos que contengan sustancias fisionables y se transporten por vía aérea, se cumplan los requisitos establecidos en 6.4.11.11; </w:t>
      </w:r>
    </w:p>
    <w:p w14:paraId="16BC8BA0" w14:textId="77777777" w:rsidR="00577EC9" w:rsidRPr="00577EC9" w:rsidRDefault="00577EC9" w:rsidP="00A44021">
      <w:pPr>
        <w:pStyle w:val="SingleTxtG"/>
        <w:ind w:left="2268"/>
        <w:rPr>
          <w:lang w:val="en-GB"/>
        </w:rPr>
      </w:pPr>
      <w:r w:rsidRPr="00577EC9">
        <w:t>b)</w:t>
      </w:r>
      <w:r w:rsidRPr="00577EC9">
        <w:tab/>
        <w:t xml:space="preserve">Los embalajes/envases se hayan fabricado según un diseño de bulto aprobado por la autoridad competente en virtud de las disposiciones de las ediciones de 1996, de 1996 (revisada), </w:t>
      </w:r>
      <w:r w:rsidR="00D84B85">
        <w:t>de 1996 (enmendada en 2003), de </w:t>
      </w:r>
      <w:r w:rsidRPr="00577EC9">
        <w:t xml:space="preserve">2005 o de 2009 del </w:t>
      </w:r>
      <w:r w:rsidR="00655CB5">
        <w:t>núm.</w:t>
      </w:r>
      <w:r w:rsidRPr="00577EC9">
        <w:t xml:space="preserve"> 6 de la Colección Seguridad del OIEA, o del </w:t>
      </w:r>
      <w:r w:rsidR="00655CB5">
        <w:t>núm.</w:t>
      </w:r>
      <w:r w:rsidRPr="00577EC9">
        <w:t xml:space="preserve"> SSR-6 de la edición 2012 de la Colección de Normas de Seguridad del OIEA se podrán seguir utilizando siempre que se cumplan todas las condiciones siguientes:</w:t>
      </w:r>
      <w:bookmarkStart w:id="17" w:name="_Hlk536709372"/>
      <w:bookmarkEnd w:id="17"/>
    </w:p>
    <w:p w14:paraId="5A45307F" w14:textId="77777777" w:rsidR="00577EC9" w:rsidRPr="00577EC9" w:rsidRDefault="00577EC9" w:rsidP="00A44021">
      <w:pPr>
        <w:pStyle w:val="SingleTxtG"/>
        <w:ind w:left="3402" w:hanging="567"/>
        <w:rPr>
          <w:lang w:val="en-GB"/>
        </w:rPr>
      </w:pPr>
      <w:r w:rsidRPr="00577EC9">
        <w:t>i)</w:t>
      </w:r>
      <w:r w:rsidRPr="00577EC9">
        <w:tab/>
        <w:t>El diseño del bulto esté sujeto a aprobación multilateral a partir del 31 de diciembre de 2025;</w:t>
      </w:r>
    </w:p>
    <w:p w14:paraId="2B625AE5" w14:textId="77777777" w:rsidR="00577EC9" w:rsidRPr="00577EC9" w:rsidRDefault="00577EC9" w:rsidP="00A44021">
      <w:pPr>
        <w:pStyle w:val="SingleTxtG"/>
        <w:ind w:left="3402" w:hanging="567"/>
        <w:rPr>
          <w:lang w:val="en-GB"/>
        </w:rPr>
      </w:pPr>
      <w:r w:rsidRPr="00577EC9">
        <w:t>ii)</w:t>
      </w:r>
      <w:r w:rsidRPr="00577EC9">
        <w:tab/>
        <w:t>Se apliquen las prescripciones pertinentes de la sección 1.5.3.1 de la presente Reglamentación;</w:t>
      </w:r>
    </w:p>
    <w:p w14:paraId="7745C619" w14:textId="77777777" w:rsidR="00577EC9" w:rsidRPr="00577EC9" w:rsidRDefault="00577EC9" w:rsidP="00A44021">
      <w:pPr>
        <w:pStyle w:val="SingleTxtG"/>
        <w:ind w:left="3402" w:hanging="567"/>
        <w:rPr>
          <w:lang w:val="en-GB"/>
        </w:rPr>
      </w:pPr>
      <w:r w:rsidRPr="00577EC9">
        <w:t>iii)</w:t>
      </w:r>
      <w:r w:rsidRPr="00577EC9">
        <w:tab/>
        <w:t>Se apliquen los límites de actividad y la clasificación que figuran en el capítulo 2.7 de la presente Reglamentación;</w:t>
      </w:r>
    </w:p>
    <w:p w14:paraId="4ACDB527" w14:textId="77777777" w:rsidR="00577EC9" w:rsidRPr="00577EC9" w:rsidRDefault="00577EC9" w:rsidP="00A44021">
      <w:pPr>
        <w:pStyle w:val="SingleTxtG"/>
        <w:ind w:left="3402" w:hanging="567"/>
        <w:rPr>
          <w:lang w:val="en-GB"/>
        </w:rPr>
      </w:pPr>
      <w:r w:rsidRPr="00577EC9">
        <w:t>iv)</w:t>
      </w:r>
      <w:r w:rsidRPr="00577EC9">
        <w:tab/>
        <w:t xml:space="preserve">Se apliquen los requisitos y controles para el transporte que figuran en las partes 1, 3, 4, 5 y </w:t>
      </w:r>
      <w:r w:rsidR="00D84B85">
        <w:t>7 de la presente Reglamentación.”</w:t>
      </w:r>
    </w:p>
    <w:p w14:paraId="50AB6D9D" w14:textId="77777777" w:rsidR="00577EC9" w:rsidRPr="00577EC9" w:rsidRDefault="00577EC9" w:rsidP="00577EC9">
      <w:pPr>
        <w:pStyle w:val="SingleTxtG"/>
        <w:rPr>
          <w:lang w:val="en-GB"/>
        </w:rPr>
      </w:pPr>
      <w:r w:rsidRPr="00577EC9">
        <w:t>6.4.24.4</w:t>
      </w:r>
      <w:r w:rsidRPr="00577EC9">
        <w:tab/>
        <w:t>Insértese el nuevo párrafo siguiente:</w:t>
      </w:r>
    </w:p>
    <w:p w14:paraId="5B98EEB5" w14:textId="77777777" w:rsidR="00577EC9" w:rsidRPr="00577EC9" w:rsidRDefault="00655CB5" w:rsidP="00577EC9">
      <w:pPr>
        <w:pStyle w:val="SingleTxtG"/>
        <w:rPr>
          <w:lang w:val="en-GB"/>
        </w:rPr>
      </w:pPr>
      <w:r>
        <w:t>“</w:t>
      </w:r>
      <w:r w:rsidR="00577EC9" w:rsidRPr="00577EC9">
        <w:t>6.4.24.4</w:t>
      </w:r>
      <w:r w:rsidR="00577EC9" w:rsidRPr="00577EC9">
        <w:tab/>
        <w:t xml:space="preserve">No se permitirá que después del 31 de diciembre de 2028 se inicie ninguna nueva fabricación de </w:t>
      </w:r>
      <w:r w:rsidR="00577EC9" w:rsidRPr="00577EC9">
        <w:rPr>
          <w:i/>
          <w:iCs/>
        </w:rPr>
        <w:t>embalajes/envases</w:t>
      </w:r>
      <w:r w:rsidR="00577EC9" w:rsidRPr="00577EC9">
        <w:t xml:space="preserve"> de un </w:t>
      </w:r>
      <w:r w:rsidR="00577EC9" w:rsidRPr="00577EC9">
        <w:rPr>
          <w:i/>
          <w:iCs/>
        </w:rPr>
        <w:t xml:space="preserve">diseño de bulto </w:t>
      </w:r>
      <w:r w:rsidR="00577EC9" w:rsidRPr="00577EC9">
        <w:t>que cumpla las disposiciones de las ediciones de 1996, de 1996 (revisada), de 1996 (mo</w:t>
      </w:r>
      <w:r w:rsidR="00D84B85">
        <w:t>dificada en 2003), de 2005 o de </w:t>
      </w:r>
      <w:r w:rsidR="00577EC9" w:rsidRPr="00577EC9">
        <w:t xml:space="preserve">2009 de la Colección Seguridad </w:t>
      </w:r>
      <w:r>
        <w:t>núm.</w:t>
      </w:r>
      <w:r w:rsidR="00577EC9" w:rsidRPr="00577EC9">
        <w:t xml:space="preserve"> 6 del OIEA, o de la edición de 2012 de la Colección de Normas de Seguridad </w:t>
      </w:r>
      <w:r>
        <w:t>núm.</w:t>
      </w:r>
      <w:r w:rsidR="00577EC9" w:rsidRPr="00577EC9">
        <w:t xml:space="preserve"> SSR-6 del OIEA.</w:t>
      </w:r>
      <w:r>
        <w:t>”</w:t>
      </w:r>
    </w:p>
    <w:p w14:paraId="150A8B52" w14:textId="77777777" w:rsidR="00577EC9" w:rsidRPr="00577EC9" w:rsidRDefault="00577EC9" w:rsidP="00577EC9">
      <w:pPr>
        <w:pStyle w:val="SingleTxtG"/>
        <w:rPr>
          <w:lang w:val="en-GB"/>
        </w:rPr>
      </w:pPr>
      <w:r w:rsidRPr="00577EC9">
        <w:t>Renumérese los actuales 6.4.24.4 y 6.4</w:t>
      </w:r>
      <w:r w:rsidR="00D84B85">
        <w:t>.24.5 como 6.4.24.5 y 6.4.24.6.</w:t>
      </w:r>
    </w:p>
    <w:p w14:paraId="508F7C0A" w14:textId="77777777" w:rsidR="00577EC9" w:rsidRPr="00577EC9" w:rsidRDefault="00D84B85" w:rsidP="00577EC9">
      <w:pPr>
        <w:pStyle w:val="SingleTxtG"/>
        <w:rPr>
          <w:lang w:val="en-GB"/>
        </w:rPr>
      </w:pPr>
      <w:r>
        <w:t xml:space="preserve">6.4.24.6 </w:t>
      </w:r>
      <w:r w:rsidR="00577EC9" w:rsidRPr="00577EC9">
        <w:t>(anter</w:t>
      </w:r>
      <w:r>
        <w:t>ior 6.4.24.5)</w:t>
      </w:r>
      <w:r>
        <w:tab/>
      </w:r>
      <w:r w:rsidR="00577EC9" w:rsidRPr="00577EC9">
        <w:t xml:space="preserve">Modifíquese el título para que diga lo siguiente: </w:t>
      </w:r>
      <w:r w:rsidR="00655CB5">
        <w:t>“</w:t>
      </w:r>
      <w:r w:rsidR="00577EC9" w:rsidRPr="00577EC9">
        <w:t>Materiales radiactivos en forma especial aprobados de conformidad</w:t>
      </w:r>
      <w:r>
        <w:t xml:space="preserve"> con las ediciones de 1985 y de </w:t>
      </w:r>
      <w:r w:rsidR="00577EC9" w:rsidRPr="00577EC9">
        <w:t xml:space="preserve">1985 (enmendada en 1990), de 1996, de 1996 (revisada), de 1996 (modificada en 2003), de 2005 </w:t>
      </w:r>
      <w:r w:rsidR="00577EC9" w:rsidRPr="00577EC9">
        <w:lastRenderedPageBreak/>
        <w:t xml:space="preserve">o de 2009 de la Colección Seguridad </w:t>
      </w:r>
      <w:r w:rsidR="00655CB5">
        <w:t>núm.</w:t>
      </w:r>
      <w:r w:rsidR="00577EC9" w:rsidRPr="00577EC9">
        <w:t xml:space="preserve"> 6 del OIEA, o de la edición de 2012 de la Colección Normas de Seguridad </w:t>
      </w:r>
      <w:r w:rsidR="00655CB5">
        <w:t>núm.</w:t>
      </w:r>
      <w:r w:rsidR="00577EC9" w:rsidRPr="00577EC9">
        <w:t xml:space="preserve"> SSR-6 del OIEA</w:t>
      </w:r>
      <w:r w:rsidR="00655CB5">
        <w:t>”</w:t>
      </w:r>
      <w:r w:rsidR="00577EC9" w:rsidRPr="00577EC9">
        <w:t>.</w:t>
      </w:r>
    </w:p>
    <w:p w14:paraId="2B966EC4" w14:textId="77777777" w:rsidR="00577EC9" w:rsidRPr="00577EC9" w:rsidRDefault="00D84B85" w:rsidP="00577EC9">
      <w:pPr>
        <w:pStyle w:val="SingleTxtG"/>
        <w:rPr>
          <w:lang w:val="en-GB"/>
        </w:rPr>
      </w:pPr>
      <w:r>
        <w:t xml:space="preserve">6.4.24.6 </w:t>
      </w:r>
      <w:r w:rsidR="00577EC9" w:rsidRPr="00577EC9">
        <w:t>(anterior 6.4.24.5)</w:t>
      </w:r>
      <w:r w:rsidR="00577EC9" w:rsidRPr="00577EC9">
        <w:tab/>
        <w:t>Modifíquese para que diga lo siguiente:</w:t>
      </w:r>
    </w:p>
    <w:p w14:paraId="45241498" w14:textId="77777777" w:rsidR="00577EC9" w:rsidRPr="00577EC9" w:rsidRDefault="00655CB5" w:rsidP="00577EC9">
      <w:pPr>
        <w:pStyle w:val="SingleTxtG"/>
        <w:rPr>
          <w:lang w:val="en-GB"/>
        </w:rPr>
      </w:pPr>
      <w:r>
        <w:t>“</w:t>
      </w:r>
      <w:r w:rsidR="00577EC9" w:rsidRPr="00577EC9">
        <w:t>6.4.24.6</w:t>
      </w:r>
      <w:r w:rsidR="00577EC9" w:rsidRPr="00577EC9">
        <w:tab/>
        <w:t xml:space="preserve">Los materiales radiactivos en forma especial fabricados de conformidad con un diseño que haya recibido la aprobación unilateral de la autoridad competente en virtud de las ediciones de 1985, de 1985 (enmendada en 1990), </w:t>
      </w:r>
      <w:r w:rsidR="00D84B85">
        <w:t>de 1996 (enmendada en 2003), de </w:t>
      </w:r>
      <w:r w:rsidR="00577EC9" w:rsidRPr="00577EC9">
        <w:t xml:space="preserve">2005 o de 2009 de la Colección Seguridad </w:t>
      </w:r>
      <w:r>
        <w:t>núm.</w:t>
      </w:r>
      <w:r w:rsidR="00577EC9" w:rsidRPr="00577EC9">
        <w:t xml:space="preserve"> 6 del OIEA, y de la edición 2012 de la Colección Normas de Seguridad </w:t>
      </w:r>
      <w:r>
        <w:t>núm.</w:t>
      </w:r>
      <w:r w:rsidR="00577EC9" w:rsidRPr="00577EC9">
        <w:t xml:space="preserve"> SSR-6 del OIEA, pueden continuar utilizándose siempre que se ajusten al sistema de gestión obligatorio, con arreglo a los requisitos aplicables estipulados en 1.5.3.1. No se permitirá ninguna nueva fabricación de material radiactivo en forma especial que se ajuste a un diseño que haya recibido la aprobación unilateral de la autoridad competente en virtud de las ediciones de 1985 o de 1985 (enmendada en 1990) del </w:t>
      </w:r>
      <w:r>
        <w:t>núm.</w:t>
      </w:r>
      <w:r w:rsidR="00577EC9" w:rsidRPr="00577EC9">
        <w:t xml:space="preserve"> 6 de la Serie de Seguridad del OIEA. No se permitirá después del 31 de diciembre de 2025 ninguna nueva fabricación de material radiactivo en forma especial que se ajuste a un diseño que haya recibido la aprobación unilateral de la autoridad competente en virtud de las ediciones de 1996 (enmendada en 2003), de 2005 o de 2009 de la Colección Seguridad </w:t>
      </w:r>
      <w:r>
        <w:t>núm.</w:t>
      </w:r>
      <w:r w:rsidR="00577EC9" w:rsidRPr="00577EC9">
        <w:t xml:space="preserve"> 6 del OIEA, y de la edición 2012 de la Colección Normas de Seguridad </w:t>
      </w:r>
      <w:r>
        <w:t>núm.</w:t>
      </w:r>
      <w:r w:rsidR="00577EC9" w:rsidRPr="00577EC9">
        <w:t xml:space="preserve"> SSR-6 del OIEA.</w:t>
      </w:r>
      <w:r>
        <w:t>”</w:t>
      </w:r>
    </w:p>
    <w:p w14:paraId="1436D853" w14:textId="77777777" w:rsidR="00577EC9" w:rsidRPr="00577EC9" w:rsidRDefault="00577EC9" w:rsidP="00577EC9">
      <w:pPr>
        <w:pStyle w:val="H1G"/>
        <w:rPr>
          <w:lang w:val="en-GB"/>
        </w:rPr>
      </w:pPr>
      <w:r w:rsidRPr="00577EC9">
        <w:tab/>
      </w:r>
      <w:r w:rsidRPr="00577EC9">
        <w:tab/>
        <w:t>Capítulo 6.5</w:t>
      </w:r>
    </w:p>
    <w:p w14:paraId="1715981C" w14:textId="77777777" w:rsidR="00577EC9" w:rsidRPr="00577EC9" w:rsidRDefault="00577EC9" w:rsidP="00577EC9">
      <w:pPr>
        <w:pStyle w:val="SingleTxtG"/>
        <w:rPr>
          <w:lang w:val="en-GB"/>
        </w:rPr>
      </w:pPr>
      <w:r w:rsidRPr="00577EC9">
        <w:t>Añádase el nuevo 6.5.2.1.3 siguiente:</w:t>
      </w:r>
    </w:p>
    <w:p w14:paraId="3279273D" w14:textId="77777777" w:rsidR="00577EC9" w:rsidRPr="00577EC9" w:rsidRDefault="00655CB5" w:rsidP="00577EC9">
      <w:pPr>
        <w:pStyle w:val="SingleTxtG"/>
        <w:rPr>
          <w:lang w:val="en-GB"/>
        </w:rPr>
      </w:pPr>
      <w:r>
        <w:t>“</w:t>
      </w:r>
      <w:r w:rsidR="00577EC9" w:rsidRPr="00577EC9">
        <w:t>6.5.2.1.3</w:t>
      </w:r>
      <w:r w:rsidR="00577EC9" w:rsidRPr="00577EC9">
        <w:tab/>
        <w:t>Cuando un RIG se ajuste a un tipo o más de diseño de RIG probado, incluido un tipo o más de diseño de embalaje/envase u de embalaje/envase grande probado, el RIG podrá llevar más de una marca para indicar los requisitos de los ensayos pertinentes que haya superado. Cuando en un embalaje/envase aparezca más de una marca, las marcas deberán figurar muy cerca unas de otras y cada una de ellas deberá mostrarse en su totalidad.</w:t>
      </w:r>
      <w:r>
        <w:t>”</w:t>
      </w:r>
    </w:p>
    <w:p w14:paraId="6CE32A6C" w14:textId="77777777" w:rsidR="00577EC9" w:rsidRPr="00577EC9" w:rsidRDefault="00577EC9" w:rsidP="00577EC9">
      <w:pPr>
        <w:pStyle w:val="SingleTxtG"/>
        <w:rPr>
          <w:lang w:val="en-GB"/>
        </w:rPr>
      </w:pPr>
      <w:r w:rsidRPr="00577EC9">
        <w:t>6.5.2.2.1</w:t>
      </w:r>
      <w:r w:rsidRPr="00577EC9">
        <w:tab/>
        <w:t>Suprímase la última línea del cuadro (Carga máxima de apilamiento) y la nota de pie de página b correspondiente.</w:t>
      </w:r>
    </w:p>
    <w:p w14:paraId="61DF5437" w14:textId="77777777" w:rsidR="00577EC9" w:rsidRPr="00577EC9" w:rsidRDefault="00577EC9" w:rsidP="00577EC9">
      <w:pPr>
        <w:pStyle w:val="SingleTxtG"/>
        <w:rPr>
          <w:lang w:val="en-GB"/>
        </w:rPr>
      </w:pPr>
      <w:r w:rsidRPr="00577EC9">
        <w:t>6.5.2.2.2</w:t>
      </w:r>
      <w:r w:rsidRPr="00577EC9">
        <w:tab/>
        <w:t xml:space="preserve">En la primera frase, suprímase </w:t>
      </w:r>
      <w:r w:rsidR="00655CB5">
        <w:t>“</w:t>
      </w:r>
      <w:r w:rsidRPr="00577EC9">
        <w:t>cuando el RIG esté en servicio</w:t>
      </w:r>
      <w:r w:rsidR="00655CB5">
        <w:t>”</w:t>
      </w:r>
      <w:r w:rsidRPr="00577EC9">
        <w:t xml:space="preserve">. </w:t>
      </w:r>
    </w:p>
    <w:p w14:paraId="4FAE99DF" w14:textId="77777777" w:rsidR="00577EC9" w:rsidRPr="00577EC9" w:rsidRDefault="00577EC9" w:rsidP="00577EC9">
      <w:pPr>
        <w:pStyle w:val="SingleTxtG"/>
        <w:rPr>
          <w:lang w:val="en-GB"/>
        </w:rPr>
      </w:pPr>
      <w:r w:rsidRPr="00577EC9">
        <w:t>6.5.2.2.4</w:t>
      </w:r>
      <w:r w:rsidRPr="00577EC9">
        <w:tab/>
        <w:t xml:space="preserve">Modifíquese la última frase del primer párrafo para que diga lo siguiente: </w:t>
      </w:r>
    </w:p>
    <w:p w14:paraId="7851DC52" w14:textId="77777777" w:rsidR="00577EC9" w:rsidRPr="00577EC9" w:rsidRDefault="00655CB5" w:rsidP="00577EC9">
      <w:pPr>
        <w:pStyle w:val="SingleTxtG"/>
        <w:rPr>
          <w:lang w:val="en-GB"/>
        </w:rPr>
      </w:pPr>
      <w:r>
        <w:t>“</w:t>
      </w:r>
      <w:r w:rsidR="00577EC9" w:rsidRPr="00577EC9">
        <w:t xml:space="preserve">Las marcas serán duraderas y legibles y estaban colocadas en un lugar que sea fácilmente accesible para su inspección una vez que el recipiente interior se coloque dentro de la envoltura exterior. Cuando las marcas del receptáculo interior no sean fácilmente accesibles para su inspección debido al diseño de la envoltura exterior, se colocará en esta un duplicado de las marcas requeridas colocadas en el receptáculo interior precedido de la mención </w:t>
      </w:r>
      <w:r w:rsidR="00D84B85">
        <w:t>‘</w:t>
      </w:r>
      <w:r w:rsidR="00577EC9" w:rsidRPr="00577EC9">
        <w:t>Receptáculo interior</w:t>
      </w:r>
      <w:r w:rsidR="00D84B85">
        <w:t>’</w:t>
      </w:r>
      <w:r w:rsidR="00577EC9" w:rsidRPr="00577EC9">
        <w:t>. Este duplicado deberá ser duradero y legible y estar colocado en un lugar de fácil acceso para su inspección.</w:t>
      </w:r>
      <w:r>
        <w:t>”</w:t>
      </w:r>
    </w:p>
    <w:p w14:paraId="777E2D99" w14:textId="77777777" w:rsidR="00577EC9" w:rsidRPr="00577EC9" w:rsidRDefault="00577EC9" w:rsidP="00577EC9">
      <w:pPr>
        <w:pStyle w:val="SingleTxtG"/>
        <w:rPr>
          <w:lang w:val="en-GB"/>
        </w:rPr>
      </w:pPr>
      <w:r w:rsidRPr="00577EC9">
        <w:t xml:space="preserve">En el segundo párrafo, modifíquese la segunda frase para que diga lo siguiente: </w:t>
      </w:r>
      <w:r w:rsidR="00655CB5">
        <w:t>“</w:t>
      </w:r>
      <w:r w:rsidRPr="00577EC9">
        <w:t>En tal caso, podrá no incluirse la fecha en el resto de las marcas</w:t>
      </w:r>
      <w:r w:rsidR="00655CB5">
        <w:t>”</w:t>
      </w:r>
      <w:r w:rsidRPr="00577EC9">
        <w:t>.</w:t>
      </w:r>
    </w:p>
    <w:p w14:paraId="3EA83181" w14:textId="77777777" w:rsidR="00577EC9" w:rsidRPr="00577EC9" w:rsidRDefault="00577EC9" w:rsidP="00577EC9">
      <w:pPr>
        <w:pStyle w:val="SingleTxtG"/>
        <w:rPr>
          <w:lang w:val="en-GB"/>
        </w:rPr>
      </w:pPr>
      <w:r w:rsidRPr="00577EC9">
        <w:t>6.5.5.1.6</w:t>
      </w:r>
      <w:r w:rsidRPr="00577EC9">
        <w:tab/>
        <w:t>Insértese una nueva frase introductoria que diga lo siguiente:</w:t>
      </w:r>
    </w:p>
    <w:p w14:paraId="5580037E" w14:textId="77777777" w:rsidR="00577EC9" w:rsidRPr="00577EC9" w:rsidRDefault="00655CB5" w:rsidP="00577EC9">
      <w:pPr>
        <w:pStyle w:val="SingleTxtG"/>
        <w:rPr>
          <w:lang w:val="en-GB"/>
        </w:rPr>
      </w:pPr>
      <w:r>
        <w:t>“</w:t>
      </w:r>
      <w:r w:rsidR="00577EC9" w:rsidRPr="00577EC9">
        <w:t>Los RIG metálicos con una capacidad superior a 1.500 l deberán cumplir los siguientes requisitos mínimos en cuanto al espesor de la pared:</w:t>
      </w:r>
      <w:r>
        <w:t>”</w:t>
      </w:r>
    </w:p>
    <w:p w14:paraId="2B12EC9D" w14:textId="77777777" w:rsidR="00577EC9" w:rsidRDefault="00577EC9" w:rsidP="00577EC9">
      <w:pPr>
        <w:pStyle w:val="SingleTxtG"/>
      </w:pPr>
      <w:r w:rsidRPr="00577EC9">
        <w:t>Modifíquese el cuadro del apartado a) para que diga 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698"/>
        <w:gridCol w:w="1773"/>
        <w:gridCol w:w="2050"/>
      </w:tblGrid>
      <w:tr w:rsidR="00577EC9" w:rsidRPr="00C54F00" w14:paraId="3AAE5B34" w14:textId="77777777" w:rsidTr="00371851">
        <w:trPr>
          <w:tblHeader/>
          <w:jc w:val="center"/>
        </w:trPr>
        <w:tc>
          <w:tcPr>
            <w:tcW w:w="7328" w:type="dxa"/>
            <w:gridSpan w:val="4"/>
            <w:vAlign w:val="center"/>
            <w:hideMark/>
          </w:tcPr>
          <w:p w14:paraId="100C15D6" w14:textId="77777777" w:rsidR="00577EC9" w:rsidRPr="00C54F00" w:rsidRDefault="00577EC9" w:rsidP="00371851">
            <w:pPr>
              <w:ind w:left="21"/>
              <w:jc w:val="center"/>
              <w:rPr>
                <w:b/>
                <w:bCs/>
              </w:rPr>
            </w:pPr>
            <w:r>
              <w:rPr>
                <w:b/>
                <w:bCs/>
              </w:rPr>
              <w:t>Espesor de la pared (T) en mm</w:t>
            </w:r>
          </w:p>
        </w:tc>
      </w:tr>
      <w:tr w:rsidR="00577EC9" w:rsidRPr="00C54F00" w14:paraId="36C6ECE3" w14:textId="77777777" w:rsidTr="00371851">
        <w:trPr>
          <w:tblHeader/>
          <w:jc w:val="center"/>
        </w:trPr>
        <w:tc>
          <w:tcPr>
            <w:tcW w:w="3505" w:type="dxa"/>
            <w:gridSpan w:val="2"/>
            <w:vAlign w:val="center"/>
            <w:hideMark/>
          </w:tcPr>
          <w:p w14:paraId="4DEDB707" w14:textId="77777777" w:rsidR="00577EC9" w:rsidRPr="00C54F00" w:rsidRDefault="00577EC9" w:rsidP="00371851">
            <w:pPr>
              <w:ind w:left="21"/>
              <w:jc w:val="center"/>
              <w:rPr>
                <w:b/>
                <w:bCs/>
              </w:rPr>
            </w:pPr>
            <w:r>
              <w:rPr>
                <w:b/>
                <w:bCs/>
              </w:rPr>
              <w:t>Tipos 11A, 11B, 11N</w:t>
            </w:r>
          </w:p>
        </w:tc>
        <w:tc>
          <w:tcPr>
            <w:tcW w:w="3823" w:type="dxa"/>
            <w:gridSpan w:val="2"/>
            <w:vAlign w:val="center"/>
            <w:hideMark/>
          </w:tcPr>
          <w:p w14:paraId="339358EB" w14:textId="77777777" w:rsidR="00577EC9" w:rsidRPr="00C54F00" w:rsidRDefault="00577EC9" w:rsidP="00371851">
            <w:pPr>
              <w:jc w:val="center"/>
              <w:rPr>
                <w:b/>
                <w:bCs/>
              </w:rPr>
            </w:pPr>
            <w:r>
              <w:rPr>
                <w:b/>
                <w:bCs/>
              </w:rPr>
              <w:t>Tipos 21A, 21B, 21N, 31A, 31B, 31N</w:t>
            </w:r>
          </w:p>
        </w:tc>
      </w:tr>
      <w:tr w:rsidR="00577EC9" w:rsidRPr="00C54F00" w14:paraId="5018595D" w14:textId="77777777" w:rsidTr="00371851">
        <w:trPr>
          <w:tblHeader/>
          <w:jc w:val="center"/>
        </w:trPr>
        <w:tc>
          <w:tcPr>
            <w:tcW w:w="1807" w:type="dxa"/>
            <w:vAlign w:val="center"/>
            <w:hideMark/>
          </w:tcPr>
          <w:p w14:paraId="087A9F2E" w14:textId="77777777" w:rsidR="00577EC9" w:rsidRPr="00C54F00" w:rsidRDefault="00577EC9" w:rsidP="00371851">
            <w:pPr>
              <w:ind w:left="163"/>
              <w:jc w:val="center"/>
              <w:rPr>
                <w:b/>
                <w:bCs/>
              </w:rPr>
            </w:pPr>
            <w:r>
              <w:rPr>
                <w:b/>
                <w:bCs/>
              </w:rPr>
              <w:t>Sin protección</w:t>
            </w:r>
          </w:p>
        </w:tc>
        <w:tc>
          <w:tcPr>
            <w:tcW w:w="1698" w:type="dxa"/>
            <w:vAlign w:val="center"/>
            <w:hideMark/>
          </w:tcPr>
          <w:p w14:paraId="63394B9A" w14:textId="77777777" w:rsidR="00577EC9" w:rsidRPr="00C54F00" w:rsidRDefault="00577EC9" w:rsidP="00371851">
            <w:pPr>
              <w:jc w:val="center"/>
              <w:rPr>
                <w:b/>
                <w:bCs/>
              </w:rPr>
            </w:pPr>
            <w:r>
              <w:rPr>
                <w:b/>
                <w:bCs/>
              </w:rPr>
              <w:t>Protegido</w:t>
            </w:r>
          </w:p>
        </w:tc>
        <w:tc>
          <w:tcPr>
            <w:tcW w:w="1773" w:type="dxa"/>
            <w:vAlign w:val="center"/>
            <w:hideMark/>
          </w:tcPr>
          <w:p w14:paraId="28162D03" w14:textId="77777777" w:rsidR="00577EC9" w:rsidRPr="00C54F00" w:rsidRDefault="00577EC9" w:rsidP="00371851">
            <w:pPr>
              <w:ind w:left="23"/>
              <w:jc w:val="center"/>
              <w:rPr>
                <w:b/>
                <w:bCs/>
              </w:rPr>
            </w:pPr>
            <w:r>
              <w:rPr>
                <w:b/>
                <w:bCs/>
              </w:rPr>
              <w:t>Sin protección</w:t>
            </w:r>
          </w:p>
        </w:tc>
        <w:tc>
          <w:tcPr>
            <w:tcW w:w="2050" w:type="dxa"/>
            <w:vAlign w:val="center"/>
            <w:hideMark/>
          </w:tcPr>
          <w:p w14:paraId="75C98C4D" w14:textId="77777777" w:rsidR="00577EC9" w:rsidRPr="00C54F00" w:rsidRDefault="00577EC9" w:rsidP="00371851">
            <w:pPr>
              <w:ind w:left="40"/>
              <w:jc w:val="center"/>
              <w:rPr>
                <w:b/>
                <w:bCs/>
              </w:rPr>
            </w:pPr>
            <w:r>
              <w:rPr>
                <w:b/>
                <w:bCs/>
              </w:rPr>
              <w:t>Protegido</w:t>
            </w:r>
          </w:p>
        </w:tc>
      </w:tr>
      <w:tr w:rsidR="00577EC9" w:rsidRPr="00C54F00" w14:paraId="7242E7A9" w14:textId="77777777" w:rsidTr="00371851">
        <w:trPr>
          <w:trHeight w:val="455"/>
          <w:jc w:val="center"/>
        </w:trPr>
        <w:tc>
          <w:tcPr>
            <w:tcW w:w="1807" w:type="dxa"/>
            <w:tcBorders>
              <w:top w:val="nil"/>
            </w:tcBorders>
            <w:vAlign w:val="center"/>
            <w:hideMark/>
          </w:tcPr>
          <w:p w14:paraId="51291422" w14:textId="77777777" w:rsidR="00577EC9" w:rsidRPr="00C54F00" w:rsidRDefault="00577EC9" w:rsidP="00371851">
            <w:pPr>
              <w:ind w:left="22"/>
              <w:jc w:val="center"/>
            </w:pPr>
            <w:r>
              <w:t>T = C/2000 + 1,5</w:t>
            </w:r>
          </w:p>
        </w:tc>
        <w:tc>
          <w:tcPr>
            <w:tcW w:w="1698" w:type="dxa"/>
            <w:tcBorders>
              <w:top w:val="nil"/>
            </w:tcBorders>
            <w:vAlign w:val="center"/>
            <w:hideMark/>
          </w:tcPr>
          <w:p w14:paraId="2FF643E7" w14:textId="77777777" w:rsidR="00577EC9" w:rsidRPr="00C54F00" w:rsidRDefault="00577EC9" w:rsidP="00371851">
            <w:pPr>
              <w:ind w:left="22"/>
              <w:jc w:val="center"/>
            </w:pPr>
            <w:r>
              <w:t>T = C/2000 + 1,0</w:t>
            </w:r>
          </w:p>
        </w:tc>
        <w:tc>
          <w:tcPr>
            <w:tcW w:w="1773" w:type="dxa"/>
            <w:tcBorders>
              <w:top w:val="nil"/>
            </w:tcBorders>
            <w:vAlign w:val="center"/>
            <w:hideMark/>
          </w:tcPr>
          <w:p w14:paraId="1597CFCF" w14:textId="77777777" w:rsidR="00577EC9" w:rsidRPr="00C54F00" w:rsidRDefault="00577EC9" w:rsidP="00371851">
            <w:pPr>
              <w:ind w:left="22"/>
              <w:jc w:val="center"/>
            </w:pPr>
            <w:r>
              <w:t>T = C/1000 + 1,0</w:t>
            </w:r>
          </w:p>
        </w:tc>
        <w:tc>
          <w:tcPr>
            <w:tcW w:w="2050" w:type="dxa"/>
            <w:tcBorders>
              <w:top w:val="nil"/>
            </w:tcBorders>
            <w:vAlign w:val="center"/>
            <w:hideMark/>
          </w:tcPr>
          <w:p w14:paraId="7C0BF856" w14:textId="77777777" w:rsidR="00577EC9" w:rsidRPr="00C54F00" w:rsidRDefault="00577EC9" w:rsidP="00371851">
            <w:pPr>
              <w:ind w:left="22"/>
              <w:jc w:val="center"/>
            </w:pPr>
            <w:r>
              <w:t>T = C/2000 + 1,5</w:t>
            </w:r>
          </w:p>
        </w:tc>
      </w:tr>
    </w:tbl>
    <w:p w14:paraId="0BBE384E" w14:textId="77777777" w:rsidR="00577EC9" w:rsidRPr="00577EC9" w:rsidRDefault="00577EC9" w:rsidP="00577EC9">
      <w:pPr>
        <w:pStyle w:val="H1G"/>
        <w:rPr>
          <w:lang w:val="en-GB"/>
        </w:rPr>
      </w:pPr>
      <w:r w:rsidRPr="00577EC9">
        <w:lastRenderedPageBreak/>
        <w:tab/>
      </w:r>
      <w:r w:rsidRPr="00577EC9">
        <w:tab/>
        <w:t>Capítulo 6.6</w:t>
      </w:r>
    </w:p>
    <w:p w14:paraId="1B82D032" w14:textId="77777777" w:rsidR="00577EC9" w:rsidRPr="00577EC9" w:rsidRDefault="00577EC9" w:rsidP="00AE6B67">
      <w:pPr>
        <w:pStyle w:val="SingleTxtG"/>
        <w:tabs>
          <w:tab w:val="left" w:pos="2268"/>
        </w:tabs>
        <w:rPr>
          <w:lang w:val="en-GB"/>
        </w:rPr>
      </w:pPr>
      <w:r w:rsidRPr="00577EC9">
        <w:t>6.6.3.3</w:t>
      </w:r>
      <w:r w:rsidRPr="00577EC9">
        <w:tab/>
      </w:r>
      <w:r w:rsidRPr="00577EC9">
        <w:tab/>
        <w:t xml:space="preserve">En la primera frase, suprímase </w:t>
      </w:r>
      <w:r w:rsidR="00655CB5">
        <w:t>“</w:t>
      </w:r>
      <w:r w:rsidRPr="00577EC9">
        <w:t>para los casos en que se utilicen grandes embalajes/envases</w:t>
      </w:r>
      <w:r w:rsidR="00655CB5">
        <w:t>”</w:t>
      </w:r>
      <w:r w:rsidRPr="00577EC9">
        <w:t>.</w:t>
      </w:r>
    </w:p>
    <w:p w14:paraId="0479C910" w14:textId="77777777" w:rsidR="00577EC9" w:rsidRPr="00577EC9" w:rsidRDefault="00577EC9" w:rsidP="00577EC9">
      <w:pPr>
        <w:pStyle w:val="SingleTxtG"/>
        <w:rPr>
          <w:lang w:val="en-GB"/>
        </w:rPr>
      </w:pPr>
      <w:r w:rsidRPr="00577EC9">
        <w:t>Añádase el nuevo 6.6.3.4 siguiente:</w:t>
      </w:r>
    </w:p>
    <w:p w14:paraId="4F231572" w14:textId="77777777" w:rsidR="00577EC9" w:rsidRPr="00577EC9" w:rsidRDefault="00655CB5" w:rsidP="00577EC9">
      <w:pPr>
        <w:pStyle w:val="SingleTxtG"/>
        <w:rPr>
          <w:lang w:val="en-GB"/>
        </w:rPr>
      </w:pPr>
      <w:r>
        <w:t>“</w:t>
      </w:r>
      <w:r w:rsidR="00577EC9" w:rsidRPr="00577EC9">
        <w:t>6.6.3.4</w:t>
      </w:r>
      <w:r w:rsidR="00577EC9" w:rsidRPr="00577EC9">
        <w:tab/>
        <w:t>Cuando un embalaje/envase grande se ajuste a un tipo o más de diseño de embalaje/envase grande probado, incluido un tipo o más de diseño de embalaje/envase grande o de RIG probado, el embalaje/envase grande podrá llevar más de una marca para indicar los requisitos de los ensayos pertinentes que haya superado. Cuando en un embalaje/envase aparezca más de una marca, las marcas deberán figurar muy cerca unas de otras y cada una de ellas deberá mostrarse en su totalidad.</w:t>
      </w:r>
      <w:r>
        <w:t>”</w:t>
      </w:r>
    </w:p>
    <w:p w14:paraId="0FFA9DD2" w14:textId="77777777" w:rsidR="00577EC9" w:rsidRPr="00577EC9" w:rsidRDefault="00577EC9" w:rsidP="00577EC9">
      <w:pPr>
        <w:pStyle w:val="H1G"/>
        <w:rPr>
          <w:lang w:val="en-GB"/>
        </w:rPr>
      </w:pPr>
      <w:r w:rsidRPr="00577EC9">
        <w:tab/>
      </w:r>
      <w:r w:rsidRPr="00577EC9">
        <w:tab/>
        <w:t>Capítulo 6.7</w:t>
      </w:r>
    </w:p>
    <w:p w14:paraId="1C8527E1" w14:textId="77777777" w:rsidR="00577EC9" w:rsidRPr="00577EC9" w:rsidRDefault="00D84B85" w:rsidP="00577EC9">
      <w:pPr>
        <w:pStyle w:val="SingleTxtG"/>
        <w:rPr>
          <w:lang w:val="en-GB"/>
        </w:rPr>
      </w:pPr>
      <w:r>
        <w:t>6.7.2.2.16</w:t>
      </w:r>
      <w:r>
        <w:tab/>
      </w:r>
      <w:r w:rsidR="00577EC9" w:rsidRPr="00577EC9">
        <w:t xml:space="preserve">Después de </w:t>
      </w:r>
      <w:r w:rsidR="00655CB5">
        <w:t>“</w:t>
      </w:r>
      <w:r w:rsidR="00577EC9" w:rsidRPr="00577EC9">
        <w:t>Columna 11</w:t>
      </w:r>
      <w:r w:rsidR="00655CB5">
        <w:t>”</w:t>
      </w:r>
      <w:r w:rsidR="00577EC9" w:rsidRPr="00577EC9">
        <w:t xml:space="preserve">, suprímase </w:t>
      </w:r>
      <w:r w:rsidR="00655CB5">
        <w:t>“</w:t>
      </w:r>
      <w:r w:rsidR="00577EC9" w:rsidRPr="00577EC9">
        <w:t>y descrita en 4.2.5.3</w:t>
      </w:r>
      <w:r w:rsidR="00655CB5">
        <w:t>”</w:t>
      </w:r>
      <w:r w:rsidR="00577EC9" w:rsidRPr="00577EC9">
        <w:t>.</w:t>
      </w:r>
    </w:p>
    <w:p w14:paraId="3B57AB1F" w14:textId="77777777" w:rsidR="00577EC9" w:rsidRPr="00577EC9" w:rsidRDefault="00AE6B67" w:rsidP="00577EC9">
      <w:pPr>
        <w:pStyle w:val="SingleTxtG"/>
        <w:rPr>
          <w:lang w:val="en-GB"/>
        </w:rPr>
      </w:pPr>
      <w:r>
        <w:t>6.7.2.4.8</w:t>
      </w:r>
      <w:r w:rsidR="00577EC9" w:rsidRPr="00577EC9">
        <w:tab/>
        <w:t>La enmienda del texto francés no se aplica al texto español.</w:t>
      </w:r>
    </w:p>
    <w:p w14:paraId="2D4C8992" w14:textId="77777777" w:rsidR="00577EC9" w:rsidRPr="00577EC9" w:rsidRDefault="00577EC9" w:rsidP="00577EC9">
      <w:pPr>
        <w:pStyle w:val="SingleTxtG"/>
        <w:rPr>
          <w:lang w:val="en-GB"/>
        </w:rPr>
      </w:pPr>
      <w:r w:rsidRPr="00577EC9">
        <w:t>6.7.2.12.2.1 y 6.7.3.8.</w:t>
      </w:r>
      <w:r w:rsidR="00AE6B67">
        <w:t>1.1</w:t>
      </w:r>
      <w:r w:rsidRPr="00577EC9">
        <w:tab/>
        <w:t xml:space="preserve">La enmienda del texto inglés no se aplica al texto español. </w:t>
      </w:r>
    </w:p>
    <w:p w14:paraId="6C46808D" w14:textId="77777777" w:rsidR="00577EC9" w:rsidRPr="00577EC9" w:rsidRDefault="00577EC9" w:rsidP="00577EC9">
      <w:pPr>
        <w:pStyle w:val="SingleTxtG"/>
        <w:rPr>
          <w:lang w:val="en-GB"/>
        </w:rPr>
      </w:pPr>
      <w:r w:rsidRPr="00577EC9">
        <w:t>6.7.2.19.6</w:t>
      </w:r>
      <w:r w:rsidRPr="00577EC9">
        <w:tab/>
        <w:t>Añádase el nuevo párrafo siguiente:</w:t>
      </w:r>
    </w:p>
    <w:p w14:paraId="67BE8B3E" w14:textId="77777777" w:rsidR="00577EC9" w:rsidRPr="00577EC9" w:rsidRDefault="00655CB5" w:rsidP="00577EC9">
      <w:pPr>
        <w:pStyle w:val="SingleTxtG"/>
        <w:rPr>
          <w:lang w:val="en-GB"/>
        </w:rPr>
      </w:pPr>
      <w:r>
        <w:t>“</w:t>
      </w:r>
      <w:r w:rsidR="00577EC9" w:rsidRPr="00577EC9">
        <w:t>6.7.2.19.6.1</w:t>
      </w:r>
      <w:r w:rsidR="00577EC9" w:rsidRPr="00577EC9">
        <w:tab/>
        <w:t>Salvo lo dispuesto en 6.7.2.19.6, las cisternas portátiles que no hayan cumplido el plazo previsto de 5 años o de 2,5 años de i</w:t>
      </w:r>
      <w:r>
        <w:t>nspección y ensayo periódicos so</w:t>
      </w:r>
      <w:r w:rsidR="00577EC9" w:rsidRPr="00577EC9">
        <w:t>lo podrán llenarse y ofrecerse para el transporte si se realiza una nueva inspección y ensayo periódicos de 5 años de conformidad con 6.7.2.19.4.</w:t>
      </w:r>
      <w:r>
        <w:t>”</w:t>
      </w:r>
    </w:p>
    <w:p w14:paraId="13F0CAA1" w14:textId="77777777" w:rsidR="00577EC9" w:rsidRPr="00577EC9" w:rsidRDefault="00577EC9" w:rsidP="00577EC9">
      <w:pPr>
        <w:pStyle w:val="SingleTxtG"/>
        <w:rPr>
          <w:lang w:val="en-GB"/>
        </w:rPr>
      </w:pPr>
      <w:r w:rsidRPr="00577EC9">
        <w:t>6.7.3.4.1</w:t>
      </w:r>
      <w:r w:rsidRPr="00577EC9">
        <w:tab/>
        <w:t>Después del párrafo b), añádase el nuevo párrafo siguiente:</w:t>
      </w:r>
    </w:p>
    <w:p w14:paraId="179A34B1" w14:textId="77777777" w:rsidR="00577EC9" w:rsidRPr="00577EC9" w:rsidRDefault="00655CB5" w:rsidP="00577EC9">
      <w:pPr>
        <w:pStyle w:val="SingleTxtG"/>
        <w:rPr>
          <w:lang w:val="en-GB"/>
        </w:rPr>
      </w:pPr>
      <w:r>
        <w:t>“</w:t>
      </w:r>
      <w:r w:rsidR="00577EC9" w:rsidRPr="00577EC9">
        <w:t>Además, se tendrá en cuenta cualquier disposición especial pertinente relativa a las cisternas portátiles indicada en la columna 11 de la lista de mercancías peligrosas y descrita en 4.2.5.3.</w:t>
      </w:r>
      <w:r>
        <w:t>”</w:t>
      </w:r>
    </w:p>
    <w:p w14:paraId="11E4389B" w14:textId="77777777" w:rsidR="00577EC9" w:rsidRPr="00577EC9" w:rsidRDefault="00577EC9" w:rsidP="00577EC9">
      <w:pPr>
        <w:pStyle w:val="SingleTxtG"/>
        <w:rPr>
          <w:lang w:val="en-GB"/>
        </w:rPr>
      </w:pPr>
      <w:r w:rsidRPr="00577EC9">
        <w:t>6.7.3.4.5</w:t>
      </w:r>
      <w:r w:rsidRPr="00577EC9">
        <w:tab/>
        <w:t>La enmienda al texto francés no se aplica al texto español.</w:t>
      </w:r>
    </w:p>
    <w:p w14:paraId="7B5C3EAA" w14:textId="77777777" w:rsidR="00577EC9" w:rsidRPr="00577EC9" w:rsidRDefault="00AE6B67" w:rsidP="00577EC9">
      <w:pPr>
        <w:pStyle w:val="SingleTxtG"/>
        <w:rPr>
          <w:lang w:val="en-GB"/>
        </w:rPr>
      </w:pPr>
      <w:r>
        <w:t>6.7.3.5.5</w:t>
      </w:r>
      <w:r w:rsidR="00577EC9" w:rsidRPr="00577EC9">
        <w:tab/>
        <w:t>La enmienda al texto francés no se aplica al texto español.</w:t>
      </w:r>
    </w:p>
    <w:p w14:paraId="1CDCEDFB" w14:textId="77777777" w:rsidR="00577EC9" w:rsidRPr="00577EC9" w:rsidRDefault="00577EC9" w:rsidP="00577EC9">
      <w:pPr>
        <w:pStyle w:val="SingleTxtG"/>
        <w:rPr>
          <w:lang w:val="en-GB"/>
        </w:rPr>
      </w:pPr>
      <w:r w:rsidRPr="00577EC9">
        <w:t>6.7.3.15.6</w:t>
      </w:r>
      <w:r w:rsidRPr="00577EC9">
        <w:tab/>
        <w:t>Añádase el nuevo párrafo siguiente:</w:t>
      </w:r>
    </w:p>
    <w:p w14:paraId="62A27126" w14:textId="77777777" w:rsidR="00577EC9" w:rsidRPr="00577EC9" w:rsidRDefault="00655CB5" w:rsidP="00577EC9">
      <w:pPr>
        <w:pStyle w:val="SingleTxtG"/>
        <w:rPr>
          <w:lang w:val="en-GB"/>
        </w:rPr>
      </w:pPr>
      <w:r>
        <w:t>“</w:t>
      </w:r>
      <w:r w:rsidR="00577EC9" w:rsidRPr="00577EC9">
        <w:t>6.7.3.15.6.1</w:t>
      </w:r>
      <w:r w:rsidR="00577EC9" w:rsidRPr="00577EC9">
        <w:tab/>
        <w:t>Salvo lo dispuesto en 6.7.3.15.6, las cisternas portátiles que no hayan cumplido el plazo previsto de 5 años o de 2,5 años de inspección y ensayo periódicos s</w:t>
      </w:r>
      <w:r>
        <w:t>o</w:t>
      </w:r>
      <w:r w:rsidR="00577EC9" w:rsidRPr="00577EC9">
        <w:t>lo podrán llenarse y ofrecerse para el transporte si se realiza una nueva inspección y ensayo periódicos de 5 años de conformidad con 6.7.3.15.4.</w:t>
      </w:r>
      <w:r>
        <w:t>”</w:t>
      </w:r>
    </w:p>
    <w:p w14:paraId="0CDBBD23" w14:textId="77777777" w:rsidR="00577EC9" w:rsidRPr="00577EC9" w:rsidRDefault="00577EC9" w:rsidP="00577EC9">
      <w:pPr>
        <w:pStyle w:val="SingleTxtG"/>
        <w:rPr>
          <w:lang w:val="en-GB"/>
        </w:rPr>
      </w:pPr>
      <w:r w:rsidRPr="00577EC9">
        <w:t>6.7.4.4.7</w:t>
      </w:r>
      <w:r w:rsidRPr="00577EC9">
        <w:tab/>
        <w:t>La enmienda al texto francés no se aplica al texto español.</w:t>
      </w:r>
    </w:p>
    <w:p w14:paraId="64F3A4A1" w14:textId="77777777" w:rsidR="00577EC9" w:rsidRPr="00577EC9" w:rsidRDefault="00577EC9" w:rsidP="00577EC9">
      <w:pPr>
        <w:pStyle w:val="SingleTxtG"/>
        <w:rPr>
          <w:lang w:val="en-GB"/>
        </w:rPr>
      </w:pPr>
      <w:r w:rsidRPr="00577EC9">
        <w:t>6.7.4.14.6</w:t>
      </w:r>
      <w:r w:rsidRPr="00577EC9">
        <w:tab/>
        <w:t>Añádase el nuevo párrafo siguiente:</w:t>
      </w:r>
    </w:p>
    <w:p w14:paraId="71FFA82D" w14:textId="77777777" w:rsidR="00577EC9" w:rsidRPr="00577EC9" w:rsidRDefault="00655CB5" w:rsidP="00577EC9">
      <w:pPr>
        <w:pStyle w:val="SingleTxtG"/>
        <w:rPr>
          <w:lang w:val="en-GB"/>
        </w:rPr>
      </w:pPr>
      <w:r>
        <w:t>“</w:t>
      </w:r>
      <w:r w:rsidR="00577EC9" w:rsidRPr="00577EC9">
        <w:t>6.7.4.14.6.1</w:t>
      </w:r>
      <w:r w:rsidR="00577EC9" w:rsidRPr="00577EC9">
        <w:tab/>
        <w:t xml:space="preserve">Salvo lo dispuesto en 6.7.4.14.6, las cisternas portátiles que no hayan cumplido el plazo previsto de 5 años o de 2,5 años de inspección y ensayo periódicos </w:t>
      </w:r>
      <w:r>
        <w:t>solo</w:t>
      </w:r>
      <w:r w:rsidR="00577EC9" w:rsidRPr="00577EC9">
        <w:t xml:space="preserve"> podrán llenarse y ofrecerse para el transporte si se realiza una nueva inspección y ensayo periódicos de 5 años de conformidad con 6.7.4.14.4.</w:t>
      </w:r>
      <w:r>
        <w:t>”</w:t>
      </w:r>
    </w:p>
    <w:p w14:paraId="77E3B191" w14:textId="77777777" w:rsidR="00577EC9" w:rsidRPr="00577EC9" w:rsidRDefault="00577EC9" w:rsidP="00577EC9">
      <w:pPr>
        <w:pStyle w:val="SingleTxtG"/>
        <w:rPr>
          <w:lang w:val="en-GB"/>
        </w:rPr>
      </w:pPr>
      <w:r w:rsidRPr="00577EC9">
        <w:t>6.7.5.2.3</w:t>
      </w:r>
      <w:r w:rsidRPr="00577EC9">
        <w:tab/>
        <w:t xml:space="preserve">En la primera frase, después de </w:t>
      </w:r>
      <w:r w:rsidR="00655CB5">
        <w:t>“</w:t>
      </w:r>
      <w:r w:rsidRPr="00577EC9">
        <w:t>acero sin uniones</w:t>
      </w:r>
      <w:r w:rsidR="00655CB5">
        <w:t>”</w:t>
      </w:r>
      <w:r w:rsidRPr="00577EC9">
        <w:t xml:space="preserve"> insértese </w:t>
      </w:r>
      <w:r w:rsidR="00655CB5">
        <w:t>“</w:t>
      </w:r>
      <w:r w:rsidRPr="00577EC9">
        <w:t>o ser de construcción compuesta</w:t>
      </w:r>
      <w:r w:rsidR="00655CB5">
        <w:t>”</w:t>
      </w:r>
      <w:r w:rsidRPr="00577EC9">
        <w:t>.</w:t>
      </w:r>
    </w:p>
    <w:p w14:paraId="7520052E" w14:textId="77777777" w:rsidR="00577EC9" w:rsidRPr="00577EC9" w:rsidRDefault="00577EC9" w:rsidP="00577EC9">
      <w:pPr>
        <w:pStyle w:val="SingleTxtG"/>
        <w:rPr>
          <w:bCs/>
          <w:lang w:val="en-GB"/>
        </w:rPr>
      </w:pPr>
      <w:r w:rsidRPr="00577EC9">
        <w:t>6.7.5.2.4 a)</w:t>
      </w:r>
      <w:r w:rsidRPr="00577EC9">
        <w:tab/>
        <w:t xml:space="preserve">Sustitúyase </w:t>
      </w:r>
      <w:r w:rsidR="00655CB5">
        <w:t>“</w:t>
      </w:r>
      <w:r w:rsidRPr="00577EC9">
        <w:t>ISO 11114-1:2012</w:t>
      </w:r>
      <w:r w:rsidR="00655CB5">
        <w:t>”</w:t>
      </w:r>
      <w:r w:rsidRPr="00577EC9">
        <w:t xml:space="preserve"> por </w:t>
      </w:r>
      <w:r w:rsidR="00655CB5">
        <w:t>“</w:t>
      </w:r>
      <w:r w:rsidRPr="00577EC9">
        <w:t>ISO 11114-1:2012 + A1:2017</w:t>
      </w:r>
      <w:r w:rsidR="00655CB5">
        <w:t>”</w:t>
      </w:r>
      <w:r w:rsidRPr="00577EC9">
        <w:t>.</w:t>
      </w:r>
    </w:p>
    <w:p w14:paraId="68739923" w14:textId="77777777" w:rsidR="00577EC9" w:rsidRPr="00577EC9" w:rsidRDefault="00577EC9" w:rsidP="00577EC9">
      <w:pPr>
        <w:pStyle w:val="H1G"/>
        <w:rPr>
          <w:lang w:val="en-GB"/>
        </w:rPr>
      </w:pPr>
      <w:r w:rsidRPr="00577EC9">
        <w:tab/>
      </w:r>
      <w:r w:rsidRPr="00577EC9">
        <w:tab/>
        <w:t>Capítulo 7.1</w:t>
      </w:r>
    </w:p>
    <w:p w14:paraId="35C6D56B" w14:textId="77777777" w:rsidR="00577EC9" w:rsidRPr="00577EC9" w:rsidRDefault="00577EC9" w:rsidP="00577EC9">
      <w:pPr>
        <w:pStyle w:val="SingleTxtG"/>
        <w:rPr>
          <w:lang w:val="en-GB"/>
        </w:rPr>
      </w:pPr>
      <w:r w:rsidRPr="00577EC9">
        <w:t>7.1.8.2</w:t>
      </w:r>
      <w:r w:rsidRPr="00577EC9">
        <w:tab/>
      </w:r>
      <w:r w:rsidRPr="00577EC9">
        <w:tab/>
        <w:t>Al final de la primera frase, añádase la nueva frase siguiente:</w:t>
      </w:r>
    </w:p>
    <w:p w14:paraId="27F62D75" w14:textId="77777777" w:rsidR="00577EC9" w:rsidRPr="00577EC9" w:rsidRDefault="00655CB5" w:rsidP="00577EC9">
      <w:pPr>
        <w:pStyle w:val="SingleTxtG"/>
        <w:rPr>
          <w:lang w:val="en-GB"/>
        </w:rPr>
      </w:pPr>
      <w:r>
        <w:t>“</w:t>
      </w:r>
      <w:r w:rsidR="00577EC9" w:rsidRPr="00577EC9">
        <w:t xml:space="preserve">En el caso de OCS-III, podrán rebasarse los límites que figuran en el cuadro 7.1.8.2 siempre que en el plan de transporte figuren las precauciones que deben tomarse durante el transporte </w:t>
      </w:r>
      <w:r w:rsidR="00577EC9" w:rsidRPr="00577EC9">
        <w:lastRenderedPageBreak/>
        <w:t>para obtener un nivel global de seguridad al menos equivalente al que se alcanzaría si se hubieran aplicado dichos límites</w:t>
      </w:r>
      <w:r w:rsidR="00D84B85">
        <w:t>.</w:t>
      </w:r>
      <w:r>
        <w:t>”</w:t>
      </w:r>
    </w:p>
    <w:p w14:paraId="2A3AB533" w14:textId="77777777" w:rsidR="00577EC9" w:rsidRPr="00577EC9" w:rsidRDefault="00577EC9" w:rsidP="00577EC9">
      <w:pPr>
        <w:pStyle w:val="SingleTxtG"/>
        <w:rPr>
          <w:lang w:val="en-GB"/>
        </w:rPr>
      </w:pPr>
      <w:bookmarkStart w:id="18" w:name="_Hlk536801816"/>
      <w:r w:rsidRPr="00577EC9">
        <w:t>7.1.8.3.3</w:t>
      </w:r>
      <w:r w:rsidRPr="00577EC9">
        <w:tab/>
        <w:t>Añádase un nuevo apartado b) que diga lo siguiente:</w:t>
      </w:r>
    </w:p>
    <w:p w14:paraId="29463B3F" w14:textId="77777777" w:rsidR="00577EC9" w:rsidRPr="00577EC9" w:rsidRDefault="00655CB5" w:rsidP="00577EC9">
      <w:pPr>
        <w:pStyle w:val="SingleTxtG"/>
        <w:ind w:left="2268"/>
        <w:rPr>
          <w:lang w:val="en-GB"/>
        </w:rPr>
      </w:pPr>
      <w:r>
        <w:t>“</w:t>
      </w:r>
      <w:r w:rsidR="00577EC9">
        <w:t>b)</w:t>
      </w:r>
      <w:r w:rsidR="00577EC9" w:rsidRPr="00577EC9">
        <w:tab/>
        <w:t>La tasa de dosis en las condiciones de transporte rutinario no deberá exceder de 2 mSv/h en ningún punto de la superficie externa del contenedor de transporte, ni de 0,1 mSv/h a 2 m de distancia de la superficie externa del contenedor de transporte, excepto cuando se trate de remesas transportadas exclusivamente por carretera o ferrocarril, en cuyo caso los límites de radiación en torno al vehículo se indican en los apartados 7.2.3.1.2 b) y c).</w:t>
      </w:r>
      <w:r>
        <w:t>”</w:t>
      </w:r>
    </w:p>
    <w:bookmarkEnd w:id="18"/>
    <w:p w14:paraId="065BB1F0" w14:textId="77777777" w:rsidR="00371851" w:rsidRPr="00577EC9" w:rsidRDefault="00371851" w:rsidP="00577EC9">
      <w:pPr>
        <w:pStyle w:val="SingleTxtG"/>
        <w:rPr>
          <w:lang w:val="en-GB"/>
        </w:rPr>
      </w:pPr>
      <w:r w:rsidRPr="00577EC9">
        <w:t>7.1.8.5.5</w:t>
      </w:r>
      <w:r w:rsidRPr="00577EC9">
        <w:tab/>
        <w:t xml:space="preserve">Al principio, suprímase </w:t>
      </w:r>
      <w:r w:rsidR="00655CB5">
        <w:t>“</w:t>
      </w:r>
      <w:r w:rsidRPr="00577EC9">
        <w:t>, cisternas, recipientes intermedios para graneles</w:t>
      </w:r>
      <w:r w:rsidR="00655CB5">
        <w:t>”</w:t>
      </w:r>
      <w:r w:rsidRPr="00577EC9">
        <w:t>.</w:t>
      </w:r>
    </w:p>
    <w:p w14:paraId="06C5F3B2" w14:textId="77777777" w:rsidR="00371851" w:rsidRPr="00577EC9" w:rsidRDefault="00371851" w:rsidP="00577EC9">
      <w:pPr>
        <w:pStyle w:val="H1G"/>
        <w:rPr>
          <w:lang w:val="en-GB"/>
        </w:rPr>
      </w:pPr>
      <w:r w:rsidRPr="00577EC9">
        <w:tab/>
      </w:r>
      <w:r w:rsidRPr="00577EC9">
        <w:tab/>
        <w:t>Capítulo 7.2</w:t>
      </w:r>
    </w:p>
    <w:p w14:paraId="7322AD48" w14:textId="77777777" w:rsidR="00381C24" w:rsidRDefault="00371851" w:rsidP="00577EC9">
      <w:pPr>
        <w:pStyle w:val="SingleTxtG"/>
        <w:rPr>
          <w:lang w:val="en-GB"/>
        </w:rPr>
      </w:pPr>
      <w:r w:rsidRPr="00577EC9">
        <w:t>7.2.3.1.1</w:t>
      </w:r>
      <w:r w:rsidRPr="00577EC9">
        <w:tab/>
        <w:t xml:space="preserve">En la frase introductoria, sustitúyase </w:t>
      </w:r>
      <w:r w:rsidR="00655CB5">
        <w:t>“</w:t>
      </w:r>
      <w:r w:rsidRPr="00577EC9">
        <w:t>que transporten</w:t>
      </w:r>
      <w:r w:rsidR="00655CB5">
        <w:t>”</w:t>
      </w:r>
      <w:r w:rsidRPr="00577EC9">
        <w:t xml:space="preserve"> por </w:t>
      </w:r>
      <w:r w:rsidR="00655CB5">
        <w:t>“</w:t>
      </w:r>
      <w:r w:rsidRPr="00577EC9">
        <w:t>material BAE-I sin embalar, SCO-I o SCO-III</w:t>
      </w:r>
      <w:r w:rsidR="00655CB5">
        <w:t>”</w:t>
      </w:r>
      <w:r w:rsidRPr="00577EC9">
        <w:t>.</w:t>
      </w:r>
    </w:p>
    <w:p w14:paraId="145E9726" w14:textId="77777777" w:rsidR="00577EC9" w:rsidRPr="00577EC9" w:rsidRDefault="00577EC9" w:rsidP="00577EC9">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577EC9" w:rsidRPr="00577EC9" w:rsidSect="00577E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D03E" w14:textId="77777777" w:rsidR="00D64A6E" w:rsidRPr="00EB11DA" w:rsidRDefault="00D64A6E" w:rsidP="00EB11DA">
      <w:pPr>
        <w:pStyle w:val="Footer"/>
      </w:pPr>
    </w:p>
  </w:endnote>
  <w:endnote w:type="continuationSeparator" w:id="0">
    <w:p w14:paraId="5972F392" w14:textId="77777777" w:rsidR="00D64A6E" w:rsidRPr="00EB11DA" w:rsidRDefault="00D64A6E"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5E32" w14:textId="77777777" w:rsidR="00D64A6E" w:rsidRPr="00577EC9" w:rsidRDefault="00D64A6E" w:rsidP="00577EC9">
    <w:pPr>
      <w:pStyle w:val="Footer"/>
      <w:tabs>
        <w:tab w:val="right" w:pos="9638"/>
      </w:tabs>
    </w:pPr>
    <w:r w:rsidRPr="00577EC9">
      <w:rPr>
        <w:b/>
        <w:sz w:val="18"/>
      </w:rPr>
      <w:fldChar w:fldCharType="begin"/>
    </w:r>
    <w:r w:rsidRPr="00577EC9">
      <w:rPr>
        <w:b/>
        <w:sz w:val="18"/>
      </w:rPr>
      <w:instrText xml:space="preserve"> PAGE  \* MERGEFORMAT </w:instrText>
    </w:r>
    <w:r w:rsidRPr="00577EC9">
      <w:rPr>
        <w:b/>
        <w:sz w:val="18"/>
      </w:rPr>
      <w:fldChar w:fldCharType="separate"/>
    </w:r>
    <w:r w:rsidR="00AA1798">
      <w:rPr>
        <w:b/>
        <w:noProof/>
        <w:sz w:val="18"/>
      </w:rPr>
      <w:t>20</w:t>
    </w:r>
    <w:r w:rsidRPr="00577EC9">
      <w:rPr>
        <w:b/>
        <w:sz w:val="18"/>
      </w:rPr>
      <w:fldChar w:fldCharType="end"/>
    </w:r>
    <w:r>
      <w:rPr>
        <w:b/>
        <w:sz w:val="18"/>
      </w:rPr>
      <w:tab/>
    </w:r>
    <w:r>
      <w:t>GE.19-03572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AF7E" w14:textId="77777777" w:rsidR="00D64A6E" w:rsidRPr="00577EC9" w:rsidRDefault="00D64A6E" w:rsidP="00577EC9">
    <w:pPr>
      <w:pStyle w:val="Footer"/>
      <w:tabs>
        <w:tab w:val="right" w:pos="9638"/>
      </w:tabs>
      <w:rPr>
        <w:b/>
        <w:sz w:val="18"/>
      </w:rPr>
    </w:pPr>
    <w:r>
      <w:t>GE.19-03572</w:t>
    </w:r>
    <w:r>
      <w:tab/>
    </w:r>
    <w:r w:rsidRPr="00577EC9">
      <w:rPr>
        <w:b/>
        <w:sz w:val="18"/>
      </w:rPr>
      <w:fldChar w:fldCharType="begin"/>
    </w:r>
    <w:r w:rsidRPr="00577EC9">
      <w:rPr>
        <w:b/>
        <w:sz w:val="18"/>
      </w:rPr>
      <w:instrText xml:space="preserve"> PAGE  \* MERGEFORMAT </w:instrText>
    </w:r>
    <w:r w:rsidRPr="00577EC9">
      <w:rPr>
        <w:b/>
        <w:sz w:val="18"/>
      </w:rPr>
      <w:fldChar w:fldCharType="separate"/>
    </w:r>
    <w:r w:rsidR="00AA1798">
      <w:rPr>
        <w:b/>
        <w:noProof/>
        <w:sz w:val="18"/>
      </w:rPr>
      <w:t>19</w:t>
    </w:r>
    <w:r w:rsidRPr="00577E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0E31" w14:textId="77777777" w:rsidR="00D64A6E" w:rsidRPr="00577EC9" w:rsidRDefault="00D64A6E" w:rsidP="00577EC9">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1392F911" wp14:editId="0869BC2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19-03572  (S)    060519    070519</w:t>
    </w:r>
    <w:r>
      <w:rPr>
        <w:sz w:val="20"/>
      </w:rPr>
      <w:br/>
    </w:r>
    <w:r w:rsidRPr="00577EC9">
      <w:rPr>
        <w:rFonts w:ascii="C39T30Lfz" w:hAnsi="C39T30Lfz"/>
        <w:sz w:val="56"/>
      </w:rPr>
      <w:t></w:t>
    </w:r>
    <w:r w:rsidRPr="00577EC9">
      <w:rPr>
        <w:rFonts w:ascii="C39T30Lfz" w:hAnsi="C39T30Lfz"/>
        <w:sz w:val="56"/>
      </w:rPr>
      <w:t></w:t>
    </w:r>
    <w:r w:rsidRPr="00577EC9">
      <w:rPr>
        <w:rFonts w:ascii="C39T30Lfz" w:hAnsi="C39T30Lfz"/>
        <w:sz w:val="56"/>
      </w:rPr>
      <w:t></w:t>
    </w:r>
    <w:r w:rsidRPr="00577EC9">
      <w:rPr>
        <w:rFonts w:ascii="C39T30Lfz" w:hAnsi="C39T30Lfz"/>
        <w:sz w:val="56"/>
      </w:rPr>
      <w:t></w:t>
    </w:r>
    <w:r w:rsidRPr="00577EC9">
      <w:rPr>
        <w:rFonts w:ascii="C39T30Lfz" w:hAnsi="C39T30Lfz"/>
        <w:sz w:val="56"/>
      </w:rPr>
      <w:t></w:t>
    </w:r>
    <w:r w:rsidRPr="00577EC9">
      <w:rPr>
        <w:rFonts w:ascii="C39T30Lfz" w:hAnsi="C39T30Lfz"/>
        <w:sz w:val="56"/>
      </w:rPr>
      <w:t></w:t>
    </w:r>
    <w:r w:rsidRPr="00577EC9">
      <w:rPr>
        <w:rFonts w:ascii="C39T30Lfz" w:hAnsi="C39T30Lfz"/>
        <w:sz w:val="56"/>
      </w:rPr>
      <w:t></w:t>
    </w:r>
    <w:r w:rsidRPr="00577EC9">
      <w:rPr>
        <w:rFonts w:ascii="C39T30Lfz" w:hAnsi="C39T30Lfz"/>
        <w:sz w:val="56"/>
      </w:rPr>
      <w:t></w:t>
    </w:r>
    <w:r w:rsidRPr="00577EC9">
      <w:rPr>
        <w:rFonts w:ascii="C39T30Lfz" w:hAnsi="C39T30Lfz"/>
        <w:sz w:val="56"/>
      </w:rPr>
      <w:t></w:t>
    </w:r>
    <w:r>
      <w:rPr>
        <w:noProof/>
        <w:sz w:val="20"/>
        <w:lang w:eastAsia="zh-CN"/>
      </w:rPr>
      <w:drawing>
        <wp:anchor distT="0" distB="0" distL="114300" distR="114300" simplePos="0" relativeHeight="251658752" behindDoc="0" locked="0" layoutInCell="1" allowOverlap="1" wp14:anchorId="5B63AF68" wp14:editId="1A4D0C1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ST/SG/AC.10/4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8FA9" w14:textId="77777777" w:rsidR="00D64A6E" w:rsidRPr="001075E9" w:rsidRDefault="00D64A6E" w:rsidP="001075E9">
      <w:pPr>
        <w:tabs>
          <w:tab w:val="right" w:pos="2155"/>
        </w:tabs>
        <w:spacing w:after="80" w:line="240" w:lineRule="auto"/>
        <w:ind w:left="680"/>
        <w:rPr>
          <w:u w:val="single"/>
        </w:rPr>
      </w:pPr>
      <w:r>
        <w:rPr>
          <w:u w:val="single"/>
        </w:rPr>
        <w:tab/>
      </w:r>
    </w:p>
  </w:footnote>
  <w:footnote w:type="continuationSeparator" w:id="0">
    <w:p w14:paraId="5E61630D" w14:textId="77777777" w:rsidR="00D64A6E" w:rsidRDefault="00D64A6E" w:rsidP="00EB11DA">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793E" w14:textId="744B0D3B" w:rsidR="00D64A6E" w:rsidRPr="00577EC9" w:rsidRDefault="00AA1798">
    <w:pPr>
      <w:pStyle w:val="Header"/>
    </w:pPr>
    <w:fldSimple w:instr=" TITLE  \* MERGEFORMAT ">
      <w:r w:rsidR="005663CA">
        <w:t>ST/SG/AC.10/46/Add.1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94FE" w14:textId="1AAFAD19" w:rsidR="00D64A6E" w:rsidRPr="00577EC9" w:rsidRDefault="00AA1798" w:rsidP="00577EC9">
    <w:pPr>
      <w:pStyle w:val="Header"/>
      <w:jc w:val="right"/>
    </w:pPr>
    <w:fldSimple w:instr=" TITLE  \* MERGEFORMAT ">
      <w:r w:rsidR="005663CA">
        <w:t>ST/SG/AC.10/46/Add.1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3005"/>
        </w:tabs>
        <w:ind w:left="3005" w:hanging="170"/>
      </w:pPr>
      <w:rPr>
        <w:rFonts w:ascii="Times New Roman" w:hAnsi="Times New Roman" w:cs="Times New Roman" w:hint="default"/>
      </w:rPr>
    </w:lvl>
    <w:lvl w:ilvl="1" w:tplc="0C0A0003">
      <w:start w:val="1"/>
      <w:numFmt w:val="bullet"/>
      <w:lvlText w:val="o"/>
      <w:lvlJc w:val="left"/>
      <w:pPr>
        <w:tabs>
          <w:tab w:val="num" w:pos="2177"/>
        </w:tabs>
        <w:ind w:left="2177" w:hanging="360"/>
      </w:pPr>
      <w:rPr>
        <w:rFonts w:ascii="Courier New" w:hAnsi="Courier New"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0"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2"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5"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9"/>
  </w:num>
  <w:num w:numId="3">
    <w:abstractNumId w:val="31"/>
  </w:num>
  <w:num w:numId="4">
    <w:abstractNumId w:val="29"/>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30"/>
  </w:num>
  <w:num w:numId="18">
    <w:abstractNumId w:val="24"/>
  </w:num>
  <w:num w:numId="19">
    <w:abstractNumId w:val="32"/>
    <w:lvlOverride w:ilvl="0">
      <w:lvl w:ilvl="0" w:tplc="49887BF8">
        <w:start w:val="1"/>
        <w:numFmt w:val="decimal"/>
        <w:lvlText w:val="(%1)"/>
        <w:lvlJc w:val="left"/>
        <w:pPr>
          <w:ind w:left="368" w:hanging="368"/>
        </w:pPr>
        <w:rPr>
          <w:rFonts w:hint="default"/>
          <w:i w:val="0"/>
        </w:rPr>
      </w:lvl>
    </w:lvlOverride>
  </w:num>
  <w:num w:numId="20">
    <w:abstractNumId w:val="25"/>
  </w:num>
  <w:num w:numId="21">
    <w:abstractNumId w:val="12"/>
  </w:num>
  <w:num w:numId="22">
    <w:abstractNumId w:val="17"/>
  </w:num>
  <w:num w:numId="23">
    <w:abstractNumId w:val="20"/>
  </w:num>
  <w:num w:numId="24">
    <w:abstractNumId w:val="14"/>
  </w:num>
  <w:num w:numId="25">
    <w:abstractNumId w:val="11"/>
    <w:lvlOverride w:ilvl="0">
      <w:lvl w:ilvl="0" w:tplc="0409000F">
        <w:start w:val="1"/>
        <w:numFmt w:val="decimal"/>
        <w:lvlText w:val="%1."/>
        <w:lvlJc w:val="left"/>
        <w:pPr>
          <w:ind w:left="720" w:hanging="360"/>
        </w:pPr>
      </w:lvl>
    </w:lvlOverride>
  </w:num>
  <w:num w:numId="26">
    <w:abstractNumId w:val="21"/>
    <w:lvlOverride w:ilvl="0">
      <w:lvl w:ilvl="0" w:tplc="60681472">
        <w:start w:val="1"/>
        <w:numFmt w:val="lowerLetter"/>
        <w:lvlText w:val="%1)"/>
        <w:lvlJc w:val="left"/>
        <w:pPr>
          <w:ind w:left="2574" w:hanging="360"/>
        </w:pPr>
        <w:rPr>
          <w:rFonts w:hint="default"/>
          <w:i/>
          <w:iCs/>
        </w:rPr>
      </w:lvl>
    </w:lvlOverride>
  </w:num>
  <w:num w:numId="27">
    <w:abstractNumId w:val="16"/>
  </w:num>
  <w:num w:numId="28">
    <w:abstractNumId w:val="18"/>
  </w:num>
  <w:num w:numId="29">
    <w:abstractNumId w:val="15"/>
  </w:num>
  <w:num w:numId="30">
    <w:abstractNumId w:val="10"/>
  </w:num>
  <w:num w:numId="31">
    <w:abstractNumId w:val="28"/>
  </w:num>
  <w:num w:numId="32">
    <w:abstractNumId w:val="22"/>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06"/>
    <w:rsid w:val="00002301"/>
    <w:rsid w:val="0000583D"/>
    <w:rsid w:val="0003450A"/>
    <w:rsid w:val="00036516"/>
    <w:rsid w:val="00036CBB"/>
    <w:rsid w:val="0004134F"/>
    <w:rsid w:val="00045737"/>
    <w:rsid w:val="000560CF"/>
    <w:rsid w:val="000608EA"/>
    <w:rsid w:val="0008650D"/>
    <w:rsid w:val="000A118E"/>
    <w:rsid w:val="000B57E7"/>
    <w:rsid w:val="000D186A"/>
    <w:rsid w:val="000F09DF"/>
    <w:rsid w:val="000F61B2"/>
    <w:rsid w:val="001075E9"/>
    <w:rsid w:val="001667A2"/>
    <w:rsid w:val="00167FE3"/>
    <w:rsid w:val="0017628D"/>
    <w:rsid w:val="00180183"/>
    <w:rsid w:val="00196389"/>
    <w:rsid w:val="001A52A0"/>
    <w:rsid w:val="001A5673"/>
    <w:rsid w:val="001C7A89"/>
    <w:rsid w:val="001E213E"/>
    <w:rsid w:val="0023791F"/>
    <w:rsid w:val="00245D7C"/>
    <w:rsid w:val="00294979"/>
    <w:rsid w:val="002A2EFC"/>
    <w:rsid w:val="002C5BE2"/>
    <w:rsid w:val="002D5AAC"/>
    <w:rsid w:val="002E2E15"/>
    <w:rsid w:val="00301299"/>
    <w:rsid w:val="00322004"/>
    <w:rsid w:val="00334CC8"/>
    <w:rsid w:val="003402C2"/>
    <w:rsid w:val="00370D6A"/>
    <w:rsid w:val="00371851"/>
    <w:rsid w:val="00381C24"/>
    <w:rsid w:val="00394A39"/>
    <w:rsid w:val="003958D0"/>
    <w:rsid w:val="003C5E06"/>
    <w:rsid w:val="003E5057"/>
    <w:rsid w:val="00416CBD"/>
    <w:rsid w:val="00425D86"/>
    <w:rsid w:val="00454E07"/>
    <w:rsid w:val="004762CA"/>
    <w:rsid w:val="004B3862"/>
    <w:rsid w:val="004F3C2C"/>
    <w:rsid w:val="0050108D"/>
    <w:rsid w:val="00512683"/>
    <w:rsid w:val="00525A4C"/>
    <w:rsid w:val="0054588C"/>
    <w:rsid w:val="00564673"/>
    <w:rsid w:val="005663CA"/>
    <w:rsid w:val="00571AAE"/>
    <w:rsid w:val="00572E19"/>
    <w:rsid w:val="00575A04"/>
    <w:rsid w:val="00576828"/>
    <w:rsid w:val="00577EC9"/>
    <w:rsid w:val="005904EA"/>
    <w:rsid w:val="00593BDA"/>
    <w:rsid w:val="005A18E8"/>
    <w:rsid w:val="005E3266"/>
    <w:rsid w:val="005E4D61"/>
    <w:rsid w:val="005F0B42"/>
    <w:rsid w:val="00655CB5"/>
    <w:rsid w:val="00656E0C"/>
    <w:rsid w:val="00695F84"/>
    <w:rsid w:val="006B070E"/>
    <w:rsid w:val="006B0886"/>
    <w:rsid w:val="006F35EE"/>
    <w:rsid w:val="00734C57"/>
    <w:rsid w:val="00742B86"/>
    <w:rsid w:val="00780E55"/>
    <w:rsid w:val="00784BA1"/>
    <w:rsid w:val="007D6339"/>
    <w:rsid w:val="007E7683"/>
    <w:rsid w:val="007F220C"/>
    <w:rsid w:val="007F7EC0"/>
    <w:rsid w:val="00834B71"/>
    <w:rsid w:val="0086445C"/>
    <w:rsid w:val="00882F20"/>
    <w:rsid w:val="00887D1B"/>
    <w:rsid w:val="008A08D7"/>
    <w:rsid w:val="008B03BC"/>
    <w:rsid w:val="00906890"/>
    <w:rsid w:val="00914C7D"/>
    <w:rsid w:val="009376F3"/>
    <w:rsid w:val="00947596"/>
    <w:rsid w:val="00951972"/>
    <w:rsid w:val="009542FA"/>
    <w:rsid w:val="00956CBC"/>
    <w:rsid w:val="0098252B"/>
    <w:rsid w:val="009B5447"/>
    <w:rsid w:val="009D59FB"/>
    <w:rsid w:val="009F4B1D"/>
    <w:rsid w:val="00A0423D"/>
    <w:rsid w:val="00A26136"/>
    <w:rsid w:val="00A437C9"/>
    <w:rsid w:val="00A44021"/>
    <w:rsid w:val="00A50E4A"/>
    <w:rsid w:val="00A60A96"/>
    <w:rsid w:val="00A917B3"/>
    <w:rsid w:val="00A96B77"/>
    <w:rsid w:val="00AA1798"/>
    <w:rsid w:val="00AB4B51"/>
    <w:rsid w:val="00AE3F83"/>
    <w:rsid w:val="00AE6B67"/>
    <w:rsid w:val="00B106BA"/>
    <w:rsid w:val="00B10CC7"/>
    <w:rsid w:val="00B20E4A"/>
    <w:rsid w:val="00B45B6E"/>
    <w:rsid w:val="00B62458"/>
    <w:rsid w:val="00B83C9F"/>
    <w:rsid w:val="00B84F8F"/>
    <w:rsid w:val="00B950A6"/>
    <w:rsid w:val="00BB0807"/>
    <w:rsid w:val="00BD33EE"/>
    <w:rsid w:val="00C60F0C"/>
    <w:rsid w:val="00C805C9"/>
    <w:rsid w:val="00CA1679"/>
    <w:rsid w:val="00CB3851"/>
    <w:rsid w:val="00CE4207"/>
    <w:rsid w:val="00CF10F2"/>
    <w:rsid w:val="00D043DE"/>
    <w:rsid w:val="00D24E61"/>
    <w:rsid w:val="00D51FB8"/>
    <w:rsid w:val="00D60294"/>
    <w:rsid w:val="00D64A6E"/>
    <w:rsid w:val="00D67D34"/>
    <w:rsid w:val="00D84B85"/>
    <w:rsid w:val="00D90138"/>
    <w:rsid w:val="00D94C21"/>
    <w:rsid w:val="00D95545"/>
    <w:rsid w:val="00DA3F09"/>
    <w:rsid w:val="00DB0BBF"/>
    <w:rsid w:val="00DD5249"/>
    <w:rsid w:val="00E3150A"/>
    <w:rsid w:val="00E64C29"/>
    <w:rsid w:val="00E73F76"/>
    <w:rsid w:val="00E740EA"/>
    <w:rsid w:val="00EA53DF"/>
    <w:rsid w:val="00EB0B5A"/>
    <w:rsid w:val="00EB11DA"/>
    <w:rsid w:val="00EC7E23"/>
    <w:rsid w:val="00EF1360"/>
    <w:rsid w:val="00EF3220"/>
    <w:rsid w:val="00F117AA"/>
    <w:rsid w:val="00F33585"/>
    <w:rsid w:val="00F5164B"/>
    <w:rsid w:val="00F7213E"/>
    <w:rsid w:val="00FB5CDD"/>
    <w:rsid w:val="00FD2EF7"/>
    <w:rsid w:val="00FD474E"/>
    <w:rsid w:val="00FD77F4"/>
    <w:rsid w:val="00FE4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841CF0"/>
  <w15:docId w15:val="{85E1ED9B-194D-4B5E-8D52-F4857F8C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0CF"/>
    <w:pPr>
      <w:spacing w:line="240" w:lineRule="atLeast"/>
    </w:pPr>
    <w:rPr>
      <w:lang w:val="es-ES" w:eastAsia="es-ES"/>
    </w:rPr>
  </w:style>
  <w:style w:type="paragraph" w:styleId="Heading1">
    <w:name w:val="heading 1"/>
    <w:aliases w:val="Table_G,Cuadro_G"/>
    <w:basedOn w:val="SingleTxtG"/>
    <w:next w:val="SingleTxtG"/>
    <w:link w:val="Heading1Char"/>
    <w:qFormat/>
    <w:rsid w:val="006B070E"/>
    <w:pPr>
      <w:keepNext/>
      <w:spacing w:after="0" w:line="240" w:lineRule="auto"/>
      <w:outlineLvl w:val="0"/>
    </w:pPr>
    <w:rPr>
      <w:rFonts w:cs="Arial"/>
      <w:bCs/>
      <w:szCs w:val="32"/>
    </w:rPr>
  </w:style>
  <w:style w:type="paragraph" w:styleId="Heading2">
    <w:name w:val="heading 2"/>
    <w:basedOn w:val="Normal"/>
    <w:next w:val="Normal"/>
    <w:link w:val="Heading2Char"/>
    <w:qFormat/>
    <w:rsid w:val="000560CF"/>
    <w:pPr>
      <w:keepNext/>
      <w:outlineLvl w:val="1"/>
    </w:pPr>
    <w:rPr>
      <w:rFonts w:cs="Arial"/>
      <w:bCs/>
      <w:iCs/>
      <w:szCs w:val="28"/>
    </w:rPr>
  </w:style>
  <w:style w:type="paragraph" w:styleId="Heading3">
    <w:name w:val="heading 3"/>
    <w:basedOn w:val="Normal"/>
    <w:next w:val="Normal"/>
    <w:link w:val="Heading3Char"/>
    <w:qFormat/>
    <w:rsid w:val="00056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0CF"/>
    <w:pPr>
      <w:keepNext/>
      <w:spacing w:before="240" w:after="60"/>
      <w:outlineLvl w:val="3"/>
    </w:pPr>
    <w:rPr>
      <w:b/>
      <w:bCs/>
      <w:sz w:val="28"/>
      <w:szCs w:val="28"/>
    </w:rPr>
  </w:style>
  <w:style w:type="paragraph" w:styleId="Heading5">
    <w:name w:val="heading 5"/>
    <w:basedOn w:val="Normal"/>
    <w:next w:val="Normal"/>
    <w:link w:val="Heading5Char"/>
    <w:qFormat/>
    <w:rsid w:val="000560CF"/>
    <w:pPr>
      <w:spacing w:before="240" w:after="60"/>
      <w:outlineLvl w:val="4"/>
    </w:pPr>
    <w:rPr>
      <w:b/>
      <w:bCs/>
      <w:i/>
      <w:iCs/>
      <w:sz w:val="26"/>
      <w:szCs w:val="26"/>
    </w:rPr>
  </w:style>
  <w:style w:type="paragraph" w:styleId="Heading6">
    <w:name w:val="heading 6"/>
    <w:basedOn w:val="Normal"/>
    <w:next w:val="Normal"/>
    <w:link w:val="Heading6Char"/>
    <w:qFormat/>
    <w:rsid w:val="000560CF"/>
    <w:pPr>
      <w:spacing w:before="240" w:after="60"/>
      <w:outlineLvl w:val="5"/>
    </w:pPr>
    <w:rPr>
      <w:b/>
      <w:bCs/>
      <w:sz w:val="22"/>
      <w:szCs w:val="22"/>
    </w:rPr>
  </w:style>
  <w:style w:type="paragraph" w:styleId="Heading7">
    <w:name w:val="heading 7"/>
    <w:basedOn w:val="Normal"/>
    <w:next w:val="Normal"/>
    <w:link w:val="Heading7Char"/>
    <w:qFormat/>
    <w:rsid w:val="000560CF"/>
    <w:pPr>
      <w:spacing w:before="240" w:after="60"/>
      <w:outlineLvl w:val="6"/>
    </w:pPr>
    <w:rPr>
      <w:sz w:val="24"/>
      <w:szCs w:val="24"/>
    </w:rPr>
  </w:style>
  <w:style w:type="paragraph" w:styleId="Heading8">
    <w:name w:val="heading 8"/>
    <w:basedOn w:val="Normal"/>
    <w:next w:val="Normal"/>
    <w:link w:val="Heading8Char"/>
    <w:qFormat/>
    <w:rsid w:val="000560CF"/>
    <w:pPr>
      <w:spacing w:before="240" w:after="60"/>
      <w:outlineLvl w:val="7"/>
    </w:pPr>
    <w:rPr>
      <w:i/>
      <w:iCs/>
      <w:sz w:val="24"/>
      <w:szCs w:val="24"/>
    </w:rPr>
  </w:style>
  <w:style w:type="paragraph" w:styleId="Heading9">
    <w:name w:val="heading 9"/>
    <w:basedOn w:val="Normal"/>
    <w:next w:val="Normal"/>
    <w:link w:val="Heading9Char"/>
    <w:qFormat/>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FB5CDD"/>
    <w:pPr>
      <w:pBdr>
        <w:bottom w:val="single" w:sz="4" w:space="4" w:color="auto"/>
      </w:pBdr>
      <w:spacing w:line="240" w:lineRule="auto"/>
    </w:pPr>
    <w:rPr>
      <w:b/>
      <w:sz w:val="18"/>
    </w:rPr>
  </w:style>
  <w:style w:type="paragraph" w:customStyle="1" w:styleId="SingleTxtG">
    <w:name w:val="_ Single Txt_G"/>
    <w:basedOn w:val="Normal"/>
    <w:link w:val="SingleTxtGCar"/>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560CF"/>
    <w:pPr>
      <w:tabs>
        <w:tab w:val="right" w:pos="1021"/>
      </w:tabs>
      <w:spacing w:line="220" w:lineRule="exact"/>
      <w:ind w:left="1134" w:right="1134" w:hanging="1134"/>
    </w:pPr>
    <w:rPr>
      <w:sz w:val="18"/>
    </w:rPr>
  </w:style>
  <w:style w:type="table" w:styleId="TableGrid">
    <w:name w:val="Table Grid"/>
    <w:basedOn w:val="TableNormal"/>
    <w:uiPriority w:val="59"/>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0560CF"/>
    <w:pPr>
      <w:numPr>
        <w:numId w:val="3"/>
      </w:numPr>
    </w:pPr>
  </w:style>
  <w:style w:type="numbering" w:styleId="1ai">
    <w:name w:val="Outline List 1"/>
    <w:basedOn w:val="NoList"/>
    <w:semiHidden/>
    <w:rsid w:val="000560CF"/>
    <w:pPr>
      <w:numPr>
        <w:numId w:val="4"/>
      </w:numPr>
    </w:pPr>
  </w:style>
  <w:style w:type="character" w:styleId="HTMLAcronym">
    <w:name w:val="HTML Acronym"/>
    <w:basedOn w:val="DefaultParagraphFont"/>
    <w:rsid w:val="000560CF"/>
  </w:style>
  <w:style w:type="numbering" w:styleId="ArticleSection">
    <w:name w:val="Outline List 3"/>
    <w:basedOn w:val="NoList"/>
    <w:semiHidden/>
    <w:rsid w:val="000560CF"/>
    <w:pPr>
      <w:numPr>
        <w:numId w:val="5"/>
      </w:numPr>
    </w:pPr>
  </w:style>
  <w:style w:type="paragraph" w:styleId="Closing">
    <w:name w:val="Closing"/>
    <w:basedOn w:val="Normal"/>
    <w:link w:val="ClosingChar"/>
    <w:rsid w:val="000560CF"/>
    <w:pPr>
      <w:ind w:left="4252"/>
    </w:pPr>
  </w:style>
  <w:style w:type="character" w:styleId="HTMLCite">
    <w:name w:val="HTML Cite"/>
    <w:basedOn w:val="DefaultParagraphFont"/>
    <w:rsid w:val="000560CF"/>
    <w:rPr>
      <w:i/>
      <w:iCs/>
    </w:rPr>
  </w:style>
  <w:style w:type="character" w:styleId="HTMLCode">
    <w:name w:val="HTML Code"/>
    <w:basedOn w:val="DefaultParagraphFont"/>
    <w:rsid w:val="000560CF"/>
    <w:rPr>
      <w:rFonts w:ascii="Courier New" w:hAnsi="Courier New" w:cs="Courier New"/>
      <w:sz w:val="20"/>
      <w:szCs w:val="20"/>
    </w:rPr>
  </w:style>
  <w:style w:type="paragraph" w:styleId="ListContinue">
    <w:name w:val="List Continue"/>
    <w:basedOn w:val="Normal"/>
    <w:rsid w:val="000560CF"/>
    <w:pPr>
      <w:spacing w:after="120"/>
      <w:ind w:left="283"/>
    </w:pPr>
  </w:style>
  <w:style w:type="paragraph" w:styleId="ListContinue2">
    <w:name w:val="List Continue 2"/>
    <w:basedOn w:val="Normal"/>
    <w:rsid w:val="000560CF"/>
    <w:pPr>
      <w:spacing w:after="120"/>
      <w:ind w:left="566"/>
    </w:pPr>
  </w:style>
  <w:style w:type="paragraph" w:styleId="ListContinue3">
    <w:name w:val="List Continue 3"/>
    <w:basedOn w:val="Normal"/>
    <w:rsid w:val="000560CF"/>
    <w:pPr>
      <w:spacing w:after="120"/>
      <w:ind w:left="849"/>
    </w:pPr>
  </w:style>
  <w:style w:type="paragraph" w:styleId="ListContinue4">
    <w:name w:val="List Continue 4"/>
    <w:basedOn w:val="Normal"/>
    <w:rsid w:val="000560CF"/>
    <w:pPr>
      <w:spacing w:after="120"/>
      <w:ind w:left="1132"/>
    </w:pPr>
  </w:style>
  <w:style w:type="paragraph" w:styleId="ListContinue5">
    <w:name w:val="List Continue 5"/>
    <w:basedOn w:val="Normal"/>
    <w:rsid w:val="000560CF"/>
    <w:pPr>
      <w:spacing w:after="120"/>
      <w:ind w:left="1415"/>
    </w:pPr>
  </w:style>
  <w:style w:type="character" w:styleId="HTMLDefinition">
    <w:name w:val="HTML Definition"/>
    <w:basedOn w:val="DefaultParagraphFont"/>
    <w:rsid w:val="000560CF"/>
    <w:rPr>
      <w:i/>
      <w:iCs/>
    </w:rPr>
  </w:style>
  <w:style w:type="paragraph" w:styleId="HTMLAddress">
    <w:name w:val="HTML Address"/>
    <w:basedOn w:val="Normal"/>
    <w:link w:val="HTMLAddressChar"/>
    <w:rsid w:val="000560CF"/>
    <w:rPr>
      <w:i/>
      <w:iCs/>
    </w:rPr>
  </w:style>
  <w:style w:type="paragraph" w:styleId="EnvelopeAddress">
    <w:name w:val="envelope address"/>
    <w:basedOn w:val="Normal"/>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rsid w:val="000560CF"/>
    <w:rPr>
      <w:rFonts w:ascii="Courier New" w:hAnsi="Courier New" w:cs="Courier New"/>
    </w:rPr>
  </w:style>
  <w:style w:type="paragraph" w:styleId="MessageHeader">
    <w:name w:val="Message Header"/>
    <w:basedOn w:val="Normal"/>
    <w:link w:val="MessageHeaderChar"/>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rsid w:val="000560CF"/>
  </w:style>
  <w:style w:type="character" w:styleId="Emphasis">
    <w:name w:val="Emphasis"/>
    <w:basedOn w:val="DefaultParagraphFont"/>
    <w:qFormat/>
    <w:rsid w:val="000560CF"/>
    <w:rPr>
      <w:i/>
      <w:iCs/>
    </w:rPr>
  </w:style>
  <w:style w:type="paragraph" w:styleId="Date">
    <w:name w:val="Date"/>
    <w:basedOn w:val="Normal"/>
    <w:next w:val="Normal"/>
    <w:link w:val="DateChar"/>
    <w:rsid w:val="000560CF"/>
  </w:style>
  <w:style w:type="paragraph" w:styleId="Signature">
    <w:name w:val="Signature"/>
    <w:basedOn w:val="Normal"/>
    <w:link w:val="SignatureChar"/>
    <w:rsid w:val="000560CF"/>
    <w:pPr>
      <w:ind w:left="4252"/>
    </w:pPr>
  </w:style>
  <w:style w:type="paragraph" w:styleId="E-mailSignature">
    <w:name w:val="E-mail Signature"/>
    <w:basedOn w:val="Normal"/>
    <w:link w:val="E-mailSignatureChar"/>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link w:val="HTMLPreformattedChar"/>
    <w:semiHidden/>
    <w:rsid w:val="000560CF"/>
    <w:rPr>
      <w:rFonts w:ascii="Courier New" w:hAnsi="Courier New" w:cs="Courier New"/>
    </w:rPr>
  </w:style>
  <w:style w:type="paragraph" w:styleId="List">
    <w:name w:val="List"/>
    <w:basedOn w:val="Normal"/>
    <w:rsid w:val="000560CF"/>
    <w:pPr>
      <w:ind w:left="283" w:hanging="283"/>
    </w:pPr>
  </w:style>
  <w:style w:type="paragraph" w:styleId="List2">
    <w:name w:val="List 2"/>
    <w:basedOn w:val="Normal"/>
    <w:rsid w:val="000560CF"/>
    <w:pPr>
      <w:ind w:left="566" w:hanging="283"/>
    </w:pPr>
  </w:style>
  <w:style w:type="paragraph" w:styleId="List3">
    <w:name w:val="List 3"/>
    <w:basedOn w:val="Normal"/>
    <w:rsid w:val="000560CF"/>
    <w:pPr>
      <w:ind w:left="849" w:hanging="283"/>
    </w:pPr>
  </w:style>
  <w:style w:type="paragraph" w:styleId="List4">
    <w:name w:val="List 4"/>
    <w:basedOn w:val="Normal"/>
    <w:rsid w:val="000560CF"/>
    <w:pPr>
      <w:ind w:left="1132" w:hanging="283"/>
    </w:pPr>
  </w:style>
  <w:style w:type="paragraph" w:styleId="List5">
    <w:name w:val="List 5"/>
    <w:basedOn w:val="Normal"/>
    <w:rsid w:val="000560CF"/>
    <w:pPr>
      <w:ind w:left="1415" w:hanging="283"/>
    </w:pPr>
  </w:style>
  <w:style w:type="paragraph" w:styleId="ListNumber">
    <w:name w:val="List Number"/>
    <w:basedOn w:val="Normal"/>
    <w:rsid w:val="000560CF"/>
    <w:pPr>
      <w:numPr>
        <w:numId w:val="6"/>
      </w:numPr>
    </w:pPr>
  </w:style>
  <w:style w:type="paragraph" w:styleId="ListNumber2">
    <w:name w:val="List Number 2"/>
    <w:basedOn w:val="Normal"/>
    <w:rsid w:val="000560CF"/>
    <w:pPr>
      <w:numPr>
        <w:numId w:val="7"/>
      </w:numPr>
    </w:pPr>
  </w:style>
  <w:style w:type="paragraph" w:styleId="ListNumber3">
    <w:name w:val="List Number 3"/>
    <w:basedOn w:val="Normal"/>
    <w:rsid w:val="000560CF"/>
    <w:pPr>
      <w:numPr>
        <w:numId w:val="8"/>
      </w:numPr>
    </w:pPr>
  </w:style>
  <w:style w:type="paragraph" w:styleId="ListNumber4">
    <w:name w:val="List Number 4"/>
    <w:basedOn w:val="Normal"/>
    <w:rsid w:val="000560CF"/>
    <w:pPr>
      <w:numPr>
        <w:numId w:val="9"/>
      </w:numPr>
    </w:pPr>
  </w:style>
  <w:style w:type="paragraph" w:styleId="ListNumber5">
    <w:name w:val="List Number 5"/>
    <w:basedOn w:val="Normal"/>
    <w:rsid w:val="000560CF"/>
    <w:pPr>
      <w:numPr>
        <w:numId w:val="10"/>
      </w:numPr>
    </w:pPr>
  </w:style>
  <w:style w:type="paragraph" w:styleId="ListBullet">
    <w:name w:val="List Bullet"/>
    <w:basedOn w:val="Normal"/>
    <w:rsid w:val="000560CF"/>
    <w:pPr>
      <w:numPr>
        <w:numId w:val="11"/>
      </w:numPr>
    </w:pPr>
  </w:style>
  <w:style w:type="paragraph" w:styleId="ListBullet2">
    <w:name w:val="List Bullet 2"/>
    <w:basedOn w:val="Normal"/>
    <w:rsid w:val="000560CF"/>
    <w:pPr>
      <w:numPr>
        <w:numId w:val="12"/>
      </w:numPr>
    </w:pPr>
  </w:style>
  <w:style w:type="paragraph" w:styleId="ListBullet3">
    <w:name w:val="List Bullet 3"/>
    <w:basedOn w:val="Normal"/>
    <w:rsid w:val="000560CF"/>
    <w:pPr>
      <w:numPr>
        <w:numId w:val="13"/>
      </w:numPr>
    </w:pPr>
  </w:style>
  <w:style w:type="paragraph" w:styleId="ListBullet4">
    <w:name w:val="List Bullet 4"/>
    <w:basedOn w:val="Normal"/>
    <w:rsid w:val="000560CF"/>
    <w:pPr>
      <w:numPr>
        <w:numId w:val="14"/>
      </w:numPr>
    </w:pPr>
  </w:style>
  <w:style w:type="paragraph" w:styleId="ListBullet5">
    <w:name w:val="List Bullet 5"/>
    <w:basedOn w:val="Normal"/>
    <w:rsid w:val="000560CF"/>
    <w:pPr>
      <w:numPr>
        <w:numId w:val="15"/>
      </w:numPr>
    </w:pPr>
  </w:style>
  <w:style w:type="character" w:styleId="HTMLTypewriter">
    <w:name w:val="HTML Typewriter"/>
    <w:basedOn w:val="DefaultParagraphFont"/>
    <w:rsid w:val="000560CF"/>
    <w:rPr>
      <w:rFonts w:ascii="Courier New" w:hAnsi="Courier New" w:cs="Courier New"/>
      <w:sz w:val="20"/>
      <w:szCs w:val="20"/>
    </w:rPr>
  </w:style>
  <w:style w:type="paragraph" w:styleId="NormalWeb">
    <w:name w:val="Normal (Web)"/>
    <w:basedOn w:val="Normal"/>
    <w:uiPriority w:val="99"/>
    <w:rsid w:val="000560CF"/>
    <w:rPr>
      <w:sz w:val="24"/>
      <w:szCs w:val="24"/>
    </w:rPr>
  </w:style>
  <w:style w:type="character" w:styleId="LineNumber">
    <w:name w:val="line number"/>
    <w:basedOn w:val="DefaultParagraphFont"/>
    <w:rsid w:val="000560CF"/>
  </w:style>
  <w:style w:type="character" w:styleId="PageNumber">
    <w:name w:val="page number"/>
    <w:aliases w:val="7_G"/>
    <w:basedOn w:val="DefaultParagraphFont"/>
    <w:qFormat/>
    <w:rsid w:val="000560CF"/>
    <w:rPr>
      <w:b/>
      <w:sz w:val="18"/>
    </w:rPr>
  </w:style>
  <w:style w:type="character" w:styleId="EndnoteReference">
    <w:name w:val="endnote reference"/>
    <w:aliases w:val="1_G"/>
    <w:basedOn w:val="FootnoteReference"/>
    <w:qFormat/>
    <w:rsid w:val="000560CF"/>
    <w:rPr>
      <w:rFonts w:ascii="Times New Roman" w:hAnsi="Times New Roman"/>
      <w:sz w:val="18"/>
      <w:vertAlign w:val="superscript"/>
    </w:rPr>
  </w:style>
  <w:style w:type="paragraph" w:styleId="EnvelopeReturn">
    <w:name w:val="envelope return"/>
    <w:basedOn w:val="Normal"/>
    <w:rsid w:val="000560CF"/>
    <w:rPr>
      <w:rFonts w:ascii="Arial" w:hAnsi="Arial" w:cs="Arial"/>
    </w:rPr>
  </w:style>
  <w:style w:type="paragraph" w:styleId="Salutation">
    <w:name w:val="Salutation"/>
    <w:basedOn w:val="Normal"/>
    <w:next w:val="Normal"/>
    <w:link w:val="SalutationChar"/>
    <w:rsid w:val="000560CF"/>
  </w:style>
  <w:style w:type="paragraph" w:styleId="BodyTextIndent2">
    <w:name w:val="Body Text Indent 2"/>
    <w:basedOn w:val="Normal"/>
    <w:link w:val="BodyTextIndent2Char"/>
    <w:rsid w:val="000560CF"/>
    <w:pPr>
      <w:spacing w:after="120" w:line="480" w:lineRule="auto"/>
      <w:ind w:left="283"/>
    </w:pPr>
  </w:style>
  <w:style w:type="paragraph" w:styleId="BodyTextIndent3">
    <w:name w:val="Body Text Indent 3"/>
    <w:basedOn w:val="Normal"/>
    <w:link w:val="BodyTextIndent3Char"/>
    <w:rsid w:val="000560CF"/>
    <w:pPr>
      <w:spacing w:after="120"/>
      <w:ind w:left="283"/>
    </w:pPr>
    <w:rPr>
      <w:sz w:val="16"/>
      <w:szCs w:val="16"/>
    </w:rPr>
  </w:style>
  <w:style w:type="paragraph" w:styleId="BodyTextIndent">
    <w:name w:val="Body Text Indent"/>
    <w:basedOn w:val="Normal"/>
    <w:link w:val="BodyTextIndentChar"/>
    <w:rsid w:val="000560CF"/>
    <w:pPr>
      <w:spacing w:after="120"/>
      <w:ind w:left="283"/>
    </w:pPr>
  </w:style>
  <w:style w:type="paragraph" w:styleId="NormalIndent">
    <w:name w:val="Normal Indent"/>
    <w:basedOn w:val="Normal"/>
    <w:rsid w:val="000560CF"/>
    <w:pPr>
      <w:ind w:left="567"/>
    </w:pPr>
  </w:style>
  <w:style w:type="paragraph" w:styleId="Subtitle">
    <w:name w:val="Subtitle"/>
    <w:basedOn w:val="Normal"/>
    <w:link w:val="SubtitleChar"/>
    <w:qFormat/>
    <w:rsid w:val="000560CF"/>
    <w:pPr>
      <w:spacing w:after="60"/>
      <w:jc w:val="center"/>
      <w:outlineLvl w:val="1"/>
    </w:pPr>
    <w:rPr>
      <w:rFonts w:ascii="Arial" w:hAnsi="Arial" w:cs="Arial"/>
      <w:sz w:val="24"/>
      <w:szCs w:val="24"/>
    </w:rPr>
  </w:style>
  <w:style w:type="table" w:styleId="TableSimple1">
    <w:name w:val="Table Simple 1"/>
    <w:basedOn w:val="TableNormal"/>
    <w:semiHidden/>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rsid w:val="000560CF"/>
    <w:rPr>
      <w:rFonts w:ascii="Courier New" w:hAnsi="Courier New" w:cs="Courier New"/>
      <w:sz w:val="20"/>
      <w:szCs w:val="20"/>
    </w:rPr>
  </w:style>
  <w:style w:type="paragraph" w:styleId="BlockText">
    <w:name w:val="Block Text"/>
    <w:basedOn w:val="Normal"/>
    <w:rsid w:val="000560CF"/>
    <w:pPr>
      <w:spacing w:after="120"/>
      <w:ind w:left="1440" w:right="1440"/>
    </w:pPr>
  </w:style>
  <w:style w:type="character" w:styleId="Strong">
    <w:name w:val="Strong"/>
    <w:basedOn w:val="DefaultParagraphFont"/>
    <w:qFormat/>
    <w:rsid w:val="000560CF"/>
    <w:rPr>
      <w:b/>
      <w:bCs/>
    </w:rPr>
  </w:style>
  <w:style w:type="paragraph" w:styleId="BodyText">
    <w:name w:val="Body Text"/>
    <w:basedOn w:val="Normal"/>
    <w:link w:val="BodyTextChar"/>
    <w:rsid w:val="000560CF"/>
    <w:pPr>
      <w:spacing w:after="120"/>
    </w:pPr>
  </w:style>
  <w:style w:type="paragraph" w:styleId="BodyText2">
    <w:name w:val="Body Text 2"/>
    <w:basedOn w:val="Normal"/>
    <w:link w:val="BodyText2Char"/>
    <w:rsid w:val="000560CF"/>
    <w:pPr>
      <w:spacing w:after="120" w:line="480" w:lineRule="auto"/>
    </w:pPr>
  </w:style>
  <w:style w:type="paragraph" w:styleId="BodyText3">
    <w:name w:val="Body Text 3"/>
    <w:basedOn w:val="Normal"/>
    <w:link w:val="BodyText3Char"/>
    <w:rsid w:val="000560CF"/>
    <w:pPr>
      <w:spacing w:after="120"/>
    </w:pPr>
    <w:rPr>
      <w:sz w:val="16"/>
      <w:szCs w:val="16"/>
    </w:rPr>
  </w:style>
  <w:style w:type="paragraph" w:styleId="BodyTextFirstIndent">
    <w:name w:val="Body Text First Indent"/>
    <w:basedOn w:val="BodyText"/>
    <w:link w:val="BodyTextFirstIndentChar"/>
    <w:rsid w:val="000560CF"/>
    <w:pPr>
      <w:ind w:firstLine="210"/>
    </w:pPr>
  </w:style>
  <w:style w:type="paragraph" w:styleId="BodyTextFirstIndent2">
    <w:name w:val="Body Text First Indent 2"/>
    <w:basedOn w:val="BodyTextIndent"/>
    <w:link w:val="BodyTextFirstIndent2Char"/>
    <w:rsid w:val="000560CF"/>
    <w:pPr>
      <w:ind w:firstLine="210"/>
    </w:pPr>
  </w:style>
  <w:style w:type="paragraph" w:styleId="EndnoteText">
    <w:name w:val="endnote text"/>
    <w:aliases w:val="2_G"/>
    <w:basedOn w:val="FootnoteText"/>
    <w:link w:val="EndnoteTextChar"/>
    <w:qFormat/>
    <w:rsid w:val="000560CF"/>
  </w:style>
  <w:style w:type="paragraph" w:styleId="PlainText">
    <w:name w:val="Plain Text"/>
    <w:basedOn w:val="Normal"/>
    <w:link w:val="PlainTextChar"/>
    <w:rsid w:val="000560CF"/>
    <w:rPr>
      <w:rFonts w:ascii="Courier New" w:hAnsi="Courier New" w:cs="Courier New"/>
    </w:rPr>
  </w:style>
  <w:style w:type="paragraph" w:styleId="Title">
    <w:name w:val="Title"/>
    <w:basedOn w:val="Normal"/>
    <w:link w:val="TitleChar"/>
    <w:qFormat/>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F83"/>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577EC9"/>
    <w:rPr>
      <w:rFonts w:cs="Arial"/>
      <w:bCs/>
      <w:szCs w:val="32"/>
      <w:lang w:val="es-ES" w:eastAsia="es-ES"/>
    </w:rPr>
  </w:style>
  <w:style w:type="character" w:customStyle="1" w:styleId="Heading2Char">
    <w:name w:val="Heading 2 Char"/>
    <w:basedOn w:val="DefaultParagraphFont"/>
    <w:link w:val="Heading2"/>
    <w:rsid w:val="00577EC9"/>
    <w:rPr>
      <w:rFonts w:cs="Arial"/>
      <w:bCs/>
      <w:iCs/>
      <w:szCs w:val="28"/>
      <w:lang w:val="es-ES" w:eastAsia="es-ES"/>
    </w:rPr>
  </w:style>
  <w:style w:type="character" w:customStyle="1" w:styleId="Heading3Char">
    <w:name w:val="Heading 3 Char"/>
    <w:basedOn w:val="DefaultParagraphFont"/>
    <w:link w:val="Heading3"/>
    <w:rsid w:val="00577EC9"/>
    <w:rPr>
      <w:rFonts w:ascii="Arial" w:hAnsi="Arial" w:cs="Arial"/>
      <w:b/>
      <w:bCs/>
      <w:sz w:val="26"/>
      <w:szCs w:val="26"/>
      <w:lang w:val="es-ES" w:eastAsia="es-ES"/>
    </w:rPr>
  </w:style>
  <w:style w:type="character" w:customStyle="1" w:styleId="Heading4Char">
    <w:name w:val="Heading 4 Char"/>
    <w:basedOn w:val="DefaultParagraphFont"/>
    <w:link w:val="Heading4"/>
    <w:rsid w:val="00577EC9"/>
    <w:rPr>
      <w:b/>
      <w:bCs/>
      <w:sz w:val="28"/>
      <w:szCs w:val="28"/>
      <w:lang w:val="es-ES" w:eastAsia="es-ES"/>
    </w:rPr>
  </w:style>
  <w:style w:type="character" w:customStyle="1" w:styleId="Heading5Char">
    <w:name w:val="Heading 5 Char"/>
    <w:basedOn w:val="DefaultParagraphFont"/>
    <w:link w:val="Heading5"/>
    <w:rsid w:val="00577EC9"/>
    <w:rPr>
      <w:b/>
      <w:bCs/>
      <w:i/>
      <w:iCs/>
      <w:sz w:val="26"/>
      <w:szCs w:val="26"/>
      <w:lang w:val="es-ES" w:eastAsia="es-ES"/>
    </w:rPr>
  </w:style>
  <w:style w:type="character" w:customStyle="1" w:styleId="Heading6Char">
    <w:name w:val="Heading 6 Char"/>
    <w:basedOn w:val="DefaultParagraphFont"/>
    <w:link w:val="Heading6"/>
    <w:rsid w:val="00577EC9"/>
    <w:rPr>
      <w:b/>
      <w:bCs/>
      <w:sz w:val="22"/>
      <w:szCs w:val="22"/>
      <w:lang w:val="es-ES" w:eastAsia="es-ES"/>
    </w:rPr>
  </w:style>
  <w:style w:type="character" w:customStyle="1" w:styleId="Heading7Char">
    <w:name w:val="Heading 7 Char"/>
    <w:basedOn w:val="DefaultParagraphFont"/>
    <w:link w:val="Heading7"/>
    <w:rsid w:val="00577EC9"/>
    <w:rPr>
      <w:sz w:val="24"/>
      <w:szCs w:val="24"/>
      <w:lang w:val="es-ES" w:eastAsia="es-ES"/>
    </w:rPr>
  </w:style>
  <w:style w:type="character" w:customStyle="1" w:styleId="Heading8Char">
    <w:name w:val="Heading 8 Char"/>
    <w:basedOn w:val="DefaultParagraphFont"/>
    <w:link w:val="Heading8"/>
    <w:rsid w:val="00577EC9"/>
    <w:rPr>
      <w:i/>
      <w:iCs/>
      <w:sz w:val="24"/>
      <w:szCs w:val="24"/>
      <w:lang w:val="es-ES" w:eastAsia="es-ES"/>
    </w:rPr>
  </w:style>
  <w:style w:type="character" w:customStyle="1" w:styleId="Heading9Char">
    <w:name w:val="Heading 9 Char"/>
    <w:basedOn w:val="DefaultParagraphFont"/>
    <w:link w:val="Heading9"/>
    <w:rsid w:val="00577EC9"/>
    <w:rPr>
      <w:rFonts w:ascii="Arial" w:hAnsi="Arial" w:cs="Arial"/>
      <w:sz w:val="22"/>
      <w:szCs w:val="22"/>
      <w:lang w:val="es-ES" w:eastAsia="es-ES"/>
    </w:rPr>
  </w:style>
  <w:style w:type="character" w:customStyle="1" w:styleId="HeaderChar">
    <w:name w:val="Header Char"/>
    <w:aliases w:val="6_G Char"/>
    <w:basedOn w:val="DefaultParagraphFont"/>
    <w:link w:val="Header"/>
    <w:rsid w:val="00577EC9"/>
    <w:rPr>
      <w:b/>
      <w:sz w:val="18"/>
      <w:lang w:val="es-ES" w:eastAsia="es-ES"/>
    </w:rPr>
  </w:style>
  <w:style w:type="character" w:customStyle="1" w:styleId="FooterChar">
    <w:name w:val="Footer Char"/>
    <w:aliases w:val="3_G Char"/>
    <w:basedOn w:val="DefaultParagraphFont"/>
    <w:link w:val="Footer"/>
    <w:rsid w:val="00577EC9"/>
    <w:rPr>
      <w:sz w:val="16"/>
      <w:lang w:val="es-ES" w:eastAsia="es-ES"/>
    </w:rPr>
  </w:style>
  <w:style w:type="character" w:customStyle="1" w:styleId="FootnoteTextChar">
    <w:name w:val="Footnote Text Char"/>
    <w:aliases w:val="5_G Char"/>
    <w:basedOn w:val="DefaultParagraphFont"/>
    <w:link w:val="FootnoteText"/>
    <w:rsid w:val="00577EC9"/>
    <w:rPr>
      <w:sz w:val="18"/>
      <w:lang w:val="es-ES" w:eastAsia="es-ES"/>
    </w:rPr>
  </w:style>
  <w:style w:type="character" w:customStyle="1" w:styleId="ClosingChar">
    <w:name w:val="Closing Char"/>
    <w:basedOn w:val="DefaultParagraphFont"/>
    <w:link w:val="Closing"/>
    <w:rsid w:val="00577EC9"/>
    <w:rPr>
      <w:lang w:val="es-ES" w:eastAsia="es-ES"/>
    </w:rPr>
  </w:style>
  <w:style w:type="character" w:customStyle="1" w:styleId="HTMLAddressChar">
    <w:name w:val="HTML Address Char"/>
    <w:basedOn w:val="DefaultParagraphFont"/>
    <w:link w:val="HTMLAddress"/>
    <w:rsid w:val="00577EC9"/>
    <w:rPr>
      <w:i/>
      <w:iCs/>
      <w:lang w:val="es-ES" w:eastAsia="es-ES"/>
    </w:rPr>
  </w:style>
  <w:style w:type="character" w:customStyle="1" w:styleId="MessageHeaderChar">
    <w:name w:val="Message Header Char"/>
    <w:basedOn w:val="DefaultParagraphFont"/>
    <w:link w:val="MessageHeader"/>
    <w:rsid w:val="00577EC9"/>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rsid w:val="00577EC9"/>
    <w:rPr>
      <w:lang w:val="es-ES" w:eastAsia="es-ES"/>
    </w:rPr>
  </w:style>
  <w:style w:type="character" w:customStyle="1" w:styleId="DateChar">
    <w:name w:val="Date Char"/>
    <w:basedOn w:val="DefaultParagraphFont"/>
    <w:link w:val="Date"/>
    <w:rsid w:val="00577EC9"/>
    <w:rPr>
      <w:lang w:val="es-ES" w:eastAsia="es-ES"/>
    </w:rPr>
  </w:style>
  <w:style w:type="character" w:customStyle="1" w:styleId="SignatureChar">
    <w:name w:val="Signature Char"/>
    <w:basedOn w:val="DefaultParagraphFont"/>
    <w:link w:val="Signature"/>
    <w:rsid w:val="00577EC9"/>
    <w:rPr>
      <w:lang w:val="es-ES" w:eastAsia="es-ES"/>
    </w:rPr>
  </w:style>
  <w:style w:type="character" w:customStyle="1" w:styleId="E-mailSignatureChar">
    <w:name w:val="E-mail Signature Char"/>
    <w:basedOn w:val="DefaultParagraphFont"/>
    <w:link w:val="E-mailSignature"/>
    <w:rsid w:val="00577EC9"/>
    <w:rPr>
      <w:lang w:val="es-ES" w:eastAsia="es-ES"/>
    </w:rPr>
  </w:style>
  <w:style w:type="character" w:customStyle="1" w:styleId="HTMLPreformattedChar">
    <w:name w:val="HTML Preformatted Char"/>
    <w:basedOn w:val="DefaultParagraphFont"/>
    <w:link w:val="HTMLPreformatted"/>
    <w:semiHidden/>
    <w:rsid w:val="00577EC9"/>
    <w:rPr>
      <w:rFonts w:ascii="Courier New" w:hAnsi="Courier New" w:cs="Courier New"/>
      <w:lang w:val="es-ES" w:eastAsia="es-ES"/>
    </w:rPr>
  </w:style>
  <w:style w:type="character" w:customStyle="1" w:styleId="SalutationChar">
    <w:name w:val="Salutation Char"/>
    <w:basedOn w:val="DefaultParagraphFont"/>
    <w:link w:val="Salutation"/>
    <w:rsid w:val="00577EC9"/>
    <w:rPr>
      <w:lang w:val="es-ES" w:eastAsia="es-ES"/>
    </w:rPr>
  </w:style>
  <w:style w:type="character" w:customStyle="1" w:styleId="BodyTextIndent2Char">
    <w:name w:val="Body Text Indent 2 Char"/>
    <w:basedOn w:val="DefaultParagraphFont"/>
    <w:link w:val="BodyTextIndent2"/>
    <w:rsid w:val="00577EC9"/>
    <w:rPr>
      <w:lang w:val="es-ES" w:eastAsia="es-ES"/>
    </w:rPr>
  </w:style>
  <w:style w:type="character" w:customStyle="1" w:styleId="BodyTextIndent3Char">
    <w:name w:val="Body Text Indent 3 Char"/>
    <w:basedOn w:val="DefaultParagraphFont"/>
    <w:link w:val="BodyTextIndent3"/>
    <w:rsid w:val="00577EC9"/>
    <w:rPr>
      <w:sz w:val="16"/>
      <w:szCs w:val="16"/>
      <w:lang w:val="es-ES" w:eastAsia="es-ES"/>
    </w:rPr>
  </w:style>
  <w:style w:type="character" w:customStyle="1" w:styleId="BodyTextIndentChar">
    <w:name w:val="Body Text Indent Char"/>
    <w:basedOn w:val="DefaultParagraphFont"/>
    <w:link w:val="BodyTextIndent"/>
    <w:rsid w:val="00577EC9"/>
    <w:rPr>
      <w:lang w:val="es-ES" w:eastAsia="es-ES"/>
    </w:rPr>
  </w:style>
  <w:style w:type="character" w:customStyle="1" w:styleId="SubtitleChar">
    <w:name w:val="Subtitle Char"/>
    <w:basedOn w:val="DefaultParagraphFont"/>
    <w:link w:val="Subtitle"/>
    <w:rsid w:val="00577EC9"/>
    <w:rPr>
      <w:rFonts w:ascii="Arial" w:hAnsi="Arial" w:cs="Arial"/>
      <w:sz w:val="24"/>
      <w:szCs w:val="24"/>
      <w:lang w:val="es-ES" w:eastAsia="es-ES"/>
    </w:rPr>
  </w:style>
  <w:style w:type="character" w:customStyle="1" w:styleId="BodyTextChar">
    <w:name w:val="Body Text Char"/>
    <w:basedOn w:val="DefaultParagraphFont"/>
    <w:link w:val="BodyText"/>
    <w:rsid w:val="00577EC9"/>
    <w:rPr>
      <w:lang w:val="es-ES" w:eastAsia="es-ES"/>
    </w:rPr>
  </w:style>
  <w:style w:type="character" w:customStyle="1" w:styleId="BodyText2Char">
    <w:name w:val="Body Text 2 Char"/>
    <w:basedOn w:val="DefaultParagraphFont"/>
    <w:link w:val="BodyText2"/>
    <w:rsid w:val="00577EC9"/>
    <w:rPr>
      <w:lang w:val="es-ES" w:eastAsia="es-ES"/>
    </w:rPr>
  </w:style>
  <w:style w:type="character" w:customStyle="1" w:styleId="BodyText3Char">
    <w:name w:val="Body Text 3 Char"/>
    <w:basedOn w:val="DefaultParagraphFont"/>
    <w:link w:val="BodyText3"/>
    <w:rsid w:val="00577EC9"/>
    <w:rPr>
      <w:sz w:val="16"/>
      <w:szCs w:val="16"/>
      <w:lang w:val="es-ES" w:eastAsia="es-ES"/>
    </w:rPr>
  </w:style>
  <w:style w:type="character" w:customStyle="1" w:styleId="BodyTextFirstIndentChar">
    <w:name w:val="Body Text First Indent Char"/>
    <w:basedOn w:val="BodyTextChar"/>
    <w:link w:val="BodyTextFirstIndent"/>
    <w:rsid w:val="00577EC9"/>
    <w:rPr>
      <w:lang w:val="es-ES" w:eastAsia="es-ES"/>
    </w:rPr>
  </w:style>
  <w:style w:type="character" w:customStyle="1" w:styleId="BodyTextFirstIndent2Char">
    <w:name w:val="Body Text First Indent 2 Char"/>
    <w:basedOn w:val="BodyTextIndentChar"/>
    <w:link w:val="BodyTextFirstIndent2"/>
    <w:rsid w:val="00577EC9"/>
    <w:rPr>
      <w:lang w:val="es-ES" w:eastAsia="es-ES"/>
    </w:rPr>
  </w:style>
  <w:style w:type="character" w:customStyle="1" w:styleId="EndnoteTextChar">
    <w:name w:val="Endnote Text Char"/>
    <w:aliases w:val="2_G Char"/>
    <w:basedOn w:val="DefaultParagraphFont"/>
    <w:link w:val="EndnoteText"/>
    <w:rsid w:val="00577EC9"/>
    <w:rPr>
      <w:sz w:val="18"/>
      <w:lang w:val="es-ES" w:eastAsia="es-ES"/>
    </w:rPr>
  </w:style>
  <w:style w:type="character" w:customStyle="1" w:styleId="PlainTextChar">
    <w:name w:val="Plain Text Char"/>
    <w:basedOn w:val="DefaultParagraphFont"/>
    <w:link w:val="PlainText"/>
    <w:rsid w:val="00577EC9"/>
    <w:rPr>
      <w:rFonts w:ascii="Courier New" w:hAnsi="Courier New" w:cs="Courier New"/>
      <w:lang w:val="es-ES" w:eastAsia="es-ES"/>
    </w:rPr>
  </w:style>
  <w:style w:type="character" w:customStyle="1" w:styleId="TitleChar">
    <w:name w:val="Title Char"/>
    <w:basedOn w:val="DefaultParagraphFont"/>
    <w:link w:val="Title"/>
    <w:rsid w:val="00577EC9"/>
    <w:rPr>
      <w:rFonts w:ascii="Arial" w:hAnsi="Arial" w:cs="Arial"/>
      <w:b/>
      <w:bCs/>
      <w:kern w:val="28"/>
      <w:sz w:val="32"/>
      <w:szCs w:val="32"/>
      <w:lang w:val="es-ES" w:eastAsia="es-ES"/>
    </w:rPr>
  </w:style>
  <w:style w:type="character" w:styleId="IntenseEmphasis">
    <w:name w:val="Intense Emphasis"/>
    <w:uiPriority w:val="21"/>
    <w:rsid w:val="00577EC9"/>
    <w:rPr>
      <w:b/>
      <w:bCs/>
      <w:i/>
      <w:iCs/>
      <w:color w:val="4F81BD"/>
    </w:rPr>
  </w:style>
  <w:style w:type="paragraph" w:styleId="IntenseQuote">
    <w:name w:val="Intense Quote"/>
    <w:basedOn w:val="Normal"/>
    <w:next w:val="Normal"/>
    <w:link w:val="IntenseQuoteChar"/>
    <w:uiPriority w:val="30"/>
    <w:rsid w:val="00577EC9"/>
    <w:pPr>
      <w:pBdr>
        <w:bottom w:val="single" w:sz="4" w:space="4" w:color="4F81BD"/>
      </w:pBdr>
      <w:spacing w:before="200" w:after="280"/>
      <w:ind w:left="936" w:right="936"/>
    </w:pPr>
    <w:rPr>
      <w:rFonts w:eastAsiaTheme="minorHAnsi"/>
      <w:b/>
      <w:bCs/>
      <w:i/>
      <w:iCs/>
      <w:color w:val="4F81BD"/>
    </w:rPr>
  </w:style>
  <w:style w:type="character" w:customStyle="1" w:styleId="IntenseQuoteChar">
    <w:name w:val="Intense Quote Char"/>
    <w:basedOn w:val="DefaultParagraphFont"/>
    <w:link w:val="IntenseQuote"/>
    <w:uiPriority w:val="30"/>
    <w:rsid w:val="00577EC9"/>
    <w:rPr>
      <w:rFonts w:eastAsiaTheme="minorHAnsi"/>
      <w:b/>
      <w:bCs/>
      <w:i/>
      <w:iCs/>
      <w:color w:val="4F81BD"/>
      <w:lang w:val="es-ES" w:eastAsia="es-ES"/>
    </w:rPr>
  </w:style>
  <w:style w:type="character" w:styleId="CommentReference">
    <w:name w:val="annotation reference"/>
    <w:basedOn w:val="DefaultParagraphFont"/>
    <w:semiHidden/>
    <w:rsid w:val="00577EC9"/>
    <w:rPr>
      <w:sz w:val="6"/>
    </w:rPr>
  </w:style>
  <w:style w:type="paragraph" w:styleId="CommentText">
    <w:name w:val="annotation text"/>
    <w:basedOn w:val="Normal"/>
    <w:link w:val="CommentTextChar"/>
    <w:uiPriority w:val="99"/>
    <w:semiHidden/>
    <w:rsid w:val="00577EC9"/>
    <w:pPr>
      <w:suppressAutoHyphens/>
    </w:pPr>
    <w:rPr>
      <w:lang w:val="en-GB" w:eastAsia="en-US"/>
    </w:rPr>
  </w:style>
  <w:style w:type="character" w:customStyle="1" w:styleId="CommentTextChar">
    <w:name w:val="Comment Text Char"/>
    <w:basedOn w:val="DefaultParagraphFont"/>
    <w:link w:val="CommentText"/>
    <w:uiPriority w:val="99"/>
    <w:semiHidden/>
    <w:rsid w:val="00577EC9"/>
    <w:rPr>
      <w:lang w:val="en-GB" w:eastAsia="en-US"/>
    </w:rPr>
  </w:style>
  <w:style w:type="character" w:customStyle="1" w:styleId="HChGChar">
    <w:name w:val="_ H _Ch_G Char"/>
    <w:link w:val="HChG"/>
    <w:locked/>
    <w:rsid w:val="00577EC9"/>
    <w:rPr>
      <w:b/>
      <w:sz w:val="28"/>
      <w:lang w:val="es-ES" w:eastAsia="es-ES"/>
    </w:rPr>
  </w:style>
  <w:style w:type="character" w:customStyle="1" w:styleId="SingleTxtGCar">
    <w:name w:val="_ Single Txt_G Car"/>
    <w:link w:val="SingleTxtG"/>
    <w:rsid w:val="00577EC9"/>
    <w:rPr>
      <w:lang w:val="es-ES" w:eastAsia="es-ES"/>
    </w:rPr>
  </w:style>
  <w:style w:type="character" w:customStyle="1" w:styleId="H1GChar">
    <w:name w:val="_ H_1_G Char"/>
    <w:link w:val="H1G"/>
    <w:rsid w:val="00577EC9"/>
    <w:rPr>
      <w:b/>
      <w:sz w:val="24"/>
      <w:lang w:val="es-ES" w:eastAsia="es-ES"/>
    </w:rPr>
  </w:style>
  <w:style w:type="character" w:customStyle="1" w:styleId="H23GChar">
    <w:name w:val="_ H_2/3_G Char"/>
    <w:link w:val="H23G"/>
    <w:rsid w:val="00577EC9"/>
    <w:rPr>
      <w:b/>
      <w:lang w:val="es-ES" w:eastAsia="es-ES"/>
    </w:rPr>
  </w:style>
  <w:style w:type="character" w:customStyle="1" w:styleId="SingleTxtGZchnZchn">
    <w:name w:val="_ Single Txt_G Zchn Zchn"/>
    <w:rsid w:val="00577EC9"/>
    <w:rPr>
      <w:lang w:eastAsia="en-US"/>
    </w:rPr>
  </w:style>
  <w:style w:type="character" w:customStyle="1" w:styleId="SingleTxtGChar">
    <w:name w:val="_ Single Txt_G Char"/>
    <w:qFormat/>
    <w:rsid w:val="00577EC9"/>
    <w:rPr>
      <w:lang w:eastAsia="en-US"/>
    </w:rPr>
  </w:style>
  <w:style w:type="paragraph" w:customStyle="1" w:styleId="p1">
    <w:name w:val="p1"/>
    <w:basedOn w:val="Normal"/>
    <w:rsid w:val="00577EC9"/>
    <w:pPr>
      <w:spacing w:line="240" w:lineRule="auto"/>
    </w:pPr>
    <w:rPr>
      <w:rFonts w:eastAsiaTheme="minorHAnsi"/>
      <w:sz w:val="17"/>
      <w:szCs w:val="17"/>
      <w:lang w:val="en-US" w:eastAsia="en-US"/>
    </w:rPr>
  </w:style>
  <w:style w:type="character" w:customStyle="1" w:styleId="apple-converted-space">
    <w:name w:val="apple-converted-space"/>
    <w:basedOn w:val="DefaultParagraphFont"/>
    <w:rsid w:val="00577EC9"/>
  </w:style>
  <w:style w:type="paragraph" w:styleId="CommentSubject">
    <w:name w:val="annotation subject"/>
    <w:basedOn w:val="CommentText"/>
    <w:next w:val="CommentText"/>
    <w:link w:val="CommentSubjectChar"/>
    <w:unhideWhenUsed/>
    <w:rsid w:val="00577EC9"/>
    <w:pPr>
      <w:spacing w:line="240" w:lineRule="auto"/>
    </w:pPr>
    <w:rPr>
      <w:b/>
      <w:bCs/>
    </w:rPr>
  </w:style>
  <w:style w:type="character" w:customStyle="1" w:styleId="CommentSubjectChar">
    <w:name w:val="Comment Subject Char"/>
    <w:basedOn w:val="CommentTextChar"/>
    <w:link w:val="CommentSubject"/>
    <w:rsid w:val="00577EC9"/>
    <w:rPr>
      <w:b/>
      <w:bCs/>
      <w:lang w:val="en-GB" w:eastAsia="en-US"/>
    </w:rPr>
  </w:style>
  <w:style w:type="paragraph" w:styleId="Revision">
    <w:name w:val="Revision"/>
    <w:hidden/>
    <w:uiPriority w:val="99"/>
    <w:semiHidden/>
    <w:rsid w:val="00577EC9"/>
    <w:rPr>
      <w:lang w:val="en-GB" w:eastAsia="en-US"/>
    </w:rPr>
  </w:style>
  <w:style w:type="paragraph" w:styleId="ListParagraph">
    <w:name w:val="List Paragraph"/>
    <w:basedOn w:val="Normal"/>
    <w:uiPriority w:val="34"/>
    <w:qFormat/>
    <w:rsid w:val="00577EC9"/>
    <w:pPr>
      <w:suppressAutoHyphens/>
      <w:ind w:left="720"/>
      <w:contextualSpacing/>
    </w:pPr>
    <w:rPr>
      <w:lang w:val="en-GB" w:eastAsia="en-US"/>
    </w:rPr>
  </w:style>
  <w:style w:type="paragraph" w:styleId="NoSpacing">
    <w:name w:val="No Spacing"/>
    <w:uiPriority w:val="1"/>
    <w:qFormat/>
    <w:rsid w:val="00577EC9"/>
    <w:rPr>
      <w:rFonts w:eastAsia="Calibri"/>
      <w:color w:val="000000"/>
      <w:sz w:val="24"/>
      <w:szCs w:val="24"/>
      <w:lang w:eastAsia="en-US"/>
    </w:rPr>
  </w:style>
  <w:style w:type="paragraph" w:customStyle="1" w:styleId="TableParagraph">
    <w:name w:val="Table Paragraph"/>
    <w:basedOn w:val="Normal"/>
    <w:uiPriority w:val="1"/>
    <w:qFormat/>
    <w:rsid w:val="00577EC9"/>
    <w:pPr>
      <w:widowControl w:val="0"/>
      <w:autoSpaceDE w:val="0"/>
      <w:autoSpaceDN w:val="0"/>
      <w:spacing w:line="240" w:lineRule="auto"/>
      <w:jc w:val="center"/>
    </w:pPr>
    <w:rPr>
      <w:sz w:val="22"/>
      <w:szCs w:val="22"/>
      <w:lang w:val="en-US" w:eastAsia="en-US"/>
    </w:rPr>
  </w:style>
  <w:style w:type="paragraph" w:customStyle="1" w:styleId="ParaNoG">
    <w:name w:val="_ParaNo._G"/>
    <w:basedOn w:val="SingleTxtG"/>
    <w:rsid w:val="00577EC9"/>
    <w:pPr>
      <w:numPr>
        <w:numId w:val="30"/>
      </w:numPr>
      <w:tabs>
        <w:tab w:val="clear" w:pos="1494"/>
      </w:tabs>
      <w:suppressAutoHyphens/>
    </w:pPr>
    <w:rPr>
      <w:lang w:val="en-GB" w:eastAsia="en-US"/>
    </w:rPr>
  </w:style>
  <w:style w:type="paragraph" w:customStyle="1" w:styleId="Default">
    <w:name w:val="Default"/>
    <w:rsid w:val="00577EC9"/>
    <w:pPr>
      <w:widowControl w:val="0"/>
      <w:autoSpaceDE w:val="0"/>
      <w:autoSpaceDN w:val="0"/>
      <w:adjustRightInd w:val="0"/>
    </w:pPr>
    <w:rPr>
      <w:color w:val="000000"/>
      <w:sz w:val="24"/>
      <w:szCs w:val="24"/>
      <w:lang w:eastAsia="en-US"/>
    </w:rPr>
  </w:style>
  <w:style w:type="paragraph" w:customStyle="1" w:styleId="Style1">
    <w:name w:val="Style1"/>
    <w:basedOn w:val="Normal"/>
    <w:rsid w:val="00577EC9"/>
    <w:pPr>
      <w:tabs>
        <w:tab w:val="left" w:pos="1418"/>
        <w:tab w:val="left" w:pos="1985"/>
        <w:tab w:val="left" w:pos="2552"/>
        <w:tab w:val="left" w:pos="3119"/>
        <w:tab w:val="left" w:pos="3686"/>
        <w:tab w:val="left" w:pos="4253"/>
        <w:tab w:val="left" w:pos="4820"/>
      </w:tabs>
      <w:spacing w:line="240" w:lineRule="auto"/>
      <w:jc w:val="both"/>
    </w:pPr>
    <w:rPr>
      <w:sz w:val="22"/>
      <w:lang w:val="en-US" w:eastAsia="en-US"/>
    </w:rPr>
  </w:style>
  <w:style w:type="paragraph" w:customStyle="1" w:styleId="NumDocPara">
    <w:name w:val="Num©Doc Para"/>
    <w:basedOn w:val="Normal"/>
    <w:rsid w:val="00577EC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snapToGrid w:val="0"/>
      <w:sz w:val="22"/>
      <w:lang w:val="en-US" w:eastAsia="en-US"/>
    </w:rPr>
  </w:style>
  <w:style w:type="paragraph" w:customStyle="1" w:styleId="Num-DocParagraph">
    <w:name w:val="Num-Doc Paragraph"/>
    <w:basedOn w:val="BodyText"/>
    <w:rsid w:val="00577EC9"/>
    <w:pPr>
      <w:tabs>
        <w:tab w:val="left" w:pos="851"/>
        <w:tab w:val="left" w:pos="1191"/>
        <w:tab w:val="left" w:pos="1531"/>
      </w:tabs>
      <w:spacing w:after="240" w:line="240" w:lineRule="auto"/>
      <w:jc w:val="both"/>
    </w:pPr>
    <w:rPr>
      <w:rFonts w:ascii="Times" w:hAnsi="Times"/>
      <w:sz w:val="22"/>
      <w:lang w:val="en-US" w:eastAsia="en-US"/>
    </w:rPr>
  </w:style>
  <w:style w:type="paragraph" w:customStyle="1" w:styleId="a">
    <w:name w:val="Абзац списка"/>
    <w:basedOn w:val="Normal"/>
    <w:rsid w:val="00577EC9"/>
    <w:pPr>
      <w:spacing w:after="200" w:line="276" w:lineRule="auto"/>
      <w:ind w:left="720"/>
      <w:contextualSpacing/>
    </w:pPr>
    <w:rPr>
      <w:rFonts w:ascii="Calibri" w:eastAsia="Calibri" w:hAnsi="Calibri"/>
      <w:sz w:val="22"/>
      <w:szCs w:val="22"/>
      <w:lang w:val="ru-RU" w:eastAsia="en-US"/>
    </w:rPr>
  </w:style>
  <w:style w:type="character" w:customStyle="1" w:styleId="refresult">
    <w:name w:val="ref_result"/>
    <w:basedOn w:val="DefaultParagraphFont"/>
    <w:rsid w:val="00577EC9"/>
  </w:style>
  <w:style w:type="paragraph" w:customStyle="1" w:styleId="Points">
    <w:name w:val="Points"/>
    <w:basedOn w:val="BodyText"/>
    <w:rsid w:val="00577EC9"/>
    <w:pPr>
      <w:numPr>
        <w:numId w:val="31"/>
      </w:numPr>
      <w:tabs>
        <w:tab w:val="clear" w:pos="570"/>
      </w:tabs>
      <w:spacing w:after="0" w:line="280" w:lineRule="atLeast"/>
      <w:ind w:left="0" w:firstLine="567"/>
      <w:jc w:val="both"/>
    </w:pPr>
    <w:rPr>
      <w:rFonts w:eastAsia="Calibri"/>
      <w:sz w:val="24"/>
      <w:lang w:val="en-AU" w:eastAsia="en-AU"/>
    </w:rPr>
  </w:style>
  <w:style w:type="paragraph" w:customStyle="1" w:styleId="Dotpoints">
    <w:name w:val="Dot points"/>
    <w:basedOn w:val="Points"/>
    <w:rsid w:val="00577EC9"/>
    <w:pPr>
      <w:tabs>
        <w:tab w:val="num" w:pos="570"/>
      </w:tabs>
      <w:spacing w:before="60" w:after="60" w:line="280" w:lineRule="exact"/>
      <w:ind w:left="570" w:hanging="570"/>
    </w:pPr>
  </w:style>
  <w:style w:type="paragraph" w:customStyle="1" w:styleId="Tablecaption">
    <w:name w:val="Table caption"/>
    <w:basedOn w:val="BodyText"/>
    <w:rsid w:val="00577EC9"/>
    <w:pPr>
      <w:spacing w:before="24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577EC9"/>
    <w:pPr>
      <w:spacing w:before="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577EC9"/>
    <w:rPr>
      <w:rFonts w:ascii="Arial" w:eastAsia="Calibri" w:hAnsi="Arial" w:cs="Arial"/>
      <w:lang w:val="en-AU" w:eastAsia="en-AU"/>
    </w:rPr>
  </w:style>
  <w:style w:type="paragraph" w:customStyle="1" w:styleId="DocList">
    <w:name w:val="DocList"/>
    <w:basedOn w:val="SingleTxtG"/>
    <w:rsid w:val="00577EC9"/>
    <w:pPr>
      <w:suppressAutoHyphens/>
      <w:spacing w:after="240"/>
      <w:ind w:left="3701" w:right="1138" w:hanging="2002"/>
      <w:jc w:val="left"/>
    </w:pPr>
    <w:rPr>
      <w:i/>
      <w:lang w:val="en-US" w:eastAsia="en-US"/>
    </w:rPr>
  </w:style>
  <w:style w:type="paragraph" w:customStyle="1" w:styleId="Body1">
    <w:name w:val="Body 1"/>
    <w:rsid w:val="00577EC9"/>
    <w:pPr>
      <w:spacing w:after="200" w:line="276" w:lineRule="auto"/>
      <w:outlineLvl w:val="0"/>
    </w:pPr>
    <w:rPr>
      <w:rFonts w:ascii="Helvetica" w:eastAsia="Arial Unicode MS" w:hAnsi="Helvetica"/>
      <w:color w:val="000000"/>
      <w:sz w:val="22"/>
      <w:u w:color="000000"/>
      <w:lang w:eastAsia="en-US"/>
    </w:rPr>
  </w:style>
  <w:style w:type="table" w:customStyle="1" w:styleId="Tabellenraster1">
    <w:name w:val="Tabellenraster1"/>
    <w:basedOn w:val="TableNormal"/>
    <w:next w:val="TableGrid"/>
    <w:uiPriority w:val="59"/>
    <w:rsid w:val="00577EC9"/>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577EC9"/>
    <w:rPr>
      <w:color w:val="605E5C"/>
      <w:shd w:val="clear" w:color="auto" w:fill="E1DFDD"/>
    </w:rPr>
  </w:style>
  <w:style w:type="table" w:customStyle="1" w:styleId="TableGrid10">
    <w:name w:val="Table Grid1"/>
    <w:basedOn w:val="TableNormal"/>
    <w:next w:val="TableGrid"/>
    <w:uiPriority w:val="39"/>
    <w:rsid w:val="00577EC9"/>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77EC9"/>
    <w:pPr>
      <w:suppressAutoHyphens/>
      <w:spacing w:after="200" w:line="240" w:lineRule="auto"/>
    </w:pPr>
    <w:rPr>
      <w:i/>
      <w:iCs/>
      <w:color w:val="1F497D"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84C7-59C7-4DC8-BC4F-EC87FE69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11772</Words>
  <Characters>67106</Characters>
  <Application>Microsoft Office Word</Application>
  <DocSecurity>0</DocSecurity>
  <Lines>559</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ST/SG/AC.10/46/Add.1</vt:lpstr>
      <vt:lpstr>ST/SG/AC.10/46/Add.1</vt:lpstr>
    </vt:vector>
  </TitlesOfParts>
  <Company/>
  <LinksUpToDate>false</LinksUpToDate>
  <CharactersWithSpaces>78721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ST/SG/AC.10/46/Add.1</dc:title>
  <dc:subject/>
  <dc:creator>Angel MORENO TORRES</dc:creator>
  <cp:keywords/>
  <cp:lastModifiedBy>Laurence Berthet</cp:lastModifiedBy>
  <cp:revision>3</cp:revision>
  <cp:lastPrinted>2019-06-20T14:21:00Z</cp:lastPrinted>
  <dcterms:created xsi:type="dcterms:W3CDTF">2019-06-20T14:21:00Z</dcterms:created>
  <dcterms:modified xsi:type="dcterms:W3CDTF">2019-06-20T14:21:00Z</dcterms:modified>
</cp:coreProperties>
</file>