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11612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11612F" w:rsidP="0011612F">
            <w:pPr>
              <w:jc w:val="right"/>
            </w:pPr>
            <w:r w:rsidRPr="0011612F">
              <w:rPr>
                <w:sz w:val="40"/>
              </w:rPr>
              <w:t>ECE</w:t>
            </w:r>
            <w:r>
              <w:t>/TRANS/WP.29/GRSG/2018/14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11612F" w:rsidP="00C97039">
            <w:pPr>
              <w:spacing w:before="240"/>
            </w:pPr>
            <w:r>
              <w:t>Distr. générale</w:t>
            </w:r>
          </w:p>
          <w:p w:rsidR="0011612F" w:rsidRDefault="0011612F" w:rsidP="0011612F">
            <w:pPr>
              <w:spacing w:line="240" w:lineRule="exact"/>
            </w:pPr>
            <w:r>
              <w:t>20 juillet 2018</w:t>
            </w:r>
          </w:p>
          <w:p w:rsidR="0011612F" w:rsidRDefault="0011612F" w:rsidP="0011612F">
            <w:pPr>
              <w:spacing w:line="240" w:lineRule="exact"/>
            </w:pPr>
            <w:r>
              <w:t>Français</w:t>
            </w:r>
          </w:p>
          <w:p w:rsidR="0011612F" w:rsidRPr="00DB58B5" w:rsidRDefault="0011612F" w:rsidP="0011612F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05781B" w:rsidRPr="0011612F" w:rsidRDefault="00686E6B" w:rsidP="0011612F">
      <w:pPr>
        <w:spacing w:before="120"/>
        <w:rPr>
          <w:b/>
          <w:sz w:val="24"/>
          <w:szCs w:val="24"/>
        </w:rPr>
      </w:pPr>
      <w:r w:rsidRPr="0011612F">
        <w:rPr>
          <w:b/>
          <w:bCs/>
          <w:sz w:val="24"/>
          <w:szCs w:val="24"/>
          <w:lang w:val="fr-FR"/>
        </w:rPr>
        <w:t>Forum mondial de l</w:t>
      </w:r>
      <w:r w:rsidR="0011612F" w:rsidRPr="0011612F">
        <w:rPr>
          <w:b/>
          <w:bCs/>
          <w:sz w:val="24"/>
          <w:szCs w:val="24"/>
          <w:lang w:val="fr-FR"/>
        </w:rPr>
        <w:t>’harmonisation</w:t>
      </w:r>
      <w:r w:rsidR="0011612F" w:rsidRPr="0011612F">
        <w:rPr>
          <w:b/>
          <w:bCs/>
          <w:sz w:val="24"/>
          <w:szCs w:val="24"/>
          <w:lang w:val="fr-FR"/>
        </w:rPr>
        <w:br/>
      </w:r>
      <w:r w:rsidRPr="0011612F">
        <w:rPr>
          <w:b/>
          <w:bCs/>
          <w:sz w:val="24"/>
          <w:szCs w:val="24"/>
          <w:lang w:val="fr-FR"/>
        </w:rPr>
        <w:t>des Règlements concernant les véhicules</w:t>
      </w:r>
    </w:p>
    <w:p w:rsidR="0005781B" w:rsidRPr="0011612F" w:rsidRDefault="00686E6B" w:rsidP="0011612F">
      <w:pPr>
        <w:spacing w:before="120" w:after="120"/>
        <w:rPr>
          <w:b/>
        </w:rPr>
      </w:pPr>
      <w:r w:rsidRPr="0011612F">
        <w:rPr>
          <w:b/>
          <w:bCs/>
          <w:lang w:val="fr-FR"/>
        </w:rPr>
        <w:t>Groupe de travail des dispositions générales de sécurité</w:t>
      </w:r>
    </w:p>
    <w:p w:rsidR="0005781B" w:rsidRPr="0011612F" w:rsidRDefault="00686E6B" w:rsidP="0011612F">
      <w:pPr>
        <w:rPr>
          <w:b/>
        </w:rPr>
      </w:pPr>
      <w:r w:rsidRPr="0011612F">
        <w:rPr>
          <w:b/>
          <w:bCs/>
          <w:lang w:val="fr-FR"/>
        </w:rPr>
        <w:t>115</w:t>
      </w:r>
      <w:r w:rsidRPr="0011612F">
        <w:rPr>
          <w:b/>
          <w:bCs/>
          <w:vertAlign w:val="superscript"/>
          <w:lang w:val="fr-FR"/>
        </w:rPr>
        <w:t>e</w:t>
      </w:r>
      <w:r w:rsidRPr="0011612F">
        <w:rPr>
          <w:b/>
          <w:bCs/>
          <w:lang w:val="fr-FR"/>
        </w:rPr>
        <w:t xml:space="preserve"> session</w:t>
      </w:r>
    </w:p>
    <w:p w:rsidR="0005781B" w:rsidRPr="0011612F" w:rsidRDefault="00686E6B" w:rsidP="0011612F">
      <w:r w:rsidRPr="0011612F">
        <w:rPr>
          <w:lang w:val="fr-FR"/>
        </w:rPr>
        <w:t>Genève, 9-12 octobre 2018</w:t>
      </w:r>
    </w:p>
    <w:p w:rsidR="0005781B" w:rsidRPr="0011612F" w:rsidRDefault="00686E6B" w:rsidP="0011612F">
      <w:r w:rsidRPr="0011612F">
        <w:rPr>
          <w:lang w:val="fr-FR"/>
        </w:rPr>
        <w:t>Point 12 de l</w:t>
      </w:r>
      <w:r w:rsidR="0011612F" w:rsidRPr="0011612F">
        <w:rPr>
          <w:lang w:val="fr-FR"/>
        </w:rPr>
        <w:t>’</w:t>
      </w:r>
      <w:r w:rsidRPr="0011612F">
        <w:rPr>
          <w:lang w:val="fr-FR"/>
        </w:rPr>
        <w:t>ordre du jour provisoire</w:t>
      </w:r>
    </w:p>
    <w:p w:rsidR="0005781B" w:rsidRPr="0011612F" w:rsidRDefault="00686E6B" w:rsidP="0011612F">
      <w:pPr>
        <w:rPr>
          <w:b/>
        </w:rPr>
      </w:pPr>
      <w:r w:rsidRPr="0011612F">
        <w:rPr>
          <w:b/>
          <w:lang w:val="fr-FR"/>
        </w:rPr>
        <w:t>Règlement ONU n</w:t>
      </w:r>
      <w:r w:rsidRPr="0011612F">
        <w:rPr>
          <w:b/>
          <w:vertAlign w:val="superscript"/>
          <w:lang w:val="fr-FR"/>
        </w:rPr>
        <w:t>o</w:t>
      </w:r>
      <w:r w:rsidRPr="0011612F">
        <w:rPr>
          <w:b/>
          <w:lang w:val="fr-FR"/>
        </w:rPr>
        <w:t> 116 (Dispositifs antivol et systèmes d’alarme)</w:t>
      </w:r>
    </w:p>
    <w:p w:rsidR="0005781B" w:rsidRPr="0011612F" w:rsidRDefault="00686E6B" w:rsidP="0011612F">
      <w:pPr>
        <w:pStyle w:val="HChG"/>
        <w:rPr>
          <w:sz w:val="26"/>
          <w:szCs w:val="26"/>
        </w:rPr>
      </w:pPr>
      <w:r w:rsidRPr="0011612F">
        <w:rPr>
          <w:lang w:val="fr-FR"/>
        </w:rPr>
        <w:tab/>
      </w:r>
      <w:r w:rsidRPr="0011612F">
        <w:rPr>
          <w:lang w:val="fr-FR"/>
        </w:rPr>
        <w:tab/>
        <w:t>Proposition de complément 6 au Règlement n</w:t>
      </w:r>
      <w:r w:rsidRPr="0011612F">
        <w:rPr>
          <w:vertAlign w:val="superscript"/>
          <w:lang w:val="fr-FR"/>
        </w:rPr>
        <w:t>o</w:t>
      </w:r>
      <w:r w:rsidRPr="0011612F">
        <w:rPr>
          <w:lang w:val="fr-FR"/>
        </w:rPr>
        <w:t> 116</w:t>
      </w:r>
      <w:r w:rsidRPr="0011612F">
        <w:rPr>
          <w:lang w:val="fr-FR"/>
        </w:rPr>
        <w:br/>
        <w:t>(Dispositifs antivol et systèmes d’alarme)</w:t>
      </w:r>
    </w:p>
    <w:p w:rsidR="0005781B" w:rsidRPr="0011612F" w:rsidRDefault="0011612F" w:rsidP="0011612F">
      <w:pPr>
        <w:pStyle w:val="H1G"/>
        <w:rPr>
          <w:vertAlign w:val="superscript"/>
        </w:rPr>
      </w:pPr>
      <w:r w:rsidRPr="0011612F">
        <w:rPr>
          <w:lang w:val="fr-FR"/>
        </w:rPr>
        <w:tab/>
      </w:r>
      <w:r w:rsidRPr="0011612F">
        <w:rPr>
          <w:lang w:val="fr-FR"/>
        </w:rPr>
        <w:tab/>
      </w:r>
      <w:r w:rsidR="00686E6B" w:rsidRPr="0011612F">
        <w:rPr>
          <w:lang w:val="fr-FR"/>
        </w:rPr>
        <w:t>Communication de l’expert de l’</w:t>
      </w:r>
      <w:r w:rsidRPr="0011612F">
        <w:rPr>
          <w:lang w:val="fr-FR"/>
        </w:rPr>
        <w:t>Organisation internationale</w:t>
      </w:r>
      <w:r w:rsidRPr="0011612F">
        <w:rPr>
          <w:lang w:val="fr-FR"/>
        </w:rPr>
        <w:br/>
      </w:r>
      <w:r w:rsidR="00686E6B" w:rsidRPr="0011612F">
        <w:rPr>
          <w:lang w:val="fr-FR"/>
        </w:rPr>
        <w:t>des constructeurs d’automobiles</w:t>
      </w:r>
      <w:r w:rsidR="00686E6B" w:rsidRPr="009573B0">
        <w:rPr>
          <w:b w:val="0"/>
          <w:sz w:val="20"/>
          <w:lang w:val="fr-FR"/>
        </w:rPr>
        <w:footnoteReference w:customMarkFollows="1" w:id="2"/>
        <w:t>*</w:t>
      </w:r>
    </w:p>
    <w:p w:rsidR="0005781B" w:rsidRPr="0011612F" w:rsidRDefault="00686E6B" w:rsidP="0011612F">
      <w:pPr>
        <w:pStyle w:val="SingleTxtG"/>
        <w:ind w:firstLine="567"/>
        <w:rPr>
          <w:lang w:val="fr-FR"/>
        </w:rPr>
      </w:pPr>
      <w:r w:rsidRPr="0011612F">
        <w:t>Le texte ci-après, établi par l’expert de l’Organisation internationale des constructeurs d’automobiles (OICA), vise à retirer du Règlement visé les renvois aux normes européennes en matière de fréquences. Il est fondé sur le document informel GRSG-114-30, présenté à la 114</w:t>
      </w:r>
      <w:r w:rsidRPr="0011612F">
        <w:rPr>
          <w:vertAlign w:val="superscript"/>
        </w:rPr>
        <w:t>e</w:t>
      </w:r>
      <w:r w:rsidR="0011612F" w:rsidRPr="0011612F">
        <w:t> </w:t>
      </w:r>
      <w:r w:rsidRPr="0011612F">
        <w:t>session du Groupe de travail des dispositions générales de sécurité (GRSG) (voir le rapport ECE/TRANS/WP.29/GRSG/93, par. 41). Les</w:t>
      </w:r>
      <w:r w:rsidR="0011612F" w:rsidRPr="0011612F">
        <w:t xml:space="preserve"> </w:t>
      </w:r>
      <w:r w:rsidRPr="0011612F">
        <w:t>modifications qu’il est proposé d’apporter</w:t>
      </w:r>
      <w:r w:rsidRPr="0011612F">
        <w:rPr>
          <w:lang w:val="fr-FR"/>
        </w:rPr>
        <w:t xml:space="preserve"> au texte actuel du Règlement n</w:t>
      </w:r>
      <w:r w:rsidRPr="0011612F">
        <w:rPr>
          <w:vertAlign w:val="superscript"/>
          <w:lang w:val="fr-FR"/>
        </w:rPr>
        <w:t>o</w:t>
      </w:r>
      <w:r w:rsidRPr="0011612F">
        <w:rPr>
          <w:lang w:val="fr-FR"/>
        </w:rPr>
        <w:t> 116 figurent en caractères gras.</w:t>
      </w:r>
    </w:p>
    <w:p w:rsidR="0005781B" w:rsidRPr="0011612F" w:rsidRDefault="00686E6B" w:rsidP="0011612F">
      <w:pPr>
        <w:pStyle w:val="HChG"/>
      </w:pPr>
      <w:r w:rsidRPr="0011612F">
        <w:rPr>
          <w:lang w:val="fr-FR"/>
        </w:rPr>
        <w:br w:type="page"/>
      </w:r>
      <w:r w:rsidR="0011612F" w:rsidRPr="0011612F">
        <w:rPr>
          <w:lang w:val="fr-FR"/>
        </w:rPr>
        <w:lastRenderedPageBreak/>
        <w:tab/>
      </w:r>
      <w:r w:rsidRPr="0011612F">
        <w:rPr>
          <w:lang w:val="fr-FR"/>
        </w:rPr>
        <w:t>I.</w:t>
      </w:r>
      <w:r w:rsidRPr="0011612F">
        <w:rPr>
          <w:lang w:val="fr-FR"/>
        </w:rPr>
        <w:tab/>
        <w:t>Proposition</w:t>
      </w:r>
    </w:p>
    <w:p w:rsidR="0005781B" w:rsidRPr="0011612F" w:rsidRDefault="00686E6B" w:rsidP="0011612F">
      <w:pPr>
        <w:pStyle w:val="SingleTxtG"/>
      </w:pPr>
      <w:r w:rsidRPr="0011612F">
        <w:rPr>
          <w:i/>
          <w:lang w:val="fr-FR"/>
        </w:rPr>
        <w:t>Ajouter un nouveau paragraphe1.9</w:t>
      </w:r>
      <w:r w:rsidRPr="0011612F">
        <w:rPr>
          <w:lang w:val="fr-FR"/>
        </w:rPr>
        <w:t>, libellé comme suit</w:t>
      </w:r>
      <w:r w:rsidR="009573B0">
        <w:rPr>
          <w:lang w:val="fr-FR"/>
        </w:rPr>
        <w:t> </w:t>
      </w:r>
      <w:r w:rsidRPr="0011612F">
        <w:rPr>
          <w:lang w:val="fr-FR"/>
        </w:rPr>
        <w:t>:</w:t>
      </w:r>
    </w:p>
    <w:p w:rsidR="0005781B" w:rsidRPr="0011612F" w:rsidRDefault="00686E6B" w:rsidP="0011612F">
      <w:pPr>
        <w:pStyle w:val="SingleTxtG"/>
        <w:ind w:left="2268" w:hanging="1134"/>
      </w:pPr>
      <w:r w:rsidRPr="0011612F">
        <w:rPr>
          <w:lang w:val="fr-FR"/>
        </w:rPr>
        <w:t>« </w:t>
      </w:r>
      <w:r w:rsidRPr="0011612F">
        <w:rPr>
          <w:b/>
          <w:lang w:val="fr-FR"/>
        </w:rPr>
        <w:t>1.9</w:t>
      </w:r>
      <w:r w:rsidRPr="0011612F">
        <w:rPr>
          <w:b/>
          <w:lang w:val="fr-FR"/>
        </w:rPr>
        <w:tab/>
        <w:t>Le présent Règlement ne s’applique pas à la transmission radio, qu’elle soit ou non liée à la protection des véhicules automobiles contre une utilisation non autorisée.</w:t>
      </w:r>
      <w:r w:rsidRPr="0011612F">
        <w:rPr>
          <w:lang w:val="fr-FR"/>
        </w:rPr>
        <w:t> ».</w:t>
      </w:r>
    </w:p>
    <w:p w:rsidR="0005781B" w:rsidRPr="0011612F" w:rsidRDefault="00686E6B" w:rsidP="0011612F">
      <w:pPr>
        <w:pStyle w:val="SingleTxtG"/>
      </w:pPr>
      <w:r w:rsidRPr="0011612F">
        <w:rPr>
          <w:i/>
          <w:iCs/>
          <w:lang w:val="fr-FR"/>
        </w:rPr>
        <w:t>Paragraphe 6.2.3</w:t>
      </w:r>
      <w:r w:rsidRPr="0011612F">
        <w:rPr>
          <w:lang w:val="fr-FR"/>
        </w:rPr>
        <w:t>, supprimer.</w:t>
      </w:r>
    </w:p>
    <w:p w:rsidR="0005781B" w:rsidRPr="0011612F" w:rsidRDefault="00686E6B" w:rsidP="0011612F">
      <w:pPr>
        <w:pStyle w:val="SingleTxtG"/>
        <w:rPr>
          <w:i/>
        </w:rPr>
      </w:pPr>
      <w:r w:rsidRPr="0011612F">
        <w:rPr>
          <w:i/>
          <w:iCs/>
          <w:lang w:val="fr-FR"/>
        </w:rPr>
        <w:t xml:space="preserve">Les paragraphes 6.2.4 à 6.2.10 </w:t>
      </w:r>
      <w:r w:rsidRPr="0011612F">
        <w:rPr>
          <w:lang w:val="fr-FR"/>
        </w:rPr>
        <w:t>deviennent les paragraphes 6.2.3 à 6.2.9.</w:t>
      </w:r>
    </w:p>
    <w:p w:rsidR="0005781B" w:rsidRPr="0011612F" w:rsidRDefault="00686E6B" w:rsidP="0011612F">
      <w:pPr>
        <w:pStyle w:val="SingleTxtG"/>
        <w:rPr>
          <w:i/>
        </w:rPr>
      </w:pPr>
      <w:r w:rsidRPr="0011612F">
        <w:rPr>
          <w:i/>
          <w:iCs/>
          <w:lang w:val="fr-FR"/>
        </w:rPr>
        <w:t>Paragraphe 7.2.3</w:t>
      </w:r>
      <w:r w:rsidRPr="0011612F">
        <w:rPr>
          <w:lang w:val="fr-FR"/>
        </w:rPr>
        <w:t>, supprimer.</w:t>
      </w:r>
    </w:p>
    <w:p w:rsidR="0005781B" w:rsidRPr="0011612F" w:rsidRDefault="00686E6B" w:rsidP="0011612F">
      <w:pPr>
        <w:pStyle w:val="SingleTxtG"/>
        <w:rPr>
          <w:i/>
        </w:rPr>
      </w:pPr>
      <w:r w:rsidRPr="0011612F">
        <w:rPr>
          <w:i/>
          <w:iCs/>
          <w:lang w:val="fr-FR"/>
        </w:rPr>
        <w:t>Les paragraphes 7.2.4 à 7.2.7</w:t>
      </w:r>
      <w:r w:rsidRPr="0011612F">
        <w:rPr>
          <w:lang w:val="fr-FR"/>
        </w:rPr>
        <w:t xml:space="preserve"> deviennent les paragraphes 7.2.3 à 7.2.6.</w:t>
      </w:r>
    </w:p>
    <w:p w:rsidR="0005781B" w:rsidRPr="0011612F" w:rsidRDefault="00686E6B" w:rsidP="0011612F">
      <w:pPr>
        <w:pStyle w:val="SingleTxtG"/>
        <w:rPr>
          <w:i/>
        </w:rPr>
      </w:pPr>
      <w:r w:rsidRPr="0011612F">
        <w:rPr>
          <w:i/>
          <w:iCs/>
          <w:lang w:val="fr-FR"/>
        </w:rPr>
        <w:t>Paragraphe 8.2.2</w:t>
      </w:r>
      <w:r w:rsidRPr="0011612F">
        <w:rPr>
          <w:lang w:val="fr-FR"/>
        </w:rPr>
        <w:t>, supprimer.</w:t>
      </w:r>
    </w:p>
    <w:p w:rsidR="0005781B" w:rsidRPr="0011612F" w:rsidRDefault="00686E6B" w:rsidP="0011612F">
      <w:pPr>
        <w:pStyle w:val="SingleTxtG"/>
        <w:rPr>
          <w:i/>
        </w:rPr>
      </w:pPr>
      <w:r w:rsidRPr="0011612F">
        <w:rPr>
          <w:i/>
          <w:iCs/>
          <w:lang w:val="fr-FR"/>
        </w:rPr>
        <w:t>Les paragraphes 8.2.3 à 8.2.11</w:t>
      </w:r>
      <w:r w:rsidRPr="0011612F">
        <w:rPr>
          <w:lang w:val="fr-FR"/>
        </w:rPr>
        <w:t xml:space="preserve"> deviennent les paragraphes 8.2.2 à 8.2.10.</w:t>
      </w:r>
    </w:p>
    <w:p w:rsidR="0005781B" w:rsidRPr="0011612F" w:rsidRDefault="0011612F" w:rsidP="0011612F">
      <w:pPr>
        <w:pStyle w:val="HChG"/>
      </w:pPr>
      <w:r w:rsidRPr="0011612F">
        <w:rPr>
          <w:lang w:val="fr-FR"/>
        </w:rPr>
        <w:tab/>
      </w:r>
      <w:r w:rsidR="00686E6B" w:rsidRPr="0011612F">
        <w:rPr>
          <w:lang w:val="fr-FR"/>
        </w:rPr>
        <w:t>II.</w:t>
      </w:r>
      <w:r w:rsidR="00686E6B" w:rsidRPr="0011612F">
        <w:rPr>
          <w:lang w:val="fr-FR"/>
        </w:rPr>
        <w:tab/>
        <w:t>Justification</w:t>
      </w:r>
    </w:p>
    <w:p w:rsidR="0005781B" w:rsidRPr="0011612F" w:rsidRDefault="00686E6B" w:rsidP="0011612F">
      <w:pPr>
        <w:pStyle w:val="SingleTxtG"/>
      </w:pPr>
      <w:r w:rsidRPr="0011612F">
        <w:rPr>
          <w:lang w:val="fr-FR"/>
        </w:rPr>
        <w:t>1.</w:t>
      </w:r>
      <w:r w:rsidRPr="0011612F">
        <w:rPr>
          <w:lang w:val="fr-FR"/>
        </w:rPr>
        <w:tab/>
        <w:t>À la 113</w:t>
      </w:r>
      <w:r w:rsidRPr="0011612F">
        <w:rPr>
          <w:vertAlign w:val="superscript"/>
          <w:lang w:val="fr-FR"/>
        </w:rPr>
        <w:t>e</w:t>
      </w:r>
      <w:r w:rsidR="0011612F" w:rsidRPr="0011612F">
        <w:rPr>
          <w:lang w:val="fr-FR"/>
        </w:rPr>
        <w:t> </w:t>
      </w:r>
      <w:r w:rsidRPr="0011612F">
        <w:rPr>
          <w:lang w:val="fr-FR"/>
        </w:rPr>
        <w:t>session du GRSG, l’OICA a présenté une proposition visant à retirer du Règlement les renvois aux normes nationales ou régionales (GRSG-113-22). Le GRSG a salué cette proposition dans son principe. Ce</w:t>
      </w:r>
      <w:r w:rsidR="0011612F" w:rsidRPr="0011612F">
        <w:rPr>
          <w:lang w:val="fr-FR"/>
        </w:rPr>
        <w:t>rtaines délégations ont proposé</w:t>
      </w:r>
      <w:r w:rsidRPr="0011612F">
        <w:rPr>
          <w:lang w:val="fr-FR"/>
        </w:rPr>
        <w:t xml:space="preserve"> que ce choix soit mentionné dans le domaine d’application du Règlement, comme c’est le cas par exemple dans le nouveau Règlement ONU </w:t>
      </w:r>
      <w:r w:rsidR="0011612F" w:rsidRPr="0011612F">
        <w:rPr>
          <w:rFonts w:eastAsia="MS Mincho"/>
          <w:lang w:val="fr-FR"/>
        </w:rPr>
        <w:t>n</w:t>
      </w:r>
      <w:r w:rsidR="0011612F" w:rsidRPr="0011612F">
        <w:rPr>
          <w:rFonts w:eastAsia="MS Mincho"/>
          <w:vertAlign w:val="superscript"/>
          <w:lang w:val="fr-FR"/>
        </w:rPr>
        <w:t>o</w:t>
      </w:r>
      <w:r w:rsidR="0011612F" w:rsidRPr="0011612F">
        <w:rPr>
          <w:lang w:val="fr-FR"/>
        </w:rPr>
        <w:t> </w:t>
      </w:r>
      <w:r w:rsidRPr="0011612F">
        <w:rPr>
          <w:lang w:val="fr-FR"/>
        </w:rPr>
        <w:t>144 sur les systèmes automatiques d’appel d’urgence (AECS). L’</w:t>
      </w:r>
      <w:r w:rsidR="0011612F" w:rsidRPr="0011612F">
        <w:rPr>
          <w:lang w:val="fr-FR"/>
        </w:rPr>
        <w:t>insertion du paragraphe </w:t>
      </w:r>
      <w:r w:rsidRPr="0011612F">
        <w:rPr>
          <w:lang w:val="fr-FR"/>
        </w:rPr>
        <w:t>1.9 répond à cette suggestion .</w:t>
      </w:r>
    </w:p>
    <w:p w:rsidR="0005781B" w:rsidRPr="0011612F" w:rsidRDefault="00686E6B" w:rsidP="0011612F">
      <w:pPr>
        <w:pStyle w:val="SingleTxtG"/>
      </w:pPr>
      <w:r w:rsidRPr="0011612F">
        <w:rPr>
          <w:lang w:val="fr-FR"/>
        </w:rPr>
        <w:t>2.</w:t>
      </w:r>
      <w:r w:rsidRPr="0011612F">
        <w:rPr>
          <w:lang w:val="fr-FR"/>
        </w:rPr>
        <w:tab/>
        <w:t>Les paragraphes</w:t>
      </w:r>
      <w:r w:rsidR="0011612F" w:rsidRPr="0011612F">
        <w:t> </w:t>
      </w:r>
      <w:r w:rsidRPr="0011612F">
        <w:rPr>
          <w:lang w:val="fr-FR"/>
        </w:rPr>
        <w:t>6.2.3, 7.2.3 et 8.2.2 devraient être retirés</w:t>
      </w:r>
      <w:r w:rsidR="009573B0">
        <w:rPr>
          <w:lang w:val="fr-FR"/>
        </w:rPr>
        <w:t xml:space="preserve"> du Règlement </w:t>
      </w:r>
      <w:r w:rsidR="0011612F">
        <w:rPr>
          <w:lang w:val="fr-FR"/>
        </w:rPr>
        <w:t>ONU </w:t>
      </w:r>
      <w:r w:rsidR="0011612F" w:rsidRPr="0011612F">
        <w:rPr>
          <w:rFonts w:eastAsia="MS Mincho"/>
          <w:lang w:val="fr-FR"/>
        </w:rPr>
        <w:t>n</w:t>
      </w:r>
      <w:r w:rsidR="0011612F" w:rsidRPr="0011612F">
        <w:rPr>
          <w:rFonts w:eastAsia="MS Mincho"/>
          <w:vertAlign w:val="superscript"/>
          <w:lang w:val="fr-FR"/>
        </w:rPr>
        <w:t>o</w:t>
      </w:r>
      <w:r w:rsidR="0011612F" w:rsidRPr="0011612F">
        <w:rPr>
          <w:lang w:val="fr-FR"/>
        </w:rPr>
        <w:t> </w:t>
      </w:r>
      <w:r w:rsidRPr="0011612F">
        <w:rPr>
          <w:lang w:val="fr-FR"/>
        </w:rPr>
        <w:t>116, car ils renvoient à des normes nationales ou régionales (européennes).</w:t>
      </w:r>
    </w:p>
    <w:p w:rsidR="0005781B" w:rsidRPr="0011612F" w:rsidRDefault="00686E6B" w:rsidP="0011612F">
      <w:pPr>
        <w:pStyle w:val="SingleTxtG"/>
      </w:pPr>
      <w:r w:rsidRPr="0011612F">
        <w:rPr>
          <w:lang w:val="fr-FR"/>
        </w:rPr>
        <w:t>3.</w:t>
      </w:r>
      <w:r w:rsidRPr="0011612F">
        <w:rPr>
          <w:lang w:val="fr-FR"/>
        </w:rPr>
        <w:tab/>
        <w:t>En effet, la transmission radio est partout réglementée au niveau national, c’est</w:t>
      </w:r>
      <w:r w:rsidR="0011612F" w:rsidRPr="0011612F">
        <w:rPr>
          <w:lang w:val="fr-FR"/>
        </w:rPr>
        <w:noBreakHyphen/>
      </w:r>
      <w:r w:rsidRPr="0011612F">
        <w:rPr>
          <w:lang w:val="fr-FR"/>
        </w:rPr>
        <w:t>à</w:t>
      </w:r>
      <w:r w:rsidR="0011612F" w:rsidRPr="0011612F">
        <w:rPr>
          <w:lang w:val="fr-FR"/>
        </w:rPr>
        <w:noBreakHyphen/>
      </w:r>
      <w:r w:rsidRPr="0011612F">
        <w:rPr>
          <w:lang w:val="fr-FR"/>
        </w:rPr>
        <w:t>dire en dehors du domaine d’application des règlements techniques de l’ONU. Par conséquent, les fabricants doivent toujours se conformer à la réglementation nationale pour les fréquences correspondantes et les transmissions radio concernées.</w:t>
      </w:r>
    </w:p>
    <w:p w:rsidR="0005781B" w:rsidRPr="0011612F" w:rsidRDefault="0011612F" w:rsidP="0011612F">
      <w:pPr>
        <w:spacing w:before="240"/>
        <w:ind w:left="1134" w:right="1134"/>
        <w:jc w:val="center"/>
        <w:rPr>
          <w:u w:val="single"/>
        </w:rPr>
      </w:pPr>
      <w:r w:rsidRPr="0011612F">
        <w:rPr>
          <w:u w:val="single"/>
        </w:rPr>
        <w:tab/>
      </w:r>
      <w:r w:rsidRPr="0011612F">
        <w:rPr>
          <w:u w:val="single"/>
        </w:rPr>
        <w:tab/>
      </w:r>
      <w:r w:rsidRPr="0011612F">
        <w:rPr>
          <w:u w:val="single"/>
        </w:rPr>
        <w:tab/>
      </w:r>
    </w:p>
    <w:sectPr w:rsidR="0005781B" w:rsidRPr="0011612F" w:rsidSect="0011612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B66" w:rsidRDefault="00C44B66" w:rsidP="00F95C08">
      <w:pPr>
        <w:spacing w:line="240" w:lineRule="auto"/>
      </w:pPr>
    </w:p>
  </w:endnote>
  <w:endnote w:type="continuationSeparator" w:id="0">
    <w:p w:rsidR="00C44B66" w:rsidRPr="00AC3823" w:rsidRDefault="00C44B66" w:rsidP="00AC3823">
      <w:pPr>
        <w:pStyle w:val="Footer"/>
      </w:pPr>
    </w:p>
  </w:endnote>
  <w:endnote w:type="continuationNotice" w:id="1">
    <w:p w:rsidR="00C44B66" w:rsidRDefault="00C44B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12F" w:rsidRPr="0011612F" w:rsidRDefault="0011612F" w:rsidP="0011612F">
    <w:pPr>
      <w:pStyle w:val="Footer"/>
      <w:tabs>
        <w:tab w:val="right" w:pos="9638"/>
      </w:tabs>
    </w:pPr>
    <w:r w:rsidRPr="0011612F">
      <w:rPr>
        <w:b/>
        <w:sz w:val="18"/>
      </w:rPr>
      <w:fldChar w:fldCharType="begin"/>
    </w:r>
    <w:r w:rsidRPr="0011612F">
      <w:rPr>
        <w:b/>
        <w:sz w:val="18"/>
      </w:rPr>
      <w:instrText xml:space="preserve"> PAGE  \* MERGEFORMAT </w:instrText>
    </w:r>
    <w:r w:rsidRPr="0011612F">
      <w:rPr>
        <w:b/>
        <w:sz w:val="18"/>
      </w:rPr>
      <w:fldChar w:fldCharType="separate"/>
    </w:r>
    <w:r w:rsidR="00686E6B">
      <w:rPr>
        <w:b/>
        <w:noProof/>
        <w:sz w:val="18"/>
      </w:rPr>
      <w:t>2</w:t>
    </w:r>
    <w:r w:rsidRPr="0011612F">
      <w:rPr>
        <w:b/>
        <w:sz w:val="18"/>
      </w:rPr>
      <w:fldChar w:fldCharType="end"/>
    </w:r>
    <w:r>
      <w:rPr>
        <w:b/>
        <w:sz w:val="18"/>
      </w:rPr>
      <w:tab/>
    </w:r>
    <w:r>
      <w:t>GE.18-12062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12F" w:rsidRPr="0011612F" w:rsidRDefault="0011612F" w:rsidP="0011612F">
    <w:pPr>
      <w:pStyle w:val="Footer"/>
      <w:tabs>
        <w:tab w:val="right" w:pos="9638"/>
      </w:tabs>
      <w:rPr>
        <w:b/>
        <w:sz w:val="18"/>
      </w:rPr>
    </w:pPr>
    <w:r>
      <w:t>GE.18-12062</w:t>
    </w:r>
    <w:r>
      <w:tab/>
    </w:r>
    <w:r w:rsidRPr="0011612F">
      <w:rPr>
        <w:b/>
        <w:sz w:val="18"/>
      </w:rPr>
      <w:fldChar w:fldCharType="begin"/>
    </w:r>
    <w:r w:rsidRPr="0011612F">
      <w:rPr>
        <w:b/>
        <w:sz w:val="18"/>
      </w:rPr>
      <w:instrText xml:space="preserve"> PAGE  \* MERGEFORMAT </w:instrText>
    </w:r>
    <w:r w:rsidRPr="0011612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1612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11612F" w:rsidRDefault="0011612F" w:rsidP="0011612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18-12062  (F)    230818    240818</w:t>
    </w:r>
    <w:r>
      <w:rPr>
        <w:sz w:val="20"/>
      </w:rPr>
      <w:br/>
    </w:r>
    <w:r w:rsidRPr="0011612F">
      <w:rPr>
        <w:rFonts w:ascii="C39T30Lfz" w:hAnsi="C39T30Lfz"/>
        <w:sz w:val="56"/>
      </w:rPr>
      <w:t></w:t>
    </w:r>
    <w:r w:rsidRPr="0011612F">
      <w:rPr>
        <w:rFonts w:ascii="C39T30Lfz" w:hAnsi="C39T30Lfz"/>
        <w:sz w:val="56"/>
      </w:rPr>
      <w:t></w:t>
    </w:r>
    <w:r w:rsidRPr="0011612F">
      <w:rPr>
        <w:rFonts w:ascii="C39T30Lfz" w:hAnsi="C39T30Lfz"/>
        <w:sz w:val="56"/>
      </w:rPr>
      <w:t></w:t>
    </w:r>
    <w:r w:rsidRPr="0011612F">
      <w:rPr>
        <w:rFonts w:ascii="C39T30Lfz" w:hAnsi="C39T30Lfz"/>
        <w:sz w:val="56"/>
      </w:rPr>
      <w:t></w:t>
    </w:r>
    <w:r w:rsidRPr="0011612F">
      <w:rPr>
        <w:rFonts w:ascii="C39T30Lfz" w:hAnsi="C39T30Lfz"/>
        <w:sz w:val="56"/>
      </w:rPr>
      <w:t></w:t>
    </w:r>
    <w:r w:rsidRPr="0011612F">
      <w:rPr>
        <w:rFonts w:ascii="C39T30Lfz" w:hAnsi="C39T30Lfz"/>
        <w:sz w:val="56"/>
      </w:rPr>
      <w:t></w:t>
    </w:r>
    <w:r w:rsidRPr="0011612F">
      <w:rPr>
        <w:rFonts w:ascii="C39T30Lfz" w:hAnsi="C39T30Lfz"/>
        <w:sz w:val="56"/>
      </w:rPr>
      <w:t></w:t>
    </w:r>
    <w:r w:rsidRPr="0011612F">
      <w:rPr>
        <w:rFonts w:ascii="C39T30Lfz" w:hAnsi="C39T30Lfz"/>
        <w:sz w:val="56"/>
      </w:rPr>
      <w:t></w:t>
    </w:r>
    <w:r w:rsidRPr="0011612F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G/2018/1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8/1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B66" w:rsidRPr="00AC3823" w:rsidRDefault="00C44B6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44B66" w:rsidRPr="00AC3823" w:rsidRDefault="00C44B6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44B66" w:rsidRPr="00AC3823" w:rsidRDefault="00C44B66">
      <w:pPr>
        <w:spacing w:line="240" w:lineRule="auto"/>
        <w:rPr>
          <w:sz w:val="2"/>
          <w:szCs w:val="2"/>
        </w:rPr>
      </w:pPr>
    </w:p>
  </w:footnote>
  <w:footnote w:id="2">
    <w:p w:rsidR="0011612F" w:rsidRPr="00711087" w:rsidRDefault="0011612F" w:rsidP="0011612F">
      <w:pPr>
        <w:pStyle w:val="FootnoteText"/>
        <w:rPr>
          <w:rFonts w:eastAsia="Calibri"/>
        </w:rPr>
      </w:pPr>
      <w:r>
        <w:rPr>
          <w:lang w:val="fr-FR"/>
        </w:rPr>
        <w:tab/>
        <w:t>*</w:t>
      </w:r>
      <w:r>
        <w:rPr>
          <w:lang w:val="fr-FR"/>
        </w:rPr>
        <w:tab/>
        <w:t>Conformément au programme de travail du Comité des transports intérieurs pour la période 2014</w:t>
      </w:r>
      <w:r>
        <w:rPr>
          <w:lang w:val="fr-FR"/>
        </w:rPr>
        <w:noBreakHyphen/>
        <w:t>2018 (ECE/TRANS/240, par. 105, et ECE/TRANS/2014/26, module 02.4),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12F" w:rsidRPr="0011612F" w:rsidRDefault="002F665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86E6B">
      <w:t>ECE/TRANS/WP.29/GRSG/2018/14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12F" w:rsidRPr="0011612F" w:rsidRDefault="002F665C" w:rsidP="0011612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86E6B">
      <w:t>ECE/TRANS/WP.29/GRSG/2018/14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revisionView w:inkAnnotations="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B66"/>
    <w:rsid w:val="00017F94"/>
    <w:rsid w:val="00023842"/>
    <w:rsid w:val="000334F9"/>
    <w:rsid w:val="00045FEB"/>
    <w:rsid w:val="0007796D"/>
    <w:rsid w:val="000B7790"/>
    <w:rsid w:val="00111F2F"/>
    <w:rsid w:val="001161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2F665C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17501"/>
    <w:rsid w:val="00686E6B"/>
    <w:rsid w:val="0071601D"/>
    <w:rsid w:val="007A62E6"/>
    <w:rsid w:val="007F20FA"/>
    <w:rsid w:val="0080684C"/>
    <w:rsid w:val="00871C75"/>
    <w:rsid w:val="008776DC"/>
    <w:rsid w:val="00902DE8"/>
    <w:rsid w:val="009446C0"/>
    <w:rsid w:val="009573B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44B66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41F0052-1166-42B8-8C4A-7F10EA31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ECE/TRANS/WP.29/GRSG/2018/14</vt:lpstr>
      <vt:lpstr/>
    </vt:vector>
  </TitlesOfParts>
  <Company>DCM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ECE/TRANS/WP.29/GRSG/2018/14</dc:title>
  <dc:subject/>
  <dc:creator>Annie BEAUNEE</dc:creator>
  <cp:keywords/>
  <cp:lastModifiedBy>Secretariat</cp:lastModifiedBy>
  <cp:revision>2</cp:revision>
  <cp:lastPrinted>2018-08-24T13:36:00Z</cp:lastPrinted>
  <dcterms:created xsi:type="dcterms:W3CDTF">2018-08-28T12:45:00Z</dcterms:created>
  <dcterms:modified xsi:type="dcterms:W3CDTF">2018-08-28T12:45:00Z</dcterms:modified>
</cp:coreProperties>
</file>