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2BE3C09B" w:rsidR="001F20EF" w:rsidRPr="00C64574" w:rsidRDefault="00803BF8" w:rsidP="009E662A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A87C87">
              <w:t>8</w:t>
            </w:r>
            <w:r w:rsidR="00B61A08">
              <w:t>/</w:t>
            </w:r>
            <w:r w:rsidR="009E662A">
              <w:t>9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600B505C" w:rsidR="00803BF8" w:rsidRPr="00593753" w:rsidRDefault="00F71B46" w:rsidP="00D5792F">
            <w:pPr>
              <w:spacing w:line="240" w:lineRule="exact"/>
            </w:pPr>
            <w:r>
              <w:t>2</w:t>
            </w:r>
            <w:r w:rsidR="00D35551">
              <w:t>4</w:t>
            </w:r>
            <w:r w:rsidR="00A87C87">
              <w:t xml:space="preserve"> </w:t>
            </w:r>
            <w:r w:rsidR="003B4673">
              <w:t>J</w:t>
            </w:r>
            <w:r w:rsidR="00A87C87">
              <w:t>anuary</w:t>
            </w:r>
            <w:r w:rsidR="002B47CA">
              <w:t xml:space="preserve"> 201</w:t>
            </w:r>
            <w:r w:rsidR="00A87C87">
              <w:t>8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5FD5B89B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  <w:r w:rsidR="00092EE2">
              <w:t>/</w:t>
            </w:r>
            <w:r w:rsidR="00905A3D">
              <w:t>French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1125216E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A87C87">
        <w:rPr>
          <w:b/>
        </w:rPr>
        <w:t>4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1529DFE5" w:rsidR="003B4673" w:rsidRPr="00C64574" w:rsidRDefault="003B4673" w:rsidP="003B4673">
      <w:r w:rsidRPr="00C64574">
        <w:t xml:space="preserve">Geneva, </w:t>
      </w:r>
      <w:r w:rsidR="00A87C87">
        <w:t>9</w:t>
      </w:r>
      <w:r>
        <w:t xml:space="preserve">-13 </w:t>
      </w:r>
      <w:r w:rsidR="00A87C87">
        <w:t>April</w:t>
      </w:r>
      <w:r w:rsidRPr="00C64574">
        <w:t xml:space="preserve"> 201</w:t>
      </w:r>
      <w:r w:rsidR="00A87C87">
        <w:t>8</w:t>
      </w:r>
    </w:p>
    <w:p w14:paraId="33AA25CC" w14:textId="2D3601CA" w:rsidR="003B4673" w:rsidRPr="00DF418A" w:rsidRDefault="003B4673" w:rsidP="003B4673">
      <w:r w:rsidRPr="00DF418A">
        <w:t xml:space="preserve">Item </w:t>
      </w:r>
      <w:r w:rsidR="009E662A">
        <w:t>5</w:t>
      </w:r>
      <w:r>
        <w:t>(a)</w:t>
      </w:r>
      <w:r w:rsidRPr="00DF418A">
        <w:t xml:space="preserve"> of the provisional agenda</w:t>
      </w:r>
    </w:p>
    <w:p w14:paraId="1C496CC5" w14:textId="77777777" w:rsidR="009C5A0E" w:rsidRDefault="0033638B" w:rsidP="009C5A0E">
      <w:pPr>
        <w:rPr>
          <w:b/>
        </w:rPr>
      </w:pPr>
      <w:r>
        <w:rPr>
          <w:b/>
        </w:rPr>
        <w:t>Awareness of the proximity of Vulnerable Road Users</w:t>
      </w:r>
      <w:r w:rsidR="009C5A0E">
        <w:rPr>
          <w:b/>
        </w:rPr>
        <w:t>:</w:t>
      </w:r>
    </w:p>
    <w:p w14:paraId="34EF25E2" w14:textId="11C060AC" w:rsidR="003B4673" w:rsidRPr="009C5A0E" w:rsidRDefault="00D709BA" w:rsidP="009C5A0E">
      <w:pPr>
        <w:rPr>
          <w:b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33638B">
        <w:rPr>
          <w:b/>
        </w:rPr>
        <w:t>46</w:t>
      </w:r>
      <w:r w:rsidR="003B4673" w:rsidRPr="00DF418A">
        <w:rPr>
          <w:b/>
        </w:rPr>
        <w:t xml:space="preserve"> (</w:t>
      </w:r>
      <w:r w:rsidR="0033638B" w:rsidRPr="0033638B">
        <w:rPr>
          <w:b/>
        </w:rPr>
        <w:t>Devices for indirect vision</w:t>
      </w:r>
      <w:r w:rsidR="003B4673" w:rsidRPr="00DF418A">
        <w:rPr>
          <w:b/>
        </w:rPr>
        <w:t>)</w:t>
      </w:r>
    </w:p>
    <w:p w14:paraId="1F356798" w14:textId="019D1740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 w:rsidR="0033638B">
        <w:rPr>
          <w:sz w:val="26"/>
          <w:szCs w:val="26"/>
        </w:rPr>
        <w:t xml:space="preserve">Supplement </w:t>
      </w:r>
      <w:r w:rsidR="00A87C87">
        <w:rPr>
          <w:sz w:val="26"/>
          <w:szCs w:val="26"/>
        </w:rPr>
        <w:t>6</w:t>
      </w:r>
      <w:r w:rsidR="001407D5">
        <w:rPr>
          <w:sz w:val="26"/>
          <w:szCs w:val="26"/>
        </w:rPr>
        <w:t xml:space="preserve"> to </w:t>
      </w:r>
      <w:r>
        <w:rPr>
          <w:sz w:val="26"/>
          <w:szCs w:val="26"/>
        </w:rPr>
        <w:t>the 0</w:t>
      </w:r>
      <w:r w:rsidR="0033638B">
        <w:rPr>
          <w:sz w:val="26"/>
          <w:szCs w:val="26"/>
        </w:rPr>
        <w:t>4</w:t>
      </w:r>
      <w:r w:rsidRPr="00142B92">
        <w:rPr>
          <w:sz w:val="26"/>
          <w:szCs w:val="26"/>
        </w:rPr>
        <w:t xml:space="preserve"> series of amendments to </w:t>
      </w:r>
      <w:r w:rsidR="00D709BA">
        <w:rPr>
          <w:sz w:val="26"/>
          <w:szCs w:val="26"/>
        </w:rPr>
        <w:t xml:space="preserve">UN </w:t>
      </w:r>
      <w:r w:rsidRPr="00142B92">
        <w:rPr>
          <w:sz w:val="26"/>
          <w:szCs w:val="26"/>
        </w:rPr>
        <w:t xml:space="preserve">Regulation No. </w:t>
      </w:r>
      <w:r w:rsidR="009E662A">
        <w:rPr>
          <w:sz w:val="26"/>
          <w:szCs w:val="26"/>
        </w:rPr>
        <w:t>46</w:t>
      </w:r>
      <w:r w:rsidRPr="00142B92">
        <w:rPr>
          <w:sz w:val="26"/>
          <w:szCs w:val="26"/>
        </w:rPr>
        <w:t xml:space="preserve"> (</w:t>
      </w:r>
      <w:r w:rsidR="009E662A">
        <w:rPr>
          <w:sz w:val="26"/>
          <w:szCs w:val="26"/>
        </w:rPr>
        <w:t>Devices for indirect vision</w:t>
      </w:r>
      <w:r w:rsidRPr="00142B92">
        <w:rPr>
          <w:sz w:val="26"/>
          <w:szCs w:val="26"/>
        </w:rPr>
        <w:t>)</w:t>
      </w:r>
    </w:p>
    <w:p w14:paraId="15C212E1" w14:textId="1A25D549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33638B">
        <w:t xml:space="preserve">the </w:t>
      </w:r>
      <w:r w:rsidR="0033638B">
        <w:rPr>
          <w:rFonts w:eastAsia="MS Mincho"/>
          <w:lang w:eastAsia="ja-JP"/>
        </w:rPr>
        <w:t>International Organization of Motor Vehicle Manufacturers</w:t>
      </w:r>
      <w:r w:rsidR="0033638B" w:rsidRPr="003B4673"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0392B7AF" w:rsidR="00DF418A" w:rsidRPr="003B4673" w:rsidRDefault="0050261A" w:rsidP="00704CB6">
      <w:pPr>
        <w:ind w:left="1134" w:right="1134" w:firstLine="567"/>
        <w:jc w:val="both"/>
      </w:pPr>
      <w:r w:rsidRPr="003B4673">
        <w:t xml:space="preserve">The text reproduced below was prepared by the expert </w:t>
      </w:r>
      <w:r w:rsidR="00D709BA">
        <w:t xml:space="preserve">from </w:t>
      </w:r>
      <w:r w:rsidR="0033638B">
        <w:t xml:space="preserve">the </w:t>
      </w:r>
      <w:r w:rsidR="0033638B">
        <w:rPr>
          <w:rFonts w:eastAsia="MS Mincho"/>
          <w:lang w:eastAsia="ja-JP"/>
        </w:rPr>
        <w:t>International Organization of Motor Vehicle Manufacturers</w:t>
      </w:r>
      <w:r w:rsidR="0033638B" w:rsidRPr="003B4673">
        <w:rPr>
          <w:rFonts w:eastAsia="MS Mincho"/>
          <w:lang w:val="en-US" w:eastAsia="ja-JP"/>
        </w:rPr>
        <w:t xml:space="preserve"> (</w:t>
      </w:r>
      <w:r w:rsidR="0033638B">
        <w:rPr>
          <w:rFonts w:eastAsia="MS Mincho"/>
          <w:lang w:val="en-US" w:eastAsia="ja-JP"/>
        </w:rPr>
        <w:t>OICA</w:t>
      </w:r>
      <w:r w:rsidR="0033638B" w:rsidRPr="003B4673">
        <w:rPr>
          <w:rFonts w:eastAsia="MS Mincho"/>
          <w:lang w:val="en-US" w:eastAsia="ja-JP"/>
        </w:rPr>
        <w:t>)</w:t>
      </w:r>
      <w:r w:rsidR="0033638B" w:rsidRPr="003B4673">
        <w:t xml:space="preserve"> </w:t>
      </w:r>
      <w:r w:rsidR="00A82637" w:rsidRPr="00A82637">
        <w:t>to</w:t>
      </w:r>
      <w:r w:rsidR="00A82637">
        <w:t xml:space="preserve"> </w:t>
      </w:r>
      <w:r w:rsidR="00267ACB">
        <w:t>clarify t</w:t>
      </w:r>
      <w:r w:rsidR="00531596">
        <w:t>he requirements on overlays in C</w:t>
      </w:r>
      <w:r w:rsidR="00267ACB">
        <w:t>amera-</w:t>
      </w:r>
      <w:r w:rsidR="00531596">
        <w:t>Monitor S</w:t>
      </w:r>
      <w:r w:rsidR="00267ACB">
        <w:t>ystems (CMS) with respect to the spirit of the decisions of the informal group on CMS</w:t>
      </w:r>
      <w:r w:rsidRPr="003B4673">
        <w:t xml:space="preserve">. </w:t>
      </w:r>
      <w:r w:rsidR="000703CF" w:rsidRPr="003B4673">
        <w:t>It is</w:t>
      </w:r>
      <w:r w:rsidR="00A90194">
        <w:t xml:space="preserve"> </w:t>
      </w:r>
      <w:r w:rsidR="00A87C87">
        <w:t xml:space="preserve">based on informal </w:t>
      </w:r>
      <w:r w:rsidR="001407D5">
        <w:t>document</w:t>
      </w:r>
      <w:r w:rsidR="00A82637" w:rsidRPr="00A82637">
        <w:t xml:space="preserve"> GRSG-113-</w:t>
      </w:r>
      <w:r w:rsidR="00267ACB">
        <w:t>17-Rev.1</w:t>
      </w:r>
      <w:r w:rsidR="00A90194">
        <w:t xml:space="preserve">, </w:t>
      </w:r>
      <w:r w:rsidR="001407D5">
        <w:t xml:space="preserve">presented at the </w:t>
      </w:r>
      <w:r w:rsidR="003B4673">
        <w:t>11</w:t>
      </w:r>
      <w:r w:rsidR="00A87C87">
        <w:t>3</w:t>
      </w:r>
      <w:r w:rsidR="003B4673">
        <w:t xml:space="preserve">th </w:t>
      </w:r>
      <w:r w:rsidR="000703CF" w:rsidRPr="003B4673">
        <w:t>session of the Working Party on General Safety Provisions (GRSG) (see report</w:t>
      </w:r>
      <w:r w:rsidR="003B4673">
        <w:t xml:space="preserve"> </w:t>
      </w:r>
      <w:r w:rsidR="003B4673" w:rsidRPr="003B4673">
        <w:t>ECE/TRANS/WP.29/GRSG/9</w:t>
      </w:r>
      <w:r w:rsidR="00A87C87">
        <w:t>2</w:t>
      </w:r>
      <w:r w:rsidR="003B4673" w:rsidRPr="003B4673">
        <w:t xml:space="preserve">, para. </w:t>
      </w:r>
      <w:r w:rsidR="00267ACB">
        <w:t>24</w:t>
      </w:r>
      <w:r w:rsidR="000703CF" w:rsidRPr="003B4673">
        <w:t>).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267ACB">
        <w:t>46</w:t>
      </w:r>
      <w:r w:rsidRPr="003B4673">
        <w:t xml:space="preserve"> are marked </w:t>
      </w:r>
      <w:r w:rsidR="00A82637" w:rsidRPr="003B4673">
        <w:t>in bold</w:t>
      </w:r>
      <w:r w:rsidR="00A82637">
        <w:t xml:space="preserve"> </w:t>
      </w:r>
      <w:r w:rsidR="00A82637" w:rsidRPr="003B4673">
        <w:t>characters</w:t>
      </w:r>
      <w:r w:rsidR="005D6B0A" w:rsidRPr="003B4673">
        <w:rPr>
          <w:lang w:val="en-US"/>
        </w:rPr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117F6848" w14:textId="701F0AEE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17D7">
        <w:rPr>
          <w:rFonts w:eastAsia="DengXian"/>
          <w:i/>
          <w:lang w:eastAsia="zh-CN"/>
        </w:rPr>
        <w:t>English version, p</w:t>
      </w:r>
      <w:r w:rsidRPr="002917D7">
        <w:rPr>
          <w:i/>
        </w:rPr>
        <w:t>aragraph 16.1.1.3.,</w:t>
      </w:r>
      <w:r w:rsidRPr="002917D7">
        <w:t xml:space="preserve"> amend to read:</w:t>
      </w:r>
    </w:p>
    <w:p w14:paraId="5FD0439B" w14:textId="77777777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17D7">
        <w:t>"16.1.1.3.</w:t>
      </w:r>
      <w:r w:rsidRPr="002917D7">
        <w:tab/>
        <w:t xml:space="preserve">Overlay requirements within the minimum required field of vision </w:t>
      </w:r>
    </w:p>
    <w:p w14:paraId="53BE8D04" w14:textId="21C3BFA1" w:rsidR="002917D7" w:rsidRPr="00092EE2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  <w:r w:rsidRPr="00334EAF">
        <w:tab/>
      </w:r>
      <w:r w:rsidRPr="00092EE2">
        <w:rPr>
          <w:b/>
        </w:rPr>
        <w:t>Ove</w:t>
      </w:r>
      <w:r w:rsidR="00F71B46" w:rsidRPr="00092EE2">
        <w:rPr>
          <w:b/>
        </w:rPr>
        <w:t>rlays shall display only safety-</w:t>
      </w:r>
      <w:r w:rsidRPr="00092EE2">
        <w:rPr>
          <w:b/>
        </w:rPr>
        <w:t>related rearward vision information.</w:t>
      </w:r>
    </w:p>
    <w:p w14:paraId="5034A805" w14:textId="76D37D91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tab/>
      </w:r>
      <w:r w:rsidRPr="002917D7">
        <w:t>All overlays shall be considered as an obstruction re</w:t>
      </w:r>
      <w:r>
        <w:t>gardless of their transparency.</w:t>
      </w:r>
    </w:p>
    <w:p w14:paraId="0F1EB24B" w14:textId="521FD0A7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tab/>
      </w:r>
      <w:r w:rsidRPr="002917D7">
        <w:t>Each overlay shall not exceed 2.5 per cent of the required field of view displayed surf</w:t>
      </w:r>
      <w:r>
        <w:t>ace of the corresponding class.</w:t>
      </w:r>
    </w:p>
    <w:p w14:paraId="27AA9EFF" w14:textId="6A937A87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tab/>
      </w:r>
      <w:r w:rsidRPr="002917D7">
        <w:t>The total surface of all obstructions shall not exceed the provision of paragraph 15.2.4.9.1. o</w:t>
      </w:r>
      <w:r>
        <w:t>r 15.2.4.9.2. at the same time.</w:t>
      </w:r>
    </w:p>
    <w:p w14:paraId="57A25582" w14:textId="37278AC1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tab/>
      </w:r>
      <w:r w:rsidRPr="002917D7">
        <w:t>Overlay and any other obstruction surface shall be determined (for example on screenshots) taking into account the worst case(s)."</w:t>
      </w:r>
    </w:p>
    <w:p w14:paraId="09B730E6" w14:textId="77777777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</w:p>
    <w:p w14:paraId="216FF3F2" w14:textId="3DA02AE5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>French</w:t>
      </w:r>
      <w:r w:rsidRPr="002917D7">
        <w:rPr>
          <w:i/>
        </w:rPr>
        <w:t xml:space="preserve"> version, paragraph 16.1.1.3.</w:t>
      </w:r>
      <w:r w:rsidRPr="002917D7">
        <w:t>, amend to read:</w:t>
      </w:r>
    </w:p>
    <w:p w14:paraId="5EEE3D1D" w14:textId="77777777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fr-FR"/>
        </w:rPr>
      </w:pPr>
      <w:r w:rsidRPr="002917D7">
        <w:rPr>
          <w:lang w:val="fr-FR"/>
        </w:rPr>
        <w:t>« 16.1.1.3</w:t>
      </w:r>
      <w:r w:rsidRPr="002917D7">
        <w:rPr>
          <w:lang w:val="fr-FR"/>
        </w:rPr>
        <w:tab/>
        <w:t>Prescriptions concernant les surimpressions dans le champ de vision minimal requis</w:t>
      </w:r>
    </w:p>
    <w:p w14:paraId="74AB7632" w14:textId="7048F1D3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fr-FR"/>
        </w:rPr>
      </w:pPr>
      <w:r w:rsidRPr="000942EB">
        <w:rPr>
          <w:lang w:val="fr-FR"/>
        </w:rPr>
        <w:tab/>
      </w:r>
      <w:r w:rsidRPr="002917D7">
        <w:rPr>
          <w:lang w:val="fr-FR"/>
        </w:rPr>
        <w:t xml:space="preserve">Les surimpressions ne doivent donner que des informations visuelles relatives à la conduite </w:t>
      </w:r>
      <w:r w:rsidRPr="002917D7">
        <w:rPr>
          <w:b/>
          <w:lang w:val="fr-FR"/>
        </w:rPr>
        <w:t>et la vue vers l</w:t>
      </w:r>
      <w:r w:rsidRPr="000942EB">
        <w:rPr>
          <w:b/>
          <w:lang w:val="fr-FR"/>
        </w:rPr>
        <w:t>'</w:t>
      </w:r>
      <w:r w:rsidRPr="002917D7">
        <w:rPr>
          <w:b/>
          <w:lang w:val="fr-FR"/>
        </w:rPr>
        <w:t>arrière</w:t>
      </w:r>
      <w:r w:rsidRPr="002917D7">
        <w:rPr>
          <w:lang w:val="fr-FR"/>
        </w:rPr>
        <w:t>.</w:t>
      </w:r>
    </w:p>
    <w:p w14:paraId="70E2553F" w14:textId="3F7913B7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fr-FR"/>
        </w:rPr>
      </w:pPr>
      <w:r w:rsidRPr="000942EB">
        <w:rPr>
          <w:lang w:val="fr-FR"/>
        </w:rPr>
        <w:tab/>
      </w:r>
      <w:r w:rsidRPr="002917D7">
        <w:rPr>
          <w:lang w:val="fr-FR"/>
        </w:rPr>
        <w:t>Seules les surimpressions temporaires sont autorisées.</w:t>
      </w:r>
    </w:p>
    <w:p w14:paraId="35ED401B" w14:textId="22F63B2F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fr-FR"/>
        </w:rPr>
      </w:pPr>
      <w:r w:rsidRPr="000942EB">
        <w:rPr>
          <w:lang w:val="fr-FR"/>
        </w:rPr>
        <w:tab/>
      </w:r>
      <w:r w:rsidRPr="002917D7">
        <w:rPr>
          <w:lang w:val="fr-FR"/>
        </w:rPr>
        <w:t>Toutes les surimpressions doivent être considérées comme une obstruction indépendamment de leur transparence.</w:t>
      </w:r>
    </w:p>
    <w:p w14:paraId="69C12D23" w14:textId="5B493C89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fr-FR"/>
        </w:rPr>
      </w:pPr>
      <w:r w:rsidRPr="000942EB">
        <w:rPr>
          <w:lang w:val="fr-FR"/>
        </w:rPr>
        <w:tab/>
      </w:r>
      <w:r w:rsidRPr="002917D7">
        <w:rPr>
          <w:lang w:val="fr-FR"/>
        </w:rPr>
        <w:t>Aucune surimpression ne doit couvrir plus de 2,5 % de la surface affichée du champ de vision requis de la classe correspondante.</w:t>
      </w:r>
    </w:p>
    <w:p w14:paraId="32ED960C" w14:textId="23A43208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fr-FR"/>
        </w:rPr>
      </w:pPr>
      <w:r w:rsidRPr="000942EB">
        <w:rPr>
          <w:lang w:val="fr-FR"/>
        </w:rPr>
        <w:tab/>
      </w:r>
      <w:r w:rsidRPr="002917D7">
        <w:rPr>
          <w:lang w:val="fr-FR"/>
        </w:rPr>
        <w:t>La surface totale de toutes les obstructions ne doit à aucun moment dépasser les limites indiquées à la fois au paragraphe 15.2.4.9.1 et au paragraphe 15.2.4.9.2.</w:t>
      </w:r>
    </w:p>
    <w:p w14:paraId="54883302" w14:textId="304B140E"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fr-CH"/>
        </w:rPr>
      </w:pPr>
      <w:r w:rsidRPr="000942EB">
        <w:rPr>
          <w:lang w:val="fr-FR"/>
        </w:rPr>
        <w:tab/>
        <w:t>Une surimpression et toute autre surface d'obstruction doivent être déterminées (sur des captures d'écran par exemple) sur la base de la situation la moins favorable. »</w:t>
      </w:r>
    </w:p>
    <w:p w14:paraId="71E1AC86" w14:textId="77777777" w:rsidR="00A925F4" w:rsidRPr="002917D7" w:rsidRDefault="00A925F4" w:rsidP="003D751D">
      <w:pPr>
        <w:spacing w:after="120"/>
        <w:ind w:left="2268" w:right="1133" w:hanging="1134"/>
        <w:jc w:val="both"/>
        <w:rPr>
          <w:rFonts w:eastAsia="MS Mincho"/>
          <w:bCs/>
          <w:i/>
          <w:spacing w:val="-2"/>
          <w:lang w:val="fr-CH" w:eastAsia="ja-JP"/>
        </w:rPr>
      </w:pPr>
    </w:p>
    <w:p w14:paraId="552A924D" w14:textId="4A047C48" w:rsidR="00CB7013" w:rsidRPr="000942EB" w:rsidRDefault="00CB7013" w:rsidP="00CB7013">
      <w:pPr>
        <w:pStyle w:val="HChG"/>
      </w:pPr>
      <w:r w:rsidRPr="00905A3D">
        <w:rPr>
          <w:lang w:val="fr-CH"/>
        </w:rPr>
        <w:tab/>
      </w:r>
      <w:r w:rsidRPr="000942EB">
        <w:t>II.</w:t>
      </w:r>
      <w:r w:rsidRPr="000942EB">
        <w:tab/>
        <w:t>Justification</w:t>
      </w:r>
    </w:p>
    <w:p w14:paraId="79849AFE" w14:textId="22747C2C" w:rsidR="002917D7" w:rsidRPr="000942EB" w:rsidRDefault="000942EB" w:rsidP="000942EB">
      <w:pPr>
        <w:tabs>
          <w:tab w:val="left" w:pos="1701"/>
        </w:tabs>
        <w:spacing w:before="120" w:after="120"/>
        <w:ind w:left="1134" w:right="1134"/>
        <w:jc w:val="both"/>
      </w:pPr>
      <w:r w:rsidRPr="000942EB">
        <w:t>1.</w:t>
      </w:r>
      <w:r w:rsidRPr="000942EB">
        <w:tab/>
      </w:r>
      <w:r w:rsidR="002917D7" w:rsidRPr="000942EB">
        <w:t>The current English text can be interpreted in a way that overlays are only allowed when driving backwards (reverse driving). This is not the original intention of the text</w:t>
      </w:r>
      <w:r w:rsidR="0043676F" w:rsidRPr="000942EB">
        <w:t>.</w:t>
      </w:r>
    </w:p>
    <w:p w14:paraId="6F3AEC25" w14:textId="3F6BA9D8" w:rsidR="002917D7" w:rsidRPr="002917D7" w:rsidRDefault="000942EB" w:rsidP="000942EB">
      <w:pPr>
        <w:tabs>
          <w:tab w:val="left" w:pos="1701"/>
        </w:tabs>
        <w:spacing w:before="120" w:after="120"/>
        <w:ind w:left="1134" w:right="1134"/>
        <w:jc w:val="both"/>
      </w:pPr>
      <w:r w:rsidRPr="000942EB">
        <w:t>2.</w:t>
      </w:r>
      <w:r w:rsidRPr="000942EB">
        <w:tab/>
      </w:r>
      <w:r w:rsidR="002917D7" w:rsidRPr="002917D7">
        <w:t xml:space="preserve">During the discussions of the IWG on CMS, the topic of overlays was discussed in relation to </w:t>
      </w:r>
      <w:r w:rsidR="00124E57">
        <w:t>"</w:t>
      </w:r>
      <w:r w:rsidR="002917D7" w:rsidRPr="002917D7">
        <w:t>information other than driving related</w:t>
      </w:r>
      <w:r w:rsidR="00124E57">
        <w:t>"</w:t>
      </w:r>
      <w:r w:rsidR="002917D7" w:rsidRPr="002917D7">
        <w:t xml:space="preserve">. The group decided that only information related to the rear view could be shown as overlay within the field of view. Other information (for example information on </w:t>
      </w:r>
      <w:r w:rsidR="00334EAF">
        <w:t xml:space="preserve">the </w:t>
      </w:r>
      <w:r w:rsidR="002917D7" w:rsidRPr="002917D7">
        <w:t>view in different directions from the rear, or other messages), not related to the rear view, should never appear within the defined field of view.</w:t>
      </w:r>
    </w:p>
    <w:p w14:paraId="76458551" w14:textId="761EA6EE" w:rsidR="002917D7" w:rsidRPr="002917D7" w:rsidRDefault="000942EB" w:rsidP="000942EB">
      <w:pPr>
        <w:tabs>
          <w:tab w:val="left" w:pos="1701"/>
        </w:tabs>
        <w:spacing w:before="120" w:after="120"/>
        <w:ind w:left="1134" w:right="1134"/>
        <w:jc w:val="both"/>
      </w:pPr>
      <w:r w:rsidRPr="000942EB">
        <w:lastRenderedPageBreak/>
        <w:t>3.</w:t>
      </w:r>
      <w:r w:rsidRPr="000942EB">
        <w:tab/>
      </w:r>
      <w:r w:rsidR="002917D7" w:rsidRPr="002917D7">
        <w:t>As such, the text on overlays was created with a</w:t>
      </w:r>
      <w:r w:rsidR="00124E57">
        <w:t xml:space="preserve"> misleading</w:t>
      </w:r>
      <w:r w:rsidR="002917D7" w:rsidRPr="002917D7">
        <w:t xml:space="preserve"> wording.</w:t>
      </w:r>
      <w:r w:rsidR="00124E57">
        <w:t xml:space="preserve"> A</w:t>
      </w:r>
      <w:r w:rsidR="002917D7" w:rsidRPr="002917D7">
        <w:t>n illustration of the possibility to misinterpret the text is the translation into French.</w:t>
      </w:r>
      <w:r w:rsidR="00334EAF">
        <w:t xml:space="preserve"> </w:t>
      </w:r>
      <w:r w:rsidR="002917D7" w:rsidRPr="002917D7">
        <w:t xml:space="preserve">The French text </w:t>
      </w:r>
      <w:r w:rsidR="00334EAF">
        <w:t>allows</w:t>
      </w:r>
      <w:r w:rsidR="002917D7" w:rsidRPr="002917D7">
        <w:t xml:space="preserve"> the use of overlays only </w:t>
      </w:r>
      <w:r w:rsidR="00334EAF">
        <w:t>in the case of</w:t>
      </w:r>
      <w:r w:rsidR="002917D7" w:rsidRPr="002917D7">
        <w:t xml:space="preserve"> reverse driving.</w:t>
      </w:r>
    </w:p>
    <w:p w14:paraId="189E1D7B" w14:textId="1D93576D" w:rsidR="002917D7" w:rsidRPr="000942EB" w:rsidRDefault="00334EAF" w:rsidP="000942EB">
      <w:pPr>
        <w:tabs>
          <w:tab w:val="left" w:pos="1701"/>
        </w:tabs>
        <w:spacing w:before="120" w:after="120"/>
        <w:ind w:left="1134" w:right="1134"/>
        <w:jc w:val="both"/>
      </w:pPr>
      <w:r>
        <w:t>4</w:t>
      </w:r>
      <w:r w:rsidR="000942EB" w:rsidRPr="000942EB">
        <w:t>.</w:t>
      </w:r>
      <w:r w:rsidR="000942EB" w:rsidRPr="000942EB">
        <w:tab/>
      </w:r>
      <w:r>
        <w:t>An e</w:t>
      </w:r>
      <w:r w:rsidR="002917D7" w:rsidRPr="002917D7">
        <w:t>xample of overlays in the field of vision</w:t>
      </w:r>
      <w:r>
        <w:t xml:space="preserve"> is shown below</w:t>
      </w:r>
      <w:r w:rsidR="002917D7" w:rsidRPr="002917D7">
        <w:t>:</w:t>
      </w:r>
    </w:p>
    <w:p w14:paraId="3F796566" w14:textId="77777777" w:rsidR="000942EB" w:rsidRPr="002917D7" w:rsidRDefault="000942EB" w:rsidP="000942EB">
      <w:pPr>
        <w:tabs>
          <w:tab w:val="left" w:pos="1701"/>
        </w:tabs>
        <w:spacing w:before="120" w:after="120"/>
        <w:ind w:left="1134" w:right="1134"/>
        <w:jc w:val="both"/>
      </w:pPr>
    </w:p>
    <w:p w14:paraId="04DDB248" w14:textId="77777777" w:rsidR="002917D7" w:rsidRPr="002917D7" w:rsidRDefault="002917D7" w:rsidP="002917D7">
      <w:pPr>
        <w:suppressAutoHyphens w:val="0"/>
        <w:spacing w:line="240" w:lineRule="auto"/>
        <w:ind w:left="993"/>
        <w:jc w:val="center"/>
        <w:rPr>
          <w:rFonts w:eastAsia="DengXian"/>
          <w:lang w:eastAsia="zh-CN"/>
        </w:rPr>
      </w:pPr>
      <w:r w:rsidRPr="002917D7">
        <w:rPr>
          <w:rFonts w:eastAsia="DengXian"/>
          <w:noProof/>
          <w:color w:val="0000FF"/>
          <w:lang w:eastAsia="zh-CN"/>
        </w:rPr>
        <w:drawing>
          <wp:inline distT="0" distB="0" distL="0" distR="0" wp14:anchorId="480D2948" wp14:editId="64DF3604">
            <wp:extent cx="4928260" cy="2885704"/>
            <wp:effectExtent l="0" t="0" r="5715" b="0"/>
            <wp:docPr id="4" name="Picture 4" descr="Afbeeldingsresultaat voor Honda Camera monitoring syste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onda Camera monitoring syste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 b="1981"/>
                    <a:stretch/>
                  </pic:blipFill>
                  <pic:spPr bwMode="auto">
                    <a:xfrm>
                      <a:off x="0" y="0"/>
                      <a:ext cx="4927481" cy="28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8C70A" w14:textId="108C82DA" w:rsidR="00A925F4" w:rsidRDefault="00A925F4" w:rsidP="002917D7">
      <w:pPr>
        <w:pStyle w:val="SingleTxtG"/>
      </w:pPr>
    </w:p>
    <w:p w14:paraId="1B91975C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2E27" w14:textId="77777777" w:rsidR="00CC7A3A" w:rsidRDefault="00CC7A3A"/>
  </w:endnote>
  <w:endnote w:type="continuationSeparator" w:id="0">
    <w:p w14:paraId="60A93C7F" w14:textId="77777777" w:rsidR="00CC7A3A" w:rsidRDefault="00CC7A3A"/>
  </w:endnote>
  <w:endnote w:type="continuationNotice" w:id="1">
    <w:p w14:paraId="4C675556" w14:textId="77777777" w:rsidR="00CC7A3A" w:rsidRDefault="00CC7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07B" w14:textId="7E3D78B5"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8273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997E" w14:textId="0EBCA4C7"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8273B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C641" w14:textId="3CA39D82" w:rsidR="003254B4" w:rsidRDefault="003254B4" w:rsidP="003254B4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9264" behindDoc="0" locked="0" layoutInCell="1" allowOverlap="1" wp14:anchorId="430033F0" wp14:editId="4086BFCD">
          <wp:simplePos x="0" y="0"/>
          <wp:positionH relativeFrom="margin">
            <wp:posOffset>5471185</wp:posOffset>
          </wp:positionH>
          <wp:positionV relativeFrom="margin">
            <wp:posOffset>7921625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8/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7075558D" wp14:editId="7A429E6A">
          <wp:simplePos x="0" y="0"/>
          <wp:positionH relativeFrom="margin">
            <wp:posOffset>4466590</wp:posOffset>
          </wp:positionH>
          <wp:positionV relativeFrom="margin">
            <wp:posOffset>8181975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DDC65E" w14:textId="27E00E37" w:rsidR="003254B4" w:rsidRDefault="003254B4" w:rsidP="003254B4">
    <w:pPr>
      <w:pStyle w:val="Footer"/>
      <w:ind w:right="1134"/>
      <w:rPr>
        <w:sz w:val="20"/>
      </w:rPr>
    </w:pPr>
    <w:r>
      <w:rPr>
        <w:sz w:val="20"/>
      </w:rPr>
      <w:t>GE.18-01047(E)</w:t>
    </w:r>
  </w:p>
  <w:p w14:paraId="598E159E" w14:textId="56DB7851" w:rsidR="003254B4" w:rsidRPr="003254B4" w:rsidRDefault="003254B4" w:rsidP="003254B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60449" w14:textId="77777777" w:rsidR="00CC7A3A" w:rsidRPr="000B175B" w:rsidRDefault="00CC7A3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5F456B" w14:textId="77777777" w:rsidR="00CC7A3A" w:rsidRPr="00FC68B7" w:rsidRDefault="00CC7A3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F05ECB" w14:textId="77777777" w:rsidR="00CC7A3A" w:rsidRDefault="00CC7A3A"/>
  </w:footnote>
  <w:footnote w:id="2">
    <w:p w14:paraId="1BC20C06" w14:textId="359E989B" w:rsidR="004E040E" w:rsidRPr="00B14735" w:rsidRDefault="004E040E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</w:t>
      </w:r>
      <w:r w:rsidRPr="00ED1DC9">
        <w:rPr>
          <w:szCs w:val="18"/>
          <w:lang w:val="en-US"/>
        </w:rPr>
        <w:t xml:space="preserve">Inland Transport Committee for </w:t>
      </w:r>
      <w:r w:rsidR="00ED1DC9" w:rsidRPr="00ED1DC9">
        <w:rPr>
          <w:szCs w:val="18"/>
          <w:lang w:val="en-US"/>
        </w:rPr>
        <w:t>2014–2018 (ECE/TRANS/240, para. 105 and ECE/TRANS/2014/26, cluster 02.4)</w:t>
      </w:r>
      <w:r w:rsidRPr="00ED1DC9">
        <w:rPr>
          <w:szCs w:val="18"/>
          <w:lang w:val="en-US"/>
        </w:rPr>
        <w:t xml:space="preserve">, the World Forum will develop, harmonize and update </w:t>
      </w:r>
      <w:r w:rsidR="0069657C" w:rsidRPr="00ED1DC9">
        <w:rPr>
          <w:szCs w:val="18"/>
          <w:lang w:val="en-US"/>
        </w:rPr>
        <w:t>UN r</w:t>
      </w:r>
      <w:r w:rsidRPr="00ED1DC9">
        <w:rPr>
          <w:szCs w:val="18"/>
          <w:lang w:val="en-US"/>
        </w:rPr>
        <w:t>egul</w:t>
      </w:r>
      <w:r w:rsidRPr="006636B2">
        <w:rPr>
          <w:szCs w:val="18"/>
          <w:lang w:val="en-US"/>
        </w:rPr>
        <w:t>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AD0" w14:textId="57E5A274" w:rsidR="004E040E" w:rsidRPr="00803BF8" w:rsidRDefault="004E040E">
    <w:pPr>
      <w:pStyle w:val="Header"/>
    </w:pPr>
    <w:r>
      <w:t>ECE/TRANS/WP.29/GRSG/</w:t>
    </w:r>
    <w:r w:rsidRPr="00DF418A">
      <w:t>201</w:t>
    </w:r>
    <w:r w:rsidR="00D709BA">
      <w:t>8</w:t>
    </w:r>
    <w:r>
      <w:t>/</w:t>
    </w:r>
    <w:r w:rsidR="0033638B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B7B" w14:textId="5BB67147"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33638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2"/>
  </w:num>
  <w:num w:numId="14">
    <w:abstractNumId w:val="21"/>
  </w:num>
  <w:num w:numId="15">
    <w:abstractNumId w:val="26"/>
  </w:num>
  <w:num w:numId="16">
    <w:abstractNumId w:val="10"/>
  </w:num>
  <w:num w:numId="17">
    <w:abstractNumId w:val="15"/>
  </w:num>
  <w:num w:numId="18">
    <w:abstractNumId w:val="25"/>
  </w:num>
  <w:num w:numId="19">
    <w:abstractNumId w:val="13"/>
  </w:num>
  <w:num w:numId="20">
    <w:abstractNumId w:val="22"/>
  </w:num>
  <w:num w:numId="21">
    <w:abstractNumId w:val="24"/>
  </w:num>
  <w:num w:numId="22">
    <w:abstractNumId w:val="16"/>
  </w:num>
  <w:num w:numId="23">
    <w:abstractNumId w:val="23"/>
  </w:num>
  <w:num w:numId="24">
    <w:abstractNumId w:val="11"/>
  </w:num>
  <w:num w:numId="25">
    <w:abstractNumId w:val="20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4B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2EE2"/>
    <w:rsid w:val="000931C0"/>
    <w:rsid w:val="00093832"/>
    <w:rsid w:val="000942EB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8BD"/>
    <w:rsid w:val="00122CBC"/>
    <w:rsid w:val="00123206"/>
    <w:rsid w:val="00124E57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5747D"/>
    <w:rsid w:val="0026041E"/>
    <w:rsid w:val="00263A29"/>
    <w:rsid w:val="00266C89"/>
    <w:rsid w:val="002676B0"/>
    <w:rsid w:val="00267ACB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AF9"/>
    <w:rsid w:val="00284D1F"/>
    <w:rsid w:val="00286888"/>
    <w:rsid w:val="00286B4D"/>
    <w:rsid w:val="0028776F"/>
    <w:rsid w:val="002917D7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A67"/>
    <w:rsid w:val="002F7DE0"/>
    <w:rsid w:val="0030272D"/>
    <w:rsid w:val="00302E18"/>
    <w:rsid w:val="00312F59"/>
    <w:rsid w:val="0031733E"/>
    <w:rsid w:val="00320995"/>
    <w:rsid w:val="00320D2F"/>
    <w:rsid w:val="003229D8"/>
    <w:rsid w:val="003237A4"/>
    <w:rsid w:val="003254B4"/>
    <w:rsid w:val="00325908"/>
    <w:rsid w:val="00326932"/>
    <w:rsid w:val="00330F1A"/>
    <w:rsid w:val="003311A6"/>
    <w:rsid w:val="00334EAF"/>
    <w:rsid w:val="0033638B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3D39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31596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5A3D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C5A0E"/>
    <w:rsid w:val="009D133E"/>
    <w:rsid w:val="009D272C"/>
    <w:rsid w:val="009D4BEE"/>
    <w:rsid w:val="009D5431"/>
    <w:rsid w:val="009E15C8"/>
    <w:rsid w:val="009E5620"/>
    <w:rsid w:val="009E662A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273B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0813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5B7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C7A3A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5551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1B46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053C3"/>
  <w15:docId w15:val="{D3A6D531-7AC5-4459-AA08-EABBEE2E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be/url?sa=i&amp;rct=j&amp;q=&amp;esrc=s&amp;source=images&amp;cd=&amp;cad=rja&amp;uact=8&amp;ved=0ahUKEwiqhYnTqMDWAhVBZFAKHZ8VAjoQjRwIBw&amp;url=https://www.extremetech.com/extreme/135716-too-quirky-5-reasons-why-honda-tech-will-scare-away-tech-savvy-buyers&amp;psig=AFQjCNGU7sLodRZAhwnUPvmI-GEbBJn7zw&amp;ust=150642823326001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BDD9-DF32-47A4-861D-B59FF7A6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1801047</vt:lpstr>
      <vt:lpstr>United Nations</vt:lpstr>
      <vt:lpstr>United Nations</vt:lpstr>
    </vt:vector>
  </TitlesOfParts>
  <Company>ECE-ISU</Company>
  <LinksUpToDate>false</LinksUpToDate>
  <CharactersWithSpaces>3766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1801047</dc:title>
  <dc:subject>ECE/TRANS/WP.29/GRSG/2018/9</dc:subject>
  <dc:creator>Microsoft Office User</dc:creator>
  <cp:keywords/>
  <dc:description/>
  <cp:lastModifiedBy>Benedicte Boudol</cp:lastModifiedBy>
  <cp:revision>2</cp:revision>
  <cp:lastPrinted>2018-01-19T16:00:00Z</cp:lastPrinted>
  <dcterms:created xsi:type="dcterms:W3CDTF">2018-02-13T14:24:00Z</dcterms:created>
  <dcterms:modified xsi:type="dcterms:W3CDTF">2018-02-13T14:24:00Z</dcterms:modified>
</cp:coreProperties>
</file>