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D532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D532E" w:rsidP="008D532E">
            <w:pPr>
              <w:jc w:val="right"/>
            </w:pPr>
            <w:r w:rsidRPr="008D532E">
              <w:rPr>
                <w:sz w:val="40"/>
              </w:rPr>
              <w:t>ECE</w:t>
            </w:r>
            <w:r>
              <w:t>/TRANS/WP.29/2018/137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D532E" w:rsidP="00C97039">
            <w:pPr>
              <w:spacing w:before="240"/>
            </w:pPr>
            <w:proofErr w:type="spellStart"/>
            <w:r>
              <w:t>Distr</w:t>
            </w:r>
            <w:proofErr w:type="spellEnd"/>
            <w:r>
              <w:t xml:space="preserve">. </w:t>
            </w:r>
            <w:proofErr w:type="gramStart"/>
            <w:r>
              <w:t>générale</w:t>
            </w:r>
            <w:proofErr w:type="gramEnd"/>
          </w:p>
          <w:p w:rsidR="008D532E" w:rsidRDefault="008D532E" w:rsidP="008D532E">
            <w:pPr>
              <w:spacing w:line="240" w:lineRule="exact"/>
            </w:pPr>
            <w:r>
              <w:t>17 août 2018</w:t>
            </w:r>
          </w:p>
          <w:p w:rsidR="008D532E" w:rsidRDefault="008D532E" w:rsidP="008D532E">
            <w:pPr>
              <w:spacing w:line="240" w:lineRule="exact"/>
            </w:pPr>
            <w:r>
              <w:t>Français</w:t>
            </w:r>
          </w:p>
          <w:p w:rsidR="008D532E" w:rsidRPr="00DB58B5" w:rsidRDefault="008D532E" w:rsidP="008D532E">
            <w:pPr>
              <w:spacing w:line="240" w:lineRule="exact"/>
            </w:pPr>
            <w:r>
              <w:t>Original</w:t>
            </w:r>
            <w:r w:rsidR="00BE1A64">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D532E" w:rsidRPr="00F1367D" w:rsidRDefault="008D532E" w:rsidP="008D532E">
      <w:pPr>
        <w:spacing w:before="120" w:after="120"/>
        <w:rPr>
          <w:b/>
          <w:sz w:val="24"/>
          <w:szCs w:val="24"/>
        </w:rPr>
      </w:pPr>
      <w:r w:rsidRPr="00F1367D">
        <w:rPr>
          <w:b/>
          <w:sz w:val="24"/>
          <w:szCs w:val="24"/>
        </w:rPr>
        <w:t xml:space="preserve">Forum mondial de l’harmonisation des Règlements </w:t>
      </w:r>
      <w:r>
        <w:rPr>
          <w:b/>
          <w:sz w:val="24"/>
          <w:szCs w:val="24"/>
        </w:rPr>
        <w:br/>
      </w:r>
      <w:r w:rsidRPr="00F1367D">
        <w:rPr>
          <w:b/>
          <w:sz w:val="24"/>
          <w:szCs w:val="24"/>
        </w:rPr>
        <w:t xml:space="preserve">concernant les véhicules </w:t>
      </w:r>
    </w:p>
    <w:p w:rsidR="008D532E" w:rsidRPr="004C53F0" w:rsidRDefault="008D532E" w:rsidP="008D532E">
      <w:pPr>
        <w:kinsoku/>
        <w:overflowPunct/>
        <w:autoSpaceDE/>
        <w:autoSpaceDN/>
        <w:adjustRightInd/>
        <w:snapToGrid/>
        <w:spacing w:line="240" w:lineRule="exact"/>
        <w:rPr>
          <w:rFonts w:eastAsia="Times New Roman"/>
          <w:b/>
          <w:lang w:val="fr-FR"/>
        </w:rPr>
      </w:pPr>
      <w:r>
        <w:rPr>
          <w:rFonts w:eastAsia="Times New Roman"/>
          <w:b/>
          <w:lang w:val="fr-FR"/>
        </w:rPr>
        <w:t>176</w:t>
      </w:r>
      <w:r w:rsidRPr="009D2079">
        <w:rPr>
          <w:rFonts w:eastAsia="Times New Roman"/>
          <w:b/>
          <w:vertAlign w:val="superscript"/>
          <w:lang w:val="fr-FR"/>
        </w:rPr>
        <w:t>e</w:t>
      </w:r>
      <w:r>
        <w:rPr>
          <w:rFonts w:eastAsia="Times New Roman"/>
          <w:b/>
          <w:lang w:val="fr-FR"/>
        </w:rPr>
        <w:t xml:space="preserve"> session</w:t>
      </w:r>
    </w:p>
    <w:p w:rsidR="008D532E" w:rsidRPr="004C53F0" w:rsidRDefault="008D532E" w:rsidP="008D532E">
      <w:pPr>
        <w:kinsoku/>
        <w:overflowPunct/>
        <w:autoSpaceDE/>
        <w:autoSpaceDN/>
        <w:adjustRightInd/>
        <w:snapToGrid/>
        <w:spacing w:line="240" w:lineRule="exact"/>
        <w:rPr>
          <w:rFonts w:eastAsia="Times New Roman"/>
          <w:bCs/>
          <w:lang w:val="fr-FR"/>
        </w:rPr>
      </w:pPr>
      <w:r>
        <w:rPr>
          <w:rFonts w:eastAsia="Times New Roman"/>
          <w:lang w:val="fr-FR"/>
        </w:rPr>
        <w:t>Genève</w:t>
      </w:r>
      <w:r w:rsidRPr="004C53F0">
        <w:rPr>
          <w:rFonts w:eastAsia="Times New Roman"/>
          <w:bCs/>
          <w:lang w:val="fr-FR"/>
        </w:rPr>
        <w:t>,</w:t>
      </w:r>
      <w:r>
        <w:rPr>
          <w:rFonts w:eastAsia="Times New Roman"/>
          <w:bCs/>
          <w:lang w:val="fr-FR"/>
        </w:rPr>
        <w:t xml:space="preserve"> 13-16 novembre </w:t>
      </w:r>
      <w:r w:rsidRPr="004C53F0">
        <w:rPr>
          <w:rFonts w:eastAsia="Times New Roman"/>
          <w:bCs/>
          <w:lang w:val="fr-FR"/>
        </w:rPr>
        <w:t>2018</w:t>
      </w:r>
    </w:p>
    <w:p w:rsidR="008D532E" w:rsidRDefault="008D532E" w:rsidP="008D532E">
      <w:pPr>
        <w:spacing w:line="240" w:lineRule="exact"/>
        <w:rPr>
          <w:rFonts w:eastAsia="Times New Roman"/>
          <w:bCs/>
          <w:lang w:val="fr-FR"/>
        </w:rPr>
      </w:pPr>
      <w:r>
        <w:rPr>
          <w:rFonts w:eastAsia="Times New Roman"/>
          <w:bCs/>
          <w:lang w:val="fr-FR"/>
        </w:rPr>
        <w:t>Point 4.8.11</w:t>
      </w:r>
      <w:r w:rsidRPr="00462324">
        <w:rPr>
          <w:rFonts w:eastAsia="Times New Roman"/>
          <w:bCs/>
          <w:lang w:val="fr-FR"/>
        </w:rPr>
        <w:t xml:space="preserve"> de l</w:t>
      </w:r>
      <w:r>
        <w:rPr>
          <w:rFonts w:eastAsia="Times New Roman"/>
          <w:bCs/>
          <w:lang w:val="fr-FR"/>
        </w:rPr>
        <w:t>’</w:t>
      </w:r>
      <w:r w:rsidRPr="00462324">
        <w:rPr>
          <w:rFonts w:eastAsia="Times New Roman"/>
          <w:bCs/>
          <w:lang w:val="fr-FR"/>
        </w:rPr>
        <w:t>ordre du jour provisoire</w:t>
      </w:r>
    </w:p>
    <w:p w:rsidR="008D532E" w:rsidRDefault="008D532E" w:rsidP="008D532E">
      <w:pPr>
        <w:kinsoku/>
        <w:overflowPunct/>
        <w:autoSpaceDE/>
        <w:autoSpaceDN/>
        <w:adjustRightInd/>
        <w:snapToGrid/>
        <w:rPr>
          <w:rFonts w:eastAsia="Times New Roman"/>
          <w:b/>
          <w:bCs/>
        </w:rPr>
      </w:pPr>
      <w:r>
        <w:rPr>
          <w:rFonts w:eastAsia="Times New Roman"/>
          <w:b/>
          <w:bCs/>
        </w:rPr>
        <w:t xml:space="preserve">Accord de 1958 − </w:t>
      </w:r>
      <w:r w:rsidRPr="0010548A">
        <w:rPr>
          <w:b/>
          <w:lang w:val="fr-FR"/>
        </w:rPr>
        <w:t>Examen de projets d’a</w:t>
      </w:r>
      <w:r>
        <w:rPr>
          <w:b/>
          <w:lang w:val="fr-FR"/>
        </w:rPr>
        <w:t xml:space="preserve">mendements </w:t>
      </w:r>
      <w:r>
        <w:rPr>
          <w:b/>
          <w:lang w:val="fr-FR"/>
        </w:rPr>
        <w:br/>
      </w:r>
      <w:r w:rsidRPr="0010548A">
        <w:rPr>
          <w:b/>
          <w:lang w:val="fr-FR"/>
        </w:rPr>
        <w:t xml:space="preserve">à des Règlements ONU existants, soumis par le </w:t>
      </w:r>
      <w:r w:rsidR="00010BC7">
        <w:rPr>
          <w:b/>
          <w:lang w:val="fr-FR"/>
        </w:rPr>
        <w:t>GRSP</w:t>
      </w:r>
    </w:p>
    <w:p w:rsidR="00EC01F8" w:rsidRPr="008646DB" w:rsidRDefault="00EC01F8" w:rsidP="00EC01F8">
      <w:pPr>
        <w:pStyle w:val="HChG"/>
      </w:pPr>
      <w:r>
        <w:tab/>
      </w:r>
      <w:r>
        <w:tab/>
      </w:r>
      <w:r w:rsidRPr="008646DB">
        <w:t xml:space="preserve">Proposition de complément 5 </w:t>
      </w:r>
      <w:r w:rsidRPr="008646DB">
        <w:rPr>
          <w:lang w:val="fr-FR"/>
        </w:rPr>
        <w:t>à la série 01 d</w:t>
      </w:r>
      <w:r>
        <w:rPr>
          <w:lang w:val="fr-FR"/>
        </w:rPr>
        <w:t>’</w:t>
      </w:r>
      <w:r w:rsidRPr="008646DB">
        <w:rPr>
          <w:lang w:val="fr-FR"/>
        </w:rPr>
        <w:t xml:space="preserve">amendements </w:t>
      </w:r>
      <w:r>
        <w:rPr>
          <w:lang w:val="fr-FR"/>
        </w:rPr>
        <w:br/>
      </w:r>
      <w:r w:rsidRPr="008646DB">
        <w:rPr>
          <w:lang w:val="fr-FR"/>
        </w:rPr>
        <w:t>au Règlement ONU n</w:t>
      </w:r>
      <w:r w:rsidRPr="008646DB">
        <w:rPr>
          <w:vertAlign w:val="superscript"/>
          <w:lang w:val="fr-FR"/>
        </w:rPr>
        <w:t>o</w:t>
      </w:r>
      <w:r w:rsidRPr="008646DB">
        <w:rPr>
          <w:lang w:val="fr-FR"/>
        </w:rPr>
        <w:t> 129</w:t>
      </w:r>
      <w:r w:rsidRPr="008646DB">
        <w:t xml:space="preserve"> (</w:t>
      </w:r>
      <w:r w:rsidRPr="008646DB">
        <w:rPr>
          <w:lang w:val="fr-FR"/>
        </w:rPr>
        <w:t xml:space="preserve">Dispositifs améliorés </w:t>
      </w:r>
      <w:r w:rsidR="00FB4042">
        <w:rPr>
          <w:lang w:val="fr-FR"/>
        </w:rPr>
        <w:br/>
      </w:r>
      <w:r w:rsidRPr="008646DB">
        <w:rPr>
          <w:lang w:val="fr-FR"/>
        </w:rPr>
        <w:t>de retenue pour enfants</w:t>
      </w:r>
      <w:r w:rsidRPr="008646DB">
        <w:t>)</w:t>
      </w:r>
    </w:p>
    <w:p w:rsidR="00EC01F8" w:rsidRPr="008646DB" w:rsidRDefault="00FB4042" w:rsidP="00FB4042">
      <w:pPr>
        <w:pStyle w:val="H1G"/>
      </w:pPr>
      <w:r>
        <w:tab/>
      </w:r>
      <w:r>
        <w:tab/>
      </w:r>
      <w:r w:rsidR="00EC01F8" w:rsidRPr="008646DB">
        <w:t>Communication du Groupe de</w:t>
      </w:r>
      <w:r w:rsidR="00A55D5E">
        <w:t xml:space="preserve"> travail de la sécurité passive</w:t>
      </w:r>
      <w:r w:rsidR="00EC01F8" w:rsidRPr="00A55D5E">
        <w:rPr>
          <w:b w:val="0"/>
          <w:sz w:val="20"/>
        </w:rPr>
        <w:footnoteReference w:customMarkFollows="1" w:id="2"/>
        <w:t>*</w:t>
      </w:r>
    </w:p>
    <w:p w:rsidR="00FB4042" w:rsidRDefault="00EC01F8" w:rsidP="00EC01F8">
      <w:pPr>
        <w:pStyle w:val="SingleTxtG"/>
        <w:ind w:firstLine="567"/>
      </w:pPr>
      <w:r w:rsidRPr="002E7973">
        <w:t>Le texte ci-après a été adopté par le Groupe de travail de la sécurité passive (GRSP) à sa soixante-</w:t>
      </w:r>
      <w:r>
        <w:t>troisième</w:t>
      </w:r>
      <w:r w:rsidRPr="002E7973">
        <w:t xml:space="preserve"> session (ECE/TRANS/WP.29/GRSP/6</w:t>
      </w:r>
      <w:r>
        <w:t>3</w:t>
      </w:r>
      <w:r w:rsidRPr="002E7973">
        <w:t>, par. </w:t>
      </w:r>
      <w:r>
        <w:t>31, 34, 35 et 42</w:t>
      </w:r>
      <w:r w:rsidRPr="002E7973">
        <w:t>). Il est fondé sur le document ECE/TRANS/WP.29/GRSP/2018/14</w:t>
      </w:r>
      <w:r>
        <w:t>,</w:t>
      </w:r>
      <w:r w:rsidRPr="002E7973">
        <w:t xml:space="preserve"> tel que modifié par l</w:t>
      </w:r>
      <w:r>
        <w:t>’</w:t>
      </w:r>
      <w:r w:rsidRPr="002E7973">
        <w:t>annexe IX</w:t>
      </w:r>
      <w:r>
        <w:t xml:space="preserve"> </w:t>
      </w:r>
      <w:r w:rsidRPr="002E7973">
        <w:t>du rapport, sur le</w:t>
      </w:r>
      <w:r>
        <w:t>s</w:t>
      </w:r>
      <w:r w:rsidRPr="002E7973">
        <w:t xml:space="preserve"> document</w:t>
      </w:r>
      <w:r>
        <w:t>s</w:t>
      </w:r>
      <w:r w:rsidRPr="002E7973">
        <w:t xml:space="preserve"> GRSP-63-08-Rev.1 </w:t>
      </w:r>
      <w:r>
        <w:t>et</w:t>
      </w:r>
      <w:r w:rsidRPr="002E7973">
        <w:t xml:space="preserve"> GRSP-63-10-Rev.1</w:t>
      </w:r>
      <w:r>
        <w:t xml:space="preserve"> </w:t>
      </w:r>
      <w:r w:rsidRPr="002E7973">
        <w:t>tels que reproduits dans l</w:t>
      </w:r>
      <w:r>
        <w:t>’</w:t>
      </w:r>
      <w:r w:rsidRPr="002E7973">
        <w:t>annexe IX du rapport</w:t>
      </w:r>
      <w:r>
        <w:t xml:space="preserve"> et</w:t>
      </w:r>
      <w:r w:rsidRPr="002E7973">
        <w:t xml:space="preserve"> sur le document ECE/TRANS/WP.29/</w:t>
      </w:r>
      <w:r w:rsidR="00FB4042">
        <w:t xml:space="preserve"> </w:t>
      </w:r>
      <w:r w:rsidRPr="002E7973">
        <w:t>GRSP/2017/27 tel que modifié par l</w:t>
      </w:r>
      <w:r>
        <w:t>’</w:t>
      </w:r>
      <w:r w:rsidRPr="002E7973">
        <w:t>annexe X du rapport.</w:t>
      </w:r>
      <w:r w:rsidRPr="002E7973">
        <w:rPr>
          <w:color w:val="000000"/>
          <w:sz w:val="27"/>
          <w:szCs w:val="27"/>
        </w:rPr>
        <w:t xml:space="preserve"> </w:t>
      </w:r>
      <w:r w:rsidRPr="002E7973">
        <w:t>Il est soumis au Forum mondial de l</w:t>
      </w:r>
      <w:r>
        <w:t>’</w:t>
      </w:r>
      <w:r w:rsidRPr="002E7973">
        <w:t>harmonisation des Règlements concernant les véhicules (WP.29) et au Comité d</w:t>
      </w:r>
      <w:r>
        <w:t>’</w:t>
      </w:r>
      <w:r w:rsidRPr="002E7973">
        <w:t xml:space="preserve">administration </w:t>
      </w:r>
      <w:r w:rsidR="00A55D5E">
        <w:t>(</w:t>
      </w:r>
      <w:r w:rsidRPr="002E7973">
        <w:t>AC.1</w:t>
      </w:r>
      <w:r w:rsidR="00A55D5E">
        <w:t>)</w:t>
      </w:r>
      <w:r w:rsidRPr="002E7973">
        <w:t xml:space="preserve"> pour examen à leurs sessions de </w:t>
      </w:r>
      <w:r>
        <w:t>novembre</w:t>
      </w:r>
      <w:r w:rsidRPr="002E7973">
        <w:t> 2018.</w:t>
      </w:r>
      <w:bookmarkStart w:id="1" w:name="_Toc354410587"/>
    </w:p>
    <w:p w:rsidR="00EC01F8" w:rsidRPr="007963DF" w:rsidRDefault="00EC01F8" w:rsidP="00891385">
      <w:pPr>
        <w:pStyle w:val="HChG"/>
      </w:pPr>
      <w:r w:rsidRPr="00091FD4">
        <w:br w:type="page"/>
      </w:r>
      <w:r w:rsidRPr="00091FD4">
        <w:lastRenderedPageBreak/>
        <w:tab/>
      </w:r>
      <w:bookmarkStart w:id="2" w:name="_Toc473483449"/>
      <w:bookmarkEnd w:id="1"/>
      <w:r w:rsidRPr="00091FD4">
        <w:tab/>
      </w:r>
      <w:r w:rsidRPr="007963DF">
        <w:t>C</w:t>
      </w:r>
      <w:r w:rsidRPr="008646DB">
        <w:t xml:space="preserve">omplément 5 </w:t>
      </w:r>
      <w:r w:rsidRPr="008646DB">
        <w:rPr>
          <w:lang w:val="fr-FR"/>
        </w:rPr>
        <w:t>à la série 01 d</w:t>
      </w:r>
      <w:r>
        <w:rPr>
          <w:lang w:val="fr-FR"/>
        </w:rPr>
        <w:t>’</w:t>
      </w:r>
      <w:r w:rsidRPr="008646DB">
        <w:rPr>
          <w:lang w:val="fr-FR"/>
        </w:rPr>
        <w:t xml:space="preserve">amendements </w:t>
      </w:r>
      <w:r w:rsidR="00891385">
        <w:rPr>
          <w:lang w:val="fr-FR"/>
        </w:rPr>
        <w:br/>
      </w:r>
      <w:r w:rsidRPr="008646DB">
        <w:rPr>
          <w:lang w:val="fr-FR"/>
        </w:rPr>
        <w:t>au Règlement ONU n</w:t>
      </w:r>
      <w:r w:rsidRPr="008646DB">
        <w:rPr>
          <w:vertAlign w:val="superscript"/>
          <w:lang w:val="fr-FR"/>
        </w:rPr>
        <w:t>o</w:t>
      </w:r>
      <w:r w:rsidRPr="008646DB">
        <w:rPr>
          <w:lang w:val="fr-FR"/>
        </w:rPr>
        <w:t> 129</w:t>
      </w:r>
      <w:r w:rsidRPr="008646DB">
        <w:t xml:space="preserve"> (</w:t>
      </w:r>
      <w:r w:rsidRPr="008646DB">
        <w:rPr>
          <w:lang w:val="fr-FR"/>
        </w:rPr>
        <w:t xml:space="preserve">Dispositifs améliorés </w:t>
      </w:r>
      <w:r w:rsidR="00891385">
        <w:rPr>
          <w:lang w:val="fr-FR"/>
        </w:rPr>
        <w:br/>
      </w:r>
      <w:r w:rsidRPr="008646DB">
        <w:rPr>
          <w:lang w:val="fr-FR"/>
        </w:rPr>
        <w:t>de retenue pour enfants</w:t>
      </w:r>
      <w:r w:rsidRPr="008646DB">
        <w:t>)</w:t>
      </w:r>
    </w:p>
    <w:bookmarkEnd w:id="2"/>
    <w:p w:rsidR="00EC01F8" w:rsidRPr="00091FD4" w:rsidRDefault="00EC01F8" w:rsidP="00891385">
      <w:pPr>
        <w:pStyle w:val="SingleTxtG"/>
        <w:keepNext/>
        <w:ind w:left="2268" w:hanging="1134"/>
        <w:rPr>
          <w:i/>
        </w:rPr>
      </w:pPr>
      <w:r w:rsidRPr="00091FD4">
        <w:rPr>
          <w:i/>
        </w:rPr>
        <w:t>Paragraphe 4.4</w:t>
      </w:r>
      <w:r w:rsidRPr="00091FD4">
        <w:t xml:space="preserve">, </w:t>
      </w:r>
      <w:r>
        <w:t>lire</w:t>
      </w:r>
      <w:r w:rsidR="00BE1A64">
        <w:t> :</w:t>
      </w:r>
    </w:p>
    <w:p w:rsidR="00EC01F8" w:rsidRPr="001C533F" w:rsidRDefault="009728A6" w:rsidP="009728A6">
      <w:pPr>
        <w:pStyle w:val="SingleTxtG"/>
        <w:ind w:left="2268" w:hanging="1134"/>
      </w:pPr>
      <w:r>
        <w:t>« </w:t>
      </w:r>
      <w:r w:rsidR="00A55D5E">
        <w:t>4.4</w:t>
      </w:r>
      <w:r w:rsidR="00EC01F8" w:rsidRPr="001C533F">
        <w:tab/>
        <w:t xml:space="preserve">En outre, </w:t>
      </w:r>
      <w:r w:rsidR="00EC01F8">
        <w:t>s</w:t>
      </w:r>
      <w:r w:rsidR="00EC01F8" w:rsidRPr="001C533F">
        <w:t>i les dispositifs de retenue sont tournés vers l</w:t>
      </w:r>
      <w:r w:rsidR="00EC01F8">
        <w:t>’</w:t>
      </w:r>
      <w:r w:rsidR="00EC01F8" w:rsidRPr="001C533F">
        <w:t xml:space="preserve">arrière, ils doivent porter sur la surface intérieure visible (y compris la face </w:t>
      </w:r>
      <w:r w:rsidR="00EC01F8">
        <w:t xml:space="preserve">intérieure </w:t>
      </w:r>
      <w:r w:rsidR="00EC01F8" w:rsidRPr="001C533F">
        <w:t>de tous les appuis latéraux pour la tête de l</w:t>
      </w:r>
      <w:r w:rsidR="00EC01F8">
        <w:t>’</w:t>
      </w:r>
      <w:r w:rsidR="00EC01F8" w:rsidRPr="001C533F">
        <w:t>enfant), à peu près à l</w:t>
      </w:r>
      <w:r w:rsidR="00EC01F8">
        <w:t>’</w:t>
      </w:r>
      <w:r w:rsidR="00EC01F8" w:rsidRPr="001C533F">
        <w:t>endroit de la tête de l</w:t>
      </w:r>
      <w:r w:rsidR="00EC01F8">
        <w:t>’</w:t>
      </w:r>
      <w:r w:rsidR="00EC01F8" w:rsidRPr="001C533F">
        <w:t>enfant, l</w:t>
      </w:r>
      <w:r w:rsidR="00EC01F8">
        <w:t>’</w:t>
      </w:r>
      <w:r w:rsidR="00EC01F8" w:rsidRPr="001C533F">
        <w:t>étiquette suivante décrite ci-après, apposée de manière permanente.</w:t>
      </w:r>
    </w:p>
    <w:p w:rsidR="00EC01F8" w:rsidRPr="001C533F" w:rsidRDefault="00EC01F8" w:rsidP="009728A6">
      <w:pPr>
        <w:pStyle w:val="SingleTxtG"/>
        <w:ind w:left="2268"/>
        <w:rPr>
          <w:bCs/>
        </w:rPr>
      </w:pPr>
      <w:r w:rsidRPr="001C533F">
        <w:t>Les dimensions hors tout de l</w:t>
      </w:r>
      <w:r>
        <w:t>’</w:t>
      </w:r>
      <w:r w:rsidRPr="001C533F">
        <w:t>étiquette doivent être au minimum de 120</w:t>
      </w:r>
      <w:r w:rsidR="008E4DE9">
        <w:t> </w:t>
      </w:r>
      <w:r w:rsidRPr="001C533F">
        <w:t>x</w:t>
      </w:r>
      <w:r w:rsidR="00A55D5E">
        <w:t> </w:t>
      </w:r>
      <w:r w:rsidRPr="001C533F">
        <w:t>60</w:t>
      </w:r>
      <w:r w:rsidR="008E4DE9">
        <w:t> </w:t>
      </w:r>
      <w:r>
        <w:t>mm (ou une surface équivalente)</w:t>
      </w:r>
      <w:r w:rsidRPr="001C533F">
        <w:rPr>
          <w:bCs/>
        </w:rPr>
        <w:t>.</w:t>
      </w:r>
    </w:p>
    <w:p w:rsidR="00EC01F8" w:rsidRPr="001C533F" w:rsidRDefault="00EC01F8" w:rsidP="009728A6">
      <w:pPr>
        <w:pStyle w:val="SingleTxtG"/>
        <w:ind w:left="2268"/>
        <w:rPr>
          <w:bCs/>
        </w:rPr>
      </w:pPr>
      <w:r w:rsidRPr="001C533F">
        <w:rPr>
          <w:bCs/>
        </w:rPr>
        <w:t>La présentation de l</w:t>
      </w:r>
      <w:r>
        <w:rPr>
          <w:bCs/>
        </w:rPr>
        <w:t>’</w:t>
      </w:r>
      <w:r w:rsidRPr="001C533F">
        <w:rPr>
          <w:bCs/>
        </w:rPr>
        <w:t>étiquette peut différer de l</w:t>
      </w:r>
      <w:r>
        <w:rPr>
          <w:bCs/>
        </w:rPr>
        <w:t>’</w:t>
      </w:r>
      <w:r w:rsidRPr="001C533F">
        <w:rPr>
          <w:bCs/>
        </w:rPr>
        <w:t>exemple décrit ici, mais les éléments figurant sur celle-ci doivent ê</w:t>
      </w:r>
      <w:r>
        <w:rPr>
          <w:bCs/>
        </w:rPr>
        <w:t>tre conformes aux prescriptions</w:t>
      </w:r>
      <w:r w:rsidRPr="001C533F">
        <w:rPr>
          <w:bCs/>
        </w:rPr>
        <w:t>. En</w:t>
      </w:r>
      <w:r w:rsidR="00A55D5E">
        <w:rPr>
          <w:bCs/>
        </w:rPr>
        <w:t> </w:t>
      </w:r>
      <w:r w:rsidRPr="001C533F">
        <w:rPr>
          <w:bCs/>
        </w:rPr>
        <w:t>outre, aucun autre type d</w:t>
      </w:r>
      <w:r>
        <w:rPr>
          <w:bCs/>
        </w:rPr>
        <w:t>’</w:t>
      </w:r>
      <w:r w:rsidRPr="001C533F">
        <w:rPr>
          <w:bCs/>
        </w:rPr>
        <w:t>information ne doit figurer sur l</w:t>
      </w:r>
      <w:r>
        <w:rPr>
          <w:bCs/>
        </w:rPr>
        <w:t>’</w:t>
      </w:r>
      <w:r w:rsidRPr="001C533F">
        <w:rPr>
          <w:bCs/>
        </w:rPr>
        <w:t>étiquette, à moins qu</w:t>
      </w:r>
      <w:r>
        <w:rPr>
          <w:bCs/>
        </w:rPr>
        <w:t>’</w:t>
      </w:r>
      <w:r w:rsidRPr="001C533F">
        <w:rPr>
          <w:bCs/>
        </w:rPr>
        <w:t>elle soit placée à l</w:t>
      </w:r>
      <w:r>
        <w:rPr>
          <w:bCs/>
        </w:rPr>
        <w:t>’</w:t>
      </w:r>
      <w:r w:rsidRPr="001C533F">
        <w:rPr>
          <w:bCs/>
        </w:rPr>
        <w:t>extérieur d</w:t>
      </w:r>
      <w:r>
        <w:rPr>
          <w:bCs/>
        </w:rPr>
        <w:t>’</w:t>
      </w:r>
      <w:r w:rsidRPr="001C533F">
        <w:rPr>
          <w:bCs/>
        </w:rPr>
        <w:t>un rectangle clairement défini ayant au minimum les dimensions hors tout prescrites ci-dessus. Par dérogation à ce qui précède, un numéro de pièce, un code barre ou une marque d</w:t>
      </w:r>
      <w:r>
        <w:rPr>
          <w:bCs/>
        </w:rPr>
        <w:t>’</w:t>
      </w:r>
      <w:r w:rsidRPr="001C533F">
        <w:rPr>
          <w:bCs/>
        </w:rPr>
        <w:t>identification similaire dont les dimensions ne doivent pas dépasser 8</w:t>
      </w:r>
      <w:r w:rsidR="008E4DE9">
        <w:rPr>
          <w:bCs/>
        </w:rPr>
        <w:t> </w:t>
      </w:r>
      <w:r w:rsidRPr="001C533F">
        <w:rPr>
          <w:bCs/>
        </w:rPr>
        <w:t>mm</w:t>
      </w:r>
      <w:r w:rsidR="008E4DE9">
        <w:rPr>
          <w:bCs/>
        </w:rPr>
        <w:t> </w:t>
      </w:r>
      <w:r w:rsidRPr="001C533F">
        <w:rPr>
          <w:bCs/>
        </w:rPr>
        <w:t>x</w:t>
      </w:r>
      <w:r w:rsidR="008E4DE9">
        <w:rPr>
          <w:bCs/>
        </w:rPr>
        <w:t> </w:t>
      </w:r>
      <w:r w:rsidRPr="001C533F">
        <w:rPr>
          <w:bCs/>
        </w:rPr>
        <w:t>35 mm (ou une surface équivalent</w:t>
      </w:r>
      <w:r>
        <w:rPr>
          <w:bCs/>
        </w:rPr>
        <w:t>e) peut figurer sur l’étiquette</w:t>
      </w:r>
      <w:r w:rsidRPr="001C533F">
        <w:rPr>
          <w:bCs/>
        </w:rPr>
        <w:t>.</w:t>
      </w:r>
    </w:p>
    <w:p w:rsidR="00EC01F8" w:rsidRPr="001C533F" w:rsidRDefault="00EC01F8" w:rsidP="009728A6">
      <w:pPr>
        <w:pStyle w:val="SingleTxtG"/>
        <w:ind w:left="2268"/>
        <w:rPr>
          <w:bCs/>
        </w:rPr>
      </w:pPr>
      <w:r w:rsidRPr="001C533F">
        <w:rPr>
          <w:bCs/>
        </w:rPr>
        <w:t>Tout écart par rapport à la forme et à l</w:t>
      </w:r>
      <w:r>
        <w:rPr>
          <w:bCs/>
        </w:rPr>
        <w:t>’</w:t>
      </w:r>
      <w:r w:rsidRPr="001C533F">
        <w:rPr>
          <w:bCs/>
        </w:rPr>
        <w:t>orientation des pictogrammes prescrits est interdit, au même titre que toute modification de ces pictogrammes, à l</w:t>
      </w:r>
      <w:r>
        <w:rPr>
          <w:bCs/>
        </w:rPr>
        <w:t>’</w:t>
      </w:r>
      <w:r w:rsidRPr="001C533F">
        <w:rPr>
          <w:bCs/>
        </w:rPr>
        <w:t>exception de la main à l</w:t>
      </w:r>
      <w:r>
        <w:rPr>
          <w:bCs/>
        </w:rPr>
        <w:t>’</w:t>
      </w:r>
      <w:r w:rsidRPr="001C533F">
        <w:rPr>
          <w:bCs/>
        </w:rPr>
        <w:t>index dressé et du livret ouvert portant la lettre “i” sur la page de droite, pour autant qu</w:t>
      </w:r>
      <w:r>
        <w:rPr>
          <w:bCs/>
        </w:rPr>
        <w:t>’</w:t>
      </w:r>
      <w:r w:rsidRPr="001C533F">
        <w:rPr>
          <w:bCs/>
        </w:rPr>
        <w:t>ils soient clairement reconnaissables comme tels.</w:t>
      </w:r>
    </w:p>
    <w:p w:rsidR="00EC01F8" w:rsidRPr="001C533F" w:rsidRDefault="00EC01F8" w:rsidP="009728A6">
      <w:pPr>
        <w:pStyle w:val="SingleTxtG"/>
        <w:ind w:left="2268"/>
        <w:rPr>
          <w:bCs/>
        </w:rPr>
      </w:pPr>
      <w:r w:rsidRPr="001C533F">
        <w:rPr>
          <w:bCs/>
        </w:rPr>
        <w:t>Sont admis les écarts minimes au niveau de l</w:t>
      </w:r>
      <w:r>
        <w:rPr>
          <w:bCs/>
        </w:rPr>
        <w:t>’</w:t>
      </w:r>
      <w:r w:rsidRPr="001C533F">
        <w:rPr>
          <w:bCs/>
        </w:rPr>
        <w:t>épaisseur du trait et de l</w:t>
      </w:r>
      <w:r>
        <w:rPr>
          <w:bCs/>
        </w:rPr>
        <w:t>’</w:t>
      </w:r>
      <w:r w:rsidRPr="001C533F">
        <w:rPr>
          <w:bCs/>
        </w:rPr>
        <w:t>application de la marque ainsi que les autres tolér</w:t>
      </w:r>
      <w:r>
        <w:rPr>
          <w:bCs/>
        </w:rPr>
        <w:t>ances de production applicables</w:t>
      </w:r>
      <w:r w:rsidRPr="001C533F">
        <w:rPr>
          <w:bCs/>
        </w:rPr>
        <w:t>.</w:t>
      </w:r>
    </w:p>
    <w:p w:rsidR="00EC01F8" w:rsidRPr="001C533F" w:rsidRDefault="00EC01F8" w:rsidP="009728A6">
      <w:pPr>
        <w:pStyle w:val="SingleTxtG"/>
        <w:ind w:left="2268"/>
        <w:rPr>
          <w:bCs/>
        </w:rPr>
      </w:pPr>
      <w:r w:rsidRPr="001C533F">
        <w:rPr>
          <w:bCs/>
        </w:rPr>
        <w:t>L</w:t>
      </w:r>
      <w:r>
        <w:rPr>
          <w:bCs/>
        </w:rPr>
        <w:t>’</w:t>
      </w:r>
      <w:r w:rsidRPr="001C533F">
        <w:rPr>
          <w:bCs/>
        </w:rPr>
        <w:t>étiquette doit … toutes les situations.</w:t>
      </w:r>
    </w:p>
    <w:p w:rsidR="00EC01F8" w:rsidRPr="00091FD4" w:rsidRDefault="00EC01F8" w:rsidP="008E4DE9">
      <w:pPr>
        <w:pStyle w:val="Heading1"/>
        <w:spacing w:after="120"/>
      </w:pPr>
      <w:r w:rsidRPr="00091FD4">
        <w:rPr>
          <w:bCs/>
        </w:rPr>
        <w:t>Figure A</w:t>
      </w:r>
      <w:r w:rsidR="008E4DE9">
        <w:rPr>
          <w:bCs/>
        </w:rPr>
        <w:br/>
      </w:r>
      <w:r w:rsidRPr="008E4DE9">
        <w:rPr>
          <w:b/>
        </w:rPr>
        <w:t>Étiquette de mise en garde</w:t>
      </w:r>
    </w:p>
    <w:p w:rsidR="00EC01F8" w:rsidRPr="00091FD4" w:rsidRDefault="00EC01F8" w:rsidP="008E4DE9">
      <w:pPr>
        <w:pStyle w:val="SingleTxtG"/>
      </w:pPr>
      <w:r w:rsidRPr="00091FD4">
        <w:t>…</w:t>
      </w:r>
    </w:p>
    <w:p w:rsidR="00EC01F8" w:rsidRPr="001C533F" w:rsidRDefault="00EC01F8" w:rsidP="00CC08AE">
      <w:pPr>
        <w:pStyle w:val="Heading1"/>
        <w:spacing w:after="120"/>
        <w:ind w:left="0"/>
      </w:pPr>
      <w:r w:rsidRPr="00091FD4">
        <w:br w:type="page"/>
      </w:r>
      <w:r w:rsidRPr="00091FD4">
        <w:rPr>
          <w:bCs/>
        </w:rPr>
        <w:lastRenderedPageBreak/>
        <w:t>Figure B</w:t>
      </w:r>
      <w:r w:rsidR="008E4DE9">
        <w:rPr>
          <w:bCs/>
        </w:rPr>
        <w:br/>
      </w:r>
      <w:r w:rsidRPr="008E4DE9">
        <w:rPr>
          <w:b/>
        </w:rPr>
        <w:t xml:space="preserve">Pictogramme à utiliser, conforme à la norme ISO </w:t>
      </w:r>
      <w:proofErr w:type="gramStart"/>
      <w:r w:rsidRPr="008E4DE9">
        <w:rPr>
          <w:b/>
        </w:rPr>
        <w:t>2575</w:t>
      </w:r>
      <w:r w:rsidR="00BE1A64" w:rsidRPr="008E4DE9">
        <w:rPr>
          <w:b/>
        </w:rPr>
        <w:t>:</w:t>
      </w:r>
      <w:proofErr w:type="gramEnd"/>
      <w:r w:rsidRPr="008E4DE9">
        <w:rPr>
          <w:b/>
        </w:rPr>
        <w:t xml:space="preserve">2004 - Z.01, </w:t>
      </w:r>
      <w:r w:rsidR="008E4DE9">
        <w:rPr>
          <w:b/>
        </w:rPr>
        <w:br/>
      </w:r>
      <w:r w:rsidRPr="008E4DE9">
        <w:rPr>
          <w:b/>
        </w:rPr>
        <w:t>dont le diamètre extérieur doit être d’au moins 38 mm</w:t>
      </w:r>
    </w:p>
    <w:p w:rsidR="00EC01F8" w:rsidRDefault="00EC01F8" w:rsidP="008E4DE9">
      <w:pPr>
        <w:pStyle w:val="SingleTxtG"/>
        <w:ind w:left="567"/>
        <w:jc w:val="left"/>
        <w:rPr>
          <w:b/>
        </w:rPr>
      </w:pPr>
      <w:r>
        <w:rPr>
          <w:noProof/>
          <w:lang w:eastAsia="fr-CH"/>
        </w:rPr>
        <w:drawing>
          <wp:inline distT="0" distB="0" distL="0" distR="0" wp14:anchorId="204C1F98" wp14:editId="2364D5D3">
            <wp:extent cx="5364000" cy="5389200"/>
            <wp:effectExtent l="0" t="0" r="825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64000" cy="5389200"/>
                    </a:xfrm>
                    <a:prstGeom prst="rect">
                      <a:avLst/>
                    </a:prstGeom>
                  </pic:spPr>
                </pic:pic>
              </a:graphicData>
            </a:graphic>
          </wp:inline>
        </w:drawing>
      </w:r>
    </w:p>
    <w:p w:rsidR="00EC01F8" w:rsidRPr="001C533F" w:rsidRDefault="00EC01F8" w:rsidP="00CC08AE">
      <w:pPr>
        <w:pStyle w:val="Heading1"/>
        <w:spacing w:after="120"/>
      </w:pPr>
      <w:r>
        <w:br w:type="page"/>
      </w:r>
      <w:r w:rsidRPr="00091FD4">
        <w:rPr>
          <w:bCs/>
        </w:rPr>
        <w:lastRenderedPageBreak/>
        <w:t xml:space="preserve">Figure C </w:t>
      </w:r>
      <w:r w:rsidR="00CC08AE">
        <w:rPr>
          <w:bCs/>
        </w:rPr>
        <w:br/>
      </w:r>
      <w:r w:rsidRPr="00CC08AE">
        <w:rPr>
          <w:b/>
        </w:rPr>
        <w:t xml:space="preserve">Pictogramme à utiliser pour illustrer le danger en cas de déploiement du coussin gonflable, </w:t>
      </w:r>
      <w:r w:rsidR="00CC08AE">
        <w:rPr>
          <w:b/>
        </w:rPr>
        <w:br/>
      </w:r>
      <w:r w:rsidRPr="00CC08AE">
        <w:rPr>
          <w:b/>
        </w:rPr>
        <w:t xml:space="preserve">qui doit mesurer 40 mm de large et 28 mm de haut ou être de dimensions </w:t>
      </w:r>
      <w:r w:rsidR="00CC08AE">
        <w:rPr>
          <w:b/>
        </w:rPr>
        <w:br/>
      </w:r>
      <w:r w:rsidRPr="00CC08AE">
        <w:rPr>
          <w:b/>
        </w:rPr>
        <w:t>proportionnellement plus grandes</w:t>
      </w:r>
    </w:p>
    <w:p w:rsidR="00EC01F8" w:rsidRDefault="00EC01F8" w:rsidP="00CC08AE">
      <w:pPr>
        <w:pStyle w:val="SingleTxtG"/>
        <w:ind w:left="2268" w:hanging="1134"/>
        <w:jc w:val="center"/>
        <w:rPr>
          <w:b/>
        </w:rPr>
      </w:pPr>
      <w:r>
        <w:rPr>
          <w:noProof/>
          <w:lang w:eastAsia="fr-CH"/>
        </w:rPr>
        <w:drawing>
          <wp:inline distT="0" distB="0" distL="0" distR="0" wp14:anchorId="6E6BBDB1" wp14:editId="3659186D">
            <wp:extent cx="5381625" cy="3706296"/>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97486" cy="3717219"/>
                    </a:xfrm>
                    <a:prstGeom prst="rect">
                      <a:avLst/>
                    </a:prstGeom>
                  </pic:spPr>
                </pic:pic>
              </a:graphicData>
            </a:graphic>
          </wp:inline>
        </w:drawing>
      </w:r>
    </w:p>
    <w:p w:rsidR="00EC01F8" w:rsidRPr="00766B60" w:rsidRDefault="00AE65EF" w:rsidP="00EE3372">
      <w:pPr>
        <w:pStyle w:val="para"/>
        <w:spacing w:before="120" w:after="360"/>
        <w:jc w:val="right"/>
        <w:rPr>
          <w:lang w:val="fr-FR"/>
        </w:rPr>
      </w:pPr>
      <w:r>
        <w:rPr>
          <w:lang w:val="fr-FR"/>
        </w:rPr>
        <w:t> ».</w:t>
      </w:r>
    </w:p>
    <w:p w:rsidR="00EC01F8" w:rsidRPr="00091FD4" w:rsidRDefault="00EC01F8" w:rsidP="009A10F5">
      <w:pPr>
        <w:pStyle w:val="SingleTxtG"/>
        <w:keepNext/>
        <w:spacing w:after="100"/>
        <w:ind w:left="2268" w:hanging="1134"/>
        <w:rPr>
          <w:i/>
        </w:rPr>
      </w:pPr>
      <w:r w:rsidRPr="00091FD4">
        <w:rPr>
          <w:i/>
        </w:rPr>
        <w:t>Paragraphe</w:t>
      </w:r>
      <w:r>
        <w:rPr>
          <w:i/>
        </w:rPr>
        <w:t xml:space="preserve"> 6.6.4.4.1.2.1</w:t>
      </w:r>
      <w:r w:rsidRPr="00EA725F">
        <w:t xml:space="preserve">, </w:t>
      </w:r>
      <w:r>
        <w:t>lire</w:t>
      </w:r>
      <w:r w:rsidR="00BE1A64">
        <w:t> :</w:t>
      </w:r>
    </w:p>
    <w:p w:rsidR="00EC01F8" w:rsidRPr="002E1274" w:rsidRDefault="00EC01F8" w:rsidP="009A10F5">
      <w:pPr>
        <w:pStyle w:val="SingleTxtG"/>
        <w:spacing w:after="100"/>
        <w:ind w:left="2410" w:hanging="1276"/>
      </w:pPr>
      <w:r w:rsidRPr="00766B60">
        <w:rPr>
          <w:lang w:val="fr-FR"/>
        </w:rPr>
        <w:t>«</w:t>
      </w:r>
      <w:r w:rsidR="00AE65EF">
        <w:rPr>
          <w:lang w:val="fr-FR"/>
        </w:rPr>
        <w:t> </w:t>
      </w:r>
      <w:r w:rsidRPr="00766B60">
        <w:rPr>
          <w:lang w:val="fr-FR"/>
        </w:rPr>
        <w:t>6.6.4.4.1.2.1.</w:t>
      </w:r>
      <w:r w:rsidRPr="00766B60">
        <w:rPr>
          <w:lang w:val="fr-FR"/>
        </w:rPr>
        <w:tab/>
      </w:r>
      <w:r w:rsidRPr="002E1274">
        <w:t>Déplacement de la tête</w:t>
      </w:r>
      <w:r w:rsidR="00BE1A64">
        <w:t> :</w:t>
      </w:r>
      <w:r w:rsidRPr="002E1274">
        <w:t xml:space="preserve"> … avant</w:t>
      </w:r>
      <w:r w:rsidR="00AE65EF">
        <w:t>.</w:t>
      </w:r>
    </w:p>
    <w:p w:rsidR="00EC01F8" w:rsidRPr="002E1274" w:rsidRDefault="00EC01F8" w:rsidP="009A10F5">
      <w:pPr>
        <w:pStyle w:val="SingleTxtG"/>
        <w:keepNext/>
        <w:spacing w:after="100"/>
        <w:ind w:left="2410"/>
      </w:pPr>
      <w:r w:rsidRPr="002E1274">
        <w:t>Sauf s</w:t>
      </w:r>
      <w:r>
        <w:t>’</w:t>
      </w:r>
      <w:r w:rsidRPr="002E1274">
        <w:t>il s</w:t>
      </w:r>
      <w:r>
        <w:t>’</w:t>
      </w:r>
      <w:r w:rsidRPr="002E1274">
        <w:t>agit d</w:t>
      </w:r>
      <w:r>
        <w:t>’</w:t>
      </w:r>
      <w:r w:rsidRPr="002E1274">
        <w:t>un essai avec le mannequin Q6, auquel cas</w:t>
      </w:r>
      <w:r w:rsidR="00BE1A64">
        <w:t> :</w:t>
      </w:r>
    </w:p>
    <w:p w:rsidR="00EC01F8" w:rsidRPr="00AE65EF" w:rsidRDefault="00EC01F8" w:rsidP="009A10F5">
      <w:pPr>
        <w:pStyle w:val="SingleTxtG"/>
        <w:spacing w:after="100"/>
        <w:ind w:left="2410"/>
      </w:pPr>
      <w:r w:rsidRPr="00AE65EF">
        <w:t>La valeur par rapport au plan FD est de 840 </w:t>
      </w:r>
      <w:proofErr w:type="spellStart"/>
      <w:r w:rsidRPr="00AE65EF">
        <w:t>mm.</w:t>
      </w:r>
      <w:proofErr w:type="spellEnd"/>
    </w:p>
    <w:p w:rsidR="00EC01F8" w:rsidRPr="00AE65EF" w:rsidRDefault="00EC01F8" w:rsidP="009A10F5">
      <w:pPr>
        <w:pStyle w:val="SingleTxtG"/>
        <w:spacing w:after="100"/>
        <w:ind w:left="2410"/>
      </w:pPr>
      <w:r w:rsidRPr="00AE65EF">
        <w:t>Si le dispositif amélioré de retenue pour enfants entre en contact avec la barre de 100 mm de diamètre et que tous les critères d’évaluation des blessures et de déplacement de la tête sont remplis, il faut procéder à un nouvel essai dynamique (choc avant) avec le mannequin le plus lourd conçu pour la gamme de tailles prévue, mais sans la barre de 100 mm</w:t>
      </w:r>
      <w:r w:rsidR="00BE1A64" w:rsidRPr="00AE65EF">
        <w:t> ;</w:t>
      </w:r>
      <w:r w:rsidRPr="00AE65EF">
        <w:t xml:space="preserve"> la condition à remplir pour cet essai est que tous les critères autres que le déplacement vers l’avant </w:t>
      </w:r>
      <w:proofErr w:type="gramStart"/>
      <w:r w:rsidRPr="00AE65EF">
        <w:t>doivent</w:t>
      </w:r>
      <w:proofErr w:type="gramEnd"/>
      <w:r w:rsidRPr="00AE65EF">
        <w:t xml:space="preserve"> être remplis.</w:t>
      </w:r>
    </w:p>
    <w:p w:rsidR="00EC01F8" w:rsidRPr="00AE65EF" w:rsidRDefault="00EC01F8" w:rsidP="009A10F5">
      <w:pPr>
        <w:pStyle w:val="SingleTxtG"/>
        <w:spacing w:after="100"/>
        <w:ind w:left="2410"/>
      </w:pPr>
      <w:r w:rsidRPr="00AE65EF">
        <w:t>Si l’essai ...</w:t>
      </w:r>
    </w:p>
    <w:p w:rsidR="00EC01F8" w:rsidRDefault="00EC01F8" w:rsidP="009A10F5">
      <w:pPr>
        <w:spacing w:after="100"/>
        <w:ind w:left="2410" w:right="1134"/>
        <w:jc w:val="both"/>
        <w:rPr>
          <w:rFonts w:eastAsia="SimSun"/>
          <w:lang w:val="fr-FR"/>
        </w:rPr>
      </w:pPr>
      <w:r w:rsidRPr="00766B60">
        <w:rPr>
          <w:rFonts w:eastAsia="SimSun"/>
          <w:lang w:val="fr-FR"/>
        </w:rPr>
        <w:t>… ».</w:t>
      </w:r>
    </w:p>
    <w:p w:rsidR="00EC01F8" w:rsidRPr="00165B86" w:rsidRDefault="00EC01F8" w:rsidP="009A10F5">
      <w:pPr>
        <w:pStyle w:val="SingleTxtG"/>
        <w:keepNext/>
        <w:spacing w:after="100"/>
        <w:ind w:left="2268" w:hanging="1134"/>
        <w:rPr>
          <w:rFonts w:eastAsia="SimSun"/>
        </w:rPr>
      </w:pPr>
      <w:r w:rsidRPr="00165B86">
        <w:rPr>
          <w:rFonts w:eastAsia="SimSun"/>
          <w:i/>
        </w:rPr>
        <w:t>Paragraphe 6.7.1.4</w:t>
      </w:r>
      <w:r w:rsidRPr="00165B86">
        <w:rPr>
          <w:rFonts w:eastAsia="SimSun"/>
        </w:rPr>
        <w:t xml:space="preserve">, </w:t>
      </w:r>
      <w:r>
        <w:rPr>
          <w:rFonts w:eastAsia="SimSun"/>
        </w:rPr>
        <w:t>lire</w:t>
      </w:r>
      <w:r w:rsidR="00BE1A64">
        <w:rPr>
          <w:rFonts w:eastAsia="SimSun"/>
        </w:rPr>
        <w:t> :</w:t>
      </w:r>
    </w:p>
    <w:p w:rsidR="00EC01F8" w:rsidRPr="00165B86" w:rsidRDefault="00EC01F8" w:rsidP="009A10F5">
      <w:pPr>
        <w:pStyle w:val="SingleTxtG"/>
        <w:spacing w:after="100"/>
        <w:ind w:left="2410" w:hanging="1276"/>
        <w:rPr>
          <w:rFonts w:eastAsia="SimSun"/>
          <w:iCs/>
          <w:color w:val="000000"/>
        </w:rPr>
      </w:pPr>
      <w:r w:rsidRPr="00165B86">
        <w:rPr>
          <w:rFonts w:eastAsia="SimSun"/>
        </w:rPr>
        <w:t>« 6.7.1.4</w:t>
      </w:r>
      <w:r w:rsidRPr="00165B86">
        <w:rPr>
          <w:rFonts w:eastAsia="SimSun"/>
        </w:rPr>
        <w:tab/>
      </w:r>
      <w:r w:rsidRPr="006E5BAB">
        <w:rPr>
          <w:rFonts w:eastAsia="SimSun"/>
          <w:lang w:val="fr-FR"/>
        </w:rPr>
        <w:t>Il doit être possible de libérer l</w:t>
      </w:r>
      <w:r>
        <w:rPr>
          <w:rFonts w:eastAsia="SimSun"/>
          <w:lang w:val="fr-FR"/>
        </w:rPr>
        <w:t>’</w:t>
      </w:r>
      <w:r w:rsidRPr="006E5BAB">
        <w:rPr>
          <w:rFonts w:eastAsia="SimSun"/>
          <w:lang w:val="fr-FR"/>
        </w:rPr>
        <w:t>enfant du dispositif amélioré de retenue par une seule manœuvre e</w:t>
      </w:r>
      <w:r w:rsidRPr="00D509A2">
        <w:rPr>
          <w:rFonts w:eastAsia="SimSun"/>
          <w:lang w:val="fr-FR"/>
        </w:rPr>
        <w:t>xécutée sur une seule et même boucle</w:t>
      </w:r>
      <w:r w:rsidRPr="00D509A2">
        <w:rPr>
          <w:rFonts w:eastAsia="SimSun"/>
        </w:rPr>
        <w:t xml:space="preserve">. On doit pouvoir déverrouiller </w:t>
      </w:r>
      <w:r w:rsidRPr="00D509A2">
        <w:rPr>
          <w:rFonts w:eastAsia="SimSun"/>
          <w:lang w:val="fr-FR"/>
        </w:rPr>
        <w:t>l</w:t>
      </w:r>
      <w:r>
        <w:rPr>
          <w:rFonts w:eastAsia="SimSun"/>
          <w:lang w:val="fr-FR"/>
        </w:rPr>
        <w:t>’</w:t>
      </w:r>
      <w:r w:rsidRPr="00D509A2">
        <w:rPr>
          <w:rFonts w:eastAsia="SimSun"/>
          <w:lang w:val="fr-FR"/>
        </w:rPr>
        <w:t>éventuel positionneur des sangles d</w:t>
      </w:r>
      <w:r>
        <w:rPr>
          <w:rFonts w:eastAsia="SimSun"/>
          <w:lang w:val="fr-FR"/>
        </w:rPr>
        <w:t>’</w:t>
      </w:r>
      <w:r w:rsidRPr="00D509A2">
        <w:rPr>
          <w:rFonts w:eastAsia="SimSun"/>
          <w:lang w:val="fr-FR"/>
        </w:rPr>
        <w:t>épaule</w:t>
      </w:r>
      <w:r w:rsidRPr="00D509A2">
        <w:rPr>
          <w:rFonts w:eastAsia="SimSun"/>
        </w:rPr>
        <w:t xml:space="preserve"> par l</w:t>
      </w:r>
      <w:r>
        <w:rPr>
          <w:rFonts w:eastAsia="SimSun"/>
        </w:rPr>
        <w:t>’</w:t>
      </w:r>
      <w:r w:rsidRPr="00D509A2">
        <w:rPr>
          <w:rFonts w:eastAsia="SimSun"/>
        </w:rPr>
        <w:t>exécution d</w:t>
      </w:r>
      <w:r>
        <w:rPr>
          <w:rFonts w:eastAsia="SimSun"/>
        </w:rPr>
        <w:t>’</w:t>
      </w:r>
      <w:r w:rsidRPr="00D509A2">
        <w:rPr>
          <w:rFonts w:eastAsia="SimSun"/>
        </w:rPr>
        <w:t xml:space="preserve">une autre manœuvre unique. Dans ce cas, il doit être possible de déverrouiller le </w:t>
      </w:r>
      <w:r w:rsidRPr="00D509A2">
        <w:rPr>
          <w:rFonts w:eastAsia="SimSun"/>
          <w:lang w:val="fr-FR"/>
        </w:rPr>
        <w:t>positionneur des sangles d</w:t>
      </w:r>
      <w:r>
        <w:rPr>
          <w:rFonts w:eastAsia="SimSun"/>
          <w:lang w:val="fr-FR"/>
        </w:rPr>
        <w:t>’</w:t>
      </w:r>
      <w:r w:rsidRPr="00D509A2">
        <w:rPr>
          <w:rFonts w:eastAsia="SimSun"/>
          <w:lang w:val="fr-FR"/>
        </w:rPr>
        <w:t>épaule avant et après le déverrouillage de la boucle</w:t>
      </w:r>
      <w:r w:rsidRPr="00D509A2">
        <w:rPr>
          <w:rFonts w:eastAsia="SimSun"/>
        </w:rPr>
        <w:t xml:space="preserve">, ou simultanément. </w:t>
      </w:r>
      <w:r w:rsidRPr="00D509A2">
        <w:rPr>
          <w:rFonts w:eastAsia="SimSun"/>
          <w:lang w:val="fr-FR"/>
        </w:rPr>
        <w:t>Il est permis de retirer l</w:t>
      </w:r>
      <w:r>
        <w:rPr>
          <w:rFonts w:eastAsia="SimSun"/>
          <w:lang w:val="fr-FR"/>
        </w:rPr>
        <w:t>’</w:t>
      </w:r>
      <w:r w:rsidRPr="00D509A2">
        <w:rPr>
          <w:rFonts w:eastAsia="SimSun"/>
          <w:lang w:val="fr-FR"/>
        </w:rPr>
        <w:t xml:space="preserve">enfant en même temps que des dispositifs tels que le porte-enfant, la nacelle ou le dispositif de retenue de la nacelle </w:t>
      </w:r>
      <w:r w:rsidRPr="00ED50FC">
        <w:rPr>
          <w:rFonts w:eastAsia="SimSun"/>
          <w:lang w:val="fr-FR"/>
        </w:rPr>
        <w:t>si le dispositif amélioré de retenue pour enfants peut être libéré par l</w:t>
      </w:r>
      <w:r>
        <w:rPr>
          <w:rFonts w:eastAsia="SimSun"/>
          <w:lang w:val="fr-FR"/>
        </w:rPr>
        <w:t>’</w:t>
      </w:r>
      <w:r w:rsidRPr="00ED50FC">
        <w:rPr>
          <w:rFonts w:eastAsia="SimSun"/>
          <w:lang w:val="fr-FR"/>
        </w:rPr>
        <w:t>actionnement de deux boutons de déverrouillage au maximum</w:t>
      </w:r>
      <w:r w:rsidRPr="00165B86">
        <w:rPr>
          <w:rFonts w:eastAsia="SimSun"/>
        </w:rPr>
        <w:t>. ».</w:t>
      </w:r>
    </w:p>
    <w:p w:rsidR="00EC01F8" w:rsidRPr="00766B60" w:rsidRDefault="00EC01F8" w:rsidP="00034689">
      <w:pPr>
        <w:pStyle w:val="SingleTxtG"/>
        <w:keepNext/>
        <w:ind w:left="2268" w:hanging="1134"/>
        <w:rPr>
          <w:rFonts w:eastAsia="Calibri"/>
          <w:lang w:val="fr-FR"/>
        </w:rPr>
      </w:pPr>
      <w:r w:rsidRPr="00766B60">
        <w:rPr>
          <w:rFonts w:eastAsia="Calibri"/>
          <w:i/>
          <w:lang w:val="fr-FR"/>
        </w:rPr>
        <w:lastRenderedPageBreak/>
        <w:t>Paragraph</w:t>
      </w:r>
      <w:r>
        <w:rPr>
          <w:rFonts w:eastAsia="Calibri"/>
          <w:i/>
          <w:lang w:val="fr-FR"/>
        </w:rPr>
        <w:t>e</w:t>
      </w:r>
      <w:r w:rsidRPr="00766B60">
        <w:rPr>
          <w:rFonts w:eastAsia="Calibri"/>
          <w:i/>
          <w:lang w:val="fr-FR"/>
        </w:rPr>
        <w:t xml:space="preserve"> 10</w:t>
      </w:r>
      <w:r w:rsidRPr="00165B86">
        <w:rPr>
          <w:rFonts w:eastAsia="SimSun"/>
        </w:rPr>
        <w:t xml:space="preserve">, </w:t>
      </w:r>
      <w:r>
        <w:rPr>
          <w:rFonts w:eastAsia="SimSun"/>
        </w:rPr>
        <w:t>lire</w:t>
      </w:r>
      <w:r w:rsidR="00BE1A64">
        <w:rPr>
          <w:rFonts w:eastAsia="Calibri"/>
          <w:lang w:val="fr-FR"/>
        </w:rPr>
        <w:t> :</w:t>
      </w:r>
    </w:p>
    <w:p w:rsidR="00EC01F8" w:rsidRPr="00D509A2" w:rsidRDefault="00EC01F8" w:rsidP="00544E69">
      <w:pPr>
        <w:pStyle w:val="HChG"/>
        <w:ind w:left="2268"/>
      </w:pPr>
      <w:r w:rsidRPr="009A10F5">
        <w:rPr>
          <w:rFonts w:eastAsia="Calibri"/>
          <w:b w:val="0"/>
          <w:sz w:val="20"/>
        </w:rPr>
        <w:t>«</w:t>
      </w:r>
      <w:r w:rsidR="00544E69">
        <w:rPr>
          <w:rFonts w:eastAsia="Calibri"/>
          <w:b w:val="0"/>
          <w:sz w:val="20"/>
        </w:rPr>
        <w:t> </w:t>
      </w:r>
      <w:r w:rsidRPr="00766B60">
        <w:rPr>
          <w:lang w:val="fr-FR"/>
        </w:rPr>
        <w:t>10.</w:t>
      </w:r>
      <w:r w:rsidRPr="00766B60">
        <w:rPr>
          <w:lang w:val="fr-FR"/>
        </w:rPr>
        <w:tab/>
      </w:r>
      <w:r w:rsidRPr="00766B60">
        <w:rPr>
          <w:lang w:val="fr-FR"/>
        </w:rPr>
        <w:tab/>
      </w:r>
      <w:r w:rsidRPr="00D509A2">
        <w:rPr>
          <w:lang w:val="fr-FR"/>
        </w:rPr>
        <w:t>Conformité de la production et essais de routine</w:t>
      </w:r>
    </w:p>
    <w:p w:rsidR="00EC01F8" w:rsidRPr="00766B60" w:rsidRDefault="00EC01F8" w:rsidP="00544E69">
      <w:pPr>
        <w:pStyle w:val="SingleTxtG"/>
        <w:ind w:left="2268"/>
        <w:rPr>
          <w:lang w:val="fr-FR"/>
        </w:rPr>
      </w:pPr>
      <w:r w:rsidRPr="00D509A2">
        <w:t>Les procédures de contrôle de la conformité de la production doivent être</w:t>
      </w:r>
      <w:r w:rsidR="00544E69">
        <w:t> </w:t>
      </w:r>
      <w:r w:rsidRPr="00D509A2">
        <w:t>conformes à celles qui sont définies au tableau 1 de l</w:t>
      </w:r>
      <w:r>
        <w:t>’</w:t>
      </w:r>
      <w:r w:rsidRPr="00D509A2">
        <w:t>Accord (E/ECE/TRANS/505/Rev.3), et en particulier aux prescriptions suivantes</w:t>
      </w:r>
      <w:r w:rsidR="00BE1A64">
        <w:t> :</w:t>
      </w:r>
      <w:r>
        <w:t> </w:t>
      </w:r>
      <w:r>
        <w:rPr>
          <w:lang w:val="fr-FR"/>
        </w:rPr>
        <w:t>».</w:t>
      </w:r>
    </w:p>
    <w:p w:rsidR="00EC01F8" w:rsidRPr="00A27C40" w:rsidRDefault="00EC01F8" w:rsidP="00034689">
      <w:pPr>
        <w:pStyle w:val="SingleTxtG"/>
        <w:keepNext/>
        <w:ind w:left="2268" w:hanging="1134"/>
      </w:pPr>
      <w:r w:rsidRPr="00A27C40">
        <w:rPr>
          <w:i/>
        </w:rPr>
        <w:t>Paragraphes 14.2.2</w:t>
      </w:r>
      <w:r w:rsidRPr="00A27C40">
        <w:rPr>
          <w:i/>
          <w:iCs/>
        </w:rPr>
        <w:t xml:space="preserve"> </w:t>
      </w:r>
      <w:r>
        <w:rPr>
          <w:i/>
          <w:iCs/>
        </w:rPr>
        <w:t>et 14.2.3</w:t>
      </w:r>
      <w:r w:rsidRPr="00A27C40">
        <w:t xml:space="preserve">, </w:t>
      </w:r>
      <w:r>
        <w:t>lire</w:t>
      </w:r>
      <w:r w:rsidR="00BE1A64">
        <w:t> :</w:t>
      </w:r>
    </w:p>
    <w:p w:rsidR="00EC01F8" w:rsidRDefault="00EC01F8" w:rsidP="00544E69">
      <w:pPr>
        <w:pStyle w:val="SingleTxtG"/>
        <w:spacing w:after="100"/>
        <w:ind w:left="2410" w:hanging="1276"/>
      </w:pPr>
      <w:r w:rsidRPr="00766B60">
        <w:rPr>
          <w:lang w:val="fr-FR"/>
        </w:rPr>
        <w:t>«</w:t>
      </w:r>
      <w:r w:rsidR="00544E69">
        <w:rPr>
          <w:lang w:val="fr-FR"/>
        </w:rPr>
        <w:t> </w:t>
      </w:r>
      <w:r w:rsidR="00544E69">
        <w:t>14.2.2</w:t>
      </w:r>
      <w:r w:rsidRPr="00A27C40">
        <w:tab/>
        <w:t xml:space="preserve">Les renseignements figurant sur les dispositifs améliorés de retenue pour enfants spécifiques à un véhicule concernant les véhicules sur lesquels ils peuvent être utilisés </w:t>
      </w:r>
      <w:r w:rsidRPr="00A27C40">
        <w:rPr>
          <w:rFonts w:eastAsia="SimSun"/>
        </w:rPr>
        <w:t xml:space="preserve">doivent être indiqués, au moins sous forme physique, de façon bien visible </w:t>
      </w:r>
      <w:r w:rsidRPr="00A27C40">
        <w:t>sur le lieu de vente sans qu</w:t>
      </w:r>
      <w:r>
        <w:t>’</w:t>
      </w:r>
      <w:r w:rsidRPr="00A27C40">
        <w:t>il soit nécessaire de retirer l</w:t>
      </w:r>
      <w:r>
        <w:t>’</w:t>
      </w:r>
      <w:r w:rsidRPr="00A27C40">
        <w:t>emballage</w:t>
      </w:r>
      <w:r w:rsidR="00BE1A64">
        <w:t> ;</w:t>
      </w:r>
    </w:p>
    <w:p w:rsidR="00F9573C" w:rsidRDefault="00544E69" w:rsidP="00544E69">
      <w:pPr>
        <w:pStyle w:val="SingleTxtG"/>
        <w:spacing w:after="100"/>
        <w:ind w:left="2410" w:hanging="1276"/>
        <w:rPr>
          <w:lang w:val="fr-FR"/>
        </w:rPr>
      </w:pPr>
      <w:r>
        <w:t>14.2.3</w:t>
      </w:r>
      <w:r w:rsidR="00EC01F8" w:rsidRPr="00A27C40">
        <w:tab/>
      </w:r>
      <w:r w:rsidR="00EC01F8" w:rsidRPr="00360275">
        <w:rPr>
          <w:lang w:val="fr-FR"/>
        </w:rPr>
        <w:t>Les fabricants de dispositifs de retenue pour enfants doivent indiquer sur l</w:t>
      </w:r>
      <w:r w:rsidR="00EC01F8">
        <w:rPr>
          <w:lang w:val="fr-FR"/>
        </w:rPr>
        <w:t>’</w:t>
      </w:r>
      <w:r w:rsidR="00EC01F8" w:rsidRPr="00360275">
        <w:rPr>
          <w:lang w:val="fr-FR"/>
        </w:rPr>
        <w:t>emballage</w:t>
      </w:r>
      <w:r w:rsidR="00EC01F8" w:rsidRPr="00A27C40">
        <w:rPr>
          <w:rFonts w:eastAsia="SimSun"/>
        </w:rPr>
        <w:t>, sous forme physique ou numérique,</w:t>
      </w:r>
      <w:r w:rsidR="00EC01F8" w:rsidRPr="00360275">
        <w:rPr>
          <w:lang w:val="fr-FR"/>
        </w:rPr>
        <w:t xml:space="preserve"> l</w:t>
      </w:r>
      <w:r w:rsidR="00EC01F8">
        <w:rPr>
          <w:lang w:val="fr-FR"/>
        </w:rPr>
        <w:t>’</w:t>
      </w:r>
      <w:r w:rsidR="00EC01F8" w:rsidRPr="00360275">
        <w:rPr>
          <w:lang w:val="fr-FR"/>
        </w:rPr>
        <w:t>adresse à laquelle l</w:t>
      </w:r>
      <w:r w:rsidR="00EC01F8">
        <w:rPr>
          <w:lang w:val="fr-FR"/>
        </w:rPr>
        <w:t>’</w:t>
      </w:r>
      <w:r w:rsidR="00EC01F8" w:rsidRPr="00360275">
        <w:rPr>
          <w:lang w:val="fr-FR"/>
        </w:rPr>
        <w:t>acheteur peut écrire pour obtenir d</w:t>
      </w:r>
      <w:r w:rsidR="00EC01F8">
        <w:rPr>
          <w:lang w:val="fr-FR"/>
        </w:rPr>
        <w:t>’</w:t>
      </w:r>
      <w:r w:rsidR="00EC01F8" w:rsidRPr="00360275">
        <w:rPr>
          <w:lang w:val="fr-FR"/>
        </w:rPr>
        <w:t>autres renseignements concernant le montage du dispositif de retenue sur certains types de</w:t>
      </w:r>
      <w:r w:rsidR="00EC01F8">
        <w:rPr>
          <w:lang w:val="fr-FR"/>
        </w:rPr>
        <w:t> </w:t>
      </w:r>
      <w:r w:rsidR="00EC01F8" w:rsidRPr="00360275">
        <w:rPr>
          <w:lang w:val="fr-FR"/>
        </w:rPr>
        <w:t>véhicules</w:t>
      </w:r>
      <w:r w:rsidR="00BE1A64">
        <w:rPr>
          <w:lang w:val="fr-FR"/>
        </w:rPr>
        <w:t> ;</w:t>
      </w:r>
      <w:r w:rsidR="00EC01F8">
        <w:rPr>
          <w:lang w:val="fr-FR"/>
        </w:rPr>
        <w:t> ».</w:t>
      </w:r>
    </w:p>
    <w:p w:rsidR="00544E69" w:rsidRPr="00544E69" w:rsidRDefault="00544E69" w:rsidP="00544E69">
      <w:pPr>
        <w:pStyle w:val="SingleTxtG"/>
        <w:spacing w:before="240" w:after="0"/>
        <w:jc w:val="center"/>
        <w:rPr>
          <w:u w:val="single"/>
        </w:rPr>
      </w:pPr>
      <w:r>
        <w:rPr>
          <w:u w:val="single"/>
        </w:rPr>
        <w:tab/>
      </w:r>
      <w:r>
        <w:rPr>
          <w:u w:val="single"/>
        </w:rPr>
        <w:tab/>
      </w:r>
      <w:r>
        <w:rPr>
          <w:u w:val="single"/>
        </w:rPr>
        <w:tab/>
      </w:r>
    </w:p>
    <w:sectPr w:rsidR="00544E69" w:rsidRPr="00544E69" w:rsidSect="008D532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8EB" w:rsidRDefault="006F38EB" w:rsidP="00F95C08">
      <w:pPr>
        <w:spacing w:line="240" w:lineRule="auto"/>
      </w:pPr>
    </w:p>
  </w:endnote>
  <w:endnote w:type="continuationSeparator" w:id="0">
    <w:p w:rsidR="006F38EB" w:rsidRPr="00AC3823" w:rsidRDefault="006F38EB" w:rsidP="00AC3823">
      <w:pPr>
        <w:pStyle w:val="Footer"/>
      </w:pPr>
    </w:p>
  </w:endnote>
  <w:endnote w:type="continuationNotice" w:id="1">
    <w:p w:rsidR="006F38EB" w:rsidRDefault="006F38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Webding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32E" w:rsidRPr="008D532E" w:rsidRDefault="008D532E" w:rsidP="008D532E">
    <w:pPr>
      <w:pStyle w:val="Footer"/>
      <w:tabs>
        <w:tab w:val="right" w:pos="9638"/>
      </w:tabs>
    </w:pPr>
    <w:r w:rsidRPr="008D532E">
      <w:rPr>
        <w:b/>
        <w:sz w:val="18"/>
      </w:rPr>
      <w:fldChar w:fldCharType="begin"/>
    </w:r>
    <w:r w:rsidRPr="008D532E">
      <w:rPr>
        <w:b/>
        <w:sz w:val="18"/>
      </w:rPr>
      <w:instrText xml:space="preserve"> PAGE  \* MERGEFORMAT </w:instrText>
    </w:r>
    <w:r w:rsidRPr="008D532E">
      <w:rPr>
        <w:b/>
        <w:sz w:val="18"/>
      </w:rPr>
      <w:fldChar w:fldCharType="separate"/>
    </w:r>
    <w:r w:rsidR="002F7FF7">
      <w:rPr>
        <w:b/>
        <w:noProof/>
        <w:sz w:val="18"/>
      </w:rPr>
      <w:t>4</w:t>
    </w:r>
    <w:r w:rsidRPr="008D532E">
      <w:rPr>
        <w:b/>
        <w:sz w:val="18"/>
      </w:rPr>
      <w:fldChar w:fldCharType="end"/>
    </w:r>
    <w:r>
      <w:rPr>
        <w:b/>
        <w:sz w:val="18"/>
      </w:rPr>
      <w:tab/>
    </w:r>
    <w:r>
      <w:t>GE.18-13600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32E" w:rsidRPr="008D532E" w:rsidRDefault="008D532E" w:rsidP="008D532E">
    <w:pPr>
      <w:pStyle w:val="Footer"/>
      <w:tabs>
        <w:tab w:val="right" w:pos="9638"/>
      </w:tabs>
      <w:rPr>
        <w:b/>
        <w:sz w:val="18"/>
      </w:rPr>
    </w:pPr>
    <w:r>
      <w:t>GE.18-13600</w:t>
    </w:r>
    <w:r>
      <w:tab/>
    </w:r>
    <w:r w:rsidRPr="008D532E">
      <w:rPr>
        <w:b/>
        <w:sz w:val="18"/>
      </w:rPr>
      <w:fldChar w:fldCharType="begin"/>
    </w:r>
    <w:r w:rsidRPr="008D532E">
      <w:rPr>
        <w:b/>
        <w:sz w:val="18"/>
      </w:rPr>
      <w:instrText xml:space="preserve"> PAGE  \* MERGEFORMAT </w:instrText>
    </w:r>
    <w:r w:rsidRPr="008D532E">
      <w:rPr>
        <w:b/>
        <w:sz w:val="18"/>
      </w:rPr>
      <w:fldChar w:fldCharType="separate"/>
    </w:r>
    <w:r w:rsidR="002F7FF7">
      <w:rPr>
        <w:b/>
        <w:noProof/>
        <w:sz w:val="18"/>
      </w:rPr>
      <w:t>5</w:t>
    </w:r>
    <w:r w:rsidRPr="008D53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8D532E" w:rsidRDefault="008D532E" w:rsidP="008D532E">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13600  (</w:t>
    </w:r>
    <w:proofErr w:type="gramEnd"/>
    <w:r>
      <w:rPr>
        <w:sz w:val="20"/>
      </w:rPr>
      <w:t>F)</w:t>
    </w:r>
    <w:r w:rsidR="00FB4042">
      <w:rPr>
        <w:sz w:val="20"/>
      </w:rPr>
      <w:t xml:space="preserve">    110918    280918</w:t>
    </w:r>
    <w:r>
      <w:rPr>
        <w:sz w:val="20"/>
      </w:rPr>
      <w:br/>
    </w:r>
    <w:r w:rsidRPr="008D532E">
      <w:rPr>
        <w:rFonts w:ascii="C39T30Lfz" w:hAnsi="C39T30Lfz"/>
        <w:sz w:val="56"/>
      </w:rPr>
      <w:t></w:t>
    </w:r>
    <w:r w:rsidRPr="008D532E">
      <w:rPr>
        <w:rFonts w:ascii="C39T30Lfz" w:hAnsi="C39T30Lfz"/>
        <w:sz w:val="56"/>
      </w:rPr>
      <w:t></w:t>
    </w:r>
    <w:r w:rsidRPr="008D532E">
      <w:rPr>
        <w:rFonts w:ascii="C39T30Lfz" w:hAnsi="C39T30Lfz"/>
        <w:sz w:val="56"/>
      </w:rPr>
      <w:t></w:t>
    </w:r>
    <w:r w:rsidRPr="008D532E">
      <w:rPr>
        <w:rFonts w:ascii="C39T30Lfz" w:hAnsi="C39T30Lfz"/>
        <w:sz w:val="56"/>
      </w:rPr>
      <w:t></w:t>
    </w:r>
    <w:r w:rsidRPr="008D532E">
      <w:rPr>
        <w:rFonts w:ascii="C39T30Lfz" w:hAnsi="C39T30Lfz"/>
        <w:sz w:val="56"/>
      </w:rPr>
      <w:t></w:t>
    </w:r>
    <w:r w:rsidRPr="008D532E">
      <w:rPr>
        <w:rFonts w:ascii="C39T30Lfz" w:hAnsi="C39T30Lfz"/>
        <w:sz w:val="56"/>
      </w:rPr>
      <w:t></w:t>
    </w:r>
    <w:r w:rsidRPr="008D532E">
      <w:rPr>
        <w:rFonts w:ascii="C39T30Lfz" w:hAnsi="C39T30Lfz"/>
        <w:sz w:val="56"/>
      </w:rPr>
      <w:t></w:t>
    </w:r>
    <w:r w:rsidRPr="008D532E">
      <w:rPr>
        <w:rFonts w:ascii="C39T30Lfz" w:hAnsi="C39T30Lfz"/>
        <w:sz w:val="56"/>
      </w:rPr>
      <w:t></w:t>
    </w:r>
    <w:r w:rsidRPr="008D532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3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8EB" w:rsidRPr="00AC3823" w:rsidRDefault="006F38EB" w:rsidP="00AC3823">
      <w:pPr>
        <w:pStyle w:val="Footer"/>
        <w:tabs>
          <w:tab w:val="right" w:pos="2155"/>
        </w:tabs>
        <w:spacing w:after="80" w:line="240" w:lineRule="atLeast"/>
        <w:ind w:left="680"/>
        <w:rPr>
          <w:u w:val="single"/>
        </w:rPr>
      </w:pPr>
      <w:r>
        <w:rPr>
          <w:u w:val="single"/>
        </w:rPr>
        <w:tab/>
      </w:r>
    </w:p>
  </w:footnote>
  <w:footnote w:type="continuationSeparator" w:id="0">
    <w:p w:rsidR="006F38EB" w:rsidRPr="00AC3823" w:rsidRDefault="006F38EB" w:rsidP="00AC3823">
      <w:pPr>
        <w:pStyle w:val="Footer"/>
        <w:tabs>
          <w:tab w:val="right" w:pos="2155"/>
        </w:tabs>
        <w:spacing w:after="80" w:line="240" w:lineRule="atLeast"/>
        <w:ind w:left="680"/>
        <w:rPr>
          <w:u w:val="single"/>
        </w:rPr>
      </w:pPr>
      <w:r>
        <w:rPr>
          <w:u w:val="single"/>
        </w:rPr>
        <w:tab/>
      </w:r>
    </w:p>
  </w:footnote>
  <w:footnote w:type="continuationNotice" w:id="1">
    <w:p w:rsidR="006F38EB" w:rsidRPr="00AC3823" w:rsidRDefault="006F38EB">
      <w:pPr>
        <w:spacing w:line="240" w:lineRule="auto"/>
        <w:rPr>
          <w:sz w:val="2"/>
          <w:szCs w:val="2"/>
        </w:rPr>
      </w:pPr>
    </w:p>
  </w:footnote>
  <w:footnote w:id="2">
    <w:p w:rsidR="00EC01F8" w:rsidRPr="002E7973" w:rsidRDefault="00EC01F8" w:rsidP="00EC01F8">
      <w:pPr>
        <w:pStyle w:val="FootnoteText"/>
        <w:rPr>
          <w:sz w:val="20"/>
        </w:rPr>
      </w:pPr>
      <w:r w:rsidRPr="00A90EA8">
        <w:tab/>
      </w:r>
      <w:r w:rsidRPr="008646DB">
        <w:t>*</w:t>
      </w:r>
      <w:r w:rsidRPr="008646DB">
        <w:tab/>
        <w:t>Conformément au programme de travail du Comité des transports intérieurs pour la période 2018</w:t>
      </w:r>
      <w:r w:rsidR="00FB4042">
        <w:noBreakHyphen/>
      </w:r>
      <w:r w:rsidRPr="008646DB">
        <w:t>2019 (ECE/TRANS/274, par. 123</w:t>
      </w:r>
      <w:r>
        <w:t>,</w:t>
      </w:r>
      <w:r w:rsidRPr="008646DB">
        <w:t xml:space="preserve"> et ECE/TRANS/2018/21/Add.1, module 3.1), le Forum mondial a pour mission d’élaborer, d’harmoniser et de mettre à jour les Règlements </w:t>
      </w:r>
      <w:r>
        <w:t xml:space="preserve">ONU </w:t>
      </w:r>
      <w:r w:rsidRPr="008646DB">
        <w:t>en vue d’améliorer les caractéristiques fonctionnelles des véhicules.</w:t>
      </w:r>
      <w:r w:rsidRPr="002E7973">
        <w:rPr>
          <w:color w:val="333333"/>
          <w:sz w:val="21"/>
          <w:szCs w:val="21"/>
          <w:shd w:val="clear" w:color="auto" w:fill="FFFFFF"/>
        </w:rPr>
        <w:t xml:space="preserve"> </w:t>
      </w:r>
      <w:r w:rsidRPr="002E7973">
        <w:t>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32E" w:rsidRPr="008D532E" w:rsidRDefault="00447DE8">
    <w:pPr>
      <w:pStyle w:val="Header"/>
    </w:pPr>
    <w:r>
      <w:fldChar w:fldCharType="begin"/>
    </w:r>
    <w:r>
      <w:instrText xml:space="preserve"> TITLE  \* MERGEFORMAT </w:instrText>
    </w:r>
    <w:r>
      <w:fldChar w:fldCharType="separate"/>
    </w:r>
    <w:r w:rsidR="00A55D5E">
      <w:t>ECE/TRANS/WP.29/2018/137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32E" w:rsidRPr="008D532E" w:rsidRDefault="00447DE8" w:rsidP="008D532E">
    <w:pPr>
      <w:pStyle w:val="Header"/>
      <w:jc w:val="right"/>
    </w:pPr>
    <w:r>
      <w:fldChar w:fldCharType="begin"/>
    </w:r>
    <w:r>
      <w:instrText xml:space="preserve"> TITLE  \* MERGEFORMAT </w:instrText>
    </w:r>
    <w:r>
      <w:fldChar w:fldCharType="separate"/>
    </w:r>
    <w:r w:rsidR="00A55D5E">
      <w:t>ECE/TRANS/WP.29/2018/137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8EB"/>
    <w:rsid w:val="00010BC7"/>
    <w:rsid w:val="00017F94"/>
    <w:rsid w:val="00023842"/>
    <w:rsid w:val="000334F9"/>
    <w:rsid w:val="00034689"/>
    <w:rsid w:val="00045FEB"/>
    <w:rsid w:val="0007796D"/>
    <w:rsid w:val="000B7790"/>
    <w:rsid w:val="00111F2F"/>
    <w:rsid w:val="0014365E"/>
    <w:rsid w:val="00143C66"/>
    <w:rsid w:val="00176178"/>
    <w:rsid w:val="001F525A"/>
    <w:rsid w:val="00223272"/>
    <w:rsid w:val="0024779E"/>
    <w:rsid w:val="00257168"/>
    <w:rsid w:val="00272440"/>
    <w:rsid w:val="002744B8"/>
    <w:rsid w:val="002832AC"/>
    <w:rsid w:val="002D7C93"/>
    <w:rsid w:val="002F7FF7"/>
    <w:rsid w:val="00305801"/>
    <w:rsid w:val="003916DE"/>
    <w:rsid w:val="00421996"/>
    <w:rsid w:val="00441C3B"/>
    <w:rsid w:val="00446FE5"/>
    <w:rsid w:val="00447DE8"/>
    <w:rsid w:val="00452396"/>
    <w:rsid w:val="004837D8"/>
    <w:rsid w:val="004E2EED"/>
    <w:rsid w:val="004E468C"/>
    <w:rsid w:val="00544E69"/>
    <w:rsid w:val="005505B7"/>
    <w:rsid w:val="00573BE5"/>
    <w:rsid w:val="00586ED3"/>
    <w:rsid w:val="00596AA9"/>
    <w:rsid w:val="006F38EB"/>
    <w:rsid w:val="0071601D"/>
    <w:rsid w:val="007A62E6"/>
    <w:rsid w:val="007F20FA"/>
    <w:rsid w:val="0080684C"/>
    <w:rsid w:val="00871C75"/>
    <w:rsid w:val="008776DC"/>
    <w:rsid w:val="00891385"/>
    <w:rsid w:val="008D532E"/>
    <w:rsid w:val="008E4DE9"/>
    <w:rsid w:val="009446C0"/>
    <w:rsid w:val="009705C8"/>
    <w:rsid w:val="009728A6"/>
    <w:rsid w:val="009A10F5"/>
    <w:rsid w:val="009C1CF4"/>
    <w:rsid w:val="009F6B74"/>
    <w:rsid w:val="00A3029F"/>
    <w:rsid w:val="00A30353"/>
    <w:rsid w:val="00A55D5E"/>
    <w:rsid w:val="00AC3823"/>
    <w:rsid w:val="00AE323C"/>
    <w:rsid w:val="00AE65EF"/>
    <w:rsid w:val="00AF0CB5"/>
    <w:rsid w:val="00B00181"/>
    <w:rsid w:val="00B00B0D"/>
    <w:rsid w:val="00B45F2E"/>
    <w:rsid w:val="00B765F7"/>
    <w:rsid w:val="00BA0CA9"/>
    <w:rsid w:val="00BE1A64"/>
    <w:rsid w:val="00C02897"/>
    <w:rsid w:val="00C97039"/>
    <w:rsid w:val="00CC08AE"/>
    <w:rsid w:val="00D3439C"/>
    <w:rsid w:val="00DB1831"/>
    <w:rsid w:val="00DD3BFD"/>
    <w:rsid w:val="00DF6678"/>
    <w:rsid w:val="00E0299A"/>
    <w:rsid w:val="00E85C74"/>
    <w:rsid w:val="00EA6547"/>
    <w:rsid w:val="00EC01F8"/>
    <w:rsid w:val="00EE3372"/>
    <w:rsid w:val="00EF2E22"/>
    <w:rsid w:val="00F35BAF"/>
    <w:rsid w:val="00F660DF"/>
    <w:rsid w:val="00F94664"/>
    <w:rsid w:val="00F9573C"/>
    <w:rsid w:val="00F95C08"/>
    <w:rsid w:val="00FB404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C3F6E1-DCFF-4586-83FE-46FDB971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EC01F8"/>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EC01F8"/>
    <w:rPr>
      <w:rFonts w:ascii="Times New Roman" w:eastAsiaTheme="minorHAnsi" w:hAnsi="Times New Roman" w:cs="Times New Roman"/>
      <w:sz w:val="20"/>
      <w:szCs w:val="20"/>
      <w:lang w:eastAsia="en-US"/>
    </w:rPr>
  </w:style>
  <w:style w:type="character" w:customStyle="1" w:styleId="HChGChar">
    <w:name w:val="_ H _Ch_G Char"/>
    <w:link w:val="HChG"/>
    <w:rsid w:val="00EC01F8"/>
    <w:rPr>
      <w:rFonts w:ascii="Times New Roman" w:eastAsiaTheme="minorHAnsi" w:hAnsi="Times New Roman" w:cs="Times New Roman"/>
      <w:b/>
      <w:sz w:val="28"/>
      <w:szCs w:val="20"/>
      <w:lang w:eastAsia="en-US"/>
    </w:rPr>
  </w:style>
  <w:style w:type="paragraph" w:customStyle="1" w:styleId="para">
    <w:name w:val="para"/>
    <w:basedOn w:val="SingleTxtG"/>
    <w:link w:val="paraChar"/>
    <w:qFormat/>
    <w:rsid w:val="00EC01F8"/>
    <w:pPr>
      <w:ind w:left="2268" w:hanging="1134"/>
    </w:pPr>
  </w:style>
  <w:style w:type="character" w:customStyle="1" w:styleId="paraChar">
    <w:name w:val="para Char"/>
    <w:link w:val="para"/>
    <w:rsid w:val="00EC01F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859</Words>
  <Characters>4901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ECE/TRANS/WP.29/2018/137</vt:lpstr>
      <vt:lpstr>ECE/TRANS/WP.29/2018/137</vt:lpstr>
    </vt:vector>
  </TitlesOfParts>
  <Company>DCM</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ECE/TRANS/WP.29/2018/137</dc:title>
  <dc:subject/>
  <dc:creator>Nath VITTOZ</dc:creator>
  <cp:keywords/>
  <cp:lastModifiedBy>Secretariat</cp:lastModifiedBy>
  <cp:revision>2</cp:revision>
  <cp:lastPrinted>2018-09-28T12:08:00Z</cp:lastPrinted>
  <dcterms:created xsi:type="dcterms:W3CDTF">2018-10-11T09:42:00Z</dcterms:created>
  <dcterms:modified xsi:type="dcterms:W3CDTF">2018-10-11T09:42:00Z</dcterms:modified>
</cp:coreProperties>
</file>