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9567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9567A" w:rsidP="0019567A">
            <w:pPr>
              <w:jc w:val="right"/>
            </w:pPr>
            <w:r w:rsidRPr="0019567A">
              <w:rPr>
                <w:sz w:val="40"/>
              </w:rPr>
              <w:t>ECE</w:t>
            </w:r>
            <w:r>
              <w:t>/TRANS/WP.29/2018/82</w:t>
            </w:r>
            <w:r w:rsidR="00372182" w:rsidRPr="00372182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9567A" w:rsidP="00C97039">
            <w:pPr>
              <w:spacing w:before="240"/>
            </w:pPr>
            <w:r>
              <w:t>Distr. générale</w:t>
            </w:r>
          </w:p>
          <w:p w:rsidR="0019567A" w:rsidRDefault="0019567A" w:rsidP="0019567A">
            <w:pPr>
              <w:spacing w:line="240" w:lineRule="exact"/>
            </w:pPr>
            <w:r>
              <w:t>27 août 2018</w:t>
            </w:r>
          </w:p>
          <w:p w:rsidR="0019567A" w:rsidRDefault="0019567A" w:rsidP="0019567A">
            <w:pPr>
              <w:spacing w:line="240" w:lineRule="exact"/>
            </w:pPr>
            <w:r>
              <w:t>Français</w:t>
            </w:r>
          </w:p>
          <w:p w:rsidR="0019567A" w:rsidRPr="00DB58B5" w:rsidRDefault="0019567A" w:rsidP="0019567A">
            <w:pPr>
              <w:spacing w:line="240" w:lineRule="exact"/>
            </w:pPr>
            <w:r>
              <w:t>Original</w:t>
            </w:r>
            <w:r w:rsidR="00CA164A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51019" w:rsidRPr="00F1367D" w:rsidRDefault="00951019" w:rsidP="00951019">
      <w:pPr>
        <w:spacing w:before="120" w:after="120"/>
        <w:rPr>
          <w:b/>
          <w:sz w:val="24"/>
          <w:szCs w:val="24"/>
        </w:rPr>
      </w:pPr>
      <w:r w:rsidRPr="00F1367D">
        <w:rPr>
          <w:b/>
          <w:sz w:val="24"/>
          <w:szCs w:val="24"/>
        </w:rPr>
        <w:t xml:space="preserve">Forum mondial de l’harmonisation des Règlements </w:t>
      </w:r>
      <w:r>
        <w:rPr>
          <w:b/>
          <w:sz w:val="24"/>
          <w:szCs w:val="24"/>
        </w:rPr>
        <w:br/>
      </w:r>
      <w:r w:rsidRPr="00F1367D">
        <w:rPr>
          <w:b/>
          <w:sz w:val="24"/>
          <w:szCs w:val="24"/>
        </w:rPr>
        <w:t xml:space="preserve">concernant les véhicules </w:t>
      </w:r>
    </w:p>
    <w:p w:rsidR="00951019" w:rsidRPr="004C53F0" w:rsidRDefault="00951019" w:rsidP="00951019">
      <w:pPr>
        <w:kinsoku/>
        <w:overflowPunct/>
        <w:autoSpaceDE/>
        <w:autoSpaceDN/>
        <w:adjustRightInd/>
        <w:snapToGrid/>
        <w:spacing w:line="240" w:lineRule="exact"/>
        <w:rPr>
          <w:rFonts w:eastAsia="Times New Roman"/>
          <w:b/>
          <w:lang w:val="fr-FR"/>
        </w:rPr>
      </w:pPr>
      <w:r>
        <w:rPr>
          <w:rFonts w:eastAsia="Times New Roman"/>
          <w:b/>
          <w:lang w:val="fr-FR"/>
        </w:rPr>
        <w:t>176</w:t>
      </w:r>
      <w:r w:rsidRPr="009D2079">
        <w:rPr>
          <w:rFonts w:eastAsia="Times New Roman"/>
          <w:b/>
          <w:vertAlign w:val="superscript"/>
          <w:lang w:val="fr-FR"/>
        </w:rPr>
        <w:t>e</w:t>
      </w:r>
      <w:r>
        <w:rPr>
          <w:rFonts w:eastAsia="Times New Roman"/>
          <w:b/>
          <w:lang w:val="fr-FR"/>
        </w:rPr>
        <w:t xml:space="preserve"> session</w:t>
      </w:r>
    </w:p>
    <w:p w:rsidR="00951019" w:rsidRPr="004C53F0" w:rsidRDefault="00951019" w:rsidP="00951019">
      <w:pPr>
        <w:kinsoku/>
        <w:overflowPunct/>
        <w:autoSpaceDE/>
        <w:autoSpaceDN/>
        <w:adjustRightInd/>
        <w:snapToGrid/>
        <w:spacing w:line="240" w:lineRule="exact"/>
        <w:rPr>
          <w:rFonts w:eastAsia="Times New Roman"/>
          <w:bCs/>
          <w:lang w:val="fr-FR"/>
        </w:rPr>
      </w:pPr>
      <w:r>
        <w:rPr>
          <w:rFonts w:eastAsia="Times New Roman"/>
          <w:lang w:val="fr-FR"/>
        </w:rPr>
        <w:t>Genève</w:t>
      </w:r>
      <w:r w:rsidRPr="004C53F0">
        <w:rPr>
          <w:rFonts w:eastAsia="Times New Roman"/>
          <w:bCs/>
          <w:lang w:val="fr-FR"/>
        </w:rPr>
        <w:t>,</w:t>
      </w:r>
      <w:r>
        <w:rPr>
          <w:rFonts w:eastAsia="Times New Roman"/>
          <w:bCs/>
          <w:lang w:val="fr-FR"/>
        </w:rPr>
        <w:t xml:space="preserve"> 13-16 novembre </w:t>
      </w:r>
      <w:r w:rsidRPr="004C53F0">
        <w:rPr>
          <w:rFonts w:eastAsia="Times New Roman"/>
          <w:bCs/>
          <w:lang w:val="fr-FR"/>
        </w:rPr>
        <w:t>2018</w:t>
      </w:r>
    </w:p>
    <w:p w:rsidR="00951019" w:rsidRDefault="00951019" w:rsidP="00951019">
      <w:pPr>
        <w:spacing w:line="240" w:lineRule="exact"/>
        <w:rPr>
          <w:rFonts w:eastAsia="Times New Roman"/>
          <w:bCs/>
          <w:lang w:val="fr-FR"/>
        </w:rPr>
      </w:pPr>
      <w:r>
        <w:rPr>
          <w:rFonts w:eastAsia="Times New Roman"/>
          <w:bCs/>
          <w:lang w:val="fr-FR"/>
        </w:rPr>
        <w:t>Point 4.3</w:t>
      </w:r>
      <w:r w:rsidRPr="00462324">
        <w:rPr>
          <w:rFonts w:eastAsia="Times New Roman"/>
          <w:bCs/>
          <w:lang w:val="fr-FR"/>
        </w:rPr>
        <w:t xml:space="preserve"> de l</w:t>
      </w:r>
      <w:r>
        <w:rPr>
          <w:rFonts w:eastAsia="Times New Roman"/>
          <w:bCs/>
          <w:lang w:val="fr-FR"/>
        </w:rPr>
        <w:t>’</w:t>
      </w:r>
      <w:r w:rsidRPr="00462324">
        <w:rPr>
          <w:rFonts w:eastAsia="Times New Roman"/>
          <w:bCs/>
          <w:lang w:val="fr-FR"/>
        </w:rPr>
        <w:t>ordre du jour provisoire</w:t>
      </w:r>
    </w:p>
    <w:p w:rsidR="00C010F3" w:rsidRPr="00476FB3" w:rsidRDefault="00951019" w:rsidP="00C010F3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>
        <w:rPr>
          <w:rFonts w:eastAsia="Times New Roman"/>
          <w:b/>
          <w:bCs/>
        </w:rPr>
        <w:t>Accord de 1958</w:t>
      </w:r>
      <w:r w:rsidR="00C010F3">
        <w:rPr>
          <w:rFonts w:eastAsia="Times New Roman"/>
          <w:b/>
          <w:bCs/>
        </w:rPr>
        <w:t xml:space="preserve"> − </w:t>
      </w:r>
      <w:r w:rsidR="00C010F3" w:rsidRPr="00476FB3">
        <w:rPr>
          <w:rFonts w:eastAsia="Times New Roman"/>
          <w:b/>
          <w:lang w:val="fr-FR"/>
        </w:rPr>
        <w:t>Mise au point d</w:t>
      </w:r>
      <w:r w:rsidR="00C010F3">
        <w:rPr>
          <w:rFonts w:eastAsia="Times New Roman"/>
          <w:b/>
          <w:lang w:val="fr-FR"/>
        </w:rPr>
        <w:t>’</w:t>
      </w:r>
      <w:r w:rsidR="00C010F3" w:rsidRPr="00476FB3">
        <w:rPr>
          <w:rFonts w:eastAsia="Times New Roman"/>
          <w:b/>
          <w:lang w:val="fr-FR"/>
        </w:rPr>
        <w:t xml:space="preserve">une homologation </w:t>
      </w:r>
    </w:p>
    <w:p w:rsidR="00951019" w:rsidRDefault="00C010F3" w:rsidP="00C010F3">
      <w:pPr>
        <w:spacing w:line="240" w:lineRule="exact"/>
        <w:rPr>
          <w:rFonts w:eastAsia="Times New Roman"/>
          <w:b/>
          <w:bCs/>
        </w:rPr>
      </w:pPr>
      <w:r w:rsidRPr="00476FB3">
        <w:rPr>
          <w:rFonts w:eastAsia="Times New Roman"/>
          <w:b/>
          <w:lang w:val="fr-FR"/>
        </w:rPr>
        <w:t>de type internationale de l</w:t>
      </w:r>
      <w:r>
        <w:rPr>
          <w:rFonts w:eastAsia="Times New Roman"/>
          <w:b/>
          <w:lang w:val="fr-FR"/>
        </w:rPr>
        <w:t>’</w:t>
      </w:r>
      <w:r w:rsidRPr="00476FB3">
        <w:rPr>
          <w:rFonts w:eastAsia="Times New Roman"/>
          <w:b/>
          <w:lang w:val="fr-FR"/>
        </w:rPr>
        <w:t>ensemble du véhicule</w:t>
      </w:r>
    </w:p>
    <w:p w:rsidR="00C010F3" w:rsidRPr="00476FB3" w:rsidRDefault="00C010F3" w:rsidP="00C010F3">
      <w:pPr>
        <w:pStyle w:val="HChG"/>
      </w:pPr>
      <w:r w:rsidRPr="00476FB3">
        <w:rPr>
          <w:lang w:val="fr-FR"/>
        </w:rPr>
        <w:tab/>
      </w:r>
      <w:r w:rsidRPr="00476FB3">
        <w:rPr>
          <w:lang w:val="fr-FR"/>
        </w:rPr>
        <w:tab/>
        <w:t>Proposition de série 01 d</w:t>
      </w:r>
      <w:r>
        <w:rPr>
          <w:lang w:val="fr-FR"/>
        </w:rPr>
        <w:t>’</w:t>
      </w:r>
      <w:r w:rsidRPr="00476FB3">
        <w:rPr>
          <w:lang w:val="fr-FR"/>
        </w:rPr>
        <w:t xml:space="preserve">amendements </w:t>
      </w:r>
      <w:r>
        <w:rPr>
          <w:lang w:val="fr-FR"/>
        </w:rPr>
        <w:br/>
      </w:r>
      <w:r w:rsidRPr="00476FB3">
        <w:rPr>
          <w:lang w:val="fr-FR"/>
        </w:rPr>
        <w:t>au Règlement ONU n</w:t>
      </w:r>
      <w:r w:rsidRPr="00476FB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76FB3">
        <w:rPr>
          <w:lang w:val="fr-FR"/>
        </w:rPr>
        <w:t>0 sur l</w:t>
      </w:r>
      <w:r>
        <w:rPr>
          <w:lang w:val="fr-FR"/>
        </w:rPr>
        <w:t>’</w:t>
      </w:r>
      <w:r w:rsidRPr="00476FB3">
        <w:rPr>
          <w:lang w:val="fr-FR"/>
        </w:rPr>
        <w:t xml:space="preserve">homologation </w:t>
      </w:r>
      <w:r>
        <w:rPr>
          <w:lang w:val="fr-FR"/>
        </w:rPr>
        <w:br/>
      </w:r>
      <w:r w:rsidRPr="00476FB3">
        <w:rPr>
          <w:lang w:val="fr-FR"/>
        </w:rPr>
        <w:t>de type internationale de l</w:t>
      </w:r>
      <w:r>
        <w:rPr>
          <w:lang w:val="fr-FR"/>
        </w:rPr>
        <w:t>’</w:t>
      </w:r>
      <w:r w:rsidRPr="00476FB3">
        <w:rPr>
          <w:lang w:val="fr-FR"/>
        </w:rPr>
        <w:t>ensemble du véhicule</w:t>
      </w:r>
    </w:p>
    <w:p w:rsidR="00C010F3" w:rsidRPr="00476FB3" w:rsidRDefault="00C010F3" w:rsidP="00C010F3">
      <w:pPr>
        <w:pStyle w:val="H1G"/>
      </w:pPr>
      <w:r w:rsidRPr="00476FB3">
        <w:rPr>
          <w:lang w:val="fr-FR"/>
        </w:rPr>
        <w:tab/>
      </w:r>
      <w:r w:rsidRPr="00476FB3">
        <w:rPr>
          <w:lang w:val="fr-FR"/>
        </w:rPr>
        <w:tab/>
        <w:t xml:space="preserve">Communication du </w:t>
      </w:r>
      <w:r>
        <w:rPr>
          <w:lang w:val="fr-FR"/>
        </w:rPr>
        <w:t>G</w:t>
      </w:r>
      <w:r w:rsidRPr="00476FB3">
        <w:rPr>
          <w:lang w:val="fr-FR"/>
        </w:rPr>
        <w:t>roupe de travail informel de l</w:t>
      </w:r>
      <w:r>
        <w:rPr>
          <w:lang w:val="fr-FR"/>
        </w:rPr>
        <w:t>’</w:t>
      </w:r>
      <w:r w:rsidRPr="00476FB3">
        <w:rPr>
          <w:lang w:val="fr-FR"/>
        </w:rPr>
        <w:t xml:space="preserve">homologation </w:t>
      </w:r>
      <w:r>
        <w:rPr>
          <w:lang w:val="fr-FR"/>
        </w:rPr>
        <w:br/>
      </w:r>
      <w:r w:rsidRPr="00476FB3">
        <w:rPr>
          <w:lang w:val="fr-FR"/>
        </w:rPr>
        <w:t>de type internationale de l</w:t>
      </w:r>
      <w:r>
        <w:rPr>
          <w:lang w:val="fr-FR"/>
        </w:rPr>
        <w:t>’</w:t>
      </w:r>
      <w:r w:rsidRPr="00476FB3">
        <w:rPr>
          <w:lang w:val="fr-FR"/>
        </w:rPr>
        <w:t>ensemble du véhicule</w:t>
      </w:r>
      <w:r w:rsidR="00372182" w:rsidRPr="00372182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C010F3" w:rsidRPr="00476FB3" w:rsidRDefault="00C010F3" w:rsidP="00C010F3">
      <w:pPr>
        <w:pStyle w:val="SingleTxtG"/>
        <w:ind w:firstLine="567"/>
      </w:pPr>
      <w:r w:rsidRPr="00476FB3">
        <w:rPr>
          <w:lang w:val="fr-FR"/>
        </w:rPr>
        <w:t>Le présent document, établi par le groupe de travail informel de l</w:t>
      </w:r>
      <w:r>
        <w:rPr>
          <w:lang w:val="fr-FR"/>
        </w:rPr>
        <w:t>’</w:t>
      </w:r>
      <w:r w:rsidRPr="00476FB3">
        <w:rPr>
          <w:lang w:val="fr-FR"/>
        </w:rPr>
        <w:t>homologation de type internationale de l</w:t>
      </w:r>
      <w:r>
        <w:rPr>
          <w:lang w:val="fr-FR"/>
        </w:rPr>
        <w:t>’</w:t>
      </w:r>
      <w:r w:rsidRPr="00476FB3">
        <w:rPr>
          <w:lang w:val="fr-FR"/>
        </w:rPr>
        <w:t xml:space="preserve">ensemble du véhicule, </w:t>
      </w:r>
      <w:r>
        <w:rPr>
          <w:lang w:val="fr-FR"/>
        </w:rPr>
        <w:t xml:space="preserve">contient une </w:t>
      </w:r>
      <w:r w:rsidRPr="00476FB3">
        <w:rPr>
          <w:lang w:val="fr-FR"/>
        </w:rPr>
        <w:t>propos</w:t>
      </w:r>
      <w:r>
        <w:rPr>
          <w:lang w:val="fr-FR"/>
        </w:rPr>
        <w:t>ition de</w:t>
      </w:r>
      <w:r w:rsidRPr="00476FB3">
        <w:rPr>
          <w:lang w:val="fr-FR"/>
        </w:rPr>
        <w:t xml:space="preserve"> série 01 d</w:t>
      </w:r>
      <w:r>
        <w:rPr>
          <w:lang w:val="fr-FR"/>
        </w:rPr>
        <w:t>’</w:t>
      </w:r>
      <w:r w:rsidRPr="00476FB3">
        <w:rPr>
          <w:lang w:val="fr-FR"/>
        </w:rPr>
        <w:t>amendements au Règlement ONU n</w:t>
      </w:r>
      <w:r w:rsidRPr="00476FB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76FB3">
        <w:rPr>
          <w:lang w:val="fr-FR"/>
        </w:rPr>
        <w:t>0 (</w:t>
      </w:r>
      <w:r>
        <w:rPr>
          <w:lang w:val="fr-FR"/>
        </w:rPr>
        <w:t xml:space="preserve">rapport </w:t>
      </w:r>
      <w:r w:rsidRPr="00476FB3">
        <w:rPr>
          <w:lang w:val="fr-FR"/>
        </w:rPr>
        <w:t>ECE/TRANS/WP.29/1139, par.</w:t>
      </w:r>
      <w:r w:rsidR="003E4163">
        <w:rPr>
          <w:lang w:val="fr-FR"/>
        </w:rPr>
        <w:t> </w:t>
      </w:r>
      <w:r w:rsidRPr="00476FB3">
        <w:rPr>
          <w:lang w:val="fr-FR"/>
        </w:rPr>
        <w:t>70). Il</w:t>
      </w:r>
      <w:r w:rsidR="003E4163">
        <w:rPr>
          <w:lang w:val="fr-FR"/>
        </w:rPr>
        <w:t> </w:t>
      </w:r>
      <w:r w:rsidRPr="00476FB3">
        <w:rPr>
          <w:lang w:val="fr-FR"/>
        </w:rPr>
        <w:t xml:space="preserve">est </w:t>
      </w:r>
      <w:r>
        <w:rPr>
          <w:lang w:val="fr-FR"/>
        </w:rPr>
        <w:t>en grande partie</w:t>
      </w:r>
      <w:r w:rsidRPr="00476FB3">
        <w:rPr>
          <w:lang w:val="fr-FR"/>
        </w:rPr>
        <w:t xml:space="preserve"> fondé sur le document WP.29-175-14, </w:t>
      </w:r>
      <w:r>
        <w:rPr>
          <w:lang w:val="fr-FR"/>
        </w:rPr>
        <w:t xml:space="preserve">tel que </w:t>
      </w:r>
      <w:r w:rsidRPr="00476FB3">
        <w:rPr>
          <w:lang w:val="fr-FR"/>
        </w:rPr>
        <w:t xml:space="preserve">distribué à la </w:t>
      </w:r>
      <w:r w:rsidR="00382167">
        <w:rPr>
          <w:lang w:val="fr-FR"/>
        </w:rPr>
        <w:t>175</w:t>
      </w:r>
      <w:r w:rsidR="00382167" w:rsidRPr="00382167">
        <w:rPr>
          <w:vertAlign w:val="superscript"/>
          <w:lang w:val="fr-FR"/>
        </w:rPr>
        <w:t>e</w:t>
      </w:r>
      <w:r w:rsidR="00382167">
        <w:rPr>
          <w:lang w:val="fr-FR"/>
        </w:rPr>
        <w:t> </w:t>
      </w:r>
      <w:r w:rsidRPr="00476FB3">
        <w:rPr>
          <w:lang w:val="fr-FR"/>
        </w:rPr>
        <w:t>session du Forum mondial de l</w:t>
      </w:r>
      <w:r>
        <w:rPr>
          <w:lang w:val="fr-FR"/>
        </w:rPr>
        <w:t>’</w:t>
      </w:r>
      <w:r w:rsidRPr="00476FB3">
        <w:rPr>
          <w:lang w:val="fr-FR"/>
        </w:rPr>
        <w:t>harmonisation des Règlements concernant les véhicules (WP.29). Il est soumis au WP.29 et au Comité d</w:t>
      </w:r>
      <w:r>
        <w:rPr>
          <w:lang w:val="fr-FR"/>
        </w:rPr>
        <w:t>’</w:t>
      </w:r>
      <w:r w:rsidRPr="00476FB3">
        <w:rPr>
          <w:lang w:val="fr-FR"/>
        </w:rPr>
        <w:t>administration (AC.1) pour examen à leurs sessions de novembre 2018.</w:t>
      </w:r>
    </w:p>
    <w:p w:rsidR="00C010F3" w:rsidRPr="009A602E" w:rsidRDefault="00C010F3" w:rsidP="009A602E">
      <w:pPr>
        <w:pStyle w:val="HChG"/>
        <w:rPr>
          <w:u w:val="single"/>
        </w:rPr>
      </w:pPr>
      <w:r w:rsidRPr="00476FB3">
        <w:br w:type="page"/>
      </w:r>
      <w:r w:rsidRPr="00476FB3">
        <w:rPr>
          <w:lang w:val="fr-FR"/>
        </w:rPr>
        <w:lastRenderedPageBreak/>
        <w:tab/>
      </w:r>
      <w:r w:rsidRPr="00476FB3">
        <w:rPr>
          <w:lang w:val="fr-FR"/>
        </w:rPr>
        <w:tab/>
        <w:t>Série 01 d</w:t>
      </w:r>
      <w:r>
        <w:rPr>
          <w:lang w:val="fr-FR"/>
        </w:rPr>
        <w:t>’</w:t>
      </w:r>
      <w:r w:rsidRPr="00476FB3">
        <w:rPr>
          <w:lang w:val="fr-FR"/>
        </w:rPr>
        <w:t>amendements au Règlement ONU n</w:t>
      </w:r>
      <w:r w:rsidRPr="00476FB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76FB3">
        <w:rPr>
          <w:lang w:val="fr-FR"/>
        </w:rPr>
        <w:t xml:space="preserve">0 </w:t>
      </w:r>
      <w:r w:rsidR="009A602E">
        <w:rPr>
          <w:lang w:val="fr-FR"/>
        </w:rPr>
        <w:br/>
      </w:r>
      <w:r w:rsidRPr="00476FB3">
        <w:rPr>
          <w:lang w:val="fr-FR"/>
        </w:rPr>
        <w:t>sur l</w:t>
      </w:r>
      <w:r>
        <w:rPr>
          <w:lang w:val="fr-FR"/>
        </w:rPr>
        <w:t>’</w:t>
      </w:r>
      <w:r w:rsidRPr="00476FB3">
        <w:rPr>
          <w:lang w:val="fr-FR"/>
        </w:rPr>
        <w:t xml:space="preserve">homologation de type internationale </w:t>
      </w:r>
      <w:r w:rsidR="009A602E">
        <w:rPr>
          <w:lang w:val="fr-FR"/>
        </w:rPr>
        <w:br/>
      </w:r>
      <w:r w:rsidRPr="00476FB3">
        <w:rPr>
          <w:lang w:val="fr-FR"/>
        </w:rPr>
        <w:t>de l</w:t>
      </w:r>
      <w:r>
        <w:rPr>
          <w:lang w:val="fr-FR"/>
        </w:rPr>
        <w:t>’</w:t>
      </w:r>
      <w:r w:rsidRPr="00476FB3">
        <w:rPr>
          <w:lang w:val="fr-FR"/>
        </w:rPr>
        <w:t>ensemble du véhicule (IWVTA)</w:t>
      </w:r>
    </w:p>
    <w:p w:rsidR="00C010F3" w:rsidRPr="00476FB3" w:rsidRDefault="00C010F3" w:rsidP="009A602E">
      <w:pPr>
        <w:pStyle w:val="SingleTxtG"/>
        <w:keepNext/>
        <w:rPr>
          <w:rFonts w:eastAsia="MS Mincho"/>
        </w:rPr>
      </w:pPr>
      <w:r w:rsidRPr="009A602E">
        <w:rPr>
          <w:i/>
          <w:lang w:val="fr-FR"/>
        </w:rPr>
        <w:t>Ajouter de nouveaux paragraphes numérotés 12.3 et 12.4 (dispositions transitoires)</w:t>
      </w:r>
      <w:r w:rsidRPr="00476FB3">
        <w:rPr>
          <w:lang w:val="fr-FR"/>
        </w:rPr>
        <w:t>, libellés comme suit</w:t>
      </w:r>
      <w:r w:rsidR="00CA164A">
        <w:rPr>
          <w:lang w:val="fr-FR"/>
        </w:rPr>
        <w:t> :</w:t>
      </w:r>
    </w:p>
    <w:p w:rsidR="00C010F3" w:rsidRPr="00476FB3" w:rsidRDefault="00C010F3" w:rsidP="009A602E">
      <w:pPr>
        <w:pStyle w:val="SingleTxtG"/>
        <w:ind w:left="2268" w:hanging="1134"/>
      </w:pPr>
      <w:r w:rsidRPr="00476FB3">
        <w:rPr>
          <w:lang w:val="fr-FR"/>
        </w:rPr>
        <w:t>«</w:t>
      </w:r>
      <w:r w:rsidR="009A602E">
        <w:rPr>
          <w:lang w:val="fr-FR"/>
        </w:rPr>
        <w:t> </w:t>
      </w:r>
      <w:r w:rsidRPr="00476FB3">
        <w:rPr>
          <w:lang w:val="fr-FR"/>
        </w:rPr>
        <w:t>12.3</w:t>
      </w:r>
      <w:r w:rsidRPr="00476FB3">
        <w:rPr>
          <w:lang w:val="fr-FR"/>
        </w:rPr>
        <w:tab/>
        <w:t>À compter de la date officielle d</w:t>
      </w:r>
      <w:r>
        <w:rPr>
          <w:lang w:val="fr-FR"/>
        </w:rPr>
        <w:t>’</w:t>
      </w:r>
      <w:r w:rsidRPr="00476FB3">
        <w:rPr>
          <w:lang w:val="fr-FR"/>
        </w:rPr>
        <w:t>entrée en vigueur de la série 01 d</w:t>
      </w:r>
      <w:r>
        <w:rPr>
          <w:lang w:val="fr-FR"/>
        </w:rPr>
        <w:t>’</w:t>
      </w:r>
      <w:r w:rsidRPr="00476FB3">
        <w:rPr>
          <w:lang w:val="fr-FR"/>
        </w:rPr>
        <w:t xml:space="preserve">amendements au présent </w:t>
      </w:r>
      <w:r>
        <w:rPr>
          <w:lang w:val="fr-FR"/>
        </w:rPr>
        <w:t>Règlement ONU</w:t>
      </w:r>
      <w:r w:rsidRPr="00476FB3">
        <w:rPr>
          <w:lang w:val="fr-FR"/>
        </w:rPr>
        <w:t xml:space="preserve">, aucune Partie contractante appliquant </w:t>
      </w:r>
      <w:r>
        <w:rPr>
          <w:lang w:val="fr-FR"/>
        </w:rPr>
        <w:t>ledit</w:t>
      </w:r>
      <w:r w:rsidRPr="00476FB3">
        <w:rPr>
          <w:lang w:val="fr-FR"/>
        </w:rPr>
        <w:t xml:space="preserve"> Règlement ne pourra refuser d</w:t>
      </w:r>
      <w:r>
        <w:rPr>
          <w:lang w:val="fr-FR"/>
        </w:rPr>
        <w:t>’</w:t>
      </w:r>
      <w:r w:rsidRPr="00476FB3">
        <w:rPr>
          <w:lang w:val="fr-FR"/>
        </w:rPr>
        <w:t>accorder ou refuser d</w:t>
      </w:r>
      <w:r>
        <w:rPr>
          <w:lang w:val="fr-FR"/>
        </w:rPr>
        <w:t>’</w:t>
      </w:r>
      <w:r w:rsidRPr="00476FB3">
        <w:rPr>
          <w:lang w:val="fr-FR"/>
        </w:rPr>
        <w:t xml:space="preserve">accepter des homologations de type (IWVTA) accordées au titre du présent Règlement </w:t>
      </w:r>
      <w:r>
        <w:rPr>
          <w:lang w:val="fr-FR"/>
        </w:rPr>
        <w:t xml:space="preserve">tel que </w:t>
      </w:r>
      <w:r w:rsidRPr="00476FB3">
        <w:rPr>
          <w:lang w:val="fr-FR"/>
        </w:rPr>
        <w:t>modifié par la série 01 d</w:t>
      </w:r>
      <w:r>
        <w:rPr>
          <w:lang w:val="fr-FR"/>
        </w:rPr>
        <w:t>’</w:t>
      </w:r>
      <w:r w:rsidRPr="00476FB3">
        <w:rPr>
          <w:lang w:val="fr-FR"/>
        </w:rPr>
        <w:t>amendements.</w:t>
      </w:r>
    </w:p>
    <w:p w:rsidR="00C010F3" w:rsidRPr="00476FB3" w:rsidRDefault="00C010F3" w:rsidP="00CA164A">
      <w:pPr>
        <w:pStyle w:val="SingleTxtG"/>
        <w:ind w:left="2268" w:hanging="1134"/>
        <w:rPr>
          <w:rFonts w:eastAsia="MS Mincho"/>
        </w:rPr>
      </w:pPr>
      <w:r w:rsidRPr="00476FB3">
        <w:rPr>
          <w:rFonts w:eastAsia="Times New Roman"/>
          <w:lang w:val="fr-FR"/>
        </w:rPr>
        <w:t>12.4</w:t>
      </w:r>
      <w:r w:rsidRPr="00476FB3">
        <w:rPr>
          <w:rFonts w:eastAsia="Times New Roman"/>
          <w:lang w:val="fr-FR"/>
        </w:rPr>
        <w:tab/>
      </w:r>
      <w:r w:rsidRPr="00476FB3">
        <w:rPr>
          <w:rFonts w:eastAsia="Times New Roman"/>
          <w:lang w:val="fr-FR"/>
        </w:rPr>
        <w:tab/>
        <w:t>À compter du 1</w:t>
      </w:r>
      <w:r w:rsidRPr="00476FB3">
        <w:rPr>
          <w:rFonts w:eastAsia="Times New Roman"/>
          <w:vertAlign w:val="superscript"/>
          <w:lang w:val="fr-FR"/>
        </w:rPr>
        <w:t>er</w:t>
      </w:r>
      <w:r w:rsidRPr="00476FB3">
        <w:rPr>
          <w:rFonts w:eastAsia="Times New Roman"/>
          <w:lang w:val="fr-FR"/>
        </w:rPr>
        <w:t xml:space="preserve"> septembre 2019, les Parties contractantes appliquant le présent </w:t>
      </w:r>
      <w:r>
        <w:rPr>
          <w:rFonts w:eastAsia="Times New Roman"/>
          <w:lang w:val="fr-FR"/>
        </w:rPr>
        <w:t>Règlement ONU</w:t>
      </w:r>
      <w:r w:rsidRPr="00476FB3">
        <w:rPr>
          <w:rFonts w:eastAsia="Times New Roman"/>
          <w:lang w:val="fr-FR"/>
        </w:rPr>
        <w:t xml:space="preserve"> ne seront plus obligées d</w:t>
      </w:r>
      <w:r>
        <w:rPr>
          <w:rFonts w:eastAsia="Times New Roman"/>
          <w:lang w:val="fr-FR"/>
        </w:rPr>
        <w:t>’</w:t>
      </w:r>
      <w:r w:rsidRPr="00476FB3">
        <w:rPr>
          <w:rFonts w:eastAsia="Times New Roman"/>
          <w:lang w:val="fr-FR"/>
        </w:rPr>
        <w:t>accepter les homologations de type (IWVTA)</w:t>
      </w:r>
      <w:r w:rsidRPr="00656899">
        <w:t xml:space="preserve"> </w:t>
      </w:r>
      <w:r w:rsidRPr="00656899">
        <w:rPr>
          <w:rFonts w:eastAsia="Times New Roman"/>
          <w:lang w:val="fr-FR"/>
        </w:rPr>
        <w:t>délivrées au titre des précédentes séries d</w:t>
      </w:r>
      <w:r>
        <w:rPr>
          <w:rFonts w:eastAsia="Times New Roman"/>
          <w:lang w:val="fr-FR"/>
        </w:rPr>
        <w:t>’</w:t>
      </w:r>
      <w:r w:rsidRPr="00656899">
        <w:rPr>
          <w:rFonts w:eastAsia="Times New Roman"/>
          <w:lang w:val="fr-FR"/>
        </w:rPr>
        <w:t>amendements le</w:t>
      </w:r>
      <w:r w:rsidRPr="00476FB3">
        <w:rPr>
          <w:rFonts w:eastAsia="Times New Roman"/>
          <w:lang w:val="fr-FR"/>
        </w:rPr>
        <w:t xml:space="preserve"> 1</w:t>
      </w:r>
      <w:r w:rsidRPr="00476FB3">
        <w:rPr>
          <w:rFonts w:eastAsia="Times New Roman"/>
          <w:vertAlign w:val="superscript"/>
          <w:lang w:val="fr-FR"/>
        </w:rPr>
        <w:t>er</w:t>
      </w:r>
      <w:r w:rsidRPr="00476FB3">
        <w:rPr>
          <w:rFonts w:eastAsia="Times New Roman"/>
          <w:lang w:val="fr-FR"/>
        </w:rPr>
        <w:t xml:space="preserve"> septembre 2019</w:t>
      </w:r>
      <w:r w:rsidRPr="00656899">
        <w:rPr>
          <w:rFonts w:eastAsia="Times New Roman"/>
          <w:lang w:val="fr-FR"/>
        </w:rPr>
        <w:t xml:space="preserve"> ou ultérieurement</w:t>
      </w:r>
      <w:r w:rsidRPr="00476FB3">
        <w:rPr>
          <w:rFonts w:eastAsia="Times New Roman"/>
          <w:lang w:val="fr-FR"/>
        </w:rPr>
        <w:t>.</w:t>
      </w:r>
      <w:r w:rsidR="00382167">
        <w:rPr>
          <w:rFonts w:eastAsia="Times New Roman"/>
          <w:lang w:val="fr-FR"/>
        </w:rPr>
        <w:t> ».</w:t>
      </w:r>
    </w:p>
    <w:p w:rsidR="00C010F3" w:rsidRPr="00476FB3" w:rsidRDefault="00C010F3" w:rsidP="009370C7">
      <w:pPr>
        <w:pStyle w:val="SingleTxtG"/>
        <w:rPr>
          <w:rFonts w:eastAsia="MS Mincho"/>
        </w:rPr>
      </w:pPr>
      <w:r w:rsidRPr="00476FB3">
        <w:rPr>
          <w:i/>
          <w:iCs/>
          <w:lang w:val="fr-FR"/>
        </w:rPr>
        <w:t>A</w:t>
      </w:r>
      <w:r>
        <w:rPr>
          <w:i/>
          <w:iCs/>
          <w:lang w:val="fr-FR"/>
        </w:rPr>
        <w:t>nnexe 2 (E</w:t>
      </w:r>
      <w:r w:rsidRPr="00476FB3">
        <w:rPr>
          <w:i/>
          <w:iCs/>
          <w:lang w:val="fr-FR"/>
        </w:rPr>
        <w:t>xemples de marque d</w:t>
      </w:r>
      <w:r>
        <w:rPr>
          <w:i/>
          <w:iCs/>
          <w:lang w:val="fr-FR"/>
        </w:rPr>
        <w:t>’</w:t>
      </w:r>
      <w:r w:rsidRPr="00476FB3">
        <w:rPr>
          <w:i/>
          <w:iCs/>
          <w:lang w:val="fr-FR"/>
        </w:rPr>
        <w:t>homologation)</w:t>
      </w:r>
      <w:r w:rsidR="00CA164A">
        <w:rPr>
          <w:i/>
          <w:iCs/>
          <w:lang w:val="fr-FR"/>
        </w:rPr>
        <w:t> </w:t>
      </w:r>
      <w:r w:rsidR="00CA164A" w:rsidRPr="00382167">
        <w:rPr>
          <w:iCs/>
          <w:lang w:val="fr-FR"/>
        </w:rPr>
        <w:t>:</w:t>
      </w:r>
      <w:r w:rsidRPr="00476FB3">
        <w:rPr>
          <w:lang w:val="fr-FR"/>
        </w:rPr>
        <w:t xml:space="preserve"> </w:t>
      </w:r>
      <w:r>
        <w:rPr>
          <w:lang w:val="fr-FR"/>
        </w:rPr>
        <w:t>dans la figure représentant</w:t>
      </w:r>
      <w:r w:rsidRPr="00476FB3">
        <w:rPr>
          <w:lang w:val="fr-FR"/>
        </w:rPr>
        <w:t xml:space="preserve"> la marque d</w:t>
      </w:r>
      <w:r>
        <w:rPr>
          <w:lang w:val="fr-FR"/>
        </w:rPr>
        <w:t>’</w:t>
      </w:r>
      <w:r w:rsidRPr="00476FB3">
        <w:rPr>
          <w:lang w:val="fr-FR"/>
        </w:rPr>
        <w:t>homologation</w:t>
      </w:r>
      <w:r>
        <w:rPr>
          <w:lang w:val="fr-FR"/>
        </w:rPr>
        <w:t>, remplacer</w:t>
      </w:r>
      <w:r w:rsidRPr="00476FB3">
        <w:rPr>
          <w:lang w:val="fr-FR"/>
        </w:rPr>
        <w:t xml:space="preserve"> «</w:t>
      </w:r>
      <w:r w:rsidR="009370C7">
        <w:rPr>
          <w:lang w:val="fr-FR"/>
        </w:rPr>
        <w:t> </w:t>
      </w:r>
      <w:r w:rsidRPr="00476FB3">
        <w:rPr>
          <w:lang w:val="fr-FR"/>
        </w:rPr>
        <w:t>R00</w:t>
      </w:r>
      <w:r w:rsidR="009370C7">
        <w:rPr>
          <w:lang w:val="fr-FR"/>
        </w:rPr>
        <w:t> </w:t>
      </w:r>
      <w:r w:rsidRPr="00476FB3">
        <w:rPr>
          <w:lang w:val="fr-FR"/>
        </w:rPr>
        <w:t>» par «</w:t>
      </w:r>
      <w:r w:rsidR="009370C7">
        <w:rPr>
          <w:lang w:val="fr-FR"/>
        </w:rPr>
        <w:t> </w:t>
      </w:r>
      <w:r w:rsidRPr="00476FB3">
        <w:rPr>
          <w:lang w:val="fr-FR"/>
        </w:rPr>
        <w:t>R01</w:t>
      </w:r>
      <w:r w:rsidR="009370C7">
        <w:rPr>
          <w:lang w:val="fr-FR"/>
        </w:rPr>
        <w:t> </w:t>
      </w:r>
      <w:r w:rsidRPr="00476FB3">
        <w:rPr>
          <w:lang w:val="fr-FR"/>
        </w:rPr>
        <w:t>» (deux fois)</w:t>
      </w:r>
      <w:r w:rsidR="00CA164A">
        <w:rPr>
          <w:lang w:val="fr-FR"/>
        </w:rPr>
        <w:t> ;</w:t>
      </w:r>
      <w:r>
        <w:rPr>
          <w:lang w:val="fr-FR"/>
        </w:rPr>
        <w:t xml:space="preserve"> </w:t>
      </w:r>
      <w:r w:rsidRPr="00476FB3">
        <w:rPr>
          <w:lang w:val="fr-FR"/>
        </w:rPr>
        <w:t>dans le texte</w:t>
      </w:r>
      <w:r>
        <w:rPr>
          <w:lang w:val="fr-FR"/>
        </w:rPr>
        <w:t>, remplacer</w:t>
      </w:r>
      <w:r w:rsidRPr="00476FB3">
        <w:rPr>
          <w:lang w:val="fr-FR"/>
        </w:rPr>
        <w:t xml:space="preserve"> </w:t>
      </w:r>
      <w:r>
        <w:t>« </w:t>
      </w:r>
      <w:r w:rsidRPr="00C47227">
        <w:rPr>
          <w:lang w:val="fr-FR"/>
        </w:rPr>
        <w:t>en application de la version initiale du présent Règlement</w:t>
      </w:r>
      <w:r>
        <w:rPr>
          <w:lang w:val="fr-FR"/>
        </w:rPr>
        <w:t> »</w:t>
      </w:r>
      <w:r w:rsidRPr="00476FB3">
        <w:rPr>
          <w:lang w:val="fr-FR"/>
        </w:rPr>
        <w:t xml:space="preserve"> par «</w:t>
      </w:r>
      <w:r w:rsidR="009370C7">
        <w:rPr>
          <w:lang w:val="fr-FR"/>
        </w:rPr>
        <w:t> </w:t>
      </w:r>
      <w:r w:rsidRPr="00476FB3">
        <w:rPr>
          <w:lang w:val="fr-FR"/>
        </w:rPr>
        <w:t>en application du présent Règlement</w:t>
      </w:r>
      <w:r>
        <w:rPr>
          <w:lang w:val="fr-FR"/>
        </w:rPr>
        <w:t xml:space="preserve"> tel que</w:t>
      </w:r>
      <w:r w:rsidRPr="00476FB3">
        <w:rPr>
          <w:lang w:val="fr-FR"/>
        </w:rPr>
        <w:t xml:space="preserve"> modifié par la série 01 d</w:t>
      </w:r>
      <w:r>
        <w:rPr>
          <w:lang w:val="fr-FR"/>
        </w:rPr>
        <w:t>’</w:t>
      </w:r>
      <w:r w:rsidRPr="00476FB3">
        <w:rPr>
          <w:lang w:val="fr-FR"/>
        </w:rPr>
        <w:t>amendements</w:t>
      </w:r>
      <w:r w:rsidR="009370C7">
        <w:rPr>
          <w:lang w:val="fr-FR"/>
        </w:rPr>
        <w:t> </w:t>
      </w:r>
      <w:r w:rsidRPr="00476FB3">
        <w:rPr>
          <w:lang w:val="fr-FR"/>
        </w:rPr>
        <w:t>» (deux fois).</w:t>
      </w:r>
    </w:p>
    <w:p w:rsidR="00C010F3" w:rsidRPr="009370C7" w:rsidRDefault="00C010F3" w:rsidP="009370C7">
      <w:pPr>
        <w:pStyle w:val="SingleTxtG"/>
        <w:rPr>
          <w:i/>
          <w:color w:val="00000A"/>
        </w:rPr>
      </w:pPr>
      <w:r w:rsidRPr="009370C7">
        <w:rPr>
          <w:i/>
          <w:lang w:val="fr-FR"/>
        </w:rPr>
        <w:t>Annexe 4 (Liste des prescriptions applicables aux fins d’une</w:t>
      </w:r>
      <w:r w:rsidRPr="009370C7" w:rsidDel="005E79FE">
        <w:rPr>
          <w:i/>
          <w:lang w:val="fr-FR"/>
        </w:rPr>
        <w:t xml:space="preserve"> </w:t>
      </w:r>
      <w:r w:rsidRPr="009370C7">
        <w:rPr>
          <w:i/>
          <w:lang w:val="fr-FR"/>
        </w:rPr>
        <w:t>homologation IWVTA)</w:t>
      </w:r>
    </w:p>
    <w:p w:rsidR="00C010F3" w:rsidRPr="00476FB3" w:rsidRDefault="00C010F3" w:rsidP="009370C7">
      <w:pPr>
        <w:pStyle w:val="SingleTxtG"/>
        <w:rPr>
          <w:color w:val="00000A"/>
        </w:rPr>
      </w:pPr>
      <w:r w:rsidRPr="00476FB3">
        <w:rPr>
          <w:i/>
          <w:iCs/>
          <w:lang w:val="fr-FR"/>
        </w:rPr>
        <w:t xml:space="preserve">Section I (Liste des </w:t>
      </w:r>
      <w:r w:rsidRPr="00917502">
        <w:rPr>
          <w:i/>
          <w:iCs/>
          <w:lang w:val="fr-FR"/>
        </w:rPr>
        <w:t>prescriptions applicables aux fins d</w:t>
      </w:r>
      <w:r>
        <w:rPr>
          <w:i/>
          <w:iCs/>
          <w:lang w:val="fr-FR"/>
        </w:rPr>
        <w:t>’</w:t>
      </w:r>
      <w:r w:rsidRPr="00917502">
        <w:rPr>
          <w:i/>
          <w:iCs/>
          <w:lang w:val="fr-FR"/>
        </w:rPr>
        <w:t>une</w:t>
      </w:r>
      <w:r>
        <w:rPr>
          <w:i/>
          <w:iCs/>
          <w:lang w:val="fr-FR"/>
        </w:rPr>
        <w:t xml:space="preserve"> </w:t>
      </w:r>
      <w:r w:rsidRPr="00476FB3">
        <w:rPr>
          <w:i/>
          <w:iCs/>
          <w:lang w:val="fr-FR"/>
        </w:rPr>
        <w:t>homologation U-IWVTA)</w:t>
      </w:r>
      <w:r w:rsidRPr="00476FB3">
        <w:rPr>
          <w:lang w:val="fr-FR"/>
        </w:rPr>
        <w:t xml:space="preserve">, remplacer le tableau </w:t>
      </w:r>
      <w:r>
        <w:rPr>
          <w:lang w:val="fr-FR"/>
        </w:rPr>
        <w:t>comme suit</w:t>
      </w:r>
      <w:r w:rsidRPr="00476FB3">
        <w:rPr>
          <w:lang w:val="fr-FR"/>
        </w:rPr>
        <w:t xml:space="preserve"> (en laissant</w:t>
      </w:r>
      <w:r>
        <w:rPr>
          <w:lang w:val="fr-FR"/>
        </w:rPr>
        <w:t xml:space="preserve"> </w:t>
      </w:r>
      <w:r w:rsidRPr="00917502">
        <w:rPr>
          <w:lang w:val="fr-FR"/>
        </w:rPr>
        <w:t>inchangés</w:t>
      </w:r>
      <w:r w:rsidRPr="00476FB3">
        <w:rPr>
          <w:lang w:val="fr-FR"/>
        </w:rPr>
        <w:t xml:space="preserve"> les </w:t>
      </w:r>
      <w:r>
        <w:rPr>
          <w:lang w:val="fr-FR"/>
        </w:rPr>
        <w:t>appels des</w:t>
      </w:r>
      <w:r w:rsidRPr="00476FB3">
        <w:rPr>
          <w:lang w:val="fr-FR"/>
        </w:rPr>
        <w:t xml:space="preserve"> notes</w:t>
      </w:r>
      <w:r>
        <w:rPr>
          <w:lang w:val="fr-FR"/>
        </w:rPr>
        <w:t xml:space="preserve"> </w:t>
      </w:r>
      <w:r w:rsidRPr="00917502">
        <w:rPr>
          <w:lang w:val="fr-FR"/>
        </w:rPr>
        <w:t>de bas de page</w:t>
      </w:r>
      <w:r>
        <w:rPr>
          <w:vertAlign w:val="superscript"/>
          <w:lang w:val="fr-FR"/>
        </w:rPr>
        <w:t> </w:t>
      </w:r>
      <w:r w:rsidRPr="009370C7">
        <w:rPr>
          <w:sz w:val="18"/>
          <w:szCs w:val="18"/>
          <w:vertAlign w:val="superscript"/>
          <w:lang w:val="fr-FR"/>
        </w:rPr>
        <w:t>1</w:t>
      </w:r>
      <w:r w:rsidRPr="00476FB3">
        <w:rPr>
          <w:lang w:val="fr-FR"/>
        </w:rPr>
        <w:t xml:space="preserve"> et</w:t>
      </w:r>
      <w:r>
        <w:rPr>
          <w:lang w:val="fr-FR"/>
        </w:rPr>
        <w:t> </w:t>
      </w:r>
      <w:r w:rsidRPr="009370C7">
        <w:rPr>
          <w:sz w:val="18"/>
          <w:szCs w:val="18"/>
          <w:vertAlign w:val="superscript"/>
          <w:lang w:val="fr-FR"/>
        </w:rPr>
        <w:t>2</w:t>
      </w:r>
      <w:r w:rsidRPr="00476FB3">
        <w:rPr>
          <w:lang w:val="fr-FR"/>
        </w:rPr>
        <w:t xml:space="preserve"> et le texte des notes)</w:t>
      </w:r>
      <w:r w:rsidR="00CA164A">
        <w:rPr>
          <w:lang w:val="fr-FR"/>
        </w:rPr>
        <w:t> :</w:t>
      </w:r>
    </w:p>
    <w:p w:rsidR="00C010F3" w:rsidRPr="00476FB3" w:rsidRDefault="00C010F3" w:rsidP="00C010F3">
      <w:pPr>
        <w:tabs>
          <w:tab w:val="left" w:pos="2835"/>
        </w:tabs>
        <w:kinsoku/>
        <w:overflowPunct/>
        <w:autoSpaceDE/>
        <w:autoSpaceDN/>
        <w:adjustRightInd/>
        <w:snapToGrid/>
        <w:spacing w:before="120" w:after="120"/>
        <w:ind w:left="2268" w:right="1134" w:hanging="1134"/>
        <w:jc w:val="both"/>
        <w:rPr>
          <w:rFonts w:eastAsia="Times New Roman"/>
          <w:lang w:val="en-GB"/>
        </w:rPr>
      </w:pPr>
      <w:r w:rsidRPr="00476FB3">
        <w:rPr>
          <w:rFonts w:eastAsia="Times New Roman"/>
          <w:lang w:val="fr-FR"/>
        </w:rPr>
        <w:t>«</w:t>
      </w:r>
      <w:r w:rsidR="009370C7">
        <w:rPr>
          <w:rFonts w:eastAsia="Times New Roman"/>
          <w:lang w:val="fr-FR"/>
        </w:rPr>
        <w:t>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392"/>
        <w:gridCol w:w="1392"/>
        <w:gridCol w:w="1693"/>
      </w:tblGrid>
      <w:tr w:rsidR="00C010F3" w:rsidRPr="00E93379" w:rsidTr="001C15C3">
        <w:trPr>
          <w:cantSplit/>
          <w:tblHeader/>
        </w:trPr>
        <w:tc>
          <w:tcPr>
            <w:tcW w:w="4285" w:type="dxa"/>
            <w:gridSpan w:val="2"/>
            <w:shd w:val="clear" w:color="auto" w:fill="auto"/>
            <w:vAlign w:val="bottom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i/>
                <w:sz w:val="16"/>
                <w:lang w:val="en-GB" w:eastAsia="ja-JP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bottom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</w:rPr>
            </w:pPr>
            <w:r w:rsidRPr="00E93379">
              <w:rPr>
                <w:rFonts w:eastAsia="Times New Roman"/>
                <w:i/>
                <w:iCs/>
                <w:sz w:val="16"/>
                <w:lang w:val="fr-FR"/>
              </w:rPr>
              <w:t>Version du Règlement ONU</w:t>
            </w:r>
          </w:p>
        </w:tc>
      </w:tr>
      <w:tr w:rsidR="00C010F3" w:rsidRPr="00E93379" w:rsidTr="001C15C3">
        <w:trPr>
          <w:cantSplit/>
          <w:tblHeader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</w:rPr>
            </w:pPr>
            <w:r w:rsidRPr="00E93379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>Numéro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</w:rPr>
            </w:pPr>
            <w:r w:rsidRPr="00E93379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>Objet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93379">
              <w:rPr>
                <w:rFonts w:eastAsia="Times New Roman"/>
                <w:i/>
                <w:sz w:val="16"/>
                <w:szCs w:val="16"/>
                <w:lang w:val="fr-FR"/>
              </w:rPr>
              <w:t>Règlement ONU</w:t>
            </w:r>
            <w:r w:rsidRPr="00E93379">
              <w:rPr>
                <w:rFonts w:eastAsia="Times New Roman"/>
                <w:i/>
                <w:sz w:val="16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93379">
              <w:rPr>
                <w:rFonts w:eastAsia="Times New Roman"/>
                <w:i/>
                <w:iCs/>
                <w:sz w:val="16"/>
                <w:szCs w:val="16"/>
                <w:lang w:val="fr-FR"/>
              </w:rPr>
              <w:t>Série d’amendements</w:t>
            </w:r>
            <w:r w:rsidRPr="00E93379">
              <w:rPr>
                <w:rFonts w:eastAsia="Times New Roman"/>
                <w:i/>
                <w:iCs/>
                <w:sz w:val="16"/>
                <w:szCs w:val="16"/>
                <w:vertAlign w:val="superscript"/>
                <w:lang w:val="fr-FR"/>
              </w:rPr>
              <w:t>2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val="en-GB" w:eastAsia="ja-JP"/>
              </w:rPr>
            </w:pPr>
            <w:r w:rsidRPr="00E93379">
              <w:rPr>
                <w:lang w:val="en-GB" w:eastAsia="ja-JP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 xml:space="preserve">Dispositifs catadioptriques pour véhicules à moteur et leurs remorques 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Dispositifs d’éclairage des plaques d’immatriculation arrière des véhicules à moteur et de leurs remorques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Feux indicateurs de direction pour véhicules à moteur et leurs remorques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382167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Feux de position avant et arrière, feux</w:t>
            </w:r>
            <w:r w:rsidR="00382167">
              <w:rPr>
                <w:rFonts w:eastAsia="Times New Roman"/>
                <w:lang w:val="fr-FR"/>
              </w:rPr>
              <w:noBreakHyphen/>
            </w:r>
            <w:r w:rsidRPr="00E93379">
              <w:rPr>
                <w:rFonts w:eastAsia="Times New Roman"/>
                <w:lang w:val="fr-FR"/>
              </w:rPr>
              <w:t>stop et feux d’encombrement des véhicules automobiles (à l’exception des</w:t>
            </w:r>
            <w:r w:rsidR="00382167">
              <w:rPr>
                <w:rFonts w:eastAsia="Times New Roman"/>
                <w:lang w:val="fr-FR"/>
              </w:rPr>
              <w:t> </w:t>
            </w:r>
            <w:r w:rsidRPr="00E93379">
              <w:rPr>
                <w:rFonts w:eastAsia="Times New Roman"/>
                <w:lang w:val="fr-FR"/>
              </w:rPr>
              <w:t xml:space="preserve">motocycles) et de leurs remorques 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la compatibilité électromagnétique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05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 xml:space="preserve">Véhicules en ce qui concerne les serrures et organes de fixation des portes 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11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04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la protection du conducteur contre le dispositif de conduite en cas de choc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04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8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Freins des véhicules des catégories M</w:t>
            </w:r>
            <w:r w:rsidRPr="00E93379">
              <w:rPr>
                <w:rFonts w:eastAsia="Times New Roman"/>
                <w:vertAlign w:val="subscript"/>
                <w:lang w:val="fr-FR"/>
              </w:rPr>
              <w:t>1</w:t>
            </w:r>
            <w:r w:rsidRPr="00E93379">
              <w:rPr>
                <w:rFonts w:eastAsia="Times New Roman"/>
                <w:lang w:val="fr-FR"/>
              </w:rPr>
              <w:t xml:space="preserve"> et N</w:t>
            </w:r>
            <w:r w:rsidRPr="00E93379">
              <w:rPr>
                <w:rFonts w:eastAsia="Times New Roman"/>
                <w:vertAlign w:val="subscript"/>
                <w:lang w:val="fr-FR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13-H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les ancrages de ceintures de sécurité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14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08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lastRenderedPageBreak/>
              <w:t>10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 xml:space="preserve">Ceintures de sécurité, systèmes de retenue, dispositifs de retenue pour enfants et dispositifs de retenue pour enfants ISOFIX 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16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Del="008D6754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les sièges, leur ancrage et les appuie-tête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17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08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 xml:space="preserve">Feux de brouillard avant pour véhicules à moteur 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19</w:t>
            </w:r>
            <w:r w:rsidRPr="00E93379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04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Del="008D6754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leur aménagement intérieur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21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382167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Feux de marche arrière et feux de manœuvre pour véhicules à moteur et</w:t>
            </w:r>
            <w:r w:rsidR="00382167">
              <w:rPr>
                <w:rFonts w:eastAsia="Times New Roman"/>
                <w:lang w:val="fr-FR"/>
              </w:rPr>
              <w:t> </w:t>
            </w:r>
            <w:r w:rsidRPr="00E93379">
              <w:rPr>
                <w:rFonts w:eastAsia="Times New Roman"/>
                <w:lang w:val="fr-FR"/>
              </w:rPr>
              <w:t>leurs remorques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23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Del="008D6754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leurs saillies extérieures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26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03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Avertisseurs sonores et automobiles en ce qui concerne leur signalisation sonore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28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Pneumatiques pour automobiles et leurs remorques (Les pneumatiques doivent être homologués par type selon les Règlements ONU n</w:t>
            </w:r>
            <w:r w:rsidRPr="00E93379">
              <w:rPr>
                <w:rFonts w:eastAsia="Times New Roman"/>
                <w:vertAlign w:val="superscript"/>
                <w:lang w:val="fr-FR"/>
              </w:rPr>
              <w:t>os</w:t>
            </w:r>
            <w:r w:rsidRPr="00E93379">
              <w:rPr>
                <w:rFonts w:eastAsia="Times New Roman"/>
                <w:lang w:val="fr-FR"/>
              </w:rPr>
              <w:t xml:space="preserve"> 30 ou 54.)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18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la prévention des risques d’incendie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val="en-US" w:eastAsia="ja-JP"/>
              </w:rPr>
              <w:t>34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03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Feux de brouillard arrière pour les véhicules à moteur et leurs remorques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38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20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Appareil indicateur de vitesse et compteur kilométrique, y compris leur installation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39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21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Vitrages de sécurité et installation de ces vitrages sur les véhicules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43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Dispositifs de retenue pour enfants à bord des véhicules à moteur (en ce qui concerne uniquement les coussins rehausseurs de sièges intégrés mais non les sièges autonomes pour enfants)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44</w:t>
            </w:r>
            <w:r w:rsidRPr="00E93379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04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D66FEB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Nettoie-projecteurs et véhicules à moteur en ce qui concerne les nettoie</w:t>
            </w:r>
            <w:r w:rsidR="00D66FEB">
              <w:rPr>
                <w:rFonts w:eastAsia="Times New Roman"/>
                <w:lang w:val="fr-FR"/>
              </w:rPr>
              <w:noBreakHyphen/>
            </w:r>
            <w:r w:rsidRPr="00E93379">
              <w:rPr>
                <w:rFonts w:eastAsia="Times New Roman"/>
                <w:lang w:val="fr-FR"/>
              </w:rPr>
              <w:t>projecteurs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45</w:t>
            </w:r>
            <w:r w:rsidRPr="00E93379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Del="004A2DD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D66FEB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Systèmes de vision indirecte des véhicules à moteur en ce qui concerne le</w:t>
            </w:r>
            <w:r w:rsidR="00D66FEB">
              <w:rPr>
                <w:rFonts w:eastAsia="Times New Roman"/>
                <w:lang w:val="fr-FR"/>
              </w:rPr>
              <w:t> </w:t>
            </w:r>
            <w:r w:rsidRPr="00E93379">
              <w:rPr>
                <w:rFonts w:eastAsia="Times New Roman"/>
                <w:lang w:val="fr-FR"/>
              </w:rPr>
              <w:t>montage de ces systèmes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US" w:eastAsia="ja-JP"/>
              </w:rPr>
              <w:t>46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04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Del="004A2DD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D66FEB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Installation des dispositifs d’éclairage et</w:t>
            </w:r>
            <w:r w:rsidR="00D66FEB">
              <w:rPr>
                <w:rFonts w:eastAsia="Times New Roman"/>
                <w:lang w:val="fr-FR"/>
              </w:rPr>
              <w:t> </w:t>
            </w:r>
            <w:r w:rsidRPr="00E93379">
              <w:rPr>
                <w:rFonts w:eastAsia="Times New Roman"/>
                <w:lang w:val="fr-FR"/>
              </w:rPr>
              <w:t>de signalisation lumineuse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48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06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Del="004A2DD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à moteur ayant au moins quatre roues en ce qui concerne les émissions sonores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03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lastRenderedPageBreak/>
              <w:t>2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Pneumatiques pour véhicules utilitaires et leurs remorques (Les pneumatiques doivent être homologués par type selon les Règlements ONU n</w:t>
            </w:r>
            <w:r w:rsidRPr="00E93379">
              <w:rPr>
                <w:rFonts w:eastAsia="Times New Roman"/>
                <w:vertAlign w:val="superscript"/>
                <w:lang w:val="fr-FR"/>
              </w:rPr>
              <w:t>os</w:t>
            </w:r>
            <w:r w:rsidRPr="00E93379">
              <w:rPr>
                <w:rFonts w:eastAsia="Times New Roman"/>
                <w:lang w:val="fr-FR"/>
              </w:rPr>
              <w:t xml:space="preserve"> 30 ou 54.)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54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8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Dispositifs arrière de protection anti</w:t>
            </w:r>
            <w:r w:rsidR="00D66FEB">
              <w:rPr>
                <w:rFonts w:eastAsia="Times New Roman"/>
                <w:lang w:val="fr-FR"/>
              </w:rPr>
              <w:noBreakHyphen/>
            </w:r>
            <w:r w:rsidRPr="00E93379">
              <w:rPr>
                <w:rFonts w:eastAsia="Times New Roman"/>
                <w:lang w:val="fr-FR"/>
              </w:rPr>
              <w:t>encastrement, véhicules en ce qui concerne le montage d’un dispositif arrière de protection anti</w:t>
            </w:r>
            <w:r w:rsidR="00D66FEB">
              <w:rPr>
                <w:rFonts w:eastAsia="Times New Roman"/>
                <w:lang w:val="fr-FR"/>
              </w:rPr>
              <w:t>-</w:t>
            </w:r>
            <w:r w:rsidRPr="00E93379">
              <w:rPr>
                <w:rFonts w:eastAsia="Times New Roman"/>
                <w:lang w:val="fr-FR"/>
              </w:rPr>
              <w:t>encastrement d’un type homologué, véhicules en ce qui concerne leur protection contre l’encastrement à l’arrière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58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</w:t>
            </w:r>
            <w:r w:rsidRPr="00E93379">
              <w:rPr>
                <w:rFonts w:hint="eastAsia"/>
                <w:lang w:eastAsia="ja-JP"/>
              </w:rPr>
              <w:t>3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Del="00CF2B46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Équipement de secours à usage temporaire, pneumatiques pour roulage à plat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vertAlign w:val="superscript"/>
                <w:lang w:eastAsia="ja-JP"/>
              </w:rPr>
            </w:pPr>
            <w:r w:rsidRPr="00E93379">
              <w:rPr>
                <w:lang w:val="en-GB" w:eastAsia="ja-JP"/>
              </w:rPr>
              <w:t>64</w:t>
            </w:r>
            <w:r w:rsidRPr="00E93379">
              <w:rPr>
                <w:vertAlign w:val="superscript"/>
                <w:lang w:val="en-GB"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03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30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Feux de stationnement pour les véhicules à moteur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eastAsia="ja-JP"/>
              </w:rPr>
              <w:t>7</w:t>
            </w:r>
            <w:r w:rsidRPr="00E93379">
              <w:rPr>
                <w:lang w:eastAsia="ja-JP"/>
              </w:rPr>
              <w:t>7</w:t>
            </w:r>
            <w:r w:rsidRPr="00E93379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31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l’équipement de direction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79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Moteurs à combustion interne ou groupes motopropulseurs électriques destinés à la propulsion des véhicules à moteur des catégories M et N en ce qui concerne la mesure de la puissance nette et de la puissance maximale sur 30 min des groupes motopropulseurs électriques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85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Del="00CF2B46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Feux de circulation diurne pour véhicules à moteur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87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Feux de position latéraux pour les véhicules à moteur et leurs remorques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91</w:t>
            </w:r>
            <w:r w:rsidRPr="00E93379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Protection des occupants en cas de choc avant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94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Protection des occupants en cas de choc latéral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95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03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Projecteurs de véhicules à moteur munis de sources lumineuses à décharge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vertAlign w:val="superscript"/>
                <w:lang w:eastAsia="ja-JP"/>
              </w:rPr>
            </w:pPr>
            <w:r w:rsidRPr="00E93379">
              <w:rPr>
                <w:lang w:eastAsia="ja-JP"/>
              </w:rPr>
              <w:t>98</w:t>
            </w:r>
            <w:r w:rsidRPr="00E93379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8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D66FEB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les prescriptions particulières applicables à</w:t>
            </w:r>
            <w:r w:rsidR="00D66FEB">
              <w:rPr>
                <w:rFonts w:eastAsia="Times New Roman"/>
                <w:lang w:val="fr-FR"/>
              </w:rPr>
              <w:t> </w:t>
            </w:r>
            <w:r w:rsidRPr="00E93379">
              <w:rPr>
                <w:rFonts w:eastAsia="Times New Roman"/>
                <w:lang w:val="fr-FR"/>
              </w:rPr>
              <w:t xml:space="preserve">la chaîne de traction électrique 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100</w:t>
            </w:r>
            <w:r w:rsidRPr="00E93379">
              <w:rPr>
                <w:vertAlign w:val="superscript"/>
                <w:lang w:val="en-GB"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D66FEB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Projecteurs pour véhicules automobiles émettant un faisceau de croisement asymétrique ou un faisceau de route ou les deux à la fois et équipés de lampes à</w:t>
            </w:r>
            <w:r w:rsidR="00D66FEB">
              <w:rPr>
                <w:rFonts w:eastAsia="Times New Roman"/>
                <w:lang w:val="fr-FR"/>
              </w:rPr>
              <w:t> </w:t>
            </w:r>
            <w:r w:rsidRPr="00E93379">
              <w:rPr>
                <w:rFonts w:eastAsia="Times New Roman"/>
                <w:lang w:val="fr-FR"/>
              </w:rPr>
              <w:t>incandescence et/ou de modules à diodes électroluminescentes (DEL)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112</w:t>
            </w:r>
            <w:r w:rsidRPr="00E93379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40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Pneumatiques en ce qui concerne les émissions de bruit de roulement, l’adhérence sur sol mouillé et/ou la résistance au roulement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117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41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Feux d’angle pour les véhicules à moteur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119</w:t>
            </w:r>
            <w:r w:rsidRPr="00E93379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lastRenderedPageBreak/>
              <w:t>4</w:t>
            </w:r>
            <w:r w:rsidRPr="00E93379">
              <w:rPr>
                <w:rFonts w:hint="eastAsia"/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en ce qui concerne l’emplacement et les moyens d’identification des commandes manuelles, des témoins et des indicateurs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121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Systèmes d’éclairage avant adaptatifs (AFS) destinés aux véhicules automobiles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123</w:t>
            </w:r>
            <w:r w:rsidRPr="00E93379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à moteur en ce qui concerne le champ de vision vers l’avant du conducteur des véhicules à moteur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125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01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eastAsia="ja-JP"/>
              </w:rPr>
              <w:t>4</w:t>
            </w:r>
            <w:r w:rsidRPr="00E93379">
              <w:rPr>
                <w:rFonts w:hint="eastAsia"/>
                <w:lang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Véhicules automobiles en ce qui concerne la sécurité des piétons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127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02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Dispositifs d’aide au freinage d’urgence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139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Systèmes électroniques de contrôle de stabilité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140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8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>Systèmes de surveillance de la pression des pneumatiques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141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C010F3" w:rsidRPr="00E93379" w:rsidTr="001C15C3">
        <w:trPr>
          <w:cantSplit/>
        </w:trPr>
        <w:tc>
          <w:tcPr>
            <w:tcW w:w="8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</w:pPr>
            <w:r w:rsidRPr="00E93379">
              <w:rPr>
                <w:rFonts w:eastAsia="Times New Roman"/>
                <w:lang w:val="fr-FR"/>
              </w:rPr>
              <w:t xml:space="preserve">Montage des pneumatiques </w:t>
            </w:r>
          </w:p>
        </w:tc>
        <w:tc>
          <w:tcPr>
            <w:tcW w:w="1392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vertAlign w:val="superscript"/>
                <w:lang w:eastAsia="ja-JP"/>
              </w:rPr>
            </w:pPr>
            <w:r w:rsidRPr="00E93379">
              <w:rPr>
                <w:lang w:eastAsia="ja-JP"/>
              </w:rPr>
              <w:t>142</w:t>
            </w:r>
          </w:p>
        </w:tc>
        <w:tc>
          <w:tcPr>
            <w:tcW w:w="1693" w:type="dxa"/>
            <w:shd w:val="clear" w:color="auto" w:fill="auto"/>
          </w:tcPr>
          <w:p w:rsidR="00C010F3" w:rsidRPr="00E93379" w:rsidRDefault="00C010F3" w:rsidP="001C15C3">
            <w:pPr>
              <w:spacing w:before="60" w:after="60" w:line="240" w:lineRule="auto"/>
              <w:ind w:left="57" w:right="57"/>
              <w:jc w:val="right"/>
              <w:rPr>
                <w:lang w:val="en-GB"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</w:tbl>
    <w:p w:rsidR="001C15C3" w:rsidRPr="00E93379" w:rsidRDefault="001C15C3" w:rsidP="002128FA">
      <w:pPr>
        <w:pStyle w:val="SingleTxtG"/>
        <w:spacing w:before="120" w:after="240"/>
        <w:jc w:val="right"/>
        <w:rPr>
          <w:lang w:val="fr-FR"/>
        </w:rPr>
      </w:pPr>
      <w:r w:rsidRPr="00E93379">
        <w:rPr>
          <w:lang w:val="fr-FR"/>
        </w:rPr>
        <w:t> ».</w:t>
      </w:r>
    </w:p>
    <w:p w:rsidR="00C010F3" w:rsidRPr="00476FB3" w:rsidRDefault="00D66FEB" w:rsidP="001C15C3">
      <w:pPr>
        <w:pStyle w:val="SingleTxtG"/>
        <w:keepNext/>
        <w:rPr>
          <w:color w:val="00000A"/>
        </w:rPr>
      </w:pPr>
      <w:r>
        <w:rPr>
          <w:i/>
          <w:iCs/>
          <w:lang w:val="fr-FR"/>
        </w:rPr>
        <w:t>Section II (</w:t>
      </w:r>
      <w:r w:rsidR="00C010F3" w:rsidRPr="00476FB3">
        <w:rPr>
          <w:i/>
          <w:iCs/>
          <w:lang w:val="fr-FR"/>
        </w:rPr>
        <w:t>Notifications aux fins d</w:t>
      </w:r>
      <w:r w:rsidR="00C010F3">
        <w:rPr>
          <w:i/>
          <w:iCs/>
          <w:lang w:val="fr-FR"/>
        </w:rPr>
        <w:t>’</w:t>
      </w:r>
      <w:r w:rsidR="00C010F3" w:rsidRPr="00476FB3">
        <w:rPr>
          <w:i/>
          <w:iCs/>
          <w:lang w:val="fr-FR"/>
        </w:rPr>
        <w:t>une homologation L-IWVTA)</w:t>
      </w:r>
      <w:r w:rsidR="00C010F3" w:rsidRPr="00476FB3">
        <w:rPr>
          <w:lang w:val="fr-FR"/>
        </w:rPr>
        <w:t xml:space="preserve">, remplacer le tableau 1 </w:t>
      </w:r>
      <w:r w:rsidR="00C010F3">
        <w:rPr>
          <w:lang w:val="fr-FR"/>
        </w:rPr>
        <w:t>comme suit</w:t>
      </w:r>
      <w:r w:rsidR="00C010F3" w:rsidRPr="00476FB3">
        <w:rPr>
          <w:lang w:val="fr-FR"/>
        </w:rPr>
        <w:t xml:space="preserve"> (en laissant les renvois aux notes de bas</w:t>
      </w:r>
      <w:r>
        <w:rPr>
          <w:lang w:val="fr-FR"/>
        </w:rPr>
        <w:t xml:space="preserve"> de page et le texte de la note</w:t>
      </w:r>
      <w:r w:rsidR="00C010F3" w:rsidRPr="00D66FEB">
        <w:rPr>
          <w:sz w:val="18"/>
          <w:szCs w:val="18"/>
          <w:vertAlign w:val="superscript"/>
          <w:lang w:val="fr-FR"/>
        </w:rPr>
        <w:t>3</w:t>
      </w:r>
      <w:r w:rsidR="00C010F3" w:rsidRPr="00476FB3">
        <w:rPr>
          <w:lang w:val="fr-FR"/>
        </w:rPr>
        <w:t xml:space="preserve"> inchangés)</w:t>
      </w:r>
      <w:r w:rsidR="00CA164A">
        <w:rPr>
          <w:lang w:val="fr-FR"/>
        </w:rPr>
        <w:t> :</w:t>
      </w:r>
    </w:p>
    <w:p w:rsidR="00C010F3" w:rsidRPr="00476FB3" w:rsidRDefault="00C010F3" w:rsidP="00C010F3">
      <w:pPr>
        <w:tabs>
          <w:tab w:val="left" w:pos="2835"/>
        </w:tabs>
        <w:kinsoku/>
        <w:overflowPunct/>
        <w:autoSpaceDE/>
        <w:autoSpaceDN/>
        <w:adjustRightInd/>
        <w:snapToGrid/>
        <w:spacing w:before="120" w:after="120"/>
        <w:ind w:left="2268" w:right="1134" w:hanging="1134"/>
        <w:jc w:val="both"/>
        <w:rPr>
          <w:rFonts w:eastAsia="Times New Roman"/>
          <w:lang w:val="en-GB"/>
        </w:rPr>
      </w:pPr>
      <w:r w:rsidRPr="00476FB3">
        <w:rPr>
          <w:rFonts w:eastAsia="Times New Roman"/>
          <w:lang w:val="fr-FR"/>
        </w:rPr>
        <w:t>«</w:t>
      </w:r>
      <w:r w:rsidR="001C15C3">
        <w:rPr>
          <w:rFonts w:eastAsia="Times New Roman"/>
          <w:lang w:val="fr-FR"/>
        </w:rPr>
        <w:t> 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3402"/>
        <w:gridCol w:w="1559"/>
        <w:gridCol w:w="1134"/>
        <w:gridCol w:w="1411"/>
      </w:tblGrid>
      <w:tr w:rsidR="001366ED" w:rsidRPr="0048125C" w:rsidTr="008B0E05">
        <w:trPr>
          <w:cantSplit/>
          <w:tblHeader/>
        </w:trPr>
        <w:tc>
          <w:tcPr>
            <w:tcW w:w="998" w:type="dxa"/>
            <w:shd w:val="clear" w:color="auto" w:fill="auto"/>
            <w:vAlign w:val="bottom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</w:rPr>
            </w:pPr>
            <w:r w:rsidRPr="0048125C">
              <w:rPr>
                <w:i/>
                <w:sz w:val="16"/>
                <w:lang w:val="fr-FR"/>
              </w:rPr>
              <w:t>Notification émanant de</w:t>
            </w:r>
            <w:r w:rsidR="00CA164A" w:rsidRPr="0048125C">
              <w:rPr>
                <w:i/>
                <w:sz w:val="16"/>
                <w:lang w:val="fr-FR"/>
              </w:rPr>
              <w:t> :</w:t>
            </w:r>
            <w:r w:rsidRPr="0048125C">
              <w:rPr>
                <w:i/>
                <w:sz w:val="16"/>
                <w:lang w:val="fr-FR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</w:rPr>
            </w:pPr>
            <w:r w:rsidRPr="0048125C">
              <w:rPr>
                <w:i/>
                <w:sz w:val="16"/>
                <w:lang w:val="fr-FR"/>
              </w:rPr>
              <w:t>[Nom de la Partie contractante]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</w:rPr>
            </w:pPr>
            <w:r w:rsidRPr="0048125C">
              <w:rPr>
                <w:i/>
                <w:sz w:val="16"/>
                <w:lang w:val="fr-FR"/>
              </w:rPr>
              <w:t>Date d’entrée</w:t>
            </w:r>
            <w:r w:rsidR="00A44D1C">
              <w:rPr>
                <w:i/>
                <w:sz w:val="16"/>
                <w:lang w:val="fr-FR"/>
              </w:rPr>
              <w:br/>
            </w:r>
            <w:r w:rsidRPr="0048125C">
              <w:rPr>
                <w:i/>
                <w:sz w:val="16"/>
                <w:lang w:val="fr-FR"/>
              </w:rPr>
              <w:t xml:space="preserve"> en vigueur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</w:rPr>
            </w:pPr>
            <w:r w:rsidRPr="0048125C">
              <w:rPr>
                <w:i/>
                <w:sz w:val="16"/>
                <w:lang w:val="fr-FR"/>
              </w:rPr>
              <w:t>[jj/mm/aaaa]</w:t>
            </w:r>
          </w:p>
        </w:tc>
      </w:tr>
      <w:tr w:rsidR="00D66FEB" w:rsidRPr="00A44D1C" w:rsidTr="00D66FEB">
        <w:trPr>
          <w:cantSplit/>
          <w:tblHeader/>
        </w:trPr>
        <w:tc>
          <w:tcPr>
            <w:tcW w:w="998" w:type="dxa"/>
            <w:vMerge w:val="restart"/>
            <w:shd w:val="clear" w:color="auto" w:fill="auto"/>
            <w:vAlign w:val="bottom"/>
          </w:tcPr>
          <w:p w:rsidR="00C010F3" w:rsidRPr="00A44D1C" w:rsidRDefault="00C010F3" w:rsidP="00D66FEB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Numéro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C010F3" w:rsidRPr="00A44D1C" w:rsidRDefault="00C010F3" w:rsidP="00D66FEB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Objet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C010F3" w:rsidRPr="00A44D1C" w:rsidRDefault="00C010F3" w:rsidP="00D66FEB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Règlement ONU n</w:t>
            </w:r>
            <w:r w:rsidRPr="00A44D1C">
              <w:rPr>
                <w:i/>
                <w:sz w:val="16"/>
                <w:szCs w:val="16"/>
                <w:vertAlign w:val="superscript"/>
                <w:lang w:val="fr-FR"/>
              </w:rPr>
              <w:t>o 1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C010F3" w:rsidRPr="00A44D1C" w:rsidRDefault="00C010F3" w:rsidP="007630B3">
            <w:pPr>
              <w:spacing w:before="60" w:after="60" w:line="240" w:lineRule="auto"/>
              <w:ind w:left="57" w:right="57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Versions antérieures acceptées</w:t>
            </w:r>
            <w:r w:rsidRPr="00A44D1C">
              <w:rPr>
                <w:i/>
                <w:sz w:val="16"/>
                <w:szCs w:val="16"/>
                <w:vertAlign w:val="superscript"/>
                <w:lang w:val="fr-FR"/>
              </w:rPr>
              <w:t>3</w:t>
            </w:r>
          </w:p>
        </w:tc>
      </w:tr>
      <w:tr w:rsidR="0013643B" w:rsidRPr="00A44D1C" w:rsidTr="0013643B">
        <w:trPr>
          <w:cantSplit/>
          <w:tblHeader/>
        </w:trPr>
        <w:tc>
          <w:tcPr>
            <w:tcW w:w="998" w:type="dxa"/>
            <w:vMerge/>
            <w:shd w:val="clear" w:color="auto" w:fill="auto"/>
          </w:tcPr>
          <w:p w:rsidR="00C010F3" w:rsidRPr="00A44D1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10F3" w:rsidRPr="00A44D1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10F3" w:rsidRPr="00A44D1C" w:rsidRDefault="00C010F3" w:rsidP="007630B3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010F3" w:rsidRPr="00A44D1C" w:rsidRDefault="00C010F3" w:rsidP="0013643B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  <w:lang w:val="fr-FR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 xml:space="preserve">Numéro </w:t>
            </w:r>
            <w:r w:rsidR="008B0E05">
              <w:rPr>
                <w:i/>
                <w:sz w:val="16"/>
                <w:szCs w:val="16"/>
                <w:lang w:val="fr-FR"/>
              </w:rPr>
              <w:br/>
            </w:r>
            <w:r w:rsidRPr="00A44D1C">
              <w:rPr>
                <w:i/>
                <w:sz w:val="16"/>
                <w:szCs w:val="16"/>
                <w:lang w:val="fr-FR"/>
              </w:rPr>
              <w:t>de la série d’amendements</w:t>
            </w:r>
          </w:p>
        </w:tc>
        <w:tc>
          <w:tcPr>
            <w:tcW w:w="1411" w:type="dxa"/>
            <w:shd w:val="clear" w:color="auto" w:fill="auto"/>
          </w:tcPr>
          <w:p w:rsidR="00C010F3" w:rsidRPr="00A44D1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  <w:lang w:val="fr-FR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Supprimer le texte figurant dans cette colonne si cette condition ne s’applique pas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Dispositifs catadioptriques pour véhicules à moteur et leurs remorques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13643B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Dispositifs d’éclairage des plaques d’immatriculation arrière des véhicules à</w:t>
            </w:r>
            <w:r w:rsidR="0013643B">
              <w:rPr>
                <w:lang w:val="fr-FR"/>
              </w:rPr>
              <w:t> </w:t>
            </w:r>
            <w:r w:rsidRPr="0048125C">
              <w:rPr>
                <w:lang w:val="fr-FR"/>
              </w:rPr>
              <w:t>moteur et de leurs remorques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indicateurs de direction pour véhicules à moteur et leurs remorques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13643B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position avant et arrière, feux</w:t>
            </w:r>
            <w:r w:rsidR="0013643B">
              <w:rPr>
                <w:lang w:val="fr-FR"/>
              </w:rPr>
              <w:noBreakHyphen/>
            </w:r>
            <w:r w:rsidRPr="0048125C">
              <w:rPr>
                <w:lang w:val="fr-FR"/>
              </w:rPr>
              <w:t>stop et feux d’encombrement des véhicules automobiles (à l’exception des</w:t>
            </w:r>
            <w:r w:rsidR="0013643B">
              <w:rPr>
                <w:lang w:val="fr-FR"/>
              </w:rPr>
              <w:t> </w:t>
            </w:r>
            <w:r w:rsidRPr="0048125C">
              <w:rPr>
                <w:lang w:val="fr-FR"/>
              </w:rPr>
              <w:t>motocycles) et de leurs remorques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Véhicules en ce qui concerne la compatibilité électromagnétique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les serrures et organes de fixation des portes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la protection du conducteur contre le dispositif de conduite en cas de choc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Freins des véhicules des catégories M</w:t>
            </w:r>
            <w:r w:rsidRPr="0048125C">
              <w:rPr>
                <w:vertAlign w:val="subscript"/>
                <w:lang w:val="fr-FR"/>
              </w:rPr>
              <w:t>1</w:t>
            </w:r>
            <w:r w:rsidRPr="0048125C">
              <w:rPr>
                <w:lang w:val="fr-FR"/>
              </w:rPr>
              <w:t xml:space="preserve"> et N</w:t>
            </w:r>
            <w:r w:rsidRPr="0048125C">
              <w:rPr>
                <w:vertAlign w:val="subscript"/>
                <w:lang w:val="fr-F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val="en-GB"/>
              </w:rPr>
              <w:t>13-H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les ancrages de ceintures de sécurité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 w:hint="eastAsia"/>
                <w:lang w:val="en-GB" w:eastAsia="ja-JP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 xml:space="preserve">Ceintures de sécurité, systèmes de retenue, dispositifs de retenue pour enfants et dispositifs de retenue pour enfants ISOFIX 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les sièges, leur ancrage et les appuie-tête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Feux de brouillard avant pour véhicules à moteur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leur aménagement intérieur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marche arrière et feux de manœuvre pour véhicules à moteur et leurs remorques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leurs saillies extérieures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Avertisseurs sonores et automobiles en ce qui concerne leur signalisation sonore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Pneumatiques pour automobiles et leurs remorques (Les pneumatiques doivent être homologués par type selon les Règlements ONU n</w:t>
            </w:r>
            <w:r w:rsidRPr="0048125C">
              <w:rPr>
                <w:vertAlign w:val="superscript"/>
                <w:lang w:val="fr-FR"/>
              </w:rPr>
              <w:t>os</w:t>
            </w:r>
            <w:r w:rsidRPr="0048125C">
              <w:rPr>
                <w:lang w:val="fr-FR"/>
              </w:rPr>
              <w:t xml:space="preserve"> 30 ou 54.)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Véhicules en ce qui concerne la prévention des risques d’incendie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 w:hint="eastAsia"/>
                <w:lang w:eastAsia="ja-JP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brouillard arrière pour les véhicules à moteur et leurs remorques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C010F3" w:rsidRPr="0013643B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Appareil indicateur de vitesse et compteur kilométrique, y compris leur installation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Vitrages de sécurité et installation de ces vitrages sur les véhicules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 xml:space="preserve">Dispositifs de retenue pour enfants à bord des véhicules à moteur (en ce qui concerne uniquement les coussins rehausseurs de sièges intégrés mais non les sièges autonomes pour enfants) 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13643B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Nettoie-projecteurs et véhicules à moteur en ce qui concerne les nettoie</w:t>
            </w:r>
            <w:r w:rsidR="0013643B">
              <w:rPr>
                <w:lang w:val="fr-FR"/>
              </w:rPr>
              <w:noBreakHyphen/>
            </w:r>
            <w:r w:rsidRPr="0048125C">
              <w:rPr>
                <w:lang w:val="fr-FR"/>
              </w:rPr>
              <w:t>projecteurs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13643B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Systèmes de vision indirecte des véhicules à moteur en ce qui concerne le</w:t>
            </w:r>
            <w:r w:rsidR="0013643B">
              <w:rPr>
                <w:lang w:val="fr-FR"/>
              </w:rPr>
              <w:t> </w:t>
            </w:r>
            <w:r w:rsidRPr="0048125C">
              <w:rPr>
                <w:lang w:val="fr-FR"/>
              </w:rPr>
              <w:t>montage de ces systèmes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eastAsia="ja-JP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13643B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Installation des dispositifs d’éclairage et</w:t>
            </w:r>
            <w:r w:rsidR="0013643B">
              <w:rPr>
                <w:lang w:val="fr-FR"/>
              </w:rPr>
              <w:t> </w:t>
            </w:r>
            <w:r w:rsidRPr="0048125C">
              <w:rPr>
                <w:lang w:val="fr-FR"/>
              </w:rPr>
              <w:t>de signalisation lumineuse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val="en-US" w:eastAsia="ja-JP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à moteur ayant au moins quatre roues en ce qui concerne les émissions sonores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eastAsia="ja-JP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Pneumatiques pour véhicules utilitaires et leurs remorques (Les pneumatiques doivent être homologués par type selon les Règlements ONU n</w:t>
            </w:r>
            <w:r w:rsidRPr="0048125C">
              <w:rPr>
                <w:vertAlign w:val="superscript"/>
                <w:lang w:val="fr-FR"/>
              </w:rPr>
              <w:t>os</w:t>
            </w:r>
            <w:r w:rsidRPr="0048125C">
              <w:rPr>
                <w:lang w:val="fr-FR"/>
              </w:rPr>
              <w:t xml:space="preserve"> 30 ou 54.)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Dispositifs arrière de protection antiencastrement, véhicules en ce qui concerne le montage d’un dispositif arrière de protection antiencastrement d’un type homologué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Équipement de secours à usage temporaire, pneumatiques pour roulage à plat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val="en-GB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stationnement pour les véhicules à moteur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l’équipement de direction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Moteurs à combustion interne ou groupes motopropulseurs électriques destinés à la propulsion des véhicules à moteur des catégories M et N en ce qui concerne la mesure de la puissance nette et de la puissance maximale sur 30 min des groupes motopropulseurs électriques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circulation diurne pour véhicules à moteur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val="en-GB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position latéraux pour les véhicules à moteur et leurs remorques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Protection des occupants en cas de choc avant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Protection des occupants en cas de choc latéral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 xml:space="preserve">Projecteurs de véhicules à moteur munis de sources lumineuses à décharge 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13643B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Véhicules en ce qui concerne les prescriptions particulières applicables à</w:t>
            </w:r>
            <w:r w:rsidR="0013643B">
              <w:rPr>
                <w:lang w:val="fr-FR"/>
              </w:rPr>
              <w:t> </w:t>
            </w:r>
            <w:r w:rsidRPr="0048125C">
              <w:rPr>
                <w:lang w:val="fr-FR"/>
              </w:rPr>
              <w:t xml:space="preserve">la chaîne de traction électrique 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C010F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13643B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Projecteurs pour véhicules automobiles émettant un faisceau de croisement asymétrique ou un faisceau de route ou les deux à la fois et équipés de lampes à</w:t>
            </w:r>
            <w:r w:rsidR="0013643B">
              <w:rPr>
                <w:lang w:val="fr-FR"/>
              </w:rPr>
              <w:t> </w:t>
            </w:r>
            <w:r w:rsidRPr="0048125C">
              <w:rPr>
                <w:lang w:val="fr-FR"/>
              </w:rPr>
              <w:t>incandescence et/ou de modules à</w:t>
            </w:r>
            <w:r w:rsidR="0013643B">
              <w:rPr>
                <w:lang w:val="fr-FR"/>
              </w:rPr>
              <w:t> </w:t>
            </w:r>
            <w:r w:rsidRPr="0048125C">
              <w:rPr>
                <w:lang w:val="fr-FR"/>
              </w:rPr>
              <w:t>diodes électroluminescentes (DEL)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 w:hint="eastAsia"/>
                <w:lang w:val="en-GB" w:eastAsia="ja-JP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Pneumatiques en ce qui concerne les émissions de bruit de roulement, l’adhérence sur sol mouillé et/ou la résistance au roulement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 w:hint="eastAsia"/>
                <w:lang w:val="en-GB" w:eastAsia="ja-JP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d’angle pour les véhicules à moteur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  <w:lang w:eastAsia="ja-JP"/>
              </w:rPr>
            </w:pPr>
            <w:r w:rsidRPr="0048125C">
              <w:rPr>
                <w:rFonts w:eastAsia="MS Mincho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l’emplacement et les moyens d’identification des commandes manuelles, des témoins et des indicateurs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Systèmes d’éclairage avant adaptatifs (AFS) destinés aux véhicules automobiles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  <w:lang w:eastAsia="ja-JP"/>
              </w:rPr>
            </w:pPr>
            <w:r w:rsidRPr="0048125C">
              <w:rPr>
                <w:rFonts w:eastAsia="MS Mincho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à moteur en ce qui concerne le champ de vision vers l’avant du conducteur des véhicules à moteur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automobiles en ce qui concerne la sécurité des piétons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Del="00883445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 xml:space="preserve">Dispositifs d’aide au freinage d’urgence 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  <w:lang w:eastAsia="ja-JP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Del="00883445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Systèmes de contrôle de stabilité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  <w:lang w:eastAsia="ja-JP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Del="00883445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Systèmes de surveillance de la pression des pneumatiques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  <w:lang w:eastAsia="ja-JP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7630B3" w:rsidRPr="0048125C" w:rsidTr="008B0E05">
        <w:trPr>
          <w:cantSplit/>
        </w:trPr>
        <w:tc>
          <w:tcPr>
            <w:tcW w:w="998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Montage des pneumatiques</w:t>
            </w:r>
          </w:p>
        </w:tc>
        <w:tc>
          <w:tcPr>
            <w:tcW w:w="1559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jc w:val="right"/>
              <w:rPr>
                <w:rFonts w:eastAsia="MS Mincho"/>
                <w:lang w:eastAsia="ja-JP"/>
              </w:rPr>
            </w:pPr>
            <w:r w:rsidRPr="0048125C">
              <w:rPr>
                <w:rFonts w:eastAsia="MS Mincho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  <w:lang w:val="en-GB"/>
              </w:rPr>
            </w:pPr>
          </w:p>
        </w:tc>
        <w:tc>
          <w:tcPr>
            <w:tcW w:w="1411" w:type="dxa"/>
            <w:shd w:val="clear" w:color="auto" w:fill="auto"/>
          </w:tcPr>
          <w:p w:rsidR="00C010F3" w:rsidRPr="0048125C" w:rsidRDefault="00C010F3" w:rsidP="007630B3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</w:tbl>
    <w:p w:rsidR="007630B3" w:rsidRPr="0048125C" w:rsidRDefault="007630B3" w:rsidP="007630B3">
      <w:pPr>
        <w:pStyle w:val="SingleTxtG"/>
        <w:spacing w:before="120" w:after="240"/>
        <w:ind w:right="0"/>
        <w:jc w:val="right"/>
        <w:rPr>
          <w:lang w:val="fr-FR"/>
        </w:rPr>
      </w:pPr>
      <w:r w:rsidRPr="0048125C">
        <w:rPr>
          <w:lang w:val="fr-FR"/>
        </w:rPr>
        <w:t> ».</w:t>
      </w:r>
    </w:p>
    <w:p w:rsidR="00C010F3" w:rsidRPr="00476FB3" w:rsidRDefault="00C010F3" w:rsidP="0048125C">
      <w:pPr>
        <w:keepLines/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eastAsia="MS Mincho"/>
          <w:i/>
        </w:rPr>
      </w:pPr>
      <w:r w:rsidRPr="00476FB3">
        <w:rPr>
          <w:rFonts w:eastAsia="Times New Roman"/>
          <w:i/>
          <w:iCs/>
          <w:lang w:val="fr-FR"/>
        </w:rPr>
        <w:t>Annexe 8</w:t>
      </w:r>
      <w:r w:rsidRPr="00476FB3">
        <w:rPr>
          <w:rFonts w:eastAsia="Times New Roman"/>
          <w:lang w:val="fr-FR"/>
        </w:rPr>
        <w:t xml:space="preserve"> </w:t>
      </w:r>
    </w:p>
    <w:p w:rsidR="00C010F3" w:rsidRPr="00476FB3" w:rsidRDefault="00C010F3" w:rsidP="0048125C">
      <w:pPr>
        <w:keepLines/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eastAsia="MS Mincho"/>
        </w:rPr>
      </w:pPr>
      <w:r w:rsidRPr="00476FB3">
        <w:rPr>
          <w:rFonts w:eastAsia="Times New Roman"/>
          <w:i/>
          <w:iCs/>
          <w:lang w:val="fr-FR"/>
        </w:rPr>
        <w:t>Paragraphe 1.2, alinéa a)</w:t>
      </w:r>
      <w:r w:rsidRPr="00476FB3">
        <w:rPr>
          <w:rFonts w:eastAsia="Times New Roman"/>
          <w:lang w:val="fr-FR"/>
        </w:rPr>
        <w:t>, lire</w:t>
      </w:r>
      <w:r w:rsidR="00CA164A">
        <w:rPr>
          <w:rFonts w:eastAsia="Times New Roman"/>
          <w:lang w:val="fr-FR"/>
        </w:rPr>
        <w:t> :</w:t>
      </w:r>
    </w:p>
    <w:p w:rsidR="00F9573C" w:rsidRDefault="001110EF" w:rsidP="001110EF">
      <w:pPr>
        <w:pStyle w:val="SingleTxtG"/>
        <w:ind w:left="2835" w:hanging="567"/>
        <w:rPr>
          <w:lang w:val="fr-FR"/>
        </w:rPr>
      </w:pPr>
      <w:r>
        <w:rPr>
          <w:lang w:val="fr-FR"/>
        </w:rPr>
        <w:t>« a)</w:t>
      </w:r>
      <w:r>
        <w:rPr>
          <w:lang w:val="fr-FR"/>
        </w:rPr>
        <w:tab/>
        <w:t>De deux chiffres …</w:t>
      </w:r>
      <w:r w:rsidR="00C010F3" w:rsidRPr="00476FB3">
        <w:rPr>
          <w:lang w:val="fr-FR"/>
        </w:rPr>
        <w:t xml:space="preserve"> les dispositions techniques du Règlement ONU applicables dans le cadre de l</w:t>
      </w:r>
      <w:r w:rsidR="00C010F3">
        <w:rPr>
          <w:lang w:val="fr-FR"/>
        </w:rPr>
        <w:t>’</w:t>
      </w:r>
      <w:r w:rsidR="00C010F3" w:rsidRPr="00476FB3">
        <w:rPr>
          <w:lang w:val="fr-FR"/>
        </w:rPr>
        <w:t xml:space="preserve">homologation (01 pour le présent Règlement </w:t>
      </w:r>
      <w:r w:rsidR="007F2D20">
        <w:rPr>
          <w:lang w:val="fr-FR"/>
        </w:rPr>
        <w:t xml:space="preserve">ONU </w:t>
      </w:r>
      <w:r w:rsidR="00C010F3" w:rsidRPr="00476FB3">
        <w:rPr>
          <w:lang w:val="fr-FR"/>
        </w:rPr>
        <w:t>tel que modifié par la série 01 d</w:t>
      </w:r>
      <w:r w:rsidR="00C010F3">
        <w:rPr>
          <w:lang w:val="fr-FR"/>
        </w:rPr>
        <w:t>’</w:t>
      </w:r>
      <w:r w:rsidR="00C010F3" w:rsidRPr="00476FB3">
        <w:rPr>
          <w:lang w:val="fr-FR"/>
        </w:rPr>
        <w:t>amendements)</w:t>
      </w:r>
      <w:r w:rsidR="00CA164A">
        <w:rPr>
          <w:lang w:val="fr-FR"/>
        </w:rPr>
        <w:t> ;</w:t>
      </w:r>
      <w:r>
        <w:rPr>
          <w:lang w:val="fr-FR"/>
        </w:rPr>
        <w:t> »</w:t>
      </w:r>
      <w:r w:rsidR="00C010F3" w:rsidRPr="00476FB3">
        <w:rPr>
          <w:lang w:val="fr-FR"/>
        </w:rPr>
        <w:t>.</w:t>
      </w:r>
    </w:p>
    <w:p w:rsidR="00CA164A" w:rsidRPr="00CA164A" w:rsidRDefault="00CA164A" w:rsidP="00CA16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164A" w:rsidRPr="00CA164A" w:rsidSect="001956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82" w:rsidRDefault="00372182" w:rsidP="00F95C08">
      <w:pPr>
        <w:spacing w:line="240" w:lineRule="auto"/>
      </w:pPr>
    </w:p>
  </w:endnote>
  <w:endnote w:type="continuationSeparator" w:id="0">
    <w:p w:rsidR="00372182" w:rsidRPr="00AC3823" w:rsidRDefault="00372182" w:rsidP="00AC3823">
      <w:pPr>
        <w:pStyle w:val="Footer"/>
      </w:pPr>
    </w:p>
  </w:endnote>
  <w:endnote w:type="continuationNotice" w:id="1">
    <w:p w:rsidR="00372182" w:rsidRDefault="003721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82" w:rsidRPr="0019567A" w:rsidRDefault="00372182" w:rsidP="0019567A">
    <w:pPr>
      <w:pStyle w:val="Footer"/>
      <w:tabs>
        <w:tab w:val="right" w:pos="9638"/>
      </w:tabs>
    </w:pPr>
    <w:r w:rsidRPr="0019567A">
      <w:rPr>
        <w:b/>
        <w:sz w:val="18"/>
      </w:rPr>
      <w:fldChar w:fldCharType="begin"/>
    </w:r>
    <w:r w:rsidRPr="0019567A">
      <w:rPr>
        <w:b/>
        <w:sz w:val="18"/>
      </w:rPr>
      <w:instrText xml:space="preserve"> PAGE  \* MERGEFORMAT </w:instrText>
    </w:r>
    <w:r w:rsidRPr="0019567A">
      <w:rPr>
        <w:b/>
        <w:sz w:val="18"/>
      </w:rPr>
      <w:fldChar w:fldCharType="separate"/>
    </w:r>
    <w:r w:rsidR="00DA5847">
      <w:rPr>
        <w:b/>
        <w:noProof/>
        <w:sz w:val="18"/>
      </w:rPr>
      <w:t>2</w:t>
    </w:r>
    <w:r w:rsidRPr="0019567A">
      <w:rPr>
        <w:b/>
        <w:sz w:val="18"/>
      </w:rPr>
      <w:fldChar w:fldCharType="end"/>
    </w:r>
    <w:r>
      <w:rPr>
        <w:b/>
        <w:sz w:val="18"/>
      </w:rPr>
      <w:tab/>
    </w:r>
    <w:r>
      <w:t>GE.18-13990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82" w:rsidRPr="0019567A" w:rsidRDefault="00372182" w:rsidP="0019567A">
    <w:pPr>
      <w:pStyle w:val="Footer"/>
      <w:tabs>
        <w:tab w:val="right" w:pos="9638"/>
      </w:tabs>
      <w:rPr>
        <w:b/>
        <w:sz w:val="18"/>
      </w:rPr>
    </w:pPr>
    <w:r>
      <w:t>GE.18-13990</w:t>
    </w:r>
    <w:r>
      <w:tab/>
    </w:r>
    <w:r w:rsidRPr="0019567A">
      <w:rPr>
        <w:b/>
        <w:sz w:val="18"/>
      </w:rPr>
      <w:fldChar w:fldCharType="begin"/>
    </w:r>
    <w:r w:rsidRPr="0019567A">
      <w:rPr>
        <w:b/>
        <w:sz w:val="18"/>
      </w:rPr>
      <w:instrText xml:space="preserve"> PAGE  \* MERGEFORMAT </w:instrText>
    </w:r>
    <w:r w:rsidRPr="0019567A">
      <w:rPr>
        <w:b/>
        <w:sz w:val="18"/>
      </w:rPr>
      <w:fldChar w:fldCharType="separate"/>
    </w:r>
    <w:r w:rsidR="003C5CB2">
      <w:rPr>
        <w:b/>
        <w:noProof/>
        <w:sz w:val="18"/>
      </w:rPr>
      <w:t>7</w:t>
    </w:r>
    <w:r w:rsidRPr="001956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82" w:rsidRPr="0019567A" w:rsidRDefault="00372182" w:rsidP="0019567A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18-13990  (F)    170918    280918</w:t>
    </w:r>
    <w:r>
      <w:rPr>
        <w:sz w:val="20"/>
      </w:rPr>
      <w:br/>
    </w:r>
    <w:r w:rsidRPr="0019567A">
      <w:rPr>
        <w:rFonts w:ascii="C39T30Lfz" w:hAnsi="C39T30Lfz"/>
        <w:sz w:val="56"/>
      </w:rPr>
      <w:t></w:t>
    </w:r>
    <w:r w:rsidRPr="0019567A">
      <w:rPr>
        <w:rFonts w:ascii="C39T30Lfz" w:hAnsi="C39T30Lfz"/>
        <w:sz w:val="56"/>
      </w:rPr>
      <w:t></w:t>
    </w:r>
    <w:r w:rsidRPr="0019567A">
      <w:rPr>
        <w:rFonts w:ascii="C39T30Lfz" w:hAnsi="C39T30Lfz"/>
        <w:sz w:val="56"/>
      </w:rPr>
      <w:t></w:t>
    </w:r>
    <w:r w:rsidRPr="0019567A">
      <w:rPr>
        <w:rFonts w:ascii="C39T30Lfz" w:hAnsi="C39T30Lfz"/>
        <w:sz w:val="56"/>
      </w:rPr>
      <w:t></w:t>
    </w:r>
    <w:r w:rsidRPr="0019567A">
      <w:rPr>
        <w:rFonts w:ascii="C39T30Lfz" w:hAnsi="C39T30Lfz"/>
        <w:sz w:val="56"/>
      </w:rPr>
      <w:t></w:t>
    </w:r>
    <w:r w:rsidRPr="0019567A">
      <w:rPr>
        <w:rFonts w:ascii="C39T30Lfz" w:hAnsi="C39T30Lfz"/>
        <w:sz w:val="56"/>
      </w:rPr>
      <w:t></w:t>
    </w:r>
    <w:r w:rsidRPr="0019567A">
      <w:rPr>
        <w:rFonts w:ascii="C39T30Lfz" w:hAnsi="C39T30Lfz"/>
        <w:sz w:val="56"/>
      </w:rPr>
      <w:t></w:t>
    </w:r>
    <w:r w:rsidRPr="0019567A">
      <w:rPr>
        <w:rFonts w:ascii="C39T30Lfz" w:hAnsi="C39T30Lfz"/>
        <w:sz w:val="56"/>
      </w:rPr>
      <w:t></w:t>
    </w:r>
    <w:r w:rsidRPr="0019567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8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82" w:rsidRPr="00AC3823" w:rsidRDefault="0037218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2182" w:rsidRPr="00AC3823" w:rsidRDefault="0037218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72182" w:rsidRPr="00AC3823" w:rsidRDefault="00372182">
      <w:pPr>
        <w:spacing w:line="240" w:lineRule="auto"/>
        <w:rPr>
          <w:sz w:val="2"/>
          <w:szCs w:val="2"/>
        </w:rPr>
      </w:pPr>
    </w:p>
  </w:footnote>
  <w:footnote w:id="2">
    <w:p w:rsidR="00372182" w:rsidRPr="00372182" w:rsidRDefault="00372182">
      <w:pPr>
        <w:pStyle w:val="FootnoteText"/>
      </w:pPr>
      <w:r>
        <w:rPr>
          <w:rStyle w:val="FootnoteReference"/>
        </w:rPr>
        <w:tab/>
      </w:r>
      <w:r w:rsidRPr="0037218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(11 octobre 2018).</w:t>
      </w:r>
    </w:p>
  </w:footnote>
  <w:footnote w:id="3">
    <w:p w:rsidR="00372182" w:rsidRPr="00372182" w:rsidRDefault="00372182">
      <w:pPr>
        <w:pStyle w:val="FootnoteText"/>
      </w:pPr>
      <w:r>
        <w:rPr>
          <w:rStyle w:val="FootnoteReference"/>
        </w:rPr>
        <w:tab/>
      </w:r>
      <w:r w:rsidRPr="0037218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 xml:space="preserve">2019 (ECE/TRANS/274, par. 123, et ECE/TRANS/2018/21/Add.1, module 3.1), le Forum mondial a pour mission d’élaborer, d’harmoniser et de mettre à jour les Règlements </w:t>
      </w:r>
      <w:r w:rsidR="007F2D20">
        <w:rPr>
          <w:lang w:val="fr-FR"/>
        </w:rPr>
        <w:t xml:space="preserve">ONU </w:t>
      </w:r>
      <w:r>
        <w:rPr>
          <w:lang w:val="fr-FR"/>
        </w:rPr>
        <w:t>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82" w:rsidRPr="0019567A" w:rsidRDefault="0077059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2182">
      <w:t>ECE/TRANS/WP.29/2018/82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82" w:rsidRPr="0019567A" w:rsidRDefault="00770596" w:rsidP="0019567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2182">
      <w:t>ECE/TRANS/WP.29/2018/82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F5"/>
    <w:rsid w:val="00017F94"/>
    <w:rsid w:val="00023842"/>
    <w:rsid w:val="000334F9"/>
    <w:rsid w:val="00045FEB"/>
    <w:rsid w:val="0007796D"/>
    <w:rsid w:val="000B7790"/>
    <w:rsid w:val="001110EF"/>
    <w:rsid w:val="00111F2F"/>
    <w:rsid w:val="0013643B"/>
    <w:rsid w:val="001366ED"/>
    <w:rsid w:val="0014365E"/>
    <w:rsid w:val="00143C66"/>
    <w:rsid w:val="00176178"/>
    <w:rsid w:val="0019567A"/>
    <w:rsid w:val="001C15C3"/>
    <w:rsid w:val="001F525A"/>
    <w:rsid w:val="002128FA"/>
    <w:rsid w:val="00223272"/>
    <w:rsid w:val="0024779E"/>
    <w:rsid w:val="00257168"/>
    <w:rsid w:val="002744B8"/>
    <w:rsid w:val="002832AC"/>
    <w:rsid w:val="002D7C93"/>
    <w:rsid w:val="00305801"/>
    <w:rsid w:val="00372182"/>
    <w:rsid w:val="00382167"/>
    <w:rsid w:val="003916DE"/>
    <w:rsid w:val="003C5CB2"/>
    <w:rsid w:val="003E4163"/>
    <w:rsid w:val="00421996"/>
    <w:rsid w:val="00441C3B"/>
    <w:rsid w:val="00446FE5"/>
    <w:rsid w:val="004470AA"/>
    <w:rsid w:val="00452396"/>
    <w:rsid w:val="0048125C"/>
    <w:rsid w:val="004837D8"/>
    <w:rsid w:val="004E2EED"/>
    <w:rsid w:val="004E468C"/>
    <w:rsid w:val="005505B7"/>
    <w:rsid w:val="00573BE5"/>
    <w:rsid w:val="00586ED3"/>
    <w:rsid w:val="00596AA9"/>
    <w:rsid w:val="006E4EAB"/>
    <w:rsid w:val="0071601D"/>
    <w:rsid w:val="007630B3"/>
    <w:rsid w:val="00770596"/>
    <w:rsid w:val="007803AF"/>
    <w:rsid w:val="007A62E6"/>
    <w:rsid w:val="007F20FA"/>
    <w:rsid w:val="007F2D20"/>
    <w:rsid w:val="0080684C"/>
    <w:rsid w:val="00871C75"/>
    <w:rsid w:val="008776DC"/>
    <w:rsid w:val="008B0E05"/>
    <w:rsid w:val="008E41F5"/>
    <w:rsid w:val="00901A85"/>
    <w:rsid w:val="009370C7"/>
    <w:rsid w:val="009446C0"/>
    <w:rsid w:val="00951019"/>
    <w:rsid w:val="009705C8"/>
    <w:rsid w:val="009A602E"/>
    <w:rsid w:val="009C1CF4"/>
    <w:rsid w:val="009F6B74"/>
    <w:rsid w:val="00A3029F"/>
    <w:rsid w:val="00A30353"/>
    <w:rsid w:val="00A44D1C"/>
    <w:rsid w:val="00AC3823"/>
    <w:rsid w:val="00AE323C"/>
    <w:rsid w:val="00AF0CB5"/>
    <w:rsid w:val="00B00181"/>
    <w:rsid w:val="00B00B0D"/>
    <w:rsid w:val="00B45F2E"/>
    <w:rsid w:val="00B765F7"/>
    <w:rsid w:val="00BA0CA9"/>
    <w:rsid w:val="00C010F3"/>
    <w:rsid w:val="00C02897"/>
    <w:rsid w:val="00C97039"/>
    <w:rsid w:val="00CA164A"/>
    <w:rsid w:val="00D3439C"/>
    <w:rsid w:val="00D66FEB"/>
    <w:rsid w:val="00DA5847"/>
    <w:rsid w:val="00DB1831"/>
    <w:rsid w:val="00DD3BFD"/>
    <w:rsid w:val="00DE6BE6"/>
    <w:rsid w:val="00DF6678"/>
    <w:rsid w:val="00E0299A"/>
    <w:rsid w:val="00E85C74"/>
    <w:rsid w:val="00E93379"/>
    <w:rsid w:val="00EA6547"/>
    <w:rsid w:val="00EF2E22"/>
    <w:rsid w:val="00EF681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BD643C7-127E-4EA1-A1CE-C5D0785D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ECE/TRANS/WP.29/2018/82</vt:lpstr>
      <vt:lpstr>ECE/TRANS/WP.29/2018/82</vt:lpstr>
    </vt:vector>
  </TitlesOfParts>
  <Company>DCM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ECE/TRANS/WP.29/2018/82</dc:title>
  <dc:subject/>
  <dc:creator>Nath VITTOZ</dc:creator>
  <cp:keywords/>
  <cp:lastModifiedBy>Secretariat</cp:lastModifiedBy>
  <cp:revision>2</cp:revision>
  <cp:lastPrinted>2018-09-28T07:29:00Z</cp:lastPrinted>
  <dcterms:created xsi:type="dcterms:W3CDTF">2018-10-18T13:50:00Z</dcterms:created>
  <dcterms:modified xsi:type="dcterms:W3CDTF">2018-10-18T13:50:00Z</dcterms:modified>
</cp:coreProperties>
</file>