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36A45" w:rsidTr="00C97039">
        <w:trPr>
          <w:trHeight w:hRule="exact" w:val="851"/>
        </w:trPr>
        <w:tc>
          <w:tcPr>
            <w:tcW w:w="1276" w:type="dxa"/>
            <w:tcBorders>
              <w:bottom w:val="single" w:sz="4" w:space="0" w:color="auto"/>
            </w:tcBorders>
          </w:tcPr>
          <w:p w:rsidR="00F35BAF" w:rsidRPr="00836A45" w:rsidRDefault="00F35BAF" w:rsidP="0004652B">
            <w:bookmarkStart w:id="0" w:name="_GoBack"/>
            <w:bookmarkEnd w:id="0"/>
          </w:p>
        </w:tc>
        <w:tc>
          <w:tcPr>
            <w:tcW w:w="2268" w:type="dxa"/>
            <w:tcBorders>
              <w:bottom w:val="single" w:sz="4" w:space="0" w:color="auto"/>
            </w:tcBorders>
            <w:vAlign w:val="bottom"/>
          </w:tcPr>
          <w:p w:rsidR="00F35BAF" w:rsidRPr="00836A45" w:rsidRDefault="00F35BAF" w:rsidP="00C97039">
            <w:pPr>
              <w:spacing w:after="80" w:line="300" w:lineRule="exact"/>
              <w:rPr>
                <w:sz w:val="28"/>
              </w:rPr>
            </w:pPr>
            <w:r w:rsidRPr="00836A45">
              <w:rPr>
                <w:sz w:val="28"/>
              </w:rPr>
              <w:t>Nations Unies</w:t>
            </w:r>
          </w:p>
        </w:tc>
        <w:tc>
          <w:tcPr>
            <w:tcW w:w="6095" w:type="dxa"/>
            <w:gridSpan w:val="2"/>
            <w:tcBorders>
              <w:bottom w:val="single" w:sz="4" w:space="0" w:color="auto"/>
            </w:tcBorders>
            <w:vAlign w:val="bottom"/>
          </w:tcPr>
          <w:p w:rsidR="00F35BAF" w:rsidRPr="00836A45" w:rsidRDefault="0004652B" w:rsidP="0004652B">
            <w:pPr>
              <w:jc w:val="right"/>
            </w:pPr>
            <w:r w:rsidRPr="00836A45">
              <w:rPr>
                <w:sz w:val="40"/>
              </w:rPr>
              <w:t>ECE</w:t>
            </w:r>
            <w:r w:rsidRPr="00836A45">
              <w:t>/TRANS/WP.11/2018/16</w:t>
            </w:r>
          </w:p>
        </w:tc>
      </w:tr>
      <w:tr w:rsidR="00F35BAF" w:rsidRPr="00836A45" w:rsidTr="00C97039">
        <w:trPr>
          <w:trHeight w:hRule="exact" w:val="2835"/>
        </w:trPr>
        <w:tc>
          <w:tcPr>
            <w:tcW w:w="1276" w:type="dxa"/>
            <w:tcBorders>
              <w:top w:val="single" w:sz="4" w:space="0" w:color="auto"/>
              <w:bottom w:val="single" w:sz="12" w:space="0" w:color="auto"/>
            </w:tcBorders>
          </w:tcPr>
          <w:p w:rsidR="00F35BAF" w:rsidRPr="00836A45" w:rsidRDefault="00F35BAF" w:rsidP="00C97039">
            <w:pPr>
              <w:spacing w:before="120"/>
              <w:jc w:val="center"/>
            </w:pPr>
            <w:r w:rsidRPr="00836A45">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36A45" w:rsidRDefault="00F35BAF" w:rsidP="00C97039">
            <w:pPr>
              <w:spacing w:before="120" w:line="420" w:lineRule="exact"/>
              <w:rPr>
                <w:b/>
                <w:sz w:val="40"/>
                <w:szCs w:val="40"/>
              </w:rPr>
            </w:pPr>
            <w:r w:rsidRPr="00836A45">
              <w:rPr>
                <w:b/>
                <w:sz w:val="40"/>
                <w:szCs w:val="40"/>
              </w:rPr>
              <w:t>Conseil économique et social</w:t>
            </w:r>
          </w:p>
        </w:tc>
        <w:tc>
          <w:tcPr>
            <w:tcW w:w="2835" w:type="dxa"/>
            <w:tcBorders>
              <w:top w:val="single" w:sz="4" w:space="0" w:color="auto"/>
              <w:bottom w:val="single" w:sz="12" w:space="0" w:color="auto"/>
            </w:tcBorders>
          </w:tcPr>
          <w:p w:rsidR="00F35BAF" w:rsidRPr="00836A45" w:rsidRDefault="0004652B" w:rsidP="00C97039">
            <w:pPr>
              <w:spacing w:before="240"/>
            </w:pPr>
            <w:r w:rsidRPr="00836A45">
              <w:t>Distr. générale</w:t>
            </w:r>
          </w:p>
          <w:p w:rsidR="0004652B" w:rsidRPr="00836A45" w:rsidRDefault="0004652B" w:rsidP="0004652B">
            <w:pPr>
              <w:spacing w:line="240" w:lineRule="exact"/>
            </w:pPr>
            <w:r w:rsidRPr="00836A45">
              <w:t>24 juillet 2018</w:t>
            </w:r>
          </w:p>
          <w:p w:rsidR="0004652B" w:rsidRPr="00836A45" w:rsidRDefault="0004652B" w:rsidP="0004652B">
            <w:pPr>
              <w:spacing w:line="240" w:lineRule="exact"/>
            </w:pPr>
            <w:r w:rsidRPr="00836A45">
              <w:t>Français</w:t>
            </w:r>
          </w:p>
          <w:p w:rsidR="0004652B" w:rsidRPr="00836A45" w:rsidRDefault="0004652B" w:rsidP="0004652B">
            <w:pPr>
              <w:spacing w:line="240" w:lineRule="exact"/>
            </w:pPr>
            <w:r w:rsidRPr="00836A45">
              <w:t>Original : anglais</w:t>
            </w:r>
          </w:p>
        </w:tc>
      </w:tr>
    </w:tbl>
    <w:p w:rsidR="007F20FA" w:rsidRPr="00836A45" w:rsidRDefault="007F20FA" w:rsidP="007F20FA">
      <w:pPr>
        <w:spacing w:before="120"/>
        <w:rPr>
          <w:b/>
          <w:sz w:val="28"/>
          <w:szCs w:val="28"/>
        </w:rPr>
      </w:pPr>
      <w:r w:rsidRPr="00836A45">
        <w:rPr>
          <w:b/>
          <w:sz w:val="28"/>
          <w:szCs w:val="28"/>
        </w:rPr>
        <w:t>Commission économique pour l</w:t>
      </w:r>
      <w:r w:rsidR="0004652B" w:rsidRPr="00836A45">
        <w:rPr>
          <w:b/>
          <w:sz w:val="28"/>
          <w:szCs w:val="28"/>
        </w:rPr>
        <w:t>’</w:t>
      </w:r>
      <w:r w:rsidRPr="00836A45">
        <w:rPr>
          <w:b/>
          <w:sz w:val="28"/>
          <w:szCs w:val="28"/>
        </w:rPr>
        <w:t>Europe</w:t>
      </w:r>
    </w:p>
    <w:p w:rsidR="007F20FA" w:rsidRPr="00836A45" w:rsidRDefault="007F20FA" w:rsidP="007F20FA">
      <w:pPr>
        <w:spacing w:before="120"/>
        <w:rPr>
          <w:sz w:val="28"/>
          <w:szCs w:val="28"/>
        </w:rPr>
      </w:pPr>
      <w:r w:rsidRPr="00836A45">
        <w:rPr>
          <w:sz w:val="28"/>
          <w:szCs w:val="28"/>
        </w:rPr>
        <w:t>Comité des transports intérieurs</w:t>
      </w:r>
    </w:p>
    <w:p w:rsidR="0004652B" w:rsidRPr="00836A45" w:rsidRDefault="0004652B" w:rsidP="0004652B">
      <w:pPr>
        <w:spacing w:before="120" w:line="360" w:lineRule="auto"/>
        <w:rPr>
          <w:b/>
          <w:sz w:val="24"/>
          <w:szCs w:val="24"/>
        </w:rPr>
      </w:pPr>
      <w:r w:rsidRPr="00836A45">
        <w:rPr>
          <w:b/>
          <w:sz w:val="24"/>
          <w:szCs w:val="24"/>
        </w:rPr>
        <w:t>Groupe de travail du transport des denrées périssables</w:t>
      </w:r>
    </w:p>
    <w:p w:rsidR="0004652B" w:rsidRPr="00836A45" w:rsidRDefault="0004652B" w:rsidP="0004652B">
      <w:pPr>
        <w:spacing w:line="240" w:lineRule="auto"/>
        <w:rPr>
          <w:b/>
          <w:szCs w:val="24"/>
        </w:rPr>
      </w:pPr>
      <w:r w:rsidRPr="00836A45">
        <w:rPr>
          <w:b/>
          <w:szCs w:val="24"/>
        </w:rPr>
        <w:t>Soixante-quatorzième session</w:t>
      </w:r>
    </w:p>
    <w:p w:rsidR="0004652B" w:rsidRPr="00836A45" w:rsidRDefault="0004652B" w:rsidP="0004652B">
      <w:pPr>
        <w:spacing w:line="240" w:lineRule="auto"/>
        <w:rPr>
          <w:szCs w:val="24"/>
        </w:rPr>
      </w:pPr>
      <w:r w:rsidRPr="00836A45">
        <w:rPr>
          <w:szCs w:val="24"/>
        </w:rPr>
        <w:t>Genève, 8-12 octobre 2018</w:t>
      </w:r>
    </w:p>
    <w:p w:rsidR="0004652B" w:rsidRPr="00836A45" w:rsidRDefault="0004652B" w:rsidP="0004652B">
      <w:pPr>
        <w:spacing w:line="240" w:lineRule="auto"/>
        <w:rPr>
          <w:szCs w:val="24"/>
        </w:rPr>
      </w:pPr>
      <w:r w:rsidRPr="00836A45">
        <w:rPr>
          <w:szCs w:val="24"/>
        </w:rPr>
        <w:t>Point 6 b) de l’ordre du jour provisoire</w:t>
      </w:r>
    </w:p>
    <w:p w:rsidR="0004652B" w:rsidRPr="00836A45" w:rsidRDefault="0004652B" w:rsidP="0004652B">
      <w:pPr>
        <w:spacing w:line="240" w:lineRule="auto"/>
        <w:rPr>
          <w:b/>
          <w:bCs/>
          <w:szCs w:val="24"/>
        </w:rPr>
      </w:pPr>
      <w:r w:rsidRPr="00836A45">
        <w:rPr>
          <w:b/>
          <w:bCs/>
          <w:szCs w:val="24"/>
        </w:rPr>
        <w:t xml:space="preserve">Propositions d’amendements à l’ATP : </w:t>
      </w:r>
    </w:p>
    <w:p w:rsidR="0004652B" w:rsidRPr="00836A45" w:rsidRDefault="0004652B" w:rsidP="0004652B">
      <w:pPr>
        <w:spacing w:line="240" w:lineRule="auto"/>
        <w:rPr>
          <w:b/>
          <w:szCs w:val="24"/>
        </w:rPr>
      </w:pPr>
      <w:r w:rsidRPr="00836A45">
        <w:rPr>
          <w:b/>
          <w:bCs/>
          <w:szCs w:val="24"/>
        </w:rPr>
        <w:t>nouvelles propositions</w:t>
      </w:r>
    </w:p>
    <w:p w:rsidR="0004652B" w:rsidRPr="00836A45" w:rsidRDefault="0004652B" w:rsidP="0004652B">
      <w:pPr>
        <w:pStyle w:val="HChG"/>
      </w:pPr>
      <w:r w:rsidRPr="00836A45">
        <w:tab/>
      </w:r>
      <w:r w:rsidRPr="00836A45">
        <w:tab/>
        <w:t xml:space="preserve">Modification rédactionnelle concernant une erreur </w:t>
      </w:r>
      <w:r w:rsidRPr="00836A45">
        <w:br/>
        <w:t>dans la version anglaise de l’ATP</w:t>
      </w:r>
    </w:p>
    <w:p w:rsidR="0004652B" w:rsidRPr="00836A45" w:rsidRDefault="0004652B" w:rsidP="0004652B">
      <w:pPr>
        <w:pStyle w:val="H1G"/>
      </w:pPr>
      <w:r w:rsidRPr="00836A45">
        <w:tab/>
      </w:r>
      <w:r w:rsidRPr="00836A45">
        <w:tab/>
        <w:t>Communication du Gouvernement italien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4652B" w:rsidRPr="00836A45" w:rsidTr="00216E0F">
        <w:trPr>
          <w:jc w:val="center"/>
        </w:trPr>
        <w:tc>
          <w:tcPr>
            <w:tcW w:w="9637" w:type="dxa"/>
            <w:shd w:val="clear" w:color="auto" w:fill="auto"/>
          </w:tcPr>
          <w:p w:rsidR="0004652B" w:rsidRPr="00836A45" w:rsidRDefault="0004652B" w:rsidP="00216E0F">
            <w:pPr>
              <w:spacing w:before="240" w:after="120"/>
              <w:ind w:left="255"/>
              <w:rPr>
                <w:i/>
                <w:sz w:val="24"/>
              </w:rPr>
            </w:pPr>
            <w:r w:rsidRPr="00836A45">
              <w:rPr>
                <w:i/>
                <w:sz w:val="24"/>
              </w:rPr>
              <w:t>Résumé</w:t>
            </w:r>
          </w:p>
        </w:tc>
      </w:tr>
      <w:tr w:rsidR="0004652B" w:rsidRPr="00836A45" w:rsidTr="00216E0F">
        <w:trPr>
          <w:jc w:val="center"/>
        </w:trPr>
        <w:tc>
          <w:tcPr>
            <w:tcW w:w="9637" w:type="dxa"/>
            <w:shd w:val="clear" w:color="auto" w:fill="auto"/>
          </w:tcPr>
          <w:p w:rsidR="0004652B" w:rsidRPr="00836A45" w:rsidRDefault="0004652B" w:rsidP="0004652B">
            <w:pPr>
              <w:pStyle w:val="SingleTxtG"/>
              <w:ind w:left="3402" w:hanging="2268"/>
            </w:pPr>
            <w:r w:rsidRPr="00836A45">
              <w:rPr>
                <w:b/>
                <w:bCs/>
                <w:szCs w:val="24"/>
              </w:rPr>
              <w:t>Résumé analytique :</w:t>
            </w:r>
            <w:r w:rsidRPr="00836A45">
              <w:rPr>
                <w:b/>
                <w:bCs/>
                <w:szCs w:val="24"/>
              </w:rPr>
              <w:tab/>
            </w:r>
            <w:r w:rsidRPr="00836A45">
              <w:rPr>
                <w:szCs w:val="24"/>
              </w:rPr>
              <w:t>Différence entre les versions anglaise et française s’agissant du paragraphe 2.1.4 de l’appendice 2 à l’annexe 1 de l’ATP.</w:t>
            </w:r>
          </w:p>
        </w:tc>
      </w:tr>
      <w:tr w:rsidR="0004652B" w:rsidRPr="00836A45" w:rsidTr="00216E0F">
        <w:trPr>
          <w:jc w:val="center"/>
        </w:trPr>
        <w:tc>
          <w:tcPr>
            <w:tcW w:w="9637" w:type="dxa"/>
            <w:shd w:val="clear" w:color="auto" w:fill="auto"/>
          </w:tcPr>
          <w:p w:rsidR="0004652B" w:rsidRPr="00836A45" w:rsidRDefault="0004652B" w:rsidP="00A148B4">
            <w:pPr>
              <w:pStyle w:val="SingleTxtG"/>
              <w:ind w:left="3402" w:hanging="2268"/>
            </w:pPr>
            <w:r w:rsidRPr="00836A45">
              <w:rPr>
                <w:b/>
                <w:bCs/>
                <w:szCs w:val="24"/>
              </w:rPr>
              <w:t>Mesure à prendre</w:t>
            </w:r>
            <w:r w:rsidR="00A148B4">
              <w:rPr>
                <w:b/>
                <w:bCs/>
                <w:szCs w:val="24"/>
              </w:rPr>
              <w:t> </w:t>
            </w:r>
            <w:r w:rsidRPr="00836A45">
              <w:rPr>
                <w:b/>
                <w:bCs/>
                <w:szCs w:val="24"/>
              </w:rPr>
              <w:t>:</w:t>
            </w:r>
            <w:r w:rsidRPr="00836A45">
              <w:rPr>
                <w:szCs w:val="24"/>
              </w:rPr>
              <w:tab/>
            </w:r>
            <w:r w:rsidRPr="00836A45">
              <w:rPr>
                <w:szCs w:val="24"/>
              </w:rPr>
              <w:tab/>
              <w:t>Modifier le paragraphe 2.1.4 (version anglaise de l’Accord uniquement).</w:t>
            </w:r>
          </w:p>
        </w:tc>
      </w:tr>
      <w:tr w:rsidR="0004652B" w:rsidRPr="00836A45" w:rsidTr="00216E0F">
        <w:trPr>
          <w:jc w:val="center"/>
        </w:trPr>
        <w:tc>
          <w:tcPr>
            <w:tcW w:w="9637" w:type="dxa"/>
            <w:shd w:val="clear" w:color="auto" w:fill="auto"/>
          </w:tcPr>
          <w:p w:rsidR="0004652B" w:rsidRPr="00836A45" w:rsidRDefault="0004652B" w:rsidP="00A148B4">
            <w:pPr>
              <w:pStyle w:val="SingleTxtG"/>
              <w:ind w:left="3402" w:hanging="2268"/>
            </w:pPr>
            <w:r w:rsidRPr="00836A45">
              <w:rPr>
                <w:b/>
                <w:bCs/>
                <w:szCs w:val="24"/>
              </w:rPr>
              <w:t>Documents de référence</w:t>
            </w:r>
            <w:r w:rsidR="00A148B4">
              <w:rPr>
                <w:b/>
                <w:bCs/>
                <w:szCs w:val="24"/>
              </w:rPr>
              <w:t> </w:t>
            </w:r>
            <w:r w:rsidRPr="00836A45">
              <w:rPr>
                <w:b/>
                <w:bCs/>
                <w:szCs w:val="24"/>
              </w:rPr>
              <w:t>:</w:t>
            </w:r>
            <w:r w:rsidRPr="00836A45">
              <w:rPr>
                <w:szCs w:val="24"/>
              </w:rPr>
              <w:t xml:space="preserve"> </w:t>
            </w:r>
            <w:r w:rsidRPr="00836A45">
              <w:rPr>
                <w:szCs w:val="24"/>
              </w:rPr>
              <w:tab/>
              <w:t>Aucun.</w:t>
            </w:r>
          </w:p>
        </w:tc>
      </w:tr>
      <w:tr w:rsidR="0004652B" w:rsidRPr="00836A45" w:rsidTr="00216E0F">
        <w:trPr>
          <w:jc w:val="center"/>
        </w:trPr>
        <w:tc>
          <w:tcPr>
            <w:tcW w:w="9637" w:type="dxa"/>
            <w:shd w:val="clear" w:color="auto" w:fill="auto"/>
          </w:tcPr>
          <w:p w:rsidR="0004652B" w:rsidRPr="00836A45" w:rsidRDefault="0004652B" w:rsidP="00216E0F"/>
        </w:tc>
      </w:tr>
    </w:tbl>
    <w:p w:rsidR="0004652B" w:rsidRPr="00836A45" w:rsidRDefault="0004652B" w:rsidP="00740A93">
      <w:pPr>
        <w:pStyle w:val="HChG"/>
      </w:pPr>
      <w:r w:rsidRPr="00836A45">
        <w:tab/>
      </w:r>
      <w:r w:rsidRPr="00836A45">
        <w:tab/>
      </w:r>
      <w:r w:rsidRPr="00740A93">
        <w:t>Introduction</w:t>
      </w:r>
    </w:p>
    <w:p w:rsidR="0004652B" w:rsidRPr="00836A45" w:rsidRDefault="0004652B" w:rsidP="0004652B">
      <w:pPr>
        <w:pStyle w:val="SingleTxtG"/>
      </w:pPr>
      <w:r w:rsidRPr="00836A45">
        <w:t>1.</w:t>
      </w:r>
      <w:r w:rsidRPr="00836A45">
        <w:tab/>
        <w:t>Le libellé du paragraphe 2.1.4 de l’appendice 2 à l’annexe 1 de l’ATP n’est pas le même dans les versions anglaise et française.</w:t>
      </w:r>
    </w:p>
    <w:p w:rsidR="0004652B" w:rsidRPr="00836A45" w:rsidRDefault="0004652B" w:rsidP="0004652B">
      <w:pPr>
        <w:pStyle w:val="SingleTxtG"/>
      </w:pPr>
      <w:r w:rsidRPr="00836A45">
        <w:t>2.</w:t>
      </w:r>
      <w:r w:rsidRPr="00836A45">
        <w:tab/>
        <w:t xml:space="preserve">La version anglaise dispose ce qui suit : « </w:t>
      </w:r>
      <w:r w:rsidRPr="00836A45">
        <w:rPr>
          <w:i/>
        </w:rPr>
        <w:t>Whatever the method employed, the mean temperature of the insulated chamber shall throughout the test be kept uniform, and constant in compliance with paragraph 1.7 of this appendix, to within ± 0.5 K, at a level such that the temperature difference between the inside of the body and the insulated chamber is 25 °C ± 2 K, the average temperature of the walls of the body being maintained at + 20 °C ± 0.5 K</w:t>
      </w:r>
      <w:r w:rsidR="00327E6C">
        <w:rPr>
          <w:i/>
        </w:rPr>
        <w:t>.</w:t>
      </w:r>
      <w:r w:rsidRPr="00836A45">
        <w:t> ».</w:t>
      </w:r>
    </w:p>
    <w:p w:rsidR="0004652B" w:rsidRPr="00836A45" w:rsidRDefault="0004652B" w:rsidP="0004652B">
      <w:pPr>
        <w:pStyle w:val="SingleTxtG"/>
      </w:pPr>
      <w:r w:rsidRPr="00836A45">
        <w:t>3.</w:t>
      </w:r>
      <w:r w:rsidRPr="00836A45">
        <w:tab/>
        <w:t>La version française prévoit ce qui suit : « </w:t>
      </w:r>
      <w:r w:rsidRPr="00836A45">
        <w:rPr>
          <w:i/>
        </w:rPr>
        <w:t xml:space="preserve">Quelle que soit la méthode utilisée, la température moyenne de la chambre isotherme sera maintenue pendant toute la durée de l’essai, uniforme et constante comme indiqué au paragraphe 1.7 du présent appendice, à un niveau tel que l’écart de température existant entre l’intérieur de la caisse et la chambre </w:t>
      </w:r>
      <w:r w:rsidRPr="00836A45">
        <w:rPr>
          <w:i/>
        </w:rPr>
        <w:lastRenderedPageBreak/>
        <w:t>isotherme soit de 25 °C ± 2 K, la température moyenne des parois de la caisse étant maintenue à + 20 °C ± 0,5 K</w:t>
      </w:r>
      <w:r w:rsidR="00327E6C">
        <w:rPr>
          <w:i/>
        </w:rPr>
        <w:t>.</w:t>
      </w:r>
      <w:r w:rsidRPr="00836A45">
        <w:t> ».</w:t>
      </w:r>
    </w:p>
    <w:p w:rsidR="0004652B" w:rsidRPr="00836A45" w:rsidRDefault="0004652B" w:rsidP="0004652B">
      <w:pPr>
        <w:pStyle w:val="SingleTxtG"/>
        <w:rPr>
          <w:szCs w:val="24"/>
          <w:lang w:val="en-US"/>
        </w:rPr>
      </w:pPr>
      <w:r w:rsidRPr="00836A45">
        <w:rPr>
          <w:szCs w:val="24"/>
        </w:rPr>
        <w:t>4.</w:t>
      </w:r>
      <w:r w:rsidRPr="00836A45">
        <w:rPr>
          <w:szCs w:val="24"/>
        </w:rPr>
        <w:tab/>
        <w:t>Il est évident que les prescriptions figurant dans la</w:t>
      </w:r>
      <w:r w:rsidR="00836A45">
        <w:rPr>
          <w:szCs w:val="24"/>
        </w:rPr>
        <w:t xml:space="preserve"> version anglaise du paragraphe </w:t>
      </w:r>
      <w:r w:rsidRPr="00836A45">
        <w:rPr>
          <w:szCs w:val="24"/>
        </w:rPr>
        <w:t>2.1.4 (« [...], to within ± 0.5 K, […] </w:t>
      </w:r>
      <w:r w:rsidRPr="00836A45">
        <w:rPr>
          <w:szCs w:val="24"/>
          <w:lang w:val="en-US"/>
        </w:rPr>
        <w:t xml:space="preserve">») ne sont pas cohérentes avec celles du paragraphe 1.7, dont la première phrase dispose ce qui suit : </w:t>
      </w:r>
      <w:r w:rsidR="00836A45" w:rsidRPr="00836A45">
        <w:rPr>
          <w:szCs w:val="24"/>
          <w:lang w:val="en-US"/>
        </w:rPr>
        <w:t>« </w:t>
      </w:r>
      <w:r w:rsidRPr="00836A45">
        <w:rPr>
          <w:i/>
          <w:iCs/>
          <w:szCs w:val="24"/>
          <w:lang w:val="en-US"/>
        </w:rPr>
        <w:t>The mean outside temperatures and the mean inside temperatures of the body, taken over a steady period of not less than 12 hours, shall not vary by more than ± 0.3 K, and these temperatures shall not vary by more than ± 1.0 K during the preceding 6 hours</w:t>
      </w:r>
      <w:r w:rsidR="00327E6C">
        <w:rPr>
          <w:i/>
          <w:iCs/>
          <w:szCs w:val="24"/>
          <w:lang w:val="en-US"/>
        </w:rPr>
        <w:t>.</w:t>
      </w:r>
      <w:r w:rsidR="00836A45" w:rsidRPr="00836A45">
        <w:rPr>
          <w:szCs w:val="24"/>
          <w:lang w:val="en-US"/>
        </w:rPr>
        <w:t> »</w:t>
      </w:r>
      <w:r w:rsidR="00836A45">
        <w:rPr>
          <w:szCs w:val="24"/>
          <w:lang w:val="en-US"/>
        </w:rPr>
        <w:t>.</w:t>
      </w:r>
    </w:p>
    <w:p w:rsidR="0004652B" w:rsidRPr="00836A45" w:rsidRDefault="0004652B" w:rsidP="0004652B">
      <w:pPr>
        <w:pStyle w:val="SingleTxtG"/>
        <w:rPr>
          <w:szCs w:val="24"/>
        </w:rPr>
      </w:pPr>
      <w:r w:rsidRPr="00836A45">
        <w:rPr>
          <w:szCs w:val="24"/>
        </w:rPr>
        <w:t>5.</w:t>
      </w:r>
      <w:r w:rsidRPr="00836A45">
        <w:rPr>
          <w:szCs w:val="24"/>
        </w:rPr>
        <w:tab/>
        <w:t>En outre, dans la version française, les prescriptions prévues aux paragraphes 2.1.4 et 2.2.5 sont les mêmes, ce qui n’est pas le cas dans la version anglaise : l’</w:t>
      </w:r>
      <w:r w:rsidR="00836A45">
        <w:rPr>
          <w:szCs w:val="24"/>
        </w:rPr>
        <w:t>expression « to </w:t>
      </w:r>
      <w:r w:rsidRPr="00836A45">
        <w:rPr>
          <w:szCs w:val="24"/>
        </w:rPr>
        <w:t>within ± 0.5 K » n’apparaît que dans le paragraphe 2.1.4.</w:t>
      </w:r>
    </w:p>
    <w:p w:rsidR="0004652B" w:rsidRPr="00836A45" w:rsidRDefault="0004652B" w:rsidP="00836A45">
      <w:pPr>
        <w:pStyle w:val="HChG"/>
        <w:rPr>
          <w:rFonts w:eastAsia="SimSun"/>
        </w:rPr>
      </w:pPr>
      <w:r w:rsidRPr="00836A45">
        <w:tab/>
      </w:r>
      <w:r w:rsidRPr="00836A45">
        <w:tab/>
        <w:t xml:space="preserve">Proposition </w:t>
      </w:r>
    </w:p>
    <w:p w:rsidR="0004652B" w:rsidRPr="00836A45" w:rsidRDefault="0004652B" w:rsidP="0004652B">
      <w:pPr>
        <w:pStyle w:val="SingleTxtG"/>
      </w:pPr>
      <w:r w:rsidRPr="00836A45">
        <w:t>6.</w:t>
      </w:r>
      <w:r w:rsidRPr="00836A45">
        <w:tab/>
        <w:t>Supprimer les mots « </w:t>
      </w:r>
      <w:r w:rsidRPr="00836A45">
        <w:rPr>
          <w:b/>
          <w:bCs/>
          <w:i/>
          <w:iCs/>
        </w:rPr>
        <w:t xml:space="preserve">to within </w:t>
      </w:r>
      <w:r w:rsidRPr="00470FCA">
        <w:rPr>
          <w:b/>
          <w:bCs/>
          <w:i/>
          <w:iCs/>
        </w:rPr>
        <w:t>±</w:t>
      </w:r>
      <w:r w:rsidRPr="00836A45">
        <w:rPr>
          <w:b/>
          <w:bCs/>
          <w:i/>
          <w:iCs/>
        </w:rPr>
        <w:t xml:space="preserve"> 0.5 K</w:t>
      </w:r>
      <w:r w:rsidRPr="00836A45">
        <w:t xml:space="preserve"> » du paragraphe 2.1.4 de la version anglaise. </w:t>
      </w:r>
    </w:p>
    <w:p w:rsidR="0004652B" w:rsidRPr="00836A45" w:rsidRDefault="0004652B" w:rsidP="00836A45">
      <w:pPr>
        <w:pStyle w:val="HChG"/>
        <w:rPr>
          <w:rFonts w:eastAsia="SimSun"/>
        </w:rPr>
      </w:pPr>
      <w:r w:rsidRPr="00836A45">
        <w:tab/>
      </w:r>
      <w:r w:rsidRPr="00836A45">
        <w:tab/>
        <w:t>Justification</w:t>
      </w:r>
    </w:p>
    <w:p w:rsidR="0004652B" w:rsidRPr="00836A45" w:rsidRDefault="0004652B" w:rsidP="00836A45">
      <w:pPr>
        <w:pStyle w:val="SingleTxtG"/>
      </w:pPr>
      <w:r w:rsidRPr="00836A45">
        <w:t>7.</w:t>
      </w:r>
      <w:r w:rsidRPr="00836A45">
        <w:tab/>
        <w:t>Cette modification est proposée pour que la version anglaise de l’ATP corresponde à la version française et que les prescriptions prévues au paragraphe 2.1.4 soient cohérentes avec celles prévues aux paragraphes 1.7 et 2.2.5.</w:t>
      </w:r>
    </w:p>
    <w:p w:rsidR="00F9573C" w:rsidRPr="00836A45" w:rsidRDefault="0004652B" w:rsidP="0004652B">
      <w:pPr>
        <w:pStyle w:val="SingleTxtG"/>
        <w:spacing w:before="240" w:after="0"/>
        <w:jc w:val="center"/>
        <w:rPr>
          <w:u w:val="single"/>
        </w:rPr>
      </w:pPr>
      <w:r w:rsidRPr="00836A45">
        <w:rPr>
          <w:u w:val="single"/>
        </w:rPr>
        <w:tab/>
      </w:r>
      <w:r w:rsidRPr="00836A45">
        <w:rPr>
          <w:u w:val="single"/>
        </w:rPr>
        <w:tab/>
      </w:r>
      <w:r w:rsidRPr="00836A45">
        <w:rPr>
          <w:u w:val="single"/>
        </w:rPr>
        <w:tab/>
      </w:r>
    </w:p>
    <w:sectPr w:rsidR="00F9573C" w:rsidRPr="00836A45" w:rsidSect="000465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98" w:rsidRDefault="008E4198" w:rsidP="00F95C08">
      <w:pPr>
        <w:spacing w:line="240" w:lineRule="auto"/>
      </w:pPr>
    </w:p>
  </w:endnote>
  <w:endnote w:type="continuationSeparator" w:id="0">
    <w:p w:rsidR="008E4198" w:rsidRPr="00AC3823" w:rsidRDefault="008E4198" w:rsidP="00AC3823">
      <w:pPr>
        <w:pStyle w:val="Footer"/>
      </w:pPr>
    </w:p>
  </w:endnote>
  <w:endnote w:type="continuationNotice" w:id="1">
    <w:p w:rsidR="008E4198" w:rsidRDefault="008E4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2B" w:rsidRPr="0004652B" w:rsidRDefault="0004652B" w:rsidP="0004652B">
    <w:pPr>
      <w:pStyle w:val="Footer"/>
      <w:tabs>
        <w:tab w:val="right" w:pos="9638"/>
      </w:tabs>
    </w:pPr>
    <w:r w:rsidRPr="0004652B">
      <w:rPr>
        <w:b/>
        <w:sz w:val="18"/>
      </w:rPr>
      <w:fldChar w:fldCharType="begin"/>
    </w:r>
    <w:r w:rsidRPr="0004652B">
      <w:rPr>
        <w:b/>
        <w:sz w:val="18"/>
      </w:rPr>
      <w:instrText xml:space="preserve"> PAGE  \* MERGEFORMAT </w:instrText>
    </w:r>
    <w:r w:rsidRPr="0004652B">
      <w:rPr>
        <w:b/>
        <w:sz w:val="18"/>
      </w:rPr>
      <w:fldChar w:fldCharType="separate"/>
    </w:r>
    <w:r w:rsidR="00BD4EE3">
      <w:rPr>
        <w:b/>
        <w:noProof/>
        <w:sz w:val="18"/>
      </w:rPr>
      <w:t>2</w:t>
    </w:r>
    <w:r w:rsidRPr="0004652B">
      <w:rPr>
        <w:b/>
        <w:sz w:val="18"/>
      </w:rPr>
      <w:fldChar w:fldCharType="end"/>
    </w:r>
    <w:r>
      <w:rPr>
        <w:b/>
        <w:sz w:val="18"/>
      </w:rPr>
      <w:tab/>
    </w:r>
    <w:r>
      <w:t>GE.18-12267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2B" w:rsidRPr="0004652B" w:rsidRDefault="0004652B" w:rsidP="0004652B">
    <w:pPr>
      <w:pStyle w:val="Footer"/>
      <w:tabs>
        <w:tab w:val="right" w:pos="9638"/>
      </w:tabs>
      <w:rPr>
        <w:b/>
        <w:sz w:val="18"/>
      </w:rPr>
    </w:pPr>
    <w:r>
      <w:t>GE.18-12267</w:t>
    </w:r>
    <w:r>
      <w:tab/>
    </w:r>
    <w:r w:rsidRPr="0004652B">
      <w:rPr>
        <w:b/>
        <w:sz w:val="18"/>
      </w:rPr>
      <w:fldChar w:fldCharType="begin"/>
    </w:r>
    <w:r w:rsidRPr="0004652B">
      <w:rPr>
        <w:b/>
        <w:sz w:val="18"/>
      </w:rPr>
      <w:instrText xml:space="preserve"> PAGE  \* MERGEFORMAT </w:instrText>
    </w:r>
    <w:r w:rsidRPr="0004652B">
      <w:rPr>
        <w:b/>
        <w:sz w:val="18"/>
      </w:rPr>
      <w:fldChar w:fldCharType="separate"/>
    </w:r>
    <w:r w:rsidR="0007415B">
      <w:rPr>
        <w:b/>
        <w:noProof/>
        <w:sz w:val="18"/>
      </w:rPr>
      <w:t>2</w:t>
    </w:r>
    <w:r w:rsidRPr="000465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4652B" w:rsidRDefault="0004652B" w:rsidP="0004652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18-12267  (F)</w:t>
    </w:r>
    <w:r w:rsidR="00836A45">
      <w:rPr>
        <w:sz w:val="20"/>
      </w:rPr>
      <w:t xml:space="preserve">    100818    230818</w:t>
    </w:r>
    <w:r>
      <w:rPr>
        <w:sz w:val="20"/>
      </w:rPr>
      <w:br/>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sidRPr="0004652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11/20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11/2018/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98" w:rsidRPr="00AC3823" w:rsidRDefault="008E4198" w:rsidP="00AC3823">
      <w:pPr>
        <w:pStyle w:val="Footer"/>
        <w:tabs>
          <w:tab w:val="right" w:pos="2155"/>
        </w:tabs>
        <w:spacing w:after="80" w:line="240" w:lineRule="atLeast"/>
        <w:ind w:left="680"/>
        <w:rPr>
          <w:u w:val="single"/>
        </w:rPr>
      </w:pPr>
      <w:r>
        <w:rPr>
          <w:u w:val="single"/>
        </w:rPr>
        <w:tab/>
      </w:r>
    </w:p>
  </w:footnote>
  <w:footnote w:type="continuationSeparator" w:id="0">
    <w:p w:rsidR="008E4198" w:rsidRPr="00AC3823" w:rsidRDefault="008E4198" w:rsidP="00AC3823">
      <w:pPr>
        <w:pStyle w:val="Footer"/>
        <w:tabs>
          <w:tab w:val="right" w:pos="2155"/>
        </w:tabs>
        <w:spacing w:after="80" w:line="240" w:lineRule="atLeast"/>
        <w:ind w:left="680"/>
        <w:rPr>
          <w:u w:val="single"/>
        </w:rPr>
      </w:pPr>
      <w:r>
        <w:rPr>
          <w:u w:val="single"/>
        </w:rPr>
        <w:tab/>
      </w:r>
    </w:p>
  </w:footnote>
  <w:footnote w:type="continuationNotice" w:id="1">
    <w:p w:rsidR="008E4198" w:rsidRPr="00AC3823" w:rsidRDefault="008E41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2B" w:rsidRPr="0004652B" w:rsidRDefault="00A00C9D">
    <w:pPr>
      <w:pStyle w:val="Header"/>
    </w:pPr>
    <w:r>
      <w:fldChar w:fldCharType="begin"/>
    </w:r>
    <w:r>
      <w:instrText xml:space="preserve"> TITLE  \* MERGEFORMAT </w:instrText>
    </w:r>
    <w:r>
      <w:fldChar w:fldCharType="separate"/>
    </w:r>
    <w:r w:rsidR="0007415B">
      <w:t>ECE/TRANS/WP.11/2018/16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2B" w:rsidRPr="0004652B" w:rsidRDefault="00A00C9D" w:rsidP="0004652B">
    <w:pPr>
      <w:pStyle w:val="Header"/>
      <w:jc w:val="right"/>
    </w:pPr>
    <w:r>
      <w:fldChar w:fldCharType="begin"/>
    </w:r>
    <w:r>
      <w:instrText xml:space="preserve"> TITLE  \* MERGEFORMAT </w:instrText>
    </w:r>
    <w:r>
      <w:fldChar w:fldCharType="separate"/>
    </w:r>
    <w:r w:rsidR="0007415B">
      <w:t>ECE/TRANS/WP.11/2018/16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198"/>
    <w:rsid w:val="00017F94"/>
    <w:rsid w:val="00023842"/>
    <w:rsid w:val="000334F9"/>
    <w:rsid w:val="00045FEB"/>
    <w:rsid w:val="0004652B"/>
    <w:rsid w:val="0007415B"/>
    <w:rsid w:val="0007796D"/>
    <w:rsid w:val="000B7790"/>
    <w:rsid w:val="000F1ACA"/>
    <w:rsid w:val="00111F2F"/>
    <w:rsid w:val="0014365E"/>
    <w:rsid w:val="00143C66"/>
    <w:rsid w:val="00176178"/>
    <w:rsid w:val="001F525A"/>
    <w:rsid w:val="00223272"/>
    <w:rsid w:val="002431B4"/>
    <w:rsid w:val="0024779E"/>
    <w:rsid w:val="00257168"/>
    <w:rsid w:val="002744B8"/>
    <w:rsid w:val="002832AC"/>
    <w:rsid w:val="002D7C93"/>
    <w:rsid w:val="00305801"/>
    <w:rsid w:val="00327E6C"/>
    <w:rsid w:val="003916DE"/>
    <w:rsid w:val="003C2013"/>
    <w:rsid w:val="00421996"/>
    <w:rsid w:val="00441C3B"/>
    <w:rsid w:val="00446FE5"/>
    <w:rsid w:val="00452396"/>
    <w:rsid w:val="00470FCA"/>
    <w:rsid w:val="004837D8"/>
    <w:rsid w:val="004E2EED"/>
    <w:rsid w:val="004E468C"/>
    <w:rsid w:val="005505B7"/>
    <w:rsid w:val="00573BE5"/>
    <w:rsid w:val="00586ED3"/>
    <w:rsid w:val="00596AA9"/>
    <w:rsid w:val="005C24A8"/>
    <w:rsid w:val="0071601D"/>
    <w:rsid w:val="00740A93"/>
    <w:rsid w:val="007A62E6"/>
    <w:rsid w:val="007F20FA"/>
    <w:rsid w:val="0080684C"/>
    <w:rsid w:val="00812D18"/>
    <w:rsid w:val="00836A45"/>
    <w:rsid w:val="00871C75"/>
    <w:rsid w:val="008776DC"/>
    <w:rsid w:val="008E4198"/>
    <w:rsid w:val="009446C0"/>
    <w:rsid w:val="009705C8"/>
    <w:rsid w:val="009C1CF4"/>
    <w:rsid w:val="009F6B74"/>
    <w:rsid w:val="00A00C9D"/>
    <w:rsid w:val="00A148B4"/>
    <w:rsid w:val="00A3029F"/>
    <w:rsid w:val="00A30353"/>
    <w:rsid w:val="00AC3823"/>
    <w:rsid w:val="00AE323C"/>
    <w:rsid w:val="00AF0CB5"/>
    <w:rsid w:val="00B00181"/>
    <w:rsid w:val="00B00B0D"/>
    <w:rsid w:val="00B45F2E"/>
    <w:rsid w:val="00B765F7"/>
    <w:rsid w:val="00BA0CA9"/>
    <w:rsid w:val="00BD4EE3"/>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0C0AE-CDFD-4EC9-96E8-914F4581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04652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ECE/TRANS/WP.11/2018/16</vt:lpstr>
      <vt:lpstr/>
    </vt:vector>
  </TitlesOfParts>
  <Company>DCM</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ECE/TRANS/WP.11/2018/16</dc:title>
  <dc:subject/>
  <dc:creator>Isabelle VIGNY</dc:creator>
  <cp:keywords/>
  <cp:lastModifiedBy>Secretariat</cp:lastModifiedBy>
  <cp:revision>2</cp:revision>
  <cp:lastPrinted>2018-08-23T09:20:00Z</cp:lastPrinted>
  <dcterms:created xsi:type="dcterms:W3CDTF">2018-08-27T14:34:00Z</dcterms:created>
  <dcterms:modified xsi:type="dcterms:W3CDTF">2018-08-27T14:34:00Z</dcterms:modified>
</cp:coreProperties>
</file>