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6A1550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6A1550" w:rsidP="006A1550">
            <w:pPr>
              <w:jc w:val="right"/>
            </w:pPr>
            <w:r w:rsidRPr="006A1550">
              <w:rPr>
                <w:sz w:val="40"/>
              </w:rPr>
              <w:t>ECE</w:t>
            </w:r>
            <w:r>
              <w:t>/TRANS/WP.11/2018/2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6A1550" w:rsidP="00C97039">
            <w:pPr>
              <w:spacing w:before="240"/>
            </w:pPr>
            <w:r>
              <w:t>Distr. générale</w:t>
            </w:r>
          </w:p>
          <w:p w:rsidR="006A1550" w:rsidRDefault="00A26E79" w:rsidP="006A1550">
            <w:pPr>
              <w:spacing w:line="240" w:lineRule="exact"/>
            </w:pPr>
            <w:r>
              <w:t>16 mai 2018</w:t>
            </w:r>
          </w:p>
          <w:p w:rsidR="006A1550" w:rsidRDefault="006A1550" w:rsidP="006A1550">
            <w:pPr>
              <w:spacing w:line="240" w:lineRule="exact"/>
            </w:pPr>
            <w:r>
              <w:t>Français</w:t>
            </w:r>
          </w:p>
          <w:p w:rsidR="006A1550" w:rsidRPr="00DB58B5" w:rsidRDefault="006A1550" w:rsidP="006A1550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925CB7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6A1550" w:rsidRPr="006A1550" w:rsidRDefault="006A1550" w:rsidP="006A1550">
      <w:pPr>
        <w:spacing w:before="120" w:line="480" w:lineRule="auto"/>
        <w:rPr>
          <w:b/>
          <w:sz w:val="24"/>
          <w:szCs w:val="24"/>
        </w:rPr>
      </w:pPr>
      <w:r w:rsidRPr="006A1550">
        <w:rPr>
          <w:b/>
          <w:bCs/>
          <w:sz w:val="24"/>
          <w:szCs w:val="24"/>
          <w:lang w:val="fr-FR"/>
        </w:rPr>
        <w:t>Groupe de travail du transport des denrées périssables</w:t>
      </w:r>
    </w:p>
    <w:p w:rsidR="006A1550" w:rsidRPr="00BB50EA" w:rsidRDefault="006A1550" w:rsidP="006A1550">
      <w:pPr>
        <w:spacing w:line="240" w:lineRule="auto"/>
        <w:rPr>
          <w:b/>
        </w:rPr>
      </w:pPr>
      <w:r>
        <w:rPr>
          <w:b/>
          <w:bCs/>
          <w:lang w:val="fr-FR"/>
        </w:rPr>
        <w:t>Soixante-quatorzième session</w:t>
      </w:r>
    </w:p>
    <w:p w:rsidR="006A1550" w:rsidRPr="00BB50EA" w:rsidRDefault="006A1550" w:rsidP="006A1550">
      <w:pPr>
        <w:spacing w:line="240" w:lineRule="auto"/>
      </w:pPr>
      <w:r>
        <w:rPr>
          <w:lang w:val="fr-FR"/>
        </w:rPr>
        <w:t>Genève, 8-12 octobre 2018</w:t>
      </w:r>
    </w:p>
    <w:p w:rsidR="006A1550" w:rsidRPr="00BB50EA" w:rsidRDefault="006A1550" w:rsidP="006A1550">
      <w:pPr>
        <w:spacing w:line="240" w:lineRule="auto"/>
      </w:pPr>
      <w:r>
        <w:rPr>
          <w:lang w:val="fr-FR"/>
        </w:rPr>
        <w:t>Point 3 a) de l</w:t>
      </w:r>
      <w:r w:rsidR="00925CB7">
        <w:rPr>
          <w:lang w:val="fr-FR"/>
        </w:rPr>
        <w:t>’</w:t>
      </w:r>
      <w:r>
        <w:rPr>
          <w:lang w:val="fr-FR"/>
        </w:rPr>
        <w:t>ordre du jour provisoire</w:t>
      </w:r>
    </w:p>
    <w:p w:rsidR="006A1550" w:rsidRPr="00BB50EA" w:rsidRDefault="006A1550" w:rsidP="006A1550">
      <w:pPr>
        <w:spacing w:line="240" w:lineRule="auto"/>
        <w:rPr>
          <w:b/>
        </w:rPr>
      </w:pPr>
      <w:r>
        <w:rPr>
          <w:b/>
          <w:bCs/>
          <w:lang w:val="fr-FR"/>
        </w:rPr>
        <w:t xml:space="preserve">Activités des organes de la CEE qui sont </w:t>
      </w:r>
      <w:r>
        <w:rPr>
          <w:b/>
          <w:bCs/>
          <w:lang w:val="fr-FR"/>
        </w:rPr>
        <w:br/>
        <w:t>d</w:t>
      </w:r>
      <w:r w:rsidR="00925CB7">
        <w:rPr>
          <w:b/>
          <w:bCs/>
          <w:lang w:val="fr-FR"/>
        </w:rPr>
        <w:t>’</w:t>
      </w:r>
      <w:r>
        <w:rPr>
          <w:b/>
          <w:bCs/>
          <w:lang w:val="fr-FR"/>
        </w:rPr>
        <w:t xml:space="preserve">un intérêt </w:t>
      </w:r>
      <w:r w:rsidR="007E7395">
        <w:rPr>
          <w:b/>
          <w:bCs/>
          <w:lang w:val="fr-FR"/>
        </w:rPr>
        <w:t>pour le Groupe de travail </w:t>
      </w:r>
      <w:r>
        <w:rPr>
          <w:b/>
          <w:bCs/>
          <w:lang w:val="fr-FR"/>
        </w:rPr>
        <w:t>:</w:t>
      </w:r>
    </w:p>
    <w:p w:rsidR="006A1550" w:rsidRPr="00BB50EA" w:rsidRDefault="006A1550" w:rsidP="006A1550">
      <w:pPr>
        <w:spacing w:line="240" w:lineRule="auto"/>
        <w:rPr>
          <w:b/>
        </w:rPr>
      </w:pPr>
      <w:r>
        <w:rPr>
          <w:b/>
          <w:bCs/>
          <w:lang w:val="fr-FR"/>
        </w:rPr>
        <w:t>Comité des transports intérieurs</w:t>
      </w:r>
    </w:p>
    <w:p w:rsidR="006A1550" w:rsidRPr="00BB50EA" w:rsidRDefault="006A1550" w:rsidP="006A1550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 xml:space="preserve">Résultats </w:t>
      </w:r>
      <w:r w:rsidRPr="006A1550">
        <w:t>de</w:t>
      </w:r>
      <w:r>
        <w:rPr>
          <w:lang w:val="fr-FR"/>
        </w:rPr>
        <w:t xml:space="preserve"> la quatre-vingtième session </w:t>
      </w:r>
      <w:r>
        <w:rPr>
          <w:lang w:val="fr-FR"/>
        </w:rPr>
        <w:br/>
        <w:t xml:space="preserve">du Comité des transports intérieurs sur </w:t>
      </w:r>
      <w:r>
        <w:rPr>
          <w:lang w:val="fr-FR"/>
        </w:rPr>
        <w:br/>
        <w:t xml:space="preserve">les travaux du Groupe de travail </w:t>
      </w:r>
    </w:p>
    <w:p w:rsidR="006A1550" w:rsidRPr="00BB50EA" w:rsidRDefault="006A1550" w:rsidP="006A1550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 xml:space="preserve">Note du </w:t>
      </w:r>
      <w:r w:rsidRPr="006A1550">
        <w:t>secrétariat</w:t>
      </w:r>
    </w:p>
    <w:p w:rsidR="006A1550" w:rsidRPr="00BB50EA" w:rsidRDefault="006A1550" w:rsidP="006A1550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Introduction</w:t>
      </w:r>
    </w:p>
    <w:p w:rsidR="006A1550" w:rsidRPr="00BB50EA" w:rsidRDefault="006A1550" w:rsidP="006A1550">
      <w:pPr>
        <w:pStyle w:val="SingleTxtG"/>
      </w:pPr>
      <w:r>
        <w:rPr>
          <w:lang w:val="fr-FR"/>
        </w:rPr>
        <w:t>1.</w:t>
      </w:r>
      <w:r>
        <w:rPr>
          <w:lang w:val="fr-FR"/>
        </w:rPr>
        <w:tab/>
        <w:t xml:space="preserve">À sa soixante-treizième session, le Groupe de travail a examiné les améliorations à apporter à ses méthodes de travail. Lors des discussions en séance plénière, il a chargé le secrétariat de rédiger un </w:t>
      </w:r>
      <w:r w:rsidRPr="006A1550">
        <w:t>document</w:t>
      </w:r>
      <w:r>
        <w:rPr>
          <w:lang w:val="fr-FR"/>
        </w:rPr>
        <w:t xml:space="preserve"> informel contenant plusieurs propositions de modification de l</w:t>
      </w:r>
      <w:r w:rsidR="00925CB7">
        <w:rPr>
          <w:lang w:val="fr-FR"/>
        </w:rPr>
        <w:t>’</w:t>
      </w:r>
      <w:r>
        <w:rPr>
          <w:lang w:val="fr-FR"/>
        </w:rPr>
        <w:t xml:space="preserve">article 35 de son Règlement intérieur. </w:t>
      </w:r>
    </w:p>
    <w:p w:rsidR="006A1550" w:rsidRPr="00BB50EA" w:rsidRDefault="006A1550" w:rsidP="006A1550">
      <w:pPr>
        <w:pStyle w:val="SingleTxtG"/>
      </w:pPr>
      <w:r>
        <w:rPr>
          <w:lang w:val="fr-FR"/>
        </w:rPr>
        <w:t>2.</w:t>
      </w:r>
      <w:r>
        <w:rPr>
          <w:lang w:val="fr-FR"/>
        </w:rPr>
        <w:tab/>
        <w:t>Comme suite à la demande du Groupe de travail, le secrétariat a rédigé le document informel INF.12. Le Groupe de travail a examiné les options proposées et, après discussion, a adopté un amendement à l</w:t>
      </w:r>
      <w:r w:rsidR="00925CB7">
        <w:rPr>
          <w:lang w:val="fr-FR"/>
        </w:rPr>
        <w:t>’</w:t>
      </w:r>
      <w:r>
        <w:rPr>
          <w:lang w:val="fr-FR"/>
        </w:rPr>
        <w:t>article 35. La décision a été prise à la majorité des membres de plein droit, présents et votants. L</w:t>
      </w:r>
      <w:r w:rsidR="00925CB7">
        <w:rPr>
          <w:lang w:val="fr-FR"/>
        </w:rPr>
        <w:t>’</w:t>
      </w:r>
      <w:r>
        <w:rPr>
          <w:lang w:val="fr-FR"/>
        </w:rPr>
        <w:t>article 35 tel que modifié se lit comme suit</w:t>
      </w:r>
      <w:r w:rsidR="007E7395">
        <w:rPr>
          <w:lang w:val="fr-FR"/>
        </w:rPr>
        <w:t> </w:t>
      </w:r>
      <w:r>
        <w:rPr>
          <w:lang w:val="fr-FR"/>
        </w:rPr>
        <w:t>:</w:t>
      </w:r>
    </w:p>
    <w:p w:rsidR="006A1550" w:rsidRPr="006A1550" w:rsidRDefault="006A1550" w:rsidP="006A1550">
      <w:pPr>
        <w:pStyle w:val="SingleTxtG"/>
        <w:rPr>
          <w:b/>
        </w:rPr>
      </w:pPr>
      <w:r>
        <w:rPr>
          <w:lang w:val="fr-FR"/>
        </w:rPr>
        <w:tab/>
        <w:t>« </w:t>
      </w:r>
      <w:r w:rsidRPr="006A1550">
        <w:rPr>
          <w:b/>
          <w:lang w:val="fr-FR"/>
        </w:rPr>
        <w:t xml:space="preserve">Article 35 </w:t>
      </w:r>
    </w:p>
    <w:p w:rsidR="006A1550" w:rsidRPr="00BB50EA" w:rsidRDefault="006A1550" w:rsidP="006A1550">
      <w:pPr>
        <w:pStyle w:val="SingleTxtG"/>
        <w:ind w:left="1701" w:hanging="567"/>
      </w:pPr>
      <w:r>
        <w:rPr>
          <w:lang w:val="fr-FR"/>
        </w:rPr>
        <w:tab/>
      </w:r>
      <w:r>
        <w:rPr>
          <w:lang w:val="fr-FR"/>
        </w:rPr>
        <w:tab/>
        <w:t>a)</w:t>
      </w:r>
      <w:r>
        <w:rPr>
          <w:lang w:val="fr-FR"/>
        </w:rPr>
        <w:tab/>
        <w:t>Les décisions relatives aux amendements à l</w:t>
      </w:r>
      <w:r w:rsidR="00925CB7">
        <w:rPr>
          <w:lang w:val="fr-FR"/>
        </w:rPr>
        <w:t>’</w:t>
      </w:r>
      <w:r>
        <w:rPr>
          <w:lang w:val="fr-FR"/>
        </w:rPr>
        <w:t>ATP ne doivent être prises qu</w:t>
      </w:r>
      <w:r w:rsidR="00925CB7">
        <w:rPr>
          <w:lang w:val="fr-FR"/>
        </w:rPr>
        <w:t>’</w:t>
      </w:r>
      <w:r>
        <w:rPr>
          <w:lang w:val="fr-FR"/>
        </w:rPr>
        <w:t>en présence d</w:t>
      </w:r>
      <w:r w:rsidR="00925CB7">
        <w:rPr>
          <w:lang w:val="fr-FR"/>
        </w:rPr>
        <w:t>’</w:t>
      </w:r>
      <w:r>
        <w:rPr>
          <w:lang w:val="fr-FR"/>
        </w:rPr>
        <w:t xml:space="preserve">au moins un tiers du total des Parties contractantes. Elles doivent être prises, prioritairement, sur la </w:t>
      </w:r>
      <w:r w:rsidRPr="006A1550">
        <w:t>base</w:t>
      </w:r>
      <w:r>
        <w:rPr>
          <w:lang w:val="fr-FR"/>
        </w:rPr>
        <w:t xml:space="preserve"> d</w:t>
      </w:r>
      <w:r w:rsidR="00925CB7">
        <w:rPr>
          <w:lang w:val="fr-FR"/>
        </w:rPr>
        <w:t>’</w:t>
      </w:r>
      <w:r>
        <w:rPr>
          <w:lang w:val="fr-FR"/>
        </w:rPr>
        <w:t>un consensus. À défaut, elles sont prises à la majorité des participants de plein droit, présents et votants, étant entendu qu</w:t>
      </w:r>
      <w:r w:rsidR="00925CB7">
        <w:rPr>
          <w:lang w:val="fr-FR"/>
        </w:rPr>
        <w:t>’</w:t>
      </w:r>
      <w:r>
        <w:rPr>
          <w:lang w:val="fr-FR"/>
        </w:rPr>
        <w:t xml:space="preserve">il ne peut y avoir plus de trois voix contre la proposition considérée ; </w:t>
      </w:r>
    </w:p>
    <w:p w:rsidR="006A1550" w:rsidRPr="00BB50EA" w:rsidRDefault="006A1550" w:rsidP="006A1550">
      <w:pPr>
        <w:pStyle w:val="SingleTxtG"/>
        <w:ind w:left="1701" w:hanging="567"/>
      </w:pPr>
      <w:r>
        <w:rPr>
          <w:lang w:val="fr-FR"/>
        </w:rPr>
        <w:tab/>
      </w:r>
      <w:r>
        <w:rPr>
          <w:lang w:val="fr-FR"/>
        </w:rPr>
        <w:tab/>
        <w:t>b)</w:t>
      </w:r>
      <w:r>
        <w:rPr>
          <w:lang w:val="fr-FR"/>
        </w:rPr>
        <w:tab/>
        <w:t>Les décisions relatives aux amendements au Manuel ATP doivent être prises, prioritairement, sur la base d</w:t>
      </w:r>
      <w:r w:rsidR="00925CB7">
        <w:rPr>
          <w:lang w:val="fr-FR"/>
        </w:rPr>
        <w:t>’</w:t>
      </w:r>
      <w:r>
        <w:rPr>
          <w:lang w:val="fr-FR"/>
        </w:rPr>
        <w:t>un consensus. À défaut, elles sont prises à la majorité des voix, étant entendu qu</w:t>
      </w:r>
      <w:r w:rsidR="00925CB7">
        <w:rPr>
          <w:lang w:val="fr-FR"/>
        </w:rPr>
        <w:t>’</w:t>
      </w:r>
      <w:r>
        <w:rPr>
          <w:lang w:val="fr-FR"/>
        </w:rPr>
        <w:t>il ne peut y avoir plus de trois voix contre la proposition considérée</w:t>
      </w:r>
      <w:r w:rsidR="007E7395">
        <w:rPr>
          <w:lang w:val="fr-FR"/>
        </w:rPr>
        <w:t> </w:t>
      </w:r>
      <w:r>
        <w:rPr>
          <w:lang w:val="fr-FR"/>
        </w:rPr>
        <w:t xml:space="preserve">; </w:t>
      </w:r>
    </w:p>
    <w:p w:rsidR="006A1550" w:rsidRPr="00BB50EA" w:rsidRDefault="006A1550" w:rsidP="006A1550">
      <w:pPr>
        <w:pStyle w:val="SingleTxtG"/>
        <w:ind w:left="1701" w:hanging="567"/>
      </w:pPr>
      <w:r>
        <w:rPr>
          <w:lang w:val="fr-FR"/>
        </w:rPr>
        <w:lastRenderedPageBreak/>
        <w:tab/>
      </w:r>
      <w:r>
        <w:rPr>
          <w:lang w:val="fr-FR"/>
        </w:rPr>
        <w:tab/>
        <w:t>c)</w:t>
      </w:r>
      <w:r>
        <w:rPr>
          <w:lang w:val="fr-FR"/>
        </w:rPr>
        <w:tab/>
        <w:t>Toutes les autres décisions sont prises, prioritairement, sur la base d</w:t>
      </w:r>
      <w:r w:rsidR="00925CB7">
        <w:rPr>
          <w:lang w:val="fr-FR"/>
        </w:rPr>
        <w:t>’</w:t>
      </w:r>
      <w:r>
        <w:rPr>
          <w:lang w:val="fr-FR"/>
        </w:rPr>
        <w:t>un consensus. À défaut, elles sont prises à la majorité des participants de plein droit, présents et votants. ».</w:t>
      </w:r>
    </w:p>
    <w:p w:rsidR="006A1550" w:rsidRPr="00BB50EA" w:rsidRDefault="006A1550" w:rsidP="006A1550">
      <w:pPr>
        <w:pStyle w:val="SingleTxtG"/>
      </w:pPr>
      <w:r>
        <w:rPr>
          <w:lang w:val="fr-FR"/>
        </w:rPr>
        <w:t>3.</w:t>
      </w:r>
      <w:r>
        <w:rPr>
          <w:lang w:val="fr-FR"/>
        </w:rPr>
        <w:tab/>
        <w:t>La décision a été soumise à la quatre-vingtième session (20-23 février 2018) du Comité des transports intérieurs (CTI) pour approbation. Le Comité a examiné les travaux du Groupe de travail du transport des denrées périssables au titre du point 5 j) de l</w:t>
      </w:r>
      <w:r w:rsidR="00925CB7">
        <w:rPr>
          <w:lang w:val="fr-FR"/>
        </w:rPr>
        <w:t>’</w:t>
      </w:r>
      <w:r>
        <w:rPr>
          <w:lang w:val="fr-FR"/>
        </w:rPr>
        <w:t>ordre du jour (Questions stratégiques à caractère modal et thématique</w:t>
      </w:r>
      <w:r w:rsidR="007E7395">
        <w:rPr>
          <w:lang w:val="fr-FR"/>
        </w:rPr>
        <w:t> </w:t>
      </w:r>
      <w:r>
        <w:rPr>
          <w:lang w:val="fr-FR"/>
        </w:rPr>
        <w:t>: transport des denrées périssables).</w:t>
      </w:r>
      <w:r w:rsidR="007E7395">
        <w:rPr>
          <w:lang w:val="fr-FR"/>
        </w:rPr>
        <w:t xml:space="preserve"> Après discussion, il </w:t>
      </w:r>
      <w:r>
        <w:rPr>
          <w:lang w:val="fr-FR"/>
        </w:rPr>
        <w:t>:</w:t>
      </w:r>
    </w:p>
    <w:p w:rsidR="006A1550" w:rsidRPr="00BB50EA" w:rsidRDefault="006A1550" w:rsidP="006A1550">
      <w:pPr>
        <w:pStyle w:val="SingleTxtG"/>
        <w:ind w:left="1701" w:hanging="567"/>
      </w:pPr>
      <w:r>
        <w:tab/>
      </w:r>
      <w:r>
        <w:tab/>
        <w:t>« </w:t>
      </w:r>
      <w:r w:rsidRPr="00F174DE">
        <w:rPr>
          <w:b/>
        </w:rPr>
        <w:t>[</w:t>
      </w:r>
      <w:r>
        <w:rPr>
          <w:b/>
          <w:bCs/>
          <w:lang w:val="fr-FR"/>
        </w:rPr>
        <w:t>a] entériné</w:t>
      </w:r>
      <w:r>
        <w:rPr>
          <w:lang w:val="fr-FR"/>
        </w:rPr>
        <w:t xml:space="preserve"> la décision du Groupe de travail du transport des denrées périssables (WP.11) de porter à cinq jours la durée de sa prochaine session 2018</w:t>
      </w:r>
      <w:r w:rsidR="007E7395">
        <w:rPr>
          <w:lang w:val="fr-FR"/>
        </w:rPr>
        <w:t> </w:t>
      </w:r>
      <w:r>
        <w:rPr>
          <w:lang w:val="fr-FR"/>
        </w:rPr>
        <w:t xml:space="preserve">; </w:t>
      </w:r>
      <w:r>
        <w:rPr>
          <w:b/>
          <w:bCs/>
          <w:lang w:val="fr-FR"/>
        </w:rPr>
        <w:t>s</w:t>
      </w:r>
      <w:r w:rsidR="00925CB7">
        <w:rPr>
          <w:b/>
          <w:bCs/>
          <w:lang w:val="fr-FR"/>
        </w:rPr>
        <w:t>’</w:t>
      </w:r>
      <w:r>
        <w:rPr>
          <w:b/>
          <w:bCs/>
          <w:lang w:val="fr-FR"/>
        </w:rPr>
        <w:t>est réjou</w:t>
      </w:r>
      <w:r>
        <w:rPr>
          <w:lang w:val="fr-FR"/>
        </w:rPr>
        <w:t>i des progrès en cours au sein du WP.11 en vue d</w:t>
      </w:r>
      <w:r w:rsidR="00925CB7">
        <w:rPr>
          <w:lang w:val="fr-FR"/>
        </w:rPr>
        <w:t>’</w:t>
      </w:r>
      <w:r>
        <w:rPr>
          <w:lang w:val="fr-FR"/>
        </w:rPr>
        <w:t>améliorer ses méthodes de travail (sujet qui, à plusieurs reprises dans le passé, avait compliqué la capacité d</w:t>
      </w:r>
      <w:r w:rsidR="00925CB7">
        <w:rPr>
          <w:lang w:val="fr-FR"/>
        </w:rPr>
        <w:t>’</w:t>
      </w:r>
      <w:r>
        <w:rPr>
          <w:lang w:val="fr-FR"/>
        </w:rPr>
        <w:t xml:space="preserve">adaptation aux progrès technologiques) et </w:t>
      </w:r>
      <w:r>
        <w:rPr>
          <w:b/>
          <w:bCs/>
          <w:lang w:val="fr-FR"/>
        </w:rPr>
        <w:t>a noté</w:t>
      </w:r>
      <w:r>
        <w:rPr>
          <w:lang w:val="fr-FR"/>
        </w:rPr>
        <w:t xml:space="preserve"> les changements correspondants apportés à son règlement intérieur, comme indiqué dans le document ECE/TRANS/WP.11/237. La Fédération de Russie </w:t>
      </w:r>
      <w:r>
        <w:rPr>
          <w:b/>
          <w:bCs/>
          <w:lang w:val="fr-FR"/>
        </w:rPr>
        <w:t>a demandé</w:t>
      </w:r>
      <w:r>
        <w:rPr>
          <w:lang w:val="fr-FR"/>
        </w:rPr>
        <w:t xml:space="preserve"> que cette question continue d</w:t>
      </w:r>
      <w:r w:rsidR="00925CB7">
        <w:rPr>
          <w:lang w:val="fr-FR"/>
        </w:rPr>
        <w:t>’</w:t>
      </w:r>
      <w:r>
        <w:rPr>
          <w:lang w:val="fr-FR"/>
        </w:rPr>
        <w:t>être discutée par le WP.11. ».</w:t>
      </w:r>
    </w:p>
    <w:p w:rsidR="006A1550" w:rsidRPr="006A1550" w:rsidRDefault="006A1550" w:rsidP="006A1550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Proposition</w:t>
      </w:r>
    </w:p>
    <w:p w:rsidR="006A1550" w:rsidRPr="00BB50EA" w:rsidRDefault="006A1550" w:rsidP="006A1550">
      <w:pPr>
        <w:pStyle w:val="SingleTxtG"/>
        <w:rPr>
          <w:rFonts w:asciiTheme="majorBidi" w:hAnsiTheme="majorBidi" w:cstheme="majorBidi"/>
          <w:color w:val="000000"/>
        </w:rPr>
      </w:pPr>
      <w:r>
        <w:rPr>
          <w:lang w:val="fr-FR"/>
        </w:rPr>
        <w:t>4.</w:t>
      </w:r>
      <w:r>
        <w:rPr>
          <w:lang w:val="fr-FR"/>
        </w:rPr>
        <w:tab/>
        <w:t>Au vu des résultats des débats du CTI, le Groupe de travail est invité à réexaminer la modification du Règlement intérieur en tenant compte des résultats de la table ronde sur les moyens d</w:t>
      </w:r>
      <w:r w:rsidR="00925CB7">
        <w:rPr>
          <w:lang w:val="fr-FR"/>
        </w:rPr>
        <w:t>’</w:t>
      </w:r>
      <w:r>
        <w:rPr>
          <w:lang w:val="fr-FR"/>
        </w:rPr>
        <w:t>améliorer le fonctionnement du Groupe de travail.</w:t>
      </w:r>
    </w:p>
    <w:p w:rsidR="00F9573C" w:rsidRPr="006A1550" w:rsidRDefault="006A1550" w:rsidP="006A155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6A1550" w:rsidSect="006A155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479" w:rsidRDefault="00793479" w:rsidP="00F95C08">
      <w:pPr>
        <w:spacing w:line="240" w:lineRule="auto"/>
      </w:pPr>
    </w:p>
  </w:endnote>
  <w:endnote w:type="continuationSeparator" w:id="0">
    <w:p w:rsidR="00793479" w:rsidRPr="00AC3823" w:rsidRDefault="00793479" w:rsidP="00AC3823">
      <w:pPr>
        <w:pStyle w:val="Footer"/>
      </w:pPr>
    </w:p>
  </w:endnote>
  <w:endnote w:type="continuationNotice" w:id="1">
    <w:p w:rsidR="00793479" w:rsidRDefault="0079347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550" w:rsidRPr="006A1550" w:rsidRDefault="006A1550" w:rsidP="006A1550">
    <w:pPr>
      <w:pStyle w:val="Footer"/>
      <w:tabs>
        <w:tab w:val="right" w:pos="9638"/>
      </w:tabs>
    </w:pPr>
    <w:r w:rsidRPr="006A1550">
      <w:rPr>
        <w:b/>
        <w:sz w:val="18"/>
      </w:rPr>
      <w:fldChar w:fldCharType="begin"/>
    </w:r>
    <w:r w:rsidRPr="006A1550">
      <w:rPr>
        <w:b/>
        <w:sz w:val="18"/>
      </w:rPr>
      <w:instrText xml:space="preserve"> PAGE  \* MERGEFORMAT </w:instrText>
    </w:r>
    <w:r w:rsidRPr="006A1550">
      <w:rPr>
        <w:b/>
        <w:sz w:val="18"/>
      </w:rPr>
      <w:fldChar w:fldCharType="separate"/>
    </w:r>
    <w:r w:rsidR="00DA48FF">
      <w:rPr>
        <w:b/>
        <w:noProof/>
        <w:sz w:val="18"/>
      </w:rPr>
      <w:t>2</w:t>
    </w:r>
    <w:r w:rsidRPr="006A1550">
      <w:rPr>
        <w:b/>
        <w:sz w:val="18"/>
      </w:rPr>
      <w:fldChar w:fldCharType="end"/>
    </w:r>
    <w:r>
      <w:rPr>
        <w:b/>
        <w:sz w:val="18"/>
      </w:rPr>
      <w:tab/>
    </w:r>
    <w:r>
      <w:t>GE.18-07855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550" w:rsidRPr="006A1550" w:rsidRDefault="006A1550" w:rsidP="006A1550">
    <w:pPr>
      <w:pStyle w:val="Footer"/>
      <w:tabs>
        <w:tab w:val="right" w:pos="9638"/>
      </w:tabs>
      <w:rPr>
        <w:b/>
        <w:sz w:val="18"/>
      </w:rPr>
    </w:pPr>
    <w:r>
      <w:t>GE.18-07855</w:t>
    </w:r>
    <w:r>
      <w:tab/>
    </w:r>
    <w:r w:rsidRPr="006A1550">
      <w:rPr>
        <w:b/>
        <w:sz w:val="18"/>
      </w:rPr>
      <w:fldChar w:fldCharType="begin"/>
    </w:r>
    <w:r w:rsidRPr="006A1550">
      <w:rPr>
        <w:b/>
        <w:sz w:val="18"/>
      </w:rPr>
      <w:instrText xml:space="preserve"> PAGE  \* MERGEFORMAT </w:instrText>
    </w:r>
    <w:r w:rsidRPr="006A1550">
      <w:rPr>
        <w:b/>
        <w:sz w:val="18"/>
      </w:rPr>
      <w:fldChar w:fldCharType="separate"/>
    </w:r>
    <w:r w:rsidR="00925CB7">
      <w:rPr>
        <w:b/>
        <w:noProof/>
        <w:sz w:val="18"/>
      </w:rPr>
      <w:t>2</w:t>
    </w:r>
    <w:r w:rsidRPr="006A155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6A1550" w:rsidRDefault="006A1550" w:rsidP="006A1550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18-07855  (F)</w:t>
    </w:r>
    <w:r w:rsidR="007E7395">
      <w:rPr>
        <w:sz w:val="20"/>
      </w:rPr>
      <w:t xml:space="preserve">    010618    230818</w:t>
    </w:r>
    <w:r>
      <w:rPr>
        <w:sz w:val="20"/>
      </w:rPr>
      <w:br/>
    </w:r>
    <w:r w:rsidRPr="006A1550">
      <w:rPr>
        <w:rFonts w:ascii="C39T30Lfz" w:hAnsi="C39T30Lfz"/>
        <w:sz w:val="56"/>
      </w:rPr>
      <w:t></w:t>
    </w:r>
    <w:r w:rsidRPr="006A1550">
      <w:rPr>
        <w:rFonts w:ascii="C39T30Lfz" w:hAnsi="C39T30Lfz"/>
        <w:sz w:val="56"/>
      </w:rPr>
      <w:t></w:t>
    </w:r>
    <w:r w:rsidRPr="006A1550">
      <w:rPr>
        <w:rFonts w:ascii="C39T30Lfz" w:hAnsi="C39T30Lfz"/>
        <w:sz w:val="56"/>
      </w:rPr>
      <w:t></w:t>
    </w:r>
    <w:r w:rsidRPr="006A1550">
      <w:rPr>
        <w:rFonts w:ascii="C39T30Lfz" w:hAnsi="C39T30Lfz"/>
        <w:sz w:val="56"/>
      </w:rPr>
      <w:t></w:t>
    </w:r>
    <w:r w:rsidRPr="006A1550">
      <w:rPr>
        <w:rFonts w:ascii="C39T30Lfz" w:hAnsi="C39T30Lfz"/>
        <w:sz w:val="56"/>
      </w:rPr>
      <w:t></w:t>
    </w:r>
    <w:r w:rsidRPr="006A1550">
      <w:rPr>
        <w:rFonts w:ascii="C39T30Lfz" w:hAnsi="C39T30Lfz"/>
        <w:sz w:val="56"/>
      </w:rPr>
      <w:t></w:t>
    </w:r>
    <w:r w:rsidRPr="006A1550">
      <w:rPr>
        <w:rFonts w:ascii="C39T30Lfz" w:hAnsi="C39T30Lfz"/>
        <w:sz w:val="56"/>
      </w:rPr>
      <w:t></w:t>
    </w:r>
    <w:r w:rsidRPr="006A1550">
      <w:rPr>
        <w:rFonts w:ascii="C39T30Lfz" w:hAnsi="C39T30Lfz"/>
        <w:sz w:val="56"/>
      </w:rPr>
      <w:t></w:t>
    </w:r>
    <w:r w:rsidRPr="006A1550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1/2018/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18/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479" w:rsidRPr="00AC3823" w:rsidRDefault="0079347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93479" w:rsidRPr="00AC3823" w:rsidRDefault="0079347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93479" w:rsidRPr="00AC3823" w:rsidRDefault="0079347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550" w:rsidRPr="006A1550" w:rsidRDefault="00062E9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DA48FF">
      <w:t>ECE/TRANS/WP.11/2018/2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550" w:rsidRPr="006A1550" w:rsidRDefault="00062E92" w:rsidP="006A155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A48FF">
      <w:t>ECE/TRANS/WP.11/2018/2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479"/>
    <w:rsid w:val="00017F94"/>
    <w:rsid w:val="00023842"/>
    <w:rsid w:val="000334F9"/>
    <w:rsid w:val="00045FEB"/>
    <w:rsid w:val="00062E92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6A1550"/>
    <w:rsid w:val="0071601D"/>
    <w:rsid w:val="00723FF5"/>
    <w:rsid w:val="00793479"/>
    <w:rsid w:val="007A62E6"/>
    <w:rsid w:val="007E7395"/>
    <w:rsid w:val="007F20FA"/>
    <w:rsid w:val="0080684C"/>
    <w:rsid w:val="00871C75"/>
    <w:rsid w:val="008776DC"/>
    <w:rsid w:val="00925CB7"/>
    <w:rsid w:val="009446C0"/>
    <w:rsid w:val="009705C8"/>
    <w:rsid w:val="009C1CF4"/>
    <w:rsid w:val="009F6B74"/>
    <w:rsid w:val="00A26E79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BC3312"/>
    <w:rsid w:val="00C02897"/>
    <w:rsid w:val="00C97039"/>
    <w:rsid w:val="00D3439C"/>
    <w:rsid w:val="00DA48FF"/>
    <w:rsid w:val="00DB1831"/>
    <w:rsid w:val="00DD3BFD"/>
    <w:rsid w:val="00DF6678"/>
    <w:rsid w:val="00E0299A"/>
    <w:rsid w:val="00E85C74"/>
    <w:rsid w:val="00EA6547"/>
    <w:rsid w:val="00EF2E22"/>
    <w:rsid w:val="00F174DE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3CCB778-740C-4663-8809-04E65B55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6A1550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ECE/TRANS/WP.11/2018/2</vt:lpstr>
      <vt:lpstr>ECE/TRANS/WP.11/2018/2</vt:lpstr>
    </vt:vector>
  </TitlesOfParts>
  <Company>DCM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ECE/TRANS/WP.11/2018/2</dc:title>
  <dc:subject/>
  <dc:creator>Isabelle VIGNY</dc:creator>
  <cp:keywords/>
  <cp:lastModifiedBy>Secretariat</cp:lastModifiedBy>
  <cp:revision>2</cp:revision>
  <cp:lastPrinted>2018-08-23T08:56:00Z</cp:lastPrinted>
  <dcterms:created xsi:type="dcterms:W3CDTF">2018-08-27T14:04:00Z</dcterms:created>
  <dcterms:modified xsi:type="dcterms:W3CDTF">2018-08-27T14:04:00Z</dcterms:modified>
</cp:coreProperties>
</file>