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F658F" w:rsidRPr="00FF658F" w:rsidTr="00E04377">
        <w:trPr>
          <w:cantSplit/>
          <w:trHeight w:hRule="exact" w:val="851"/>
        </w:trPr>
        <w:tc>
          <w:tcPr>
            <w:tcW w:w="1276" w:type="dxa"/>
            <w:tcBorders>
              <w:bottom w:val="single" w:sz="4" w:space="0" w:color="auto"/>
            </w:tcBorders>
            <w:vAlign w:val="bottom"/>
          </w:tcPr>
          <w:p w:rsidR="00FF658F" w:rsidRPr="00FF658F" w:rsidRDefault="00FF658F" w:rsidP="00FF658F">
            <w:pPr>
              <w:rPr>
                <w:lang w:eastAsia="en-GB"/>
              </w:rPr>
            </w:pPr>
          </w:p>
        </w:tc>
        <w:tc>
          <w:tcPr>
            <w:tcW w:w="8363" w:type="dxa"/>
            <w:gridSpan w:val="2"/>
            <w:tcBorders>
              <w:bottom w:val="single" w:sz="4" w:space="0" w:color="auto"/>
            </w:tcBorders>
            <w:vAlign w:val="bottom"/>
          </w:tcPr>
          <w:p w:rsidR="00FF658F" w:rsidRPr="00FF658F" w:rsidRDefault="00FF658F" w:rsidP="00FF658F">
            <w:pPr>
              <w:jc w:val="right"/>
              <w:rPr>
                <w:lang w:eastAsia="en-GB"/>
              </w:rPr>
            </w:pPr>
            <w:r w:rsidRPr="00FF658F">
              <w:rPr>
                <w:b/>
                <w:sz w:val="40"/>
                <w:szCs w:val="40"/>
                <w:lang w:eastAsia="en-GB"/>
              </w:rPr>
              <w:t>INF.</w:t>
            </w:r>
            <w:r w:rsidR="006E7F1E">
              <w:rPr>
                <w:b/>
                <w:sz w:val="40"/>
                <w:szCs w:val="40"/>
                <w:lang w:eastAsia="en-GB"/>
              </w:rPr>
              <w:t>26</w:t>
            </w:r>
          </w:p>
        </w:tc>
      </w:tr>
      <w:tr w:rsidR="00FF658F" w:rsidRPr="00FF658F" w:rsidTr="001B1F5A">
        <w:trPr>
          <w:cantSplit/>
          <w:trHeight w:hRule="exact" w:val="3831"/>
        </w:trPr>
        <w:tc>
          <w:tcPr>
            <w:tcW w:w="6804" w:type="dxa"/>
            <w:gridSpan w:val="2"/>
            <w:tcBorders>
              <w:top w:val="single" w:sz="4" w:space="0" w:color="auto"/>
              <w:bottom w:val="single" w:sz="12" w:space="0" w:color="auto"/>
            </w:tcBorders>
          </w:tcPr>
          <w:p w:rsidR="00FF658F" w:rsidRPr="00FF658F" w:rsidRDefault="00FF658F" w:rsidP="00FF658F">
            <w:pPr>
              <w:spacing w:before="120"/>
              <w:rPr>
                <w:b/>
                <w:sz w:val="28"/>
                <w:szCs w:val="28"/>
                <w:lang w:eastAsia="en-GB"/>
              </w:rPr>
            </w:pPr>
            <w:r w:rsidRPr="00FF658F">
              <w:rPr>
                <w:b/>
                <w:bCs/>
                <w:sz w:val="28"/>
                <w:szCs w:val="28"/>
                <w:lang w:val="en-US" w:eastAsia="en-GB"/>
              </w:rPr>
              <w:t>Economic Commission for Europe</w:t>
            </w:r>
          </w:p>
          <w:p w:rsidR="00FF658F" w:rsidRPr="00FF658F" w:rsidRDefault="00FF658F" w:rsidP="00FF658F">
            <w:pPr>
              <w:spacing w:before="120"/>
              <w:rPr>
                <w:sz w:val="28"/>
                <w:szCs w:val="28"/>
                <w:lang w:eastAsia="en-GB"/>
              </w:rPr>
            </w:pPr>
            <w:r w:rsidRPr="00FF658F">
              <w:rPr>
                <w:sz w:val="28"/>
                <w:szCs w:val="28"/>
                <w:lang w:val="en-US" w:eastAsia="en-GB"/>
              </w:rPr>
              <w:t>Inland Transport Committee</w:t>
            </w:r>
          </w:p>
          <w:p w:rsidR="00FF658F" w:rsidRPr="00FF658F" w:rsidRDefault="00FF658F" w:rsidP="00FF658F">
            <w:pPr>
              <w:spacing w:before="120"/>
              <w:rPr>
                <w:b/>
                <w:sz w:val="24"/>
                <w:szCs w:val="24"/>
                <w:lang w:eastAsia="en-GB"/>
              </w:rPr>
            </w:pPr>
            <w:r w:rsidRPr="00FF658F">
              <w:rPr>
                <w:b/>
                <w:sz w:val="24"/>
                <w:szCs w:val="24"/>
                <w:lang w:val="en-US" w:eastAsia="en-GB"/>
              </w:rPr>
              <w:t>Working Party on the Transport of Dangerous Goods</w:t>
            </w:r>
          </w:p>
          <w:p w:rsidR="00FF658F" w:rsidRPr="00FF658F" w:rsidRDefault="00FF658F" w:rsidP="00FF658F">
            <w:pPr>
              <w:spacing w:before="120"/>
              <w:rPr>
                <w:b/>
                <w:lang w:val="en-US" w:eastAsia="en-GB"/>
              </w:rPr>
            </w:pPr>
            <w:r w:rsidRPr="00FF658F">
              <w:rPr>
                <w:b/>
                <w:lang w:val="en-US" w:eastAsia="en-GB"/>
              </w:rPr>
              <w:t>Joint Meeting of Experts on the Regulations annexed to the</w:t>
            </w:r>
          </w:p>
          <w:p w:rsidR="00FF658F" w:rsidRPr="00FF658F" w:rsidRDefault="00FF658F" w:rsidP="00FF658F">
            <w:pPr>
              <w:rPr>
                <w:b/>
                <w:lang w:val="en-US" w:eastAsia="en-GB"/>
              </w:rPr>
            </w:pPr>
            <w:r w:rsidRPr="00FF658F">
              <w:rPr>
                <w:b/>
                <w:lang w:val="en-US" w:eastAsia="en-GB"/>
              </w:rPr>
              <w:t>European Agreement concerning the International Carriage</w:t>
            </w:r>
          </w:p>
          <w:p w:rsidR="00FF658F" w:rsidRPr="00FF658F" w:rsidRDefault="00FF658F" w:rsidP="00FF658F">
            <w:pPr>
              <w:rPr>
                <w:b/>
                <w:lang w:eastAsia="en-GB"/>
              </w:rPr>
            </w:pPr>
            <w:r w:rsidRPr="00FF658F">
              <w:rPr>
                <w:b/>
                <w:lang w:val="en-US" w:eastAsia="en-GB"/>
              </w:rPr>
              <w:t>of Dangerous Goods by Inland Waterways (ADN)</w:t>
            </w:r>
          </w:p>
          <w:p w:rsidR="00FF658F" w:rsidRPr="00FF658F" w:rsidRDefault="00FC3364" w:rsidP="00FF658F">
            <w:pPr>
              <w:spacing w:before="120"/>
              <w:rPr>
                <w:b/>
                <w:lang w:val="en-US" w:eastAsia="en-GB"/>
              </w:rPr>
            </w:pPr>
            <w:r>
              <w:rPr>
                <w:b/>
                <w:lang w:val="en-US" w:eastAsia="en-GB"/>
              </w:rPr>
              <w:t>Thirty-third</w:t>
            </w:r>
            <w:r w:rsidR="00FF658F" w:rsidRPr="00FF658F">
              <w:rPr>
                <w:b/>
                <w:lang w:val="en-US" w:eastAsia="en-GB"/>
              </w:rPr>
              <w:t xml:space="preserve"> session</w:t>
            </w:r>
          </w:p>
          <w:p w:rsidR="00FF658F" w:rsidRPr="00FF658F" w:rsidRDefault="00FC3364" w:rsidP="00FF658F">
            <w:pPr>
              <w:rPr>
                <w:lang w:eastAsia="en-GB"/>
              </w:rPr>
            </w:pPr>
            <w:r>
              <w:rPr>
                <w:lang w:val="en-US" w:eastAsia="en-GB"/>
              </w:rPr>
              <w:t>Geneva, 27-31 August 2018</w:t>
            </w:r>
          </w:p>
          <w:p w:rsidR="00FF658F" w:rsidRPr="00FF658F" w:rsidRDefault="00FF658F" w:rsidP="00FF658F">
            <w:pPr>
              <w:rPr>
                <w:lang w:eastAsia="en-GB"/>
              </w:rPr>
            </w:pPr>
            <w:r w:rsidRPr="00FF658F">
              <w:rPr>
                <w:lang w:eastAsia="en-GB"/>
              </w:rPr>
              <w:t xml:space="preserve">Item </w:t>
            </w:r>
            <w:r w:rsidR="00FC3364">
              <w:rPr>
                <w:lang w:eastAsia="en-GB"/>
              </w:rPr>
              <w:t>3</w:t>
            </w:r>
            <w:r w:rsidR="00F93A62">
              <w:rPr>
                <w:lang w:eastAsia="en-GB"/>
              </w:rPr>
              <w:t>(</w:t>
            </w:r>
            <w:r w:rsidR="00FC3364">
              <w:rPr>
                <w:lang w:eastAsia="en-GB"/>
              </w:rPr>
              <w:t>c</w:t>
            </w:r>
            <w:r w:rsidR="00F93A62">
              <w:rPr>
                <w:lang w:eastAsia="en-GB"/>
              </w:rPr>
              <w:t>)</w:t>
            </w:r>
            <w:r w:rsidRPr="00FF658F">
              <w:rPr>
                <w:lang w:eastAsia="en-GB"/>
              </w:rPr>
              <w:t xml:space="preserve"> of the provisional agenda</w:t>
            </w:r>
          </w:p>
          <w:p w:rsidR="00FF658F" w:rsidRDefault="00FC3364" w:rsidP="00FF658F">
            <w:pPr>
              <w:rPr>
                <w:b/>
                <w:lang w:eastAsia="en-GB"/>
              </w:rPr>
            </w:pPr>
            <w:r>
              <w:rPr>
                <w:b/>
                <w:lang w:eastAsia="en-GB"/>
              </w:rPr>
              <w:t>Implementatio</w:t>
            </w:r>
            <w:r w:rsidR="001B1F5A">
              <w:rPr>
                <w:b/>
                <w:lang w:eastAsia="en-GB"/>
              </w:rPr>
              <w:t>n of the European Agreement concerning the International Carriage of Dangerous Goods by Inland Waterways (ADN):</w:t>
            </w:r>
          </w:p>
          <w:p w:rsidR="001B1F5A" w:rsidRDefault="00F93A62" w:rsidP="00FF658F">
            <w:pPr>
              <w:rPr>
                <w:b/>
                <w:lang w:eastAsia="en-GB"/>
              </w:rPr>
            </w:pPr>
            <w:r>
              <w:rPr>
                <w:b/>
                <w:lang w:eastAsia="en-GB"/>
              </w:rPr>
              <w:t>i</w:t>
            </w:r>
            <w:r w:rsidR="001B1F5A">
              <w:rPr>
                <w:b/>
                <w:lang w:eastAsia="en-GB"/>
              </w:rPr>
              <w:t>nterpretation of the Regulations annexed to ADN</w:t>
            </w:r>
          </w:p>
          <w:p w:rsidR="00AB5C16" w:rsidRPr="00FF658F" w:rsidRDefault="00FC3364" w:rsidP="00FF658F">
            <w:pPr>
              <w:rPr>
                <w:b/>
                <w:lang w:eastAsia="en-GB"/>
              </w:rPr>
            </w:pPr>
            <w:r>
              <w:rPr>
                <w:b/>
                <w:lang w:eastAsia="en-GB"/>
              </w:rPr>
              <w:t>…</w:t>
            </w:r>
          </w:p>
        </w:tc>
        <w:tc>
          <w:tcPr>
            <w:tcW w:w="2835" w:type="dxa"/>
            <w:tcBorders>
              <w:top w:val="single" w:sz="4" w:space="0" w:color="auto"/>
              <w:bottom w:val="single" w:sz="12" w:space="0" w:color="auto"/>
            </w:tcBorders>
          </w:tcPr>
          <w:p w:rsidR="00FF658F" w:rsidRPr="00FF658F" w:rsidRDefault="00FF658F" w:rsidP="00FF658F">
            <w:pPr>
              <w:spacing w:before="120"/>
              <w:rPr>
                <w:lang w:eastAsia="en-GB"/>
              </w:rPr>
            </w:pPr>
          </w:p>
          <w:p w:rsidR="00FF658F" w:rsidRPr="00FF658F" w:rsidRDefault="00FC3364" w:rsidP="00FF658F">
            <w:pPr>
              <w:spacing w:before="120"/>
              <w:rPr>
                <w:lang w:eastAsia="en-GB"/>
              </w:rPr>
            </w:pPr>
            <w:r>
              <w:rPr>
                <w:lang w:eastAsia="en-GB"/>
              </w:rPr>
              <w:t>28 August</w:t>
            </w:r>
            <w:r w:rsidR="00FF658F" w:rsidRPr="00FF658F">
              <w:rPr>
                <w:lang w:eastAsia="en-GB"/>
              </w:rPr>
              <w:t xml:space="preserve"> 2018</w:t>
            </w:r>
          </w:p>
        </w:tc>
      </w:tr>
    </w:tbl>
    <w:p w:rsidR="00FF658F" w:rsidRPr="00FF658F" w:rsidRDefault="00FF658F" w:rsidP="006E7F1E">
      <w:pPr>
        <w:pStyle w:val="HChG"/>
        <w:rPr>
          <w:lang w:val="en-US" w:eastAsia="en-GB"/>
        </w:rPr>
      </w:pPr>
      <w:r w:rsidRPr="00FF658F">
        <w:rPr>
          <w:lang w:val="en-US" w:eastAsia="en-GB"/>
        </w:rPr>
        <w:tab/>
      </w:r>
      <w:r w:rsidRPr="00FF658F">
        <w:rPr>
          <w:lang w:val="en-US" w:eastAsia="en-GB"/>
        </w:rPr>
        <w:tab/>
      </w:r>
      <w:r w:rsidR="00FC3364">
        <w:rPr>
          <w:lang w:val="en-US" w:eastAsia="en-GB"/>
        </w:rPr>
        <w:t>Measurement for degassing</w:t>
      </w:r>
    </w:p>
    <w:p w:rsidR="00FF658F" w:rsidRPr="00FF658F" w:rsidRDefault="00FF658F" w:rsidP="006E7F1E">
      <w:pPr>
        <w:pStyle w:val="H1G"/>
        <w:rPr>
          <w:lang w:val="en-US" w:eastAsia="en-GB" w:bidi="en-GB"/>
        </w:rPr>
      </w:pPr>
      <w:r w:rsidRPr="00FF658F">
        <w:rPr>
          <w:szCs w:val="24"/>
          <w:lang w:val="en-US" w:eastAsia="en-GB"/>
        </w:rPr>
        <w:tab/>
      </w:r>
      <w:r w:rsidRPr="00FF658F">
        <w:rPr>
          <w:szCs w:val="24"/>
          <w:lang w:val="en-US" w:eastAsia="en-GB"/>
        </w:rPr>
        <w:tab/>
      </w:r>
      <w:r w:rsidRPr="00FF658F">
        <w:rPr>
          <w:lang w:val="en-US" w:eastAsia="en-GB" w:bidi="en-GB"/>
        </w:rPr>
        <w:t>Transmitted by the Government</w:t>
      </w:r>
      <w:r w:rsidR="00FC3364">
        <w:rPr>
          <w:lang w:val="en-US" w:eastAsia="en-GB" w:bidi="en-GB"/>
        </w:rPr>
        <w:t>s</w:t>
      </w:r>
      <w:r w:rsidRPr="00FF658F">
        <w:rPr>
          <w:lang w:val="en-US" w:eastAsia="en-GB" w:bidi="en-GB"/>
        </w:rPr>
        <w:t xml:space="preserve"> of</w:t>
      </w:r>
      <w:r w:rsidR="00FC3364">
        <w:rPr>
          <w:lang w:val="en-US" w:eastAsia="en-GB" w:bidi="en-GB"/>
        </w:rPr>
        <w:t xml:space="preserve"> Austria and</w:t>
      </w:r>
      <w:r w:rsidRPr="00FF658F">
        <w:rPr>
          <w:lang w:val="en-US" w:eastAsia="en-GB" w:bidi="en-GB"/>
        </w:rPr>
        <w:t xml:space="preserve"> the Netherlands</w:t>
      </w:r>
    </w:p>
    <w:p w:rsidR="00FF658F" w:rsidRPr="00FF658F" w:rsidRDefault="006E7F1E" w:rsidP="00CD08FC">
      <w:pPr>
        <w:pStyle w:val="HChG"/>
      </w:pPr>
      <w:r>
        <w:tab/>
      </w:r>
      <w:r>
        <w:tab/>
      </w:r>
      <w:r w:rsidR="00FF658F" w:rsidRPr="00FF658F">
        <w:t>Introduction</w:t>
      </w:r>
    </w:p>
    <w:p w:rsidR="00FF658F" w:rsidRDefault="00F93A62" w:rsidP="006E7F1E">
      <w:pPr>
        <w:pStyle w:val="SingleTxtG"/>
      </w:pPr>
      <w:r>
        <w:tab/>
      </w:r>
      <w:r w:rsidR="00B12986">
        <w:t>During its</w:t>
      </w:r>
      <w:r w:rsidR="001B1F5A">
        <w:t xml:space="preserve"> thirty-third session, </w:t>
      </w:r>
      <w:r w:rsidR="00FC3364">
        <w:t>the ADN Safety Committe</w:t>
      </w:r>
      <w:r w:rsidR="00B12986">
        <w:t>e</w:t>
      </w:r>
      <w:r w:rsidR="001B1F5A">
        <w:t xml:space="preserve"> discussed informal document 6 from the Austrian and Dutch delegation. The Safety Committee agreed on a common interpretation regarding the necessity of measurements if the vapour return piping is not used during loading. The Austrian and Dutch delegation were additionally requested to draft a formal proposal for an amendment to the ADN 2019 for the next session of the ADN Safety Committee. The delegations however were able to draft a revised proposal during the thirty-third session which can be found below. The French translation has been provided by the French delegation.</w:t>
      </w:r>
      <w:r w:rsidR="00FF658F" w:rsidRPr="00FF658F">
        <w:t xml:space="preserve"> </w:t>
      </w:r>
    </w:p>
    <w:p w:rsidR="00FF658F" w:rsidRPr="00FF658F" w:rsidRDefault="006E7F1E" w:rsidP="006E7F1E">
      <w:pPr>
        <w:pStyle w:val="HChG"/>
      </w:pPr>
      <w:r>
        <w:tab/>
      </w:r>
      <w:r>
        <w:tab/>
      </w:r>
      <w:r w:rsidR="00FC3364">
        <w:t>Proposed amendments to ADN 2019</w:t>
      </w:r>
    </w:p>
    <w:p w:rsidR="00FF658F" w:rsidRPr="00FC3364" w:rsidRDefault="00FC3364" w:rsidP="00FF658F">
      <w:pPr>
        <w:spacing w:before="120"/>
        <w:ind w:left="567" w:firstLine="567"/>
        <w:jc w:val="both"/>
        <w:rPr>
          <w:b/>
          <w:u w:val="single"/>
          <w:lang w:eastAsia="en-GB"/>
        </w:rPr>
      </w:pPr>
      <w:r w:rsidRPr="001B1F5A">
        <w:rPr>
          <w:strike/>
          <w:lang w:eastAsia="en-GB"/>
        </w:rPr>
        <w:t>The cancelled text is stricken through</w:t>
      </w:r>
      <w:r>
        <w:rPr>
          <w:lang w:eastAsia="en-GB"/>
        </w:rPr>
        <w:t xml:space="preserve">, </w:t>
      </w:r>
      <w:r w:rsidRPr="001B1F5A">
        <w:rPr>
          <w:b/>
          <w:u w:val="single"/>
          <w:lang w:eastAsia="en-GB"/>
        </w:rPr>
        <w:t>the additional text is bold and underlined.</w:t>
      </w:r>
    </w:p>
    <w:p w:rsidR="000B42E5" w:rsidRDefault="000B42E5" w:rsidP="00CD08FC">
      <w:pPr>
        <w:pStyle w:val="H1G"/>
      </w:pPr>
      <w:r w:rsidRPr="009C70AC">
        <w:rPr>
          <w:szCs w:val="28"/>
        </w:rPr>
        <w:tab/>
      </w:r>
      <w:r w:rsidRPr="009C70AC">
        <w:rPr>
          <w:szCs w:val="28"/>
        </w:rPr>
        <w:tab/>
      </w:r>
      <w:r w:rsidR="00FC3364">
        <w:t>English</w:t>
      </w:r>
    </w:p>
    <w:p w:rsidR="00FC3364" w:rsidRPr="000C51F5" w:rsidRDefault="00FC3364" w:rsidP="00FC3364">
      <w:pPr>
        <w:pStyle w:val="SingleTxtG"/>
      </w:pPr>
      <w:r w:rsidRPr="000C51F5">
        <w:t xml:space="preserve">“7.2.4.25.5 The gas/air mixtures released during loading operations shall be returned ashore through a vapour return piping if: </w:t>
      </w:r>
    </w:p>
    <w:p w:rsidR="00FC3364" w:rsidRPr="000C51F5" w:rsidRDefault="00B12986" w:rsidP="00FC3364">
      <w:pPr>
        <w:pStyle w:val="SingleTxtG"/>
      </w:pPr>
      <w:r>
        <w:t>-</w:t>
      </w:r>
      <w:r>
        <w:tab/>
      </w:r>
      <w:r w:rsidR="00FC3364" w:rsidRPr="000C51F5">
        <w:t xml:space="preserve">a closed cargo tank is required according to column (7) of Table C of Chapter 3.2; or </w:t>
      </w:r>
    </w:p>
    <w:p w:rsidR="00FC3364" w:rsidRDefault="00B12986" w:rsidP="00B12986">
      <w:pPr>
        <w:pStyle w:val="SingleTxtG"/>
        <w:ind w:left="1689" w:hanging="555"/>
      </w:pPr>
      <w:r>
        <w:t>-</w:t>
      </w:r>
      <w:r>
        <w:tab/>
      </w:r>
      <w:r w:rsidR="00FC3364" w:rsidRPr="000C51F5">
        <w:t>a closed cargo tank was required for the previous cargo in column (7) of Table C of Chapter 3.2 and before the loading the concentration of flammable gases of the previous cargo in the cargo tank is above 10% of the LEL or the cargo tank contains toxic gases, corrosive gases (packing group I or II) or gases with CMR-characteristics (Categories 1A or 1B) in a concentration above national accepted exposure levels</w:t>
      </w:r>
      <w:r w:rsidR="00FC3364" w:rsidRPr="00FC3364">
        <w:rPr>
          <w:b/>
          <w:u w:val="single"/>
        </w:rPr>
        <w:t>.</w:t>
      </w:r>
      <w:r w:rsidR="00FC3364">
        <w:rPr>
          <w:b/>
          <w:u w:val="single"/>
        </w:rPr>
        <w:t xml:space="preserve"> If these conditions are not met and the vapour return piping is not used,</w:t>
      </w:r>
      <w:r>
        <w:rPr>
          <w:b/>
          <w:u w:val="single"/>
        </w:rPr>
        <w:t xml:space="preserve"> the measured concentrations shall be recorded in writing.”</w:t>
      </w:r>
      <w:r w:rsidR="00FC3364" w:rsidRPr="00FC3364">
        <w:rPr>
          <w:strike/>
        </w:rPr>
        <w:t>, the results of these measurements shall be recorded in writing</w:t>
      </w:r>
      <w:r w:rsidR="00B71A48">
        <w:t>.</w:t>
      </w:r>
    </w:p>
    <w:p w:rsidR="00B71A48" w:rsidRPr="00FC3364" w:rsidRDefault="00B71A48" w:rsidP="00B71A48">
      <w:pPr>
        <w:pStyle w:val="SingleTxtG"/>
      </w:pPr>
      <w:r w:rsidRPr="00AD5A75">
        <w:rPr>
          <w:bCs/>
        </w:rPr>
        <w:lastRenderedPageBreak/>
        <w:t xml:space="preserve">If the substance to be loaded requires explosion protection according to column (17) of Table C of Chapter 3.2, and the use of the vapour return piping is prescribed, the connection of the vapour return piping shall be designed such that the vessel is protected against detonations and the passage of flames from the shore. The protection of the vessel against detonations and the passage of flames from the shore is not required when the cargo tanks are </w:t>
      </w:r>
      <w:proofErr w:type="spellStart"/>
      <w:r w:rsidRPr="00AD5A75">
        <w:rPr>
          <w:bCs/>
        </w:rPr>
        <w:t>inerted</w:t>
      </w:r>
      <w:proofErr w:type="spellEnd"/>
      <w:r w:rsidRPr="00AD5A75">
        <w:rPr>
          <w:bCs/>
        </w:rPr>
        <w:t xml:space="preserve"> in accordance with 7.2.4.18.”.</w:t>
      </w:r>
    </w:p>
    <w:p w:rsidR="00FC3364" w:rsidRPr="00FC3364" w:rsidRDefault="00FC3364" w:rsidP="00CD08FC">
      <w:pPr>
        <w:pStyle w:val="H1G"/>
        <w:spacing w:before="240"/>
        <w:rPr>
          <w:lang w:val="nl-NL"/>
        </w:rPr>
      </w:pPr>
      <w:r>
        <w:tab/>
      </w:r>
      <w:r>
        <w:tab/>
      </w:r>
      <w:proofErr w:type="spellStart"/>
      <w:r w:rsidR="00B12986">
        <w:rPr>
          <w:lang w:val="nl-NL"/>
        </w:rPr>
        <w:t>Deutsch</w:t>
      </w:r>
      <w:proofErr w:type="spellEnd"/>
    </w:p>
    <w:p w:rsidR="00FC3364" w:rsidRPr="002D5BF4" w:rsidRDefault="00FC3364" w:rsidP="00FC3364">
      <w:pPr>
        <w:ind w:left="1134" w:right="1134"/>
        <w:jc w:val="both"/>
        <w:rPr>
          <w:rFonts w:eastAsia="SimSun"/>
          <w:lang w:val="de-DE" w:eastAsia="zh-CN"/>
        </w:rPr>
      </w:pPr>
      <w:r w:rsidRPr="002D5BF4">
        <w:rPr>
          <w:rFonts w:eastAsia="Calibri"/>
          <w:lang w:val="de-DE"/>
        </w:rPr>
        <w:t>„7.2.4.25.5</w:t>
      </w:r>
      <w:r w:rsidRPr="002D5BF4">
        <w:rPr>
          <w:rFonts w:eastAsia="Calibri"/>
          <w:lang w:val="de-DE"/>
        </w:rPr>
        <w:tab/>
      </w:r>
      <w:r w:rsidRPr="002D5BF4">
        <w:rPr>
          <w:rFonts w:eastAsia="SimSun"/>
          <w:lang w:val="de-DE" w:eastAsia="zh-CN"/>
        </w:rPr>
        <w:t>Die beim Beladen austretenden Gas/Luftgemische sind über eine Gasrückfuhrleitung an Land abzuführen, wenn</w:t>
      </w:r>
    </w:p>
    <w:p w:rsidR="00FC3364" w:rsidRPr="002D5BF4" w:rsidRDefault="00FC3364" w:rsidP="001B1F5A">
      <w:pPr>
        <w:numPr>
          <w:ilvl w:val="0"/>
          <w:numId w:val="6"/>
        </w:numPr>
        <w:ind w:left="1418" w:right="1134" w:hanging="218"/>
        <w:jc w:val="both"/>
        <w:rPr>
          <w:lang w:val="de-DE"/>
        </w:rPr>
      </w:pPr>
      <w:r w:rsidRPr="002D5BF4">
        <w:rPr>
          <w:lang w:val="de-DE"/>
        </w:rPr>
        <w:t xml:space="preserve">in Unterabschnitt 3.2.3.2 Tabelle C Spalte (7) ein geschlossener </w:t>
      </w:r>
      <w:proofErr w:type="spellStart"/>
      <w:r w:rsidRPr="002D5BF4">
        <w:rPr>
          <w:lang w:val="de-DE"/>
        </w:rPr>
        <w:t>Ladetank</w:t>
      </w:r>
      <w:proofErr w:type="spellEnd"/>
      <w:r w:rsidRPr="002D5BF4">
        <w:rPr>
          <w:lang w:val="de-DE"/>
        </w:rPr>
        <w:t xml:space="preserve"> gefordert wird</w:t>
      </w:r>
    </w:p>
    <w:p w:rsidR="00FC3364" w:rsidRPr="002D5BF4" w:rsidRDefault="00FC3364" w:rsidP="00FC3364">
      <w:pPr>
        <w:ind w:left="1134" w:right="1134"/>
        <w:jc w:val="both"/>
        <w:rPr>
          <w:rFonts w:eastAsia="SimSun"/>
          <w:bCs/>
          <w:lang w:val="de-DE" w:eastAsia="zh-CN"/>
        </w:rPr>
      </w:pPr>
      <w:r w:rsidRPr="002D5BF4">
        <w:rPr>
          <w:rFonts w:eastAsia="SimSun"/>
          <w:lang w:val="de-DE" w:eastAsia="zh-CN"/>
        </w:rPr>
        <w:t xml:space="preserve">oder </w:t>
      </w:r>
    </w:p>
    <w:p w:rsidR="00FC3364" w:rsidRPr="00B12986" w:rsidRDefault="00FC3364" w:rsidP="001B1F5A">
      <w:pPr>
        <w:numPr>
          <w:ilvl w:val="0"/>
          <w:numId w:val="7"/>
        </w:numPr>
        <w:spacing w:after="120"/>
        <w:ind w:left="1418" w:right="1134" w:hanging="284"/>
        <w:jc w:val="both"/>
        <w:rPr>
          <w:lang w:val="nl-NL"/>
        </w:rPr>
      </w:pPr>
      <w:r w:rsidRPr="002D5BF4">
        <w:rPr>
          <w:lang w:val="de-DE"/>
        </w:rPr>
        <w:t xml:space="preserve">für die vorherige Ladung in Unterabschnitt 3.2.3.2 Tabelle C Spalte (7) ein geschlossener </w:t>
      </w:r>
      <w:proofErr w:type="spellStart"/>
      <w:r w:rsidRPr="002D5BF4">
        <w:rPr>
          <w:lang w:val="de-DE"/>
        </w:rPr>
        <w:t>Ladetank</w:t>
      </w:r>
      <w:proofErr w:type="spellEnd"/>
      <w:r w:rsidRPr="002D5BF4">
        <w:rPr>
          <w:lang w:val="de-DE"/>
        </w:rPr>
        <w:t xml:space="preserve"> erforderlich war und </w:t>
      </w:r>
      <w:r w:rsidRPr="002D5BF4">
        <w:rPr>
          <w:snapToGrid w:val="0"/>
          <w:lang w:val="de-DE" w:eastAsia="fr-FR"/>
        </w:rPr>
        <w:t xml:space="preserve">die Konzentration an entzündbaren Gasen im </w:t>
      </w:r>
      <w:proofErr w:type="spellStart"/>
      <w:r w:rsidRPr="002D5BF4">
        <w:rPr>
          <w:snapToGrid w:val="0"/>
          <w:lang w:val="de-DE" w:eastAsia="fr-FR"/>
        </w:rPr>
        <w:t>Ladetank</w:t>
      </w:r>
      <w:proofErr w:type="spellEnd"/>
      <w:r w:rsidRPr="002D5BF4">
        <w:rPr>
          <w:snapToGrid w:val="0"/>
          <w:lang w:val="de-DE" w:eastAsia="fr-FR"/>
        </w:rPr>
        <w:t xml:space="preserve"> </w:t>
      </w:r>
      <w:r w:rsidRPr="002D5BF4">
        <w:rPr>
          <w:lang w:val="de-DE"/>
        </w:rPr>
        <w:t xml:space="preserve">vor dem Beladen über 10 % der UEG beträgt oder der </w:t>
      </w:r>
      <w:proofErr w:type="spellStart"/>
      <w:r w:rsidRPr="002D5BF4">
        <w:rPr>
          <w:lang w:val="de-DE"/>
        </w:rPr>
        <w:t>Ladetank</w:t>
      </w:r>
      <w:proofErr w:type="spellEnd"/>
      <w:r w:rsidRPr="002D5BF4">
        <w:rPr>
          <w:lang w:val="de-DE"/>
        </w:rPr>
        <w:t xml:space="preserve"> giftige Gase, ätzende Gase (Verpackungsgruppe I oder II) oder Gase mit CMR-Eigenschaften (Kategorien 1A oder 1B) in einer Konzentration oberhalb der national zulässigen Expositionsgrenzen enthält. </w:t>
      </w:r>
      <w:r w:rsidR="00B12986" w:rsidRPr="00B12986">
        <w:rPr>
          <w:b/>
          <w:u w:val="single"/>
          <w:lang w:val="de-DE"/>
        </w:rPr>
        <w:t xml:space="preserve">Wem diese Bedingungen nicht gegeben sind und die </w:t>
      </w:r>
      <w:r w:rsidR="00B12986">
        <w:rPr>
          <w:b/>
          <w:u w:val="single"/>
          <w:lang w:val="de-DE"/>
        </w:rPr>
        <w:t>Gasrü</w:t>
      </w:r>
      <w:r w:rsidR="00B12986" w:rsidRPr="00B12986">
        <w:rPr>
          <w:b/>
          <w:u w:val="single"/>
          <w:lang w:val="de-DE"/>
        </w:rPr>
        <w:t>ckf</w:t>
      </w:r>
      <w:r w:rsidR="00B12986">
        <w:rPr>
          <w:b/>
          <w:u w:val="single"/>
          <w:lang w:val="de-DE"/>
        </w:rPr>
        <w:t>u</w:t>
      </w:r>
      <w:r w:rsidR="00B12986" w:rsidRPr="00B12986">
        <w:rPr>
          <w:b/>
          <w:u w:val="single"/>
          <w:lang w:val="de-DE"/>
        </w:rPr>
        <w:t xml:space="preserve">hrleitung nicht genutzt wird, sind die gemessenen Konzentrationen schriftlich </w:t>
      </w:r>
      <w:proofErr w:type="spellStart"/>
      <w:r w:rsidR="00B12986" w:rsidRPr="00B12986">
        <w:rPr>
          <w:b/>
          <w:u w:val="single"/>
          <w:lang w:val="de-DE"/>
        </w:rPr>
        <w:t>festzuhalten.</w:t>
      </w:r>
      <w:r w:rsidRPr="00B12986">
        <w:rPr>
          <w:strike/>
          <w:lang w:val="de-DE"/>
        </w:rPr>
        <w:t>D</w:t>
      </w:r>
      <w:r w:rsidRPr="00B12986">
        <w:rPr>
          <w:rFonts w:cs="Arial"/>
          <w:strike/>
          <w:lang w:val="de-DE" w:eastAsia="fr-FR"/>
        </w:rPr>
        <w:t>ie</w:t>
      </w:r>
      <w:proofErr w:type="spellEnd"/>
      <w:r w:rsidRPr="00B12986">
        <w:rPr>
          <w:rFonts w:cs="Arial"/>
          <w:strike/>
          <w:lang w:val="de-DE" w:eastAsia="fr-FR"/>
        </w:rPr>
        <w:t xml:space="preserve"> Messergebnisse müssen schriftlich festgehalten werden.</w:t>
      </w:r>
    </w:p>
    <w:p w:rsidR="00B71A48" w:rsidRPr="00DD2A86" w:rsidRDefault="00B71A48" w:rsidP="00B71A48">
      <w:pPr>
        <w:ind w:left="1134" w:right="1133"/>
        <w:jc w:val="both"/>
        <w:rPr>
          <w:bCs/>
          <w:lang w:val="de-DE" w:eastAsia="de-DE"/>
        </w:rPr>
      </w:pPr>
      <w:r w:rsidRPr="00DD2A86">
        <w:rPr>
          <w:bCs/>
          <w:lang w:val="de-DE" w:eastAsia="de-DE"/>
        </w:rPr>
        <w:t xml:space="preserve">Wenn für den Stoff, der geladen werden soll, in Unterabschnitt 3.2.3.2 Tabelle C Spalte (17) Explosionsschutz erforderlich ist und die Benutzung einer Gasabfuhrleitung vorgeschrieben ist, muss sichergestellt sein, dass die Gasrückfuhrleitung so ausgeführt ist, dass das Schiff gegen Detonation und Flammendurchschlag von Land aus geschützt wird. Der Schutz des Schiffes gegen Detonation und Flammendurchschlag von Land aus ist nicht erforderlich, wenn die Ladetanks nach Unterabschnitt 7.2.4.18 </w:t>
      </w:r>
      <w:proofErr w:type="spellStart"/>
      <w:r w:rsidRPr="00DD2A86">
        <w:rPr>
          <w:bCs/>
          <w:lang w:val="de-DE" w:eastAsia="de-DE"/>
        </w:rPr>
        <w:t>inertisiert</w:t>
      </w:r>
      <w:proofErr w:type="spellEnd"/>
      <w:r w:rsidRPr="00DD2A86">
        <w:rPr>
          <w:bCs/>
          <w:lang w:val="de-DE" w:eastAsia="de-DE"/>
        </w:rPr>
        <w:t xml:space="preserve"> sind</w:t>
      </w:r>
      <w:r w:rsidRPr="00DD2A86">
        <w:rPr>
          <w:rFonts w:cs="Arial"/>
          <w:lang w:val="de-DE" w:eastAsia="fr-FR"/>
        </w:rPr>
        <w:t>.</w:t>
      </w:r>
      <w:r w:rsidRPr="00DD2A86">
        <w:rPr>
          <w:bCs/>
          <w:lang w:val="de-DE" w:eastAsia="de-DE"/>
        </w:rPr>
        <w:t>“.</w:t>
      </w:r>
    </w:p>
    <w:p w:rsidR="00B12986" w:rsidRDefault="00B71A48" w:rsidP="00CD08FC">
      <w:pPr>
        <w:pStyle w:val="H1G"/>
        <w:spacing w:before="240"/>
      </w:pPr>
      <w:r w:rsidRPr="00B71A48">
        <w:rPr>
          <w:lang w:val="nl-NL"/>
        </w:rPr>
        <w:tab/>
      </w:r>
      <w:r w:rsidRPr="00B71A48">
        <w:rPr>
          <w:lang w:val="nl-NL"/>
        </w:rPr>
        <w:tab/>
      </w:r>
      <w:proofErr w:type="spellStart"/>
      <w:r>
        <w:t>Français</w:t>
      </w:r>
      <w:proofErr w:type="spellEnd"/>
    </w:p>
    <w:p w:rsidR="00B71A48" w:rsidRPr="00BF3BEC" w:rsidRDefault="00B71A48" w:rsidP="00B71A48">
      <w:pPr>
        <w:pStyle w:val="SingleTxtG"/>
      </w:pPr>
      <w:r w:rsidRPr="00BF3BEC">
        <w:rPr>
          <w:i/>
        </w:rPr>
        <w:t>«</w:t>
      </w:r>
      <w:r w:rsidRPr="00BF3BEC">
        <w:t>7.2.4.25.5</w:t>
      </w:r>
      <w:r w:rsidRPr="00BF3BEC">
        <w:tab/>
        <w:t xml:space="preserve">Les mélanges </w:t>
      </w:r>
      <w:proofErr w:type="spellStart"/>
      <w:r w:rsidRPr="00BF3BEC">
        <w:t>gaz</w:t>
      </w:r>
      <w:proofErr w:type="spellEnd"/>
      <w:r w:rsidRPr="00BF3BEC">
        <w:t xml:space="preserve">-air </w:t>
      </w:r>
      <w:proofErr w:type="spellStart"/>
      <w:r w:rsidRPr="00BF3BEC">
        <w:t>survenant</w:t>
      </w:r>
      <w:proofErr w:type="spellEnd"/>
      <w:r w:rsidRPr="00BF3BEC">
        <w:t xml:space="preserve"> </w:t>
      </w:r>
      <w:proofErr w:type="spellStart"/>
      <w:r w:rsidRPr="00BF3BEC">
        <w:t>lors</w:t>
      </w:r>
      <w:proofErr w:type="spellEnd"/>
      <w:r w:rsidRPr="00BF3BEC">
        <w:t xml:space="preserve"> du </w:t>
      </w:r>
      <w:proofErr w:type="spellStart"/>
      <w:r w:rsidRPr="00BF3BEC">
        <w:t>chargement</w:t>
      </w:r>
      <w:proofErr w:type="spellEnd"/>
      <w:r w:rsidRPr="00BF3BEC">
        <w:t xml:space="preserve"> </w:t>
      </w:r>
      <w:proofErr w:type="spellStart"/>
      <w:r w:rsidRPr="00BF3BEC">
        <w:t>doivent</w:t>
      </w:r>
      <w:proofErr w:type="spellEnd"/>
      <w:r w:rsidRPr="00BF3BEC">
        <w:t xml:space="preserve"> </w:t>
      </w:r>
      <w:proofErr w:type="spellStart"/>
      <w:r w:rsidRPr="00BF3BEC">
        <w:t>être</w:t>
      </w:r>
      <w:proofErr w:type="spellEnd"/>
      <w:r w:rsidRPr="00BF3BEC">
        <w:t xml:space="preserve"> </w:t>
      </w:r>
      <w:proofErr w:type="spellStart"/>
      <w:r w:rsidRPr="00BF3BEC">
        <w:t>renvoyés</w:t>
      </w:r>
      <w:proofErr w:type="spellEnd"/>
      <w:r w:rsidRPr="00BF3BEC">
        <w:t xml:space="preserve"> à </w:t>
      </w:r>
      <w:proofErr w:type="spellStart"/>
      <w:r w:rsidRPr="00BF3BEC">
        <w:t>terre</w:t>
      </w:r>
      <w:proofErr w:type="spellEnd"/>
      <w:r w:rsidRPr="00BF3BEC">
        <w:t xml:space="preserve"> au </w:t>
      </w:r>
      <w:proofErr w:type="spellStart"/>
      <w:r w:rsidRPr="00BF3BEC">
        <w:t>moyen</w:t>
      </w:r>
      <w:proofErr w:type="spellEnd"/>
      <w:r w:rsidRPr="00BF3BEC">
        <w:t xml:space="preserve"> </w:t>
      </w:r>
      <w:proofErr w:type="spellStart"/>
      <w:r w:rsidRPr="00BF3BEC">
        <w:t>d’une</w:t>
      </w:r>
      <w:proofErr w:type="spellEnd"/>
      <w:r w:rsidRPr="00BF3BEC">
        <w:t xml:space="preserve"> </w:t>
      </w:r>
      <w:proofErr w:type="spellStart"/>
      <w:r w:rsidRPr="00BF3BEC">
        <w:t>conduite</w:t>
      </w:r>
      <w:proofErr w:type="spellEnd"/>
      <w:r w:rsidRPr="00BF3BEC">
        <w:t xml:space="preserve"> de retour de </w:t>
      </w:r>
      <w:proofErr w:type="spellStart"/>
      <w:r w:rsidRPr="00BF3BEC">
        <w:t>gaz</w:t>
      </w:r>
      <w:proofErr w:type="spellEnd"/>
      <w:r w:rsidRPr="00BF3BEC">
        <w:t>:</w:t>
      </w:r>
    </w:p>
    <w:p w:rsidR="00B71A48" w:rsidRPr="00BF3BEC" w:rsidRDefault="00B71A48" w:rsidP="00B71A48">
      <w:pPr>
        <w:spacing w:after="60"/>
        <w:ind w:left="1418" w:right="1134" w:hanging="284"/>
        <w:jc w:val="both"/>
        <w:rPr>
          <w:rFonts w:asciiTheme="majorBidi" w:hAnsiTheme="majorBidi" w:cstheme="majorBidi"/>
          <w:lang w:val="fr-FR"/>
        </w:rPr>
      </w:pPr>
      <w:r w:rsidRPr="00BF3BEC">
        <w:t>•</w:t>
      </w:r>
      <w:r w:rsidRPr="00BF3BEC">
        <w:tab/>
      </w:r>
      <w:proofErr w:type="spellStart"/>
      <w:r w:rsidRPr="00BF3BEC">
        <w:t>Quand</w:t>
      </w:r>
      <w:proofErr w:type="spellEnd"/>
      <w:r w:rsidRPr="00BF3BEC">
        <w:t xml:space="preserve"> </w:t>
      </w:r>
      <w:proofErr w:type="spellStart"/>
      <w:r w:rsidRPr="00BF3BEC">
        <w:t>une</w:t>
      </w:r>
      <w:proofErr w:type="spellEnd"/>
      <w:r w:rsidRPr="00BF3BEC">
        <w:t xml:space="preserve"> </w:t>
      </w:r>
      <w:proofErr w:type="spellStart"/>
      <w:r w:rsidRPr="00BF3BEC">
        <w:t>citerne</w:t>
      </w:r>
      <w:proofErr w:type="spellEnd"/>
      <w:r w:rsidRPr="00BF3BEC">
        <w:t xml:space="preserve"> à </w:t>
      </w:r>
      <w:proofErr w:type="spellStart"/>
      <w:r w:rsidRPr="00BF3BEC">
        <w:t>cargaison</w:t>
      </w:r>
      <w:proofErr w:type="spellEnd"/>
      <w:r w:rsidRPr="00BF3BEC">
        <w:t xml:space="preserve"> </w:t>
      </w:r>
      <w:proofErr w:type="spellStart"/>
      <w:r w:rsidRPr="00BF3BEC">
        <w:t>fermée</w:t>
      </w:r>
      <w:proofErr w:type="spellEnd"/>
      <w:r w:rsidRPr="00BF3BEC">
        <w:t xml:space="preserve"> </w:t>
      </w:r>
      <w:proofErr w:type="spellStart"/>
      <w:r w:rsidRPr="00BF3BEC">
        <w:t>est</w:t>
      </w:r>
      <w:proofErr w:type="spellEnd"/>
      <w:r w:rsidRPr="00BF3BEC">
        <w:t xml:space="preserve"> </w:t>
      </w:r>
      <w:proofErr w:type="spellStart"/>
      <w:r w:rsidRPr="00BF3BEC">
        <w:t>exigée</w:t>
      </w:r>
      <w:proofErr w:type="spellEnd"/>
      <w:r w:rsidRPr="00BF3BEC">
        <w:t xml:space="preserve"> à la </w:t>
      </w:r>
      <w:proofErr w:type="spellStart"/>
      <w:r w:rsidRPr="00BF3BEC">
        <w:t>colonne</w:t>
      </w:r>
      <w:proofErr w:type="spellEnd"/>
      <w:r w:rsidRPr="00BF3BEC">
        <w:t xml:space="preserve"> (7) du tableau C du </w:t>
      </w:r>
      <w:proofErr w:type="spellStart"/>
      <w:r w:rsidRPr="00BF3BEC">
        <w:t>chapitre</w:t>
      </w:r>
      <w:proofErr w:type="spellEnd"/>
      <w:r w:rsidRPr="00BF3BEC">
        <w:t xml:space="preserve"> 3.2; </w:t>
      </w:r>
      <w:proofErr w:type="spellStart"/>
      <w:r w:rsidRPr="00BF3BEC">
        <w:t>ou</w:t>
      </w:r>
      <w:proofErr w:type="spellEnd"/>
    </w:p>
    <w:p w:rsidR="00B71A48" w:rsidRDefault="00B71A48" w:rsidP="00B71A48">
      <w:pPr>
        <w:spacing w:after="60"/>
        <w:ind w:left="1418" w:right="1134" w:hanging="284"/>
        <w:jc w:val="both"/>
        <w:rPr>
          <w:strike/>
          <w:lang w:val="fr-FR"/>
        </w:rPr>
      </w:pPr>
      <w:r w:rsidRPr="00B71A48">
        <w:rPr>
          <w:lang w:val="fr-FR"/>
        </w:rPr>
        <w:t>•</w:t>
      </w:r>
      <w:r w:rsidRPr="00B71A48">
        <w:rPr>
          <w:lang w:val="fr-FR"/>
        </w:rPr>
        <w:tab/>
        <w:t>Quand une citerne à cargaison fermée était exigée pour la cargaison précédente dans la colonne (7) du tableau C du chapitre 3.2 et quand, avant le chargement, la concentration de gaz inflammables de la cargaison précédente y est supérieure à 10 % de la LIE ou qu’elle contient des gaz toxiques ou corrosifs (groupe d’emballage I ou II) ou des gaz ayant des caractéristiques CMR (catégories 1A ou 1B) à une concentration dépassant les niveaux d’expositions acceptés à l’échelon national</w:t>
      </w:r>
      <w:r>
        <w:rPr>
          <w:b/>
          <w:u w:val="single"/>
          <w:lang w:val="fr-FR"/>
        </w:rPr>
        <w:t>. Si ces conditions ne sont pas remplies et que la conduite de retour des gaz n’est pas utilisée, les concentrations mesurées doivent être enregistrées par écrit.</w:t>
      </w:r>
      <w:r w:rsidRPr="00B71A48">
        <w:rPr>
          <w:strike/>
          <w:lang w:val="fr-FR"/>
        </w:rPr>
        <w:t>, les résultats des mesures devant être consignés par écrit.</w:t>
      </w:r>
    </w:p>
    <w:p w:rsidR="00B71A48" w:rsidRDefault="00CD08FC" w:rsidP="006E7F1E">
      <w:pPr>
        <w:pStyle w:val="SingleTxtG"/>
      </w:pPr>
      <w:r w:rsidRPr="00CD08FC">
        <w:rPr>
          <w:noProof/>
          <w:lang w:val="fr-FR"/>
        </w:rPr>
        <mc:AlternateContent>
          <mc:Choice Requires="wps">
            <w:drawing>
              <wp:anchor distT="45720" distB="45720" distL="114300" distR="114300" simplePos="0" relativeHeight="251659264" behindDoc="0" locked="0" layoutInCell="1" allowOverlap="1">
                <wp:simplePos x="0" y="0"/>
                <wp:positionH relativeFrom="column">
                  <wp:posOffset>1430655</wp:posOffset>
                </wp:positionH>
                <wp:positionV relativeFrom="paragraph">
                  <wp:posOffset>1038225</wp:posOffset>
                </wp:positionV>
                <wp:extent cx="355092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404620"/>
                        </a:xfrm>
                        <a:prstGeom prst="rect">
                          <a:avLst/>
                        </a:prstGeom>
                        <a:solidFill>
                          <a:srgbClr val="FFFFFF"/>
                        </a:solidFill>
                        <a:ln w="9525">
                          <a:noFill/>
                          <a:miter lim="800000"/>
                          <a:headEnd/>
                          <a:tailEnd/>
                        </a:ln>
                      </wps:spPr>
                      <wps:txbx>
                        <w:txbxContent>
                          <w:p w:rsidR="00CD08FC" w:rsidRDefault="00CD08FC" w:rsidP="00CD08FC">
                            <w:pPr>
                              <w:pStyle w:val="SingleTxtG"/>
                              <w:spacing w:after="0" w:line="240" w:lineRule="auto"/>
                              <w:jc w:val="center"/>
                            </w:pP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65pt;margin-top:81.75pt;width:279.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ORIAIAAB4EAAAOAAAAZHJzL2Uyb0RvYy54bWysU9tu2zAMfR+wfxD0vviypG2MOEWXLsOA&#10;7gK0+wBZlmNhkqhJSuzs60fJaZptb8P0IJAieUQekqvbUStyEM5LMDUtZjklwnBopdnV9NvT9s0N&#10;JT4w0zIFRtT0KDy9Xb9+tRpsJUroQbXCEQQxvhpsTfsQbJVlnvdCMz8DKwwaO3CaBVTdLmsdGxBd&#10;q6zM86tsANdaB1x4j6/3k5GuE37XCR6+dJ0XgaiaYm4h3S7dTbyz9YpVO8dsL/kpDfYPWWgmDX56&#10;hrpngZG9k39BackdeOjCjIPOoOskF6kGrKbI/6jmsWdWpFqQHG/PNPn/B8s/H746ItualsU1JYZp&#10;bNKTGAN5ByMpIz+D9RW6PVp0DCM+Y59Trd4+AP/uiYFNz8xO3DkHQy9Yi/kVMTK7CJ1wfARphk/Q&#10;4jdsHyABjZ3TkTykgyA69ul47k1MhePj28UiX5Zo4mgr5vn8CpX4B6uew63z4YMATaJQU4fNT/Ds&#10;8ODD5PrsEn/zoGS7lUolxe2ajXLkwHBQtumc0H9zU4YMNV0uykVCNhDjEZpVWgYcZCV1TW/yeGI4&#10;qyId702b5MCkmmRMWpkTP5GSiZwwNiM6RtIaaI/IlINpYHHBUOjB/aRkwGGtqf+xZ05Qoj4aZHtZ&#10;zOdxupMyX1xHntylpbm0MMMRqqaBkknchLQRiQd7h13ZysTXSyanXHEIE+OnhYlTfqknr5e1Xv8C&#10;AAD//wMAUEsDBBQABgAIAAAAIQDkm08k4AAAAAsBAAAPAAAAZHJzL2Rvd25yZXYueG1sTI/LTsMw&#10;EEX3SPyDNUjsqEPStFGIU1VUbFggUZBg6caTOMKPyHbT8PcMK9jN6B7dOdPsFmvYjCGO3gm4X2XA&#10;0HVejW4Q8P72dFcBi0k6JY13KOAbI+za66tG1spf3CvOxzQwKnGxlgJ0SlPNeew0WhlXfkJHWe+D&#10;lYnWMHAV5IXKreF5lm24laOjC1pO+Kix+zqerYAPq0d1CC+fvTLz4bnfl9MSJiFub5b9A7CES/qD&#10;4Vef1KElp5M/OxWZEZDnZUEoBZuiBEbEtlrTcBJQVOst8Lbh/39ofwAAAP//AwBQSwECLQAUAAYA&#10;CAAAACEAtoM4kv4AAADhAQAAEwAAAAAAAAAAAAAAAAAAAAAAW0NvbnRlbnRfVHlwZXNdLnhtbFBL&#10;AQItABQABgAIAAAAIQA4/SH/1gAAAJQBAAALAAAAAAAAAAAAAAAAAC8BAABfcmVscy8ucmVsc1BL&#10;AQItABQABgAIAAAAIQDnyXORIAIAAB4EAAAOAAAAAAAAAAAAAAAAAC4CAABkcnMvZTJvRG9jLnht&#10;bFBLAQItABQABgAIAAAAIQDkm08k4AAAAAsBAAAPAAAAAAAAAAAAAAAAAHoEAABkcnMvZG93bnJl&#10;di54bWxQSwUGAAAAAAQABADzAAAAhwUAAAAA&#10;" stroked="f">
                <v:textbox style="mso-fit-shape-to-text:t">
                  <w:txbxContent>
                    <w:p w:rsidR="00CD08FC" w:rsidRDefault="00CD08FC" w:rsidP="00CD08FC">
                      <w:pPr>
                        <w:pStyle w:val="SingleTxtG"/>
                        <w:spacing w:after="0" w:line="240" w:lineRule="auto"/>
                        <w:jc w:val="center"/>
                      </w:pPr>
                      <w:r>
                        <w:rPr>
                          <w:u w:val="single"/>
                        </w:rPr>
                        <w:tab/>
                      </w:r>
                      <w:r>
                        <w:rPr>
                          <w:u w:val="single"/>
                        </w:rPr>
                        <w:tab/>
                      </w:r>
                      <w:r>
                        <w:rPr>
                          <w:u w:val="single"/>
                        </w:rPr>
                        <w:tab/>
                      </w:r>
                    </w:p>
                  </w:txbxContent>
                </v:textbox>
                <w10:wrap type="square"/>
              </v:shape>
            </w:pict>
          </mc:Fallback>
        </mc:AlternateContent>
      </w:r>
      <w:r w:rsidR="00B71A48" w:rsidRPr="00BF3BEC">
        <w:rPr>
          <w:lang w:val="fr-FR"/>
        </w:rPr>
        <w:t xml:space="preserve">Si les matières </w:t>
      </w:r>
      <w:r w:rsidR="00B71A48" w:rsidRPr="00BF3BEC">
        <w:rPr>
          <w:rFonts w:ascii="inherit" w:hAnsi="inherit" w:cs="Courier New"/>
          <w:lang w:val="fr-FR" w:eastAsia="en-GB"/>
        </w:rPr>
        <w:t>à charger</w:t>
      </w:r>
      <w:r w:rsidR="00B71A48" w:rsidRPr="00BF3BEC">
        <w:rPr>
          <w:lang w:val="fr-FR"/>
        </w:rPr>
        <w:t xml:space="preserve"> nécessitent une protection contr</w:t>
      </w:r>
      <w:r w:rsidR="00B71A48">
        <w:rPr>
          <w:lang w:val="fr-FR"/>
        </w:rPr>
        <w:t xml:space="preserve">e les explosions en vertu de la </w:t>
      </w:r>
      <w:r w:rsidR="00B71A48" w:rsidRPr="00BF3BEC">
        <w:rPr>
          <w:lang w:val="fr-FR"/>
        </w:rPr>
        <w:t xml:space="preserve">colonne (17) du tableau C du chapitre 3.2, </w:t>
      </w:r>
      <w:r w:rsidR="00B71A48" w:rsidRPr="00BF3BEC">
        <w:rPr>
          <w:rFonts w:ascii="inherit" w:hAnsi="inherit" w:cs="Courier New"/>
          <w:lang w:val="fr-FR" w:eastAsia="en-GB"/>
        </w:rPr>
        <w:t>et si l'utilisation d’une conduite de retour de gaz est prescrite</w:t>
      </w:r>
      <w:r w:rsidR="00B71A48" w:rsidRPr="00BF3BEC">
        <w:rPr>
          <w:lang w:val="fr-FR"/>
        </w:rPr>
        <w:t>, la conduite de retour de gaz doit être conçue de telle manière que le bateau soit protégé contre les détonations et l</w:t>
      </w:r>
      <w:bookmarkStart w:id="0" w:name="_GoBack"/>
      <w:bookmarkEnd w:id="0"/>
      <w:r w:rsidR="00B71A48" w:rsidRPr="00BF3BEC">
        <w:rPr>
          <w:lang w:val="fr-FR"/>
        </w:rPr>
        <w:t xml:space="preserve">es passages de flammes provenant de terre. La protection du bateau contre les détonations et les passages de flammes provenant de terre </w:t>
      </w:r>
      <w:r w:rsidR="00B71A48" w:rsidRPr="00BF3BEC">
        <w:rPr>
          <w:lang w:val="fr-FR"/>
        </w:rPr>
        <w:lastRenderedPageBreak/>
        <w:t xml:space="preserve">n’est pas exigée lorsque les citernes à cargaisons sont </w:t>
      </w:r>
      <w:proofErr w:type="spellStart"/>
      <w:r w:rsidR="00B71A48" w:rsidRPr="00BF3BEC">
        <w:rPr>
          <w:lang w:val="fr-FR"/>
        </w:rPr>
        <w:t>inertisées</w:t>
      </w:r>
      <w:proofErr w:type="spellEnd"/>
      <w:r w:rsidR="00B71A48" w:rsidRPr="00BF3BEC">
        <w:rPr>
          <w:lang w:val="fr-FR"/>
        </w:rPr>
        <w:t xml:space="preserve"> conformément au 7.2.4.18.</w:t>
      </w:r>
      <w:r w:rsidR="00B71A48" w:rsidRPr="00BF3BEC">
        <w:t>».</w:t>
      </w:r>
    </w:p>
    <w:sectPr w:rsidR="00B71A48" w:rsidSect="006E7F1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CDD" w:rsidRPr="00FB1744" w:rsidRDefault="00B97CDD" w:rsidP="00FB1744">
      <w:pPr>
        <w:pStyle w:val="Footer"/>
      </w:pPr>
    </w:p>
  </w:endnote>
  <w:endnote w:type="continuationSeparator" w:id="0">
    <w:p w:rsidR="00B97CDD" w:rsidRPr="00FB1744" w:rsidRDefault="00B97CD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CDD" w:rsidRPr="009F3E32" w:rsidRDefault="006E7F1E" w:rsidP="009F3E32">
    <w:pPr>
      <w:pStyle w:val="Footer"/>
      <w:tabs>
        <w:tab w:val="right" w:pos="9598"/>
      </w:tabs>
    </w:pPr>
    <w:r w:rsidRPr="009F3E32">
      <w:rPr>
        <w:b/>
        <w:sz w:val="18"/>
      </w:rPr>
      <w:fldChar w:fldCharType="begin"/>
    </w:r>
    <w:r w:rsidRPr="009F3E32">
      <w:rPr>
        <w:b/>
        <w:sz w:val="18"/>
      </w:rPr>
      <w:instrText xml:space="preserve"> PAGE  \* MERGEFORMAT </w:instrText>
    </w:r>
    <w:r w:rsidRPr="009F3E32">
      <w:rPr>
        <w:b/>
        <w:sz w:val="18"/>
      </w:rPr>
      <w:fldChar w:fldCharType="separate"/>
    </w:r>
    <w:r>
      <w:rPr>
        <w:b/>
        <w:sz w:val="18"/>
      </w:rPr>
      <w:t>3</w:t>
    </w:r>
    <w:r w:rsidRPr="009F3E3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CDD" w:rsidRPr="009F3E32" w:rsidRDefault="00B97CDD" w:rsidP="009F3E32">
    <w:pPr>
      <w:pStyle w:val="Footer"/>
      <w:tabs>
        <w:tab w:val="right" w:pos="9598"/>
      </w:tabs>
      <w:rPr>
        <w:b/>
        <w:sz w:val="18"/>
      </w:rPr>
    </w:pPr>
    <w:r>
      <w:tab/>
    </w:r>
    <w:r w:rsidRPr="009F3E32">
      <w:rPr>
        <w:b/>
        <w:sz w:val="18"/>
      </w:rPr>
      <w:fldChar w:fldCharType="begin"/>
    </w:r>
    <w:r w:rsidRPr="009F3E32">
      <w:rPr>
        <w:b/>
        <w:sz w:val="18"/>
      </w:rPr>
      <w:instrText xml:space="preserve"> PAGE  \* MERGEFORMAT </w:instrText>
    </w:r>
    <w:r w:rsidRPr="009F3E32">
      <w:rPr>
        <w:b/>
        <w:sz w:val="18"/>
      </w:rPr>
      <w:fldChar w:fldCharType="separate"/>
    </w:r>
    <w:r>
      <w:rPr>
        <w:b/>
        <w:noProof/>
        <w:sz w:val="18"/>
      </w:rPr>
      <w:t>3</w:t>
    </w:r>
    <w:r w:rsidRPr="009F3E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CDD" w:rsidRPr="006E3847" w:rsidRDefault="00B97CDD" w:rsidP="00FF4E50">
    <w:pPr>
      <w:tabs>
        <w:tab w:val="right" w:pos="959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CDD" w:rsidRPr="00FB1744" w:rsidRDefault="00B97CDD" w:rsidP="00FB1744">
      <w:pPr>
        <w:tabs>
          <w:tab w:val="right" w:pos="2155"/>
        </w:tabs>
        <w:spacing w:after="80" w:line="240" w:lineRule="auto"/>
        <w:ind w:left="680"/>
      </w:pPr>
      <w:r>
        <w:rPr>
          <w:u w:val="single"/>
        </w:rPr>
        <w:tab/>
      </w:r>
    </w:p>
  </w:footnote>
  <w:footnote w:type="continuationSeparator" w:id="0">
    <w:p w:rsidR="00B97CDD" w:rsidRPr="00FB1744" w:rsidRDefault="00B97CDD"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F1E" w:rsidRDefault="006E7F1E">
    <w:pPr>
      <w:pStyle w:val="Header"/>
    </w:pPr>
    <w:r>
      <w:t>INF.26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CDD" w:rsidRPr="009F3E32" w:rsidRDefault="006E7F1E" w:rsidP="009F3E32">
    <w:pPr>
      <w:pStyle w:val="Header"/>
      <w:jc w:val="right"/>
    </w:pPr>
    <w:r>
      <w:t>INF.26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27ECF"/>
    <w:multiLevelType w:val="hybridMultilevel"/>
    <w:tmpl w:val="4866E918"/>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 w15:restartNumberingAfterBreak="0">
    <w:nsid w:val="31A12325"/>
    <w:multiLevelType w:val="hybridMultilevel"/>
    <w:tmpl w:val="FE64E92C"/>
    <w:lvl w:ilvl="0" w:tplc="5534336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7627B7"/>
    <w:multiLevelType w:val="hybridMultilevel"/>
    <w:tmpl w:val="B19AEB1E"/>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NotTrackMoves/>
  <w:doNotTrackFormatting/>
  <w:defaultTabStop w:val="567"/>
  <w:hyphenationZone w:val="425"/>
  <w:evenAndOddHeaders/>
  <w:characterSpacingControl w:val="doNotCompress"/>
  <w:hdrShapeDefaults>
    <o:shapedefaults v:ext="edit" spidmax="3686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D6181"/>
    <w:rsid w:val="000144FD"/>
    <w:rsid w:val="00014752"/>
    <w:rsid w:val="00022E10"/>
    <w:rsid w:val="00030525"/>
    <w:rsid w:val="00032511"/>
    <w:rsid w:val="00033FA7"/>
    <w:rsid w:val="000468B2"/>
    <w:rsid w:val="00046E92"/>
    <w:rsid w:val="00057606"/>
    <w:rsid w:val="000613CB"/>
    <w:rsid w:val="00075AA0"/>
    <w:rsid w:val="00081DDC"/>
    <w:rsid w:val="0008708F"/>
    <w:rsid w:val="000A5EFB"/>
    <w:rsid w:val="000B42E5"/>
    <w:rsid w:val="000C7737"/>
    <w:rsid w:val="000D1B89"/>
    <w:rsid w:val="000E2793"/>
    <w:rsid w:val="000E57B2"/>
    <w:rsid w:val="00105FCB"/>
    <w:rsid w:val="001170DC"/>
    <w:rsid w:val="00117376"/>
    <w:rsid w:val="00122A17"/>
    <w:rsid w:val="00152EAE"/>
    <w:rsid w:val="00153960"/>
    <w:rsid w:val="00153C7D"/>
    <w:rsid w:val="00162909"/>
    <w:rsid w:val="00167935"/>
    <w:rsid w:val="00173D50"/>
    <w:rsid w:val="00176F00"/>
    <w:rsid w:val="00197023"/>
    <w:rsid w:val="001A4D45"/>
    <w:rsid w:val="001B1F5A"/>
    <w:rsid w:val="001B4C61"/>
    <w:rsid w:val="001B7CBA"/>
    <w:rsid w:val="001D0C54"/>
    <w:rsid w:val="001D7040"/>
    <w:rsid w:val="001D7946"/>
    <w:rsid w:val="001F01CF"/>
    <w:rsid w:val="001F2891"/>
    <w:rsid w:val="00205D3A"/>
    <w:rsid w:val="00223290"/>
    <w:rsid w:val="00244F39"/>
    <w:rsid w:val="00246832"/>
    <w:rsid w:val="00247E2C"/>
    <w:rsid w:val="00252058"/>
    <w:rsid w:val="002576B5"/>
    <w:rsid w:val="0027067F"/>
    <w:rsid w:val="002767CB"/>
    <w:rsid w:val="00284642"/>
    <w:rsid w:val="002906C1"/>
    <w:rsid w:val="00295A81"/>
    <w:rsid w:val="002A0807"/>
    <w:rsid w:val="002A2206"/>
    <w:rsid w:val="002D2AAC"/>
    <w:rsid w:val="002D2AF1"/>
    <w:rsid w:val="002D6C53"/>
    <w:rsid w:val="002F5595"/>
    <w:rsid w:val="00315CD3"/>
    <w:rsid w:val="003211C2"/>
    <w:rsid w:val="00334F6A"/>
    <w:rsid w:val="00341E2B"/>
    <w:rsid w:val="00342AC8"/>
    <w:rsid w:val="003545A4"/>
    <w:rsid w:val="0037192A"/>
    <w:rsid w:val="003817DE"/>
    <w:rsid w:val="003841F7"/>
    <w:rsid w:val="003A4A76"/>
    <w:rsid w:val="003A6F51"/>
    <w:rsid w:val="003B4550"/>
    <w:rsid w:val="003D0CA0"/>
    <w:rsid w:val="003F3F98"/>
    <w:rsid w:val="00411CA8"/>
    <w:rsid w:val="004134C1"/>
    <w:rsid w:val="00433964"/>
    <w:rsid w:val="00436492"/>
    <w:rsid w:val="00450B99"/>
    <w:rsid w:val="00451922"/>
    <w:rsid w:val="00454BEF"/>
    <w:rsid w:val="00461253"/>
    <w:rsid w:val="00471A5E"/>
    <w:rsid w:val="00473E88"/>
    <w:rsid w:val="00496CDC"/>
    <w:rsid w:val="004D6181"/>
    <w:rsid w:val="004D6975"/>
    <w:rsid w:val="004E390E"/>
    <w:rsid w:val="004F04FA"/>
    <w:rsid w:val="004F56B8"/>
    <w:rsid w:val="004F6171"/>
    <w:rsid w:val="005042C2"/>
    <w:rsid w:val="00514D6C"/>
    <w:rsid w:val="0053500C"/>
    <w:rsid w:val="0056184E"/>
    <w:rsid w:val="0056599A"/>
    <w:rsid w:val="00587690"/>
    <w:rsid w:val="00590DA4"/>
    <w:rsid w:val="005B64D3"/>
    <w:rsid w:val="005C5E96"/>
    <w:rsid w:val="00637BE1"/>
    <w:rsid w:val="00664FC3"/>
    <w:rsid w:val="00671529"/>
    <w:rsid w:val="00690748"/>
    <w:rsid w:val="00696C1E"/>
    <w:rsid w:val="006A60CF"/>
    <w:rsid w:val="006B3303"/>
    <w:rsid w:val="006C1330"/>
    <w:rsid w:val="006D3454"/>
    <w:rsid w:val="006E7F1E"/>
    <w:rsid w:val="006F4A60"/>
    <w:rsid w:val="00705A19"/>
    <w:rsid w:val="00717266"/>
    <w:rsid w:val="00721F0A"/>
    <w:rsid w:val="0072438A"/>
    <w:rsid w:val="007268F9"/>
    <w:rsid w:val="00741480"/>
    <w:rsid w:val="00750166"/>
    <w:rsid w:val="00753552"/>
    <w:rsid w:val="00766A17"/>
    <w:rsid w:val="00773F3E"/>
    <w:rsid w:val="007B480D"/>
    <w:rsid w:val="007C52B0"/>
    <w:rsid w:val="007D3378"/>
    <w:rsid w:val="007D4D18"/>
    <w:rsid w:val="007F1C6C"/>
    <w:rsid w:val="00816B1E"/>
    <w:rsid w:val="008232D6"/>
    <w:rsid w:val="00841AD5"/>
    <w:rsid w:val="0086570B"/>
    <w:rsid w:val="0088572D"/>
    <w:rsid w:val="00893F25"/>
    <w:rsid w:val="008A06A9"/>
    <w:rsid w:val="008A68A7"/>
    <w:rsid w:val="008C2DB8"/>
    <w:rsid w:val="008D0E96"/>
    <w:rsid w:val="008D2943"/>
    <w:rsid w:val="008E0F0F"/>
    <w:rsid w:val="008F28D1"/>
    <w:rsid w:val="00907107"/>
    <w:rsid w:val="009411B4"/>
    <w:rsid w:val="00953469"/>
    <w:rsid w:val="009A4735"/>
    <w:rsid w:val="009A7BDA"/>
    <w:rsid w:val="009C480F"/>
    <w:rsid w:val="009C70AC"/>
    <w:rsid w:val="009C7BAE"/>
    <w:rsid w:val="009D0139"/>
    <w:rsid w:val="009D48FC"/>
    <w:rsid w:val="009E796E"/>
    <w:rsid w:val="009E7CD3"/>
    <w:rsid w:val="009F3E32"/>
    <w:rsid w:val="009F5CDC"/>
    <w:rsid w:val="00A0115E"/>
    <w:rsid w:val="00A065B3"/>
    <w:rsid w:val="00A127D1"/>
    <w:rsid w:val="00A22099"/>
    <w:rsid w:val="00A30C7A"/>
    <w:rsid w:val="00A603FB"/>
    <w:rsid w:val="00A775CF"/>
    <w:rsid w:val="00AB3029"/>
    <w:rsid w:val="00AB3C7E"/>
    <w:rsid w:val="00AB5C16"/>
    <w:rsid w:val="00AC204E"/>
    <w:rsid w:val="00AC47C3"/>
    <w:rsid w:val="00AF557F"/>
    <w:rsid w:val="00B047ED"/>
    <w:rsid w:val="00B06045"/>
    <w:rsid w:val="00B12986"/>
    <w:rsid w:val="00B17EE6"/>
    <w:rsid w:val="00B367DE"/>
    <w:rsid w:val="00B71A48"/>
    <w:rsid w:val="00B72742"/>
    <w:rsid w:val="00B72B1D"/>
    <w:rsid w:val="00B8096F"/>
    <w:rsid w:val="00B96FA2"/>
    <w:rsid w:val="00B97CDD"/>
    <w:rsid w:val="00BA34D1"/>
    <w:rsid w:val="00BA4E81"/>
    <w:rsid w:val="00BB073B"/>
    <w:rsid w:val="00BB102D"/>
    <w:rsid w:val="00BB148F"/>
    <w:rsid w:val="00BB425F"/>
    <w:rsid w:val="00BC7323"/>
    <w:rsid w:val="00BD661C"/>
    <w:rsid w:val="00BE7D6B"/>
    <w:rsid w:val="00C107AB"/>
    <w:rsid w:val="00C27A76"/>
    <w:rsid w:val="00C35A27"/>
    <w:rsid w:val="00C41EA4"/>
    <w:rsid w:val="00C460FD"/>
    <w:rsid w:val="00C54E53"/>
    <w:rsid w:val="00C62579"/>
    <w:rsid w:val="00C666EA"/>
    <w:rsid w:val="00C74A7C"/>
    <w:rsid w:val="00C87057"/>
    <w:rsid w:val="00CA07E7"/>
    <w:rsid w:val="00CA1A77"/>
    <w:rsid w:val="00CB3FF8"/>
    <w:rsid w:val="00CD08FC"/>
    <w:rsid w:val="00CE03D1"/>
    <w:rsid w:val="00CF39CE"/>
    <w:rsid w:val="00CF4989"/>
    <w:rsid w:val="00CF754E"/>
    <w:rsid w:val="00D334BD"/>
    <w:rsid w:val="00D54144"/>
    <w:rsid w:val="00D60D7E"/>
    <w:rsid w:val="00D80E8C"/>
    <w:rsid w:val="00D84F52"/>
    <w:rsid w:val="00D96BDA"/>
    <w:rsid w:val="00DA1414"/>
    <w:rsid w:val="00DA5AF8"/>
    <w:rsid w:val="00DA7522"/>
    <w:rsid w:val="00DB5E14"/>
    <w:rsid w:val="00DB7C55"/>
    <w:rsid w:val="00DC2649"/>
    <w:rsid w:val="00DE1294"/>
    <w:rsid w:val="00DE443D"/>
    <w:rsid w:val="00DF072E"/>
    <w:rsid w:val="00DF701F"/>
    <w:rsid w:val="00E02C2B"/>
    <w:rsid w:val="00E03FBD"/>
    <w:rsid w:val="00E04377"/>
    <w:rsid w:val="00E1117C"/>
    <w:rsid w:val="00E12C55"/>
    <w:rsid w:val="00E13E1C"/>
    <w:rsid w:val="00E14CB3"/>
    <w:rsid w:val="00E22C43"/>
    <w:rsid w:val="00E233C5"/>
    <w:rsid w:val="00E2528B"/>
    <w:rsid w:val="00E40628"/>
    <w:rsid w:val="00E4286A"/>
    <w:rsid w:val="00E42C5F"/>
    <w:rsid w:val="00E45C7F"/>
    <w:rsid w:val="00E7463E"/>
    <w:rsid w:val="00E9081D"/>
    <w:rsid w:val="00E91007"/>
    <w:rsid w:val="00E91E07"/>
    <w:rsid w:val="00E94524"/>
    <w:rsid w:val="00EC2AE1"/>
    <w:rsid w:val="00ED6C48"/>
    <w:rsid w:val="00EF11A2"/>
    <w:rsid w:val="00F25696"/>
    <w:rsid w:val="00F33374"/>
    <w:rsid w:val="00F406A7"/>
    <w:rsid w:val="00F503DC"/>
    <w:rsid w:val="00F65F5D"/>
    <w:rsid w:val="00F74285"/>
    <w:rsid w:val="00F82C3E"/>
    <w:rsid w:val="00F86A3A"/>
    <w:rsid w:val="00F91293"/>
    <w:rsid w:val="00F93A62"/>
    <w:rsid w:val="00F97A66"/>
    <w:rsid w:val="00FB1744"/>
    <w:rsid w:val="00FB3855"/>
    <w:rsid w:val="00FB4DAF"/>
    <w:rsid w:val="00FB5DC9"/>
    <w:rsid w:val="00FB6054"/>
    <w:rsid w:val="00FC04AB"/>
    <w:rsid w:val="00FC3364"/>
    <w:rsid w:val="00FF4041"/>
    <w:rsid w:val="00FF4E50"/>
    <w:rsid w:val="00FF6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F4CC05"/>
  <w15:docId w15:val="{C416F3E9-9AB2-4628-BB9B-D395D4CD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37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B96FA2"/>
    <w:pPr>
      <w:numPr>
        <w:numId w:val="5"/>
      </w:numPr>
      <w:suppressAutoHyphens w:val="0"/>
      <w:spacing w:after="120" w:line="240" w:lineRule="auto"/>
      <w:ind w:right="1134"/>
      <w:jc w:val="both"/>
    </w:pPr>
    <w:rPr>
      <w:rFonts w:eastAsiaTheme="minorEastAsia"/>
      <w:lang w:eastAsia="zh-CN"/>
    </w:rPr>
  </w:style>
  <w:style w:type="paragraph" w:customStyle="1" w:styleId="Bullet2G">
    <w:name w:val="_Bullet 2_G"/>
    <w:basedOn w:val="Normal"/>
    <w:qFormat/>
    <w:rsid w:val="007268F9"/>
    <w:pPr>
      <w:numPr>
        <w:numId w:val="1"/>
      </w:numPr>
      <w:spacing w:after="120"/>
      <w:ind w:right="1134"/>
      <w:jc w:val="both"/>
    </w:pPr>
  </w:style>
  <w:style w:type="paragraph" w:customStyle="1" w:styleId="ParaNoG">
    <w:name w:val="_ParaNo._G"/>
    <w:basedOn w:val="SingleTxtG"/>
    <w:rsid w:val="007268F9"/>
    <w:pPr>
      <w:numPr>
        <w:numId w:val="2"/>
      </w:numPr>
    </w:pPr>
  </w:style>
  <w:style w:type="numbering" w:styleId="111111">
    <w:name w:val="Outline List 2"/>
    <w:basedOn w:val="NoList"/>
    <w:semiHidden/>
    <w:rsid w:val="007268F9"/>
    <w:pPr>
      <w:numPr>
        <w:numId w:val="3"/>
      </w:numPr>
    </w:pPr>
  </w:style>
  <w:style w:type="numbering" w:styleId="1ai">
    <w:name w:val="Outline List 1"/>
    <w:basedOn w:val="NoList"/>
    <w:semiHidden/>
    <w:rsid w:val="007268F9"/>
    <w:pPr>
      <w:numPr>
        <w:numId w:val="4"/>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F33374"/>
    <w:rPr>
      <w:rFonts w:ascii="Times New Roman" w:hAnsi="Times New Roman" w:cs="Times New Roman"/>
      <w:sz w:val="20"/>
      <w:szCs w:val="20"/>
    </w:rPr>
  </w:style>
  <w:style w:type="character" w:customStyle="1" w:styleId="Heading2Char">
    <w:name w:val="Heading 2 Char"/>
    <w:basedOn w:val="DefaultParagraphFont"/>
    <w:link w:val="Heading2"/>
    <w:semiHidden/>
    <w:rsid w:val="00F33374"/>
    <w:rPr>
      <w:rFonts w:ascii="Times New Roman" w:hAnsi="Times New Roman" w:cs="Times New Roman"/>
      <w:sz w:val="20"/>
      <w:szCs w:val="20"/>
    </w:rPr>
  </w:style>
  <w:style w:type="character" w:customStyle="1" w:styleId="Heading3Char">
    <w:name w:val="Heading 3 Char"/>
    <w:basedOn w:val="DefaultParagraphFont"/>
    <w:link w:val="Heading3"/>
    <w:semiHidden/>
    <w:rsid w:val="00F33374"/>
    <w:rPr>
      <w:rFonts w:ascii="Times New Roman" w:hAnsi="Times New Roman" w:cs="Times New Roman"/>
      <w:sz w:val="20"/>
      <w:szCs w:val="20"/>
    </w:rPr>
  </w:style>
  <w:style w:type="character" w:customStyle="1" w:styleId="Heading4Char">
    <w:name w:val="Heading 4 Char"/>
    <w:basedOn w:val="DefaultParagraphFont"/>
    <w:link w:val="Heading4"/>
    <w:semiHidden/>
    <w:rsid w:val="00F33374"/>
    <w:rPr>
      <w:rFonts w:ascii="Times New Roman" w:hAnsi="Times New Roman" w:cs="Times New Roman"/>
      <w:sz w:val="20"/>
      <w:szCs w:val="20"/>
    </w:rPr>
  </w:style>
  <w:style w:type="character" w:customStyle="1" w:styleId="Heading5Char">
    <w:name w:val="Heading 5 Char"/>
    <w:basedOn w:val="DefaultParagraphFont"/>
    <w:link w:val="Heading5"/>
    <w:semiHidden/>
    <w:rsid w:val="00F33374"/>
    <w:rPr>
      <w:rFonts w:ascii="Times New Roman" w:hAnsi="Times New Roman" w:cs="Times New Roman"/>
      <w:sz w:val="20"/>
      <w:szCs w:val="20"/>
    </w:rPr>
  </w:style>
  <w:style w:type="character" w:customStyle="1" w:styleId="Heading6Char">
    <w:name w:val="Heading 6 Char"/>
    <w:basedOn w:val="DefaultParagraphFont"/>
    <w:link w:val="Heading6"/>
    <w:semiHidden/>
    <w:rsid w:val="00F33374"/>
    <w:rPr>
      <w:rFonts w:ascii="Times New Roman" w:hAnsi="Times New Roman" w:cs="Times New Roman"/>
      <w:sz w:val="20"/>
      <w:szCs w:val="20"/>
    </w:rPr>
  </w:style>
  <w:style w:type="character" w:customStyle="1" w:styleId="Heading7Char">
    <w:name w:val="Heading 7 Char"/>
    <w:basedOn w:val="DefaultParagraphFont"/>
    <w:link w:val="Heading7"/>
    <w:semiHidden/>
    <w:rsid w:val="00F33374"/>
    <w:rPr>
      <w:rFonts w:ascii="Times New Roman" w:hAnsi="Times New Roman" w:cs="Times New Roman"/>
      <w:sz w:val="20"/>
      <w:szCs w:val="20"/>
    </w:rPr>
  </w:style>
  <w:style w:type="character" w:customStyle="1" w:styleId="Heading8Char">
    <w:name w:val="Heading 8 Char"/>
    <w:basedOn w:val="DefaultParagraphFont"/>
    <w:link w:val="Heading8"/>
    <w:semiHidden/>
    <w:rsid w:val="00F33374"/>
    <w:rPr>
      <w:rFonts w:ascii="Times New Roman" w:hAnsi="Times New Roman" w:cs="Times New Roman"/>
      <w:sz w:val="20"/>
      <w:szCs w:val="20"/>
    </w:rPr>
  </w:style>
  <w:style w:type="character" w:customStyle="1" w:styleId="Heading9Char">
    <w:name w:val="Heading 9 Char"/>
    <w:basedOn w:val="DefaultParagraphFont"/>
    <w:link w:val="Heading9"/>
    <w:semiHidden/>
    <w:rsid w:val="00F33374"/>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character" w:customStyle="1" w:styleId="HChGChar">
    <w:name w:val="_ H _Ch_G Char"/>
    <w:link w:val="HChG"/>
    <w:rsid w:val="000B42E5"/>
    <w:rPr>
      <w:rFonts w:ascii="Times New Roman" w:eastAsia="Times New Roman" w:hAnsi="Times New Roman" w:cs="Times New Roman"/>
      <w:b/>
      <w:sz w:val="28"/>
      <w:szCs w:val="20"/>
      <w:lang w:eastAsia="en-US"/>
    </w:rPr>
  </w:style>
  <w:style w:type="character" w:customStyle="1" w:styleId="H1GChar">
    <w:name w:val="_ H_1_G Char"/>
    <w:link w:val="H1G"/>
    <w:rsid w:val="000B42E5"/>
    <w:rPr>
      <w:rFonts w:ascii="Times New Roman" w:eastAsia="Times New Roman" w:hAnsi="Times New Roman" w:cs="Times New Roman"/>
      <w:b/>
      <w:sz w:val="24"/>
      <w:szCs w:val="20"/>
      <w:lang w:eastAsia="en-US"/>
    </w:rPr>
  </w:style>
  <w:style w:type="paragraph" w:customStyle="1" w:styleId="Bearbeitung">
    <w:name w:val="Bearbeitung"/>
    <w:hidden/>
    <w:uiPriority w:val="99"/>
    <w:semiHidden/>
    <w:rsid w:val="000B42E5"/>
    <w:pPr>
      <w:spacing w:after="0" w:line="240" w:lineRule="auto"/>
    </w:pPr>
    <w:rPr>
      <w:rFonts w:ascii="Times New Roman" w:eastAsia="Times New Roman" w:hAnsi="Times New Roman" w:cs="Times New Roman"/>
      <w:sz w:val="20"/>
      <w:szCs w:val="20"/>
      <w:lang w:val="fr-CH" w:eastAsia="fr-FR"/>
    </w:rPr>
  </w:style>
  <w:style w:type="table" w:styleId="TableList5">
    <w:name w:val="Table List 5"/>
    <w:basedOn w:val="TableNormal"/>
    <w:rsid w:val="000B42E5"/>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H23GChar">
    <w:name w:val="_ H_2/3_G Char"/>
    <w:link w:val="H23G"/>
    <w:rsid w:val="000B42E5"/>
    <w:rPr>
      <w:rFonts w:ascii="Times New Roman" w:eastAsia="Times New Roman" w:hAnsi="Times New Roman" w:cs="Times New Roman"/>
      <w:b/>
      <w:sz w:val="20"/>
      <w:szCs w:val="20"/>
      <w:lang w:eastAsia="en-US"/>
    </w:rPr>
  </w:style>
  <w:style w:type="paragraph" w:styleId="Revision">
    <w:name w:val="Revision"/>
    <w:hidden/>
    <w:uiPriority w:val="99"/>
    <w:semiHidden/>
    <w:rsid w:val="000B42E5"/>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AE5D-83FF-43CC-9867-312F6718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1718590</vt:lpstr>
    </vt:vector>
  </TitlesOfParts>
  <Company>DCM</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1718590</dc:title>
  <dc:subject>ECE/TRANS/WP.15/AC.2/2018/11</dc:subject>
  <dc:creator>Generic Desk Anglais</dc:creator>
  <cp:lastModifiedBy>Secretariat</cp:lastModifiedBy>
  <cp:revision>5</cp:revision>
  <cp:lastPrinted>2018-08-28T15:47:00Z</cp:lastPrinted>
  <dcterms:created xsi:type="dcterms:W3CDTF">2018-08-28T15:46:00Z</dcterms:created>
  <dcterms:modified xsi:type="dcterms:W3CDTF">2018-08-28T15:51:00Z</dcterms:modified>
</cp:coreProperties>
</file>