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10206" w:type="dxa"/>
        <w:tblLayout w:type="fixed"/>
        <w:tblCellMar>
          <w:left w:w="0" w:type="dxa"/>
          <w:right w:w="0" w:type="dxa"/>
        </w:tblCellMar>
        <w:tblLook w:val="01E0" w:firstRow="1" w:lastRow="1" w:firstColumn="1" w:lastColumn="1" w:noHBand="0" w:noVBand="0"/>
      </w:tblPr>
      <w:tblGrid>
        <w:gridCol w:w="1276"/>
        <w:gridCol w:w="6095"/>
        <w:gridCol w:w="2835"/>
      </w:tblGrid>
      <w:tr w:rsidR="007A6541" w:rsidTr="007A0F99">
        <w:trPr>
          <w:cantSplit/>
          <w:trHeight w:hRule="exact" w:val="851"/>
        </w:trPr>
        <w:tc>
          <w:tcPr>
            <w:tcW w:w="1276" w:type="dxa"/>
            <w:tcBorders>
              <w:bottom w:val="single" w:sz="4" w:space="0" w:color="auto"/>
            </w:tcBorders>
            <w:vAlign w:val="bottom"/>
          </w:tcPr>
          <w:p w:rsidR="007A6541" w:rsidRDefault="007A6541" w:rsidP="00E12574"/>
        </w:tc>
        <w:tc>
          <w:tcPr>
            <w:tcW w:w="8930" w:type="dxa"/>
            <w:gridSpan w:val="2"/>
            <w:tcBorders>
              <w:bottom w:val="single" w:sz="4" w:space="0" w:color="auto"/>
            </w:tcBorders>
            <w:vAlign w:val="bottom"/>
          </w:tcPr>
          <w:p w:rsidR="007A6541" w:rsidRPr="00D47EEA" w:rsidRDefault="007A6541" w:rsidP="00995C51">
            <w:pPr>
              <w:jc w:val="right"/>
            </w:pPr>
            <w:r w:rsidRPr="00C04153">
              <w:rPr>
                <w:b/>
                <w:sz w:val="40"/>
                <w:szCs w:val="40"/>
              </w:rPr>
              <w:t>INF.</w:t>
            </w:r>
            <w:r w:rsidR="00723F48">
              <w:rPr>
                <w:b/>
                <w:sz w:val="40"/>
                <w:szCs w:val="40"/>
              </w:rPr>
              <w:t>30</w:t>
            </w:r>
          </w:p>
        </w:tc>
      </w:tr>
      <w:tr w:rsidR="007A6541" w:rsidTr="004033D6">
        <w:trPr>
          <w:cantSplit/>
          <w:trHeight w:hRule="exact" w:val="3557"/>
        </w:trPr>
        <w:tc>
          <w:tcPr>
            <w:tcW w:w="7371" w:type="dxa"/>
            <w:gridSpan w:val="2"/>
            <w:tcBorders>
              <w:top w:val="single" w:sz="4" w:space="0" w:color="auto"/>
              <w:bottom w:val="single" w:sz="12" w:space="0" w:color="auto"/>
            </w:tcBorders>
          </w:tcPr>
          <w:p w:rsidR="007A6541" w:rsidRPr="007A6541" w:rsidRDefault="007A6541" w:rsidP="00E12574">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or Europe</w:t>
            </w:r>
          </w:p>
          <w:p w:rsidR="007A6541" w:rsidRPr="007A6541" w:rsidRDefault="007A6541" w:rsidP="00E12574">
            <w:pPr>
              <w:spacing w:before="120"/>
              <w:rPr>
                <w:sz w:val="28"/>
                <w:szCs w:val="28"/>
              </w:rPr>
            </w:pPr>
            <w:r w:rsidRPr="007A6541">
              <w:rPr>
                <w:sz w:val="28"/>
                <w:szCs w:val="28"/>
                <w:lang w:val="en-US"/>
              </w:rPr>
              <w:t>Inland Transport Committee</w:t>
            </w:r>
          </w:p>
          <w:p w:rsidR="007A6541" w:rsidRPr="007A6541" w:rsidRDefault="007A6541" w:rsidP="00E12574">
            <w:pPr>
              <w:spacing w:before="120"/>
              <w:rPr>
                <w:b/>
                <w:sz w:val="24"/>
                <w:szCs w:val="24"/>
              </w:rPr>
            </w:pPr>
            <w:r w:rsidRPr="007A6541">
              <w:rPr>
                <w:b/>
                <w:sz w:val="24"/>
                <w:szCs w:val="24"/>
                <w:lang w:val="de-DE"/>
              </w:rPr>
              <w:t xml:space="preserve">Working Party on </w:t>
            </w:r>
            <w:proofErr w:type="spellStart"/>
            <w:r w:rsidRPr="007A6541">
              <w:rPr>
                <w:b/>
                <w:sz w:val="24"/>
                <w:szCs w:val="24"/>
                <w:lang w:val="de-DE"/>
              </w:rPr>
              <w:t>the</w:t>
            </w:r>
            <w:proofErr w:type="spellEnd"/>
            <w:r w:rsidRPr="007A6541">
              <w:rPr>
                <w:b/>
                <w:sz w:val="24"/>
                <w:szCs w:val="24"/>
                <w:lang w:val="de-DE"/>
              </w:rPr>
              <w:t xml:space="preserve"> Transport </w:t>
            </w:r>
            <w:proofErr w:type="spellStart"/>
            <w:r w:rsidRPr="007A6541">
              <w:rPr>
                <w:b/>
                <w:sz w:val="24"/>
                <w:szCs w:val="24"/>
                <w:lang w:val="de-DE"/>
              </w:rPr>
              <w:t>of</w:t>
            </w:r>
            <w:proofErr w:type="spellEnd"/>
            <w:r w:rsidRPr="007A6541">
              <w:rPr>
                <w:b/>
                <w:sz w:val="24"/>
                <w:szCs w:val="24"/>
                <w:lang w:val="de-DE"/>
              </w:rPr>
              <w:t xml:space="preserve"> </w:t>
            </w:r>
            <w:proofErr w:type="spellStart"/>
            <w:r w:rsidRPr="007A6541">
              <w:rPr>
                <w:b/>
                <w:sz w:val="24"/>
                <w:szCs w:val="24"/>
                <w:lang w:val="de-DE"/>
              </w:rPr>
              <w:t>Dangerous</w:t>
            </w:r>
            <w:proofErr w:type="spellEnd"/>
            <w:r w:rsidRPr="007A6541">
              <w:rPr>
                <w:b/>
                <w:sz w:val="24"/>
                <w:szCs w:val="24"/>
                <w:lang w:val="de-DE"/>
              </w:rPr>
              <w:t xml:space="preserve"> </w:t>
            </w:r>
            <w:proofErr w:type="spellStart"/>
            <w:r w:rsidRPr="007A6541">
              <w:rPr>
                <w:b/>
                <w:sz w:val="24"/>
                <w:szCs w:val="24"/>
                <w:lang w:val="de-DE"/>
              </w:rPr>
              <w:t>Goods</w:t>
            </w:r>
            <w:proofErr w:type="spellEnd"/>
          </w:p>
          <w:p w:rsidR="007A6541" w:rsidRPr="007A6541" w:rsidRDefault="007A6541" w:rsidP="007A6541">
            <w:pPr>
              <w:spacing w:before="120"/>
              <w:rPr>
                <w:b/>
                <w:lang w:val="en-US"/>
              </w:rPr>
            </w:pPr>
            <w:r w:rsidRPr="007A6541">
              <w:rPr>
                <w:b/>
                <w:lang w:val="en-US"/>
              </w:rPr>
              <w:t>Joint Meeting of Experts on the Regulations annexed to the</w:t>
            </w:r>
          </w:p>
          <w:p w:rsidR="007A6541" w:rsidRPr="007A6541" w:rsidRDefault="007A6541" w:rsidP="007A6541">
            <w:pPr>
              <w:rPr>
                <w:b/>
                <w:lang w:val="en-US"/>
              </w:rPr>
            </w:pPr>
            <w:r w:rsidRPr="007A6541">
              <w:rPr>
                <w:b/>
                <w:lang w:val="en-US"/>
              </w:rPr>
              <w:t>European Agreement concerning the International Carriage</w:t>
            </w:r>
          </w:p>
          <w:p w:rsidR="007A6541" w:rsidRPr="007A6541" w:rsidRDefault="007A6541" w:rsidP="007A6541">
            <w:pPr>
              <w:rPr>
                <w:b/>
              </w:rPr>
            </w:pPr>
            <w:r w:rsidRPr="007A6541">
              <w:rPr>
                <w:b/>
                <w:lang w:val="en-US"/>
              </w:rPr>
              <w:t>of Dangerous Goods by Inland Waterways (ADN)</w:t>
            </w:r>
          </w:p>
          <w:p w:rsidR="007A6541" w:rsidRPr="007A6541" w:rsidRDefault="007A0F99" w:rsidP="007A6541">
            <w:pPr>
              <w:spacing w:before="120"/>
              <w:rPr>
                <w:b/>
                <w:lang w:val="en-US"/>
              </w:rPr>
            </w:pPr>
            <w:r>
              <w:rPr>
                <w:b/>
                <w:lang w:val="en-US"/>
              </w:rPr>
              <w:t>Thirty-second</w:t>
            </w:r>
            <w:r w:rsidR="007A6541" w:rsidRPr="007A6541">
              <w:rPr>
                <w:b/>
                <w:lang w:val="en-US"/>
              </w:rPr>
              <w:t xml:space="preserve"> session</w:t>
            </w:r>
          </w:p>
          <w:p w:rsidR="007A6541" w:rsidRPr="007A6541" w:rsidRDefault="007A6541" w:rsidP="007A6541">
            <w:r w:rsidRPr="007A6541">
              <w:rPr>
                <w:lang w:val="en-US"/>
              </w:rPr>
              <w:t>Geneva, 2</w:t>
            </w:r>
            <w:r w:rsidR="007A0F99">
              <w:rPr>
                <w:lang w:val="en-US"/>
              </w:rPr>
              <w:t>2-26 January 2018</w:t>
            </w:r>
          </w:p>
          <w:p w:rsidR="007A6541" w:rsidRPr="007A6541" w:rsidRDefault="00F166F6" w:rsidP="00E12574">
            <w:r>
              <w:t>I</w:t>
            </w:r>
            <w:r w:rsidR="007A6541" w:rsidRPr="007A6541">
              <w:t xml:space="preserve">tem </w:t>
            </w:r>
            <w:r w:rsidR="004033D6">
              <w:t>5</w:t>
            </w:r>
            <w:r w:rsidR="00723F48">
              <w:t xml:space="preserve"> </w:t>
            </w:r>
            <w:bookmarkStart w:id="0" w:name="_GoBack"/>
            <w:bookmarkEnd w:id="0"/>
            <w:r w:rsidR="00723F48">
              <w:t>(</w:t>
            </w:r>
            <w:r w:rsidR="004033D6">
              <w:t>b</w:t>
            </w:r>
            <w:r w:rsidR="00723F48">
              <w:t>)</w:t>
            </w:r>
            <w:r>
              <w:t xml:space="preserve"> of the provisional agenda</w:t>
            </w:r>
          </w:p>
          <w:p w:rsidR="004033D6" w:rsidRDefault="004033D6" w:rsidP="007A0F99">
            <w:pPr>
              <w:rPr>
                <w:b/>
              </w:rPr>
            </w:pPr>
            <w:r>
              <w:rPr>
                <w:b/>
              </w:rPr>
              <w:t>Proposals for amendments to the Regulations annexed to ADN:</w:t>
            </w:r>
          </w:p>
          <w:p w:rsidR="00F166F6" w:rsidRPr="007A6541" w:rsidRDefault="004033D6" w:rsidP="004033D6">
            <w:pPr>
              <w:rPr>
                <w:b/>
              </w:rPr>
            </w:pPr>
            <w:r>
              <w:rPr>
                <w:b/>
              </w:rPr>
              <w:t>other proposals</w:t>
            </w:r>
          </w:p>
        </w:tc>
        <w:tc>
          <w:tcPr>
            <w:tcW w:w="2835" w:type="dxa"/>
            <w:tcBorders>
              <w:top w:val="single" w:sz="4" w:space="0" w:color="auto"/>
              <w:bottom w:val="single" w:sz="12" w:space="0" w:color="auto"/>
            </w:tcBorders>
          </w:tcPr>
          <w:p w:rsidR="007A6541" w:rsidRDefault="007A6541" w:rsidP="00E12574">
            <w:pPr>
              <w:spacing w:before="120"/>
            </w:pPr>
          </w:p>
          <w:p w:rsidR="007A6541" w:rsidRPr="0013311E" w:rsidRDefault="003D5908" w:rsidP="008E6B1C">
            <w:pPr>
              <w:spacing w:before="120"/>
            </w:pPr>
            <w:r>
              <w:t>23 January</w:t>
            </w:r>
            <w:r w:rsidR="007A0F99">
              <w:t xml:space="preserve"> 201</w:t>
            </w:r>
            <w:r>
              <w:t>8</w:t>
            </w:r>
          </w:p>
        </w:tc>
      </w:tr>
    </w:tbl>
    <w:p w:rsidR="009821D4" w:rsidRPr="00E8037C" w:rsidRDefault="009821D4" w:rsidP="00EB743A">
      <w:pPr>
        <w:pStyle w:val="HChG"/>
        <w:rPr>
          <w:bCs/>
          <w:szCs w:val="24"/>
        </w:rPr>
      </w:pPr>
      <w:r w:rsidRPr="0099292F">
        <w:rPr>
          <w:bCs/>
          <w:szCs w:val="24"/>
          <w:lang w:val="de-DE"/>
        </w:rPr>
        <w:tab/>
      </w:r>
      <w:r w:rsidRPr="0099292F">
        <w:rPr>
          <w:bCs/>
          <w:szCs w:val="24"/>
          <w:lang w:val="de-DE"/>
        </w:rPr>
        <w:tab/>
      </w:r>
      <w:r w:rsidR="007A0F99">
        <w:t>D</w:t>
      </w:r>
      <w:r w:rsidR="003D5908">
        <w:t>ry aerosol forming fire extinguishing agent</w:t>
      </w:r>
    </w:p>
    <w:p w:rsidR="007A0F99" w:rsidRPr="003134DF" w:rsidRDefault="009821D4" w:rsidP="007A0F99">
      <w:pPr>
        <w:pStyle w:val="H1G"/>
        <w:rPr>
          <w:b w:val="0"/>
        </w:rPr>
      </w:pPr>
      <w:r w:rsidRPr="009821D4">
        <w:rPr>
          <w:szCs w:val="24"/>
          <w:lang w:val="en-US"/>
        </w:rPr>
        <w:tab/>
      </w:r>
      <w:r w:rsidRPr="009821D4">
        <w:rPr>
          <w:szCs w:val="24"/>
          <w:lang w:val="en-US"/>
        </w:rPr>
        <w:tab/>
      </w:r>
      <w:r w:rsidR="007A0F99" w:rsidRPr="003134DF">
        <w:t>Transmitted by the Go</w:t>
      </w:r>
      <w:r w:rsidR="007A0F99">
        <w:t>vernment</w:t>
      </w:r>
      <w:r w:rsidR="003D5908">
        <w:t>s</w:t>
      </w:r>
      <w:r w:rsidR="007A0F99">
        <w:t xml:space="preserve"> of </w:t>
      </w:r>
      <w:r w:rsidR="003D5908">
        <w:t xml:space="preserve">Belgium, </w:t>
      </w:r>
      <w:r w:rsidR="007A0F99">
        <w:t>the Netherlands</w:t>
      </w:r>
      <w:r w:rsidR="003D5908">
        <w:t xml:space="preserve"> and Switzerland</w:t>
      </w:r>
    </w:p>
    <w:p w:rsidR="007A0F99" w:rsidRPr="003134DF" w:rsidRDefault="007A0F99" w:rsidP="007A0F99">
      <w:pPr>
        <w:pStyle w:val="HChG"/>
        <w:keepNext w:val="0"/>
        <w:tabs>
          <w:tab w:val="clear" w:pos="851"/>
        </w:tabs>
        <w:spacing w:before="120"/>
        <w:ind w:firstLine="0"/>
        <w:jc w:val="both"/>
      </w:pPr>
      <w:r w:rsidRPr="003134DF">
        <w:t>Introduction</w:t>
      </w:r>
    </w:p>
    <w:p w:rsidR="003D5908" w:rsidRDefault="00781945" w:rsidP="00723F48">
      <w:pPr>
        <w:pStyle w:val="SingleTxtG"/>
        <w:spacing w:before="120" w:line="276" w:lineRule="auto"/>
        <w:ind w:firstLine="282"/>
      </w:pPr>
      <w:r>
        <w:t>During the discussion on document ECE/TRANS/WP.15/AC.2/2018/21 several delegations and the recommended ADN classification societies provided suggestions to improve the text of the original proposal. Furthermore it was requested to provide as well the amendments regarding tank vessels in 9.</w:t>
      </w:r>
      <w:proofErr w:type="gramStart"/>
      <w:r>
        <w:t>3.X.</w:t>
      </w:r>
      <w:proofErr w:type="gramEnd"/>
      <w:r>
        <w:t>40. You can find the final proposed amendments in the Annex.</w:t>
      </w:r>
    </w:p>
    <w:p w:rsidR="003D5908" w:rsidRPr="003D5908" w:rsidRDefault="003D5908" w:rsidP="003D5908">
      <w:pPr>
        <w:pStyle w:val="SingleTxtG"/>
        <w:spacing w:before="120" w:line="276" w:lineRule="auto"/>
        <w:rPr>
          <w:b/>
          <w:sz w:val="28"/>
          <w:szCs w:val="28"/>
        </w:rPr>
      </w:pPr>
      <w:r>
        <w:br w:type="page"/>
      </w:r>
      <w:r w:rsidRPr="003D5908">
        <w:rPr>
          <w:b/>
          <w:sz w:val="28"/>
          <w:szCs w:val="28"/>
        </w:rPr>
        <w:lastRenderedPageBreak/>
        <w:t>Annex</w:t>
      </w:r>
    </w:p>
    <w:p w:rsidR="003D5908" w:rsidRPr="0038670E" w:rsidRDefault="003D5908" w:rsidP="003D5908">
      <w:pPr>
        <w:pStyle w:val="H4G"/>
      </w:pPr>
      <w:r>
        <w:tab/>
      </w:r>
      <w:r>
        <w:tab/>
        <w:t xml:space="preserve">9.1.0.40.2.1 </w:t>
      </w:r>
      <w:r w:rsidR="000700BD">
        <w:tab/>
      </w:r>
      <w:r w:rsidRPr="0038670E">
        <w:t>Add a</w:t>
      </w:r>
      <w:r w:rsidR="00093580">
        <w:t xml:space="preserve"> new subparagraph (e) and</w:t>
      </w:r>
      <w:r w:rsidRPr="0038670E">
        <w:t xml:space="preserve"> (f) to read as follows:</w:t>
      </w:r>
    </w:p>
    <w:p w:rsidR="003D5908" w:rsidRPr="00620F2F" w:rsidRDefault="003D5908" w:rsidP="003D5908">
      <w:pPr>
        <w:pStyle w:val="SingleTxtG"/>
        <w:rPr>
          <w:b/>
        </w:rPr>
      </w:pPr>
      <w:r w:rsidRPr="00620F2F">
        <w:rPr>
          <w:b/>
        </w:rPr>
        <w:t>“</w:t>
      </w:r>
      <w:r>
        <w:rPr>
          <w:b/>
        </w:rPr>
        <w:tab/>
        <w:t>(</w:t>
      </w:r>
      <w:r w:rsidRPr="00620F2F">
        <w:rPr>
          <w:b/>
        </w:rPr>
        <w:t>e)</w:t>
      </w:r>
      <w:r w:rsidRPr="00620F2F">
        <w:rPr>
          <w:b/>
        </w:rPr>
        <w:tab/>
        <w:t>(Reserved)</w:t>
      </w:r>
      <w:r>
        <w:rPr>
          <w:b/>
        </w:rPr>
        <w:t>;</w:t>
      </w:r>
    </w:p>
    <w:p w:rsidR="003D5908" w:rsidRPr="00620F2F" w:rsidRDefault="003D5908" w:rsidP="003D5908">
      <w:pPr>
        <w:pStyle w:val="SingleTxtG"/>
        <w:ind w:firstLine="282"/>
        <w:rPr>
          <w:b/>
        </w:rPr>
      </w:pPr>
      <w:r>
        <w:rPr>
          <w:b/>
        </w:rPr>
        <w:t>(</w:t>
      </w:r>
      <w:r w:rsidRPr="00620F2F">
        <w:rPr>
          <w:b/>
        </w:rPr>
        <w:t>f)</w:t>
      </w:r>
      <w:r w:rsidRPr="00620F2F">
        <w:rPr>
          <w:b/>
        </w:rPr>
        <w:tab/>
        <w:t>K</w:t>
      </w:r>
      <w:r w:rsidRPr="00620F2F">
        <w:rPr>
          <w:b/>
          <w:vertAlign w:val="subscript"/>
        </w:rPr>
        <w:t>2</w:t>
      </w:r>
      <w:r w:rsidRPr="00620F2F">
        <w:rPr>
          <w:b/>
        </w:rPr>
        <w:t>CO</w:t>
      </w:r>
      <w:r w:rsidRPr="00620F2F">
        <w:rPr>
          <w:b/>
          <w:vertAlign w:val="subscript"/>
        </w:rPr>
        <w:t>3</w:t>
      </w:r>
      <w:r>
        <w:rPr>
          <w:b/>
          <w:vertAlign w:val="subscript"/>
        </w:rPr>
        <w:t>.</w:t>
      </w:r>
      <w:r>
        <w:rPr>
          <w:b/>
          <w:vertAlign w:val="subscript"/>
        </w:rPr>
        <w:tab/>
      </w:r>
      <w:r>
        <w:rPr>
          <w:b/>
        </w:rPr>
        <w:t>”</w:t>
      </w:r>
    </w:p>
    <w:p w:rsidR="003D5908" w:rsidRPr="0038670E" w:rsidRDefault="003D5908" w:rsidP="003D5908">
      <w:pPr>
        <w:pStyle w:val="H4G"/>
      </w:pPr>
      <w:r>
        <w:tab/>
      </w:r>
      <w:r>
        <w:tab/>
        <w:t>9.1.0.40.2.2 f</w:t>
      </w:r>
      <w:r w:rsidRPr="0038670E">
        <w:t>)</w:t>
      </w:r>
      <w:r>
        <w:t xml:space="preserve"> </w:t>
      </w:r>
      <w:r w:rsidR="00A56F81">
        <w:tab/>
      </w:r>
      <w:r w:rsidRPr="0038670E">
        <w:t>Amend to read as follows:</w:t>
      </w:r>
    </w:p>
    <w:p w:rsidR="003D5908" w:rsidRPr="0038670E" w:rsidRDefault="003D5908" w:rsidP="003D5908">
      <w:pPr>
        <w:pStyle w:val="SingleTxtG"/>
      </w:pPr>
      <w:r w:rsidRPr="005D034E">
        <w:rPr>
          <w:rStyle w:val="SingleTxtGChar"/>
        </w:rPr>
        <w:t>“(f)</w:t>
      </w:r>
      <w:r w:rsidRPr="005D034E">
        <w:rPr>
          <w:rStyle w:val="SingleTxtGChar"/>
        </w:rPr>
        <w:tab/>
        <w:t>Protected spaces shall</w:t>
      </w:r>
      <w:r w:rsidR="005D034E" w:rsidRPr="005D034E">
        <w:rPr>
          <w:rStyle w:val="SingleTxtGChar"/>
        </w:rPr>
        <w:t xml:space="preserve"> </w:t>
      </w:r>
      <w:r w:rsidR="005D034E" w:rsidRPr="005D034E">
        <w:rPr>
          <w:rStyle w:val="SingleTxtGChar"/>
          <w:strike/>
        </w:rPr>
        <w:t>be provided with a means of extracting the extinguishing agent.</w:t>
      </w:r>
      <w:r w:rsidRPr="005D034E">
        <w:t xml:space="preserve"> </w:t>
      </w:r>
      <w:r w:rsidRPr="005D034E">
        <w:rPr>
          <w:b/>
        </w:rPr>
        <w:t>have a facility for extracting the extinguishing agent and the combustion gases. Such facilities shall be capable of being operated from positions outside the protected rooms and which must not be made inaccessible by a fire within such spaces. If there are permanently installed extractors, it shall not be possible for these to be switched on while the fire is being extinguished</w:t>
      </w:r>
      <w:r w:rsidRPr="005D034E">
        <w:t>.</w:t>
      </w:r>
      <w:r w:rsidR="005D034E" w:rsidRPr="005D034E">
        <w:t xml:space="preserve"> </w:t>
      </w:r>
      <w:r w:rsidR="005D034E" w:rsidRPr="005D034E">
        <w:rPr>
          <w:strike/>
        </w:rPr>
        <w:t>If extraction devices are installed, it shall not be possible to start them up during extinguishing.</w:t>
      </w:r>
      <w:r w:rsidRPr="005D034E">
        <w:t>”</w:t>
      </w:r>
    </w:p>
    <w:p w:rsidR="003D5908" w:rsidRPr="0038670E" w:rsidRDefault="003D5908" w:rsidP="003D5908">
      <w:pPr>
        <w:pStyle w:val="H4G"/>
      </w:pPr>
      <w:r>
        <w:tab/>
      </w:r>
      <w:r w:rsidRPr="0038670E">
        <w:tab/>
        <w:t>9.1.0.40.2</w:t>
      </w:r>
      <w:r w:rsidR="00A56F81">
        <w:t>.14</w:t>
      </w:r>
      <w:r w:rsidRPr="0038670E">
        <w:tab/>
      </w:r>
      <w:r w:rsidRPr="003D5908">
        <w:t>Replace</w:t>
      </w:r>
      <w:r w:rsidRPr="0038670E">
        <w:t xml:space="preserve"> to read as follows:</w:t>
      </w:r>
    </w:p>
    <w:p w:rsidR="003D5908" w:rsidRPr="00823214" w:rsidRDefault="003D5908" w:rsidP="003D5908">
      <w:pPr>
        <w:pStyle w:val="SingleTxtG"/>
        <w:rPr>
          <w:b/>
          <w:i/>
        </w:rPr>
      </w:pPr>
      <w:r w:rsidRPr="00823214">
        <w:rPr>
          <w:b/>
          <w:i/>
        </w:rPr>
        <w:t>“</w:t>
      </w:r>
      <w:r w:rsidRPr="00823214">
        <w:rPr>
          <w:b/>
        </w:rPr>
        <w:t>9.1.0.40.2.</w:t>
      </w:r>
      <w:r w:rsidRPr="003D5908">
        <w:rPr>
          <w:b/>
        </w:rPr>
        <w:t>14</w:t>
      </w:r>
      <w:r w:rsidRPr="00823214">
        <w:rPr>
          <w:b/>
          <w:i/>
        </w:rPr>
        <w:t xml:space="preserve"> </w:t>
      </w:r>
      <w:r w:rsidRPr="00823214">
        <w:rPr>
          <w:b/>
          <w:i/>
        </w:rPr>
        <w:tab/>
        <w:t>(Reserved)”</w:t>
      </w:r>
    </w:p>
    <w:p w:rsidR="003D5908" w:rsidRPr="0038670E" w:rsidRDefault="003D5908" w:rsidP="003D5908">
      <w:pPr>
        <w:pStyle w:val="H4G"/>
      </w:pPr>
      <w:r>
        <w:tab/>
      </w:r>
      <w:r w:rsidRPr="0038670E">
        <w:tab/>
        <w:t>9.1.0.40.2</w:t>
      </w:r>
      <w:r w:rsidR="00A56F81">
        <w:t>.15</w:t>
      </w:r>
      <w:r w:rsidR="00A56F81">
        <w:tab/>
        <w:t>Add a new subsection</w:t>
      </w:r>
      <w:r w:rsidRPr="0038670E">
        <w:t xml:space="preserve"> to read as follows:</w:t>
      </w:r>
    </w:p>
    <w:p w:rsidR="003D5908" w:rsidRPr="0038670E" w:rsidRDefault="003D5908" w:rsidP="003D5908">
      <w:pPr>
        <w:pStyle w:val="SingleTxtG"/>
      </w:pPr>
      <w:r>
        <w:t>“</w:t>
      </w:r>
      <w:r w:rsidRPr="00A56F81">
        <w:rPr>
          <w:b/>
        </w:rPr>
        <w:t>9.1.0.40.2.15</w:t>
      </w:r>
      <w:r w:rsidRPr="0038670E">
        <w:t xml:space="preserve"> </w:t>
      </w:r>
      <w:r w:rsidRPr="00293D45">
        <w:rPr>
          <w:b/>
        </w:rPr>
        <w:t>Fire-fighting systems using K</w:t>
      </w:r>
      <w:r w:rsidRPr="00293D45">
        <w:rPr>
          <w:b/>
          <w:vertAlign w:val="subscript"/>
        </w:rPr>
        <w:t>2</w:t>
      </w:r>
      <w:r w:rsidRPr="00293D45">
        <w:rPr>
          <w:b/>
        </w:rPr>
        <w:t>CO</w:t>
      </w:r>
      <w:r w:rsidRPr="00293D45">
        <w:rPr>
          <w:b/>
          <w:vertAlign w:val="subscript"/>
        </w:rPr>
        <w:t>3</w:t>
      </w:r>
      <w:r w:rsidRPr="00293D45">
        <w:rPr>
          <w:b/>
        </w:rPr>
        <w:t xml:space="preserve"> as the extinguishing agent</w:t>
      </w:r>
    </w:p>
    <w:p w:rsidR="003D5908" w:rsidRPr="00293D45" w:rsidRDefault="003D5908" w:rsidP="003D5908">
      <w:pPr>
        <w:pStyle w:val="SingleTxtG"/>
        <w:rPr>
          <w:b/>
        </w:rPr>
      </w:pPr>
      <w:r w:rsidRPr="00293D45">
        <w:rPr>
          <w:b/>
        </w:rPr>
        <w:t>In addition to the requirements laid down in 9.1.0.40.2.1 to 9.1.0.40.2.3, 9.1.0.40.2.5, 9.1.0.40.2.6, and 9.1.0.40.2.9, fire-fighting systems using K</w:t>
      </w:r>
      <w:r w:rsidRPr="00293D45">
        <w:rPr>
          <w:b/>
          <w:vertAlign w:val="subscript"/>
        </w:rPr>
        <w:t>2</w:t>
      </w:r>
      <w:r w:rsidRPr="00293D45">
        <w:rPr>
          <w:b/>
        </w:rPr>
        <w:t>CO</w:t>
      </w:r>
      <w:r w:rsidRPr="00293D45">
        <w:rPr>
          <w:b/>
          <w:vertAlign w:val="subscript"/>
        </w:rPr>
        <w:t xml:space="preserve">3 </w:t>
      </w:r>
      <w:r w:rsidRPr="00293D45">
        <w:rPr>
          <w:b/>
        </w:rPr>
        <w:t>as the extinguishing agent shall comply with the following provisions:</w:t>
      </w:r>
    </w:p>
    <w:p w:rsidR="003D5908" w:rsidRPr="00293D45" w:rsidRDefault="003D5908" w:rsidP="003D5908">
      <w:pPr>
        <w:pStyle w:val="SingleTxtG"/>
        <w:ind w:left="1843" w:hanging="709"/>
        <w:rPr>
          <w:b/>
          <w:snapToGrid w:val="0"/>
        </w:rPr>
      </w:pPr>
      <w:r w:rsidRPr="00293D45">
        <w:rPr>
          <w:b/>
          <w:snapToGrid w:val="0"/>
        </w:rPr>
        <w:t>(a)</w:t>
      </w:r>
      <w:r w:rsidRPr="00293D45">
        <w:rPr>
          <w:b/>
          <w:snapToGrid w:val="0"/>
        </w:rPr>
        <w:tab/>
        <w:t>The fire-fighting system shall have a type-approval pursuant to</w:t>
      </w:r>
      <w:r w:rsidR="00A56F81">
        <w:rPr>
          <w:b/>
          <w:snapToGrid w:val="0"/>
        </w:rPr>
        <w:t xml:space="preserve"> Directive 2014/90/EU</w:t>
      </w:r>
      <w:r w:rsidR="004149C0">
        <w:rPr>
          <w:rStyle w:val="FootnoteReference"/>
          <w:b/>
          <w:snapToGrid w:val="0"/>
        </w:rPr>
        <w:footnoteReference w:id="1"/>
      </w:r>
      <w:r w:rsidR="00A56F81">
        <w:rPr>
          <w:b/>
          <w:snapToGrid w:val="0"/>
        </w:rPr>
        <w:t xml:space="preserve"> or to MSC/Circ. 1270</w:t>
      </w:r>
      <w:r w:rsidRPr="00293D45">
        <w:rPr>
          <w:rStyle w:val="FootnoteReference"/>
          <w:b/>
          <w:snapToGrid w:val="0"/>
          <w:color w:val="000000"/>
          <w:lang w:eastAsia="fr-FR"/>
        </w:rPr>
        <w:footnoteReference w:id="2"/>
      </w:r>
      <w:r w:rsidR="00A56F81">
        <w:rPr>
          <w:b/>
          <w:snapToGrid w:val="0"/>
        </w:rPr>
        <w:t>;</w:t>
      </w:r>
    </w:p>
    <w:p w:rsidR="003D5908" w:rsidRPr="00293D45" w:rsidRDefault="003D5908" w:rsidP="003D5908">
      <w:pPr>
        <w:pStyle w:val="SingleTxtG"/>
        <w:ind w:left="1843" w:hanging="709"/>
        <w:rPr>
          <w:b/>
          <w:snapToGrid w:val="0"/>
        </w:rPr>
      </w:pPr>
      <w:r>
        <w:rPr>
          <w:b/>
          <w:snapToGrid w:val="0"/>
        </w:rPr>
        <w:t>(</w:t>
      </w:r>
      <w:r w:rsidRPr="00293D45">
        <w:rPr>
          <w:b/>
          <w:snapToGrid w:val="0"/>
        </w:rPr>
        <w:t>b)</w:t>
      </w:r>
      <w:r w:rsidRPr="00293D45">
        <w:rPr>
          <w:b/>
          <w:snapToGrid w:val="0"/>
        </w:rPr>
        <w:tab/>
        <w:t>Each room shall be provided w</w:t>
      </w:r>
      <w:r>
        <w:rPr>
          <w:b/>
          <w:snapToGrid w:val="0"/>
        </w:rPr>
        <w:t>ith its own firefighting system;</w:t>
      </w:r>
    </w:p>
    <w:p w:rsidR="003D5908" w:rsidRPr="00293D45" w:rsidRDefault="003D5908" w:rsidP="003D5908">
      <w:pPr>
        <w:pStyle w:val="SingleTxtG"/>
        <w:ind w:left="1843" w:hanging="709"/>
        <w:rPr>
          <w:b/>
          <w:snapToGrid w:val="0"/>
        </w:rPr>
      </w:pPr>
      <w:r>
        <w:rPr>
          <w:b/>
          <w:snapToGrid w:val="0"/>
        </w:rPr>
        <w:t>(</w:t>
      </w:r>
      <w:r w:rsidRPr="00293D45">
        <w:rPr>
          <w:b/>
          <w:snapToGrid w:val="0"/>
        </w:rPr>
        <w:t>c)</w:t>
      </w:r>
      <w:r w:rsidRPr="00293D45">
        <w:rPr>
          <w:b/>
          <w:snapToGrid w:val="0"/>
        </w:rPr>
        <w:tab/>
        <w:t xml:space="preserve">The </w:t>
      </w:r>
      <w:r w:rsidRPr="003D5908">
        <w:rPr>
          <w:b/>
          <w:snapToGrid w:val="0"/>
        </w:rPr>
        <w:t>extinguishing agent must be</w:t>
      </w:r>
      <w:r w:rsidRPr="00E06251">
        <w:rPr>
          <w:b/>
          <w:snapToGrid w:val="0"/>
          <w:color w:val="FF0000"/>
        </w:rPr>
        <w:t xml:space="preserve"> </w:t>
      </w:r>
      <w:r w:rsidRPr="00293D45">
        <w:rPr>
          <w:b/>
          <w:snapToGrid w:val="0"/>
        </w:rPr>
        <w:t xml:space="preserve">stored in specially provided unpressurised tanks in the room to be protected. These tanks </w:t>
      </w:r>
      <w:r>
        <w:rPr>
          <w:b/>
          <w:snapToGrid w:val="0"/>
        </w:rPr>
        <w:t>shall</w:t>
      </w:r>
      <w:r w:rsidRPr="00293D45">
        <w:rPr>
          <w:b/>
          <w:snapToGrid w:val="0"/>
        </w:rPr>
        <w:t xml:space="preserve"> be fitted in such a way that the extinguishing agent is dispensed evenly</w:t>
      </w:r>
      <w:r>
        <w:rPr>
          <w:b/>
          <w:snapToGrid w:val="0"/>
        </w:rPr>
        <w:t xml:space="preserve"> </w:t>
      </w:r>
      <w:r w:rsidRPr="003D5908">
        <w:rPr>
          <w:b/>
          <w:snapToGrid w:val="0"/>
        </w:rPr>
        <w:t>in the room</w:t>
      </w:r>
      <w:r w:rsidRPr="00293D45">
        <w:rPr>
          <w:b/>
          <w:snapToGrid w:val="0"/>
        </w:rPr>
        <w:t xml:space="preserve">. </w:t>
      </w:r>
      <w:proofErr w:type="gramStart"/>
      <w:r w:rsidRPr="00293D45">
        <w:rPr>
          <w:b/>
          <w:snapToGrid w:val="0"/>
        </w:rPr>
        <w:t>In particular the</w:t>
      </w:r>
      <w:proofErr w:type="gramEnd"/>
      <w:r w:rsidRPr="00293D45">
        <w:rPr>
          <w:b/>
          <w:snapToGrid w:val="0"/>
        </w:rPr>
        <w:t xml:space="preserve"> extinguishing agent </w:t>
      </w:r>
      <w:r>
        <w:rPr>
          <w:b/>
          <w:snapToGrid w:val="0"/>
        </w:rPr>
        <w:t>shall</w:t>
      </w:r>
      <w:r w:rsidRPr="00293D45">
        <w:rPr>
          <w:b/>
          <w:snapToGrid w:val="0"/>
        </w:rPr>
        <w:t xml:space="preserve"> also </w:t>
      </w:r>
      <w:r>
        <w:rPr>
          <w:b/>
          <w:snapToGrid w:val="0"/>
        </w:rPr>
        <w:t>work underneath the deck plates;</w:t>
      </w:r>
    </w:p>
    <w:p w:rsidR="003D5908" w:rsidRPr="00293D45" w:rsidRDefault="003D5908" w:rsidP="003D5908">
      <w:pPr>
        <w:pStyle w:val="SingleTxtG"/>
        <w:ind w:left="1843" w:hanging="709"/>
        <w:rPr>
          <w:b/>
          <w:snapToGrid w:val="0"/>
        </w:rPr>
      </w:pPr>
      <w:r>
        <w:rPr>
          <w:b/>
          <w:snapToGrid w:val="0"/>
        </w:rPr>
        <w:t>(</w:t>
      </w:r>
      <w:r w:rsidRPr="00293D45">
        <w:rPr>
          <w:b/>
          <w:snapToGrid w:val="0"/>
        </w:rPr>
        <w:t>d)</w:t>
      </w:r>
      <w:r w:rsidRPr="00293D45">
        <w:rPr>
          <w:b/>
          <w:snapToGrid w:val="0"/>
        </w:rPr>
        <w:tab/>
        <w:t>Each tank is separately conne</w:t>
      </w:r>
      <w:r>
        <w:rPr>
          <w:b/>
          <w:snapToGrid w:val="0"/>
        </w:rPr>
        <w:t>cted with the triggering device;</w:t>
      </w:r>
    </w:p>
    <w:p w:rsidR="003D5908" w:rsidRPr="00E06251" w:rsidRDefault="003D5908" w:rsidP="003D5908">
      <w:pPr>
        <w:pStyle w:val="SingleTxtG"/>
        <w:ind w:left="1843" w:hanging="709"/>
        <w:rPr>
          <w:b/>
          <w:snapToGrid w:val="0"/>
          <w:color w:val="FF0000"/>
        </w:rPr>
      </w:pPr>
      <w:r>
        <w:rPr>
          <w:b/>
          <w:snapToGrid w:val="0"/>
        </w:rPr>
        <w:t>(</w:t>
      </w:r>
      <w:r w:rsidRPr="00293D45">
        <w:rPr>
          <w:b/>
          <w:snapToGrid w:val="0"/>
        </w:rPr>
        <w:t>e)</w:t>
      </w:r>
      <w:r w:rsidRPr="00293D45">
        <w:rPr>
          <w:b/>
          <w:snapToGrid w:val="0"/>
        </w:rPr>
        <w:tab/>
        <w:t xml:space="preserve">The quantity of dry aerosol-forming extinguishing agent relative to the room to be protected </w:t>
      </w:r>
      <w:r>
        <w:rPr>
          <w:b/>
          <w:snapToGrid w:val="0"/>
        </w:rPr>
        <w:t>shall be</w:t>
      </w:r>
      <w:r w:rsidRPr="00293D45">
        <w:rPr>
          <w:b/>
          <w:snapToGrid w:val="0"/>
        </w:rPr>
        <w:t xml:space="preserve"> at least 120 g per m</w:t>
      </w:r>
      <w:r w:rsidRPr="00293D45">
        <w:rPr>
          <w:b/>
          <w:snapToGrid w:val="0"/>
          <w:vertAlign w:val="superscript"/>
        </w:rPr>
        <w:t xml:space="preserve">3 </w:t>
      </w:r>
      <w:r w:rsidRPr="00293D45">
        <w:rPr>
          <w:b/>
          <w:snapToGrid w:val="0"/>
        </w:rPr>
        <w:t>o</w:t>
      </w:r>
      <w:r>
        <w:rPr>
          <w:b/>
          <w:snapToGrid w:val="0"/>
        </w:rPr>
        <w:t xml:space="preserve">f </w:t>
      </w:r>
      <w:r w:rsidRPr="005D034E">
        <w:rPr>
          <w:b/>
          <w:snapToGrid w:val="0"/>
        </w:rPr>
        <w:t>the net volume</w:t>
      </w:r>
      <w:r w:rsidRPr="005D034E">
        <w:rPr>
          <w:b/>
          <w:snapToGrid w:val="0"/>
          <w:color w:val="B2A1C7"/>
        </w:rPr>
        <w:t xml:space="preserve"> </w:t>
      </w:r>
      <w:r w:rsidRPr="005D034E">
        <w:rPr>
          <w:b/>
          <w:snapToGrid w:val="0"/>
        </w:rPr>
        <w:t>of this room. This net volume</w:t>
      </w:r>
      <w:r w:rsidRPr="00A56F81">
        <w:rPr>
          <w:b/>
          <w:snapToGrid w:val="0"/>
        </w:rPr>
        <w:t xml:space="preserve"> is calculated according to </w:t>
      </w:r>
      <w:r w:rsidR="00A56F81">
        <w:rPr>
          <w:b/>
          <w:snapToGrid w:val="0"/>
        </w:rPr>
        <w:t>Directive 2014/90/EU</w:t>
      </w:r>
      <w:r w:rsidR="00B20025">
        <w:rPr>
          <w:rStyle w:val="FootnoteReference"/>
          <w:b/>
          <w:snapToGrid w:val="0"/>
        </w:rPr>
        <w:footnoteReference w:id="3"/>
      </w:r>
      <w:r w:rsidR="00A56F81">
        <w:rPr>
          <w:b/>
          <w:snapToGrid w:val="0"/>
        </w:rPr>
        <w:t xml:space="preserve"> or to MSC/Circ. 1270</w:t>
      </w:r>
      <w:r w:rsidR="000700BD">
        <w:rPr>
          <w:rStyle w:val="FootnoteReference"/>
          <w:b/>
          <w:snapToGrid w:val="0"/>
        </w:rPr>
        <w:footnoteReference w:id="4"/>
      </w:r>
      <w:r w:rsidRPr="00A56F81">
        <w:rPr>
          <w:b/>
          <w:snapToGrid w:val="0"/>
        </w:rPr>
        <w:t>.</w:t>
      </w:r>
      <w:r w:rsidRPr="00E06251">
        <w:rPr>
          <w:b/>
          <w:snapToGrid w:val="0"/>
          <w:color w:val="FF0000"/>
        </w:rPr>
        <w:t xml:space="preserve"> </w:t>
      </w:r>
      <w:r w:rsidRPr="003D5908">
        <w:rPr>
          <w:b/>
          <w:snapToGrid w:val="0"/>
        </w:rPr>
        <w:t xml:space="preserve">It shall be possible to supply the extinguishing agent within 120 seconds. </w:t>
      </w:r>
    </w:p>
    <w:p w:rsidR="003D5908" w:rsidRPr="00E06251" w:rsidRDefault="003D5908" w:rsidP="003D5908">
      <w:pPr>
        <w:pStyle w:val="SingleTxtG"/>
      </w:pPr>
      <w:r>
        <w:rPr>
          <w:i/>
        </w:rPr>
        <w:t>9.1.0.40.2</w:t>
      </w:r>
      <w:r w:rsidR="00A56F81">
        <w:rPr>
          <w:i/>
        </w:rPr>
        <w:t>.16</w:t>
      </w:r>
      <w:r>
        <w:rPr>
          <w:i/>
        </w:rPr>
        <w:tab/>
        <w:t>Move current 9.1.0.40.2.14 to a new 9.1.0.40.2.</w:t>
      </w:r>
      <w:r w:rsidRPr="00A56F81">
        <w:rPr>
          <w:i/>
        </w:rPr>
        <w:t>16</w:t>
      </w:r>
      <w:r>
        <w:rPr>
          <w:i/>
        </w:rPr>
        <w:t xml:space="preserve"> </w:t>
      </w:r>
      <w:r w:rsidRPr="00B14785">
        <w:rPr>
          <w:i/>
        </w:rPr>
        <w:t xml:space="preserve">to read as </w:t>
      </w:r>
      <w:r>
        <w:rPr>
          <w:i/>
        </w:rPr>
        <w:t>before</w:t>
      </w:r>
      <w:r w:rsidRPr="00B14785">
        <w:rPr>
          <w:i/>
        </w:rPr>
        <w:t>:</w:t>
      </w:r>
    </w:p>
    <w:p w:rsidR="003D5908" w:rsidRDefault="003D5908" w:rsidP="003D5908">
      <w:pPr>
        <w:spacing w:after="120"/>
        <w:ind w:left="1134" w:right="1134"/>
        <w:jc w:val="both"/>
        <w:rPr>
          <w:rFonts w:eastAsia="SimSun"/>
          <w:lang w:eastAsia="zh-CN"/>
        </w:rPr>
      </w:pPr>
      <w:r w:rsidRPr="00B14785">
        <w:rPr>
          <w:rFonts w:eastAsia="SimSun"/>
          <w:lang w:eastAsia="zh-CN"/>
        </w:rPr>
        <w:t>“</w:t>
      </w:r>
      <w:r w:rsidRPr="00A56F81">
        <w:rPr>
          <w:rFonts w:eastAsia="SimSun"/>
          <w:b/>
          <w:lang w:eastAsia="zh-CN"/>
        </w:rPr>
        <w:t>9.1.0.40.2.16</w:t>
      </w:r>
      <w:r w:rsidRPr="00B14785">
        <w:rPr>
          <w:rFonts w:eastAsia="SimSun"/>
          <w:lang w:eastAsia="zh-CN"/>
        </w:rPr>
        <w:t xml:space="preserve"> </w:t>
      </w:r>
      <w:r>
        <w:rPr>
          <w:rFonts w:eastAsia="SimSun"/>
          <w:lang w:eastAsia="zh-CN"/>
        </w:rPr>
        <w:tab/>
      </w:r>
      <w:r w:rsidRPr="00E06251">
        <w:rPr>
          <w:rFonts w:eastAsia="SimSun"/>
          <w:b/>
          <w:lang w:eastAsia="zh-CN"/>
        </w:rPr>
        <w:t>Fixed fire-extinguishing system for physical protection</w:t>
      </w:r>
      <w:r w:rsidR="00A56F81">
        <w:rPr>
          <w:rFonts w:eastAsia="SimSun"/>
          <w:b/>
          <w:lang w:eastAsia="zh-CN"/>
        </w:rPr>
        <w:t>”</w:t>
      </w:r>
      <w:r>
        <w:rPr>
          <w:rFonts w:eastAsia="SimSun"/>
          <w:lang w:eastAsia="zh-CN"/>
        </w:rPr>
        <w:t xml:space="preserve"> </w:t>
      </w:r>
    </w:p>
    <w:p w:rsidR="000700BD" w:rsidRPr="0038670E" w:rsidRDefault="000700BD" w:rsidP="000700BD">
      <w:pPr>
        <w:pStyle w:val="H4G"/>
        <w:ind w:firstLine="0"/>
      </w:pPr>
      <w:r>
        <w:rPr>
          <w:rFonts w:eastAsia="SimSun"/>
          <w:lang w:eastAsia="zh-CN"/>
        </w:rPr>
        <w:br w:type="page"/>
      </w:r>
      <w:r>
        <w:lastRenderedPageBreak/>
        <w:t xml:space="preserve">9.3.X.40.2.1 </w:t>
      </w:r>
      <w:r w:rsidR="00093580">
        <w:tab/>
      </w:r>
      <w:r w:rsidRPr="0038670E">
        <w:t>Add a new subpara</w:t>
      </w:r>
      <w:r w:rsidR="00093580">
        <w:t>graph (e) and</w:t>
      </w:r>
      <w:r w:rsidRPr="0038670E">
        <w:t xml:space="preserve"> (f) to read as follows:</w:t>
      </w:r>
    </w:p>
    <w:p w:rsidR="000700BD" w:rsidRPr="00620F2F" w:rsidRDefault="000700BD" w:rsidP="000700BD">
      <w:pPr>
        <w:pStyle w:val="SingleTxtG"/>
        <w:rPr>
          <w:b/>
        </w:rPr>
      </w:pPr>
      <w:r w:rsidRPr="00620F2F">
        <w:rPr>
          <w:b/>
        </w:rPr>
        <w:t>“</w:t>
      </w:r>
      <w:r>
        <w:rPr>
          <w:b/>
        </w:rPr>
        <w:tab/>
        <w:t>(</w:t>
      </w:r>
      <w:r w:rsidRPr="00620F2F">
        <w:rPr>
          <w:b/>
        </w:rPr>
        <w:t>e)</w:t>
      </w:r>
      <w:r w:rsidRPr="00620F2F">
        <w:rPr>
          <w:b/>
        </w:rPr>
        <w:tab/>
        <w:t>(Reserved)</w:t>
      </w:r>
      <w:r>
        <w:rPr>
          <w:b/>
        </w:rPr>
        <w:t>;</w:t>
      </w:r>
    </w:p>
    <w:p w:rsidR="000700BD" w:rsidRPr="00620F2F" w:rsidRDefault="000700BD" w:rsidP="000700BD">
      <w:pPr>
        <w:pStyle w:val="SingleTxtG"/>
        <w:ind w:firstLine="282"/>
        <w:rPr>
          <w:b/>
        </w:rPr>
      </w:pPr>
      <w:r>
        <w:rPr>
          <w:b/>
        </w:rPr>
        <w:t>(</w:t>
      </w:r>
      <w:r w:rsidRPr="00620F2F">
        <w:rPr>
          <w:b/>
        </w:rPr>
        <w:t>f)</w:t>
      </w:r>
      <w:r w:rsidRPr="00620F2F">
        <w:rPr>
          <w:b/>
        </w:rPr>
        <w:tab/>
        <w:t>K</w:t>
      </w:r>
      <w:r w:rsidRPr="00620F2F">
        <w:rPr>
          <w:b/>
          <w:vertAlign w:val="subscript"/>
        </w:rPr>
        <w:t>2</w:t>
      </w:r>
      <w:r w:rsidRPr="00620F2F">
        <w:rPr>
          <w:b/>
        </w:rPr>
        <w:t>CO</w:t>
      </w:r>
      <w:r w:rsidRPr="00620F2F">
        <w:rPr>
          <w:b/>
          <w:vertAlign w:val="subscript"/>
        </w:rPr>
        <w:t>3</w:t>
      </w:r>
      <w:r>
        <w:rPr>
          <w:b/>
          <w:vertAlign w:val="subscript"/>
        </w:rPr>
        <w:t>.</w:t>
      </w:r>
      <w:r>
        <w:rPr>
          <w:b/>
          <w:vertAlign w:val="subscript"/>
        </w:rPr>
        <w:tab/>
      </w:r>
      <w:r>
        <w:rPr>
          <w:b/>
        </w:rPr>
        <w:t>”</w:t>
      </w:r>
    </w:p>
    <w:p w:rsidR="000700BD" w:rsidRPr="0038670E" w:rsidRDefault="000700BD" w:rsidP="000700BD">
      <w:pPr>
        <w:pStyle w:val="H4G"/>
      </w:pPr>
      <w:r>
        <w:tab/>
      </w:r>
      <w:r>
        <w:tab/>
        <w:t>9.3.X.40.2.2 f</w:t>
      </w:r>
      <w:r w:rsidRPr="0038670E">
        <w:t>)</w:t>
      </w:r>
      <w:r>
        <w:t xml:space="preserve"> </w:t>
      </w:r>
      <w:r>
        <w:tab/>
      </w:r>
      <w:r w:rsidRPr="0038670E">
        <w:t>Amend to read as follows:</w:t>
      </w:r>
    </w:p>
    <w:p w:rsidR="00B1152F" w:rsidRPr="0038670E" w:rsidRDefault="00B1152F" w:rsidP="00B1152F">
      <w:pPr>
        <w:pStyle w:val="SingleTxtG"/>
      </w:pPr>
      <w:r w:rsidRPr="005D034E">
        <w:rPr>
          <w:rStyle w:val="SingleTxtGChar"/>
        </w:rPr>
        <w:t>“(f)</w:t>
      </w:r>
      <w:r w:rsidRPr="005D034E">
        <w:rPr>
          <w:rStyle w:val="SingleTxtGChar"/>
        </w:rPr>
        <w:tab/>
        <w:t xml:space="preserve">Protected spaces shall </w:t>
      </w:r>
      <w:r w:rsidRPr="005D034E">
        <w:rPr>
          <w:rStyle w:val="SingleTxtGChar"/>
          <w:strike/>
        </w:rPr>
        <w:t>be provided with a means of extracting the extinguishing agent.</w:t>
      </w:r>
      <w:r w:rsidRPr="005D034E">
        <w:t xml:space="preserve"> </w:t>
      </w:r>
      <w:r w:rsidRPr="005D034E">
        <w:rPr>
          <w:b/>
        </w:rPr>
        <w:t>have a facility for extracting the extinguishing agent and the combustion gases. Such facilities shall be capable of being operated from positions outside the protected rooms and which must not be made inaccessible by a fire within such spaces. If there are permanently installed extractors, it shall not be possible for these to be switched on while the fire is being extinguished</w:t>
      </w:r>
      <w:r w:rsidRPr="005D034E">
        <w:t xml:space="preserve">. </w:t>
      </w:r>
      <w:r w:rsidRPr="005D034E">
        <w:rPr>
          <w:strike/>
        </w:rPr>
        <w:t>If extraction devices are installed, it shall not be possible to start them up during extinguishing.</w:t>
      </w:r>
      <w:r w:rsidRPr="005D034E">
        <w:t>”</w:t>
      </w:r>
    </w:p>
    <w:p w:rsidR="000700BD" w:rsidRPr="0038670E" w:rsidRDefault="000700BD" w:rsidP="000700BD">
      <w:pPr>
        <w:pStyle w:val="H4G"/>
      </w:pPr>
      <w:r>
        <w:tab/>
      </w:r>
      <w:r>
        <w:tab/>
        <w:t>9.</w:t>
      </w:r>
      <w:proofErr w:type="gramStart"/>
      <w:r>
        <w:t>3.X</w:t>
      </w:r>
      <w:r w:rsidRPr="0038670E">
        <w:t>.</w:t>
      </w:r>
      <w:proofErr w:type="gramEnd"/>
      <w:r w:rsidRPr="0038670E">
        <w:t>40.2</w:t>
      </w:r>
      <w:r>
        <w:t>.14</w:t>
      </w:r>
      <w:r w:rsidRPr="0038670E">
        <w:tab/>
      </w:r>
      <w:r w:rsidRPr="003D5908">
        <w:t>Replace</w:t>
      </w:r>
      <w:r w:rsidRPr="0038670E">
        <w:t xml:space="preserve"> to read as follows:</w:t>
      </w:r>
    </w:p>
    <w:p w:rsidR="000700BD" w:rsidRPr="00823214" w:rsidRDefault="000700BD" w:rsidP="000700BD">
      <w:pPr>
        <w:pStyle w:val="SingleTxtG"/>
        <w:rPr>
          <w:b/>
          <w:i/>
        </w:rPr>
      </w:pPr>
      <w:r w:rsidRPr="00823214">
        <w:rPr>
          <w:b/>
          <w:i/>
        </w:rPr>
        <w:t>“</w:t>
      </w:r>
      <w:r>
        <w:rPr>
          <w:b/>
        </w:rPr>
        <w:t>9.3.X</w:t>
      </w:r>
      <w:r w:rsidRPr="00823214">
        <w:rPr>
          <w:b/>
        </w:rPr>
        <w:t>.40.2.</w:t>
      </w:r>
      <w:r w:rsidRPr="003D5908">
        <w:rPr>
          <w:b/>
        </w:rPr>
        <w:t>14</w:t>
      </w:r>
      <w:r w:rsidRPr="00823214">
        <w:rPr>
          <w:b/>
          <w:i/>
        </w:rPr>
        <w:t xml:space="preserve"> </w:t>
      </w:r>
      <w:r w:rsidRPr="00823214">
        <w:rPr>
          <w:b/>
          <w:i/>
        </w:rPr>
        <w:tab/>
        <w:t>(Reserved)”</w:t>
      </w:r>
    </w:p>
    <w:p w:rsidR="000700BD" w:rsidRPr="0038670E" w:rsidRDefault="000700BD" w:rsidP="000700BD">
      <w:pPr>
        <w:pStyle w:val="H4G"/>
      </w:pPr>
      <w:r>
        <w:tab/>
      </w:r>
      <w:r>
        <w:tab/>
        <w:t>9.</w:t>
      </w:r>
      <w:proofErr w:type="gramStart"/>
      <w:r>
        <w:t>3.X</w:t>
      </w:r>
      <w:r w:rsidRPr="0038670E">
        <w:t>.</w:t>
      </w:r>
      <w:proofErr w:type="gramEnd"/>
      <w:r w:rsidRPr="0038670E">
        <w:t>40.2</w:t>
      </w:r>
      <w:r>
        <w:t>.15</w:t>
      </w:r>
      <w:r>
        <w:tab/>
        <w:t>Add a new subsection</w:t>
      </w:r>
      <w:r w:rsidRPr="0038670E">
        <w:t xml:space="preserve"> to read as follows:</w:t>
      </w:r>
    </w:p>
    <w:p w:rsidR="000700BD" w:rsidRPr="0038670E" w:rsidRDefault="000700BD" w:rsidP="000700BD">
      <w:pPr>
        <w:pStyle w:val="SingleTxtG"/>
      </w:pPr>
      <w:r>
        <w:t>“</w:t>
      </w:r>
      <w:r>
        <w:rPr>
          <w:b/>
        </w:rPr>
        <w:t>9.3.X</w:t>
      </w:r>
      <w:r w:rsidRPr="00A56F81">
        <w:rPr>
          <w:b/>
        </w:rPr>
        <w:t>.40.2.15</w:t>
      </w:r>
      <w:r w:rsidRPr="0038670E">
        <w:t xml:space="preserve"> </w:t>
      </w:r>
      <w:r>
        <w:tab/>
      </w:r>
      <w:r w:rsidRPr="00293D45">
        <w:rPr>
          <w:b/>
        </w:rPr>
        <w:t>Fire-fighting systems using K</w:t>
      </w:r>
      <w:r w:rsidRPr="00293D45">
        <w:rPr>
          <w:b/>
          <w:vertAlign w:val="subscript"/>
        </w:rPr>
        <w:t>2</w:t>
      </w:r>
      <w:r w:rsidRPr="00293D45">
        <w:rPr>
          <w:b/>
        </w:rPr>
        <w:t>CO</w:t>
      </w:r>
      <w:r w:rsidRPr="00293D45">
        <w:rPr>
          <w:b/>
          <w:vertAlign w:val="subscript"/>
        </w:rPr>
        <w:t>3</w:t>
      </w:r>
      <w:r w:rsidRPr="00293D45">
        <w:rPr>
          <w:b/>
        </w:rPr>
        <w:t xml:space="preserve"> as the extinguishing agent</w:t>
      </w:r>
    </w:p>
    <w:p w:rsidR="000700BD" w:rsidRPr="00293D45" w:rsidRDefault="000700BD" w:rsidP="000700BD">
      <w:pPr>
        <w:pStyle w:val="SingleTxtG"/>
        <w:rPr>
          <w:b/>
        </w:rPr>
      </w:pPr>
      <w:r w:rsidRPr="00293D45">
        <w:rPr>
          <w:b/>
        </w:rPr>
        <w:t>In addition to t</w:t>
      </w:r>
      <w:r>
        <w:rPr>
          <w:b/>
        </w:rPr>
        <w:t>he requirements laid down in 9.3.X.40.2.1 to 9.3.X.40.2.3, 9.3.X.40.2.5, 9.3.X.40.2.6, and 9.3.X</w:t>
      </w:r>
      <w:r w:rsidRPr="00293D45">
        <w:rPr>
          <w:b/>
        </w:rPr>
        <w:t>.40.2.9, fire-fighting systems using K</w:t>
      </w:r>
      <w:r w:rsidRPr="00293D45">
        <w:rPr>
          <w:b/>
          <w:vertAlign w:val="subscript"/>
        </w:rPr>
        <w:t>2</w:t>
      </w:r>
      <w:r w:rsidRPr="00293D45">
        <w:rPr>
          <w:b/>
        </w:rPr>
        <w:t>CO</w:t>
      </w:r>
      <w:r w:rsidRPr="00293D45">
        <w:rPr>
          <w:b/>
          <w:vertAlign w:val="subscript"/>
        </w:rPr>
        <w:t xml:space="preserve">3 </w:t>
      </w:r>
      <w:r w:rsidRPr="00293D45">
        <w:rPr>
          <w:b/>
        </w:rPr>
        <w:t>as the extinguishing agent shall comply with the following provisions:</w:t>
      </w:r>
    </w:p>
    <w:p w:rsidR="000700BD" w:rsidRPr="00293D45" w:rsidRDefault="000700BD" w:rsidP="000700BD">
      <w:pPr>
        <w:pStyle w:val="SingleTxtG"/>
        <w:ind w:left="1843" w:hanging="709"/>
        <w:rPr>
          <w:b/>
          <w:snapToGrid w:val="0"/>
        </w:rPr>
      </w:pPr>
      <w:r w:rsidRPr="00293D45">
        <w:rPr>
          <w:b/>
          <w:snapToGrid w:val="0"/>
        </w:rPr>
        <w:t>(a)</w:t>
      </w:r>
      <w:r w:rsidRPr="00293D45">
        <w:rPr>
          <w:b/>
          <w:snapToGrid w:val="0"/>
        </w:rPr>
        <w:tab/>
        <w:t>The fire-fighting system shall have a type-approval pursuant to</w:t>
      </w:r>
      <w:r>
        <w:rPr>
          <w:b/>
          <w:snapToGrid w:val="0"/>
        </w:rPr>
        <w:t xml:space="preserve"> Directive 2014/90/EU</w:t>
      </w:r>
      <w:r w:rsidR="00B20025">
        <w:rPr>
          <w:rStyle w:val="FootnoteReference"/>
          <w:b/>
          <w:snapToGrid w:val="0"/>
        </w:rPr>
        <w:footnoteReference w:id="5"/>
      </w:r>
      <w:r>
        <w:rPr>
          <w:b/>
          <w:snapToGrid w:val="0"/>
        </w:rPr>
        <w:t xml:space="preserve"> or to MSC/Circ. 1270</w:t>
      </w:r>
      <w:r w:rsidRPr="00293D45">
        <w:rPr>
          <w:rStyle w:val="FootnoteReference"/>
          <w:b/>
          <w:snapToGrid w:val="0"/>
          <w:color w:val="000000"/>
          <w:lang w:eastAsia="fr-FR"/>
        </w:rPr>
        <w:footnoteReference w:id="6"/>
      </w:r>
      <w:r>
        <w:rPr>
          <w:b/>
          <w:snapToGrid w:val="0"/>
        </w:rPr>
        <w:t>;</w:t>
      </w:r>
    </w:p>
    <w:p w:rsidR="000700BD" w:rsidRPr="00293D45" w:rsidRDefault="000700BD" w:rsidP="000700BD">
      <w:pPr>
        <w:pStyle w:val="SingleTxtG"/>
        <w:ind w:left="1843" w:hanging="709"/>
        <w:rPr>
          <w:b/>
          <w:snapToGrid w:val="0"/>
        </w:rPr>
      </w:pPr>
      <w:r>
        <w:rPr>
          <w:b/>
          <w:snapToGrid w:val="0"/>
        </w:rPr>
        <w:t>(</w:t>
      </w:r>
      <w:r w:rsidRPr="00293D45">
        <w:rPr>
          <w:b/>
          <w:snapToGrid w:val="0"/>
        </w:rPr>
        <w:t>b)</w:t>
      </w:r>
      <w:r w:rsidRPr="00293D45">
        <w:rPr>
          <w:b/>
          <w:snapToGrid w:val="0"/>
        </w:rPr>
        <w:tab/>
        <w:t>Each room shall be provided w</w:t>
      </w:r>
      <w:r>
        <w:rPr>
          <w:b/>
          <w:snapToGrid w:val="0"/>
        </w:rPr>
        <w:t>ith its own firefighting system;</w:t>
      </w:r>
    </w:p>
    <w:p w:rsidR="000700BD" w:rsidRPr="00293D45" w:rsidRDefault="000700BD" w:rsidP="000700BD">
      <w:pPr>
        <w:pStyle w:val="SingleTxtG"/>
        <w:ind w:left="1843" w:hanging="709"/>
        <w:rPr>
          <w:b/>
          <w:snapToGrid w:val="0"/>
        </w:rPr>
      </w:pPr>
      <w:r>
        <w:rPr>
          <w:b/>
          <w:snapToGrid w:val="0"/>
        </w:rPr>
        <w:t>(</w:t>
      </w:r>
      <w:r w:rsidRPr="00293D45">
        <w:rPr>
          <w:b/>
          <w:snapToGrid w:val="0"/>
        </w:rPr>
        <w:t>c)</w:t>
      </w:r>
      <w:r w:rsidRPr="00293D45">
        <w:rPr>
          <w:b/>
          <w:snapToGrid w:val="0"/>
        </w:rPr>
        <w:tab/>
        <w:t xml:space="preserve">The </w:t>
      </w:r>
      <w:r w:rsidRPr="003D5908">
        <w:rPr>
          <w:b/>
          <w:snapToGrid w:val="0"/>
        </w:rPr>
        <w:t>extinguishing agent must be</w:t>
      </w:r>
      <w:r w:rsidRPr="00E06251">
        <w:rPr>
          <w:b/>
          <w:snapToGrid w:val="0"/>
          <w:color w:val="FF0000"/>
        </w:rPr>
        <w:t xml:space="preserve"> </w:t>
      </w:r>
      <w:r w:rsidRPr="00293D45">
        <w:rPr>
          <w:b/>
          <w:snapToGrid w:val="0"/>
        </w:rPr>
        <w:t xml:space="preserve">stored in specially provided unpressurised tanks in the room to be protected. These tanks </w:t>
      </w:r>
      <w:r>
        <w:rPr>
          <w:b/>
          <w:snapToGrid w:val="0"/>
        </w:rPr>
        <w:t>shall</w:t>
      </w:r>
      <w:r w:rsidRPr="00293D45">
        <w:rPr>
          <w:b/>
          <w:snapToGrid w:val="0"/>
        </w:rPr>
        <w:t xml:space="preserve"> be fitted in such a way that the extinguishing agent is dispensed evenly</w:t>
      </w:r>
      <w:r>
        <w:rPr>
          <w:b/>
          <w:snapToGrid w:val="0"/>
        </w:rPr>
        <w:t xml:space="preserve"> </w:t>
      </w:r>
      <w:r w:rsidRPr="003D5908">
        <w:rPr>
          <w:b/>
          <w:snapToGrid w:val="0"/>
        </w:rPr>
        <w:t>in the room</w:t>
      </w:r>
      <w:r w:rsidRPr="00293D45">
        <w:rPr>
          <w:b/>
          <w:snapToGrid w:val="0"/>
        </w:rPr>
        <w:t xml:space="preserve">. </w:t>
      </w:r>
      <w:proofErr w:type="gramStart"/>
      <w:r w:rsidRPr="00293D45">
        <w:rPr>
          <w:b/>
          <w:snapToGrid w:val="0"/>
        </w:rPr>
        <w:t>In particular the</w:t>
      </w:r>
      <w:proofErr w:type="gramEnd"/>
      <w:r w:rsidRPr="00293D45">
        <w:rPr>
          <w:b/>
          <w:snapToGrid w:val="0"/>
        </w:rPr>
        <w:t xml:space="preserve"> extinguishing agent </w:t>
      </w:r>
      <w:r>
        <w:rPr>
          <w:b/>
          <w:snapToGrid w:val="0"/>
        </w:rPr>
        <w:t>shall</w:t>
      </w:r>
      <w:r w:rsidRPr="00293D45">
        <w:rPr>
          <w:b/>
          <w:snapToGrid w:val="0"/>
        </w:rPr>
        <w:t xml:space="preserve"> also </w:t>
      </w:r>
      <w:r>
        <w:rPr>
          <w:b/>
          <w:snapToGrid w:val="0"/>
        </w:rPr>
        <w:t>work underneath the deck plates;</w:t>
      </w:r>
    </w:p>
    <w:p w:rsidR="000700BD" w:rsidRPr="00293D45" w:rsidRDefault="000700BD" w:rsidP="000700BD">
      <w:pPr>
        <w:pStyle w:val="SingleTxtG"/>
        <w:ind w:left="1843" w:hanging="709"/>
        <w:rPr>
          <w:b/>
          <w:snapToGrid w:val="0"/>
        </w:rPr>
      </w:pPr>
      <w:r>
        <w:rPr>
          <w:b/>
          <w:snapToGrid w:val="0"/>
        </w:rPr>
        <w:t>(</w:t>
      </w:r>
      <w:r w:rsidRPr="00293D45">
        <w:rPr>
          <w:b/>
          <w:snapToGrid w:val="0"/>
        </w:rPr>
        <w:t>d)</w:t>
      </w:r>
      <w:r w:rsidRPr="00293D45">
        <w:rPr>
          <w:b/>
          <w:snapToGrid w:val="0"/>
        </w:rPr>
        <w:tab/>
        <w:t>Each tank is separately conne</w:t>
      </w:r>
      <w:r>
        <w:rPr>
          <w:b/>
          <w:snapToGrid w:val="0"/>
        </w:rPr>
        <w:t>cted with the triggering device;</w:t>
      </w:r>
    </w:p>
    <w:p w:rsidR="000700BD" w:rsidRPr="00E06251" w:rsidRDefault="000700BD" w:rsidP="000700BD">
      <w:pPr>
        <w:pStyle w:val="SingleTxtG"/>
        <w:ind w:left="1843" w:hanging="709"/>
        <w:rPr>
          <w:b/>
          <w:snapToGrid w:val="0"/>
          <w:color w:val="FF0000"/>
        </w:rPr>
      </w:pPr>
      <w:r>
        <w:rPr>
          <w:b/>
          <w:snapToGrid w:val="0"/>
        </w:rPr>
        <w:t>(</w:t>
      </w:r>
      <w:r w:rsidRPr="00293D45">
        <w:rPr>
          <w:b/>
          <w:snapToGrid w:val="0"/>
        </w:rPr>
        <w:t>e)</w:t>
      </w:r>
      <w:r w:rsidRPr="00293D45">
        <w:rPr>
          <w:b/>
          <w:snapToGrid w:val="0"/>
        </w:rPr>
        <w:tab/>
        <w:t xml:space="preserve">The quantity of dry aerosol-forming extinguishing agent relative to the room to be protected </w:t>
      </w:r>
      <w:r>
        <w:rPr>
          <w:b/>
          <w:snapToGrid w:val="0"/>
        </w:rPr>
        <w:t>shall be</w:t>
      </w:r>
      <w:r w:rsidRPr="00293D45">
        <w:rPr>
          <w:b/>
          <w:snapToGrid w:val="0"/>
        </w:rPr>
        <w:t xml:space="preserve"> at least 120 g per m</w:t>
      </w:r>
      <w:r w:rsidRPr="00293D45">
        <w:rPr>
          <w:b/>
          <w:snapToGrid w:val="0"/>
          <w:vertAlign w:val="superscript"/>
        </w:rPr>
        <w:t xml:space="preserve">3 </w:t>
      </w:r>
      <w:r w:rsidRPr="00293D45">
        <w:rPr>
          <w:b/>
          <w:snapToGrid w:val="0"/>
        </w:rPr>
        <w:t>o</w:t>
      </w:r>
      <w:r>
        <w:rPr>
          <w:b/>
          <w:snapToGrid w:val="0"/>
        </w:rPr>
        <w:t>f t</w:t>
      </w:r>
      <w:r w:rsidRPr="00B1152F">
        <w:rPr>
          <w:b/>
          <w:snapToGrid w:val="0"/>
        </w:rPr>
        <w:t>he net volume</w:t>
      </w:r>
      <w:r w:rsidRPr="00B1152F">
        <w:rPr>
          <w:b/>
          <w:snapToGrid w:val="0"/>
          <w:color w:val="B2A1C7"/>
        </w:rPr>
        <w:t xml:space="preserve"> </w:t>
      </w:r>
      <w:r w:rsidRPr="00B1152F">
        <w:rPr>
          <w:b/>
          <w:snapToGrid w:val="0"/>
        </w:rPr>
        <w:t>of this room. This net volume is calculated</w:t>
      </w:r>
      <w:r w:rsidRPr="00A56F81">
        <w:rPr>
          <w:b/>
          <w:snapToGrid w:val="0"/>
        </w:rPr>
        <w:t xml:space="preserve"> according to </w:t>
      </w:r>
      <w:r>
        <w:rPr>
          <w:b/>
          <w:snapToGrid w:val="0"/>
        </w:rPr>
        <w:t>Directive 2014/90/EU</w:t>
      </w:r>
      <w:r w:rsidR="00B20025">
        <w:rPr>
          <w:rStyle w:val="FootnoteReference"/>
          <w:b/>
          <w:snapToGrid w:val="0"/>
        </w:rPr>
        <w:footnoteReference w:id="7"/>
      </w:r>
      <w:r>
        <w:rPr>
          <w:b/>
          <w:snapToGrid w:val="0"/>
        </w:rPr>
        <w:t xml:space="preserve"> or to MSC/Circ. 1270</w:t>
      </w:r>
      <w:r>
        <w:rPr>
          <w:rStyle w:val="FootnoteReference"/>
          <w:b/>
          <w:snapToGrid w:val="0"/>
        </w:rPr>
        <w:footnoteReference w:id="8"/>
      </w:r>
      <w:r w:rsidRPr="00A56F81">
        <w:rPr>
          <w:b/>
          <w:snapToGrid w:val="0"/>
        </w:rPr>
        <w:t>.</w:t>
      </w:r>
      <w:r w:rsidRPr="00E06251">
        <w:rPr>
          <w:b/>
          <w:snapToGrid w:val="0"/>
          <w:color w:val="FF0000"/>
        </w:rPr>
        <w:t xml:space="preserve"> </w:t>
      </w:r>
      <w:r w:rsidRPr="003D5908">
        <w:rPr>
          <w:b/>
          <w:snapToGrid w:val="0"/>
        </w:rPr>
        <w:t xml:space="preserve">It shall be possible to supply the extinguishing agent within 120 seconds. </w:t>
      </w:r>
    </w:p>
    <w:p w:rsidR="000700BD" w:rsidRPr="00E06251" w:rsidRDefault="000700BD" w:rsidP="000700BD">
      <w:pPr>
        <w:pStyle w:val="SingleTxtG"/>
      </w:pPr>
      <w:r>
        <w:rPr>
          <w:i/>
        </w:rPr>
        <w:t>9.</w:t>
      </w:r>
      <w:proofErr w:type="gramStart"/>
      <w:r>
        <w:rPr>
          <w:i/>
        </w:rPr>
        <w:t>3.X.</w:t>
      </w:r>
      <w:proofErr w:type="gramEnd"/>
      <w:r>
        <w:rPr>
          <w:i/>
        </w:rPr>
        <w:t>40.2.16</w:t>
      </w:r>
      <w:r>
        <w:rPr>
          <w:i/>
        </w:rPr>
        <w:tab/>
        <w:t>Move current 9.3.X.40.2.14 to a new 9.3.X.40.2.</w:t>
      </w:r>
      <w:r w:rsidRPr="00A56F81">
        <w:rPr>
          <w:i/>
        </w:rPr>
        <w:t>16</w:t>
      </w:r>
      <w:r>
        <w:rPr>
          <w:i/>
        </w:rPr>
        <w:t xml:space="preserve"> </w:t>
      </w:r>
      <w:r w:rsidRPr="00B14785">
        <w:rPr>
          <w:i/>
        </w:rPr>
        <w:t xml:space="preserve">to read as </w:t>
      </w:r>
      <w:r>
        <w:rPr>
          <w:i/>
        </w:rPr>
        <w:t>before</w:t>
      </w:r>
      <w:r w:rsidRPr="00B14785">
        <w:rPr>
          <w:i/>
        </w:rPr>
        <w:t>:</w:t>
      </w:r>
    </w:p>
    <w:p w:rsidR="000700BD" w:rsidRDefault="000700BD" w:rsidP="000700BD">
      <w:pPr>
        <w:spacing w:after="120"/>
        <w:ind w:left="1134" w:right="1134"/>
        <w:jc w:val="both"/>
        <w:rPr>
          <w:rFonts w:eastAsia="SimSun"/>
          <w:lang w:eastAsia="zh-CN"/>
        </w:rPr>
      </w:pPr>
      <w:r w:rsidRPr="00B14785">
        <w:rPr>
          <w:rFonts w:eastAsia="SimSun"/>
          <w:lang w:eastAsia="zh-CN"/>
        </w:rPr>
        <w:t>“</w:t>
      </w:r>
      <w:r>
        <w:rPr>
          <w:rFonts w:eastAsia="SimSun"/>
          <w:b/>
          <w:lang w:eastAsia="zh-CN"/>
        </w:rPr>
        <w:t>9.3.X</w:t>
      </w:r>
      <w:r w:rsidRPr="00A56F81">
        <w:rPr>
          <w:rFonts w:eastAsia="SimSun"/>
          <w:b/>
          <w:lang w:eastAsia="zh-CN"/>
        </w:rPr>
        <w:t>.40.2.16</w:t>
      </w:r>
      <w:r w:rsidRPr="00B14785">
        <w:rPr>
          <w:rFonts w:eastAsia="SimSun"/>
          <w:lang w:eastAsia="zh-CN"/>
        </w:rPr>
        <w:t xml:space="preserve"> </w:t>
      </w:r>
      <w:r>
        <w:rPr>
          <w:rFonts w:eastAsia="SimSun"/>
          <w:lang w:eastAsia="zh-CN"/>
        </w:rPr>
        <w:tab/>
      </w:r>
      <w:r w:rsidRPr="00E06251">
        <w:rPr>
          <w:rFonts w:eastAsia="SimSun"/>
          <w:b/>
          <w:lang w:eastAsia="zh-CN"/>
        </w:rPr>
        <w:t>Fixed fire-extinguishing system for physical protection</w:t>
      </w:r>
      <w:r>
        <w:rPr>
          <w:rFonts w:eastAsia="SimSun"/>
          <w:b/>
          <w:lang w:eastAsia="zh-CN"/>
        </w:rPr>
        <w:t>”</w:t>
      </w:r>
      <w:r>
        <w:rPr>
          <w:rFonts w:eastAsia="SimSun"/>
          <w:lang w:eastAsia="zh-CN"/>
        </w:rPr>
        <w:t xml:space="preserve"> </w:t>
      </w:r>
    </w:p>
    <w:p w:rsidR="007A0F99" w:rsidRPr="007D1E4E" w:rsidRDefault="007A0F99" w:rsidP="007A0F99">
      <w:pPr>
        <w:spacing w:before="120"/>
        <w:jc w:val="center"/>
        <w:rPr>
          <w:u w:val="single"/>
          <w:lang w:val="en-US"/>
        </w:rPr>
      </w:pPr>
      <w:r w:rsidRPr="007D1E4E">
        <w:rPr>
          <w:u w:val="single"/>
          <w:lang w:val="en-US"/>
        </w:rPr>
        <w:tab/>
      </w:r>
      <w:r w:rsidRPr="007D1E4E">
        <w:rPr>
          <w:u w:val="single"/>
          <w:lang w:val="en-US"/>
        </w:rPr>
        <w:tab/>
      </w:r>
      <w:r w:rsidRPr="007D1E4E">
        <w:rPr>
          <w:u w:val="single"/>
          <w:lang w:val="en-US"/>
        </w:rPr>
        <w:tab/>
      </w:r>
    </w:p>
    <w:p w:rsidR="00A17622" w:rsidRPr="007A0F99" w:rsidRDefault="00A17622" w:rsidP="007A0F99">
      <w:pPr>
        <w:pStyle w:val="H1G"/>
        <w:spacing w:before="120"/>
        <w:rPr>
          <w:u w:val="single"/>
          <w:lang w:val="en-US"/>
        </w:rPr>
      </w:pPr>
    </w:p>
    <w:sectPr w:rsidR="00A17622" w:rsidRPr="007A0F99" w:rsidSect="00723F48">
      <w:headerReference w:type="even" r:id="rId8"/>
      <w:headerReference w:type="default" r:id="rId9"/>
      <w:footerReference w:type="even" r:id="rId10"/>
      <w:footerReference w:type="default" r:id="rId11"/>
      <w:pgSz w:w="11906" w:h="16838" w:code="9"/>
      <w:pgMar w:top="1701" w:right="1134"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18" w:rsidRDefault="00771C18" w:rsidP="007371FC">
      <w:pPr>
        <w:spacing w:line="240" w:lineRule="auto"/>
      </w:pPr>
      <w:r>
        <w:separator/>
      </w:r>
    </w:p>
  </w:endnote>
  <w:endnote w:type="continuationSeparator" w:id="0">
    <w:p w:rsidR="00771C18" w:rsidRDefault="00771C18" w:rsidP="0073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48" w:rsidRDefault="00723F48">
    <w:pPr>
      <w:pStyle w:val="Footer"/>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48" w:rsidRPr="009D2A5B" w:rsidRDefault="00723F48" w:rsidP="00723F48">
    <w:pPr>
      <w:pStyle w:val="Footer"/>
      <w:tabs>
        <w:tab w:val="right" w:pos="9598"/>
      </w:tabs>
      <w:jc w:val="right"/>
      <w:rPr>
        <w:b/>
        <w:sz w:val="18"/>
      </w:rPr>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18" w:rsidRDefault="00771C18" w:rsidP="007371FC">
      <w:pPr>
        <w:spacing w:line="240" w:lineRule="auto"/>
      </w:pPr>
      <w:r>
        <w:separator/>
      </w:r>
    </w:p>
  </w:footnote>
  <w:footnote w:type="continuationSeparator" w:id="0">
    <w:p w:rsidR="00771C18" w:rsidRDefault="00771C18" w:rsidP="007371FC">
      <w:pPr>
        <w:spacing w:line="240" w:lineRule="auto"/>
      </w:pPr>
      <w:r>
        <w:continuationSeparator/>
      </w:r>
    </w:p>
  </w:footnote>
  <w:footnote w:id="1">
    <w:p w:rsidR="004149C0" w:rsidRPr="004149C0" w:rsidRDefault="004149C0">
      <w:pPr>
        <w:pStyle w:val="FootnoteText"/>
        <w:rPr>
          <w:lang w:val="en-US"/>
        </w:rPr>
      </w:pPr>
      <w:r>
        <w:tab/>
      </w:r>
      <w:r>
        <w:rPr>
          <w:rStyle w:val="FootnoteReference"/>
        </w:rPr>
        <w:footnoteRef/>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r>
        <w:rPr>
          <w:i/>
          <w:szCs w:val="18"/>
        </w:rPr>
        <w:t xml:space="preserve"> </w:t>
      </w:r>
    </w:p>
  </w:footnote>
  <w:footnote w:id="2">
    <w:p w:rsidR="003D5908" w:rsidRPr="00823214" w:rsidRDefault="003D5908" w:rsidP="00B1152F">
      <w:pPr>
        <w:pStyle w:val="FootnoteText"/>
        <w:rPr>
          <w:i/>
          <w:szCs w:val="18"/>
        </w:rPr>
      </w:pPr>
      <w:r>
        <w:rPr>
          <w:rFonts w:ascii="Arial" w:hAnsi="Arial"/>
          <w:sz w:val="16"/>
          <w:szCs w:val="16"/>
        </w:rPr>
        <w:tab/>
      </w:r>
      <w:r w:rsidRPr="00823214">
        <w:rPr>
          <w:rStyle w:val="FootnoteReference"/>
          <w:i/>
          <w:szCs w:val="18"/>
        </w:rPr>
        <w:footnoteRef/>
      </w:r>
      <w:r w:rsidRPr="00823214">
        <w:rPr>
          <w:i/>
          <w:szCs w:val="18"/>
        </w:rPr>
        <w:tab/>
      </w:r>
      <w:r w:rsidR="00B1152F" w:rsidRPr="00823214">
        <w:rPr>
          <w:i/>
          <w:szCs w:val="18"/>
        </w:rPr>
        <w:t>International Maritime Organization Circular MSC/Circ. 1270</w:t>
      </w:r>
      <w:r w:rsidR="00B1152F">
        <w:rPr>
          <w:i/>
          <w:szCs w:val="18"/>
        </w:rPr>
        <w:t>/Corr.1</w:t>
      </w:r>
      <w:r w:rsidR="00B1152F" w:rsidRPr="00823214">
        <w:rPr>
          <w:i/>
          <w:szCs w:val="18"/>
        </w:rPr>
        <w:t xml:space="preserve"> — Revised Guidelines for the approval of fixed aerosol fire-extinguishing systems equivalent to fixed gas extinguishing systems, as referred to in SOLAS 1974, for mach</w:t>
      </w:r>
      <w:r w:rsidR="00B1152F">
        <w:rPr>
          <w:i/>
          <w:szCs w:val="18"/>
        </w:rPr>
        <w:t>inery spaces — adopted on 29 August</w:t>
      </w:r>
      <w:r w:rsidR="00B1152F" w:rsidRPr="00823214">
        <w:rPr>
          <w:i/>
          <w:szCs w:val="18"/>
        </w:rPr>
        <w:t xml:space="preserve"> 2008.</w:t>
      </w:r>
    </w:p>
  </w:footnote>
  <w:footnote w:id="3">
    <w:p w:rsidR="00B20025" w:rsidRPr="00B20025" w:rsidRDefault="00B20025">
      <w:pPr>
        <w:pStyle w:val="FootnoteText"/>
        <w:rPr>
          <w:lang w:val="en-US"/>
        </w:rPr>
      </w:pPr>
      <w:r>
        <w:tab/>
      </w:r>
      <w:r>
        <w:rPr>
          <w:rStyle w:val="FootnoteReference"/>
        </w:rPr>
        <w:footnoteRef/>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p>
  </w:footnote>
  <w:footnote w:id="4">
    <w:p w:rsidR="000700BD" w:rsidRPr="00B1152F" w:rsidRDefault="000700BD" w:rsidP="00B1152F">
      <w:pPr>
        <w:pStyle w:val="FootnoteText"/>
        <w:rPr>
          <w:i/>
          <w:szCs w:val="18"/>
        </w:rPr>
      </w:pPr>
      <w:r>
        <w:tab/>
      </w:r>
      <w:r>
        <w:rPr>
          <w:rStyle w:val="FootnoteReference"/>
        </w:rPr>
        <w:footnoteRef/>
      </w:r>
      <w:r>
        <w:t xml:space="preserve"> </w:t>
      </w:r>
      <w:r w:rsidRPr="000700BD">
        <w:rPr>
          <w:lang w:val="en-US"/>
        </w:rPr>
        <w:tab/>
      </w:r>
      <w:r w:rsidR="00B1152F" w:rsidRPr="00823214">
        <w:rPr>
          <w:i/>
          <w:szCs w:val="18"/>
        </w:rPr>
        <w:t>International Maritime Organization Circular MSC/Circ. 1270</w:t>
      </w:r>
      <w:r w:rsidR="00B1152F">
        <w:rPr>
          <w:i/>
          <w:szCs w:val="18"/>
        </w:rPr>
        <w:t>/Corr.1</w:t>
      </w:r>
      <w:r w:rsidR="00B1152F" w:rsidRPr="00823214">
        <w:rPr>
          <w:i/>
          <w:szCs w:val="18"/>
        </w:rPr>
        <w:t xml:space="preserve"> — Revised Guidelines for the approval of fixed aerosol fire-extinguishing systems equivalent to fixed gas extinguishing systems, as referred to in SOLAS 1974, for mach</w:t>
      </w:r>
      <w:r w:rsidR="00B1152F">
        <w:rPr>
          <w:i/>
          <w:szCs w:val="18"/>
        </w:rPr>
        <w:t>inery spaces — adopted on 29 August</w:t>
      </w:r>
      <w:r w:rsidR="00B1152F" w:rsidRPr="00823214">
        <w:rPr>
          <w:i/>
          <w:szCs w:val="18"/>
        </w:rPr>
        <w:t xml:space="preserve"> 2008.</w:t>
      </w:r>
    </w:p>
  </w:footnote>
  <w:footnote w:id="5">
    <w:p w:rsidR="00B20025" w:rsidRPr="00B20025" w:rsidRDefault="00B20025">
      <w:pPr>
        <w:pStyle w:val="FootnoteText"/>
        <w:rPr>
          <w:lang w:val="en-US"/>
        </w:rPr>
      </w:pPr>
      <w:r>
        <w:tab/>
      </w:r>
      <w:r>
        <w:rPr>
          <w:rStyle w:val="FootnoteReference"/>
        </w:rPr>
        <w:footnoteRef/>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p>
  </w:footnote>
  <w:footnote w:id="6">
    <w:p w:rsidR="000700BD" w:rsidRPr="00823214" w:rsidRDefault="000700BD" w:rsidP="000700BD">
      <w:pPr>
        <w:pStyle w:val="FootnoteText"/>
        <w:rPr>
          <w:i/>
          <w:szCs w:val="18"/>
        </w:rPr>
      </w:pPr>
      <w:r>
        <w:rPr>
          <w:rFonts w:ascii="Arial" w:hAnsi="Arial"/>
          <w:sz w:val="16"/>
          <w:szCs w:val="16"/>
        </w:rPr>
        <w:tab/>
      </w:r>
      <w:r w:rsidRPr="00823214">
        <w:rPr>
          <w:rStyle w:val="FootnoteReference"/>
          <w:i/>
          <w:szCs w:val="18"/>
        </w:rPr>
        <w:footnoteRef/>
      </w:r>
      <w:r w:rsidRPr="00823214">
        <w:rPr>
          <w:i/>
          <w:szCs w:val="18"/>
        </w:rPr>
        <w:tab/>
        <w:t>International Maritime Organization Circular MSC/Circ. 1270</w:t>
      </w:r>
      <w:r w:rsidR="00B1152F">
        <w:rPr>
          <w:i/>
          <w:szCs w:val="18"/>
        </w:rPr>
        <w:t>/Corr.1</w:t>
      </w:r>
      <w:r w:rsidRPr="00823214">
        <w:rPr>
          <w:i/>
          <w:szCs w:val="18"/>
        </w:rPr>
        <w:t xml:space="preserve"> — Revised Guidelines for the approval of fixed aerosol fire-extinguishing systems equivalent to fixed gas extinguishing systems, as referred to in SOLAS 1974, for mach</w:t>
      </w:r>
      <w:r w:rsidR="00B1152F">
        <w:rPr>
          <w:i/>
          <w:szCs w:val="18"/>
        </w:rPr>
        <w:t>inery spaces — adopted on 29 August</w:t>
      </w:r>
      <w:r w:rsidRPr="00823214">
        <w:rPr>
          <w:i/>
          <w:szCs w:val="18"/>
        </w:rPr>
        <w:t xml:space="preserve"> 2008.</w:t>
      </w:r>
    </w:p>
  </w:footnote>
  <w:footnote w:id="7">
    <w:p w:rsidR="00B20025" w:rsidRPr="00B20025" w:rsidRDefault="00B20025">
      <w:pPr>
        <w:pStyle w:val="FootnoteText"/>
        <w:rPr>
          <w:lang w:val="en-US"/>
        </w:rPr>
      </w:pPr>
      <w:r>
        <w:tab/>
      </w:r>
      <w:r>
        <w:rPr>
          <w:rStyle w:val="FootnoteReference"/>
        </w:rPr>
        <w:footnoteRef/>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p>
  </w:footnote>
  <w:footnote w:id="8">
    <w:p w:rsidR="000700BD" w:rsidRPr="00B1152F" w:rsidRDefault="000700BD" w:rsidP="00B1152F">
      <w:pPr>
        <w:pStyle w:val="FootnoteText"/>
        <w:rPr>
          <w:i/>
          <w:szCs w:val="18"/>
        </w:rPr>
      </w:pPr>
      <w:r>
        <w:tab/>
      </w:r>
      <w:r>
        <w:rPr>
          <w:rStyle w:val="FootnoteReference"/>
        </w:rPr>
        <w:footnoteRef/>
      </w:r>
      <w:r>
        <w:t xml:space="preserve"> </w:t>
      </w:r>
      <w:r>
        <w:tab/>
      </w:r>
      <w:r w:rsidR="00B1152F" w:rsidRPr="00823214">
        <w:rPr>
          <w:i/>
          <w:szCs w:val="18"/>
        </w:rPr>
        <w:t>International Maritime Organization Circular MSC/Circ. 1270</w:t>
      </w:r>
      <w:r w:rsidR="00B1152F">
        <w:rPr>
          <w:i/>
          <w:szCs w:val="18"/>
        </w:rPr>
        <w:t>/Corr.1</w:t>
      </w:r>
      <w:r w:rsidR="00B1152F" w:rsidRPr="00823214">
        <w:rPr>
          <w:i/>
          <w:szCs w:val="18"/>
        </w:rPr>
        <w:t xml:space="preserve"> — Revised Guidelines for the approval of fixed aerosol fire-extinguishing systems equivalent to fixed gas extinguishing systems, as referred to in SOLAS 1974, for mach</w:t>
      </w:r>
      <w:r w:rsidR="00B1152F">
        <w:rPr>
          <w:i/>
          <w:szCs w:val="18"/>
        </w:rPr>
        <w:t>inery spaces — adopted on 29 August</w:t>
      </w:r>
      <w:r w:rsidR="00B1152F" w:rsidRPr="00823214">
        <w:rPr>
          <w:i/>
          <w:szCs w:val="18"/>
        </w:rPr>
        <w:t xml:space="preserv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48" w:rsidRPr="00723F48" w:rsidRDefault="00723F48" w:rsidP="00723F48">
    <w:pPr>
      <w:pStyle w:val="Header"/>
      <w:rPr>
        <w:lang w:val="fr-CH"/>
      </w:rPr>
    </w:pPr>
    <w:r>
      <w:rPr>
        <w:lang w:val="fr-CH"/>
      </w:rPr>
      <w:t>INF.30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79A" w:rsidRPr="00A17622" w:rsidRDefault="00CA579A" w:rsidP="00A17622">
    <w:pPr>
      <w:pStyle w:val="Header"/>
      <w:jc w:val="right"/>
      <w:rPr>
        <w:lang w:val="fr-CH"/>
      </w:rPr>
    </w:pPr>
    <w:r>
      <w:rPr>
        <w:lang w:val="fr-CH"/>
      </w:rPr>
      <w:t>I</w:t>
    </w:r>
    <w:r w:rsidR="00723F48">
      <w:rPr>
        <w:lang w:val="fr-CH"/>
      </w:rPr>
      <w:t>NF.30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9"/>
      <w:numFmt w:val="bullet"/>
      <w:lvlText w:val="-"/>
      <w:lvlJc w:val="left"/>
      <w:pPr>
        <w:tabs>
          <w:tab w:val="num" w:pos="0"/>
        </w:tabs>
        <w:ind w:left="1854" w:hanging="360"/>
      </w:pPr>
      <w:rPr>
        <w:rFonts w:ascii="Times New Roman" w:hAnsi="Times New Roman"/>
      </w:rPr>
    </w:lvl>
  </w:abstractNum>
  <w:abstractNum w:abstractNumId="1"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15:restartNumberingAfterBreak="0">
    <w:nsid w:val="349F6C5D"/>
    <w:multiLevelType w:val="hybridMultilevel"/>
    <w:tmpl w:val="1440229E"/>
    <w:lvl w:ilvl="0" w:tplc="E3A6D302">
      <w:start w:val="5"/>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38D63858"/>
    <w:multiLevelType w:val="hybridMultilevel"/>
    <w:tmpl w:val="6CCAEB5C"/>
    <w:lvl w:ilvl="0" w:tplc="F168C0AE">
      <w:start w:val="1"/>
      <w:numFmt w:val="decimal"/>
      <w:lvlText w:val="%1."/>
      <w:lvlJc w:val="left"/>
      <w:pPr>
        <w:ind w:left="3750" w:hanging="360"/>
      </w:pPr>
      <w:rPr>
        <w:rFonts w:hint="default"/>
      </w:rPr>
    </w:lvl>
    <w:lvl w:ilvl="1" w:tplc="04130019" w:tentative="1">
      <w:start w:val="1"/>
      <w:numFmt w:val="lowerLetter"/>
      <w:lvlText w:val="%2."/>
      <w:lvlJc w:val="left"/>
      <w:pPr>
        <w:ind w:left="4470" w:hanging="360"/>
      </w:pPr>
    </w:lvl>
    <w:lvl w:ilvl="2" w:tplc="0413001B" w:tentative="1">
      <w:start w:val="1"/>
      <w:numFmt w:val="lowerRoman"/>
      <w:lvlText w:val="%3."/>
      <w:lvlJc w:val="right"/>
      <w:pPr>
        <w:ind w:left="5190" w:hanging="180"/>
      </w:pPr>
    </w:lvl>
    <w:lvl w:ilvl="3" w:tplc="0413000F" w:tentative="1">
      <w:start w:val="1"/>
      <w:numFmt w:val="decimal"/>
      <w:lvlText w:val="%4."/>
      <w:lvlJc w:val="left"/>
      <w:pPr>
        <w:ind w:left="5910" w:hanging="360"/>
      </w:pPr>
    </w:lvl>
    <w:lvl w:ilvl="4" w:tplc="04130019" w:tentative="1">
      <w:start w:val="1"/>
      <w:numFmt w:val="lowerLetter"/>
      <w:lvlText w:val="%5."/>
      <w:lvlJc w:val="left"/>
      <w:pPr>
        <w:ind w:left="6630" w:hanging="360"/>
      </w:pPr>
    </w:lvl>
    <w:lvl w:ilvl="5" w:tplc="0413001B" w:tentative="1">
      <w:start w:val="1"/>
      <w:numFmt w:val="lowerRoman"/>
      <w:lvlText w:val="%6."/>
      <w:lvlJc w:val="right"/>
      <w:pPr>
        <w:ind w:left="7350" w:hanging="180"/>
      </w:pPr>
    </w:lvl>
    <w:lvl w:ilvl="6" w:tplc="0413000F" w:tentative="1">
      <w:start w:val="1"/>
      <w:numFmt w:val="decimal"/>
      <w:lvlText w:val="%7."/>
      <w:lvlJc w:val="left"/>
      <w:pPr>
        <w:ind w:left="8070" w:hanging="360"/>
      </w:pPr>
    </w:lvl>
    <w:lvl w:ilvl="7" w:tplc="04130019" w:tentative="1">
      <w:start w:val="1"/>
      <w:numFmt w:val="lowerLetter"/>
      <w:lvlText w:val="%8."/>
      <w:lvlJc w:val="left"/>
      <w:pPr>
        <w:ind w:left="8790" w:hanging="360"/>
      </w:pPr>
    </w:lvl>
    <w:lvl w:ilvl="8" w:tplc="0413001B" w:tentative="1">
      <w:start w:val="1"/>
      <w:numFmt w:val="lowerRoman"/>
      <w:lvlText w:val="%9."/>
      <w:lvlJc w:val="right"/>
      <w:pPr>
        <w:ind w:left="9510" w:hanging="180"/>
      </w:pPr>
    </w:lvl>
  </w:abstractNum>
  <w:abstractNum w:abstractNumId="4"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57C4500E"/>
    <w:multiLevelType w:val="hybridMultilevel"/>
    <w:tmpl w:val="E0F6D04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15:restartNumberingAfterBreak="0">
    <w:nsid w:val="583B15BC"/>
    <w:multiLevelType w:val="hybridMultilevel"/>
    <w:tmpl w:val="B96E453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5E9"/>
    <w:rsid w:val="000572AC"/>
    <w:rsid w:val="00060161"/>
    <w:rsid w:val="000700BD"/>
    <w:rsid w:val="0009215A"/>
    <w:rsid w:val="00093580"/>
    <w:rsid w:val="00093804"/>
    <w:rsid w:val="000A0A8F"/>
    <w:rsid w:val="000B014C"/>
    <w:rsid w:val="000B27E2"/>
    <w:rsid w:val="000C0F28"/>
    <w:rsid w:val="000E5E12"/>
    <w:rsid w:val="000F4D65"/>
    <w:rsid w:val="001049E9"/>
    <w:rsid w:val="00132B30"/>
    <w:rsid w:val="0013311E"/>
    <w:rsid w:val="0016564A"/>
    <w:rsid w:val="001A796F"/>
    <w:rsid w:val="001C076D"/>
    <w:rsid w:val="001C1329"/>
    <w:rsid w:val="001C675B"/>
    <w:rsid w:val="001F01C5"/>
    <w:rsid w:val="001F1D0E"/>
    <w:rsid w:val="001F4FAA"/>
    <w:rsid w:val="00200B5B"/>
    <w:rsid w:val="00204640"/>
    <w:rsid w:val="00211885"/>
    <w:rsid w:val="00211C77"/>
    <w:rsid w:val="0021660A"/>
    <w:rsid w:val="00226761"/>
    <w:rsid w:val="002425A4"/>
    <w:rsid w:val="002570A4"/>
    <w:rsid w:val="0026064F"/>
    <w:rsid w:val="002741B1"/>
    <w:rsid w:val="00274914"/>
    <w:rsid w:val="002909C4"/>
    <w:rsid w:val="00291734"/>
    <w:rsid w:val="003201F7"/>
    <w:rsid w:val="00352644"/>
    <w:rsid w:val="00355F2D"/>
    <w:rsid w:val="00367C21"/>
    <w:rsid w:val="00373C2F"/>
    <w:rsid w:val="003947CF"/>
    <w:rsid w:val="003A26F9"/>
    <w:rsid w:val="003B218E"/>
    <w:rsid w:val="003D5908"/>
    <w:rsid w:val="004033D6"/>
    <w:rsid w:val="004149C0"/>
    <w:rsid w:val="00422F84"/>
    <w:rsid w:val="00433D21"/>
    <w:rsid w:val="004346B7"/>
    <w:rsid w:val="00443A54"/>
    <w:rsid w:val="00450B66"/>
    <w:rsid w:val="00452705"/>
    <w:rsid w:val="00456A30"/>
    <w:rsid w:val="00466FB6"/>
    <w:rsid w:val="00484ECD"/>
    <w:rsid w:val="004859C7"/>
    <w:rsid w:val="004A285F"/>
    <w:rsid w:val="004A7061"/>
    <w:rsid w:val="004D518C"/>
    <w:rsid w:val="004E5ED2"/>
    <w:rsid w:val="00504805"/>
    <w:rsid w:val="00510455"/>
    <w:rsid w:val="00513220"/>
    <w:rsid w:val="005145F5"/>
    <w:rsid w:val="00523500"/>
    <w:rsid w:val="00527ED6"/>
    <w:rsid w:val="00537E1E"/>
    <w:rsid w:val="00545339"/>
    <w:rsid w:val="0058305A"/>
    <w:rsid w:val="00586EB3"/>
    <w:rsid w:val="0058789B"/>
    <w:rsid w:val="00591A7D"/>
    <w:rsid w:val="00593C65"/>
    <w:rsid w:val="005A1742"/>
    <w:rsid w:val="005C3956"/>
    <w:rsid w:val="005D034E"/>
    <w:rsid w:val="006212FB"/>
    <w:rsid w:val="006325E9"/>
    <w:rsid w:val="00633C6A"/>
    <w:rsid w:val="00643AEA"/>
    <w:rsid w:val="00645F15"/>
    <w:rsid w:val="00652EA8"/>
    <w:rsid w:val="00680D5A"/>
    <w:rsid w:val="00694AE4"/>
    <w:rsid w:val="00696626"/>
    <w:rsid w:val="006D0900"/>
    <w:rsid w:val="007173E4"/>
    <w:rsid w:val="00723F48"/>
    <w:rsid w:val="00730674"/>
    <w:rsid w:val="007345BE"/>
    <w:rsid w:val="007371FC"/>
    <w:rsid w:val="007421D7"/>
    <w:rsid w:val="00751575"/>
    <w:rsid w:val="00771C18"/>
    <w:rsid w:val="00772BD8"/>
    <w:rsid w:val="00775881"/>
    <w:rsid w:val="00781945"/>
    <w:rsid w:val="007849F7"/>
    <w:rsid w:val="00784B89"/>
    <w:rsid w:val="00794A50"/>
    <w:rsid w:val="007A0F99"/>
    <w:rsid w:val="007A3351"/>
    <w:rsid w:val="007A3881"/>
    <w:rsid w:val="007A6541"/>
    <w:rsid w:val="007B064E"/>
    <w:rsid w:val="007C3655"/>
    <w:rsid w:val="007D0357"/>
    <w:rsid w:val="007F2A73"/>
    <w:rsid w:val="007F33AC"/>
    <w:rsid w:val="00800447"/>
    <w:rsid w:val="0080216C"/>
    <w:rsid w:val="008324C1"/>
    <w:rsid w:val="0084661B"/>
    <w:rsid w:val="00846B80"/>
    <w:rsid w:val="00866650"/>
    <w:rsid w:val="0088118D"/>
    <w:rsid w:val="00882E0E"/>
    <w:rsid w:val="008D3699"/>
    <w:rsid w:val="008E6B1C"/>
    <w:rsid w:val="008F7611"/>
    <w:rsid w:val="009101E9"/>
    <w:rsid w:val="00912335"/>
    <w:rsid w:val="00961352"/>
    <w:rsid w:val="00972D93"/>
    <w:rsid w:val="009741A3"/>
    <w:rsid w:val="009821D4"/>
    <w:rsid w:val="0099218A"/>
    <w:rsid w:val="00995C51"/>
    <w:rsid w:val="009963B2"/>
    <w:rsid w:val="009C3166"/>
    <w:rsid w:val="009C4596"/>
    <w:rsid w:val="009C6ED3"/>
    <w:rsid w:val="009D06DE"/>
    <w:rsid w:val="009E4A04"/>
    <w:rsid w:val="009E659E"/>
    <w:rsid w:val="009E71E0"/>
    <w:rsid w:val="00A079C5"/>
    <w:rsid w:val="00A17622"/>
    <w:rsid w:val="00A26FA1"/>
    <w:rsid w:val="00A30C28"/>
    <w:rsid w:val="00A56F81"/>
    <w:rsid w:val="00A6227A"/>
    <w:rsid w:val="00A92AB4"/>
    <w:rsid w:val="00AC3B7F"/>
    <w:rsid w:val="00AE03BB"/>
    <w:rsid w:val="00AF01DD"/>
    <w:rsid w:val="00B03378"/>
    <w:rsid w:val="00B049A2"/>
    <w:rsid w:val="00B1152F"/>
    <w:rsid w:val="00B1177C"/>
    <w:rsid w:val="00B20025"/>
    <w:rsid w:val="00B27FCB"/>
    <w:rsid w:val="00B37ED6"/>
    <w:rsid w:val="00B4533C"/>
    <w:rsid w:val="00B552F1"/>
    <w:rsid w:val="00B6002C"/>
    <w:rsid w:val="00B6474D"/>
    <w:rsid w:val="00B831F0"/>
    <w:rsid w:val="00B866C2"/>
    <w:rsid w:val="00BA3BF5"/>
    <w:rsid w:val="00BB57BB"/>
    <w:rsid w:val="00BB6857"/>
    <w:rsid w:val="00BB77E8"/>
    <w:rsid w:val="00BF3BCC"/>
    <w:rsid w:val="00C1187F"/>
    <w:rsid w:val="00C22999"/>
    <w:rsid w:val="00C41B4E"/>
    <w:rsid w:val="00C47DA1"/>
    <w:rsid w:val="00C51E50"/>
    <w:rsid w:val="00C70C66"/>
    <w:rsid w:val="00CA579A"/>
    <w:rsid w:val="00CB7CF1"/>
    <w:rsid w:val="00CC359D"/>
    <w:rsid w:val="00CE6E35"/>
    <w:rsid w:val="00D10F20"/>
    <w:rsid w:val="00D20EEA"/>
    <w:rsid w:val="00D32503"/>
    <w:rsid w:val="00D37FB8"/>
    <w:rsid w:val="00D7183A"/>
    <w:rsid w:val="00D73737"/>
    <w:rsid w:val="00D90582"/>
    <w:rsid w:val="00DB531F"/>
    <w:rsid w:val="00DB57E7"/>
    <w:rsid w:val="00DD51EF"/>
    <w:rsid w:val="00DF46A8"/>
    <w:rsid w:val="00E109D9"/>
    <w:rsid w:val="00E12574"/>
    <w:rsid w:val="00E336D4"/>
    <w:rsid w:val="00E357BC"/>
    <w:rsid w:val="00E47E62"/>
    <w:rsid w:val="00E8037C"/>
    <w:rsid w:val="00E82DBD"/>
    <w:rsid w:val="00EA37CA"/>
    <w:rsid w:val="00EA58F6"/>
    <w:rsid w:val="00EB0A82"/>
    <w:rsid w:val="00EB743A"/>
    <w:rsid w:val="00EC3D8D"/>
    <w:rsid w:val="00ED557F"/>
    <w:rsid w:val="00EE38E7"/>
    <w:rsid w:val="00EF5F2D"/>
    <w:rsid w:val="00F166F6"/>
    <w:rsid w:val="00F668B7"/>
    <w:rsid w:val="00F739DF"/>
    <w:rsid w:val="00FC547D"/>
    <w:rsid w:val="00FF34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965238"/>
  <w15:chartTrackingRefBased/>
  <w15:docId w15:val="{0C50D3C3-CF19-4DA5-8D10-AF3DBAB9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5E9"/>
    <w:pPr>
      <w:suppressAutoHyphens/>
      <w:spacing w:line="240" w:lineRule="atLeast"/>
    </w:pPr>
    <w:rPr>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
    <w:basedOn w:val="Normal"/>
    <w:link w:val="HeaderChar"/>
    <w:rsid w:val="00633C6A"/>
    <w:pPr>
      <w:pBdr>
        <w:bottom w:val="single" w:sz="4" w:space="4" w:color="auto"/>
      </w:pBdr>
      <w:spacing w:line="240" w:lineRule="auto"/>
    </w:pPr>
    <w:rPr>
      <w:b/>
      <w:sz w:val="18"/>
    </w:rPr>
  </w:style>
  <w:style w:type="character" w:customStyle="1" w:styleId="HeaderChar">
    <w:name w:val="Header Char"/>
    <w:aliases w:val="6_G Char"/>
    <w:link w:val="Header"/>
    <w:locked/>
    <w:rsid w:val="00633C6A"/>
    <w:rPr>
      <w:rFonts w:cs="Times New Roman"/>
      <w:b/>
      <w:snapToGrid w:val="0"/>
      <w:sz w:val="18"/>
      <w:lang w:val="en-GB" w:eastAsia="en-GB"/>
    </w:rPr>
  </w:style>
  <w:style w:type="paragraph" w:styleId="BalloonText">
    <w:name w:val="Balloon Text"/>
    <w:basedOn w:val="Normal"/>
    <w:link w:val="BalloonTextChar"/>
    <w:rsid w:val="00633C6A"/>
    <w:pPr>
      <w:spacing w:line="240" w:lineRule="auto"/>
    </w:pPr>
    <w:rPr>
      <w:rFonts w:ascii="Tahoma" w:hAnsi="Tahoma" w:cs="Tahoma"/>
      <w:sz w:val="16"/>
      <w:szCs w:val="16"/>
    </w:rPr>
  </w:style>
  <w:style w:type="character" w:customStyle="1" w:styleId="BalloonTextChar">
    <w:name w:val="Balloon Text Char"/>
    <w:link w:val="BalloonText"/>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character" w:customStyle="1" w:styleId="SingleTxtGChar">
    <w:name w:val="_ Single Txt_G Char"/>
    <w:link w:val="SingleTxtG"/>
    <w:locked/>
    <w:rsid w:val="004346B7"/>
    <w:rPr>
      <w:snapToGrid w:val="0"/>
      <w:lang w:val="en-GB" w:eastAsia="en-GB"/>
    </w:rPr>
  </w:style>
  <w:style w:type="paragraph" w:styleId="CommentText">
    <w:name w:val="annotation text"/>
    <w:basedOn w:val="Normal"/>
    <w:link w:val="CommentTextChar"/>
    <w:uiPriority w:val="99"/>
    <w:semiHidden/>
    <w:rsid w:val="00A6227A"/>
    <w:pPr>
      <w:suppressAutoHyphens w:val="0"/>
      <w:spacing w:line="240" w:lineRule="auto"/>
    </w:pPr>
  </w:style>
  <w:style w:type="character" w:styleId="CommentReference">
    <w:name w:val="annotation reference"/>
    <w:semiHidden/>
    <w:rsid w:val="00A6227A"/>
    <w:rPr>
      <w:sz w:val="16"/>
    </w:rPr>
  </w:style>
  <w:style w:type="paragraph" w:styleId="Footer">
    <w:name w:val="footer"/>
    <w:aliases w:val="3_G"/>
    <w:basedOn w:val="Normal"/>
    <w:link w:val="FooterChar"/>
    <w:rsid w:val="007371FC"/>
    <w:pPr>
      <w:tabs>
        <w:tab w:val="center" w:pos="4536"/>
        <w:tab w:val="right" w:pos="9072"/>
      </w:tabs>
      <w:spacing w:line="240" w:lineRule="auto"/>
    </w:pPr>
  </w:style>
  <w:style w:type="character" w:customStyle="1" w:styleId="FooterChar">
    <w:name w:val="Footer Char"/>
    <w:link w:val="Footer"/>
    <w:locked/>
    <w:rsid w:val="007371FC"/>
    <w:rPr>
      <w:rFonts w:cs="Times New Roman"/>
    </w:rPr>
  </w:style>
  <w:style w:type="character" w:styleId="PageNumber">
    <w:name w:val="page number"/>
    <w:aliases w:val="7_G"/>
    <w:rsid w:val="00A17622"/>
    <w:rPr>
      <w:rFonts w:ascii="Times New Roman" w:hAnsi="Times New Roman"/>
      <w:b/>
      <w:sz w:val="18"/>
    </w:rPr>
  </w:style>
  <w:style w:type="table" w:styleId="TableGrid">
    <w:name w:val="Table Grid"/>
    <w:basedOn w:val="TableNormal"/>
    <w:rsid w:val="005830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96F"/>
    <w:pPr>
      <w:ind w:left="720"/>
      <w:contextualSpacing/>
    </w:pPr>
    <w:rPr>
      <w:snapToGrid w:val="0"/>
      <w:lang w:eastAsia="fr-FR"/>
    </w:rPr>
  </w:style>
  <w:style w:type="paragraph" w:customStyle="1" w:styleId="H4G">
    <w:name w:val="_ H_4_G"/>
    <w:basedOn w:val="Normal"/>
    <w:next w:val="Normal"/>
    <w:rsid w:val="003D5908"/>
    <w:pPr>
      <w:keepNext/>
      <w:keepLines/>
      <w:tabs>
        <w:tab w:val="right" w:pos="851"/>
      </w:tabs>
      <w:spacing w:before="240" w:after="120" w:line="240" w:lineRule="exact"/>
      <w:ind w:left="1134" w:right="1134" w:hanging="1134"/>
    </w:pPr>
    <w:rPr>
      <w:i/>
      <w:lang w:eastAsia="en-US"/>
    </w:rPr>
  </w:style>
  <w:style w:type="paragraph" w:styleId="FootnoteText">
    <w:name w:val="footnote text"/>
    <w:aliases w:val="5_G"/>
    <w:basedOn w:val="Normal"/>
    <w:link w:val="FootnoteTextChar"/>
    <w:rsid w:val="003D5908"/>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3D5908"/>
    <w:rPr>
      <w:rFonts w:eastAsia="SimSun"/>
      <w:sz w:val="18"/>
      <w:lang w:val="en-GB" w:eastAsia="zh-CN"/>
    </w:rPr>
  </w:style>
  <w:style w:type="character" w:styleId="FootnoteReference">
    <w:name w:val="footnote reference"/>
    <w:aliases w:val="4_G,Footnote Reference/"/>
    <w:rsid w:val="003D5908"/>
    <w:rPr>
      <w:rFonts w:ascii="Times New Roman" w:hAnsi="Times New Roman"/>
      <w:sz w:val="18"/>
      <w:vertAlign w:val="superscript"/>
    </w:rPr>
  </w:style>
  <w:style w:type="character" w:customStyle="1" w:styleId="CommentTextChar">
    <w:name w:val="Comment Text Char"/>
    <w:link w:val="CommentText"/>
    <w:uiPriority w:val="99"/>
    <w:semiHidden/>
    <w:rsid w:val="003D590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145A-99BC-429E-804B-20863BC1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4530</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BMVBS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Manfred Leo</dc:creator>
  <cp:keywords/>
  <cp:lastModifiedBy>Lucille Caillot</cp:lastModifiedBy>
  <cp:revision>2</cp:revision>
  <cp:lastPrinted>2015-08-07T07:04:00Z</cp:lastPrinted>
  <dcterms:created xsi:type="dcterms:W3CDTF">2018-01-23T14:17:00Z</dcterms:created>
  <dcterms:modified xsi:type="dcterms:W3CDTF">2018-01-23T14:17:00Z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2101048538</vt:i4>
  </property>
  <property fmtid="{D5CDD505-2E9C-101B-9397-08002B2CF9AE}" pid="3" name="_NewReviewCycle">
    <vt:lpwstr/>
  </property>
  <property fmtid="{D5CDD505-2E9C-101B-9397-08002B2CF9AE}" pid="4" name="_EmailEntryID">
    <vt:lpwstr>00000000499CFFA959D8FD48A6681C2D91D10D44070060956FFFA2710141B6595D264A98266400000000010C000060956FFFA2710141B6595D264A98266400003FC4B91F0000</vt:lpwstr>
  </property>
  <property fmtid="{D5CDD505-2E9C-101B-9397-08002B2CF9AE}" pid="5" name="_EmailStoreID0">
    <vt:lpwstr>0000000038A1BB1005E5101AA1BB08002B2A56C20000454D534D44422E444C4C00000000000000001B55FA20AA6611CD9BC800AA002FC45A0C0000006C7563696C6C652E6361696C6C6F7440756E2E6F7267002F6F3D45786368616E67654C6162732F6F753D45786368616E67652041646D696E69737472617469766520477</vt:lpwstr>
  </property>
  <property fmtid="{D5CDD505-2E9C-101B-9397-08002B2CF9AE}" pid="6" name="_EmailStoreID1">
    <vt:lpwstr>26F7570202846594449424F484632335350444C54292F636E3D526563697069656E74732F636E3D62646363356361656638323634663563386231623538633738343136313032362D4C4341494C4C4F5400E94632F44000000002000000100000006C007500630069006C006C0065002E006300610069006C006C006F007400</vt:lpwstr>
  </property>
  <property fmtid="{D5CDD505-2E9C-101B-9397-08002B2CF9AE}" pid="7" name="_ReviewingToolsShownOnce">
    <vt:lpwstr/>
  </property>
  <property fmtid="{D5CDD505-2E9C-101B-9397-08002B2CF9AE}" pid="8" name="_EmailStoreID2">
    <vt:lpwstr>400075006E002E006F007200670000000000</vt:lpwstr>
  </property>
</Properties>
</file>