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2920C5">
        <w:trPr>
          <w:cantSplit/>
          <w:trHeight w:hRule="exact" w:val="851"/>
        </w:trPr>
        <w:tc>
          <w:tcPr>
            <w:tcW w:w="1276" w:type="dxa"/>
            <w:tcBorders>
              <w:bottom w:val="single" w:sz="4" w:space="0" w:color="auto"/>
            </w:tcBorders>
            <w:shd w:val="clear" w:color="auto" w:fill="auto"/>
            <w:vAlign w:val="bottom"/>
          </w:tcPr>
          <w:p w:rsidR="002920C5" w:rsidRDefault="002920C5">
            <w:pPr>
              <w:spacing w:after="80"/>
            </w:pPr>
          </w:p>
        </w:tc>
        <w:tc>
          <w:tcPr>
            <w:tcW w:w="2268" w:type="dxa"/>
            <w:tcBorders>
              <w:bottom w:val="single" w:sz="4" w:space="0" w:color="auto"/>
            </w:tcBorders>
            <w:shd w:val="clear" w:color="auto" w:fill="auto"/>
            <w:vAlign w:val="bottom"/>
          </w:tcPr>
          <w:p w:rsidR="002920C5" w:rsidRDefault="002A372B">
            <w:pPr>
              <w:spacing w:after="80" w:line="300" w:lineRule="exact"/>
              <w:rPr>
                <w:b/>
                <w:sz w:val="24"/>
                <w:szCs w:val="24"/>
              </w:rPr>
            </w:pPr>
            <w:r>
              <w:rPr>
                <w:sz w:val="28"/>
                <w:szCs w:val="28"/>
              </w:rPr>
              <w:t>United Nations</w:t>
            </w:r>
          </w:p>
        </w:tc>
        <w:tc>
          <w:tcPr>
            <w:tcW w:w="6095" w:type="dxa"/>
            <w:gridSpan w:val="2"/>
            <w:tcBorders>
              <w:bottom w:val="single" w:sz="4" w:space="0" w:color="auto"/>
            </w:tcBorders>
            <w:shd w:val="clear" w:color="auto" w:fill="auto"/>
            <w:vAlign w:val="bottom"/>
          </w:tcPr>
          <w:p w:rsidR="002920C5" w:rsidRDefault="002A372B">
            <w:pPr>
              <w:suppressAutoHyphens w:val="0"/>
              <w:spacing w:after="20"/>
              <w:jc w:val="right"/>
            </w:pPr>
            <w:r>
              <w:rPr>
                <w:sz w:val="40"/>
              </w:rPr>
              <w:t>ECE</w:t>
            </w:r>
            <w:r>
              <w:t>/TRANS/WP.15/AC.1/2018/4</w:t>
            </w:r>
          </w:p>
        </w:tc>
      </w:tr>
      <w:tr w:rsidR="002920C5">
        <w:trPr>
          <w:cantSplit/>
          <w:trHeight w:hRule="exact" w:val="2835"/>
        </w:trPr>
        <w:tc>
          <w:tcPr>
            <w:tcW w:w="1276" w:type="dxa"/>
            <w:tcBorders>
              <w:top w:val="single" w:sz="4" w:space="0" w:color="auto"/>
              <w:bottom w:val="single" w:sz="12" w:space="0" w:color="auto"/>
            </w:tcBorders>
            <w:shd w:val="clear" w:color="auto" w:fill="auto"/>
          </w:tcPr>
          <w:p w:rsidR="002920C5" w:rsidRDefault="002A372B">
            <w:pPr>
              <w:spacing w:before="120"/>
            </w:pPr>
            <w:r>
              <w:rPr>
                <w:noProof/>
                <w:lang w:val="fr-CH" w:eastAsia="zh-CN"/>
              </w:rPr>
              <w:drawing>
                <wp:inline distT="0" distB="0" distL="0" distR="0">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rsidR="002920C5" w:rsidRDefault="002A372B">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shd w:val="clear" w:color="auto" w:fill="auto"/>
          </w:tcPr>
          <w:p w:rsidR="002920C5" w:rsidRDefault="002A372B">
            <w:pPr>
              <w:suppressAutoHyphens w:val="0"/>
              <w:spacing w:before="240" w:line="240" w:lineRule="exact"/>
            </w:pPr>
            <w:r>
              <w:t>Distr.: General</w:t>
            </w:r>
          </w:p>
          <w:p w:rsidR="002920C5" w:rsidRDefault="009F15A9">
            <w:pPr>
              <w:suppressAutoHyphens w:val="0"/>
            </w:pPr>
            <w:r>
              <w:t>21</w:t>
            </w:r>
            <w:bookmarkStart w:id="0" w:name="_GoBack"/>
            <w:bookmarkEnd w:id="0"/>
            <w:r w:rsidR="002A372B">
              <w:t xml:space="preserve"> December 2017</w:t>
            </w:r>
          </w:p>
          <w:p w:rsidR="002920C5" w:rsidRDefault="002920C5">
            <w:pPr>
              <w:suppressAutoHyphens w:val="0"/>
            </w:pPr>
          </w:p>
          <w:p w:rsidR="002920C5" w:rsidRDefault="002A372B">
            <w:pPr>
              <w:suppressAutoHyphens w:val="0"/>
            </w:pPr>
            <w:r>
              <w:t xml:space="preserve">Original:  English </w:t>
            </w:r>
          </w:p>
        </w:tc>
      </w:tr>
    </w:tbl>
    <w:p w:rsidR="002920C5" w:rsidRDefault="002A372B">
      <w:pPr>
        <w:spacing w:before="120"/>
        <w:rPr>
          <w:b/>
          <w:sz w:val="28"/>
          <w:szCs w:val="28"/>
        </w:rPr>
      </w:pPr>
      <w:r>
        <w:rPr>
          <w:b/>
          <w:sz w:val="28"/>
          <w:szCs w:val="28"/>
        </w:rPr>
        <w:t>Economic Commission for Europe</w:t>
      </w:r>
    </w:p>
    <w:p w:rsidR="002920C5" w:rsidRDefault="002A372B">
      <w:pPr>
        <w:spacing w:before="120"/>
        <w:rPr>
          <w:sz w:val="28"/>
          <w:szCs w:val="28"/>
        </w:rPr>
      </w:pPr>
      <w:r>
        <w:rPr>
          <w:sz w:val="28"/>
          <w:szCs w:val="28"/>
        </w:rPr>
        <w:t>Inland Transport Committee</w:t>
      </w:r>
    </w:p>
    <w:p w:rsidR="002920C5" w:rsidRDefault="002A372B">
      <w:pPr>
        <w:spacing w:before="120" w:after="120"/>
        <w:rPr>
          <w:b/>
          <w:sz w:val="24"/>
          <w:szCs w:val="24"/>
        </w:rPr>
      </w:pPr>
      <w:r>
        <w:rPr>
          <w:b/>
          <w:sz w:val="24"/>
          <w:szCs w:val="24"/>
        </w:rPr>
        <w:t>Working Party on the Transport of Dangerous Goods</w:t>
      </w:r>
    </w:p>
    <w:p w:rsidR="002920C5" w:rsidRDefault="002A372B">
      <w:pPr>
        <w:rPr>
          <w:b/>
        </w:rPr>
      </w:pPr>
      <w:r>
        <w:rPr>
          <w:b/>
        </w:rPr>
        <w:t>Joint Meeting of the RID Committee of Experts and the</w:t>
      </w:r>
    </w:p>
    <w:p w:rsidR="002920C5" w:rsidRDefault="002A372B">
      <w:pPr>
        <w:rPr>
          <w:b/>
        </w:rPr>
      </w:pPr>
      <w:r>
        <w:rPr>
          <w:b/>
        </w:rPr>
        <w:t>Working Party on the Transport of Dangerous Goods</w:t>
      </w:r>
    </w:p>
    <w:p w:rsidR="002920C5" w:rsidRDefault="002A372B">
      <w:r>
        <w:t>Berne, 12-16 March 2018</w:t>
      </w:r>
    </w:p>
    <w:p w:rsidR="002920C5" w:rsidRPr="002A372B" w:rsidRDefault="002A372B">
      <w:r w:rsidRPr="002A372B">
        <w:t>Item 9 of the provisional agenda</w:t>
      </w:r>
    </w:p>
    <w:p w:rsidR="002920C5" w:rsidRDefault="002A372B">
      <w:pPr>
        <w:rPr>
          <w:b/>
        </w:rPr>
      </w:pPr>
      <w:r w:rsidRPr="002A372B">
        <w:rPr>
          <w:b/>
          <w:bCs/>
        </w:rPr>
        <w:t>Any other business</w:t>
      </w:r>
    </w:p>
    <w:p w:rsidR="002920C5" w:rsidRDefault="002A372B">
      <w:pPr>
        <w:pStyle w:val="HChG"/>
        <w:rPr>
          <w:lang w:val="en-US"/>
        </w:rPr>
      </w:pPr>
      <w:r>
        <w:tab/>
      </w:r>
      <w:r>
        <w:tab/>
        <w:t>Filling of LPG cylinders by private individuals or enterprises for their own supply</w:t>
      </w:r>
    </w:p>
    <w:p w:rsidR="002920C5" w:rsidRDefault="002A372B">
      <w:pPr>
        <w:pStyle w:val="H1G"/>
        <w:rPr>
          <w:b w:val="0"/>
          <w:szCs w:val="24"/>
        </w:rPr>
      </w:pPr>
      <w:r>
        <w:rPr>
          <w:szCs w:val="24"/>
        </w:rPr>
        <w:tab/>
      </w:r>
      <w:r>
        <w:rPr>
          <w:szCs w:val="24"/>
        </w:rPr>
        <w:tab/>
        <w:t>Transmitted by the Government of Switzerland</w:t>
      </w:r>
      <w:r w:rsidRPr="004B0C52">
        <w:rPr>
          <w:rStyle w:val="FootnoteReference"/>
          <w:b w:val="0"/>
          <w:sz w:val="20"/>
        </w:rPr>
        <w:footnoteReference w:id="2"/>
      </w:r>
    </w:p>
    <w:p w:rsidR="002920C5" w:rsidRDefault="002A372B">
      <w:pPr>
        <w:pStyle w:val="HChG"/>
        <w:rPr>
          <w:lang w:val="nl-NL"/>
        </w:rPr>
      </w:pPr>
      <w:r>
        <w:tab/>
      </w:r>
      <w:r>
        <w:tab/>
      </w:r>
      <w:r>
        <w:rPr>
          <w:lang w:val="en-US"/>
        </w:rPr>
        <w:t>Introduction</w:t>
      </w:r>
    </w:p>
    <w:p w:rsidR="002920C5" w:rsidRDefault="002A372B">
      <w:pPr>
        <w:pStyle w:val="SingleTxtG"/>
        <w:rPr>
          <w:color w:val="000000" w:themeColor="text1"/>
          <w:lang w:val="en-US"/>
        </w:rPr>
      </w:pPr>
      <w:r>
        <w:rPr>
          <w:color w:val="000000" w:themeColor="text1"/>
          <w:lang w:val="en-US"/>
        </w:rPr>
        <w:t>1.</w:t>
      </w:r>
      <w:r>
        <w:rPr>
          <w:color w:val="000000" w:themeColor="text1"/>
          <w:lang w:val="en-US"/>
        </w:rPr>
        <w:tab/>
        <w:t xml:space="preserve">As part of their market surveillance activities in the field of transportable pressure equipment, the Swiss authorities have run several times into the question of the filling of gas cylinders by private individuals or enterprises for their own supply. Recently the question arose whether it </w:t>
      </w:r>
      <w:proofErr w:type="gramStart"/>
      <w:r>
        <w:rPr>
          <w:color w:val="000000" w:themeColor="text1"/>
          <w:lang w:val="en-US"/>
        </w:rPr>
        <w:t>was allowed to</w:t>
      </w:r>
      <w:proofErr w:type="gramEnd"/>
      <w:r>
        <w:rPr>
          <w:color w:val="000000" w:themeColor="text1"/>
          <w:lang w:val="en-US"/>
        </w:rPr>
        <w:t xml:space="preserve"> fill </w:t>
      </w:r>
      <w:r w:rsidR="00941605">
        <w:rPr>
          <w:color w:val="000000" w:themeColor="text1"/>
          <w:lang w:val="en-US"/>
        </w:rPr>
        <w:t>Liquefied Petroleum Gas (LPG)</w:t>
      </w:r>
      <w:r>
        <w:rPr>
          <w:color w:val="000000" w:themeColor="text1"/>
          <w:lang w:val="en-US"/>
        </w:rPr>
        <w:t xml:space="preserve"> cylinders at gas stations, be it with or without supervision of the personal of the gas station.</w:t>
      </w:r>
    </w:p>
    <w:p w:rsidR="002920C5" w:rsidRDefault="002A372B">
      <w:pPr>
        <w:pStyle w:val="SingleTxtG"/>
      </w:pPr>
      <w:r>
        <w:rPr>
          <w:color w:val="000000" w:themeColor="text1"/>
          <w:lang w:val="en-US"/>
        </w:rPr>
        <w:t>2.</w:t>
      </w:r>
      <w:r>
        <w:rPr>
          <w:color w:val="000000" w:themeColor="text1"/>
          <w:lang w:val="en-US"/>
        </w:rPr>
        <w:tab/>
        <w:t>Refillable</w:t>
      </w:r>
      <w:r>
        <w:t xml:space="preserve"> LPG cylinders have been bought by private individuals for many years already. In the caravanning </w:t>
      </w:r>
      <w:proofErr w:type="gramStart"/>
      <w:r>
        <w:t>sector</w:t>
      </w:r>
      <w:proofErr w:type="gramEnd"/>
      <w:r>
        <w:t xml:space="preserve"> </w:t>
      </w:r>
      <w:r>
        <w:rPr>
          <w:color w:val="000000" w:themeColor="text1"/>
        </w:rPr>
        <w:t xml:space="preserve">the private owned cylinders are economically attractive compared to depot or rented cylinders and a good solution to the difficult exchange of </w:t>
      </w:r>
      <w:r>
        <w:rPr>
          <w:color w:val="000000" w:themeColor="text1"/>
          <w:lang w:val="en-US"/>
        </w:rPr>
        <w:t xml:space="preserve">cylinders when travelling abroad. Cylinders that are </w:t>
      </w:r>
      <w:r>
        <w:t xml:space="preserve">permanently affixed to a caravan or motorhome and approved together with the rest of the vehicle are considered a vehicle equipment (Figures 1, 2 and 3). </w:t>
      </w:r>
    </w:p>
    <w:tbl>
      <w:tblPr>
        <w:tblStyle w:val="TableGrid"/>
        <w:tblW w:w="77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977"/>
        <w:gridCol w:w="4820"/>
      </w:tblGrid>
      <w:tr w:rsidR="002920C5">
        <w:trPr>
          <w:cantSplit/>
          <w:trHeight w:val="230"/>
          <w:jc w:val="center"/>
        </w:trPr>
        <w:tc>
          <w:tcPr>
            <w:tcW w:w="2977" w:type="dxa"/>
          </w:tcPr>
          <w:p w:rsidR="002920C5" w:rsidRDefault="002A372B">
            <w:pPr>
              <w:pStyle w:val="SingleTxtG"/>
              <w:keepNext/>
              <w:keepLines/>
              <w:spacing w:after="0"/>
              <w:ind w:left="0" w:right="113"/>
              <w:jc w:val="center"/>
            </w:pPr>
            <w:r>
              <w:lastRenderedPageBreak/>
              <w:t>Figure 1: Steel cylinder</w:t>
            </w:r>
          </w:p>
        </w:tc>
        <w:tc>
          <w:tcPr>
            <w:tcW w:w="4820" w:type="dxa"/>
          </w:tcPr>
          <w:p w:rsidR="002920C5" w:rsidRDefault="002A372B">
            <w:pPr>
              <w:pStyle w:val="SingleTxtG"/>
              <w:keepNext/>
              <w:keepLines/>
              <w:spacing w:after="0"/>
              <w:ind w:left="0" w:right="113"/>
              <w:jc w:val="center"/>
            </w:pPr>
            <w:r>
              <w:t>Figure 2: Aluminium cylinders</w:t>
            </w:r>
          </w:p>
        </w:tc>
      </w:tr>
      <w:tr w:rsidR="002920C5">
        <w:trPr>
          <w:cantSplit/>
          <w:trHeight w:val="3653"/>
          <w:jc w:val="center"/>
        </w:trPr>
        <w:tc>
          <w:tcPr>
            <w:tcW w:w="2977" w:type="dxa"/>
            <w:vAlign w:val="center"/>
          </w:tcPr>
          <w:p w:rsidR="002920C5" w:rsidRDefault="002A372B">
            <w:pPr>
              <w:pStyle w:val="SingleTxtG"/>
              <w:keepNext/>
              <w:keepLines/>
              <w:spacing w:after="0"/>
              <w:ind w:left="0" w:right="115"/>
              <w:jc w:val="center"/>
            </w:pPr>
            <w:r>
              <w:rPr>
                <w:noProof/>
                <w:lang w:val="fr-CH" w:eastAsia="zh-CN"/>
              </w:rPr>
              <w:drawing>
                <wp:inline distT="0" distB="0" distL="0" distR="0">
                  <wp:extent cx="1587260" cy="2112138"/>
                  <wp:effectExtent l="0" t="0" r="0" b="2540"/>
                  <wp:docPr id="5" name="Image 5" descr="H:\data\Règlements UN RID ADR RSD SDR\cylinder fixed in vehi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data\Règlements UN RID ADR RSD SDR\cylinder fixed in vehic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8719" cy="2114079"/>
                          </a:xfrm>
                          <a:prstGeom prst="rect">
                            <a:avLst/>
                          </a:prstGeom>
                          <a:noFill/>
                          <a:ln>
                            <a:noFill/>
                          </a:ln>
                        </pic:spPr>
                      </pic:pic>
                    </a:graphicData>
                  </a:graphic>
                </wp:inline>
              </w:drawing>
            </w:r>
          </w:p>
        </w:tc>
        <w:tc>
          <w:tcPr>
            <w:tcW w:w="4820" w:type="dxa"/>
            <w:vAlign w:val="center"/>
          </w:tcPr>
          <w:p w:rsidR="002920C5" w:rsidRDefault="002A372B">
            <w:pPr>
              <w:pStyle w:val="SingleTxtG"/>
              <w:keepNext/>
              <w:keepLines/>
              <w:spacing w:after="0"/>
              <w:ind w:left="0" w:right="114"/>
              <w:jc w:val="center"/>
            </w:pPr>
            <w:r>
              <w:object w:dxaOrig="9165" w:dyaOrig="6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25pt;height:166.5pt" o:ole="">
                  <v:imagedata r:id="rId11" o:title=""/>
                </v:shape>
                <o:OLEObject Type="Embed" ProgID="PBrush" ShapeID="_x0000_i1025" DrawAspect="Content" ObjectID="_1575363139" r:id="rId12"/>
              </w:object>
            </w:r>
          </w:p>
        </w:tc>
      </w:tr>
      <w:tr w:rsidR="002920C5">
        <w:trPr>
          <w:cantSplit/>
          <w:trHeight w:val="230"/>
          <w:jc w:val="center"/>
        </w:trPr>
        <w:tc>
          <w:tcPr>
            <w:tcW w:w="7797" w:type="dxa"/>
            <w:gridSpan w:val="2"/>
          </w:tcPr>
          <w:p w:rsidR="002920C5" w:rsidRDefault="002A372B">
            <w:pPr>
              <w:pStyle w:val="SingleTxtG"/>
              <w:spacing w:after="0"/>
              <w:ind w:left="0" w:right="113"/>
              <w:jc w:val="center"/>
            </w:pPr>
            <w:r>
              <w:t>Figure 3: Filling of a fixed cylinder</w:t>
            </w:r>
          </w:p>
        </w:tc>
      </w:tr>
      <w:tr w:rsidR="002920C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cantSplit/>
          <w:trHeight w:val="2927"/>
        </w:trPr>
        <w:tc>
          <w:tcPr>
            <w:tcW w:w="7797" w:type="dxa"/>
            <w:gridSpan w:val="2"/>
            <w:tcBorders>
              <w:top w:val="nil"/>
              <w:left w:val="nil"/>
              <w:bottom w:val="nil"/>
              <w:right w:val="nil"/>
            </w:tcBorders>
          </w:tcPr>
          <w:p w:rsidR="002920C5" w:rsidRDefault="002A372B">
            <w:pPr>
              <w:pStyle w:val="SingleTxtG"/>
              <w:spacing w:after="0"/>
              <w:ind w:left="0" w:right="114"/>
              <w:jc w:val="center"/>
            </w:pPr>
            <w:r>
              <w:object w:dxaOrig="6210" w:dyaOrig="4710">
                <v:shape id="_x0000_i1026" type="#_x0000_t75" style="width:177pt;height:134.25pt" o:ole="">
                  <v:imagedata r:id="rId13" o:title=""/>
                </v:shape>
                <o:OLEObject Type="Embed" ProgID="PBrush" ShapeID="_x0000_i1026" DrawAspect="Content" ObjectID="_1575363140" r:id="rId14"/>
              </w:object>
            </w:r>
          </w:p>
        </w:tc>
      </w:tr>
    </w:tbl>
    <w:p w:rsidR="002920C5" w:rsidRDefault="002A372B">
      <w:pPr>
        <w:pStyle w:val="SingleTxtG"/>
        <w:rPr>
          <w:color w:val="000000" w:themeColor="text1"/>
          <w:lang w:val="en-US"/>
        </w:rPr>
      </w:pPr>
      <w:r>
        <w:t>3.</w:t>
      </w:r>
      <w:r>
        <w:tab/>
        <w:t xml:space="preserve">However, cylinders </w:t>
      </w:r>
      <w:r>
        <w:rPr>
          <w:color w:val="000000" w:themeColor="text1"/>
        </w:rPr>
        <w:t>are not always affixed to a vehicle. Particularly light cylinders such as aluminium cylinders and composite cylinders are not only used in the caravanning sector but also for hot air balloons, boating, heating, drying or melting purposes on construction sites, etc.</w:t>
      </w:r>
      <w:r>
        <w:rPr>
          <w:color w:val="000000" w:themeColor="text1"/>
          <w:lang w:val="en-US"/>
        </w:rPr>
        <w:t xml:space="preserve"> (Figures 4, 5 and 6). Some advertisements give the impression that their direct filling by private individuals or workers of enterprises using LPG for their own supply is allowed without condition.</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3213"/>
        <w:gridCol w:w="3213"/>
        <w:gridCol w:w="3213"/>
      </w:tblGrid>
      <w:tr w:rsidR="002920C5">
        <w:trPr>
          <w:trHeight w:val="260"/>
          <w:jc w:val="center"/>
        </w:trPr>
        <w:tc>
          <w:tcPr>
            <w:tcW w:w="3213" w:type="dxa"/>
          </w:tcPr>
          <w:p w:rsidR="002920C5" w:rsidRDefault="002A372B">
            <w:pPr>
              <w:pStyle w:val="SingleTxtG"/>
              <w:keepNext/>
              <w:keepLines/>
              <w:spacing w:after="0"/>
              <w:ind w:left="0" w:right="113"/>
              <w:jc w:val="center"/>
            </w:pPr>
            <w:r>
              <w:t xml:space="preserve">Figure 4: </w:t>
            </w:r>
            <w:r>
              <w:rPr>
                <w:color w:val="000000" w:themeColor="text1"/>
              </w:rPr>
              <w:t>Small aluminium cylinder</w:t>
            </w:r>
          </w:p>
        </w:tc>
        <w:tc>
          <w:tcPr>
            <w:tcW w:w="3213" w:type="dxa"/>
          </w:tcPr>
          <w:p w:rsidR="002920C5" w:rsidRDefault="002A372B">
            <w:pPr>
              <w:pStyle w:val="SingleTxtG"/>
              <w:keepNext/>
              <w:keepLines/>
              <w:spacing w:after="0"/>
              <w:ind w:left="0" w:right="113"/>
              <w:jc w:val="center"/>
            </w:pPr>
            <w:r>
              <w:t>Figure 5: Composite cylinder</w:t>
            </w:r>
          </w:p>
        </w:tc>
        <w:tc>
          <w:tcPr>
            <w:tcW w:w="3213" w:type="dxa"/>
          </w:tcPr>
          <w:p w:rsidR="002920C5" w:rsidRDefault="002A372B">
            <w:pPr>
              <w:pStyle w:val="SingleTxtG"/>
              <w:keepNext/>
              <w:keepLines/>
              <w:spacing w:after="0"/>
              <w:ind w:left="0" w:right="113"/>
              <w:jc w:val="center"/>
              <w:rPr>
                <w:lang w:val="en-US"/>
              </w:rPr>
            </w:pPr>
            <w:r>
              <w:rPr>
                <w:lang w:val="en-US"/>
              </w:rPr>
              <w:t>Figure 6: Direct filling</w:t>
            </w:r>
          </w:p>
        </w:tc>
      </w:tr>
      <w:tr w:rsidR="002920C5">
        <w:trPr>
          <w:trHeight w:val="3636"/>
          <w:jc w:val="center"/>
        </w:trPr>
        <w:tc>
          <w:tcPr>
            <w:tcW w:w="3213" w:type="dxa"/>
            <w:vAlign w:val="bottom"/>
          </w:tcPr>
          <w:p w:rsidR="002920C5" w:rsidRDefault="002A372B">
            <w:pPr>
              <w:pStyle w:val="SingleTxtG"/>
              <w:spacing w:after="0"/>
              <w:ind w:left="0" w:right="113"/>
              <w:jc w:val="center"/>
            </w:pPr>
            <w:r>
              <w:rPr>
                <w:noProof/>
                <w:lang w:val="fr-CH" w:eastAsia="zh-CN"/>
              </w:rPr>
              <w:drawing>
                <wp:inline distT="0" distB="0" distL="0" distR="0">
                  <wp:extent cx="1656272" cy="2208362"/>
                  <wp:effectExtent l="0" t="0" r="1270" b="1905"/>
                  <wp:docPr id="3" name="Image 3" descr="H:\data\Règlements UN RID ADR RSD SDR\Filling of gas cylinders\4-Cylinder AluGas portable 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ata\Règlements UN RID ADR RSD SDR\Filling of gas cylinders\4-Cylinder AluGas portable peti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6482" cy="2208642"/>
                          </a:xfrm>
                          <a:prstGeom prst="rect">
                            <a:avLst/>
                          </a:prstGeom>
                          <a:noFill/>
                          <a:ln>
                            <a:noFill/>
                          </a:ln>
                        </pic:spPr>
                      </pic:pic>
                    </a:graphicData>
                  </a:graphic>
                </wp:inline>
              </w:drawing>
            </w:r>
          </w:p>
        </w:tc>
        <w:tc>
          <w:tcPr>
            <w:tcW w:w="3213" w:type="dxa"/>
            <w:vAlign w:val="bottom"/>
          </w:tcPr>
          <w:p w:rsidR="002920C5" w:rsidRDefault="002A372B">
            <w:pPr>
              <w:pStyle w:val="SingleTxtG"/>
              <w:spacing w:after="0"/>
              <w:ind w:left="0" w:right="113"/>
              <w:jc w:val="center"/>
            </w:pPr>
            <w:r>
              <w:rPr>
                <w:noProof/>
                <w:lang w:val="fr-CH" w:eastAsia="zh-CN"/>
              </w:rPr>
              <w:drawing>
                <wp:inline distT="0" distB="0" distL="0" distR="0">
                  <wp:extent cx="1570813" cy="2173665"/>
                  <wp:effectExtent l="0" t="0" r="0" b="0"/>
                  <wp:docPr id="6" name="Image 6" descr="H:\data\Règlements UN RID ADR RSD SDR\Filling of gas cylinders\5-Cylinder Safefill por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data\Règlements UN RID ADR RSD SDR\Filling of gas cylinders\5-Cylinder Safefill portabl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0813" cy="2173665"/>
                          </a:xfrm>
                          <a:prstGeom prst="rect">
                            <a:avLst/>
                          </a:prstGeom>
                          <a:noFill/>
                          <a:ln>
                            <a:noFill/>
                          </a:ln>
                        </pic:spPr>
                      </pic:pic>
                    </a:graphicData>
                  </a:graphic>
                </wp:inline>
              </w:drawing>
            </w:r>
          </w:p>
        </w:tc>
        <w:tc>
          <w:tcPr>
            <w:tcW w:w="3213" w:type="dxa"/>
            <w:vAlign w:val="bottom"/>
          </w:tcPr>
          <w:p w:rsidR="002920C5" w:rsidRDefault="002A372B">
            <w:pPr>
              <w:pStyle w:val="SingleTxtG"/>
              <w:spacing w:after="0"/>
              <w:ind w:left="0" w:right="113"/>
              <w:jc w:val="center"/>
              <w:rPr>
                <w:lang w:val="fr-CH"/>
              </w:rPr>
            </w:pPr>
            <w:r>
              <w:rPr>
                <w:noProof/>
                <w:lang w:val="fr-CH" w:eastAsia="zh-CN"/>
              </w:rPr>
              <w:drawing>
                <wp:inline distT="0" distB="0" distL="0" distR="0">
                  <wp:extent cx="1518249" cy="2153485"/>
                  <wp:effectExtent l="0" t="0" r="6350" b="0"/>
                  <wp:docPr id="4" name="Image 4" descr="H:\data\Règlements UN RID ADR RSD SDR\Filling of gas cylinders\6-Cylinder Safefill portable Refil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ata\Règlements UN RID ADR RSD SDR\Filling of gas cylinders\6-Cylinder Safefill portable Refill 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8249" cy="2153485"/>
                          </a:xfrm>
                          <a:prstGeom prst="rect">
                            <a:avLst/>
                          </a:prstGeom>
                          <a:noFill/>
                          <a:ln>
                            <a:noFill/>
                          </a:ln>
                        </pic:spPr>
                      </pic:pic>
                    </a:graphicData>
                  </a:graphic>
                </wp:inline>
              </w:drawing>
            </w:r>
          </w:p>
        </w:tc>
      </w:tr>
    </w:tbl>
    <w:p w:rsidR="002920C5" w:rsidRDefault="002A372B">
      <w:pPr>
        <w:pStyle w:val="HChG"/>
        <w:rPr>
          <w:lang w:val="en-US"/>
        </w:rPr>
      </w:pPr>
      <w:r>
        <w:rPr>
          <w:lang w:val="en-US"/>
        </w:rPr>
        <w:lastRenderedPageBreak/>
        <w:tab/>
      </w:r>
      <w:r>
        <w:rPr>
          <w:lang w:val="en-US"/>
        </w:rPr>
        <w:tab/>
        <w:t>Discussion</w:t>
      </w:r>
    </w:p>
    <w:p w:rsidR="002920C5" w:rsidRDefault="002A372B">
      <w:pPr>
        <w:pStyle w:val="SingleTxtG"/>
        <w:rPr>
          <w:lang w:val="en-US"/>
        </w:rPr>
      </w:pPr>
      <w:r>
        <w:rPr>
          <w:lang w:val="en-US"/>
        </w:rPr>
        <w:t>4.</w:t>
      </w:r>
      <w:r>
        <w:rPr>
          <w:lang w:val="en-US"/>
        </w:rPr>
        <w:tab/>
        <w:t xml:space="preserve">The filling of LPG cylinders </w:t>
      </w:r>
      <w:r>
        <w:t xml:space="preserve">by private individuals or enterprises for their own supply, be it </w:t>
      </w:r>
      <w:r>
        <w:rPr>
          <w:lang w:val="en-US"/>
        </w:rPr>
        <w:t>at gas stations, at other filling facilities or even from a private owned tank raises some questions from the legal and safety points of view.</w:t>
      </w:r>
    </w:p>
    <w:p w:rsidR="002920C5" w:rsidRDefault="002A372B" w:rsidP="002A372B">
      <w:pPr>
        <w:pStyle w:val="H1G"/>
        <w:rPr>
          <w:lang w:val="en-US"/>
        </w:rPr>
      </w:pPr>
      <w:r>
        <w:rPr>
          <w:lang w:val="en-US"/>
        </w:rPr>
        <w:tab/>
      </w:r>
      <w:r>
        <w:rPr>
          <w:lang w:val="en-US"/>
        </w:rPr>
        <w:tab/>
        <w:t>Legal aspects</w:t>
      </w:r>
    </w:p>
    <w:p w:rsidR="002920C5" w:rsidRDefault="002A372B">
      <w:pPr>
        <w:pStyle w:val="SingleTxtG"/>
        <w:rPr>
          <w:lang w:val="en-US"/>
        </w:rPr>
      </w:pPr>
      <w:r>
        <w:rPr>
          <w:lang w:val="en-US"/>
        </w:rPr>
        <w:t xml:space="preserve">5. </w:t>
      </w:r>
      <w:r>
        <w:rPr>
          <w:lang w:val="en-US"/>
        </w:rPr>
        <w:tab/>
        <w:t xml:space="preserve">After some </w:t>
      </w:r>
      <w:proofErr w:type="gramStart"/>
      <w:r>
        <w:rPr>
          <w:lang w:val="en-US"/>
        </w:rPr>
        <w:t>research</w:t>
      </w:r>
      <w:proofErr w:type="gramEnd"/>
      <w:r>
        <w:rPr>
          <w:lang w:val="en-US"/>
        </w:rPr>
        <w:t xml:space="preserve"> it appears that several European countries authorize the filling of LPG cylinders when these are affixed to the vehicle, as this operation is considered being equivalent to fueling a vehicle tank. On the other hand, it appears that some countries explicitly forbid the filling of LPG cylinders at gas stations and other filling facilities when the cylinders are not permanently affixed to a vehicle (portable cylinders).</w:t>
      </w:r>
    </w:p>
    <w:p w:rsidR="002920C5" w:rsidRDefault="002A372B">
      <w:pPr>
        <w:pStyle w:val="SingleTxtG"/>
        <w:rPr>
          <w:lang w:val="en-US"/>
        </w:rPr>
      </w:pPr>
      <w:r>
        <w:rPr>
          <w:lang w:val="en-US"/>
        </w:rPr>
        <w:t xml:space="preserve">6. </w:t>
      </w:r>
      <w:r>
        <w:rPr>
          <w:lang w:val="en-US"/>
        </w:rPr>
        <w:tab/>
        <w:t>We believe the only explicit internationally harmonized requirements are those in paragraph (7) (a) of packing instructions P200 in 4.1.4.1 RID/ADR:</w:t>
      </w:r>
    </w:p>
    <w:p w:rsidR="002920C5" w:rsidRDefault="002A372B">
      <w:pPr>
        <w:pStyle w:val="SingleTxtG"/>
        <w:ind w:left="1701"/>
      </w:pPr>
      <w:r>
        <w:rPr>
          <w:lang w:val="en-US"/>
        </w:rPr>
        <w:t xml:space="preserve">"The </w:t>
      </w:r>
      <w:r>
        <w:t>filling of pressure receptacles may only be carried out by specially-equipped centres, with qualified staff using appropriate procedures.</w:t>
      </w:r>
    </w:p>
    <w:p w:rsidR="002920C5" w:rsidRDefault="002A372B">
      <w:pPr>
        <w:pStyle w:val="SingleTxtG"/>
        <w:spacing w:after="0"/>
        <w:ind w:left="1701"/>
      </w:pPr>
      <w:r>
        <w:t>The procedures shall include checks:</w:t>
      </w:r>
    </w:p>
    <w:p w:rsidR="002920C5" w:rsidRDefault="002A372B">
      <w:pPr>
        <w:pStyle w:val="SingleTxtG"/>
        <w:spacing w:after="0"/>
        <w:ind w:left="1701"/>
      </w:pPr>
      <w:r>
        <w:t>– of the conformity of receptacles and accessories with RID/ADR;</w:t>
      </w:r>
    </w:p>
    <w:p w:rsidR="002920C5" w:rsidRDefault="002A372B">
      <w:pPr>
        <w:pStyle w:val="SingleTxtG"/>
        <w:spacing w:after="0"/>
        <w:ind w:left="1701"/>
      </w:pPr>
      <w:r>
        <w:t>– of their compatibility with the product to be carried;</w:t>
      </w:r>
    </w:p>
    <w:p w:rsidR="002920C5" w:rsidRDefault="002A372B">
      <w:pPr>
        <w:pStyle w:val="SingleTxtG"/>
        <w:spacing w:after="0"/>
        <w:ind w:left="1701"/>
      </w:pPr>
      <w:r>
        <w:t>– of the absence of damage which might affect safety;</w:t>
      </w:r>
    </w:p>
    <w:p w:rsidR="002920C5" w:rsidRDefault="002A372B">
      <w:pPr>
        <w:pStyle w:val="SingleTxtG"/>
        <w:spacing w:after="0"/>
        <w:ind w:left="1701"/>
      </w:pPr>
      <w:r>
        <w:t>– of compliance with the degree or pressure of filling, as appropriate;</w:t>
      </w:r>
    </w:p>
    <w:p w:rsidR="002920C5" w:rsidRDefault="002A372B">
      <w:pPr>
        <w:pStyle w:val="SingleTxtG"/>
        <w:ind w:left="1701"/>
        <w:rPr>
          <w:i/>
        </w:rPr>
      </w:pPr>
      <w:r>
        <w:t>– of marks and identification.".</w:t>
      </w:r>
    </w:p>
    <w:p w:rsidR="002920C5" w:rsidRDefault="002A372B">
      <w:pPr>
        <w:pStyle w:val="SingleTxtG"/>
        <w:rPr>
          <w:lang w:val="en-US"/>
        </w:rPr>
      </w:pPr>
      <w:proofErr w:type="gramStart"/>
      <w:r>
        <w:rPr>
          <w:lang w:val="en-US"/>
        </w:rPr>
        <w:t>These requirement</w:t>
      </w:r>
      <w:proofErr w:type="gramEnd"/>
      <w:r>
        <w:rPr>
          <w:lang w:val="en-US"/>
        </w:rPr>
        <w:t xml:space="preserve"> are considered to be complied with if the standards listed in paragraph (11) are applied. It is however not clear how private individuals and enterprises filling LPG cylinders for their own supply can fulfil these requirements.</w:t>
      </w:r>
    </w:p>
    <w:p w:rsidR="002920C5" w:rsidRDefault="002A372B" w:rsidP="002A372B">
      <w:pPr>
        <w:pStyle w:val="H1G"/>
        <w:rPr>
          <w:lang w:val="en-US"/>
        </w:rPr>
      </w:pPr>
      <w:r>
        <w:rPr>
          <w:lang w:val="en-US"/>
        </w:rPr>
        <w:tab/>
      </w:r>
      <w:r>
        <w:rPr>
          <w:lang w:val="en-US"/>
        </w:rPr>
        <w:tab/>
        <w:t>Safety aspects</w:t>
      </w:r>
    </w:p>
    <w:p w:rsidR="002920C5" w:rsidRDefault="002A372B">
      <w:pPr>
        <w:pStyle w:val="SingleTxtG"/>
        <w:rPr>
          <w:lang w:val="en-US"/>
        </w:rPr>
      </w:pPr>
      <w:r>
        <w:rPr>
          <w:lang w:val="en-US"/>
        </w:rPr>
        <w:t>7.</w:t>
      </w:r>
      <w:r>
        <w:rPr>
          <w:lang w:val="en-US"/>
        </w:rPr>
        <w:tab/>
        <w:t>To take an example, the composite cylinder shown on Figure 5 has been recently put on the Swiss market. This Pi-marked pressure receptacle is designed to be refilled at gas stations. Unlike</w:t>
      </w:r>
      <w:r>
        <w:t xml:space="preserve"> the aluminium cylinder shown on Figure 4, it has only one valve for filling and emptying</w:t>
      </w:r>
      <w:r>
        <w:rPr>
          <w:lang w:val="en-US"/>
        </w:rPr>
        <w:t xml:space="preserve">. As other examples of cylinders presented in this document, it has an automatic overfill prevention device, which deactivates the </w:t>
      </w:r>
      <w:r>
        <w:t>filling process when the cylinder is full to 80%, provided the cylinder is in upright position. It is therefore very important to ensure that this last condition is fulfilled during filling.</w:t>
      </w:r>
    </w:p>
    <w:p w:rsidR="002920C5" w:rsidRDefault="002A372B">
      <w:pPr>
        <w:pStyle w:val="SingleTxtG"/>
        <w:rPr>
          <w:lang w:val="en-US"/>
        </w:rPr>
      </w:pPr>
      <w:r>
        <w:rPr>
          <w:lang w:val="en-US"/>
        </w:rPr>
        <w:t xml:space="preserve">8. </w:t>
      </w:r>
      <w:r>
        <w:rPr>
          <w:lang w:val="en-US"/>
        </w:rPr>
        <w:tab/>
        <w:t xml:space="preserve">We also see a critical safety issue with the use of the adapters that are needed to fill the cylinders in different countries. In Switzerland for instance two consecutive adaptors are needed to fill the composite cylinder (Figure 7) and another adapter is needed to consume the LPG. In our </w:t>
      </w:r>
      <w:proofErr w:type="gramStart"/>
      <w:r>
        <w:rPr>
          <w:lang w:val="en-US"/>
        </w:rPr>
        <w:t>opinion</w:t>
      </w:r>
      <w:proofErr w:type="gramEnd"/>
      <w:r>
        <w:rPr>
          <w:lang w:val="en-US"/>
        </w:rPr>
        <w:t xml:space="preserve"> the successive handling of adapters reduces safety.</w:t>
      </w:r>
    </w:p>
    <w:tbl>
      <w:tblPr>
        <w:tblStyle w:val="TableGrid"/>
        <w:tblW w:w="56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5670"/>
      </w:tblGrid>
      <w:tr w:rsidR="002920C5">
        <w:trPr>
          <w:trHeight w:val="220"/>
          <w:jc w:val="center"/>
        </w:trPr>
        <w:tc>
          <w:tcPr>
            <w:tcW w:w="5670" w:type="dxa"/>
          </w:tcPr>
          <w:p w:rsidR="002920C5" w:rsidRDefault="002A372B">
            <w:pPr>
              <w:pStyle w:val="SingleTxtG"/>
              <w:keepNext/>
              <w:keepLines/>
              <w:spacing w:after="0"/>
              <w:ind w:left="0" w:right="113"/>
              <w:jc w:val="center"/>
            </w:pPr>
            <w:r>
              <w:lastRenderedPageBreak/>
              <w:t xml:space="preserve">Figure 7: Two successive adaptors </w:t>
            </w:r>
          </w:p>
        </w:tc>
      </w:tr>
      <w:tr w:rsidR="002920C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397"/>
        </w:trPr>
        <w:tc>
          <w:tcPr>
            <w:tcW w:w="5670" w:type="dxa"/>
            <w:tcBorders>
              <w:top w:val="nil"/>
              <w:left w:val="nil"/>
              <w:bottom w:val="nil"/>
              <w:right w:val="nil"/>
            </w:tcBorders>
          </w:tcPr>
          <w:p w:rsidR="002920C5" w:rsidRDefault="002A372B">
            <w:pPr>
              <w:pStyle w:val="SingleTxtG"/>
              <w:spacing w:after="0"/>
              <w:ind w:left="0" w:right="115"/>
              <w:jc w:val="center"/>
            </w:pPr>
            <w:r>
              <w:rPr>
                <w:noProof/>
                <w:lang w:val="fr-CH" w:eastAsia="zh-CN"/>
              </w:rPr>
              <w:drawing>
                <wp:inline distT="0" distB="0" distL="0" distR="0">
                  <wp:extent cx="2648310" cy="1986943"/>
                  <wp:effectExtent l="0" t="0" r="0" b="0"/>
                  <wp:docPr id="2" name="Image 2" descr="H:\data\Règlements UN RID ADR RSD SDR\Filling of gas cylinders\7-Cylinder Safefill adaptor 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ata\Règlements UN RID ADR RSD SDR\Filling of gas cylinders\7-Cylinder Safefill adaptor peti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8310" cy="1986943"/>
                          </a:xfrm>
                          <a:prstGeom prst="rect">
                            <a:avLst/>
                          </a:prstGeom>
                          <a:noFill/>
                          <a:ln>
                            <a:noFill/>
                          </a:ln>
                        </pic:spPr>
                      </pic:pic>
                    </a:graphicData>
                  </a:graphic>
                </wp:inline>
              </w:drawing>
            </w:r>
          </w:p>
        </w:tc>
      </w:tr>
    </w:tbl>
    <w:p w:rsidR="002920C5" w:rsidRDefault="002A372B">
      <w:pPr>
        <w:pStyle w:val="SingleTxtG"/>
        <w:rPr>
          <w:lang w:val="en-US"/>
        </w:rPr>
      </w:pPr>
      <w:r>
        <w:t>9.</w:t>
      </w:r>
      <w:r>
        <w:tab/>
        <w:t xml:space="preserve">Finally, we question how private individuals comply with the </w:t>
      </w:r>
      <w:r>
        <w:rPr>
          <w:lang w:val="en-US"/>
        </w:rPr>
        <w:t>provisions set out in RID/ADR</w:t>
      </w:r>
      <w:r>
        <w:t xml:space="preserve"> regarding periodic</w:t>
      </w:r>
      <w:r>
        <w:rPr>
          <w:lang w:val="en-US"/>
        </w:rPr>
        <w:t xml:space="preserve"> inspection and marking, as well as checking the absence of damage which might affect safety.</w:t>
      </w:r>
    </w:p>
    <w:p w:rsidR="002920C5" w:rsidRDefault="002A372B">
      <w:pPr>
        <w:pStyle w:val="SingleTxtG"/>
        <w:rPr>
          <w:lang w:val="en-US"/>
        </w:rPr>
      </w:pPr>
      <w:r>
        <w:rPr>
          <w:lang w:val="en-US"/>
        </w:rPr>
        <w:t xml:space="preserve">10. </w:t>
      </w:r>
      <w:r>
        <w:rPr>
          <w:lang w:val="en-US"/>
        </w:rPr>
        <w:tab/>
      </w:r>
      <w:r>
        <w:t>It is clear to us that the safety requirements applying to gas stations and other filling facilities are mainly based on national regulations. However, as the cylinders are intended to be used in international transport and may be filled by their owner in different countries, it is important to find a harmonized way to understand and apply the provisions of P200 RID/ADR.</w:t>
      </w:r>
    </w:p>
    <w:p w:rsidR="002920C5" w:rsidRDefault="002A372B" w:rsidP="002A372B">
      <w:pPr>
        <w:pStyle w:val="H1G"/>
        <w:rPr>
          <w:lang w:val="nl-NL"/>
        </w:rPr>
      </w:pPr>
      <w:r>
        <w:rPr>
          <w:lang w:val="en-US"/>
        </w:rPr>
        <w:tab/>
      </w:r>
      <w:r>
        <w:rPr>
          <w:lang w:val="en-US"/>
        </w:rPr>
        <w:tab/>
        <w:t>Questions</w:t>
      </w:r>
    </w:p>
    <w:p w:rsidR="002920C5" w:rsidRDefault="002A372B">
      <w:pPr>
        <w:pStyle w:val="SingleTxtG"/>
        <w:rPr>
          <w:lang w:val="en-US"/>
        </w:rPr>
      </w:pPr>
      <w:r>
        <w:rPr>
          <w:lang w:val="en-US"/>
        </w:rPr>
        <w:t>11.</w:t>
      </w:r>
      <w:r>
        <w:rPr>
          <w:lang w:val="en-US"/>
        </w:rPr>
        <w:tab/>
        <w:t>Switzerland would like the opinion of the Joint Meeting on the following aspects:</w:t>
      </w:r>
    </w:p>
    <w:p w:rsidR="002920C5" w:rsidRDefault="002A372B" w:rsidP="002A372B">
      <w:pPr>
        <w:pStyle w:val="SingleTxtG"/>
        <w:numPr>
          <w:ilvl w:val="0"/>
          <w:numId w:val="19"/>
        </w:numPr>
        <w:ind w:left="2268" w:hanging="567"/>
        <w:rPr>
          <w:lang w:val="en-US"/>
        </w:rPr>
      </w:pPr>
      <w:r>
        <w:rPr>
          <w:lang w:val="en-US"/>
        </w:rPr>
        <w:t xml:space="preserve">How is the filling of portable LPG cylinders at gas stations </w:t>
      </w:r>
      <w:r>
        <w:t>and other filling facilities</w:t>
      </w:r>
      <w:r>
        <w:rPr>
          <w:lang w:val="en-US"/>
        </w:rPr>
        <w:t xml:space="preserve"> regulated in the different countries applying RID/ADR?</w:t>
      </w:r>
    </w:p>
    <w:p w:rsidR="002920C5" w:rsidRDefault="002A372B" w:rsidP="002A372B">
      <w:pPr>
        <w:pStyle w:val="SingleTxtG"/>
        <w:numPr>
          <w:ilvl w:val="0"/>
          <w:numId w:val="19"/>
        </w:numPr>
        <w:ind w:left="2268" w:hanging="567"/>
        <w:rPr>
          <w:lang w:val="en-US"/>
        </w:rPr>
      </w:pPr>
      <w:r>
        <w:rPr>
          <w:lang w:val="en-US"/>
        </w:rPr>
        <w:t>Considering that RID/ADR provides for exemptions (1.1.3.1, 1.1.3.2), is packing instruction P200 applicable to private individuals and enterprises filling portable cylinders for their own supply?</w:t>
      </w:r>
    </w:p>
    <w:p w:rsidR="002920C5" w:rsidRDefault="002A372B" w:rsidP="002A372B">
      <w:pPr>
        <w:pStyle w:val="SingleTxtG"/>
        <w:numPr>
          <w:ilvl w:val="0"/>
          <w:numId w:val="19"/>
        </w:numPr>
        <w:ind w:left="2268" w:hanging="567"/>
        <w:rPr>
          <w:lang w:val="en-US"/>
        </w:rPr>
      </w:pPr>
      <w:r>
        <w:rPr>
          <w:lang w:val="en-US"/>
        </w:rPr>
        <w:t>Is it possible for private individuals and enterprises filling cylinders for their own supply to fill portable cylinders in compliance with the requirements of P200?</w:t>
      </w:r>
    </w:p>
    <w:p w:rsidR="002920C5" w:rsidRDefault="002A372B" w:rsidP="002A372B">
      <w:pPr>
        <w:pStyle w:val="SingleTxtG"/>
        <w:numPr>
          <w:ilvl w:val="0"/>
          <w:numId w:val="19"/>
        </w:numPr>
        <w:ind w:left="2268" w:hanging="567"/>
        <w:rPr>
          <w:lang w:val="en-US"/>
        </w:rPr>
      </w:pPr>
      <w:r>
        <w:rPr>
          <w:lang w:val="en-US"/>
        </w:rPr>
        <w:t xml:space="preserve">Considering that caravans and motorhomes are travelling throughout Europe, should the filling of portable LPG cylinders at gas stations and other filling facilities be internationally regulated? </w:t>
      </w:r>
    </w:p>
    <w:p w:rsidR="002920C5" w:rsidRDefault="002A372B" w:rsidP="002A372B">
      <w:pPr>
        <w:pStyle w:val="SingleTxtG"/>
        <w:numPr>
          <w:ilvl w:val="0"/>
          <w:numId w:val="19"/>
        </w:numPr>
        <w:ind w:left="2268" w:hanging="567"/>
        <w:rPr>
          <w:lang w:val="en-US"/>
        </w:rPr>
      </w:pPr>
      <w:r>
        <w:rPr>
          <w:lang w:val="en-US"/>
        </w:rPr>
        <w:t>Is there a need to adapt the regulations for the transport of dangerous goods?</w:t>
      </w:r>
    </w:p>
    <w:p w:rsidR="002920C5" w:rsidRDefault="002A372B" w:rsidP="002A372B">
      <w:pPr>
        <w:pStyle w:val="SingleTxtG"/>
        <w:numPr>
          <w:ilvl w:val="0"/>
          <w:numId w:val="19"/>
        </w:numPr>
        <w:ind w:left="2268" w:hanging="567"/>
        <w:rPr>
          <w:lang w:val="en-US"/>
        </w:rPr>
      </w:pPr>
      <w:r>
        <w:rPr>
          <w:lang w:val="en-US"/>
        </w:rPr>
        <w:t>Are other measures necessary to ensure safety?</w:t>
      </w:r>
    </w:p>
    <w:p w:rsidR="002920C5" w:rsidRDefault="002A372B">
      <w:pPr>
        <w:pStyle w:val="SingleTxtG"/>
        <w:spacing w:before="240" w:after="0"/>
        <w:jc w:val="center"/>
        <w:rPr>
          <w:u w:val="single"/>
          <w:lang w:val="en-US"/>
        </w:rPr>
      </w:pPr>
      <w:r>
        <w:rPr>
          <w:u w:val="single"/>
          <w:lang w:val="en-US"/>
        </w:rPr>
        <w:tab/>
      </w:r>
      <w:r>
        <w:rPr>
          <w:u w:val="single"/>
          <w:lang w:val="en-US"/>
        </w:rPr>
        <w:tab/>
      </w:r>
      <w:r>
        <w:rPr>
          <w:u w:val="single"/>
          <w:lang w:val="en-US"/>
        </w:rPr>
        <w:tab/>
      </w:r>
    </w:p>
    <w:sectPr w:rsidR="002920C5">
      <w:headerReference w:type="even" r:id="rId19"/>
      <w:headerReference w:type="default" r:id="rId20"/>
      <w:footerReference w:type="even" r:id="rId21"/>
      <w:footerReference w:type="default" r:id="rId22"/>
      <w:footnotePr>
        <w:numFmt w:val="chicago"/>
      </w:footnotePr>
      <w:endnotePr>
        <w:numFmt w:val="decimal"/>
      </w:endnotePr>
      <w:type w:val="continuous"/>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20C5" w:rsidRDefault="002920C5"/>
  </w:endnote>
  <w:endnote w:type="continuationSeparator" w:id="0">
    <w:p w:rsidR="002920C5" w:rsidRDefault="002920C5"/>
  </w:endnote>
  <w:endnote w:type="continuationNotice" w:id="1">
    <w:p w:rsidR="002920C5" w:rsidRDefault="002920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0C5" w:rsidRDefault="002A372B">
    <w:pPr>
      <w:pStyle w:val="Footer"/>
      <w:tabs>
        <w:tab w:val="right" w:pos="9598"/>
      </w:tabs>
    </w:pPr>
    <w:r>
      <w:rPr>
        <w:b/>
        <w:sz w:val="18"/>
      </w:rPr>
      <w:fldChar w:fldCharType="begin"/>
    </w:r>
    <w:r>
      <w:rPr>
        <w:b/>
        <w:sz w:val="18"/>
      </w:rPr>
      <w:instrText xml:space="preserve"> PAGE  \* MERGEFORMAT </w:instrText>
    </w:r>
    <w:r>
      <w:rPr>
        <w:b/>
        <w:sz w:val="18"/>
      </w:rPr>
      <w:fldChar w:fldCharType="separate"/>
    </w:r>
    <w:r w:rsidR="009F15A9">
      <w:rPr>
        <w:b/>
        <w:noProof/>
        <w:sz w:val="18"/>
      </w:rPr>
      <w:t>4</w:t>
    </w:r>
    <w:r>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0C5" w:rsidRDefault="002A372B">
    <w:pPr>
      <w:pStyle w:val="Footer"/>
      <w:tabs>
        <w:tab w:val="right" w:pos="9598"/>
      </w:tabs>
      <w:rPr>
        <w:b/>
        <w:sz w:val="18"/>
      </w:rPr>
    </w:pPr>
    <w:r>
      <w:tab/>
    </w:r>
    <w:r>
      <w:rPr>
        <w:b/>
        <w:sz w:val="18"/>
      </w:rPr>
      <w:fldChar w:fldCharType="begin"/>
    </w:r>
    <w:r>
      <w:rPr>
        <w:b/>
        <w:sz w:val="18"/>
      </w:rPr>
      <w:instrText xml:space="preserve"> PAGE  \* MERGEFORMAT </w:instrText>
    </w:r>
    <w:r>
      <w:rPr>
        <w:b/>
        <w:sz w:val="18"/>
      </w:rPr>
      <w:fldChar w:fldCharType="separate"/>
    </w:r>
    <w:r w:rsidR="00941605">
      <w:rPr>
        <w:b/>
        <w:noProof/>
        <w:sz w:val="18"/>
      </w:rPr>
      <w:t>3</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20C5" w:rsidRDefault="002A372B">
      <w:pPr>
        <w:tabs>
          <w:tab w:val="right" w:pos="2155"/>
        </w:tabs>
        <w:spacing w:after="80"/>
        <w:ind w:left="680"/>
        <w:rPr>
          <w:u w:val="single"/>
        </w:rPr>
      </w:pPr>
      <w:r>
        <w:rPr>
          <w:u w:val="single"/>
        </w:rPr>
        <w:tab/>
      </w:r>
    </w:p>
  </w:footnote>
  <w:footnote w:type="continuationSeparator" w:id="0">
    <w:p w:rsidR="002920C5" w:rsidRDefault="002A372B">
      <w:pPr>
        <w:tabs>
          <w:tab w:val="left" w:pos="2155"/>
        </w:tabs>
        <w:spacing w:after="80"/>
        <w:ind w:left="680"/>
        <w:rPr>
          <w:u w:val="single"/>
        </w:rPr>
      </w:pPr>
      <w:r>
        <w:rPr>
          <w:u w:val="single"/>
        </w:rPr>
        <w:tab/>
      </w:r>
    </w:p>
  </w:footnote>
  <w:footnote w:type="continuationNotice" w:id="1">
    <w:p w:rsidR="002920C5" w:rsidRDefault="002920C5"/>
  </w:footnote>
  <w:footnote w:id="2">
    <w:p w:rsidR="002A372B" w:rsidRPr="003C53EC" w:rsidRDefault="002A372B" w:rsidP="002A372B">
      <w:pPr>
        <w:pStyle w:val="FootnoteText"/>
        <w:tabs>
          <w:tab w:val="clear" w:pos="1021"/>
          <w:tab w:val="right" w:pos="1000"/>
        </w:tabs>
        <w:rPr>
          <w:rStyle w:val="FootnoteReference"/>
          <w:sz w:val="20"/>
        </w:rPr>
      </w:pPr>
      <w:r>
        <w:tab/>
      </w:r>
      <w:r w:rsidRPr="00EC3EE6">
        <w:rPr>
          <w:rStyle w:val="FootnoteReference"/>
          <w:sz w:val="20"/>
        </w:rPr>
        <w:footnoteRef/>
      </w:r>
      <w:r>
        <w:tab/>
      </w:r>
      <w:r>
        <w:rPr>
          <w:color w:val="000000"/>
          <w:lang w:val="en-US" w:eastAsia="en-GB"/>
        </w:rPr>
        <w:t xml:space="preserve">In accordance with the draft </w:t>
      </w:r>
      <w:proofErr w:type="spellStart"/>
      <w:r>
        <w:rPr>
          <w:color w:val="000000"/>
          <w:lang w:val="en-US" w:eastAsia="en-GB"/>
        </w:rPr>
        <w:t>programme</w:t>
      </w:r>
      <w:proofErr w:type="spellEnd"/>
      <w:r>
        <w:rPr>
          <w:color w:val="000000"/>
          <w:lang w:val="en-US" w:eastAsia="en-GB"/>
        </w:rPr>
        <w:t xml:space="preserve"> of work of the Inland Transport Committee for 2018-2019, (ECE/TRANS/WP.15/237, annex V, (9.2)).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0C5" w:rsidRDefault="002A372B">
    <w:pPr>
      <w:pStyle w:val="Header"/>
    </w:pPr>
    <w:r>
      <w:t>ECE/TRANS/WP.15/AC.1/2018/4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0C5" w:rsidRDefault="002A372B">
    <w:pPr>
      <w:pStyle w:val="Header"/>
      <w:jc w:val="right"/>
    </w:pPr>
    <w:r>
      <w:t>ECE/TRANS/WP.15/AC.1/2018/4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57E679C2"/>
    <w:lvl w:ilvl="0" w:tplc="075A6416">
      <w:start w:val="1"/>
      <w:numFmt w:val="decimal"/>
      <w:pStyle w:val="ParaNoG"/>
      <w:lvlText w:val="%1."/>
      <w:lvlJc w:val="left"/>
      <w:pPr>
        <w:tabs>
          <w:tab w:val="num" w:pos="1494"/>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8F424D8"/>
    <w:multiLevelType w:val="hybridMultilevel"/>
    <w:tmpl w:val="38E65C62"/>
    <w:lvl w:ilvl="0" w:tplc="04090017">
      <w:start w:val="1"/>
      <w:numFmt w:val="lowerLetter"/>
      <w:lvlText w:val="%1)"/>
      <w:lvlJc w:val="left"/>
      <w:pPr>
        <w:ind w:left="1854" w:hanging="360"/>
      </w:pPr>
    </w:lvl>
    <w:lvl w:ilvl="1" w:tplc="100C0019" w:tentative="1">
      <w:start w:val="1"/>
      <w:numFmt w:val="lowerLetter"/>
      <w:lvlText w:val="%2."/>
      <w:lvlJc w:val="left"/>
      <w:pPr>
        <w:ind w:left="2574" w:hanging="360"/>
      </w:pPr>
    </w:lvl>
    <w:lvl w:ilvl="2" w:tplc="100C001B" w:tentative="1">
      <w:start w:val="1"/>
      <w:numFmt w:val="lowerRoman"/>
      <w:lvlText w:val="%3."/>
      <w:lvlJc w:val="right"/>
      <w:pPr>
        <w:ind w:left="3294" w:hanging="180"/>
      </w:pPr>
    </w:lvl>
    <w:lvl w:ilvl="3" w:tplc="100C000F" w:tentative="1">
      <w:start w:val="1"/>
      <w:numFmt w:val="decimal"/>
      <w:lvlText w:val="%4."/>
      <w:lvlJc w:val="left"/>
      <w:pPr>
        <w:ind w:left="4014" w:hanging="360"/>
      </w:pPr>
    </w:lvl>
    <w:lvl w:ilvl="4" w:tplc="100C0019" w:tentative="1">
      <w:start w:val="1"/>
      <w:numFmt w:val="lowerLetter"/>
      <w:lvlText w:val="%5."/>
      <w:lvlJc w:val="left"/>
      <w:pPr>
        <w:ind w:left="4734" w:hanging="360"/>
      </w:pPr>
    </w:lvl>
    <w:lvl w:ilvl="5" w:tplc="100C001B" w:tentative="1">
      <w:start w:val="1"/>
      <w:numFmt w:val="lowerRoman"/>
      <w:lvlText w:val="%6."/>
      <w:lvlJc w:val="right"/>
      <w:pPr>
        <w:ind w:left="5454" w:hanging="180"/>
      </w:pPr>
    </w:lvl>
    <w:lvl w:ilvl="6" w:tplc="100C000F" w:tentative="1">
      <w:start w:val="1"/>
      <w:numFmt w:val="decimal"/>
      <w:lvlText w:val="%7."/>
      <w:lvlJc w:val="left"/>
      <w:pPr>
        <w:ind w:left="6174" w:hanging="360"/>
      </w:pPr>
    </w:lvl>
    <w:lvl w:ilvl="7" w:tplc="100C0019" w:tentative="1">
      <w:start w:val="1"/>
      <w:numFmt w:val="lowerLetter"/>
      <w:lvlText w:val="%8."/>
      <w:lvlJc w:val="left"/>
      <w:pPr>
        <w:ind w:left="6894" w:hanging="360"/>
      </w:pPr>
    </w:lvl>
    <w:lvl w:ilvl="8" w:tplc="100C001B" w:tentative="1">
      <w:start w:val="1"/>
      <w:numFmt w:val="lowerRoman"/>
      <w:lvlText w:val="%9."/>
      <w:lvlJc w:val="right"/>
      <w:pPr>
        <w:ind w:left="7614" w:hanging="180"/>
      </w:pPr>
    </w:lvl>
  </w:abstractNum>
  <w:abstractNum w:abstractNumId="1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E253887"/>
    <w:multiLevelType w:val="hybridMultilevel"/>
    <w:tmpl w:val="497EC7CC"/>
    <w:lvl w:ilvl="0" w:tplc="FAE4B376">
      <w:start w:val="1"/>
      <w:numFmt w:val="bullet"/>
      <w:pStyle w:val="Bullet2G"/>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A12325"/>
    <w:multiLevelType w:val="hybridMultilevel"/>
    <w:tmpl w:val="FF0E5B48"/>
    <w:lvl w:ilvl="0" w:tplc="6D5E22D8">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B70F7B"/>
    <w:multiLevelType w:val="hybridMultilevel"/>
    <w:tmpl w:val="41780A32"/>
    <w:lvl w:ilvl="0" w:tplc="04090017">
      <w:start w:val="1"/>
      <w:numFmt w:val="lowerLetter"/>
      <w:lvlText w:val="%1)"/>
      <w:lvlJc w:val="left"/>
      <w:pPr>
        <w:ind w:left="1854" w:hanging="360"/>
      </w:pPr>
    </w:lvl>
    <w:lvl w:ilvl="1" w:tplc="100C0019" w:tentative="1">
      <w:start w:val="1"/>
      <w:numFmt w:val="lowerLetter"/>
      <w:lvlText w:val="%2."/>
      <w:lvlJc w:val="left"/>
      <w:pPr>
        <w:ind w:left="2574" w:hanging="360"/>
      </w:pPr>
    </w:lvl>
    <w:lvl w:ilvl="2" w:tplc="100C001B" w:tentative="1">
      <w:start w:val="1"/>
      <w:numFmt w:val="lowerRoman"/>
      <w:lvlText w:val="%3."/>
      <w:lvlJc w:val="right"/>
      <w:pPr>
        <w:ind w:left="3294" w:hanging="180"/>
      </w:pPr>
    </w:lvl>
    <w:lvl w:ilvl="3" w:tplc="100C000F" w:tentative="1">
      <w:start w:val="1"/>
      <w:numFmt w:val="decimal"/>
      <w:lvlText w:val="%4."/>
      <w:lvlJc w:val="left"/>
      <w:pPr>
        <w:ind w:left="4014" w:hanging="360"/>
      </w:pPr>
    </w:lvl>
    <w:lvl w:ilvl="4" w:tplc="100C0019" w:tentative="1">
      <w:start w:val="1"/>
      <w:numFmt w:val="lowerLetter"/>
      <w:lvlText w:val="%5."/>
      <w:lvlJc w:val="left"/>
      <w:pPr>
        <w:ind w:left="4734" w:hanging="360"/>
      </w:pPr>
    </w:lvl>
    <w:lvl w:ilvl="5" w:tplc="100C001B" w:tentative="1">
      <w:start w:val="1"/>
      <w:numFmt w:val="lowerRoman"/>
      <w:lvlText w:val="%6."/>
      <w:lvlJc w:val="right"/>
      <w:pPr>
        <w:ind w:left="5454" w:hanging="180"/>
      </w:pPr>
    </w:lvl>
    <w:lvl w:ilvl="6" w:tplc="100C000F" w:tentative="1">
      <w:start w:val="1"/>
      <w:numFmt w:val="decimal"/>
      <w:lvlText w:val="%7."/>
      <w:lvlJc w:val="left"/>
      <w:pPr>
        <w:ind w:left="6174" w:hanging="360"/>
      </w:pPr>
    </w:lvl>
    <w:lvl w:ilvl="7" w:tplc="100C0019" w:tentative="1">
      <w:start w:val="1"/>
      <w:numFmt w:val="lowerLetter"/>
      <w:lvlText w:val="%8."/>
      <w:lvlJc w:val="left"/>
      <w:pPr>
        <w:ind w:left="6894" w:hanging="360"/>
      </w:pPr>
    </w:lvl>
    <w:lvl w:ilvl="8" w:tplc="100C001B" w:tentative="1">
      <w:start w:val="1"/>
      <w:numFmt w:val="lowerRoman"/>
      <w:lvlText w:val="%9."/>
      <w:lvlJc w:val="right"/>
      <w:pPr>
        <w:ind w:left="7614" w:hanging="180"/>
      </w:pPr>
    </w:lvl>
  </w:abstractNum>
  <w:abstractNum w:abstractNumId="17" w15:restartNumberingAfterBreak="0">
    <w:nsid w:val="4CDE2E2D"/>
    <w:multiLevelType w:val="hybridMultilevel"/>
    <w:tmpl w:val="2E7A7832"/>
    <w:lvl w:ilvl="0" w:tplc="B58A0C70">
      <w:start w:val="2"/>
      <w:numFmt w:val="bullet"/>
      <w:lvlText w:val="•"/>
      <w:lvlJc w:val="left"/>
      <w:pPr>
        <w:ind w:left="786" w:hanging="360"/>
      </w:pPr>
      <w:rPr>
        <w:rFonts w:ascii="Arial" w:eastAsia="Times New Roman" w:hAnsi="Arial" w:cs="Arial" w:hint="default"/>
      </w:rPr>
    </w:lvl>
    <w:lvl w:ilvl="1" w:tplc="7BC6D20E" w:tentative="1">
      <w:start w:val="1"/>
      <w:numFmt w:val="bullet"/>
      <w:lvlText w:val="o"/>
      <w:lvlJc w:val="left"/>
      <w:pPr>
        <w:ind w:left="1506" w:hanging="360"/>
      </w:pPr>
      <w:rPr>
        <w:rFonts w:ascii="Courier New" w:hAnsi="Courier New" w:cs="Courier New" w:hint="default"/>
      </w:rPr>
    </w:lvl>
    <w:lvl w:ilvl="2" w:tplc="0C18600E" w:tentative="1">
      <w:start w:val="1"/>
      <w:numFmt w:val="bullet"/>
      <w:lvlText w:val=""/>
      <w:lvlJc w:val="left"/>
      <w:pPr>
        <w:ind w:left="2226" w:hanging="360"/>
      </w:pPr>
      <w:rPr>
        <w:rFonts w:ascii="Wingdings" w:hAnsi="Wingdings" w:hint="default"/>
      </w:rPr>
    </w:lvl>
    <w:lvl w:ilvl="3" w:tplc="66E4D2DC" w:tentative="1">
      <w:start w:val="1"/>
      <w:numFmt w:val="bullet"/>
      <w:lvlText w:val=""/>
      <w:lvlJc w:val="left"/>
      <w:pPr>
        <w:ind w:left="2946" w:hanging="360"/>
      </w:pPr>
      <w:rPr>
        <w:rFonts w:ascii="Symbol" w:hAnsi="Symbol" w:hint="default"/>
      </w:rPr>
    </w:lvl>
    <w:lvl w:ilvl="4" w:tplc="C6229E3C" w:tentative="1">
      <w:start w:val="1"/>
      <w:numFmt w:val="bullet"/>
      <w:lvlText w:val="o"/>
      <w:lvlJc w:val="left"/>
      <w:pPr>
        <w:ind w:left="3666" w:hanging="360"/>
      </w:pPr>
      <w:rPr>
        <w:rFonts w:ascii="Courier New" w:hAnsi="Courier New" w:cs="Courier New" w:hint="default"/>
      </w:rPr>
    </w:lvl>
    <w:lvl w:ilvl="5" w:tplc="CCAEC820" w:tentative="1">
      <w:start w:val="1"/>
      <w:numFmt w:val="bullet"/>
      <w:lvlText w:val=""/>
      <w:lvlJc w:val="left"/>
      <w:pPr>
        <w:ind w:left="4386" w:hanging="360"/>
      </w:pPr>
      <w:rPr>
        <w:rFonts w:ascii="Wingdings" w:hAnsi="Wingdings" w:hint="default"/>
      </w:rPr>
    </w:lvl>
    <w:lvl w:ilvl="6" w:tplc="F05483B2" w:tentative="1">
      <w:start w:val="1"/>
      <w:numFmt w:val="bullet"/>
      <w:lvlText w:val=""/>
      <w:lvlJc w:val="left"/>
      <w:pPr>
        <w:ind w:left="5106" w:hanging="360"/>
      </w:pPr>
      <w:rPr>
        <w:rFonts w:ascii="Symbol" w:hAnsi="Symbol" w:hint="default"/>
      </w:rPr>
    </w:lvl>
    <w:lvl w:ilvl="7" w:tplc="C6D2FFC2" w:tentative="1">
      <w:start w:val="1"/>
      <w:numFmt w:val="bullet"/>
      <w:lvlText w:val="o"/>
      <w:lvlJc w:val="left"/>
      <w:pPr>
        <w:ind w:left="5826" w:hanging="360"/>
      </w:pPr>
      <w:rPr>
        <w:rFonts w:ascii="Courier New" w:hAnsi="Courier New" w:cs="Courier New" w:hint="default"/>
      </w:rPr>
    </w:lvl>
    <w:lvl w:ilvl="8" w:tplc="7C3C9064" w:tentative="1">
      <w:start w:val="1"/>
      <w:numFmt w:val="bullet"/>
      <w:lvlText w:val=""/>
      <w:lvlJc w:val="left"/>
      <w:pPr>
        <w:ind w:left="6546" w:hanging="360"/>
      </w:pPr>
      <w:rPr>
        <w:rFonts w:ascii="Wingdings" w:hAnsi="Wingdings" w:hint="default"/>
      </w:rPr>
    </w:lvl>
  </w:abstractNum>
  <w:abstractNum w:abstractNumId="1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5"/>
  </w:num>
  <w:num w:numId="12">
    <w:abstractNumId w:val="14"/>
  </w:num>
  <w:num w:numId="13">
    <w:abstractNumId w:val="10"/>
  </w:num>
  <w:num w:numId="14">
    <w:abstractNumId w:val="18"/>
  </w:num>
  <w:num w:numId="15">
    <w:abstractNumId w:val="13"/>
  </w:num>
  <w:num w:numId="16">
    <w:abstractNumId w:val="11"/>
  </w:num>
  <w:num w:numId="17">
    <w:abstractNumId w:val="17"/>
  </w:num>
  <w:num w:numId="18">
    <w:abstractNumId w:val="12"/>
  </w:num>
  <w:num w:numId="19">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de-CH" w:vendorID="64" w:dllVersion="6" w:nlCheck="1" w:checkStyle="1"/>
  <w:activeWritingStyle w:appName="MSWord" w:lang="en-GB" w:vendorID="64" w:dllVersion="0" w:nlCheck="1" w:checkStyle="0"/>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6145"/>
  </w:hdrShapeDefaults>
  <w:footnotePr>
    <w:numFmt w:val="chicago"/>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0C5"/>
    <w:rsid w:val="002920C5"/>
    <w:rsid w:val="002A372B"/>
    <w:rsid w:val="00941605"/>
    <w:rsid w:val="009F15A9"/>
    <w:rsid w:val="00B75BF6"/>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4485C20"/>
  <w15:docId w15:val="{E007F463-5829-47CA-8761-AAC1FEB57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uppressAutoHyphens/>
      <w:spacing w:line="240" w:lineRule="atLeast"/>
    </w:pPr>
    <w:rPr>
      <w:lang w:eastAsia="en-US"/>
    </w:rPr>
  </w:style>
  <w:style w:type="paragraph" w:styleId="Heading1">
    <w:name w:val="heading 1"/>
    <w:aliases w:val="Table_G"/>
    <w:basedOn w:val="SingleTxtG"/>
    <w:next w:val="SingleTxtG"/>
    <w:qFormat/>
    <w:pPr>
      <w:spacing w:after="0" w:line="240" w:lineRule="auto"/>
      <w:ind w:right="0"/>
      <w:jc w:val="left"/>
      <w:outlineLvl w:val="0"/>
    </w:pPr>
  </w:style>
  <w:style w:type="paragraph" w:styleId="Heading2">
    <w:name w:val="heading 2"/>
    <w:basedOn w:val="Normal"/>
    <w:next w:val="Normal"/>
    <w:qFormat/>
    <w:pPr>
      <w:spacing w:line="240" w:lineRule="auto"/>
      <w:outlineLvl w:val="1"/>
    </w:pPr>
  </w:style>
  <w:style w:type="paragraph" w:styleId="Heading3">
    <w:name w:val="heading 3"/>
    <w:basedOn w:val="Normal"/>
    <w:next w:val="Normal"/>
    <w:qFormat/>
    <w:pPr>
      <w:spacing w:line="240" w:lineRule="auto"/>
      <w:outlineLvl w:val="2"/>
    </w:pPr>
  </w:style>
  <w:style w:type="paragraph" w:styleId="Heading4">
    <w:name w:val="heading 4"/>
    <w:basedOn w:val="Normal"/>
    <w:next w:val="Normal"/>
    <w:qFormat/>
    <w:pPr>
      <w:spacing w:line="240" w:lineRule="auto"/>
      <w:outlineLvl w:val="3"/>
    </w:pPr>
  </w:style>
  <w:style w:type="paragraph" w:styleId="Heading5">
    <w:name w:val="heading 5"/>
    <w:basedOn w:val="Normal"/>
    <w:next w:val="Normal"/>
    <w:qFormat/>
    <w:pPr>
      <w:spacing w:line="240" w:lineRule="auto"/>
      <w:outlineLvl w:val="4"/>
    </w:pPr>
  </w:style>
  <w:style w:type="paragraph" w:styleId="Heading6">
    <w:name w:val="heading 6"/>
    <w:basedOn w:val="Normal"/>
    <w:next w:val="Normal"/>
    <w:qFormat/>
    <w:pPr>
      <w:spacing w:line="240" w:lineRule="auto"/>
      <w:outlineLvl w:val="5"/>
    </w:pPr>
  </w:style>
  <w:style w:type="paragraph" w:styleId="Heading7">
    <w:name w:val="heading 7"/>
    <w:basedOn w:val="Normal"/>
    <w:next w:val="Normal"/>
    <w:qFormat/>
    <w:pPr>
      <w:spacing w:line="240" w:lineRule="auto"/>
      <w:outlineLvl w:val="6"/>
    </w:pPr>
  </w:style>
  <w:style w:type="paragraph" w:styleId="Heading8">
    <w:name w:val="heading 8"/>
    <w:basedOn w:val="Normal"/>
    <w:next w:val="Normal"/>
    <w:qFormat/>
    <w:pPr>
      <w:spacing w:line="240" w:lineRule="auto"/>
      <w:outlineLvl w:val="7"/>
    </w:pPr>
  </w:style>
  <w:style w:type="paragraph" w:styleId="Heading9">
    <w:name w:val="heading 9"/>
    <w:basedOn w:val="Normal"/>
    <w:next w:val="Normal"/>
    <w:qFormat/>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pPr>
      <w:keepNext/>
      <w:keepLines/>
      <w:tabs>
        <w:tab w:val="right" w:pos="851"/>
      </w:tabs>
      <w:spacing w:before="360" w:after="240" w:line="300" w:lineRule="exact"/>
      <w:ind w:left="1134" w:right="1134" w:hanging="1134"/>
    </w:pPr>
    <w:rPr>
      <w:b/>
      <w:sz w:val="28"/>
    </w:rPr>
  </w:style>
  <w:style w:type="paragraph" w:customStyle="1" w:styleId="ParaNoG">
    <w:name w:val="_ParaNo._G"/>
    <w:basedOn w:val="SingleTxtG"/>
    <w:pPr>
      <w:numPr>
        <w:numId w:val="13"/>
      </w:numPr>
      <w:tabs>
        <w:tab w:val="clear" w:pos="1494"/>
        <w:tab w:val="num" w:pos="360"/>
      </w:tabs>
    </w:pPr>
  </w:style>
  <w:style w:type="paragraph" w:customStyle="1" w:styleId="SingleTxtG">
    <w:name w:val="_ Single Txt_G"/>
    <w:basedOn w:val="Normal"/>
    <w:link w:val="SingleTxtGChar"/>
    <w:qFormat/>
    <w:pPr>
      <w:spacing w:after="120"/>
      <w:ind w:left="1134" w:right="1134"/>
      <w:jc w:val="both"/>
    </w:pPr>
  </w:style>
  <w:style w:type="character" w:styleId="PageNumber">
    <w:name w:val="page number"/>
    <w:aliases w:val="7_G"/>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pPr>
      <w:keepNext/>
      <w:keepLines/>
      <w:spacing w:before="240" w:after="240" w:line="420" w:lineRule="exact"/>
      <w:ind w:left="1134" w:right="1134"/>
    </w:pPr>
    <w:rPr>
      <w:b/>
      <w:sz w:val="40"/>
    </w:rPr>
  </w:style>
  <w:style w:type="paragraph" w:customStyle="1" w:styleId="SLG">
    <w:name w:val="__S_L_G"/>
    <w:basedOn w:val="Normal"/>
    <w:next w:val="Normal"/>
    <w:pPr>
      <w:keepNext/>
      <w:keepLines/>
      <w:spacing w:before="240" w:after="240" w:line="580" w:lineRule="exact"/>
      <w:ind w:left="1134" w:right="1134"/>
    </w:pPr>
    <w:rPr>
      <w:b/>
      <w:sz w:val="56"/>
    </w:rPr>
  </w:style>
  <w:style w:type="paragraph" w:customStyle="1" w:styleId="SSG">
    <w:name w:val="__S_S_G"/>
    <w:basedOn w:val="Normal"/>
    <w:next w:val="Normal"/>
    <w:pPr>
      <w:keepNext/>
      <w:keepLines/>
      <w:spacing w:before="240" w:after="240" w:line="300" w:lineRule="exact"/>
      <w:ind w:left="1134" w:right="1134"/>
    </w:pPr>
    <w:rPr>
      <w:b/>
      <w:sz w:val="28"/>
    </w:rPr>
  </w:style>
  <w:style w:type="character" w:styleId="EndnoteReference">
    <w:name w:val="endnote reference"/>
    <w:aliases w:val="1_G"/>
    <w:rPr>
      <w:rFonts w:ascii="Times New Roman" w:hAnsi="Times New Roman"/>
      <w:sz w:val="18"/>
      <w:vertAlign w:val="superscript"/>
    </w:rPr>
  </w:style>
  <w:style w:type="character" w:styleId="FootnoteReference">
    <w:name w:val="footnote reference"/>
    <w:aliases w:val="4_G,Footnote Reference/,4_GR"/>
    <w:rPr>
      <w:rFonts w:ascii="Times New Roman" w:hAnsi="Times New Roman"/>
      <w:sz w:val="18"/>
      <w:vertAlign w:val="superscript"/>
    </w:rPr>
  </w:style>
  <w:style w:type="paragraph" w:styleId="FootnoteText">
    <w:name w:val="footnote text"/>
    <w:aliases w:val="5_G"/>
    <w:basedOn w:val="Normal"/>
    <w:link w:val="FootnoteTextChar"/>
    <w:qFormat/>
    <w:pPr>
      <w:tabs>
        <w:tab w:val="right" w:pos="1021"/>
      </w:tabs>
      <w:spacing w:line="220" w:lineRule="exact"/>
      <w:ind w:left="1134" w:right="1134" w:hanging="1134"/>
    </w:pPr>
    <w:rPr>
      <w:sz w:val="18"/>
    </w:rPr>
  </w:style>
  <w:style w:type="paragraph" w:customStyle="1" w:styleId="XLargeG">
    <w:name w:val="__XLarge_G"/>
    <w:basedOn w:val="Normal"/>
    <w:next w:val="Normal"/>
    <w:pPr>
      <w:keepNext/>
      <w:keepLines/>
      <w:spacing w:before="240" w:after="240" w:line="420" w:lineRule="exact"/>
      <w:ind w:left="1134" w:right="1134"/>
    </w:pPr>
    <w:rPr>
      <w:b/>
      <w:sz w:val="40"/>
    </w:rPr>
  </w:style>
  <w:style w:type="paragraph" w:customStyle="1" w:styleId="Bullet1G">
    <w:name w:val="_Bullet 1_G"/>
    <w:basedOn w:val="Normal"/>
    <w:pPr>
      <w:numPr>
        <w:numId w:val="11"/>
      </w:numPr>
      <w:spacing w:after="120"/>
      <w:ind w:right="1134"/>
      <w:jc w:val="both"/>
    </w:pPr>
  </w:style>
  <w:style w:type="paragraph" w:styleId="EndnoteText">
    <w:name w:val="endnote text"/>
    <w:aliases w:val="2_G"/>
    <w:basedOn w:val="FootnoteText"/>
  </w:style>
  <w:style w:type="character" w:styleId="CommentReference">
    <w:name w:val="annotation reference"/>
    <w:semiHidden/>
    <w:rPr>
      <w:sz w:val="6"/>
    </w:rPr>
  </w:style>
  <w:style w:type="paragraph" w:styleId="CommentText">
    <w:name w:val="annotation text"/>
    <w:basedOn w:val="Normal"/>
    <w:link w:val="CommentTextChar"/>
    <w:semiHidden/>
  </w:style>
  <w:style w:type="character" w:styleId="LineNumber">
    <w:name w:val="line number"/>
    <w:semiHidden/>
    <w:rPr>
      <w:sz w:val="14"/>
    </w:rPr>
  </w:style>
  <w:style w:type="paragraph" w:customStyle="1" w:styleId="Bullet2G">
    <w:name w:val="_Bullet 2_G"/>
    <w:basedOn w:val="Normal"/>
    <w:pPr>
      <w:numPr>
        <w:numId w:val="12"/>
      </w:numPr>
      <w:spacing w:after="120"/>
      <w:ind w:right="1134"/>
      <w:jc w:val="both"/>
    </w:pPr>
  </w:style>
  <w:style w:type="paragraph" w:customStyle="1" w:styleId="H1G">
    <w:name w:val="_ H_1_G"/>
    <w:basedOn w:val="Normal"/>
    <w:next w:val="Normal"/>
    <w:link w:val="H1GChar"/>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pPr>
      <w:keepNext/>
      <w:keepLines/>
      <w:tabs>
        <w:tab w:val="right" w:pos="851"/>
      </w:tabs>
      <w:spacing w:before="240" w:after="120" w:line="240" w:lineRule="exact"/>
      <w:ind w:left="1134" w:right="1134" w:hanging="1134"/>
    </w:pPr>
  </w:style>
  <w:style w:type="numbering" w:styleId="111111">
    <w:name w:val="Outline List 2"/>
    <w:basedOn w:val="NoList"/>
    <w:semiHidden/>
    <w:pPr>
      <w:numPr>
        <w:numId w:val="14"/>
      </w:numPr>
    </w:pPr>
  </w:style>
  <w:style w:type="numbering" w:styleId="1ai">
    <w:name w:val="Outline List 1"/>
    <w:basedOn w:val="NoList"/>
    <w:semiHidden/>
    <w:pPr>
      <w:numPr>
        <w:numId w:val="15"/>
      </w:numPr>
    </w:pPr>
  </w:style>
  <w:style w:type="numbering" w:styleId="ArticleSection">
    <w:name w:val="Outline List 3"/>
    <w:basedOn w:val="NoList"/>
    <w:semiHidden/>
    <w:pPr>
      <w:numPr>
        <w:numId w:val="16"/>
      </w:numPr>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spacing w:after="120"/>
      <w:ind w:firstLine="210"/>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qFormat/>
    <w:rPr>
      <w:i/>
      <w:iCs/>
    </w:rPr>
  </w:style>
  <w:style w:type="paragraph" w:styleId="EnvelopeReturn">
    <w:name w:val="envelope return"/>
    <w:basedOn w:val="Normal"/>
    <w:semiHidden/>
    <w:rPr>
      <w:rFonts w:ascii="Arial" w:hAnsi="Arial" w:cs="Arial"/>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6"/>
      </w:numPr>
    </w:pPr>
  </w:style>
  <w:style w:type="paragraph" w:styleId="ListBullet2">
    <w:name w:val="List Bullet 2"/>
    <w:basedOn w:val="Normal"/>
    <w:semiHidden/>
    <w:pPr>
      <w:numPr>
        <w:numId w:val="7"/>
      </w:numPr>
    </w:pPr>
  </w:style>
  <w:style w:type="paragraph" w:styleId="ListBullet3">
    <w:name w:val="List Bullet 3"/>
    <w:basedOn w:val="Normal"/>
    <w:semiHidden/>
    <w:pPr>
      <w:numPr>
        <w:numId w:val="8"/>
      </w:numPr>
    </w:pPr>
  </w:style>
  <w:style w:type="paragraph" w:styleId="ListBullet4">
    <w:name w:val="List Bullet 4"/>
    <w:basedOn w:val="Normal"/>
    <w:semiHidden/>
    <w:pPr>
      <w:numPr>
        <w:numId w:val="9"/>
      </w:numPr>
    </w:pPr>
  </w:style>
  <w:style w:type="paragraph" w:styleId="ListBullet5">
    <w:name w:val="List Bullet 5"/>
    <w:basedOn w:val="Normal"/>
    <w:semiHidden/>
    <w:pPr>
      <w:numPr>
        <w:numId w:val="10"/>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5"/>
      </w:numPr>
    </w:pPr>
  </w:style>
  <w:style w:type="paragraph" w:styleId="ListNumber2">
    <w:name w:val="List Number 2"/>
    <w:basedOn w:val="Normal"/>
    <w:semiHidden/>
    <w:pPr>
      <w:numPr>
        <w:numId w:val="4"/>
      </w:numPr>
    </w:pPr>
  </w:style>
  <w:style w:type="paragraph" w:styleId="ListNumber3">
    <w:name w:val="List Number 3"/>
    <w:basedOn w:val="Normal"/>
    <w:semiHidden/>
    <w:pPr>
      <w:numPr>
        <w:numId w:val="3"/>
      </w:numPr>
    </w:pPr>
  </w:style>
  <w:style w:type="paragraph" w:styleId="ListNumber4">
    <w:name w:val="List Number 4"/>
    <w:basedOn w:val="Normal"/>
    <w:semiHidden/>
    <w:pPr>
      <w:numPr>
        <w:numId w:val="1"/>
      </w:numPr>
    </w:pPr>
  </w:style>
  <w:style w:type="paragraph" w:styleId="ListNumber5">
    <w:name w:val="List Number 5"/>
    <w:basedOn w:val="Normal"/>
    <w:semiHidden/>
    <w:pPr>
      <w:numPr>
        <w:numId w:val="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rPr>
      <w:sz w:val="24"/>
      <w:szCs w:val="24"/>
    </w:rPr>
  </w:style>
  <w:style w:type="paragraph" w:styleId="NormalIndent">
    <w:name w:val="Normal Indent"/>
    <w:basedOn w:val="Normal"/>
    <w:semiHidden/>
    <w:pPr>
      <w:ind w:left="567"/>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pPr>
      <w:spacing w:line="240" w:lineRule="auto"/>
    </w:pPr>
    <w:rPr>
      <w:sz w:val="16"/>
    </w:rPr>
  </w:style>
  <w:style w:type="paragraph" w:styleId="Header">
    <w:name w:val="header"/>
    <w:aliases w:val="6_G"/>
    <w:basedOn w:val="Normal"/>
    <w:link w:val="HeaderChar"/>
    <w:uiPriority w:val="99"/>
    <w:pPr>
      <w:pBdr>
        <w:bottom w:val="single" w:sz="4" w:space="4" w:color="auto"/>
      </w:pBdr>
      <w:spacing w:line="240" w:lineRule="auto"/>
    </w:pPr>
    <w:rPr>
      <w:b/>
      <w:sz w:val="18"/>
    </w:rPr>
  </w:style>
  <w:style w:type="character" w:customStyle="1" w:styleId="H1GChar">
    <w:name w:val="_ H_1_G Char"/>
    <w:link w:val="H1G"/>
    <w:rPr>
      <w:b/>
      <w:sz w:val="24"/>
      <w:lang w:val="en-GB" w:eastAsia="en-US" w:bidi="ar-SA"/>
    </w:rPr>
  </w:style>
  <w:style w:type="paragraph" w:styleId="BalloonText">
    <w:name w:val="Balloon Text"/>
    <w:basedOn w:val="Normal"/>
    <w:link w:val="BalloonTextChar"/>
    <w:pPr>
      <w:spacing w:line="240" w:lineRule="auto"/>
    </w:pPr>
    <w:rPr>
      <w:rFonts w:ascii="Tahoma" w:hAnsi="Tahoma" w:cs="Tahoma"/>
      <w:sz w:val="16"/>
      <w:szCs w:val="16"/>
    </w:rPr>
  </w:style>
  <w:style w:type="character" w:customStyle="1" w:styleId="BalloonTextChar">
    <w:name w:val="Balloon Text Char"/>
    <w:link w:val="BalloonText"/>
    <w:rPr>
      <w:rFonts w:ascii="Tahoma" w:hAnsi="Tahoma" w:cs="Tahoma"/>
      <w:sz w:val="16"/>
      <w:szCs w:val="16"/>
      <w:lang w:eastAsia="en-US"/>
    </w:rPr>
  </w:style>
  <w:style w:type="character" w:customStyle="1" w:styleId="FootnoteTextChar">
    <w:name w:val="Footnote Text Char"/>
    <w:aliases w:val="5_G Char"/>
    <w:link w:val="FootnoteText"/>
    <w:rPr>
      <w:sz w:val="18"/>
      <w:lang w:eastAsia="en-US"/>
    </w:rPr>
  </w:style>
  <w:style w:type="character" w:customStyle="1" w:styleId="HChGChar">
    <w:name w:val="_ H _Ch_G Char"/>
    <w:link w:val="HChG"/>
    <w:rPr>
      <w:b/>
      <w:sz w:val="28"/>
      <w:lang w:eastAsia="en-US"/>
    </w:rPr>
  </w:style>
  <w:style w:type="character" w:customStyle="1" w:styleId="SingleTxtGChar">
    <w:name w:val="_ Single Txt_G Char"/>
    <w:link w:val="SingleTxtG"/>
    <w:rPr>
      <w:lang w:eastAsia="en-US"/>
    </w:rPr>
  </w:style>
  <w:style w:type="character" w:customStyle="1" w:styleId="HeaderChar">
    <w:name w:val="Header Char"/>
    <w:aliases w:val="6_G Char"/>
    <w:basedOn w:val="DefaultParagraphFont"/>
    <w:link w:val="Header"/>
    <w:uiPriority w:val="99"/>
    <w:rPr>
      <w:b/>
      <w:sz w:val="18"/>
      <w:lang w:eastAsia="en-US"/>
    </w:rPr>
  </w:style>
  <w:style w:type="character" w:customStyle="1" w:styleId="NormalWebChar">
    <w:name w:val="Normal (Web) Char"/>
    <w:link w:val="NormalWeb"/>
    <w:rPr>
      <w:sz w:val="24"/>
      <w:szCs w:val="24"/>
      <w:lang w:eastAsia="en-US"/>
    </w:rPr>
  </w:style>
  <w:style w:type="paragraph" w:styleId="TOC1">
    <w:name w:val="toc 1"/>
    <w:basedOn w:val="Normal"/>
    <w:next w:val="Normal"/>
    <w:uiPriority w:val="39"/>
    <w:pPr>
      <w:tabs>
        <w:tab w:val="right" w:leader="dot" w:pos="9072"/>
      </w:tabs>
      <w:suppressAutoHyphens w:val="0"/>
      <w:spacing w:line="260" w:lineRule="atLeast"/>
    </w:pPr>
    <w:rPr>
      <w:rFonts w:ascii="Arial" w:hAnsi="Arial"/>
      <w:b/>
      <w:noProof/>
      <w:szCs w:val="24"/>
      <w:lang w:val="de-CH" w:eastAsia="de-CH"/>
    </w:rPr>
  </w:style>
  <w:style w:type="paragraph" w:styleId="CommentSubject">
    <w:name w:val="annotation subject"/>
    <w:basedOn w:val="CommentText"/>
    <w:next w:val="CommentText"/>
    <w:link w:val="CommentSubjectChar"/>
    <w:semiHidden/>
    <w:unhideWhenUsed/>
    <w:pPr>
      <w:spacing w:line="240" w:lineRule="auto"/>
    </w:pPr>
    <w:rPr>
      <w:b/>
      <w:bCs/>
    </w:rPr>
  </w:style>
  <w:style w:type="character" w:customStyle="1" w:styleId="CommentTextChar">
    <w:name w:val="Comment Text Char"/>
    <w:basedOn w:val="DefaultParagraphFont"/>
    <w:link w:val="CommentText"/>
    <w:semiHidden/>
    <w:rPr>
      <w:lang w:eastAsia="en-US"/>
    </w:rPr>
  </w:style>
  <w:style w:type="character" w:customStyle="1" w:styleId="CommentSubjectChar">
    <w:name w:val="Comment Subject Char"/>
    <w:basedOn w:val="CommentTextChar"/>
    <w:link w:val="CommentSubject"/>
    <w:semiHidden/>
    <w:rPr>
      <w:b/>
      <w:bCs/>
      <w:lang w:eastAsia="en-US"/>
    </w:rPr>
  </w:style>
  <w:style w:type="paragraph" w:customStyle="1" w:styleId="Default">
    <w:name w:val="Default"/>
    <w:pPr>
      <w:autoSpaceDE w:val="0"/>
      <w:autoSpaceDN w:val="0"/>
      <w:adjustRightInd w:val="0"/>
    </w:pPr>
    <w:rPr>
      <w:rFonts w:ascii="Calibri" w:hAnsi="Calibri" w:cs="Calibri"/>
      <w:color w:val="000000"/>
      <w:sz w:val="24"/>
      <w:szCs w:val="24"/>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oleObject" Target="embeddings/oleObject2.bin"/><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ref="">
    <f:field ref="objname" par="" edit="true" text="ECE-TRANS-WP15-AC1-2018-xx Filling of LPG cylinders"/>
    <f:field ref="objsubject" par="" edit="true" text=""/>
    <f:field ref="objcreatedby" par="" text="Blanchard Bakx, Valérie (BAV - blv)"/>
    <f:field ref="objcreatedat" par="" text="18.12.2017 16:12:24"/>
    <f:field ref="objchangedby" par="" text="Blanchard Bakx, Valérie (BAV - blv)"/>
    <f:field ref="objmodifiedat" par="" text="20.12.2017 12:18:54"/>
    <f:field ref="doc_FSCFOLIO_1_1001_FieldDocumentNumber" par="" text=""/>
    <f:field ref="doc_FSCFOLIO_1_1001_FieldSubject" par="" edit="true" text=""/>
    <f:field ref="FSCFOLIO_1_1001_FieldCurrentUser" par="" text="Valérie Blanchard Bakx"/>
    <f:field ref="CCAPRECONFIG_15_1001_Objektname" par="" edit="true" text="ECE-TRANS-WP15-AC1-2018-xx Filling of LPG cylinders"/>
    <f:field ref="CHPRECONFIG_1_1001_Objektname" par="" edit="true" text="ECE-TRANS-WP15-AC1-2018-xx Filling of LPG cylinders"/>
  </f:record>
  <f:record inx="1" ref="">
    <f:field ref="CCAPRECONFIG_15_1001_Anrede" par="" edit="true" text=""/>
    <f:field ref="CCAPRECONFIG_15_1001_Anrede_Briefkopf" par="" text=""/>
    <f:field ref="CCAPRECONFIG_15_1001_Geschlecht_Anrede" par="" text=""/>
    <f:field ref="CCAPRECONFIG_15_1001_Titel" par="" edit="true" text=""/>
    <f:field ref="CCAPRECONFIG_15_1001_Nachgestellter_Titel" par="" edit="true" text=""/>
    <f:field ref="CCAPRECONFIG_15_1001_Vorname" par="" edit="true" text=""/>
    <f:field ref="CCAPRECONFIG_15_1001_Nachname" par="" edit="true" text=""/>
    <f:field ref="CCAPRECONFIG_15_1001_zH" par="" edit="true" text=""/>
    <f:field ref="CCAPRECONFIG_15_1001_Geschlecht" par="" text=""/>
    <f:field ref="CCAPRECONFIG_15_1001_Strasse" par="" text=""/>
    <f:field ref="CCAPRECONFIG_15_1001_Hausnummer" par="" text=""/>
    <f:field ref="CCAPRECONFIG_15_1001_Stiege" par="" text=""/>
    <f:field ref="CCAPRECONFIG_15_1001_Stock" par="" text=""/>
    <f:field ref="CCAPRECONFIG_15_1001_Tuer" par="" text=""/>
    <f:field ref="CCAPRECONFIG_15_1001_Postfach" par="" text=""/>
    <f:field ref="CCAPRECONFIG_15_1001_Postleitzahl" par="" text=""/>
    <f:field ref="CCAPRECONFIG_15_1001_Ort" par="" text=""/>
    <f:field ref="CCAPRECONFIG_15_1001_Land" par="" text=""/>
    <f:field ref="CCAPRECONFIG_15_1001_Email" par="" text=""/>
    <f:field ref="CCAPRECONFIG_15_1001_Postalische_Adresse" par="" text=""/>
    <f:field ref="CCAPRECONFIG_15_1001_Adresse" par="" text=""/>
    <f:field ref="CCAPRECONFIG_15_1001_Fax" par="" text=""/>
    <f:field ref="CCAPRECONFIG_15_1001_Telefon" par="" text=""/>
    <f:field ref="CCAPRECONFIG_15_1001_Geburtsdatum" par="" text=""/>
    <f:field ref="CCAPRECONFIG_15_1001_Sozialversicherungsnummer" par="" text=""/>
    <f:field ref="CCAPRECONFIG_15_1001_Berufstitel" par="" text=""/>
    <f:field ref="CCAPRECONFIG_15_1001_Funktionsbezeichnung" par="" text=""/>
    <f:field ref="CCAPRECONFIG_15_1001_Organisationsname" par="" text=""/>
    <f:field ref="CCAPRECONFIG_15_1001_Organisationskurzname" par="" text=""/>
    <f:field ref="CCAPRECONFIG_15_1001_Abschriftsbemerkung" par="" text=""/>
    <f:field ref="CCAPRECONFIG_15_1001_Name_Zeile_2" par="" text=""/>
    <f:field ref="CCAPRECONFIG_15_1001_Name_Zeile_3" par="" text=""/>
    <f:field ref="CCAPRECONFIG_15_1001_Firmenbuchnummer" par="" text=""/>
    <f:field ref="CCAPRECONFIG_15_1001_Versandart" par="" text="Courrier B"/>
    <f:field ref="CCAPRECONFIG_15_1001_Kategorie" par="" text="Destinataire"/>
    <f:field ref="CCAPRECONFIG_15_1001_Rechtsform" par="" text=""/>
    <f:field ref="CCAPRECONFIG_15_1001_Ziel" par="" text=""/>
    <f:field ref="CHPRECONFIG_1_1001_Anrede" par="" edit="true" text=""/>
    <f:field ref="CHPRECONFIG_1_1001_Titel" par="" edit="true" text=""/>
    <f:field ref="CHPRECONFIG_1_1001_Vorname" par="" edit="true" text=""/>
    <f:field ref="CHPRECONFIG_1_1001_Nachname" par="" edit="true" text=""/>
    <f:field ref="CHPRECONFIG_1_1001_Strasse" par="" text=""/>
    <f:field ref="CHPRECONFIG_1_1001_Postleitzahl" par="" text=""/>
    <f:field ref="CHPRECONFIG_1_1001_Ort" par="" text=""/>
    <f:field ref="CHPRECONFIG_1_1001_EMailAdresse" par="" text=""/>
    <f:field ref="UVEKCFG_15_1700_Personal" par="" text=""/>
    <f:field ref="UVEKCFG_15_1700_Geschlecht" par="" text=""/>
    <f:field ref="UVEKCFG_15_1700_GebDatum" par="" text=""/>
    <f:field ref="UVEKCFG_15_1700_Beruf" par="" text=""/>
    <f:field ref="UVEKCFG_15_1700_Familienstand" par="" text=""/>
    <f:field ref="UVEKCFG_15_1700_Muttersprache" par="" text=""/>
    <f:field ref="UVEKCFG_15_1700_Geboren_in" par="" text=""/>
    <f:field ref="UVEKCFG_15_1700_Briefanrede" par="" text=""/>
    <f:field ref="UVEKCFG_15_1700_Kommunikationssprache" par="" text=""/>
    <f:field ref="UVEKCFG_15_1700_Webseite" par="" text=""/>
    <f:field ref="UVEKCFG_15_1700_TelNr_Business" par="" text=""/>
    <f:field ref="UVEKCFG_15_1700_TelNr_Private" par="" text=""/>
    <f:field ref="UVEKCFG_15_1700_TelNr_Mobile" par="" text=""/>
    <f:field ref="UVEKCFG_15_1700_TelNr_Other" par="" text=""/>
    <f:field ref="UVEKCFG_15_1700_TelNr_Fax" par="" text=""/>
    <f:field ref="UVEKCFG_15_1700_EMail1" par="" text=""/>
    <f:field ref="UVEKCFG_15_1700_EMail2" par="" text=""/>
    <f:field ref="UVEKCFG_15_1700_EMail3" par="" text=""/>
    <f:field ref="UVEKCFG_15_1700_UID" par="" text=""/>
    <f:field ref="UVEKCFG_15_1700_Klassifizierung" par="" text=""/>
    <f:field ref="UVEKCFG_15_1700_Gruendungsjahr" par="" text=""/>
    <f:field ref="UVEKCFG_15_1700_Versandart" par="" text="Courrier B"/>
    <f:field ref="UVEKCFG_15_1700_Versandvermek" par="" text=""/>
    <f:field ref="UVEKCFG_15_1700_Kurzbezeichnung" par="" text=""/>
    <f:field ref="UVEKCFG_15_1700_Strasse2" par="" text=""/>
    <f:field ref="UVEKCFG_15_1700_Hausnummer_Zusatz" par="" text=""/>
    <f:field ref="UVEKCFG_15_1700_Land" par="" text=""/>
    <f:field ref="UVEKCFG_15_1700_Serienbrieffeld_1" par="" text=""/>
    <f:field ref="UVEKCFG_15_1700_Serienbrieffeld_2" par="" text=""/>
    <f:field ref="UVEKCFG_15_1700_Serienbrieffeld_3" par="" text=""/>
    <f:field ref="UVEKCFG_15_1700_Serienbrieffeld_4" par="" text=""/>
    <f:field ref="UVEKCFG_15_1700_Serienbrieffeld_5" par="" text=""/>
    <f:field ref="UVEKCFG_15_1700_Adresszeile_1" par="" text=""/>
    <f:field ref="UVEKCFG_15_1700_Adresszeile_2" par="" text=""/>
    <f:field ref="UVEKCFG_15_1700_Adresszeile_3" par="" text=""/>
    <f:field ref="UVEKCFG_15_1700_Adresszeile_4" par="" text=""/>
    <f:field ref="UVEKCFG_15_1700_Adresszeile_5" par="" text=""/>
    <f:field ref="UVEKCFG_15_1700_Adresszeile_6" par="" text=""/>
    <f:field ref="UVEKCFG_15_1700_Adresszeile_7" par="" text=""/>
    <f:field ref="UVEKCFG_15_1700_Adresszeile_8" par="" text=""/>
    <f:field ref="UVEKCFG_15_1700_Adresszeile_9" par="" text=""/>
    <f:field ref="UVEKCFG_15_1700_Adresszeile_10" par="" text=""/>
    <f:field ref="BAVCFG_15_1700_Adresse1" par="" edit="true" text=""/>
    <f:field ref="BAVCFG_15_1700_Firma" par="" text=""/>
    <f:field ref="BAVCFG_15_1700_ZustellungAm" par="" text=""/>
    <f:field ref="BAVCFG_15_1700_ForeignNumber" par="" text=""/>
    <f:field ref="BAVCFG_15_1700_AnredePartner" par="" edit="true" text=""/>
    <f:field ref="BAVCFG_15_1700_Anrede_Adresse" par="" edit="true" text=""/>
    <f:field ref="BAVCFG_15_1700_Zusatzzeile1" par="" edit="true" text=""/>
    <f:field ref="BAVCFG_15_1700_Zusatzzeile2" par="" edit="true" text=""/>
    <f:field ref="BAVCFG_15_1700_Strasse2" par="" edit="true" text=""/>
    <f:field ref="BAVCFG_15_1700_Firma_Kurz" par="" text=""/>
    <f:field ref="BAVCFG_15_1700_Posfach" par="" text=""/>
    <f:field ref="BAVCFG_15_1700_Vorname_AP" par="" text=""/>
    <f:field ref="BAVCFG_15_1700_Nachname_AP" par="" text=""/>
    <f:field ref="BAVCFG_15_1700_Adresse1_AP" par="" text=""/>
    <f:field ref="BAVCFG_15_1700_Strasse_AP" par="" text=""/>
    <f:field ref="BAVCFG_15_1700_Postleitzahl_AP" par="" text=""/>
    <f:field ref="BAVCFG_15_1700_Ort_AP" par="" text=""/>
    <f:field ref="BAVCFG_15_1700_EMail_AP" par="" text=""/>
    <f:field ref="BAVCFG_15_1700_Firma_AP" par="" text=""/>
    <f:field ref="BAVCFG_15_1700_AnredePartner_AP" par="" text=""/>
    <f:field ref="BAVCFG_15_1700_Titel_AP" par="" text=""/>
    <f:field ref="BAVCFG_15_1700_Fax_AP" par="" text=""/>
    <f:field ref="BAVCFG_15_1700_Anrede_Adresse_AP" par="" text=""/>
    <f:field ref="BAVCFG_15_1700_Zusatzzeile1_AP" par="" text=""/>
    <f:field ref="BAVCFG_15_1700_Zusatzzeile2_AP" par="" text=""/>
    <f:field ref="BAVCFG_15_1700_Strasse2_AP" par="" text=""/>
    <f:field ref="BAVCFG_15_1700_FirmaKurz_AP" par="" text=""/>
    <f:field ref="BAVCFG_15_1700_Posfach_AP" par="" text=""/>
  </f:record>
  <f:display par="" text="...">
    <f:field ref="CHPRECONFIG_1_1001_Objektname" text="Classe d'objets"/>
    <f:field ref="objcreatedat" text="Créé le/à"/>
    <f:field ref="objcreatedby" text="Créé par"/>
    <f:field ref="objchangedby" text="Dernière modification apportée par"/>
    <f:field ref="objmodifiedat" text="Dernière modification le/à"/>
    <f:field ref="objname" text="Nom"/>
    <f:field ref="CCAPRECONFIG_15_1001_Objektname" text="Nom d'objet"/>
    <f:field ref="objsubject" text="Subject (single-line)"/>
    <f:field ref="FSCFOLIO_1_1001_FieldCurrentUser" text="Utilisateur actuel"/>
  </f:display>
  <f:display par="" text="&gt; Destinataires">
    <f:field ref="UVEKCFG_15_1700_Personal" text=""/>
    <f:field ref="UVEKCFG_15_1700_Geschlecht" text=""/>
    <f:field ref="UVEKCFG_15_1700_GebDatum" text=""/>
    <f:field ref="UVEKCFG_15_1700_Beruf" text=""/>
    <f:field ref="UVEKCFG_15_1700_Familienstand" text=""/>
    <f:field ref="UVEKCFG_15_1700_Muttersprache" text=""/>
    <f:field ref="UVEKCFG_15_1700_Geboren_in" text=""/>
    <f:field ref="UVEKCFG_15_1700_Briefanrede" text=""/>
    <f:field ref="UVEKCFG_15_1700_Kommunikationssprache" text=""/>
    <f:field ref="UVEKCFG_15_1700_Webseite" text=""/>
    <f:field ref="UVEKCFG_15_1700_TelNr_Business" text=""/>
    <f:field ref="UVEKCFG_15_1700_TelNr_Private" text=""/>
    <f:field ref="UVEKCFG_15_1700_TelNr_Mobile" text=""/>
    <f:field ref="UVEKCFG_15_1700_TelNr_Other" text=""/>
    <f:field ref="UVEKCFG_15_1700_TelNr_Fax" text=""/>
    <f:field ref="UVEKCFG_15_1700_EMail1" text=""/>
    <f:field ref="UVEKCFG_15_1700_EMail2" text=""/>
    <f:field ref="UVEKCFG_15_1700_EMail3" text=""/>
    <f:field ref="UVEKCFG_15_1700_UID" text=""/>
    <f:field ref="UVEKCFG_15_1700_Klassifizierung" text=""/>
    <f:field ref="UVEKCFG_15_1700_Gruendungsjahr" text=""/>
    <f:field ref="UVEKCFG_15_1700_Versandart" text=""/>
    <f:field ref="UVEKCFG_15_1700_Versandvermek" text=""/>
    <f:field ref="UVEKCFG_15_1700_Kurzbezeichnung" text=""/>
    <f:field ref="UVEKCFG_15_1700_Strasse2" text=""/>
    <f:field ref="UVEKCFG_15_1700_Hausnummer_Zusatz" text=""/>
    <f:field ref="UVEKCFG_15_1700_Land" text=""/>
    <f:field ref="UVEKCFG_15_1700_Serienbrieffeld_1" text=""/>
    <f:field ref="UVEKCFG_15_1700_Serienbrieffeld_2" text=""/>
    <f:field ref="UVEKCFG_15_1700_Serienbrieffeld_3" text=""/>
    <f:field ref="UVEKCFG_15_1700_Serienbrieffeld_4" text=""/>
    <f:field ref="UVEKCFG_15_1700_Serienbrieffeld_5" text=""/>
    <f:field ref="UVEKCFG_15_1700_Adresszeile_1" text=""/>
    <f:field ref="UVEKCFG_15_1700_Adresszeile_2" text=""/>
    <f:field ref="UVEKCFG_15_1700_Adresszeile_3" text=""/>
    <f:field ref="UVEKCFG_15_1700_Adresszeile_4" text=""/>
    <f:field ref="UVEKCFG_15_1700_Adresszeile_5" text=""/>
    <f:field ref="UVEKCFG_15_1700_Adresszeile_6" text=""/>
    <f:field ref="UVEKCFG_15_1700_Adresszeile_7" text=""/>
    <f:field ref="UVEKCFG_15_1700_Adresszeile_8" text=""/>
    <f:field ref="UVEKCFG_15_1700_Adresszeile_9" text=""/>
    <f:field ref="UVEKCFG_15_1700_Adresszeile_10" text=""/>
    <f:field ref="BAVCFG_15_1700_AnredePartner" text=""/>
    <f:field ref="CCAPRECONFIG_15_1001_zH" text="à l'att. de"/>
    <f:field ref="CCAPRECONFIG_15_1001_Adresse" text="Adresse"/>
    <f:field ref="CHPRECONFIG_1_1001_EMailAdresse" text="Adresse e-mail"/>
    <f:field ref="CCAPRECONFIG_15_1001_Postalische_Adresse" text="Adresse postale"/>
    <f:field ref="BAVCFG_15_1700_Adresse1" text="Adresse1"/>
    <f:field ref="BAVCFG_15_1700_Adresse1_AP" text="Adresse1_AP"/>
    <f:field ref="BAVCFG_15_1700_Anrede_Adresse" text="Anrede Adresse"/>
    <f:field ref="BAVCFG_15_1700_Anrede_Adresse_AP" text="Anrede Adresse_AP"/>
    <f:field ref="CCAPRECONFIG_15_1001_Anrede_Briefkopf" text="Anrede_Briefkopf"/>
    <f:field ref="BAVCFG_15_1700_AnredePartner_AP" text="AnredePartner_AP"/>
    <f:field ref="CCAPRECONFIG_15_1001_Berufstitel" text="Berufstitel"/>
    <f:field ref="CCAPRECONFIG_15_1001_Postfach" text="Case postale"/>
    <f:field ref="CCAPRECONFIG_15_1001_Postleitzahl" text="Code postal"/>
    <f:field ref="CCAPRECONFIG_15_1001_Organisationskurzname" text="Diminutif de l'organisation"/>
    <f:field ref="CCAPRECONFIG_15_1001_Email" text="E-Mail"/>
    <f:field ref="BAVCFG_15_1700_EMail_AP" text="E-Mail_AP"/>
    <f:field ref="CCAPRECONFIG_15_1001_Stiege" text="Escalier"/>
    <f:field ref="CCAPRECONFIG_15_1001_Fax" text="Fax"/>
    <f:field ref="BAVCFG_15_1700_Fax_AP" text="Fax_AP"/>
    <f:field ref="BAVCFG_15_1700_Firma" text="Firma"/>
    <f:field ref="BAVCFG_15_1700_Firma_Kurz" text="Firma Kurz"/>
    <f:field ref="BAVCFG_15_1700_FirmaKurz_AP" text="Firma Kurz_AP"/>
    <f:field ref="BAVCFG_15_1700_Firma_AP" text="Firma_AP"/>
    <f:field ref="CCAPRECONFIG_15_1001_Firmenbuchnummer" text="Firmenbuchnummer"/>
    <f:field ref="CHPRECONFIG_1_1001_Anrede" text="Formule d'appel"/>
    <f:field ref="CCAPRECONFIG_15_1001_Anrede" text="Formule d'appel"/>
    <f:field ref="BAVCFG_15_1700_ForeignNumber" text="Fremdaktenzeichen"/>
    <f:field ref="CCAPRECONFIG_15_1001_Funktionsbezeichnung" text="Funktionsbezeichnung"/>
    <f:field ref="CCAPRECONFIG_15_1001_Geburtsdatum" text="Geburtsdatum"/>
    <f:field ref="CCAPRECONFIG_15_1001_Geschlecht_Anrede" text="Geschlecht_Anrede"/>
    <f:field ref="CCAPRECONFIG_15_1001_Nachgestellter_Titel" text="Intitulé du poste"/>
    <f:field ref="CCAPRECONFIG_15_1001_Kategorie" text="Kategorie"/>
    <f:field ref="CHPRECONFIG_1_1001_Ort" text="Localité"/>
    <f:field ref="CCAPRECONFIG_15_1001_Ort" text="Localité"/>
    <f:field ref="BAVCFG_15_1700_Nachname_AP" text="Nachname_AP"/>
    <f:field ref="CCAPRECONFIG_15_1001_Nachname" text="Nom"/>
    <f:field ref="CHPRECONFIG_1_1001_Nachname" text="Nom"/>
    <f:field ref="CCAPRECONFIG_15_1001_Organisationsname" text="Nom de l'organisation"/>
    <f:field ref="CCAPRECONFIG_15_1001_Name_Zeile_2" text="Nom_Ligne_2"/>
    <f:field ref="CCAPRECONFIG_15_1001_Name_Zeile_3" text="Nom_Ligne_3"/>
    <f:field ref="CHPRECONFIG_1_1001_Postleitzahl" text="NPA"/>
    <f:field ref="CCAPRECONFIG_15_1001_Hausnummer" text="Numéro"/>
    <f:field ref="BAVCFG_15_1700_Ort_AP" text="Ort_AP"/>
    <f:field ref="CCAPRECONFIG_15_1001_Land" text="Pays"/>
    <f:field ref="CCAPRECONFIG_15_1001_Tuer" text="Porte"/>
    <f:field ref="BAVCFG_15_1700_Posfach" text="Posfach"/>
    <f:field ref="BAVCFG_15_1700_Posfach_AP" text="Posfach_AP"/>
    <f:field ref="BAVCFG_15_1700_Postleitzahl_AP" text="Postleitzahl_AP"/>
    <f:field ref="CCAPRECONFIG_15_1001_Vorname" text="Prénom"/>
    <f:field ref="CHPRECONFIG_1_1001_Vorname" text="Prénom"/>
    <f:field ref="CCAPRECONFIG_15_1001_Rechtsform" text="Rechtsform"/>
    <f:field ref="CCAPRECONFIG_15_1001_Abschriftsbemerkung" text="Remarque de l'expéditeur"/>
    <f:field ref="CHPRECONFIG_1_1001_Strasse" text="Rue"/>
    <f:field ref="CCAPRECONFIG_15_1001_Strasse" text="Rue"/>
    <f:field ref="CCAPRECONFIG_15_1001_Geschlecht" text="Sexe"/>
    <f:field ref="CCAPRECONFIG_15_1001_Sozialversicherungsnummer" text="Sozialversicherungsnummer"/>
    <f:field ref="CCAPRECONFIG_15_1001_Stock" text="Stock"/>
    <f:field ref="BAVCFG_15_1700_Strasse2" text="Strasse2"/>
    <f:field ref="BAVCFG_15_1700_Strasse2_AP" text="Strasse2_AP"/>
    <f:field ref="BAVCFG_15_1700_Strasse_AP" text="Strasse_AP"/>
    <f:field ref="CCAPRECONFIG_15_1001_Telefon" text="Telefon"/>
    <f:field ref="BAVCFG_15_1700_Titel_AP" text="Titel_AP"/>
    <f:field ref="CCAPRECONFIG_15_1001_Titel" text="Titre"/>
    <f:field ref="CHPRECONFIG_1_1001_Titel" text="Titre"/>
    <f:field ref="CCAPRECONFIG_15_1001_Versandart" text="Type d'envoi"/>
    <f:field ref="BAVCFG_15_1700_Vorname_AP" text="Vorname_AP"/>
    <f:field ref="CCAPRECONFIG_15_1001_Ziel" text="Ziel"/>
    <f:field ref="BAVCFG_15_1700_Zusatzzeile1" text="Zusatzzeile1"/>
    <f:field ref="BAVCFG_15_1700_Zusatzzeile1_AP" text="Zusatzzeile1_AP"/>
    <f:field ref="BAVCFG_15_1700_Zusatzzeile2" text="Zusatzzeile2"/>
    <f:field ref="BAVCFG_15_1700_Zusatzzeile2_AP" text="Zusatzzeile2_AP"/>
    <f:field ref="BAVCFG_15_1700_ZustellungAm" text="ZustellungAm"/>
  </f:display>
  <f:display par="" text="Publipostage">
    <f:field ref="doc_FSCFOLIO_1_1001_FieldDocumentNumber" text="Numéro de document"/>
    <f:field ref="doc_FSCFOLIO_1_1001_FieldSubject" text="Objet"/>
  </f:display>
</f:field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88FAE8C8-DABD-4402-8FF4-616BDF389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940</Words>
  <Characters>5362</Characters>
  <Application>Microsoft Office Word</Application>
  <DocSecurity>0</DocSecurity>
  <Lines>44</Lines>
  <Paragraphs>12</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1126259</vt:lpstr>
      <vt:lpstr>1126259</vt:lpstr>
      <vt:lpstr>1126259</vt:lpstr>
    </vt:vector>
  </TitlesOfParts>
  <Company>CSD</Company>
  <LinksUpToDate>false</LinksUpToDate>
  <CharactersWithSpaces>6290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1126259</dc:title>
  <dc:creator>BAC</dc:creator>
  <cp:keywords>ECE/TRANS/WP.15/AC.1/2012/8</cp:keywords>
  <dc:description>Final</dc:description>
  <cp:lastModifiedBy>Christine Barrio-Champeau</cp:lastModifiedBy>
  <cp:revision>5</cp:revision>
  <cp:lastPrinted>2017-12-19T12:40:00Z</cp:lastPrinted>
  <dcterms:created xsi:type="dcterms:W3CDTF">2017-12-20T13:04:00Z</dcterms:created>
  <dcterms:modified xsi:type="dcterms:W3CDTF">2017-12-21T11:06:00Z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BAVTEMPL@102.1950:Amtstitel">
    <vt:lpwstr>Division Sécurité</vt:lpwstr>
  </property>
  <property fmtid="{D5CDD505-2E9C-101B-9397-08002B2CF9AE}" pid="3" name="FSC#BAVTEMPL@102.1950:AssignmentName">
    <vt:lpwstr/>
  </property>
  <property fmtid="{D5CDD505-2E9C-101B-9397-08002B2CF9AE}" pid="4" name="FSC#BAVTEMPL@102.1950:BAVShortsign">
    <vt:lpwstr/>
  </property>
  <property fmtid="{D5CDD505-2E9C-101B-9397-08002B2CF9AE}" pid="5" name="FSC#BAVTEMPL@102.1950:DocumentID">
    <vt:lpwstr>810</vt:lpwstr>
  </property>
  <property fmtid="{D5CDD505-2E9C-101B-9397-08002B2CF9AE}" pid="6" name="FSC#BAVTEMPL@102.1950:Dossierref">
    <vt:lpwstr/>
  </property>
  <property fmtid="{D5CDD505-2E9C-101B-9397-08002B2CF9AE}" pid="7" name="FSC#BAVTEMPL@102.1950:EmpfName">
    <vt:lpwstr/>
  </property>
  <property fmtid="{D5CDD505-2E9C-101B-9397-08002B2CF9AE}" pid="8" name="FSC#BAVTEMPL@102.1950:EmpfName_AP">
    <vt:lpwstr/>
  </property>
  <property fmtid="{D5CDD505-2E9C-101B-9397-08002B2CF9AE}" pid="9" name="FSC#BAVTEMPL@102.1950:EmpfOrt">
    <vt:lpwstr/>
  </property>
  <property fmtid="{D5CDD505-2E9C-101B-9397-08002B2CF9AE}" pid="10" name="FSC#BAVTEMPL@102.1950:EmpfPLZ">
    <vt:lpwstr/>
  </property>
  <property fmtid="{D5CDD505-2E9C-101B-9397-08002B2CF9AE}" pid="11" name="FSC#BAVTEMPL@102.1950:EmpfStrasse">
    <vt:lpwstr/>
  </property>
  <property fmtid="{D5CDD505-2E9C-101B-9397-08002B2CF9AE}" pid="12" name="FSC#BAVTEMPL@102.1950:EmpfOrt_AP">
    <vt:lpwstr/>
  </property>
  <property fmtid="{D5CDD505-2E9C-101B-9397-08002B2CF9AE}" pid="13" name="FSC#BAVTEMPL@102.1950:EmpfPLZ_AP">
    <vt:lpwstr/>
  </property>
  <property fmtid="{D5CDD505-2E9C-101B-9397-08002B2CF9AE}" pid="14" name="FSC#BAVTEMPL@102.1950:EmpfStrasse_AP">
    <vt:lpwstr/>
  </property>
  <property fmtid="{D5CDD505-2E9C-101B-9397-08002B2CF9AE}" pid="15" name="FSC#BAVTEMPL@102.1950:FileRespEmail">
    <vt:lpwstr>valerie.blanchard@bav.admin.ch</vt:lpwstr>
  </property>
  <property fmtid="{D5CDD505-2E9C-101B-9397-08002B2CF9AE}" pid="16" name="FSC#BAVTEMPL@102.1950:FileRespFax">
    <vt:lpwstr>+41 58 464 12 48</vt:lpwstr>
  </property>
  <property fmtid="{D5CDD505-2E9C-101B-9397-08002B2CF9AE}" pid="17" name="FSC#BAVTEMPL@102.1950:FileRespHome">
    <vt:lpwstr>Ittigen</vt:lpwstr>
  </property>
  <property fmtid="{D5CDD505-2E9C-101B-9397-08002B2CF9AE}" pid="18" name="FSC#BAVTEMPL@102.1950:FileResponsible">
    <vt:lpwstr>Valérie Blanchard Bakx</vt:lpwstr>
  </property>
  <property fmtid="{D5CDD505-2E9C-101B-9397-08002B2CF9AE}" pid="19" name="FSC#BAVTEMPL@102.1950:FileRespOrg">
    <vt:lpwstr>Environnement (BAV)</vt:lpwstr>
  </property>
  <property fmtid="{D5CDD505-2E9C-101B-9397-08002B2CF9AE}" pid="20" name="FSC#BAVTEMPL@102.1950:FileRespOrgHome">
    <vt:lpwstr/>
  </property>
  <property fmtid="{D5CDD505-2E9C-101B-9397-08002B2CF9AE}" pid="21" name="FSC#BAVTEMPL@102.1950:FileRespOrgStreet">
    <vt:lpwstr/>
  </property>
  <property fmtid="{D5CDD505-2E9C-101B-9397-08002B2CF9AE}" pid="22" name="FSC#BAVTEMPL@102.1950:FileRespOrgZipCode">
    <vt:lpwstr/>
  </property>
  <property fmtid="{D5CDD505-2E9C-101B-9397-08002B2CF9AE}" pid="23" name="FSC#BAVTEMPL@102.1950:FileRespOU">
    <vt:lpwstr>Environnement</vt:lpwstr>
  </property>
  <property fmtid="{D5CDD505-2E9C-101B-9397-08002B2CF9AE}" pid="24" name="FSC#BAVTEMPL@102.1950:FileRespStreet">
    <vt:lpwstr>Mühlestrasse 6</vt:lpwstr>
  </property>
  <property fmtid="{D5CDD505-2E9C-101B-9397-08002B2CF9AE}" pid="25" name="FSC#BAVTEMPL@102.1950:FileRespTel">
    <vt:lpwstr>+41 58 465 72 72</vt:lpwstr>
  </property>
  <property fmtid="{D5CDD505-2E9C-101B-9397-08002B2CF9AE}" pid="26" name="FSC#BAVTEMPL@102.1950:FileRespZipCode">
    <vt:lpwstr>3063</vt:lpwstr>
  </property>
  <property fmtid="{D5CDD505-2E9C-101B-9397-08002B2CF9AE}" pid="27" name="FSC#BAVTEMPL@102.1950:ForeignNumber">
    <vt:lpwstr/>
  </property>
  <property fmtid="{D5CDD505-2E9C-101B-9397-08002B2CF9AE}" pid="28" name="FSC#BAVTEMPL@102.1950:NameFileResponsible">
    <vt:lpwstr>Blanchard Bakx</vt:lpwstr>
  </property>
  <property fmtid="{D5CDD505-2E9C-101B-9397-08002B2CF9AE}" pid="29" name="FSC#BAVTEMPL@102.1950:OutAttachPhysic">
    <vt:lpwstr/>
  </property>
  <property fmtid="{D5CDD505-2E9C-101B-9397-08002B2CF9AE}" pid="30" name="FSC#BAVTEMPL@102.1950:Registrierdatum">
    <vt:lpwstr/>
  </property>
  <property fmtid="{D5CDD505-2E9C-101B-9397-08002B2CF9AE}" pid="31" name="FSC#BAVTEMPL@102.1950:RegPlanPos">
    <vt:lpwstr>BAV-510.42</vt:lpwstr>
  </property>
  <property fmtid="{D5CDD505-2E9C-101B-9397-08002B2CF9AE}" pid="32" name="FSC#BAVTEMPL@102.1950:Subject">
    <vt:lpwstr/>
  </property>
  <property fmtid="{D5CDD505-2E9C-101B-9397-08002B2CF9AE}" pid="33" name="FSC#BAVTEMPL@102.1950:TitleDossier">
    <vt:lpwstr/>
  </property>
  <property fmtid="{D5CDD505-2E9C-101B-9397-08002B2CF9AE}" pid="34" name="FSC#BAVTEMPL@102.1950:UserFunction">
    <vt:lpwstr>Section</vt:lpwstr>
  </property>
  <property fmtid="{D5CDD505-2E9C-101B-9397-08002B2CF9AE}" pid="35" name="FSC#BAVTEMPL@102.1950:VornameNameFileResponsible">
    <vt:lpwstr>Valérie</vt:lpwstr>
  </property>
  <property fmtid="{D5CDD505-2E9C-101B-9397-08002B2CF9AE}" pid="36" name="FSC#BAVTEMPL@102.1950:ZusendungAm">
    <vt:lpwstr/>
  </property>
  <property fmtid="{D5CDD505-2E9C-101B-9397-08002B2CF9AE}" pid="37" name="FSC#BAVTEMPL@102.1950:SubFileState">
    <vt:lpwstr/>
  </property>
  <property fmtid="{D5CDD505-2E9C-101B-9397-08002B2CF9AE}" pid="38" name="FSC#UVEKCFG@15.1700:Function">
    <vt:lpwstr>Section</vt:lpwstr>
  </property>
  <property fmtid="{D5CDD505-2E9C-101B-9397-08002B2CF9AE}" pid="39" name="FSC#UVEKCFG@15.1700:FileRespOrg">
    <vt:lpwstr>Environnement</vt:lpwstr>
  </property>
  <property fmtid="{D5CDD505-2E9C-101B-9397-08002B2CF9AE}" pid="40" name="FSC#UVEKCFG@15.1700:DefaultGroupFileResponsible">
    <vt:lpwstr>Environnement</vt:lpwstr>
  </property>
  <property fmtid="{D5CDD505-2E9C-101B-9397-08002B2CF9AE}" pid="41" name="FSC#UVEKCFG@15.1700:FileRespFunction">
    <vt:lpwstr>Section</vt:lpwstr>
  </property>
  <property fmtid="{D5CDD505-2E9C-101B-9397-08002B2CF9AE}" pid="42" name="FSC#UVEKCFG@15.1700:AssignedClassification">
    <vt:lpwstr/>
  </property>
  <property fmtid="{D5CDD505-2E9C-101B-9397-08002B2CF9AE}" pid="43" name="FSC#UVEKCFG@15.1700:AssignedClassificationCode">
    <vt:lpwstr/>
  </property>
  <property fmtid="{D5CDD505-2E9C-101B-9397-08002B2CF9AE}" pid="44" name="FSC#UVEKCFG@15.1700:FileResponsible">
    <vt:lpwstr>Valérie Blanchard Bakx</vt:lpwstr>
  </property>
  <property fmtid="{D5CDD505-2E9C-101B-9397-08002B2CF9AE}" pid="45" name="FSC#UVEKCFG@15.1700:FileResponsibleTel">
    <vt:lpwstr>+41 58 465 72 72</vt:lpwstr>
  </property>
  <property fmtid="{D5CDD505-2E9C-101B-9397-08002B2CF9AE}" pid="46" name="FSC#UVEKCFG@15.1700:FileResponsibleEmail">
    <vt:lpwstr>valerie.blanchard@bav.admin.ch</vt:lpwstr>
  </property>
  <property fmtid="{D5CDD505-2E9C-101B-9397-08002B2CF9AE}" pid="47" name="FSC#UVEKCFG@15.1700:FileResponsibleFax">
    <vt:lpwstr>+41 58 464 12 48</vt:lpwstr>
  </property>
  <property fmtid="{D5CDD505-2E9C-101B-9397-08002B2CF9AE}" pid="48" name="FSC#UVEKCFG@15.1700:FileResponsibleAddress">
    <vt:lpwstr>Mühlestrasse 6, 3063 Ittigen</vt:lpwstr>
  </property>
  <property fmtid="{D5CDD505-2E9C-101B-9397-08002B2CF9AE}" pid="49" name="FSC#UVEKCFG@15.1700:FileResponsibleStreet">
    <vt:lpwstr>Mühlestrasse 6</vt:lpwstr>
  </property>
  <property fmtid="{D5CDD505-2E9C-101B-9397-08002B2CF9AE}" pid="50" name="FSC#UVEKCFG@15.1700:FileResponsiblezipcode">
    <vt:lpwstr>3063</vt:lpwstr>
  </property>
  <property fmtid="{D5CDD505-2E9C-101B-9397-08002B2CF9AE}" pid="51" name="FSC#UVEKCFG@15.1700:FileResponsiblecity">
    <vt:lpwstr>Ittigen</vt:lpwstr>
  </property>
  <property fmtid="{D5CDD505-2E9C-101B-9397-08002B2CF9AE}" pid="52" name="FSC#UVEKCFG@15.1700:FileResponsibleAbbreviation">
    <vt:lpwstr>blv</vt:lpwstr>
  </property>
  <property fmtid="{D5CDD505-2E9C-101B-9397-08002B2CF9AE}" pid="53" name="FSC#UVEKCFG@15.1700:FileRespOrgHome">
    <vt:lpwstr/>
  </property>
  <property fmtid="{D5CDD505-2E9C-101B-9397-08002B2CF9AE}" pid="54" name="FSC#UVEKCFG@15.1700:CurrUserAbbreviation">
    <vt:lpwstr>blv</vt:lpwstr>
  </property>
  <property fmtid="{D5CDD505-2E9C-101B-9397-08002B2CF9AE}" pid="55" name="FSC#UVEKCFG@15.1700:CategoryReference">
    <vt:lpwstr>BAV-510.42</vt:lpwstr>
  </property>
  <property fmtid="{D5CDD505-2E9C-101B-9397-08002B2CF9AE}" pid="56" name="FSC#UVEKCFG@15.1700:cooAddress">
    <vt:lpwstr>COO.2125.100.2.10480511</vt:lpwstr>
  </property>
  <property fmtid="{D5CDD505-2E9C-101B-9397-08002B2CF9AE}" pid="57" name="FSC#UVEKCFG@15.1700:sleeveFileReference">
    <vt:lpwstr/>
  </property>
  <property fmtid="{D5CDD505-2E9C-101B-9397-08002B2CF9AE}" pid="58" name="FSC#UVEKCFG@15.1700:BureauName">
    <vt:lpwstr/>
  </property>
  <property fmtid="{D5CDD505-2E9C-101B-9397-08002B2CF9AE}" pid="59" name="FSC#UVEKCFG@15.1700:BureauShortName">
    <vt:lpwstr/>
  </property>
  <property fmtid="{D5CDD505-2E9C-101B-9397-08002B2CF9AE}" pid="60" name="FSC#UVEKCFG@15.1700:BureauWebsite">
    <vt:lpwstr/>
  </property>
  <property fmtid="{D5CDD505-2E9C-101B-9397-08002B2CF9AE}" pid="61" name="FSC#UVEKCFG@15.1700:SubFileTitle">
    <vt:lpwstr>ECE-TRANS-WP15-AC1-2018-xx Filling of LPG cylinders</vt:lpwstr>
  </property>
  <property fmtid="{D5CDD505-2E9C-101B-9397-08002B2CF9AE}" pid="62" name="FSC#UVEKCFG@15.1700:ForeignNumber">
    <vt:lpwstr/>
  </property>
  <property fmtid="{D5CDD505-2E9C-101B-9397-08002B2CF9AE}" pid="63" name="FSC#UVEKCFG@15.1700:Amtstitel">
    <vt:lpwstr>Division Sécurité</vt:lpwstr>
  </property>
  <property fmtid="{D5CDD505-2E9C-101B-9397-08002B2CF9AE}" pid="64" name="FSC#UVEKCFG@15.1700:ZusendungAm">
    <vt:lpwstr/>
  </property>
  <property fmtid="{D5CDD505-2E9C-101B-9397-08002B2CF9AE}" pid="65" name="FSC#UVEKCFG@15.1700:SignerLeft">
    <vt:lpwstr/>
  </property>
  <property fmtid="{D5CDD505-2E9C-101B-9397-08002B2CF9AE}" pid="66" name="FSC#UVEKCFG@15.1700:SignerRight">
    <vt:lpwstr/>
  </property>
  <property fmtid="{D5CDD505-2E9C-101B-9397-08002B2CF9AE}" pid="67" name="FSC#UVEKCFG@15.1700:SignerLeftJobTitle">
    <vt:lpwstr/>
  </property>
  <property fmtid="{D5CDD505-2E9C-101B-9397-08002B2CF9AE}" pid="68" name="FSC#UVEKCFG@15.1700:SignerRightJobTitle">
    <vt:lpwstr/>
  </property>
  <property fmtid="{D5CDD505-2E9C-101B-9397-08002B2CF9AE}" pid="69" name="FSC#UVEKCFG@15.1700:SignerLeftFunction">
    <vt:lpwstr/>
  </property>
  <property fmtid="{D5CDD505-2E9C-101B-9397-08002B2CF9AE}" pid="70" name="FSC#UVEKCFG@15.1700:SignerRightFunction">
    <vt:lpwstr/>
  </property>
  <property fmtid="{D5CDD505-2E9C-101B-9397-08002B2CF9AE}" pid="71" name="FSC#UVEKCFG@15.1700:SignerLeftUserRoleGroup">
    <vt:lpwstr/>
  </property>
  <property fmtid="{D5CDD505-2E9C-101B-9397-08002B2CF9AE}" pid="72" name="FSC#UVEKCFG@15.1700:SignerRightUserRoleGroup">
    <vt:lpwstr/>
  </property>
  <property fmtid="{D5CDD505-2E9C-101B-9397-08002B2CF9AE}" pid="73" name="FSC#UVEKCFG@15.1700:DocumentNumber">
    <vt:lpwstr>2017-12-18-0810</vt:lpwstr>
  </property>
  <property fmtid="{D5CDD505-2E9C-101B-9397-08002B2CF9AE}" pid="74" name="FSC#UVEKCFG@15.1700:AssignmentNumber">
    <vt:lpwstr/>
  </property>
  <property fmtid="{D5CDD505-2E9C-101B-9397-08002B2CF9AE}" pid="75" name="FSC#UVEKCFG@15.1700:EM_Personal">
    <vt:lpwstr/>
  </property>
  <property fmtid="{D5CDD505-2E9C-101B-9397-08002B2CF9AE}" pid="76" name="FSC#UVEKCFG@15.1700:EM_Geschlecht">
    <vt:lpwstr/>
  </property>
  <property fmtid="{D5CDD505-2E9C-101B-9397-08002B2CF9AE}" pid="77" name="FSC#UVEKCFG@15.1700:EM_GebDatum">
    <vt:lpwstr/>
  </property>
  <property fmtid="{D5CDD505-2E9C-101B-9397-08002B2CF9AE}" pid="78" name="FSC#UVEKCFG@15.1700:EM_Funktion">
    <vt:lpwstr/>
  </property>
  <property fmtid="{D5CDD505-2E9C-101B-9397-08002B2CF9AE}" pid="79" name="FSC#UVEKCFG@15.1700:EM_Beruf">
    <vt:lpwstr/>
  </property>
  <property fmtid="{D5CDD505-2E9C-101B-9397-08002B2CF9AE}" pid="80" name="FSC#UVEKCFG@15.1700:EM_SVNR">
    <vt:lpwstr/>
  </property>
  <property fmtid="{D5CDD505-2E9C-101B-9397-08002B2CF9AE}" pid="81" name="FSC#UVEKCFG@15.1700:EM_Familienstand">
    <vt:lpwstr/>
  </property>
  <property fmtid="{D5CDD505-2E9C-101B-9397-08002B2CF9AE}" pid="82" name="FSC#UVEKCFG@15.1700:EM_Muttersprache">
    <vt:lpwstr/>
  </property>
  <property fmtid="{D5CDD505-2E9C-101B-9397-08002B2CF9AE}" pid="83" name="FSC#UVEKCFG@15.1700:EM_Geboren_in">
    <vt:lpwstr/>
  </property>
  <property fmtid="{D5CDD505-2E9C-101B-9397-08002B2CF9AE}" pid="84" name="FSC#UVEKCFG@15.1700:EM_Briefanrede">
    <vt:lpwstr/>
  </property>
  <property fmtid="{D5CDD505-2E9C-101B-9397-08002B2CF9AE}" pid="85" name="FSC#UVEKCFG@15.1700:EM_Kommunikationssprache">
    <vt:lpwstr/>
  </property>
  <property fmtid="{D5CDD505-2E9C-101B-9397-08002B2CF9AE}" pid="86" name="FSC#UVEKCFG@15.1700:EM_Webseite">
    <vt:lpwstr/>
  </property>
  <property fmtid="{D5CDD505-2E9C-101B-9397-08002B2CF9AE}" pid="87" name="FSC#UVEKCFG@15.1700:EM_TelNr_Business">
    <vt:lpwstr/>
  </property>
  <property fmtid="{D5CDD505-2E9C-101B-9397-08002B2CF9AE}" pid="88" name="FSC#UVEKCFG@15.1700:EM_TelNr_Private">
    <vt:lpwstr/>
  </property>
  <property fmtid="{D5CDD505-2E9C-101B-9397-08002B2CF9AE}" pid="89" name="FSC#UVEKCFG@15.1700:EM_TelNr_Mobile">
    <vt:lpwstr/>
  </property>
  <property fmtid="{D5CDD505-2E9C-101B-9397-08002B2CF9AE}" pid="90" name="FSC#UVEKCFG@15.1700:EM_TelNr_Other">
    <vt:lpwstr/>
  </property>
  <property fmtid="{D5CDD505-2E9C-101B-9397-08002B2CF9AE}" pid="91" name="FSC#UVEKCFG@15.1700:EM_TelNr_Fax">
    <vt:lpwstr/>
  </property>
  <property fmtid="{D5CDD505-2E9C-101B-9397-08002B2CF9AE}" pid="92" name="FSC#UVEKCFG@15.1700:EM_EMail1">
    <vt:lpwstr/>
  </property>
  <property fmtid="{D5CDD505-2E9C-101B-9397-08002B2CF9AE}" pid="93" name="FSC#UVEKCFG@15.1700:EM_EMail2">
    <vt:lpwstr/>
  </property>
  <property fmtid="{D5CDD505-2E9C-101B-9397-08002B2CF9AE}" pid="94" name="FSC#UVEKCFG@15.1700:EM_EMail3">
    <vt:lpwstr/>
  </property>
  <property fmtid="{D5CDD505-2E9C-101B-9397-08002B2CF9AE}" pid="95" name="FSC#UVEKCFG@15.1700:EM_Name">
    <vt:lpwstr/>
  </property>
  <property fmtid="{D5CDD505-2E9C-101B-9397-08002B2CF9AE}" pid="96" name="FSC#UVEKCFG@15.1700:EM_UID">
    <vt:lpwstr/>
  </property>
  <property fmtid="{D5CDD505-2E9C-101B-9397-08002B2CF9AE}" pid="97" name="FSC#UVEKCFG@15.1700:EM_Rechtsform">
    <vt:lpwstr/>
  </property>
  <property fmtid="{D5CDD505-2E9C-101B-9397-08002B2CF9AE}" pid="98" name="FSC#UVEKCFG@15.1700:EM_Klassifizierung">
    <vt:lpwstr/>
  </property>
  <property fmtid="{D5CDD505-2E9C-101B-9397-08002B2CF9AE}" pid="99" name="FSC#UVEKCFG@15.1700:EM_Gruendungsjahr">
    <vt:lpwstr/>
  </property>
  <property fmtid="{D5CDD505-2E9C-101B-9397-08002B2CF9AE}" pid="100" name="FSC#UVEKCFG@15.1700:EM_Versandart">
    <vt:lpwstr>Courrier B</vt:lpwstr>
  </property>
  <property fmtid="{D5CDD505-2E9C-101B-9397-08002B2CF9AE}" pid="101" name="FSC#UVEKCFG@15.1700:EM_Versandvermek">
    <vt:lpwstr/>
  </property>
  <property fmtid="{D5CDD505-2E9C-101B-9397-08002B2CF9AE}" pid="102" name="FSC#UVEKCFG@15.1700:EM_Anrede">
    <vt:lpwstr/>
  </property>
  <property fmtid="{D5CDD505-2E9C-101B-9397-08002B2CF9AE}" pid="103" name="FSC#UVEKCFG@15.1700:EM_Titel">
    <vt:lpwstr/>
  </property>
  <property fmtid="{D5CDD505-2E9C-101B-9397-08002B2CF9AE}" pid="104" name="FSC#UVEKCFG@15.1700:EM_Nachgestellter_Titel">
    <vt:lpwstr/>
  </property>
  <property fmtid="{D5CDD505-2E9C-101B-9397-08002B2CF9AE}" pid="105" name="FSC#UVEKCFG@15.1700:EM_Vorname">
    <vt:lpwstr/>
  </property>
  <property fmtid="{D5CDD505-2E9C-101B-9397-08002B2CF9AE}" pid="106" name="FSC#UVEKCFG@15.1700:EM_Nachname">
    <vt:lpwstr/>
  </property>
  <property fmtid="{D5CDD505-2E9C-101B-9397-08002B2CF9AE}" pid="107" name="FSC#UVEKCFG@15.1700:EM_Kurzbezeichnung">
    <vt:lpwstr/>
  </property>
  <property fmtid="{D5CDD505-2E9C-101B-9397-08002B2CF9AE}" pid="108" name="FSC#UVEKCFG@15.1700:EM_Organisations_Zeile_1">
    <vt:lpwstr/>
  </property>
  <property fmtid="{D5CDD505-2E9C-101B-9397-08002B2CF9AE}" pid="109" name="FSC#UVEKCFG@15.1700:EM_Organisations_Zeile_2">
    <vt:lpwstr/>
  </property>
  <property fmtid="{D5CDD505-2E9C-101B-9397-08002B2CF9AE}" pid="110" name="FSC#UVEKCFG@15.1700:EM_Organisations_Zeile_3">
    <vt:lpwstr/>
  </property>
  <property fmtid="{D5CDD505-2E9C-101B-9397-08002B2CF9AE}" pid="111" name="FSC#UVEKCFG@15.1700:EM_Strasse">
    <vt:lpwstr/>
  </property>
  <property fmtid="{D5CDD505-2E9C-101B-9397-08002B2CF9AE}" pid="112" name="FSC#UVEKCFG@15.1700:EM_Hausnummer">
    <vt:lpwstr/>
  </property>
  <property fmtid="{D5CDD505-2E9C-101B-9397-08002B2CF9AE}" pid="113" name="FSC#UVEKCFG@15.1700:EM_Strasse2">
    <vt:lpwstr/>
  </property>
  <property fmtid="{D5CDD505-2E9C-101B-9397-08002B2CF9AE}" pid="114" name="FSC#UVEKCFG@15.1700:EM_Hausnummer_Zusatz">
    <vt:lpwstr/>
  </property>
  <property fmtid="{D5CDD505-2E9C-101B-9397-08002B2CF9AE}" pid="115" name="FSC#UVEKCFG@15.1700:EM_Postfach">
    <vt:lpwstr/>
  </property>
  <property fmtid="{D5CDD505-2E9C-101B-9397-08002B2CF9AE}" pid="116" name="FSC#UVEKCFG@15.1700:EM_PLZ">
    <vt:lpwstr/>
  </property>
  <property fmtid="{D5CDD505-2E9C-101B-9397-08002B2CF9AE}" pid="117" name="FSC#UVEKCFG@15.1700:EM_Ort">
    <vt:lpwstr/>
  </property>
  <property fmtid="{D5CDD505-2E9C-101B-9397-08002B2CF9AE}" pid="118" name="FSC#UVEKCFG@15.1700:EM_Land">
    <vt:lpwstr/>
  </property>
  <property fmtid="{D5CDD505-2E9C-101B-9397-08002B2CF9AE}" pid="119" name="FSC#UVEKCFG@15.1700:EM_E_Mail_Adresse">
    <vt:lpwstr/>
  </property>
  <property fmtid="{D5CDD505-2E9C-101B-9397-08002B2CF9AE}" pid="120" name="FSC#UVEKCFG@15.1700:EM_Funktionsbezeichnung">
    <vt:lpwstr/>
  </property>
  <property fmtid="{D5CDD505-2E9C-101B-9397-08002B2CF9AE}" pid="121" name="FSC#UVEKCFG@15.1700:EM_Serienbrieffeld_1">
    <vt:lpwstr/>
  </property>
  <property fmtid="{D5CDD505-2E9C-101B-9397-08002B2CF9AE}" pid="122" name="FSC#UVEKCFG@15.1700:EM_Serienbrieffeld_2">
    <vt:lpwstr/>
  </property>
  <property fmtid="{D5CDD505-2E9C-101B-9397-08002B2CF9AE}" pid="123" name="FSC#UVEKCFG@15.1700:EM_Serienbrieffeld_3">
    <vt:lpwstr/>
  </property>
  <property fmtid="{D5CDD505-2E9C-101B-9397-08002B2CF9AE}" pid="124" name="FSC#UVEKCFG@15.1700:EM_Serienbrieffeld_4">
    <vt:lpwstr/>
  </property>
  <property fmtid="{D5CDD505-2E9C-101B-9397-08002B2CF9AE}" pid="125" name="FSC#UVEKCFG@15.1700:EM_Serienbrieffeld_5">
    <vt:lpwstr/>
  </property>
  <property fmtid="{D5CDD505-2E9C-101B-9397-08002B2CF9AE}" pid="126" name="FSC#UVEKCFG@15.1700:EM_Address">
    <vt:lpwstr/>
  </property>
  <property fmtid="{D5CDD505-2E9C-101B-9397-08002B2CF9AE}" pid="127" name="FSC#UVEKCFG@15.1700:Abs_Nachname">
    <vt:lpwstr>Blanchard Bakx</vt:lpwstr>
  </property>
  <property fmtid="{D5CDD505-2E9C-101B-9397-08002B2CF9AE}" pid="128" name="FSC#UVEKCFG@15.1700:Abs_Vorname">
    <vt:lpwstr>Valérie</vt:lpwstr>
  </property>
  <property fmtid="{D5CDD505-2E9C-101B-9397-08002B2CF9AE}" pid="129" name="FSC#UVEKCFG@15.1700:Abs_Zeichen">
    <vt:lpwstr/>
  </property>
  <property fmtid="{D5CDD505-2E9C-101B-9397-08002B2CF9AE}" pid="130" name="FSC#UVEKCFG@15.1700:Anrede">
    <vt:lpwstr/>
  </property>
  <property fmtid="{D5CDD505-2E9C-101B-9397-08002B2CF9AE}" pid="131" name="FSC#UVEKCFG@15.1700:EM_Versandartspez">
    <vt:lpwstr/>
  </property>
  <property fmtid="{D5CDD505-2E9C-101B-9397-08002B2CF9AE}" pid="132" name="FSC#UVEKCFG@15.1700:Briefdatum">
    <vt:lpwstr>20.12.2017</vt:lpwstr>
  </property>
  <property fmtid="{D5CDD505-2E9C-101B-9397-08002B2CF9AE}" pid="133" name="FSC#UVEKCFG@15.1700:Empf_Zeichen">
    <vt:lpwstr/>
  </property>
  <property fmtid="{D5CDD505-2E9C-101B-9397-08002B2CF9AE}" pid="134" name="FSC#UVEKCFG@15.1700:FilialePLZ">
    <vt:lpwstr/>
  </property>
  <property fmtid="{D5CDD505-2E9C-101B-9397-08002B2CF9AE}" pid="135" name="FSC#UVEKCFG@15.1700:Gegenstand">
    <vt:lpwstr>ECE-TRANS-WP15-AC1-2018-xx Filling of LPG cylinders</vt:lpwstr>
  </property>
  <property fmtid="{D5CDD505-2E9C-101B-9397-08002B2CF9AE}" pid="136" name="FSC#UVEKCFG@15.1700:Nummer">
    <vt:lpwstr>2017-12-18-0810</vt:lpwstr>
  </property>
  <property fmtid="{D5CDD505-2E9C-101B-9397-08002B2CF9AE}" pid="137" name="FSC#UVEKCFG@15.1700:Unterschrift_Nachname">
    <vt:lpwstr/>
  </property>
  <property fmtid="{D5CDD505-2E9C-101B-9397-08002B2CF9AE}" pid="138" name="FSC#UVEKCFG@15.1700:Unterschrift_Vorname">
    <vt:lpwstr/>
  </property>
  <property fmtid="{D5CDD505-2E9C-101B-9397-08002B2CF9AE}" pid="139" name="FSC#UVEKCFG@15.1700:FileResponsibleStreetPostal">
    <vt:lpwstr/>
  </property>
  <property fmtid="{D5CDD505-2E9C-101B-9397-08002B2CF9AE}" pid="140" name="FSC#UVEKCFG@15.1700:FileResponsiblezipcodePostal">
    <vt:lpwstr>CH-3003</vt:lpwstr>
  </property>
  <property fmtid="{D5CDD505-2E9C-101B-9397-08002B2CF9AE}" pid="141" name="FSC#UVEKCFG@15.1700:FileResponsiblecityPostal">
    <vt:lpwstr>Bern</vt:lpwstr>
  </property>
  <property fmtid="{D5CDD505-2E9C-101B-9397-08002B2CF9AE}" pid="142" name="FSC#UVEKCFG@15.1700:FileResponsibleStreetInvoice">
    <vt:lpwstr>c/o DLZ FI EFD</vt:lpwstr>
  </property>
  <property fmtid="{D5CDD505-2E9C-101B-9397-08002B2CF9AE}" pid="143" name="FSC#UVEKCFG@15.1700:FileResponsiblezipcodeInvoice">
    <vt:lpwstr>3003</vt:lpwstr>
  </property>
  <property fmtid="{D5CDD505-2E9C-101B-9397-08002B2CF9AE}" pid="144" name="FSC#UVEKCFG@15.1700:FileResponsiblecityInvoice">
    <vt:lpwstr>Bern</vt:lpwstr>
  </property>
  <property fmtid="{D5CDD505-2E9C-101B-9397-08002B2CF9AE}" pid="145" name="FSC#UVEKCFG@15.1700:ResponsibleDefaultRoleOrg">
    <vt:lpwstr>uw</vt:lpwstr>
  </property>
  <property fmtid="{D5CDD505-2E9C-101B-9397-08002B2CF9AE}" pid="146" name="FSC#UVEKCFG@15.1700:SL_HStufe1">
    <vt:lpwstr/>
  </property>
  <property fmtid="{D5CDD505-2E9C-101B-9397-08002B2CF9AE}" pid="147" name="FSC#UVEKCFG@15.1700:SL_FStufe1">
    <vt:lpwstr/>
  </property>
  <property fmtid="{D5CDD505-2E9C-101B-9397-08002B2CF9AE}" pid="148" name="FSC#UVEKCFG@15.1700:SL_HStufe2">
    <vt:lpwstr/>
  </property>
  <property fmtid="{D5CDD505-2E9C-101B-9397-08002B2CF9AE}" pid="149" name="FSC#UVEKCFG@15.1700:SL_FStufe2">
    <vt:lpwstr/>
  </property>
  <property fmtid="{D5CDD505-2E9C-101B-9397-08002B2CF9AE}" pid="150" name="FSC#UVEKCFG@15.1700:SL_HStufe3">
    <vt:lpwstr/>
  </property>
  <property fmtid="{D5CDD505-2E9C-101B-9397-08002B2CF9AE}" pid="151" name="FSC#UVEKCFG@15.1700:SL_FStufe3">
    <vt:lpwstr/>
  </property>
  <property fmtid="{D5CDD505-2E9C-101B-9397-08002B2CF9AE}" pid="152" name="FSC#UVEKCFG@15.1700:SL_HStufe4">
    <vt:lpwstr/>
  </property>
  <property fmtid="{D5CDD505-2E9C-101B-9397-08002B2CF9AE}" pid="153" name="FSC#UVEKCFG@15.1700:SL_FStufe4">
    <vt:lpwstr/>
  </property>
  <property fmtid="{D5CDD505-2E9C-101B-9397-08002B2CF9AE}" pid="154" name="FSC#UVEKCFG@15.1700:SR_HStufe1">
    <vt:lpwstr/>
  </property>
  <property fmtid="{D5CDD505-2E9C-101B-9397-08002B2CF9AE}" pid="155" name="FSC#UVEKCFG@15.1700:SR_FStufe1">
    <vt:lpwstr/>
  </property>
  <property fmtid="{D5CDD505-2E9C-101B-9397-08002B2CF9AE}" pid="156" name="FSC#UVEKCFG@15.1700:SR_HStufe2">
    <vt:lpwstr/>
  </property>
  <property fmtid="{D5CDD505-2E9C-101B-9397-08002B2CF9AE}" pid="157" name="FSC#UVEKCFG@15.1700:SR_FStufe2">
    <vt:lpwstr/>
  </property>
  <property fmtid="{D5CDD505-2E9C-101B-9397-08002B2CF9AE}" pid="158" name="FSC#UVEKCFG@15.1700:SR_HStufe3">
    <vt:lpwstr/>
  </property>
  <property fmtid="{D5CDD505-2E9C-101B-9397-08002B2CF9AE}" pid="159" name="FSC#UVEKCFG@15.1700:SR_FStufe3">
    <vt:lpwstr/>
  </property>
  <property fmtid="{D5CDD505-2E9C-101B-9397-08002B2CF9AE}" pid="160" name="FSC#UVEKCFG@15.1700:SR_HStufe4">
    <vt:lpwstr/>
  </property>
  <property fmtid="{D5CDD505-2E9C-101B-9397-08002B2CF9AE}" pid="161" name="FSC#UVEKCFG@15.1700:SR_FStufe4">
    <vt:lpwstr/>
  </property>
  <property fmtid="{D5CDD505-2E9C-101B-9397-08002B2CF9AE}" pid="162" name="FSC#UVEKCFG@15.1700:FileResp_HStufe1">
    <vt:lpwstr/>
  </property>
  <property fmtid="{D5CDD505-2E9C-101B-9397-08002B2CF9AE}" pid="163" name="FSC#UVEKCFG@15.1700:FileResp_FStufe1">
    <vt:lpwstr>Section</vt:lpwstr>
  </property>
  <property fmtid="{D5CDD505-2E9C-101B-9397-08002B2CF9AE}" pid="164" name="FSC#UVEKCFG@15.1700:FileResp_HStufe2">
    <vt:lpwstr/>
  </property>
  <property fmtid="{D5CDD505-2E9C-101B-9397-08002B2CF9AE}" pid="165" name="FSC#UVEKCFG@15.1700:FileResp_FStufe2">
    <vt:lpwstr/>
  </property>
  <property fmtid="{D5CDD505-2E9C-101B-9397-08002B2CF9AE}" pid="166" name="FSC#UVEKCFG@15.1700:FileResp_HStufe3">
    <vt:lpwstr/>
  </property>
  <property fmtid="{D5CDD505-2E9C-101B-9397-08002B2CF9AE}" pid="167" name="FSC#UVEKCFG@15.1700:FileResp_FStufe3">
    <vt:lpwstr/>
  </property>
  <property fmtid="{D5CDD505-2E9C-101B-9397-08002B2CF9AE}" pid="168" name="FSC#UVEKCFG@15.1700:FileResp_HStufe4">
    <vt:lpwstr/>
  </property>
  <property fmtid="{D5CDD505-2E9C-101B-9397-08002B2CF9AE}" pid="169" name="FSC#UVEKCFG@15.1700:FileResp_FStufe4">
    <vt:lpwstr/>
  </property>
  <property fmtid="{D5CDD505-2E9C-101B-9397-08002B2CF9AE}" pid="170" name="FSC#COOELAK@1.1001:Subject">
    <vt:lpwstr/>
  </property>
  <property fmtid="{D5CDD505-2E9C-101B-9397-08002B2CF9AE}" pid="171" name="FSC#COOELAK@1.1001:FileReference">
    <vt:lpwstr>BAV-510.42-00002</vt:lpwstr>
  </property>
  <property fmtid="{D5CDD505-2E9C-101B-9397-08002B2CF9AE}" pid="172" name="FSC#COOELAK@1.1001:FileRefYear">
    <vt:lpwstr>2014</vt:lpwstr>
  </property>
  <property fmtid="{D5CDD505-2E9C-101B-9397-08002B2CF9AE}" pid="173" name="FSC#COOELAK@1.1001:FileRefOrdinal">
    <vt:lpwstr>2</vt:lpwstr>
  </property>
  <property fmtid="{D5CDD505-2E9C-101B-9397-08002B2CF9AE}" pid="174" name="FSC#COOELAK@1.1001:FileRefOU">
    <vt:lpwstr>reg_SI</vt:lpwstr>
  </property>
  <property fmtid="{D5CDD505-2E9C-101B-9397-08002B2CF9AE}" pid="175" name="FSC#COOELAK@1.1001:Organization">
    <vt:lpwstr/>
  </property>
  <property fmtid="{D5CDD505-2E9C-101B-9397-08002B2CF9AE}" pid="176" name="FSC#COOELAK@1.1001:Owner">
    <vt:lpwstr>Blanchard Bakx Valérie</vt:lpwstr>
  </property>
  <property fmtid="{D5CDD505-2E9C-101B-9397-08002B2CF9AE}" pid="177" name="FSC#COOELAK@1.1001:OwnerExtension">
    <vt:lpwstr>+41 58 465 72 72</vt:lpwstr>
  </property>
  <property fmtid="{D5CDD505-2E9C-101B-9397-08002B2CF9AE}" pid="178" name="FSC#COOELAK@1.1001:OwnerFaxExtension">
    <vt:lpwstr>+41 58 464 12 48</vt:lpwstr>
  </property>
  <property fmtid="{D5CDD505-2E9C-101B-9397-08002B2CF9AE}" pid="179" name="FSC#COOELAK@1.1001:DispatchedBy">
    <vt:lpwstr/>
  </property>
  <property fmtid="{D5CDD505-2E9C-101B-9397-08002B2CF9AE}" pid="180" name="FSC#COOELAK@1.1001:DispatchedAt">
    <vt:lpwstr/>
  </property>
  <property fmtid="{D5CDD505-2E9C-101B-9397-08002B2CF9AE}" pid="181" name="FSC#COOELAK@1.1001:ApprovedBy">
    <vt:lpwstr/>
  </property>
  <property fmtid="{D5CDD505-2E9C-101B-9397-08002B2CF9AE}" pid="182" name="FSC#COOELAK@1.1001:ApprovedAt">
    <vt:lpwstr/>
  </property>
  <property fmtid="{D5CDD505-2E9C-101B-9397-08002B2CF9AE}" pid="183" name="FSC#COOELAK@1.1001:Department">
    <vt:lpwstr>Environnement (BAV)</vt:lpwstr>
  </property>
  <property fmtid="{D5CDD505-2E9C-101B-9397-08002B2CF9AE}" pid="184" name="FSC#COOELAK@1.1001:CreatedAt">
    <vt:lpwstr>18.12.2017</vt:lpwstr>
  </property>
  <property fmtid="{D5CDD505-2E9C-101B-9397-08002B2CF9AE}" pid="185" name="FSC#COOELAK@1.1001:OU">
    <vt:lpwstr>Environnement (BAV)</vt:lpwstr>
  </property>
  <property fmtid="{D5CDD505-2E9C-101B-9397-08002B2CF9AE}" pid="186" name="FSC#COOELAK@1.1001:Priority">
    <vt:lpwstr> ()</vt:lpwstr>
  </property>
  <property fmtid="{D5CDD505-2E9C-101B-9397-08002B2CF9AE}" pid="187" name="FSC#COOELAK@1.1001:ObjBarCode">
    <vt:lpwstr>*COO.2125.100.2.10480511*</vt:lpwstr>
  </property>
  <property fmtid="{D5CDD505-2E9C-101B-9397-08002B2CF9AE}" pid="188" name="FSC#COOELAK@1.1001:RefBarCode">
    <vt:lpwstr>*COO.2125.100.2.10479589*</vt:lpwstr>
  </property>
  <property fmtid="{D5CDD505-2E9C-101B-9397-08002B2CF9AE}" pid="189" name="FSC#COOELAK@1.1001:FileRefBarCode">
    <vt:lpwstr>*BAV-510.42-00002*</vt:lpwstr>
  </property>
  <property fmtid="{D5CDD505-2E9C-101B-9397-08002B2CF9AE}" pid="190" name="FSC#COOELAK@1.1001:ExternalRef">
    <vt:lpwstr/>
  </property>
  <property fmtid="{D5CDD505-2E9C-101B-9397-08002B2CF9AE}" pid="191" name="FSC#COOELAK@1.1001:IncomingNumber">
    <vt:lpwstr/>
  </property>
  <property fmtid="{D5CDD505-2E9C-101B-9397-08002B2CF9AE}" pid="192" name="FSC#COOELAK@1.1001:IncomingSubject">
    <vt:lpwstr/>
  </property>
  <property fmtid="{D5CDD505-2E9C-101B-9397-08002B2CF9AE}" pid="193" name="FSC#COOELAK@1.1001:ProcessResponsible">
    <vt:lpwstr>Bonnet Colin</vt:lpwstr>
  </property>
  <property fmtid="{D5CDD505-2E9C-101B-9397-08002B2CF9AE}" pid="194" name="FSC#COOELAK@1.1001:ProcessResponsiblePhone">
    <vt:lpwstr>+41 58 463 89 96</vt:lpwstr>
  </property>
  <property fmtid="{D5CDD505-2E9C-101B-9397-08002B2CF9AE}" pid="195" name="FSC#COOELAK@1.1001:ProcessResponsibleMail">
    <vt:lpwstr>colin.bonnet@bav.admin.ch</vt:lpwstr>
  </property>
  <property fmtid="{D5CDD505-2E9C-101B-9397-08002B2CF9AE}" pid="196" name="FSC#COOELAK@1.1001:ProcessResponsibleFax">
    <vt:lpwstr>+41 58 464 12 48</vt:lpwstr>
  </property>
  <property fmtid="{D5CDD505-2E9C-101B-9397-08002B2CF9AE}" pid="197" name="FSC#COOELAK@1.1001:ApproverFirstName">
    <vt:lpwstr/>
  </property>
  <property fmtid="{D5CDD505-2E9C-101B-9397-08002B2CF9AE}" pid="198" name="FSC#COOELAK@1.1001:ApproverSurName">
    <vt:lpwstr/>
  </property>
  <property fmtid="{D5CDD505-2E9C-101B-9397-08002B2CF9AE}" pid="199" name="FSC#COOELAK@1.1001:ApproverTitle">
    <vt:lpwstr/>
  </property>
  <property fmtid="{D5CDD505-2E9C-101B-9397-08002B2CF9AE}" pid="200" name="FSC#COOELAK@1.1001:ExternalDate">
    <vt:lpwstr/>
  </property>
  <property fmtid="{D5CDD505-2E9C-101B-9397-08002B2CF9AE}" pid="201" name="FSC#COOELAK@1.1001:SettlementApprovedAt">
    <vt:lpwstr/>
  </property>
  <property fmtid="{D5CDD505-2E9C-101B-9397-08002B2CF9AE}" pid="202" name="FSC#COOELAK@1.1001:BaseNumber">
    <vt:lpwstr>BAV-510.42</vt:lpwstr>
  </property>
  <property fmtid="{D5CDD505-2E9C-101B-9397-08002B2CF9AE}" pid="203" name="FSC#COOELAK@1.1001:CurrentUserRolePos">
    <vt:lpwstr>Collaborateur, -trice spécialisé(e)</vt:lpwstr>
  </property>
  <property fmtid="{D5CDD505-2E9C-101B-9397-08002B2CF9AE}" pid="204" name="FSC#COOELAK@1.1001:CurrentUserEmail">
    <vt:lpwstr>valerie.blanchard@bav.admin.ch</vt:lpwstr>
  </property>
  <property fmtid="{D5CDD505-2E9C-101B-9397-08002B2CF9AE}" pid="205" name="FSC#ELAKGOV@1.1001:PersonalSubjGender">
    <vt:lpwstr/>
  </property>
  <property fmtid="{D5CDD505-2E9C-101B-9397-08002B2CF9AE}" pid="206" name="FSC#ELAKGOV@1.1001:PersonalSubjFirstName">
    <vt:lpwstr/>
  </property>
  <property fmtid="{D5CDD505-2E9C-101B-9397-08002B2CF9AE}" pid="207" name="FSC#ELAKGOV@1.1001:PersonalSubjSurName">
    <vt:lpwstr/>
  </property>
  <property fmtid="{D5CDD505-2E9C-101B-9397-08002B2CF9AE}" pid="208" name="FSC#ELAKGOV@1.1001:PersonalSubjSalutation">
    <vt:lpwstr/>
  </property>
  <property fmtid="{D5CDD505-2E9C-101B-9397-08002B2CF9AE}" pid="209" name="FSC#ELAKGOV@1.1001:PersonalSubjAddress">
    <vt:lpwstr/>
  </property>
  <property fmtid="{D5CDD505-2E9C-101B-9397-08002B2CF9AE}" pid="210" name="FSC#ATSTATECFG@1.1001:Office">
    <vt:lpwstr/>
  </property>
  <property fmtid="{D5CDD505-2E9C-101B-9397-08002B2CF9AE}" pid="211" name="FSC#ATSTATECFG@1.1001:Agent">
    <vt:lpwstr>Valérie Blanchard Bakx</vt:lpwstr>
  </property>
  <property fmtid="{D5CDD505-2E9C-101B-9397-08002B2CF9AE}" pid="212" name="FSC#ATSTATECFG@1.1001:AgentPhone">
    <vt:lpwstr>+41 58 465 72 72</vt:lpwstr>
  </property>
  <property fmtid="{D5CDD505-2E9C-101B-9397-08002B2CF9AE}" pid="213" name="FSC#ATSTATECFG@1.1001:DepartmentFax">
    <vt:lpwstr/>
  </property>
  <property fmtid="{D5CDD505-2E9C-101B-9397-08002B2CF9AE}" pid="214" name="FSC#ATSTATECFG@1.1001:DepartmentEmail">
    <vt:lpwstr/>
  </property>
  <property fmtid="{D5CDD505-2E9C-101B-9397-08002B2CF9AE}" pid="215" name="FSC#ATSTATECFG@1.1001:SubfileDate">
    <vt:lpwstr/>
  </property>
  <property fmtid="{D5CDD505-2E9C-101B-9397-08002B2CF9AE}" pid="216" name="FSC#ATSTATECFG@1.1001:SubfileSubject">
    <vt:lpwstr>ECE-TRANS-WP15-AC1-2018-xx Filling of cylinders</vt:lpwstr>
  </property>
  <property fmtid="{D5CDD505-2E9C-101B-9397-08002B2CF9AE}" pid="217" name="FSC#ATSTATECFG@1.1001:DepartmentZipCode">
    <vt:lpwstr/>
  </property>
  <property fmtid="{D5CDD505-2E9C-101B-9397-08002B2CF9AE}" pid="218" name="FSC#ATSTATECFG@1.1001:DepartmentCountry">
    <vt:lpwstr/>
  </property>
  <property fmtid="{D5CDD505-2E9C-101B-9397-08002B2CF9AE}" pid="219" name="FSC#ATSTATECFG@1.1001:DepartmentCity">
    <vt:lpwstr/>
  </property>
  <property fmtid="{D5CDD505-2E9C-101B-9397-08002B2CF9AE}" pid="220" name="FSC#ATSTATECFG@1.1001:DepartmentStreet">
    <vt:lpwstr/>
  </property>
  <property fmtid="{D5CDD505-2E9C-101B-9397-08002B2CF9AE}" pid="221" name="FSC#ATSTATECFG@1.1001:DepartmentDVR">
    <vt:lpwstr/>
  </property>
  <property fmtid="{D5CDD505-2E9C-101B-9397-08002B2CF9AE}" pid="222" name="FSC#ATSTATECFG@1.1001:DepartmentUID">
    <vt:lpwstr/>
  </property>
  <property fmtid="{D5CDD505-2E9C-101B-9397-08002B2CF9AE}" pid="223" name="FSC#ATSTATECFG@1.1001:SubfileReference">
    <vt:lpwstr>BAV-510.42-00002/00001/00013/00001</vt:lpwstr>
  </property>
  <property fmtid="{D5CDD505-2E9C-101B-9397-08002B2CF9AE}" pid="224" name="FSC#ATSTATECFG@1.1001:Clause">
    <vt:lpwstr/>
  </property>
  <property fmtid="{D5CDD505-2E9C-101B-9397-08002B2CF9AE}" pid="225" name="FSC#ATSTATECFG@1.1001:ApprovedSignature">
    <vt:lpwstr/>
  </property>
  <property fmtid="{D5CDD505-2E9C-101B-9397-08002B2CF9AE}" pid="226" name="FSC#ATSTATECFG@1.1001:BankAccount">
    <vt:lpwstr/>
  </property>
  <property fmtid="{D5CDD505-2E9C-101B-9397-08002B2CF9AE}" pid="227" name="FSC#ATSTATECFG@1.1001:BankAccountOwner">
    <vt:lpwstr/>
  </property>
  <property fmtid="{D5CDD505-2E9C-101B-9397-08002B2CF9AE}" pid="228" name="FSC#ATSTATECFG@1.1001:BankInstitute">
    <vt:lpwstr/>
  </property>
  <property fmtid="{D5CDD505-2E9C-101B-9397-08002B2CF9AE}" pid="229" name="FSC#ATSTATECFG@1.1001:BankAccountID">
    <vt:lpwstr/>
  </property>
  <property fmtid="{D5CDD505-2E9C-101B-9397-08002B2CF9AE}" pid="230" name="FSC#ATSTATECFG@1.1001:BankAccountIBAN">
    <vt:lpwstr/>
  </property>
  <property fmtid="{D5CDD505-2E9C-101B-9397-08002B2CF9AE}" pid="231" name="FSC#ATSTATECFG@1.1001:BankAccountBIC">
    <vt:lpwstr/>
  </property>
  <property fmtid="{D5CDD505-2E9C-101B-9397-08002B2CF9AE}" pid="232" name="FSC#ATSTATECFG@1.1001:BankName">
    <vt:lpwstr/>
  </property>
  <property fmtid="{D5CDD505-2E9C-101B-9397-08002B2CF9AE}" pid="233" name="FSC#COOSYSTEM@1.1:Container">
    <vt:lpwstr>COO.2125.100.2.10480511</vt:lpwstr>
  </property>
  <property fmtid="{D5CDD505-2E9C-101B-9397-08002B2CF9AE}" pid="234" name="FSC#FSCFOLIO@1.1001:docpropproject">
    <vt:lpwstr/>
  </property>
</Properties>
</file>