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r w:rsidRPr="00B11BB4">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9D2A5B" w:rsidP="00B012FA">
            <w:pPr>
              <w:suppressAutoHyphens w:val="0"/>
              <w:spacing w:after="20"/>
              <w:jc w:val="right"/>
            </w:pPr>
            <w:r w:rsidRPr="00B11BB4">
              <w:rPr>
                <w:sz w:val="40"/>
              </w:rPr>
              <w:t>ECE</w:t>
            </w:r>
            <w:r>
              <w:t>/TRANS/WP.15/AC.1/201</w:t>
            </w:r>
            <w:r w:rsidR="00B012FA">
              <w:t>8</w:t>
            </w:r>
            <w:r>
              <w:t>/</w:t>
            </w:r>
            <w:r w:rsidR="001A1DCA">
              <w:t>1</w:t>
            </w:r>
            <w:r w:rsidR="00385BE4">
              <w:t>8</w:t>
            </w:r>
          </w:p>
        </w:tc>
      </w:tr>
      <w:tr w:rsidR="00B56E9C" w:rsidTr="00B11BB4">
        <w:trPr>
          <w:cantSplit/>
          <w:trHeight w:hRule="exact" w:val="2835"/>
        </w:trPr>
        <w:tc>
          <w:tcPr>
            <w:tcW w:w="1276" w:type="dxa"/>
            <w:tcBorders>
              <w:top w:val="single" w:sz="4" w:space="0" w:color="auto"/>
              <w:bottom w:val="single" w:sz="12" w:space="0" w:color="auto"/>
            </w:tcBorders>
            <w:shd w:val="clear" w:color="auto" w:fill="auto"/>
          </w:tcPr>
          <w:p w:rsidR="00B56E9C" w:rsidRDefault="00080491" w:rsidP="00B11BB4">
            <w:pPr>
              <w:spacing w:before="120"/>
            </w:pPr>
            <w:r>
              <w:rPr>
                <w:noProof/>
                <w:lang w:val="sv-SE" w:eastAsia="sv-SE"/>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B11BB4" w:rsidRDefault="00D773DF" w:rsidP="00B11BB4">
            <w:pPr>
              <w:spacing w:before="120" w:line="420" w:lineRule="exact"/>
              <w:rPr>
                <w:sz w:val="40"/>
                <w:szCs w:val="40"/>
              </w:rPr>
            </w:pPr>
            <w:r w:rsidRPr="00B11BB4">
              <w:rPr>
                <w:b/>
                <w:sz w:val="40"/>
                <w:szCs w:val="40"/>
              </w:rPr>
              <w:t>Economic and Social Council</w:t>
            </w:r>
          </w:p>
        </w:tc>
        <w:tc>
          <w:tcPr>
            <w:tcW w:w="2835" w:type="dxa"/>
            <w:tcBorders>
              <w:top w:val="single" w:sz="4" w:space="0" w:color="auto"/>
              <w:bottom w:val="single" w:sz="12" w:space="0" w:color="auto"/>
            </w:tcBorders>
            <w:shd w:val="clear" w:color="auto" w:fill="auto"/>
          </w:tcPr>
          <w:p w:rsidR="009D2A5B" w:rsidRDefault="009D2A5B" w:rsidP="00B11BB4">
            <w:pPr>
              <w:suppressAutoHyphens w:val="0"/>
              <w:spacing w:before="240" w:line="240" w:lineRule="exact"/>
            </w:pPr>
            <w:r>
              <w:t>Distr.: General</w:t>
            </w:r>
          </w:p>
          <w:p w:rsidR="009D2A5B" w:rsidRDefault="00AA0DB3" w:rsidP="00B11BB4">
            <w:pPr>
              <w:suppressAutoHyphens w:val="0"/>
            </w:pPr>
            <w:r>
              <w:t>2</w:t>
            </w:r>
            <w:r w:rsidR="00107F9D">
              <w:t>6</w:t>
            </w:r>
            <w:bookmarkStart w:id="0" w:name="_GoBack"/>
            <w:bookmarkEnd w:id="0"/>
            <w:r w:rsidR="00A1147F">
              <w:t xml:space="preserve"> June </w:t>
            </w:r>
            <w:r w:rsidR="00004AD5">
              <w:t>2018</w:t>
            </w:r>
          </w:p>
          <w:p w:rsidR="009D2A5B" w:rsidRDefault="009D2A5B" w:rsidP="00B11BB4">
            <w:pPr>
              <w:suppressAutoHyphens w:val="0"/>
            </w:pPr>
          </w:p>
          <w:p w:rsidR="00B56E9C" w:rsidRDefault="009D2A5B" w:rsidP="00C3172E">
            <w:pPr>
              <w:suppressAutoHyphens w:val="0"/>
            </w:pPr>
            <w:r>
              <w:t xml:space="preserve">Original: </w:t>
            </w:r>
            <w:r w:rsidR="0094558F">
              <w:t xml:space="preserve"> English</w:t>
            </w:r>
            <w:r w:rsidR="00B734ED">
              <w:t xml:space="preserve"> </w:t>
            </w: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9D2A5B" w:rsidRDefault="009D2A5B" w:rsidP="009D2A5B">
      <w:pPr>
        <w:rPr>
          <w:b/>
        </w:rPr>
      </w:pPr>
      <w:r>
        <w:rPr>
          <w:b/>
        </w:rPr>
        <w:t>Joint Meeting of the RID Committee of Experts and the</w:t>
      </w:r>
    </w:p>
    <w:p w:rsidR="009D2A5B" w:rsidRDefault="009D2A5B" w:rsidP="009D2A5B">
      <w:pPr>
        <w:rPr>
          <w:b/>
        </w:rPr>
      </w:pPr>
      <w:r>
        <w:rPr>
          <w:b/>
        </w:rPr>
        <w:t>Working Party on the Transport of Dangerous Goods</w:t>
      </w:r>
    </w:p>
    <w:p w:rsidR="009D2A5B" w:rsidRDefault="00285D7A" w:rsidP="00BB7CD1">
      <w:r>
        <w:t>Geneva</w:t>
      </w:r>
      <w:r w:rsidR="00BB7CD1">
        <w:t xml:space="preserve">, </w:t>
      </w:r>
      <w:r w:rsidR="00AE08DA">
        <w:t>1</w:t>
      </w:r>
      <w:r w:rsidR="00004AD5">
        <w:t>7</w:t>
      </w:r>
      <w:r w:rsidR="00BB7CD1">
        <w:t>–</w:t>
      </w:r>
      <w:r w:rsidR="00004AD5">
        <w:t>21</w:t>
      </w:r>
      <w:r w:rsidR="00B012FA">
        <w:t xml:space="preserve"> </w:t>
      </w:r>
      <w:r w:rsidR="00004AD5">
        <w:t>September</w:t>
      </w:r>
      <w:r w:rsidR="00F66565">
        <w:t xml:space="preserve"> </w:t>
      </w:r>
      <w:r w:rsidR="00BB7CD1">
        <w:t>201</w:t>
      </w:r>
      <w:r w:rsidR="002564BC">
        <w:t>8</w:t>
      </w:r>
    </w:p>
    <w:p w:rsidR="00285D7A" w:rsidRPr="004D5C2B" w:rsidRDefault="00285D7A" w:rsidP="00285D7A">
      <w:r w:rsidRPr="004D5C2B">
        <w:t>Item 5 (</w:t>
      </w:r>
      <w:r w:rsidR="00AA0DB3">
        <w:t>a</w:t>
      </w:r>
      <w:r w:rsidRPr="004D5C2B">
        <w:t>) of the provisional agenda</w:t>
      </w:r>
    </w:p>
    <w:p w:rsidR="00285D7A" w:rsidRPr="00926085" w:rsidRDefault="00285D7A" w:rsidP="00285D7A">
      <w:pPr>
        <w:rPr>
          <w:b/>
        </w:rPr>
      </w:pPr>
      <w:r w:rsidRPr="00926085">
        <w:rPr>
          <w:b/>
        </w:rPr>
        <w:t>Proposals for amendments to RID/ADR/ADN:</w:t>
      </w:r>
    </w:p>
    <w:p w:rsidR="00285D7A" w:rsidRPr="00926085" w:rsidRDefault="00F00888" w:rsidP="00285D7A">
      <w:pPr>
        <w:rPr>
          <w:b/>
        </w:rPr>
      </w:pPr>
      <w:r>
        <w:rPr>
          <w:b/>
        </w:rPr>
        <w:t>p</w:t>
      </w:r>
      <w:r w:rsidR="00AA0DB3">
        <w:rPr>
          <w:b/>
        </w:rPr>
        <w:t>ending issues</w:t>
      </w:r>
    </w:p>
    <w:p w:rsidR="00285D7A" w:rsidRPr="000449C2" w:rsidRDefault="00C3172E" w:rsidP="00285D7A">
      <w:pPr>
        <w:pStyle w:val="HChG"/>
      </w:pPr>
      <w:r w:rsidRPr="00302B8D">
        <w:tab/>
      </w:r>
      <w:r w:rsidRPr="00302B8D">
        <w:tab/>
      </w:r>
      <w:r w:rsidR="00AA0DB3">
        <w:rPr>
          <w:lang w:val="en-US"/>
        </w:rPr>
        <w:t>Hazard identification number 836</w:t>
      </w:r>
    </w:p>
    <w:p w:rsidR="00C3172E" w:rsidRDefault="00C3172E" w:rsidP="00285D7A">
      <w:pPr>
        <w:pStyle w:val="H1G"/>
        <w:rPr>
          <w:sz w:val="20"/>
        </w:rPr>
      </w:pPr>
      <w:r>
        <w:tab/>
      </w:r>
      <w:r>
        <w:tab/>
      </w:r>
      <w:r w:rsidR="00AA0DB3">
        <w:t xml:space="preserve">Transmitted by </w:t>
      </w:r>
      <w:r w:rsidR="00357649">
        <w:t>the Government of</w:t>
      </w:r>
      <w:r w:rsidR="00AA0DB3">
        <w:t xml:space="preserve"> Spain</w:t>
      </w:r>
      <w:r w:rsidR="00AA0DB3" w:rsidRPr="00004AD5">
        <w:rPr>
          <w:rStyle w:val="FootnoteReference"/>
          <w:b w:val="0"/>
          <w:sz w:val="20"/>
        </w:rPr>
        <w:t xml:space="preserve"> </w:t>
      </w:r>
      <w:r w:rsidR="00004AD5" w:rsidRPr="00004AD5">
        <w:rPr>
          <w:rStyle w:val="FootnoteReference"/>
          <w:b w:val="0"/>
          <w:sz w:val="20"/>
        </w:rPr>
        <w:footnoteReference w:id="2"/>
      </w:r>
      <w:r w:rsidR="00004AD5" w:rsidRPr="00004AD5">
        <w:rPr>
          <w:sz w:val="20"/>
          <w:vertAlign w:val="superscript"/>
        </w:rPr>
        <w:t>,</w:t>
      </w:r>
      <w:r w:rsidR="00004AD5">
        <w:rPr>
          <w:sz w:val="18"/>
          <w:szCs w:val="18"/>
          <w:vertAlign w:val="superscript"/>
        </w:rPr>
        <w:t xml:space="preserve"> </w:t>
      </w:r>
      <w:r w:rsidR="00004AD5" w:rsidRPr="00004AD5">
        <w:rPr>
          <w:rStyle w:val="FootnoteReference"/>
          <w:sz w:val="20"/>
        </w:rPr>
        <w:footnoteReference w:customMarkFollows="1" w:id="3"/>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082"/>
      </w:tblGrid>
      <w:tr w:rsidR="00AA0DB3" w:rsidRPr="00E940D0" w:rsidTr="00F274B6">
        <w:trPr>
          <w:jc w:val="center"/>
        </w:trPr>
        <w:tc>
          <w:tcPr>
            <w:tcW w:w="9082" w:type="dxa"/>
            <w:shd w:val="clear" w:color="auto" w:fill="auto"/>
          </w:tcPr>
          <w:p w:rsidR="00AA0DB3" w:rsidRPr="00E940D0" w:rsidRDefault="00AA0DB3" w:rsidP="00F274B6">
            <w:pPr>
              <w:spacing w:before="240" w:after="120"/>
              <w:ind w:left="255"/>
              <w:rPr>
                <w:i/>
                <w:sz w:val="24"/>
              </w:rPr>
            </w:pPr>
            <w:r w:rsidRPr="00E940D0">
              <w:rPr>
                <w:i/>
                <w:sz w:val="24"/>
              </w:rPr>
              <w:t>Summary</w:t>
            </w:r>
          </w:p>
        </w:tc>
      </w:tr>
      <w:tr w:rsidR="00AA0DB3" w:rsidRPr="0035523F" w:rsidTr="00F274B6">
        <w:trPr>
          <w:jc w:val="center"/>
        </w:trPr>
        <w:tc>
          <w:tcPr>
            <w:tcW w:w="9082" w:type="dxa"/>
            <w:shd w:val="clear" w:color="auto" w:fill="auto"/>
          </w:tcPr>
          <w:p w:rsidR="00AA0DB3" w:rsidRPr="00CD0808" w:rsidRDefault="00AA0DB3" w:rsidP="00F274B6">
            <w:pPr>
              <w:pStyle w:val="SingleTxtG"/>
              <w:tabs>
                <w:tab w:val="left" w:pos="3260"/>
              </w:tabs>
              <w:ind w:left="3260" w:hanging="2126"/>
              <w:jc w:val="left"/>
            </w:pPr>
            <w:r w:rsidRPr="00CD0808">
              <w:rPr>
                <w:b/>
              </w:rPr>
              <w:t>Executive summary:</w:t>
            </w:r>
            <w:r>
              <w:rPr>
                <w:b/>
              </w:rPr>
              <w:t xml:space="preserve"> </w:t>
            </w:r>
            <w:r w:rsidRPr="00CD0808">
              <w:tab/>
            </w:r>
            <w:r>
              <w:t xml:space="preserve">Proposal to introduce the hazard identification </w:t>
            </w:r>
            <w:r w:rsidR="00F00888">
              <w:t>number 836 for UN 2683, AMMONIUM</w:t>
            </w:r>
            <w:r>
              <w:t xml:space="preserve"> SULPHIDE SOLUTION.  </w:t>
            </w:r>
          </w:p>
        </w:tc>
      </w:tr>
      <w:tr w:rsidR="00AA0DB3" w:rsidRPr="00597302" w:rsidTr="00F274B6">
        <w:trPr>
          <w:jc w:val="center"/>
        </w:trPr>
        <w:tc>
          <w:tcPr>
            <w:tcW w:w="9082" w:type="dxa"/>
            <w:shd w:val="clear" w:color="auto" w:fill="auto"/>
          </w:tcPr>
          <w:p w:rsidR="00AA0DB3" w:rsidRPr="00CD0808" w:rsidRDefault="00AA0DB3" w:rsidP="00F274B6">
            <w:pPr>
              <w:pStyle w:val="SingleTxtG"/>
              <w:tabs>
                <w:tab w:val="left" w:pos="3260"/>
              </w:tabs>
              <w:ind w:left="3260" w:hanging="2126"/>
            </w:pPr>
            <w:r w:rsidRPr="00CD0808">
              <w:rPr>
                <w:b/>
              </w:rPr>
              <w:t>Action to be taken:</w:t>
            </w:r>
            <w:r>
              <w:rPr>
                <w:b/>
              </w:rPr>
              <w:t xml:space="preserve">     </w:t>
            </w:r>
            <w:r>
              <w:rPr>
                <w:b/>
              </w:rPr>
              <w:tab/>
            </w:r>
            <w:r>
              <w:t>Amend column (20) of table A in chapter 3.2 of RID and ADR for UN 2683.</w:t>
            </w:r>
          </w:p>
        </w:tc>
      </w:tr>
      <w:tr w:rsidR="00AA0DB3" w:rsidRPr="00AE331E" w:rsidTr="00F274B6">
        <w:trPr>
          <w:jc w:val="center"/>
        </w:trPr>
        <w:tc>
          <w:tcPr>
            <w:tcW w:w="9082" w:type="dxa"/>
            <w:shd w:val="clear" w:color="auto" w:fill="auto"/>
          </w:tcPr>
          <w:p w:rsidR="00AA0DB3" w:rsidRPr="00D43932" w:rsidRDefault="00AA0DB3" w:rsidP="00F274B6">
            <w:pPr>
              <w:pStyle w:val="SingleTxtG"/>
              <w:tabs>
                <w:tab w:val="left" w:pos="3260"/>
              </w:tabs>
              <w:spacing w:after="0"/>
              <w:ind w:left="3260" w:hanging="2126"/>
              <w:jc w:val="left"/>
              <w:rPr>
                <w:b/>
                <w:lang w:val="en-US"/>
              </w:rPr>
            </w:pPr>
            <w:r w:rsidRPr="00CD0808">
              <w:rPr>
                <w:b/>
              </w:rPr>
              <w:t>Related documents:</w:t>
            </w:r>
            <w:r>
              <w:rPr>
                <w:b/>
              </w:rPr>
              <w:t xml:space="preserve">        </w:t>
            </w:r>
            <w:r w:rsidR="00F00888">
              <w:t>Informal document INF.</w:t>
            </w:r>
            <w:r>
              <w:t>15 (Spain)</w:t>
            </w:r>
            <w:r w:rsidR="0047728E">
              <w:t xml:space="preserve"> (Spring session 2018</w:t>
            </w:r>
            <w:r w:rsidR="00357649">
              <w:t>)</w:t>
            </w:r>
            <w:r w:rsidRPr="00FB06F6">
              <w:br/>
            </w:r>
            <w:r>
              <w:t>ECE/</w:t>
            </w:r>
            <w:r w:rsidRPr="00D3604F">
              <w:t>TRANS/WP.15/AC.1/</w:t>
            </w:r>
            <w:r>
              <w:t>150, paragraphs 39-43</w:t>
            </w:r>
          </w:p>
        </w:tc>
      </w:tr>
      <w:tr w:rsidR="00AA0DB3" w:rsidRPr="00AE331E" w:rsidTr="00F274B6">
        <w:trPr>
          <w:jc w:val="center"/>
        </w:trPr>
        <w:tc>
          <w:tcPr>
            <w:tcW w:w="9082" w:type="dxa"/>
            <w:shd w:val="clear" w:color="auto" w:fill="auto"/>
          </w:tcPr>
          <w:p w:rsidR="00AA0DB3" w:rsidRPr="00D43932" w:rsidRDefault="00AA0DB3" w:rsidP="00F274B6">
            <w:pPr>
              <w:rPr>
                <w:lang w:val="en-US"/>
              </w:rPr>
            </w:pPr>
          </w:p>
        </w:tc>
      </w:tr>
    </w:tbl>
    <w:p w:rsidR="00AA0DB3" w:rsidRPr="0037099C" w:rsidRDefault="00AA0DB3" w:rsidP="00AA0DB3">
      <w:pPr>
        <w:pStyle w:val="HChG"/>
        <w:rPr>
          <w:lang w:val="nl-NL"/>
        </w:rPr>
      </w:pPr>
      <w:r>
        <w:tab/>
      </w:r>
      <w:r>
        <w:tab/>
        <w:t>Background</w:t>
      </w:r>
    </w:p>
    <w:p w:rsidR="00AA0DB3" w:rsidRPr="00361E92" w:rsidRDefault="00AA0DB3" w:rsidP="00AA0DB3">
      <w:pPr>
        <w:pStyle w:val="SingleTxtG"/>
      </w:pPr>
      <w:r w:rsidRPr="00361E92">
        <w:rPr>
          <w:rFonts w:eastAsiaTheme="minorEastAsia"/>
          <w:lang w:val="en-US" w:eastAsia="zh-CN"/>
        </w:rPr>
        <w:t>1.</w:t>
      </w:r>
      <w:r w:rsidRPr="00361E92">
        <w:rPr>
          <w:rFonts w:eastAsiaTheme="minorEastAsia"/>
          <w:lang w:val="en-US" w:eastAsia="zh-CN"/>
        </w:rPr>
        <w:tab/>
        <w:t>At the spring session of the Joint Meeting</w:t>
      </w:r>
      <w:r w:rsidR="0047728E">
        <w:rPr>
          <w:rFonts w:eastAsiaTheme="minorEastAsia"/>
          <w:lang w:val="en-US" w:eastAsia="zh-CN"/>
        </w:rPr>
        <w:t>,</w:t>
      </w:r>
      <w:r w:rsidRPr="00361E92">
        <w:rPr>
          <w:rFonts w:eastAsiaTheme="minorEastAsia"/>
          <w:lang w:val="en-US" w:eastAsia="zh-CN"/>
        </w:rPr>
        <w:t xml:space="preserve"> Spain</w:t>
      </w:r>
      <w:r>
        <w:rPr>
          <w:rFonts w:eastAsiaTheme="minorEastAsia"/>
          <w:lang w:val="en-US" w:eastAsia="zh-CN"/>
        </w:rPr>
        <w:t xml:space="preserve"> submitted informal document </w:t>
      </w:r>
      <w:r w:rsidR="0047728E">
        <w:rPr>
          <w:rFonts w:eastAsiaTheme="minorEastAsia"/>
          <w:lang w:val="en-US" w:eastAsia="zh-CN"/>
        </w:rPr>
        <w:t>INF.</w:t>
      </w:r>
      <w:r>
        <w:rPr>
          <w:rFonts w:eastAsiaTheme="minorEastAsia"/>
          <w:lang w:val="en-US" w:eastAsia="zh-CN"/>
        </w:rPr>
        <w:t>15</w:t>
      </w:r>
      <w:r w:rsidRPr="00361E92">
        <w:rPr>
          <w:rFonts w:eastAsiaTheme="minorEastAsia"/>
          <w:lang w:val="en-US" w:eastAsia="zh-CN"/>
        </w:rPr>
        <w:t xml:space="preserve"> proposing to include, for the UN 2683, AMMONIUM SULPHIDE SOLUTION, the hazard identification number (HIN, in this text) 836, instead of the currently assigned HIN 86. This </w:t>
      </w:r>
      <w:r w:rsidRPr="00361E92">
        <w:rPr>
          <w:rFonts w:eastAsiaTheme="minorEastAsia"/>
          <w:lang w:val="en-US" w:eastAsia="zh-CN"/>
        </w:rPr>
        <w:lastRenderedPageBreak/>
        <w:t xml:space="preserve">substance is </w:t>
      </w:r>
      <w:r w:rsidRPr="00361E92">
        <w:t xml:space="preserve">corrosive, flammable and toxic, and the </w:t>
      </w:r>
      <w:r>
        <w:t>HIN</w:t>
      </w:r>
      <w:r w:rsidRPr="00361E92">
        <w:t xml:space="preserve"> 836 would convey information on all three risks.</w:t>
      </w:r>
    </w:p>
    <w:p w:rsidR="00AA0DB3" w:rsidRPr="00361E92" w:rsidRDefault="00AA0DB3" w:rsidP="00AA0DB3">
      <w:pPr>
        <w:pStyle w:val="SingleTxtG"/>
      </w:pPr>
      <w:r w:rsidRPr="00361E92">
        <w:t>2.</w:t>
      </w:r>
      <w:r w:rsidRPr="00361E92">
        <w:tab/>
        <w:t xml:space="preserve">In the Joint Meeting this proposal was discussed, and deemed interesting, but it was felt that the assignment of this HIN could perhaps be in conflict with the principles according to which the HIN have been assigned (ECE/TRANS/WP.15/AC.1/150, paragraphs 39-43). </w:t>
      </w:r>
    </w:p>
    <w:p w:rsidR="00AA0DB3" w:rsidRPr="00361E92" w:rsidRDefault="00AA0DB3" w:rsidP="00AA0DB3">
      <w:pPr>
        <w:pStyle w:val="SingleTxtG"/>
      </w:pPr>
      <w:r w:rsidRPr="00361E92">
        <w:t>3.</w:t>
      </w:r>
      <w:r w:rsidRPr="00361E92">
        <w:tab/>
        <w:t>Parties interested were invited to cooperate with Spain by submitting other cases where a review of the hazard identification numbers might be necessary, in order to be able to prepare a revised proposal for the autumn session.</w:t>
      </w:r>
    </w:p>
    <w:p w:rsidR="00AA0DB3" w:rsidRPr="00361E92" w:rsidRDefault="00AA0DB3" w:rsidP="00AA0DB3">
      <w:pPr>
        <w:pStyle w:val="HChG"/>
        <w:rPr>
          <w:lang w:val="nl-NL"/>
        </w:rPr>
      </w:pPr>
      <w:r w:rsidRPr="00361E92">
        <w:tab/>
      </w:r>
      <w:r w:rsidRPr="00361E92">
        <w:tab/>
        <w:t>Introduction</w:t>
      </w:r>
    </w:p>
    <w:p w:rsidR="00AA0DB3" w:rsidRPr="00361E92" w:rsidRDefault="00AA0DB3" w:rsidP="00AA0DB3">
      <w:pPr>
        <w:pStyle w:val="SingleTxtG"/>
      </w:pPr>
      <w:r w:rsidRPr="00361E92">
        <w:t>4.</w:t>
      </w:r>
      <w:r w:rsidRPr="00361E92">
        <w:tab/>
        <w:t xml:space="preserve">Spain has received comments from Poland, Germany and the Netherlands on this subject. </w:t>
      </w:r>
    </w:p>
    <w:p w:rsidR="00AA0DB3" w:rsidRPr="00361E92" w:rsidRDefault="00AA0DB3" w:rsidP="00AA0DB3">
      <w:pPr>
        <w:pStyle w:val="SingleTxtG"/>
      </w:pPr>
      <w:r w:rsidRPr="00361E92">
        <w:t>5.</w:t>
      </w:r>
      <w:r w:rsidRPr="00361E92">
        <w:tab/>
        <w:t xml:space="preserve">A joint revision of the logic of the assignment of the HIN was done. The major problem noted is that it </w:t>
      </w:r>
      <w:r>
        <w:t>i</w:t>
      </w:r>
      <w:r w:rsidRPr="00361E92">
        <w:t xml:space="preserve">s complicated to express all the information on hazards with a maximum of </w:t>
      </w:r>
      <w:r w:rsidR="00487F09">
        <w:t>three</w:t>
      </w:r>
      <w:r w:rsidRPr="00361E92">
        <w:t xml:space="preserve"> figures in the HIN (+ “X”). In some cases, it was necessary to choose in between different informations to be transmitted with only </w:t>
      </w:r>
      <w:r w:rsidR="0047728E">
        <w:t>three</w:t>
      </w:r>
      <w:r w:rsidRPr="00361E92">
        <w:t xml:space="preserve"> figures, as there are cases when a figure is doubled to express a higher danger, and there are UN numbers where more than </w:t>
      </w:r>
      <w:r w:rsidR="0047728E">
        <w:t>three</w:t>
      </w:r>
      <w:r w:rsidRPr="00361E92">
        <w:t xml:space="preserve"> hazards should be indicated. </w:t>
      </w:r>
    </w:p>
    <w:p w:rsidR="00AA0DB3" w:rsidRDefault="00AA0DB3" w:rsidP="00AA0DB3">
      <w:pPr>
        <w:pStyle w:val="SingleTxtG"/>
      </w:pPr>
      <w:r>
        <w:t>6.</w:t>
      </w:r>
      <w:r>
        <w:tab/>
        <w:t xml:space="preserve">Nevertheless, the case presented by Spain is a slightly different case. Even if the substance presents </w:t>
      </w:r>
      <w:r w:rsidR="0047728E">
        <w:t>three</w:t>
      </w:r>
      <w:r>
        <w:t xml:space="preserve"> hazards, and </w:t>
      </w:r>
      <w:r w:rsidR="0047728E">
        <w:t>three</w:t>
      </w:r>
      <w:r>
        <w:t xml:space="preserve"> figures could have been used, only two have been assigned. Without any conflict with the approach used for the assignment of the HIN until now, a third figure could be added, and the information convened through the HIN could be more complete. </w:t>
      </w:r>
    </w:p>
    <w:p w:rsidR="00AA0DB3" w:rsidRDefault="00AA0DB3" w:rsidP="00AA0DB3">
      <w:pPr>
        <w:pStyle w:val="SingleTxtG"/>
      </w:pPr>
      <w:r>
        <w:t>7.</w:t>
      </w:r>
      <w:r>
        <w:tab/>
        <w:t xml:space="preserve">In no other case in which only </w:t>
      </w:r>
      <w:r w:rsidR="0047728E">
        <w:t>two</w:t>
      </w:r>
      <w:r>
        <w:t xml:space="preserve"> figures have been assigned for a UN number, this UN number has more than </w:t>
      </w:r>
      <w:r w:rsidR="00487F09">
        <w:t>two</w:t>
      </w:r>
      <w:r>
        <w:t xml:space="preserve"> hazards.  </w:t>
      </w:r>
    </w:p>
    <w:p w:rsidR="00AA0DB3" w:rsidRPr="007C0E33" w:rsidRDefault="00AA0DB3" w:rsidP="00AA0DB3">
      <w:pPr>
        <w:pStyle w:val="SingleTxtG"/>
      </w:pPr>
      <w:r>
        <w:t>8.</w:t>
      </w:r>
      <w:r>
        <w:tab/>
        <w:t>The original document presented by Spain also suggested t</w:t>
      </w:r>
      <w:r w:rsidR="0047728E">
        <w:t>o assign this HIN to UN </w:t>
      </w:r>
      <w:r>
        <w:t>2029 and UN 3484, as they have the same combination of hazards. Nevertheless, this would not be coherent with the systematic of assignments for HIN, because in both these cases the HIN 886 (for UN 2029, only for RID) is assigned to express an intense corrosive hazard. Therefore, this proposal limits itself to UN 2683.</w:t>
      </w:r>
    </w:p>
    <w:p w:rsidR="00AA0DB3" w:rsidRPr="00576C71" w:rsidRDefault="00AA0DB3" w:rsidP="00AA0DB3">
      <w:pPr>
        <w:pStyle w:val="HChG"/>
        <w:rPr>
          <w:rFonts w:eastAsiaTheme="minorEastAsia"/>
          <w:lang w:val="en-US" w:eastAsia="zh-CN"/>
        </w:rPr>
      </w:pPr>
      <w:r w:rsidRPr="00E72409">
        <w:rPr>
          <w:rFonts w:eastAsiaTheme="minorEastAsia"/>
          <w:lang w:eastAsia="zh-CN"/>
        </w:rPr>
        <w:tab/>
      </w:r>
      <w:r w:rsidRPr="00E72409">
        <w:rPr>
          <w:rFonts w:eastAsiaTheme="minorEastAsia"/>
          <w:lang w:eastAsia="zh-CN"/>
        </w:rPr>
        <w:tab/>
      </w:r>
      <w:r w:rsidRPr="00576C71">
        <w:rPr>
          <w:rFonts w:eastAsiaTheme="minorEastAsia"/>
          <w:lang w:val="en-US" w:eastAsia="zh-CN"/>
        </w:rPr>
        <w:t>Proposal</w:t>
      </w:r>
      <w:r>
        <w:rPr>
          <w:rFonts w:eastAsiaTheme="minorEastAsia"/>
          <w:lang w:val="en-US" w:eastAsia="zh-CN"/>
        </w:rPr>
        <w:t>s</w:t>
      </w:r>
    </w:p>
    <w:p w:rsidR="00AA0DB3" w:rsidRPr="002C134A" w:rsidRDefault="00AA0DB3" w:rsidP="00AA0DB3">
      <w:pPr>
        <w:pStyle w:val="SingleTxtG"/>
      </w:pPr>
      <w:r>
        <w:t>9.</w:t>
      </w:r>
      <w:r>
        <w:tab/>
      </w:r>
      <w:r w:rsidRPr="002C134A">
        <w:t xml:space="preserve">Amend </w:t>
      </w:r>
      <w:r>
        <w:t>table A in chapter 3.2 for RID/ADR</w:t>
      </w:r>
      <w:r w:rsidRPr="002C134A">
        <w:t xml:space="preserve"> as follows (changes </w:t>
      </w:r>
      <w:r w:rsidRPr="008A7147">
        <w:rPr>
          <w:b/>
          <w:u w:val="single"/>
        </w:rPr>
        <w:t>underlined and bold</w:t>
      </w:r>
      <w:r w:rsidRPr="002C134A">
        <w:t>):</w:t>
      </w:r>
    </w:p>
    <w:tbl>
      <w:tblPr>
        <w:tblW w:w="8520" w:type="dxa"/>
        <w:tblInd w:w="637" w:type="dxa"/>
        <w:tblCellMar>
          <w:left w:w="70" w:type="dxa"/>
          <w:right w:w="70" w:type="dxa"/>
        </w:tblCellMar>
        <w:tblLook w:val="04A0" w:firstRow="1" w:lastRow="0" w:firstColumn="1" w:lastColumn="0" w:noHBand="0" w:noVBand="1"/>
      </w:tblPr>
      <w:tblGrid>
        <w:gridCol w:w="683"/>
        <w:gridCol w:w="2654"/>
        <w:gridCol w:w="695"/>
        <w:gridCol w:w="1065"/>
        <w:gridCol w:w="754"/>
        <w:gridCol w:w="594"/>
        <w:gridCol w:w="952"/>
        <w:gridCol w:w="1123"/>
      </w:tblGrid>
      <w:tr w:rsidR="00AA0DB3" w:rsidRPr="004F4130" w:rsidTr="00F274B6">
        <w:trPr>
          <w:trHeight w:val="525"/>
        </w:trPr>
        <w:tc>
          <w:tcPr>
            <w:tcW w:w="683" w:type="dxa"/>
            <w:vMerge w:val="restart"/>
            <w:tcBorders>
              <w:top w:val="single" w:sz="4" w:space="0" w:color="auto"/>
              <w:left w:val="single" w:sz="4" w:space="0" w:color="auto"/>
              <w:bottom w:val="nil"/>
              <w:right w:val="single" w:sz="4" w:space="0" w:color="auto"/>
            </w:tcBorders>
            <w:shd w:val="clear" w:color="auto" w:fill="auto"/>
            <w:hideMark/>
          </w:tcPr>
          <w:p w:rsidR="00AA0DB3" w:rsidRPr="004F4130" w:rsidRDefault="00AA0DB3" w:rsidP="00F274B6">
            <w:pPr>
              <w:suppressAutoHyphens w:val="0"/>
              <w:spacing w:line="240" w:lineRule="auto"/>
              <w:jc w:val="center"/>
              <w:rPr>
                <w:b/>
                <w:bCs/>
                <w:sz w:val="16"/>
                <w:szCs w:val="16"/>
                <w:lang w:val="es-ES" w:eastAsia="es-ES"/>
              </w:rPr>
            </w:pPr>
            <w:r>
              <w:rPr>
                <w:b/>
                <w:bCs/>
                <w:sz w:val="16"/>
                <w:szCs w:val="16"/>
                <w:lang w:val="es-ES" w:eastAsia="es-ES"/>
              </w:rPr>
              <w:t>UN number</w:t>
            </w:r>
          </w:p>
        </w:tc>
        <w:tc>
          <w:tcPr>
            <w:tcW w:w="2654" w:type="dxa"/>
            <w:tcBorders>
              <w:top w:val="single" w:sz="4" w:space="0" w:color="auto"/>
              <w:left w:val="nil"/>
              <w:bottom w:val="nil"/>
              <w:right w:val="single" w:sz="4" w:space="0" w:color="auto"/>
            </w:tcBorders>
            <w:shd w:val="clear" w:color="auto" w:fill="auto"/>
            <w:hideMark/>
          </w:tcPr>
          <w:p w:rsidR="00AA0DB3" w:rsidRPr="004F4130" w:rsidRDefault="00AA0DB3" w:rsidP="00F274B6">
            <w:pPr>
              <w:suppressAutoHyphens w:val="0"/>
              <w:spacing w:line="240" w:lineRule="auto"/>
              <w:jc w:val="center"/>
              <w:rPr>
                <w:b/>
                <w:bCs/>
                <w:sz w:val="16"/>
                <w:szCs w:val="16"/>
                <w:lang w:val="es-ES" w:eastAsia="es-ES"/>
              </w:rPr>
            </w:pPr>
            <w:r>
              <w:rPr>
                <w:b/>
                <w:bCs/>
                <w:sz w:val="16"/>
                <w:szCs w:val="16"/>
                <w:lang w:val="es-ES" w:eastAsia="es-ES"/>
              </w:rPr>
              <w:t>Name and description</w:t>
            </w:r>
          </w:p>
        </w:tc>
        <w:tc>
          <w:tcPr>
            <w:tcW w:w="695" w:type="dxa"/>
            <w:vMerge w:val="restart"/>
            <w:tcBorders>
              <w:top w:val="single" w:sz="4" w:space="0" w:color="auto"/>
              <w:left w:val="single" w:sz="4" w:space="0" w:color="auto"/>
              <w:bottom w:val="nil"/>
              <w:right w:val="single" w:sz="4" w:space="0" w:color="auto"/>
            </w:tcBorders>
            <w:shd w:val="clear" w:color="auto" w:fill="auto"/>
            <w:hideMark/>
          </w:tcPr>
          <w:p w:rsidR="00AA0DB3" w:rsidRPr="004F4130" w:rsidRDefault="00AA0DB3" w:rsidP="00F274B6">
            <w:pPr>
              <w:suppressAutoHyphens w:val="0"/>
              <w:spacing w:line="240" w:lineRule="auto"/>
              <w:jc w:val="center"/>
              <w:rPr>
                <w:b/>
                <w:bCs/>
                <w:sz w:val="16"/>
                <w:szCs w:val="16"/>
                <w:lang w:val="es-ES" w:eastAsia="es-ES"/>
              </w:rPr>
            </w:pPr>
            <w:r>
              <w:rPr>
                <w:b/>
                <w:bCs/>
                <w:sz w:val="16"/>
                <w:szCs w:val="16"/>
                <w:lang w:val="es-ES" w:eastAsia="es-ES"/>
              </w:rPr>
              <w:t>Class</w:t>
            </w:r>
          </w:p>
        </w:tc>
        <w:tc>
          <w:tcPr>
            <w:tcW w:w="1065" w:type="dxa"/>
            <w:vMerge w:val="restart"/>
            <w:tcBorders>
              <w:top w:val="single" w:sz="4" w:space="0" w:color="auto"/>
              <w:left w:val="single" w:sz="4" w:space="0" w:color="auto"/>
              <w:bottom w:val="nil"/>
              <w:right w:val="single" w:sz="4" w:space="0" w:color="auto"/>
            </w:tcBorders>
            <w:shd w:val="clear" w:color="auto" w:fill="auto"/>
            <w:hideMark/>
          </w:tcPr>
          <w:p w:rsidR="00AA0DB3" w:rsidRPr="004F4130" w:rsidRDefault="00AA0DB3" w:rsidP="00F274B6">
            <w:pPr>
              <w:suppressAutoHyphens w:val="0"/>
              <w:spacing w:line="240" w:lineRule="auto"/>
              <w:jc w:val="center"/>
              <w:rPr>
                <w:b/>
                <w:bCs/>
                <w:sz w:val="16"/>
                <w:szCs w:val="16"/>
                <w:lang w:val="es-ES" w:eastAsia="es-ES"/>
              </w:rPr>
            </w:pPr>
            <w:r>
              <w:rPr>
                <w:b/>
                <w:bCs/>
                <w:sz w:val="16"/>
                <w:szCs w:val="16"/>
                <w:lang w:val="es-ES" w:eastAsia="es-ES"/>
              </w:rPr>
              <w:t>Classification code</w:t>
            </w:r>
          </w:p>
        </w:tc>
        <w:tc>
          <w:tcPr>
            <w:tcW w:w="754" w:type="dxa"/>
            <w:vMerge w:val="restart"/>
            <w:tcBorders>
              <w:top w:val="single" w:sz="4" w:space="0" w:color="auto"/>
              <w:left w:val="single" w:sz="4" w:space="0" w:color="auto"/>
              <w:bottom w:val="nil"/>
              <w:right w:val="single" w:sz="4" w:space="0" w:color="auto"/>
            </w:tcBorders>
            <w:shd w:val="clear" w:color="auto" w:fill="auto"/>
            <w:hideMark/>
          </w:tcPr>
          <w:p w:rsidR="00AA0DB3" w:rsidRPr="004F4130" w:rsidRDefault="00AA0DB3" w:rsidP="00F274B6">
            <w:pPr>
              <w:suppressAutoHyphens w:val="0"/>
              <w:spacing w:after="240" w:line="240" w:lineRule="auto"/>
              <w:jc w:val="center"/>
              <w:rPr>
                <w:b/>
                <w:bCs/>
                <w:sz w:val="16"/>
                <w:szCs w:val="16"/>
                <w:lang w:val="es-ES" w:eastAsia="es-ES"/>
              </w:rPr>
            </w:pPr>
            <w:r>
              <w:rPr>
                <w:b/>
                <w:bCs/>
                <w:sz w:val="16"/>
                <w:szCs w:val="16"/>
                <w:lang w:val="es-ES" w:eastAsia="es-ES"/>
              </w:rPr>
              <w:t>Packing group</w:t>
            </w:r>
          </w:p>
        </w:tc>
        <w:tc>
          <w:tcPr>
            <w:tcW w:w="594" w:type="dxa"/>
            <w:vMerge w:val="restart"/>
            <w:tcBorders>
              <w:top w:val="single" w:sz="4" w:space="0" w:color="auto"/>
              <w:left w:val="single" w:sz="4" w:space="0" w:color="auto"/>
              <w:bottom w:val="nil"/>
              <w:right w:val="single" w:sz="4" w:space="0" w:color="auto"/>
            </w:tcBorders>
            <w:shd w:val="clear" w:color="auto" w:fill="auto"/>
            <w:hideMark/>
          </w:tcPr>
          <w:p w:rsidR="00AA0DB3" w:rsidRPr="004F4130" w:rsidRDefault="00AA0DB3" w:rsidP="00F274B6">
            <w:pPr>
              <w:suppressAutoHyphens w:val="0"/>
              <w:spacing w:line="240" w:lineRule="auto"/>
              <w:jc w:val="center"/>
              <w:rPr>
                <w:b/>
                <w:bCs/>
                <w:sz w:val="16"/>
                <w:szCs w:val="16"/>
                <w:lang w:val="es-ES" w:eastAsia="es-ES"/>
              </w:rPr>
            </w:pPr>
            <w:r>
              <w:rPr>
                <w:b/>
                <w:bCs/>
                <w:sz w:val="16"/>
                <w:szCs w:val="16"/>
                <w:lang w:val="es-ES" w:eastAsia="es-ES"/>
              </w:rPr>
              <w:t>Labels</w:t>
            </w:r>
          </w:p>
        </w:tc>
        <w:tc>
          <w:tcPr>
            <w:tcW w:w="952" w:type="dxa"/>
            <w:vMerge w:val="restart"/>
            <w:tcBorders>
              <w:top w:val="single" w:sz="4" w:space="0" w:color="auto"/>
              <w:left w:val="single" w:sz="4" w:space="0" w:color="auto"/>
              <w:bottom w:val="nil"/>
              <w:right w:val="single" w:sz="4" w:space="0" w:color="auto"/>
            </w:tcBorders>
            <w:shd w:val="clear" w:color="auto" w:fill="auto"/>
            <w:hideMark/>
          </w:tcPr>
          <w:p w:rsidR="00AA0DB3" w:rsidRPr="004F4130" w:rsidRDefault="00AA0DB3" w:rsidP="00F274B6">
            <w:pPr>
              <w:suppressAutoHyphens w:val="0"/>
              <w:spacing w:line="240" w:lineRule="auto"/>
              <w:jc w:val="center"/>
              <w:rPr>
                <w:b/>
                <w:bCs/>
                <w:sz w:val="16"/>
                <w:szCs w:val="16"/>
                <w:lang w:val="es-ES" w:eastAsia="es-ES"/>
              </w:rPr>
            </w:pPr>
            <w:r>
              <w:rPr>
                <w:b/>
                <w:bCs/>
                <w:sz w:val="16"/>
                <w:szCs w:val="16"/>
                <w:lang w:val="es-ES" w:eastAsia="es-ES"/>
              </w:rPr>
              <w:t>Vehicle for tank carriage</w:t>
            </w:r>
          </w:p>
        </w:tc>
        <w:tc>
          <w:tcPr>
            <w:tcW w:w="11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0DB3" w:rsidRPr="004F4130" w:rsidRDefault="00AA0DB3" w:rsidP="00F274B6">
            <w:pPr>
              <w:suppressAutoHyphens w:val="0"/>
              <w:spacing w:line="240" w:lineRule="auto"/>
              <w:jc w:val="center"/>
              <w:rPr>
                <w:b/>
                <w:bCs/>
                <w:sz w:val="16"/>
                <w:szCs w:val="16"/>
                <w:lang w:val="es-ES" w:eastAsia="es-ES"/>
              </w:rPr>
            </w:pPr>
            <w:r>
              <w:rPr>
                <w:b/>
                <w:bCs/>
                <w:sz w:val="16"/>
                <w:szCs w:val="16"/>
                <w:lang w:val="es-ES" w:eastAsia="es-ES"/>
              </w:rPr>
              <w:t>Hazard identification No.</w:t>
            </w:r>
          </w:p>
        </w:tc>
      </w:tr>
      <w:tr w:rsidR="00AA0DB3" w:rsidRPr="004F4130" w:rsidTr="00F274B6">
        <w:trPr>
          <w:trHeight w:val="855"/>
        </w:trPr>
        <w:tc>
          <w:tcPr>
            <w:tcW w:w="683" w:type="dxa"/>
            <w:vMerge/>
            <w:tcBorders>
              <w:top w:val="single" w:sz="4" w:space="0" w:color="auto"/>
              <w:left w:val="single" w:sz="4" w:space="0" w:color="auto"/>
              <w:bottom w:val="nil"/>
              <w:right w:val="single" w:sz="4" w:space="0" w:color="auto"/>
            </w:tcBorders>
            <w:vAlign w:val="center"/>
            <w:hideMark/>
          </w:tcPr>
          <w:p w:rsidR="00AA0DB3" w:rsidRPr="004F4130" w:rsidRDefault="00AA0DB3" w:rsidP="00F274B6">
            <w:pPr>
              <w:suppressAutoHyphens w:val="0"/>
              <w:spacing w:line="240" w:lineRule="auto"/>
              <w:rPr>
                <w:b/>
                <w:bCs/>
                <w:sz w:val="16"/>
                <w:szCs w:val="16"/>
                <w:lang w:val="es-ES" w:eastAsia="es-ES"/>
              </w:rPr>
            </w:pPr>
          </w:p>
        </w:tc>
        <w:tc>
          <w:tcPr>
            <w:tcW w:w="2654" w:type="dxa"/>
            <w:tcBorders>
              <w:top w:val="nil"/>
              <w:left w:val="nil"/>
              <w:bottom w:val="nil"/>
              <w:right w:val="single" w:sz="4" w:space="0" w:color="auto"/>
            </w:tcBorders>
            <w:shd w:val="clear" w:color="auto" w:fill="auto"/>
            <w:hideMark/>
          </w:tcPr>
          <w:p w:rsidR="00AA0DB3" w:rsidRPr="004F4130" w:rsidRDefault="00AA0DB3" w:rsidP="00F274B6">
            <w:pPr>
              <w:suppressAutoHyphens w:val="0"/>
              <w:spacing w:line="240" w:lineRule="auto"/>
              <w:jc w:val="center"/>
              <w:rPr>
                <w:b/>
                <w:bCs/>
                <w:sz w:val="16"/>
                <w:szCs w:val="16"/>
                <w:lang w:val="es-ES" w:eastAsia="es-ES"/>
              </w:rPr>
            </w:pPr>
            <w:r w:rsidRPr="004F4130">
              <w:rPr>
                <w:b/>
                <w:bCs/>
                <w:sz w:val="16"/>
                <w:szCs w:val="16"/>
                <w:lang w:val="es-ES" w:eastAsia="es-ES"/>
              </w:rPr>
              <w:t> </w:t>
            </w:r>
          </w:p>
        </w:tc>
        <w:tc>
          <w:tcPr>
            <w:tcW w:w="695" w:type="dxa"/>
            <w:vMerge/>
            <w:tcBorders>
              <w:top w:val="single" w:sz="4" w:space="0" w:color="auto"/>
              <w:left w:val="single" w:sz="4" w:space="0" w:color="auto"/>
              <w:bottom w:val="nil"/>
              <w:right w:val="single" w:sz="4" w:space="0" w:color="auto"/>
            </w:tcBorders>
            <w:vAlign w:val="center"/>
            <w:hideMark/>
          </w:tcPr>
          <w:p w:rsidR="00AA0DB3" w:rsidRPr="004F4130" w:rsidRDefault="00AA0DB3" w:rsidP="00F274B6">
            <w:pPr>
              <w:suppressAutoHyphens w:val="0"/>
              <w:spacing w:line="240" w:lineRule="auto"/>
              <w:rPr>
                <w:b/>
                <w:bCs/>
                <w:sz w:val="16"/>
                <w:szCs w:val="16"/>
                <w:lang w:val="es-ES" w:eastAsia="es-ES"/>
              </w:rPr>
            </w:pPr>
          </w:p>
        </w:tc>
        <w:tc>
          <w:tcPr>
            <w:tcW w:w="1065" w:type="dxa"/>
            <w:vMerge/>
            <w:tcBorders>
              <w:top w:val="single" w:sz="4" w:space="0" w:color="auto"/>
              <w:left w:val="single" w:sz="4" w:space="0" w:color="auto"/>
              <w:bottom w:val="nil"/>
              <w:right w:val="single" w:sz="4" w:space="0" w:color="auto"/>
            </w:tcBorders>
            <w:vAlign w:val="center"/>
            <w:hideMark/>
          </w:tcPr>
          <w:p w:rsidR="00AA0DB3" w:rsidRPr="004F4130" w:rsidRDefault="00AA0DB3" w:rsidP="00F274B6">
            <w:pPr>
              <w:suppressAutoHyphens w:val="0"/>
              <w:spacing w:line="240" w:lineRule="auto"/>
              <w:rPr>
                <w:b/>
                <w:bCs/>
                <w:sz w:val="16"/>
                <w:szCs w:val="16"/>
                <w:lang w:val="es-ES" w:eastAsia="es-ES"/>
              </w:rPr>
            </w:pPr>
          </w:p>
        </w:tc>
        <w:tc>
          <w:tcPr>
            <w:tcW w:w="754" w:type="dxa"/>
            <w:vMerge/>
            <w:tcBorders>
              <w:top w:val="single" w:sz="4" w:space="0" w:color="auto"/>
              <w:left w:val="single" w:sz="4" w:space="0" w:color="auto"/>
              <w:bottom w:val="nil"/>
              <w:right w:val="single" w:sz="4" w:space="0" w:color="auto"/>
            </w:tcBorders>
            <w:vAlign w:val="center"/>
            <w:hideMark/>
          </w:tcPr>
          <w:p w:rsidR="00AA0DB3" w:rsidRPr="004F4130" w:rsidRDefault="00AA0DB3" w:rsidP="00F274B6">
            <w:pPr>
              <w:suppressAutoHyphens w:val="0"/>
              <w:spacing w:line="240" w:lineRule="auto"/>
              <w:rPr>
                <w:b/>
                <w:bCs/>
                <w:sz w:val="16"/>
                <w:szCs w:val="16"/>
                <w:lang w:val="es-ES" w:eastAsia="es-ES"/>
              </w:rPr>
            </w:pPr>
          </w:p>
        </w:tc>
        <w:tc>
          <w:tcPr>
            <w:tcW w:w="594" w:type="dxa"/>
            <w:vMerge/>
            <w:tcBorders>
              <w:top w:val="single" w:sz="4" w:space="0" w:color="auto"/>
              <w:left w:val="single" w:sz="4" w:space="0" w:color="auto"/>
              <w:bottom w:val="nil"/>
              <w:right w:val="single" w:sz="4" w:space="0" w:color="auto"/>
            </w:tcBorders>
            <w:vAlign w:val="center"/>
            <w:hideMark/>
          </w:tcPr>
          <w:p w:rsidR="00AA0DB3" w:rsidRPr="004F4130" w:rsidRDefault="00AA0DB3" w:rsidP="00F274B6">
            <w:pPr>
              <w:suppressAutoHyphens w:val="0"/>
              <w:spacing w:line="240" w:lineRule="auto"/>
              <w:rPr>
                <w:b/>
                <w:bCs/>
                <w:sz w:val="16"/>
                <w:szCs w:val="16"/>
                <w:lang w:val="es-ES" w:eastAsia="es-ES"/>
              </w:rPr>
            </w:pPr>
          </w:p>
        </w:tc>
        <w:tc>
          <w:tcPr>
            <w:tcW w:w="952" w:type="dxa"/>
            <w:vMerge/>
            <w:tcBorders>
              <w:top w:val="single" w:sz="4" w:space="0" w:color="auto"/>
              <w:left w:val="single" w:sz="4" w:space="0" w:color="auto"/>
              <w:bottom w:val="nil"/>
              <w:right w:val="single" w:sz="4" w:space="0" w:color="auto"/>
            </w:tcBorders>
            <w:vAlign w:val="center"/>
            <w:hideMark/>
          </w:tcPr>
          <w:p w:rsidR="00AA0DB3" w:rsidRPr="004F4130" w:rsidRDefault="00AA0DB3" w:rsidP="00F274B6">
            <w:pPr>
              <w:suppressAutoHyphens w:val="0"/>
              <w:spacing w:line="240" w:lineRule="auto"/>
              <w:rPr>
                <w:b/>
                <w:bCs/>
                <w:sz w:val="16"/>
                <w:szCs w:val="16"/>
                <w:lang w:val="es-ES" w:eastAsia="es-ES"/>
              </w:rPr>
            </w:pPr>
          </w:p>
        </w:tc>
        <w:tc>
          <w:tcPr>
            <w:tcW w:w="1123" w:type="dxa"/>
            <w:vMerge/>
            <w:tcBorders>
              <w:top w:val="single" w:sz="4" w:space="0" w:color="auto"/>
              <w:left w:val="single" w:sz="4" w:space="0" w:color="auto"/>
              <w:bottom w:val="single" w:sz="4" w:space="0" w:color="auto"/>
              <w:right w:val="single" w:sz="4" w:space="0" w:color="auto"/>
            </w:tcBorders>
            <w:vAlign w:val="center"/>
            <w:hideMark/>
          </w:tcPr>
          <w:p w:rsidR="00AA0DB3" w:rsidRPr="004F4130" w:rsidRDefault="00AA0DB3" w:rsidP="00F274B6">
            <w:pPr>
              <w:suppressAutoHyphens w:val="0"/>
              <w:spacing w:line="240" w:lineRule="auto"/>
              <w:rPr>
                <w:b/>
                <w:bCs/>
                <w:sz w:val="16"/>
                <w:szCs w:val="16"/>
                <w:lang w:val="es-ES" w:eastAsia="es-ES"/>
              </w:rPr>
            </w:pPr>
          </w:p>
        </w:tc>
      </w:tr>
      <w:tr w:rsidR="00AA0DB3" w:rsidRPr="004F4130" w:rsidTr="00F274B6">
        <w:trPr>
          <w:trHeight w:val="255"/>
        </w:trPr>
        <w:tc>
          <w:tcPr>
            <w:tcW w:w="683" w:type="dxa"/>
            <w:tcBorders>
              <w:top w:val="single" w:sz="4" w:space="0" w:color="auto"/>
              <w:left w:val="single" w:sz="4" w:space="0" w:color="auto"/>
              <w:bottom w:val="single" w:sz="4" w:space="0" w:color="auto"/>
              <w:right w:val="single" w:sz="4" w:space="0" w:color="auto"/>
            </w:tcBorders>
            <w:shd w:val="clear" w:color="auto" w:fill="auto"/>
            <w:hideMark/>
          </w:tcPr>
          <w:p w:rsidR="00AA0DB3" w:rsidRPr="004F4130" w:rsidRDefault="00AA0DB3" w:rsidP="00F274B6">
            <w:pPr>
              <w:suppressAutoHyphens w:val="0"/>
              <w:spacing w:line="240" w:lineRule="auto"/>
              <w:jc w:val="center"/>
              <w:rPr>
                <w:lang w:val="es-ES" w:eastAsia="es-ES"/>
              </w:rPr>
            </w:pPr>
            <w:r w:rsidRPr="004F4130">
              <w:rPr>
                <w:lang w:val="es-ES" w:eastAsia="es-ES"/>
              </w:rPr>
              <w:t> </w:t>
            </w:r>
          </w:p>
        </w:tc>
        <w:tc>
          <w:tcPr>
            <w:tcW w:w="2654" w:type="dxa"/>
            <w:tcBorders>
              <w:top w:val="single" w:sz="4" w:space="0" w:color="auto"/>
              <w:left w:val="nil"/>
              <w:bottom w:val="single" w:sz="4" w:space="0" w:color="auto"/>
              <w:right w:val="single" w:sz="4" w:space="0" w:color="auto"/>
            </w:tcBorders>
            <w:shd w:val="clear" w:color="auto" w:fill="auto"/>
            <w:hideMark/>
          </w:tcPr>
          <w:p w:rsidR="00AA0DB3" w:rsidRPr="004F4130" w:rsidRDefault="00AA0DB3" w:rsidP="00F274B6">
            <w:pPr>
              <w:suppressAutoHyphens w:val="0"/>
              <w:spacing w:line="240" w:lineRule="auto"/>
              <w:jc w:val="center"/>
              <w:rPr>
                <w:b/>
                <w:bCs/>
                <w:lang w:val="es-ES" w:eastAsia="es-ES"/>
              </w:rPr>
            </w:pPr>
            <w:r w:rsidRPr="004F4130">
              <w:rPr>
                <w:b/>
                <w:bCs/>
                <w:lang w:val="es-ES" w:eastAsia="es-ES"/>
              </w:rPr>
              <w:t>3.1.2</w:t>
            </w:r>
          </w:p>
        </w:tc>
        <w:tc>
          <w:tcPr>
            <w:tcW w:w="695" w:type="dxa"/>
            <w:tcBorders>
              <w:top w:val="single" w:sz="4" w:space="0" w:color="auto"/>
              <w:left w:val="nil"/>
              <w:bottom w:val="single" w:sz="4" w:space="0" w:color="auto"/>
              <w:right w:val="single" w:sz="4" w:space="0" w:color="auto"/>
            </w:tcBorders>
            <w:shd w:val="clear" w:color="auto" w:fill="auto"/>
            <w:hideMark/>
          </w:tcPr>
          <w:p w:rsidR="00AA0DB3" w:rsidRPr="004F4130" w:rsidRDefault="00AA0DB3" w:rsidP="00F274B6">
            <w:pPr>
              <w:suppressAutoHyphens w:val="0"/>
              <w:spacing w:line="240" w:lineRule="auto"/>
              <w:jc w:val="center"/>
              <w:rPr>
                <w:b/>
                <w:bCs/>
                <w:lang w:val="es-ES" w:eastAsia="es-ES"/>
              </w:rPr>
            </w:pPr>
            <w:r w:rsidRPr="004F4130">
              <w:rPr>
                <w:b/>
                <w:bCs/>
                <w:lang w:val="es-ES" w:eastAsia="es-ES"/>
              </w:rPr>
              <w:t>2.2</w:t>
            </w:r>
          </w:p>
        </w:tc>
        <w:tc>
          <w:tcPr>
            <w:tcW w:w="1065" w:type="dxa"/>
            <w:tcBorders>
              <w:top w:val="single" w:sz="4" w:space="0" w:color="auto"/>
              <w:left w:val="nil"/>
              <w:bottom w:val="single" w:sz="4" w:space="0" w:color="auto"/>
              <w:right w:val="single" w:sz="4" w:space="0" w:color="auto"/>
            </w:tcBorders>
            <w:shd w:val="clear" w:color="auto" w:fill="auto"/>
            <w:hideMark/>
          </w:tcPr>
          <w:p w:rsidR="00AA0DB3" w:rsidRPr="004F4130" w:rsidRDefault="00AA0DB3" w:rsidP="00F274B6">
            <w:pPr>
              <w:suppressAutoHyphens w:val="0"/>
              <w:spacing w:line="240" w:lineRule="auto"/>
              <w:jc w:val="center"/>
              <w:rPr>
                <w:b/>
                <w:bCs/>
                <w:lang w:val="es-ES" w:eastAsia="es-ES"/>
              </w:rPr>
            </w:pPr>
            <w:r w:rsidRPr="004F4130">
              <w:rPr>
                <w:b/>
                <w:bCs/>
                <w:lang w:val="es-ES" w:eastAsia="es-ES"/>
              </w:rPr>
              <w:t>2.2</w:t>
            </w:r>
          </w:p>
        </w:tc>
        <w:tc>
          <w:tcPr>
            <w:tcW w:w="754" w:type="dxa"/>
            <w:tcBorders>
              <w:top w:val="single" w:sz="4" w:space="0" w:color="auto"/>
              <w:left w:val="nil"/>
              <w:bottom w:val="single" w:sz="4" w:space="0" w:color="auto"/>
              <w:right w:val="single" w:sz="4" w:space="0" w:color="auto"/>
            </w:tcBorders>
            <w:shd w:val="clear" w:color="auto" w:fill="auto"/>
            <w:hideMark/>
          </w:tcPr>
          <w:p w:rsidR="00AA0DB3" w:rsidRPr="004F4130" w:rsidRDefault="00AA0DB3" w:rsidP="00F274B6">
            <w:pPr>
              <w:suppressAutoHyphens w:val="0"/>
              <w:spacing w:line="240" w:lineRule="auto"/>
              <w:jc w:val="center"/>
              <w:rPr>
                <w:b/>
                <w:bCs/>
                <w:lang w:val="es-ES" w:eastAsia="es-ES"/>
              </w:rPr>
            </w:pPr>
            <w:r w:rsidRPr="004F4130">
              <w:rPr>
                <w:b/>
                <w:bCs/>
                <w:lang w:val="es-ES" w:eastAsia="es-ES"/>
              </w:rPr>
              <w:t>2.1.1.3</w:t>
            </w:r>
          </w:p>
        </w:tc>
        <w:tc>
          <w:tcPr>
            <w:tcW w:w="594" w:type="dxa"/>
            <w:tcBorders>
              <w:top w:val="single" w:sz="4" w:space="0" w:color="auto"/>
              <w:left w:val="nil"/>
              <w:bottom w:val="single" w:sz="4" w:space="0" w:color="auto"/>
              <w:right w:val="single" w:sz="4" w:space="0" w:color="auto"/>
            </w:tcBorders>
            <w:shd w:val="clear" w:color="auto" w:fill="auto"/>
            <w:hideMark/>
          </w:tcPr>
          <w:p w:rsidR="00AA0DB3" w:rsidRPr="004F4130" w:rsidRDefault="00AA0DB3" w:rsidP="00F274B6">
            <w:pPr>
              <w:suppressAutoHyphens w:val="0"/>
              <w:spacing w:line="240" w:lineRule="auto"/>
              <w:jc w:val="center"/>
              <w:rPr>
                <w:b/>
                <w:bCs/>
                <w:lang w:val="es-ES" w:eastAsia="es-ES"/>
              </w:rPr>
            </w:pPr>
            <w:r w:rsidRPr="004F4130">
              <w:rPr>
                <w:b/>
                <w:bCs/>
                <w:lang w:val="es-ES" w:eastAsia="es-ES"/>
              </w:rPr>
              <w:t>5.2.2</w:t>
            </w:r>
          </w:p>
        </w:tc>
        <w:tc>
          <w:tcPr>
            <w:tcW w:w="952" w:type="dxa"/>
            <w:tcBorders>
              <w:top w:val="single" w:sz="4" w:space="0" w:color="auto"/>
              <w:left w:val="nil"/>
              <w:bottom w:val="single" w:sz="4" w:space="0" w:color="auto"/>
              <w:right w:val="single" w:sz="4" w:space="0" w:color="auto"/>
            </w:tcBorders>
            <w:shd w:val="clear" w:color="auto" w:fill="auto"/>
            <w:hideMark/>
          </w:tcPr>
          <w:p w:rsidR="00AA0DB3" w:rsidRPr="004F4130" w:rsidRDefault="00AA0DB3" w:rsidP="00F274B6">
            <w:pPr>
              <w:suppressAutoHyphens w:val="0"/>
              <w:spacing w:line="240" w:lineRule="auto"/>
              <w:jc w:val="center"/>
              <w:rPr>
                <w:b/>
                <w:bCs/>
                <w:lang w:val="es-ES" w:eastAsia="es-ES"/>
              </w:rPr>
            </w:pPr>
            <w:r w:rsidRPr="004F4130">
              <w:rPr>
                <w:b/>
                <w:bCs/>
                <w:lang w:val="es-ES" w:eastAsia="es-ES"/>
              </w:rPr>
              <w:t>9.1.1.2</w:t>
            </w:r>
          </w:p>
        </w:tc>
        <w:tc>
          <w:tcPr>
            <w:tcW w:w="1123" w:type="dxa"/>
            <w:tcBorders>
              <w:top w:val="nil"/>
              <w:left w:val="nil"/>
              <w:bottom w:val="single" w:sz="4" w:space="0" w:color="auto"/>
              <w:right w:val="single" w:sz="4" w:space="0" w:color="auto"/>
            </w:tcBorders>
            <w:shd w:val="clear" w:color="auto" w:fill="auto"/>
            <w:hideMark/>
          </w:tcPr>
          <w:p w:rsidR="00AA0DB3" w:rsidRPr="004F4130" w:rsidRDefault="00AA0DB3" w:rsidP="00F274B6">
            <w:pPr>
              <w:suppressAutoHyphens w:val="0"/>
              <w:spacing w:line="240" w:lineRule="auto"/>
              <w:jc w:val="center"/>
              <w:rPr>
                <w:b/>
                <w:bCs/>
                <w:lang w:val="es-ES" w:eastAsia="es-ES"/>
              </w:rPr>
            </w:pPr>
            <w:r w:rsidRPr="004F4130">
              <w:rPr>
                <w:b/>
                <w:bCs/>
                <w:lang w:val="es-ES" w:eastAsia="es-ES"/>
              </w:rPr>
              <w:t>5.3.2.3</w:t>
            </w:r>
          </w:p>
        </w:tc>
      </w:tr>
      <w:tr w:rsidR="00AA0DB3" w:rsidRPr="004F4130" w:rsidTr="00F274B6">
        <w:trPr>
          <w:trHeight w:val="255"/>
        </w:trPr>
        <w:tc>
          <w:tcPr>
            <w:tcW w:w="683" w:type="dxa"/>
            <w:tcBorders>
              <w:top w:val="nil"/>
              <w:left w:val="single" w:sz="4" w:space="0" w:color="auto"/>
              <w:bottom w:val="single" w:sz="4" w:space="0" w:color="auto"/>
              <w:right w:val="single" w:sz="4" w:space="0" w:color="auto"/>
            </w:tcBorders>
            <w:shd w:val="clear" w:color="auto" w:fill="auto"/>
            <w:hideMark/>
          </w:tcPr>
          <w:p w:rsidR="00AA0DB3" w:rsidRPr="004F4130" w:rsidRDefault="00AA0DB3" w:rsidP="00F274B6">
            <w:pPr>
              <w:suppressAutoHyphens w:val="0"/>
              <w:spacing w:line="240" w:lineRule="auto"/>
              <w:jc w:val="center"/>
              <w:rPr>
                <w:b/>
                <w:bCs/>
                <w:lang w:val="es-ES" w:eastAsia="es-ES"/>
              </w:rPr>
            </w:pPr>
            <w:r w:rsidRPr="004F4130">
              <w:rPr>
                <w:b/>
                <w:bCs/>
                <w:lang w:val="es-ES" w:eastAsia="es-ES"/>
              </w:rPr>
              <w:t>(1)</w:t>
            </w:r>
          </w:p>
        </w:tc>
        <w:tc>
          <w:tcPr>
            <w:tcW w:w="2654" w:type="dxa"/>
            <w:tcBorders>
              <w:top w:val="nil"/>
              <w:left w:val="nil"/>
              <w:bottom w:val="single" w:sz="4" w:space="0" w:color="auto"/>
              <w:right w:val="single" w:sz="4" w:space="0" w:color="auto"/>
            </w:tcBorders>
            <w:shd w:val="clear" w:color="auto" w:fill="auto"/>
            <w:hideMark/>
          </w:tcPr>
          <w:p w:rsidR="00AA0DB3" w:rsidRPr="004F4130" w:rsidRDefault="00AA0DB3" w:rsidP="00F274B6">
            <w:pPr>
              <w:suppressAutoHyphens w:val="0"/>
              <w:spacing w:line="240" w:lineRule="auto"/>
              <w:jc w:val="center"/>
              <w:rPr>
                <w:b/>
                <w:bCs/>
                <w:lang w:val="es-ES" w:eastAsia="es-ES"/>
              </w:rPr>
            </w:pPr>
            <w:r w:rsidRPr="004F4130">
              <w:rPr>
                <w:b/>
                <w:bCs/>
                <w:lang w:val="es-ES" w:eastAsia="es-ES"/>
              </w:rPr>
              <w:t>(2)</w:t>
            </w:r>
          </w:p>
        </w:tc>
        <w:tc>
          <w:tcPr>
            <w:tcW w:w="695" w:type="dxa"/>
            <w:tcBorders>
              <w:top w:val="nil"/>
              <w:left w:val="nil"/>
              <w:bottom w:val="single" w:sz="4" w:space="0" w:color="auto"/>
              <w:right w:val="single" w:sz="4" w:space="0" w:color="auto"/>
            </w:tcBorders>
            <w:shd w:val="clear" w:color="auto" w:fill="auto"/>
            <w:hideMark/>
          </w:tcPr>
          <w:p w:rsidR="00AA0DB3" w:rsidRPr="004F4130" w:rsidRDefault="00AA0DB3" w:rsidP="00F274B6">
            <w:pPr>
              <w:suppressAutoHyphens w:val="0"/>
              <w:spacing w:line="240" w:lineRule="auto"/>
              <w:jc w:val="center"/>
              <w:rPr>
                <w:b/>
                <w:bCs/>
                <w:lang w:val="es-ES" w:eastAsia="es-ES"/>
              </w:rPr>
            </w:pPr>
            <w:r w:rsidRPr="004F4130">
              <w:rPr>
                <w:b/>
                <w:bCs/>
                <w:lang w:val="es-ES" w:eastAsia="es-ES"/>
              </w:rPr>
              <w:t>(3a)</w:t>
            </w:r>
          </w:p>
        </w:tc>
        <w:tc>
          <w:tcPr>
            <w:tcW w:w="1065" w:type="dxa"/>
            <w:tcBorders>
              <w:top w:val="nil"/>
              <w:left w:val="nil"/>
              <w:bottom w:val="single" w:sz="4" w:space="0" w:color="auto"/>
              <w:right w:val="single" w:sz="4" w:space="0" w:color="auto"/>
            </w:tcBorders>
            <w:shd w:val="clear" w:color="auto" w:fill="auto"/>
            <w:hideMark/>
          </w:tcPr>
          <w:p w:rsidR="00AA0DB3" w:rsidRPr="004F4130" w:rsidRDefault="00AA0DB3" w:rsidP="00F274B6">
            <w:pPr>
              <w:suppressAutoHyphens w:val="0"/>
              <w:spacing w:line="240" w:lineRule="auto"/>
              <w:jc w:val="center"/>
              <w:rPr>
                <w:b/>
                <w:bCs/>
                <w:lang w:val="es-ES" w:eastAsia="es-ES"/>
              </w:rPr>
            </w:pPr>
            <w:r w:rsidRPr="004F4130">
              <w:rPr>
                <w:b/>
                <w:bCs/>
                <w:lang w:val="es-ES" w:eastAsia="es-ES"/>
              </w:rPr>
              <w:t>(3b)</w:t>
            </w:r>
          </w:p>
        </w:tc>
        <w:tc>
          <w:tcPr>
            <w:tcW w:w="754" w:type="dxa"/>
            <w:tcBorders>
              <w:top w:val="nil"/>
              <w:left w:val="nil"/>
              <w:bottom w:val="single" w:sz="4" w:space="0" w:color="auto"/>
              <w:right w:val="single" w:sz="4" w:space="0" w:color="auto"/>
            </w:tcBorders>
            <w:shd w:val="clear" w:color="auto" w:fill="auto"/>
            <w:hideMark/>
          </w:tcPr>
          <w:p w:rsidR="00AA0DB3" w:rsidRPr="004F4130" w:rsidRDefault="00AA0DB3" w:rsidP="00F274B6">
            <w:pPr>
              <w:suppressAutoHyphens w:val="0"/>
              <w:spacing w:line="240" w:lineRule="auto"/>
              <w:jc w:val="center"/>
              <w:rPr>
                <w:b/>
                <w:bCs/>
                <w:lang w:val="es-ES" w:eastAsia="es-ES"/>
              </w:rPr>
            </w:pPr>
            <w:r w:rsidRPr="004F4130">
              <w:rPr>
                <w:b/>
                <w:bCs/>
                <w:lang w:val="es-ES" w:eastAsia="es-ES"/>
              </w:rPr>
              <w:t>(4)</w:t>
            </w:r>
          </w:p>
        </w:tc>
        <w:tc>
          <w:tcPr>
            <w:tcW w:w="594" w:type="dxa"/>
            <w:tcBorders>
              <w:top w:val="nil"/>
              <w:left w:val="nil"/>
              <w:bottom w:val="single" w:sz="4" w:space="0" w:color="auto"/>
              <w:right w:val="single" w:sz="4" w:space="0" w:color="auto"/>
            </w:tcBorders>
            <w:shd w:val="clear" w:color="auto" w:fill="auto"/>
            <w:hideMark/>
          </w:tcPr>
          <w:p w:rsidR="00AA0DB3" w:rsidRPr="004F4130" w:rsidRDefault="00AA0DB3" w:rsidP="00F274B6">
            <w:pPr>
              <w:suppressAutoHyphens w:val="0"/>
              <w:spacing w:line="240" w:lineRule="auto"/>
              <w:jc w:val="center"/>
              <w:rPr>
                <w:b/>
                <w:bCs/>
                <w:lang w:val="es-ES" w:eastAsia="es-ES"/>
              </w:rPr>
            </w:pPr>
            <w:r w:rsidRPr="004F4130">
              <w:rPr>
                <w:b/>
                <w:bCs/>
                <w:lang w:val="es-ES" w:eastAsia="es-ES"/>
              </w:rPr>
              <w:t>(5)</w:t>
            </w:r>
          </w:p>
        </w:tc>
        <w:tc>
          <w:tcPr>
            <w:tcW w:w="952" w:type="dxa"/>
            <w:tcBorders>
              <w:top w:val="nil"/>
              <w:left w:val="nil"/>
              <w:bottom w:val="single" w:sz="4" w:space="0" w:color="auto"/>
              <w:right w:val="single" w:sz="4" w:space="0" w:color="auto"/>
            </w:tcBorders>
            <w:shd w:val="clear" w:color="auto" w:fill="auto"/>
            <w:hideMark/>
          </w:tcPr>
          <w:p w:rsidR="00AA0DB3" w:rsidRPr="004F4130" w:rsidRDefault="00AA0DB3" w:rsidP="00F274B6">
            <w:pPr>
              <w:suppressAutoHyphens w:val="0"/>
              <w:spacing w:line="240" w:lineRule="auto"/>
              <w:jc w:val="center"/>
              <w:rPr>
                <w:b/>
                <w:bCs/>
                <w:lang w:val="es-ES" w:eastAsia="es-ES"/>
              </w:rPr>
            </w:pPr>
            <w:r w:rsidRPr="004F4130">
              <w:rPr>
                <w:b/>
                <w:bCs/>
                <w:lang w:val="es-ES" w:eastAsia="es-ES"/>
              </w:rPr>
              <w:t>(14)</w:t>
            </w:r>
          </w:p>
        </w:tc>
        <w:tc>
          <w:tcPr>
            <w:tcW w:w="1123" w:type="dxa"/>
            <w:tcBorders>
              <w:top w:val="nil"/>
              <w:left w:val="nil"/>
              <w:bottom w:val="single" w:sz="4" w:space="0" w:color="auto"/>
              <w:right w:val="single" w:sz="4" w:space="0" w:color="auto"/>
            </w:tcBorders>
            <w:shd w:val="clear" w:color="auto" w:fill="auto"/>
            <w:hideMark/>
          </w:tcPr>
          <w:p w:rsidR="00AA0DB3" w:rsidRPr="004F4130" w:rsidRDefault="00AA0DB3" w:rsidP="00F274B6">
            <w:pPr>
              <w:suppressAutoHyphens w:val="0"/>
              <w:spacing w:line="240" w:lineRule="auto"/>
              <w:jc w:val="center"/>
              <w:rPr>
                <w:b/>
                <w:bCs/>
                <w:lang w:val="es-ES" w:eastAsia="es-ES"/>
              </w:rPr>
            </w:pPr>
            <w:r w:rsidRPr="004F4130">
              <w:rPr>
                <w:b/>
                <w:bCs/>
                <w:lang w:val="es-ES" w:eastAsia="es-ES"/>
              </w:rPr>
              <w:t>(20)</w:t>
            </w:r>
          </w:p>
        </w:tc>
      </w:tr>
      <w:tr w:rsidR="00AA0DB3" w:rsidRPr="004F4130" w:rsidTr="00F274B6">
        <w:trPr>
          <w:trHeight w:val="720"/>
        </w:trPr>
        <w:tc>
          <w:tcPr>
            <w:tcW w:w="683" w:type="dxa"/>
            <w:tcBorders>
              <w:top w:val="nil"/>
              <w:left w:val="single" w:sz="4" w:space="0" w:color="auto"/>
              <w:bottom w:val="single" w:sz="4" w:space="0" w:color="auto"/>
              <w:right w:val="single" w:sz="4" w:space="0" w:color="auto"/>
            </w:tcBorders>
            <w:shd w:val="clear" w:color="auto" w:fill="auto"/>
            <w:hideMark/>
          </w:tcPr>
          <w:p w:rsidR="00AA0DB3" w:rsidRPr="004F4130" w:rsidRDefault="00AA0DB3" w:rsidP="00F274B6">
            <w:pPr>
              <w:suppressAutoHyphens w:val="0"/>
              <w:spacing w:line="240" w:lineRule="auto"/>
              <w:jc w:val="center"/>
              <w:rPr>
                <w:sz w:val="18"/>
                <w:szCs w:val="18"/>
                <w:lang w:val="es-ES" w:eastAsia="es-ES"/>
              </w:rPr>
            </w:pPr>
            <w:r w:rsidRPr="004F4130">
              <w:rPr>
                <w:sz w:val="18"/>
                <w:szCs w:val="18"/>
                <w:lang w:val="es-ES" w:eastAsia="es-ES"/>
              </w:rPr>
              <w:t>2683</w:t>
            </w:r>
          </w:p>
        </w:tc>
        <w:tc>
          <w:tcPr>
            <w:tcW w:w="2654" w:type="dxa"/>
            <w:tcBorders>
              <w:top w:val="nil"/>
              <w:left w:val="nil"/>
              <w:bottom w:val="single" w:sz="4" w:space="0" w:color="auto"/>
              <w:right w:val="single" w:sz="4" w:space="0" w:color="auto"/>
            </w:tcBorders>
            <w:shd w:val="clear" w:color="auto" w:fill="auto"/>
            <w:hideMark/>
          </w:tcPr>
          <w:p w:rsidR="00AA0DB3" w:rsidRPr="004F4130" w:rsidRDefault="0047728E" w:rsidP="00F274B6">
            <w:pPr>
              <w:suppressAutoHyphens w:val="0"/>
              <w:spacing w:line="240" w:lineRule="auto"/>
              <w:rPr>
                <w:sz w:val="18"/>
                <w:szCs w:val="18"/>
                <w:lang w:val="es-ES" w:eastAsia="es-ES"/>
              </w:rPr>
            </w:pPr>
            <w:r>
              <w:rPr>
                <w:sz w:val="18"/>
                <w:szCs w:val="18"/>
                <w:lang w:val="es-ES" w:eastAsia="es-ES"/>
              </w:rPr>
              <w:t>AM</w:t>
            </w:r>
            <w:r w:rsidR="00AA0DB3">
              <w:rPr>
                <w:sz w:val="18"/>
                <w:szCs w:val="18"/>
                <w:lang w:val="es-ES" w:eastAsia="es-ES"/>
              </w:rPr>
              <w:t>MONIUM SULPHIDE SOLUTION</w:t>
            </w:r>
          </w:p>
        </w:tc>
        <w:tc>
          <w:tcPr>
            <w:tcW w:w="695" w:type="dxa"/>
            <w:tcBorders>
              <w:top w:val="nil"/>
              <w:left w:val="nil"/>
              <w:bottom w:val="single" w:sz="4" w:space="0" w:color="auto"/>
              <w:right w:val="single" w:sz="4" w:space="0" w:color="auto"/>
            </w:tcBorders>
            <w:shd w:val="clear" w:color="auto" w:fill="auto"/>
            <w:hideMark/>
          </w:tcPr>
          <w:p w:rsidR="00AA0DB3" w:rsidRPr="004F4130" w:rsidRDefault="00AA0DB3" w:rsidP="00F274B6">
            <w:pPr>
              <w:suppressAutoHyphens w:val="0"/>
              <w:spacing w:line="240" w:lineRule="auto"/>
              <w:jc w:val="center"/>
              <w:rPr>
                <w:sz w:val="18"/>
                <w:szCs w:val="18"/>
                <w:lang w:val="es-ES" w:eastAsia="es-ES"/>
              </w:rPr>
            </w:pPr>
            <w:r w:rsidRPr="004F4130">
              <w:rPr>
                <w:sz w:val="18"/>
                <w:szCs w:val="18"/>
                <w:lang w:val="es-ES" w:eastAsia="es-ES"/>
              </w:rPr>
              <w:t>8</w:t>
            </w:r>
          </w:p>
        </w:tc>
        <w:tc>
          <w:tcPr>
            <w:tcW w:w="1065" w:type="dxa"/>
            <w:tcBorders>
              <w:top w:val="nil"/>
              <w:left w:val="nil"/>
              <w:bottom w:val="single" w:sz="4" w:space="0" w:color="auto"/>
              <w:right w:val="single" w:sz="4" w:space="0" w:color="auto"/>
            </w:tcBorders>
            <w:shd w:val="clear" w:color="auto" w:fill="auto"/>
            <w:hideMark/>
          </w:tcPr>
          <w:p w:rsidR="00AA0DB3" w:rsidRPr="004F4130" w:rsidRDefault="00AA0DB3" w:rsidP="00F274B6">
            <w:pPr>
              <w:suppressAutoHyphens w:val="0"/>
              <w:spacing w:line="240" w:lineRule="auto"/>
              <w:jc w:val="center"/>
              <w:rPr>
                <w:sz w:val="18"/>
                <w:szCs w:val="18"/>
                <w:lang w:val="es-ES" w:eastAsia="es-ES"/>
              </w:rPr>
            </w:pPr>
            <w:r w:rsidRPr="004F4130">
              <w:rPr>
                <w:sz w:val="18"/>
                <w:szCs w:val="18"/>
                <w:lang w:val="es-ES" w:eastAsia="es-ES"/>
              </w:rPr>
              <w:t>CFT</w:t>
            </w:r>
          </w:p>
        </w:tc>
        <w:tc>
          <w:tcPr>
            <w:tcW w:w="754" w:type="dxa"/>
            <w:tcBorders>
              <w:top w:val="nil"/>
              <w:left w:val="nil"/>
              <w:bottom w:val="single" w:sz="4" w:space="0" w:color="auto"/>
              <w:right w:val="single" w:sz="4" w:space="0" w:color="auto"/>
            </w:tcBorders>
            <w:shd w:val="clear" w:color="auto" w:fill="auto"/>
            <w:hideMark/>
          </w:tcPr>
          <w:p w:rsidR="00AA0DB3" w:rsidRPr="004F4130" w:rsidRDefault="00AA0DB3" w:rsidP="00F274B6">
            <w:pPr>
              <w:suppressAutoHyphens w:val="0"/>
              <w:spacing w:line="240" w:lineRule="auto"/>
              <w:jc w:val="center"/>
              <w:rPr>
                <w:sz w:val="18"/>
                <w:szCs w:val="18"/>
                <w:lang w:val="es-ES" w:eastAsia="es-ES"/>
              </w:rPr>
            </w:pPr>
            <w:r w:rsidRPr="004F4130">
              <w:rPr>
                <w:sz w:val="18"/>
                <w:szCs w:val="18"/>
                <w:lang w:val="es-ES" w:eastAsia="es-ES"/>
              </w:rPr>
              <w:t>II</w:t>
            </w:r>
          </w:p>
        </w:tc>
        <w:tc>
          <w:tcPr>
            <w:tcW w:w="594" w:type="dxa"/>
            <w:tcBorders>
              <w:top w:val="nil"/>
              <w:left w:val="nil"/>
              <w:bottom w:val="single" w:sz="4" w:space="0" w:color="auto"/>
              <w:right w:val="single" w:sz="4" w:space="0" w:color="auto"/>
            </w:tcBorders>
            <w:shd w:val="clear" w:color="auto" w:fill="auto"/>
            <w:hideMark/>
          </w:tcPr>
          <w:p w:rsidR="00AA0DB3" w:rsidRPr="004F4130" w:rsidRDefault="00AA0DB3" w:rsidP="00F274B6">
            <w:pPr>
              <w:suppressAutoHyphens w:val="0"/>
              <w:spacing w:line="240" w:lineRule="auto"/>
              <w:jc w:val="center"/>
              <w:rPr>
                <w:sz w:val="18"/>
                <w:szCs w:val="18"/>
                <w:lang w:val="es-ES" w:eastAsia="es-ES"/>
              </w:rPr>
            </w:pPr>
            <w:r w:rsidRPr="004F4130">
              <w:rPr>
                <w:sz w:val="18"/>
                <w:szCs w:val="18"/>
                <w:lang w:val="es-ES" w:eastAsia="es-ES"/>
              </w:rPr>
              <w:t>8</w:t>
            </w:r>
            <w:r w:rsidRPr="004F4130">
              <w:rPr>
                <w:sz w:val="18"/>
                <w:szCs w:val="18"/>
                <w:lang w:val="es-ES" w:eastAsia="es-ES"/>
              </w:rPr>
              <w:br/>
              <w:t>+3</w:t>
            </w:r>
            <w:r w:rsidRPr="004F4130">
              <w:rPr>
                <w:sz w:val="18"/>
                <w:szCs w:val="18"/>
                <w:lang w:val="es-ES" w:eastAsia="es-ES"/>
              </w:rPr>
              <w:br/>
              <w:t>+6.1</w:t>
            </w:r>
          </w:p>
        </w:tc>
        <w:tc>
          <w:tcPr>
            <w:tcW w:w="952" w:type="dxa"/>
            <w:tcBorders>
              <w:top w:val="nil"/>
              <w:left w:val="nil"/>
              <w:bottom w:val="single" w:sz="4" w:space="0" w:color="auto"/>
              <w:right w:val="single" w:sz="4" w:space="0" w:color="auto"/>
            </w:tcBorders>
            <w:shd w:val="clear" w:color="auto" w:fill="auto"/>
            <w:hideMark/>
          </w:tcPr>
          <w:p w:rsidR="00AA0DB3" w:rsidRPr="004F4130" w:rsidRDefault="00AA0DB3" w:rsidP="00F274B6">
            <w:pPr>
              <w:suppressAutoHyphens w:val="0"/>
              <w:spacing w:line="240" w:lineRule="auto"/>
              <w:jc w:val="center"/>
              <w:rPr>
                <w:sz w:val="18"/>
                <w:szCs w:val="18"/>
                <w:lang w:val="es-ES" w:eastAsia="es-ES"/>
              </w:rPr>
            </w:pPr>
            <w:r w:rsidRPr="004F4130">
              <w:rPr>
                <w:sz w:val="18"/>
                <w:szCs w:val="18"/>
                <w:lang w:val="es-ES" w:eastAsia="es-ES"/>
              </w:rPr>
              <w:t>FL</w:t>
            </w:r>
          </w:p>
        </w:tc>
        <w:tc>
          <w:tcPr>
            <w:tcW w:w="1123" w:type="dxa"/>
            <w:tcBorders>
              <w:top w:val="nil"/>
              <w:left w:val="nil"/>
              <w:bottom w:val="single" w:sz="4" w:space="0" w:color="auto"/>
              <w:right w:val="single" w:sz="4" w:space="0" w:color="auto"/>
            </w:tcBorders>
            <w:shd w:val="clear" w:color="auto" w:fill="auto"/>
            <w:hideMark/>
          </w:tcPr>
          <w:p w:rsidR="00AA0DB3" w:rsidRPr="004F4130" w:rsidRDefault="00AA0DB3" w:rsidP="00F274B6">
            <w:pPr>
              <w:suppressAutoHyphens w:val="0"/>
              <w:spacing w:line="240" w:lineRule="auto"/>
              <w:jc w:val="center"/>
              <w:rPr>
                <w:sz w:val="18"/>
                <w:szCs w:val="18"/>
                <w:lang w:val="es-ES" w:eastAsia="es-ES"/>
              </w:rPr>
            </w:pPr>
            <w:r w:rsidRPr="004F4130">
              <w:rPr>
                <w:sz w:val="18"/>
                <w:szCs w:val="18"/>
                <w:lang w:val="es-ES" w:eastAsia="es-ES"/>
              </w:rPr>
              <w:t>8</w:t>
            </w:r>
            <w:r w:rsidRPr="008A7147">
              <w:rPr>
                <w:b/>
                <w:sz w:val="18"/>
                <w:szCs w:val="18"/>
                <w:u w:val="single"/>
                <w:lang w:val="es-ES" w:eastAsia="es-ES"/>
              </w:rPr>
              <w:t>3</w:t>
            </w:r>
            <w:r w:rsidRPr="004F4130">
              <w:rPr>
                <w:sz w:val="18"/>
                <w:szCs w:val="18"/>
                <w:lang w:val="es-ES" w:eastAsia="es-ES"/>
              </w:rPr>
              <w:t>6</w:t>
            </w:r>
          </w:p>
        </w:tc>
      </w:tr>
    </w:tbl>
    <w:p w:rsidR="00AA0DB3" w:rsidRPr="00260F3E" w:rsidRDefault="00AA0DB3" w:rsidP="00AA0DB3">
      <w:pPr>
        <w:ind w:left="1134"/>
      </w:pPr>
    </w:p>
    <w:p w:rsidR="00AA0DB3" w:rsidRDefault="0047728E" w:rsidP="00AA0DB3">
      <w:pPr>
        <w:pStyle w:val="SingleTxtG"/>
      </w:pPr>
      <w:r>
        <w:lastRenderedPageBreak/>
        <w:t>10.</w:t>
      </w:r>
      <w:r>
        <w:tab/>
        <w:t>Insert</w:t>
      </w:r>
      <w:r w:rsidR="00AA0DB3">
        <w:t xml:space="preserve"> the hazard identification number 836 into 5.3.2.3.2 as follows </w:t>
      </w:r>
      <w:r w:rsidR="00AA0DB3" w:rsidRPr="002C134A">
        <w:t xml:space="preserve">(changes </w:t>
      </w:r>
      <w:r w:rsidR="00AA0DB3" w:rsidRPr="008A7147">
        <w:rPr>
          <w:b/>
          <w:u w:val="single"/>
        </w:rPr>
        <w:t>underlined and bold</w:t>
      </w:r>
      <w:r w:rsidR="00AA0DB3" w:rsidRPr="002C134A">
        <w:t>)</w:t>
      </w:r>
      <w:r w:rsidR="00AA0DB3">
        <w:t>:</w:t>
      </w:r>
    </w:p>
    <w:p w:rsidR="00AA0DB3" w:rsidRPr="0047728E" w:rsidRDefault="00AA0DB3" w:rsidP="00AA0DB3">
      <w:pPr>
        <w:pStyle w:val="SingleTxtG"/>
        <w:rPr>
          <w:b/>
        </w:rPr>
      </w:pPr>
      <w:r w:rsidRPr="00B65AB8">
        <w:rPr>
          <w:b/>
          <w:u w:val="single"/>
        </w:rPr>
        <w:t>“836</w:t>
      </w:r>
      <w:r w:rsidRPr="00B65AB8">
        <w:rPr>
          <w:b/>
          <w:u w:val="single"/>
        </w:rPr>
        <w:tab/>
        <w:t>Corrosive or slightly corrosive substance, flammable (flash-point between 23º C and 60º C inclusive) and toxic”</w:t>
      </w:r>
      <w:r w:rsidR="0047728E">
        <w:rPr>
          <w:b/>
        </w:rPr>
        <w:t>.</w:t>
      </w:r>
    </w:p>
    <w:p w:rsidR="00AA0DB3" w:rsidRPr="00576C71" w:rsidRDefault="00AA0DB3" w:rsidP="00AA0DB3">
      <w:pPr>
        <w:pStyle w:val="HChG"/>
        <w:rPr>
          <w:rFonts w:eastAsiaTheme="minorEastAsia"/>
          <w:lang w:val="en-US" w:eastAsia="zh-CN"/>
        </w:rPr>
      </w:pPr>
      <w:r>
        <w:rPr>
          <w:rFonts w:eastAsiaTheme="minorEastAsia"/>
          <w:lang w:val="en-US" w:eastAsia="zh-CN"/>
        </w:rPr>
        <w:tab/>
      </w:r>
      <w:r>
        <w:rPr>
          <w:rFonts w:eastAsiaTheme="minorEastAsia"/>
          <w:lang w:val="en-US" w:eastAsia="zh-CN"/>
        </w:rPr>
        <w:tab/>
      </w:r>
      <w:r w:rsidRPr="00576C71">
        <w:rPr>
          <w:rFonts w:eastAsiaTheme="minorEastAsia"/>
          <w:lang w:val="en-US" w:eastAsia="zh-CN"/>
        </w:rPr>
        <w:t>Justification</w:t>
      </w:r>
    </w:p>
    <w:p w:rsidR="00DE07C7" w:rsidRDefault="00AA0DB3" w:rsidP="0047728E">
      <w:pPr>
        <w:pStyle w:val="SingleTxtG"/>
      </w:pPr>
      <w:r>
        <w:t>1</w:t>
      </w:r>
      <w:r w:rsidR="0047728E">
        <w:t>1</w:t>
      </w:r>
      <w:r>
        <w:t>.</w:t>
      </w:r>
      <w:r>
        <w:tab/>
      </w:r>
      <w:r w:rsidRPr="00BD58AD">
        <w:t xml:space="preserve">The emergency services would benefit from a more accurate display of the potential </w:t>
      </w:r>
      <w:r>
        <w:t>h</w:t>
      </w:r>
      <w:r w:rsidRPr="00BD58AD">
        <w:t>azards.</w:t>
      </w:r>
    </w:p>
    <w:p w:rsidR="0047728E" w:rsidRPr="0047728E" w:rsidRDefault="0047728E" w:rsidP="0047728E">
      <w:pPr>
        <w:pStyle w:val="SingleTxtG"/>
        <w:spacing w:before="240" w:after="0"/>
        <w:jc w:val="center"/>
        <w:rPr>
          <w:u w:val="single"/>
        </w:rPr>
      </w:pPr>
      <w:r>
        <w:rPr>
          <w:u w:val="single"/>
        </w:rPr>
        <w:tab/>
      </w:r>
      <w:r>
        <w:rPr>
          <w:u w:val="single"/>
        </w:rPr>
        <w:tab/>
      </w:r>
      <w:r>
        <w:rPr>
          <w:u w:val="single"/>
        </w:rPr>
        <w:tab/>
      </w:r>
    </w:p>
    <w:sectPr w:rsidR="0047728E" w:rsidRPr="0047728E" w:rsidSect="00CF0197">
      <w:headerReference w:type="even" r:id="rId9"/>
      <w:headerReference w:type="default" r:id="rId10"/>
      <w:footerReference w:type="even" r:id="rId11"/>
      <w:footerReference w:type="default" r:id="rId12"/>
      <w:footnotePr>
        <w:numFmt w:val="chicago"/>
      </w:footnotePr>
      <w:endnotePr>
        <w:numFmt w:val="decimal"/>
      </w:endnotePr>
      <w:type w:val="continuous"/>
      <w:pgSz w:w="11907" w:h="16840" w:code="9"/>
      <w:pgMar w:top="1701" w:right="1134" w:bottom="1985"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07E" w:rsidRDefault="00A8207E"/>
  </w:endnote>
  <w:endnote w:type="continuationSeparator" w:id="0">
    <w:p w:rsidR="00A8207E" w:rsidRDefault="00A8207E"/>
  </w:endnote>
  <w:endnote w:type="continuationNotice" w:id="1">
    <w:p w:rsidR="00A8207E" w:rsidRDefault="00A820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07E" w:rsidRPr="009D2A5B" w:rsidRDefault="00A8207E"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107F9D">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07E" w:rsidRPr="009D2A5B" w:rsidRDefault="00A8207E"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107F9D">
      <w:rPr>
        <w:b/>
        <w:noProof/>
        <w:sz w:val="18"/>
      </w:rPr>
      <w:t>3</w:t>
    </w:r>
    <w:r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07E" w:rsidRPr="000B175B" w:rsidRDefault="00A8207E" w:rsidP="000B175B">
      <w:pPr>
        <w:tabs>
          <w:tab w:val="right" w:pos="2155"/>
        </w:tabs>
        <w:spacing w:after="80"/>
        <w:ind w:left="680"/>
        <w:rPr>
          <w:u w:val="single"/>
        </w:rPr>
      </w:pPr>
      <w:r>
        <w:rPr>
          <w:u w:val="single"/>
        </w:rPr>
        <w:tab/>
      </w:r>
    </w:p>
  </w:footnote>
  <w:footnote w:type="continuationSeparator" w:id="0">
    <w:p w:rsidR="00A8207E" w:rsidRPr="00FC68B7" w:rsidRDefault="00A8207E" w:rsidP="00FC68B7">
      <w:pPr>
        <w:tabs>
          <w:tab w:val="left" w:pos="2155"/>
        </w:tabs>
        <w:spacing w:after="80"/>
        <w:ind w:left="680"/>
        <w:rPr>
          <w:u w:val="single"/>
        </w:rPr>
      </w:pPr>
      <w:r>
        <w:rPr>
          <w:u w:val="single"/>
        </w:rPr>
        <w:tab/>
      </w:r>
    </w:p>
  </w:footnote>
  <w:footnote w:type="continuationNotice" w:id="1">
    <w:p w:rsidR="00A8207E" w:rsidRDefault="00A8207E"/>
  </w:footnote>
  <w:footnote w:id="2">
    <w:p w:rsidR="00004AD5" w:rsidRPr="006E5117" w:rsidRDefault="00004AD5" w:rsidP="00004AD5">
      <w:pPr>
        <w:pStyle w:val="FootnoteText"/>
        <w:ind w:left="1418" w:right="1532" w:hanging="284"/>
        <w:jc w:val="both"/>
      </w:pPr>
      <w:r w:rsidRPr="00004AD5">
        <w:rPr>
          <w:rStyle w:val="FootnoteReference"/>
          <w:sz w:val="20"/>
        </w:rPr>
        <w:footnoteRef/>
      </w:r>
      <w:r>
        <w:tab/>
        <w:t>In accordance with the programme of work of the Inland Transport Committee for 201</w:t>
      </w:r>
      <w:r w:rsidR="0001501B">
        <w:t>8</w:t>
      </w:r>
      <w:r>
        <w:t>-201</w:t>
      </w:r>
      <w:r w:rsidR="0001501B">
        <w:t>9</w:t>
      </w:r>
      <w:r>
        <w:t>, (ECE/TRANS/201</w:t>
      </w:r>
      <w:r w:rsidR="0001501B">
        <w:t>8</w:t>
      </w:r>
      <w:r>
        <w:t>/2</w:t>
      </w:r>
      <w:r w:rsidR="0001501B">
        <w:t>1</w:t>
      </w:r>
      <w:r>
        <w:t>/Add.1</w:t>
      </w:r>
      <w:r w:rsidR="0098759D">
        <w:t>, Cluster 9,</w:t>
      </w:r>
      <w:r>
        <w:t xml:space="preserve"> (9.2)).</w:t>
      </w:r>
    </w:p>
  </w:footnote>
  <w:footnote w:id="3">
    <w:p w:rsidR="00004AD5" w:rsidRPr="00004AD5" w:rsidRDefault="00004AD5" w:rsidP="00004AD5">
      <w:pPr>
        <w:pStyle w:val="FootnoteText"/>
        <w:ind w:left="1418" w:right="1532" w:hanging="284"/>
        <w:jc w:val="both"/>
        <w:rPr>
          <w:lang w:val="fr-CH"/>
        </w:rPr>
      </w:pPr>
      <w:r w:rsidRPr="00004AD5">
        <w:rPr>
          <w:rStyle w:val="FootnoteReference"/>
          <w:sz w:val="20"/>
        </w:rPr>
        <w:t>**</w:t>
      </w:r>
      <w:r>
        <w:tab/>
      </w:r>
      <w:r w:rsidRPr="00F30C99">
        <w:t xml:space="preserve">Circulated by the Intergovernmental Organisation for International Carriage by Rail (OTIF) under the symbol </w:t>
      </w:r>
      <w:r w:rsidRPr="00561474">
        <w:t>OTIF/RID/RC/201</w:t>
      </w:r>
      <w:r w:rsidR="0098759D">
        <w:t>8</w:t>
      </w:r>
      <w:r w:rsidRPr="00561474">
        <w:t>/</w:t>
      </w:r>
      <w:r w:rsidR="00DE07C7">
        <w:t>1</w:t>
      </w:r>
      <w:r w:rsidR="00F00888">
        <w:t>8</w:t>
      </w:r>
      <w:r w:rsidRPr="0056147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07E" w:rsidRPr="009D2A5B" w:rsidRDefault="00A8207E" w:rsidP="009D2A5B">
    <w:pPr>
      <w:pStyle w:val="Header"/>
    </w:pPr>
    <w:r w:rsidRPr="009D2A5B">
      <w:t>ECE/TRANS/WP.15/AC.1/201</w:t>
    </w:r>
    <w:r w:rsidR="001A1DCA">
      <w:t>8</w:t>
    </w:r>
    <w:r w:rsidRPr="009D2A5B">
      <w:t>/</w:t>
    </w:r>
    <w:r w:rsidR="001A1DCA">
      <w:t>1</w:t>
    </w:r>
    <w:r w:rsidR="00385BE4">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07E" w:rsidRPr="009D2A5B" w:rsidRDefault="00A8207E" w:rsidP="009D2A5B">
    <w:pPr>
      <w:pStyle w:val="Header"/>
      <w:jc w:val="right"/>
    </w:pPr>
    <w:r w:rsidRPr="009D2A5B">
      <w:t>ECE/TRANS/WP.15/AC.1/201</w:t>
    </w:r>
    <w:r w:rsidR="002564BC">
      <w:t>8</w:t>
    </w:r>
    <w:r w:rsidRPr="009D2A5B">
      <w:t>/</w:t>
    </w:r>
    <w:r w:rsidR="002564BC">
      <w:t>1</w:t>
    </w:r>
    <w:r w:rsidR="00D24861">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A0D3624"/>
    <w:multiLevelType w:val="hybridMultilevel"/>
    <w:tmpl w:val="260A8F4A"/>
    <w:lvl w:ilvl="0" w:tplc="A63E0398">
      <w:start w:val="1"/>
      <w:numFmt w:val="decimal"/>
      <w:lvlText w:val="%1."/>
      <w:lvlJc w:val="left"/>
      <w:pPr>
        <w:ind w:left="1068" w:hanging="360"/>
      </w:pPr>
      <w:rPr>
        <w:rFonts w:hint="default"/>
        <w:b w:val="0"/>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141A577E"/>
    <w:multiLevelType w:val="hybridMultilevel"/>
    <w:tmpl w:val="CE6205A0"/>
    <w:lvl w:ilvl="0" w:tplc="BE96F1AA">
      <w:start w:val="1"/>
      <w:numFmt w:val="decimal"/>
      <w:lvlText w:val="%1."/>
      <w:lvlJc w:val="left"/>
      <w:pPr>
        <w:ind w:left="1689"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6C40CDE"/>
    <w:multiLevelType w:val="hybridMultilevel"/>
    <w:tmpl w:val="5DE8E00E"/>
    <w:lvl w:ilvl="0" w:tplc="0409000F">
      <w:start w:val="8"/>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5F1A3B"/>
    <w:multiLevelType w:val="hybridMultilevel"/>
    <w:tmpl w:val="107487FA"/>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213EFB"/>
    <w:multiLevelType w:val="hybridMultilevel"/>
    <w:tmpl w:val="5672DBAC"/>
    <w:lvl w:ilvl="0" w:tplc="27CE77F4">
      <w:start w:val="1"/>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20" w15:restartNumberingAfterBreak="0">
    <w:nsid w:val="4CDE2E2D"/>
    <w:multiLevelType w:val="hybridMultilevel"/>
    <w:tmpl w:val="2E7A7832"/>
    <w:lvl w:ilvl="0" w:tplc="B58A0C70">
      <w:start w:val="2"/>
      <w:numFmt w:val="bullet"/>
      <w:lvlText w:val="•"/>
      <w:lvlJc w:val="left"/>
      <w:pPr>
        <w:ind w:left="786" w:hanging="360"/>
      </w:pPr>
      <w:rPr>
        <w:rFonts w:ascii="Arial" w:eastAsia="Times New Roman" w:hAnsi="Arial" w:cs="Arial" w:hint="default"/>
      </w:rPr>
    </w:lvl>
    <w:lvl w:ilvl="1" w:tplc="7BC6D20E" w:tentative="1">
      <w:start w:val="1"/>
      <w:numFmt w:val="bullet"/>
      <w:lvlText w:val="o"/>
      <w:lvlJc w:val="left"/>
      <w:pPr>
        <w:ind w:left="1506" w:hanging="360"/>
      </w:pPr>
      <w:rPr>
        <w:rFonts w:ascii="Courier New" w:hAnsi="Courier New" w:cs="Courier New" w:hint="default"/>
      </w:rPr>
    </w:lvl>
    <w:lvl w:ilvl="2" w:tplc="0C18600E" w:tentative="1">
      <w:start w:val="1"/>
      <w:numFmt w:val="bullet"/>
      <w:lvlText w:val=""/>
      <w:lvlJc w:val="left"/>
      <w:pPr>
        <w:ind w:left="2226" w:hanging="360"/>
      </w:pPr>
      <w:rPr>
        <w:rFonts w:ascii="Wingdings" w:hAnsi="Wingdings" w:hint="default"/>
      </w:rPr>
    </w:lvl>
    <w:lvl w:ilvl="3" w:tplc="66E4D2DC" w:tentative="1">
      <w:start w:val="1"/>
      <w:numFmt w:val="bullet"/>
      <w:lvlText w:val=""/>
      <w:lvlJc w:val="left"/>
      <w:pPr>
        <w:ind w:left="2946" w:hanging="360"/>
      </w:pPr>
      <w:rPr>
        <w:rFonts w:ascii="Symbol" w:hAnsi="Symbol" w:hint="default"/>
      </w:rPr>
    </w:lvl>
    <w:lvl w:ilvl="4" w:tplc="C6229E3C" w:tentative="1">
      <w:start w:val="1"/>
      <w:numFmt w:val="bullet"/>
      <w:lvlText w:val="o"/>
      <w:lvlJc w:val="left"/>
      <w:pPr>
        <w:ind w:left="3666" w:hanging="360"/>
      </w:pPr>
      <w:rPr>
        <w:rFonts w:ascii="Courier New" w:hAnsi="Courier New" w:cs="Courier New" w:hint="default"/>
      </w:rPr>
    </w:lvl>
    <w:lvl w:ilvl="5" w:tplc="CCAEC820" w:tentative="1">
      <w:start w:val="1"/>
      <w:numFmt w:val="bullet"/>
      <w:lvlText w:val=""/>
      <w:lvlJc w:val="left"/>
      <w:pPr>
        <w:ind w:left="4386" w:hanging="360"/>
      </w:pPr>
      <w:rPr>
        <w:rFonts w:ascii="Wingdings" w:hAnsi="Wingdings" w:hint="default"/>
      </w:rPr>
    </w:lvl>
    <w:lvl w:ilvl="6" w:tplc="F05483B2" w:tentative="1">
      <w:start w:val="1"/>
      <w:numFmt w:val="bullet"/>
      <w:lvlText w:val=""/>
      <w:lvlJc w:val="left"/>
      <w:pPr>
        <w:ind w:left="5106" w:hanging="360"/>
      </w:pPr>
      <w:rPr>
        <w:rFonts w:ascii="Symbol" w:hAnsi="Symbol" w:hint="default"/>
      </w:rPr>
    </w:lvl>
    <w:lvl w:ilvl="7" w:tplc="C6D2FFC2" w:tentative="1">
      <w:start w:val="1"/>
      <w:numFmt w:val="bullet"/>
      <w:lvlText w:val="o"/>
      <w:lvlJc w:val="left"/>
      <w:pPr>
        <w:ind w:left="5826" w:hanging="360"/>
      </w:pPr>
      <w:rPr>
        <w:rFonts w:ascii="Courier New" w:hAnsi="Courier New" w:cs="Courier New" w:hint="default"/>
      </w:rPr>
    </w:lvl>
    <w:lvl w:ilvl="8" w:tplc="7C3C9064" w:tentative="1">
      <w:start w:val="1"/>
      <w:numFmt w:val="bullet"/>
      <w:lvlText w:val=""/>
      <w:lvlJc w:val="left"/>
      <w:pPr>
        <w:ind w:left="6546" w:hanging="360"/>
      </w:pPr>
      <w:rPr>
        <w:rFonts w:ascii="Wingdings" w:hAnsi="Wingdings" w:hint="default"/>
      </w:rPr>
    </w:lvl>
  </w:abstractNum>
  <w:abstractNum w:abstractNumId="21" w15:restartNumberingAfterBreak="0">
    <w:nsid w:val="4D77114A"/>
    <w:multiLevelType w:val="multilevel"/>
    <w:tmpl w:val="FFFFFFFF"/>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2" w15:restartNumberingAfterBreak="0">
    <w:nsid w:val="4ED92F95"/>
    <w:multiLevelType w:val="hybridMultilevel"/>
    <w:tmpl w:val="58AE6AAC"/>
    <w:lvl w:ilvl="0" w:tplc="0809000F">
      <w:start w:val="1"/>
      <w:numFmt w:val="decimal"/>
      <w:lvlText w:val="%1."/>
      <w:lvlJc w:val="left"/>
      <w:pPr>
        <w:ind w:left="2421" w:hanging="360"/>
      </w:p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3" w15:restartNumberingAfterBreak="0">
    <w:nsid w:val="5A8B569B"/>
    <w:multiLevelType w:val="hybridMultilevel"/>
    <w:tmpl w:val="D268740A"/>
    <w:lvl w:ilvl="0" w:tplc="8C844F4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3DC3C74"/>
    <w:multiLevelType w:val="hybridMultilevel"/>
    <w:tmpl w:val="D146F766"/>
    <w:lvl w:ilvl="0" w:tplc="04130017">
      <w:start w:val="1"/>
      <w:numFmt w:val="lowerLetter"/>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6" w15:restartNumberingAfterBreak="0">
    <w:nsid w:val="67AA2912"/>
    <w:multiLevelType w:val="hybridMultilevel"/>
    <w:tmpl w:val="CC8A73CC"/>
    <w:lvl w:ilvl="0" w:tplc="5978DD2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15:restartNumberingAfterBreak="0">
    <w:nsid w:val="7E025CD4"/>
    <w:multiLevelType w:val="hybridMultilevel"/>
    <w:tmpl w:val="53600B66"/>
    <w:lvl w:ilvl="0" w:tplc="B0124408">
      <w:numFmt w:val="bullet"/>
      <w:lvlText w:val="-"/>
      <w:lvlJc w:val="left"/>
      <w:pPr>
        <w:ind w:left="2345" w:hanging="360"/>
      </w:pPr>
      <w:rPr>
        <w:rFonts w:ascii="Times New Roman" w:eastAsia="Times New Roman" w:hAnsi="Times New Roman" w:cs="Times New Roman" w:hint="default"/>
        <w:sz w:val="20"/>
      </w:rPr>
    </w:lvl>
    <w:lvl w:ilvl="1" w:tplc="04130003" w:tentative="1">
      <w:start w:val="1"/>
      <w:numFmt w:val="bullet"/>
      <w:lvlText w:val="o"/>
      <w:lvlJc w:val="left"/>
      <w:pPr>
        <w:ind w:left="3065" w:hanging="360"/>
      </w:pPr>
      <w:rPr>
        <w:rFonts w:ascii="Courier New" w:hAnsi="Courier New" w:cs="Courier New" w:hint="default"/>
      </w:rPr>
    </w:lvl>
    <w:lvl w:ilvl="2" w:tplc="04130005" w:tentative="1">
      <w:start w:val="1"/>
      <w:numFmt w:val="bullet"/>
      <w:lvlText w:val=""/>
      <w:lvlJc w:val="left"/>
      <w:pPr>
        <w:ind w:left="3785" w:hanging="360"/>
      </w:pPr>
      <w:rPr>
        <w:rFonts w:ascii="Wingdings" w:hAnsi="Wingdings" w:hint="default"/>
      </w:rPr>
    </w:lvl>
    <w:lvl w:ilvl="3" w:tplc="04130001" w:tentative="1">
      <w:start w:val="1"/>
      <w:numFmt w:val="bullet"/>
      <w:lvlText w:val=""/>
      <w:lvlJc w:val="left"/>
      <w:pPr>
        <w:ind w:left="4505" w:hanging="360"/>
      </w:pPr>
      <w:rPr>
        <w:rFonts w:ascii="Symbol" w:hAnsi="Symbol" w:hint="default"/>
      </w:rPr>
    </w:lvl>
    <w:lvl w:ilvl="4" w:tplc="04130003" w:tentative="1">
      <w:start w:val="1"/>
      <w:numFmt w:val="bullet"/>
      <w:lvlText w:val="o"/>
      <w:lvlJc w:val="left"/>
      <w:pPr>
        <w:ind w:left="5225" w:hanging="360"/>
      </w:pPr>
      <w:rPr>
        <w:rFonts w:ascii="Courier New" w:hAnsi="Courier New" w:cs="Courier New" w:hint="default"/>
      </w:rPr>
    </w:lvl>
    <w:lvl w:ilvl="5" w:tplc="04130005" w:tentative="1">
      <w:start w:val="1"/>
      <w:numFmt w:val="bullet"/>
      <w:lvlText w:val=""/>
      <w:lvlJc w:val="left"/>
      <w:pPr>
        <w:ind w:left="5945" w:hanging="360"/>
      </w:pPr>
      <w:rPr>
        <w:rFonts w:ascii="Wingdings" w:hAnsi="Wingdings" w:hint="default"/>
      </w:rPr>
    </w:lvl>
    <w:lvl w:ilvl="6" w:tplc="04130001" w:tentative="1">
      <w:start w:val="1"/>
      <w:numFmt w:val="bullet"/>
      <w:lvlText w:val=""/>
      <w:lvlJc w:val="left"/>
      <w:pPr>
        <w:ind w:left="6665" w:hanging="360"/>
      </w:pPr>
      <w:rPr>
        <w:rFonts w:ascii="Symbol" w:hAnsi="Symbol" w:hint="default"/>
      </w:rPr>
    </w:lvl>
    <w:lvl w:ilvl="7" w:tplc="04130003" w:tentative="1">
      <w:start w:val="1"/>
      <w:numFmt w:val="bullet"/>
      <w:lvlText w:val="o"/>
      <w:lvlJc w:val="left"/>
      <w:pPr>
        <w:ind w:left="7385" w:hanging="360"/>
      </w:pPr>
      <w:rPr>
        <w:rFonts w:ascii="Courier New" w:hAnsi="Courier New" w:cs="Courier New" w:hint="default"/>
      </w:rPr>
    </w:lvl>
    <w:lvl w:ilvl="8" w:tplc="04130005" w:tentative="1">
      <w:start w:val="1"/>
      <w:numFmt w:val="bullet"/>
      <w:lvlText w:val=""/>
      <w:lvlJc w:val="left"/>
      <w:pPr>
        <w:ind w:left="8105"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6"/>
  </w:num>
  <w:num w:numId="13">
    <w:abstractNumId w:val="10"/>
  </w:num>
  <w:num w:numId="14">
    <w:abstractNumId w:val="24"/>
  </w:num>
  <w:num w:numId="15">
    <w:abstractNumId w:val="14"/>
  </w:num>
  <w:num w:numId="16">
    <w:abstractNumId w:val="11"/>
  </w:num>
  <w:num w:numId="17">
    <w:abstractNumId w:val="20"/>
  </w:num>
  <w:num w:numId="18">
    <w:abstractNumId w:val="27"/>
  </w:num>
  <w:num w:numId="19">
    <w:abstractNumId w:val="25"/>
  </w:num>
  <w:num w:numId="20">
    <w:abstractNumId w:val="12"/>
  </w:num>
  <w:num w:numId="21">
    <w:abstractNumId w:val="15"/>
  </w:num>
  <w:num w:numId="22">
    <w:abstractNumId w:val="22"/>
  </w:num>
  <w:num w:numId="23">
    <w:abstractNumId w:val="13"/>
  </w:num>
  <w:num w:numId="24">
    <w:abstractNumId w:val="21"/>
  </w:num>
  <w:num w:numId="25">
    <w:abstractNumId w:val="17"/>
  </w:num>
  <w:num w:numId="26">
    <w:abstractNumId w:val="19"/>
  </w:num>
  <w:num w:numId="27">
    <w:abstractNumId w:val="26"/>
  </w:num>
  <w:num w:numId="28">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79873"/>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04AD5"/>
    <w:rsid w:val="000113DE"/>
    <w:rsid w:val="0001501B"/>
    <w:rsid w:val="000229B5"/>
    <w:rsid w:val="00034A36"/>
    <w:rsid w:val="00037F90"/>
    <w:rsid w:val="00046B1F"/>
    <w:rsid w:val="00046BE6"/>
    <w:rsid w:val="000509A7"/>
    <w:rsid w:val="00050F6B"/>
    <w:rsid w:val="0005583C"/>
    <w:rsid w:val="00057E97"/>
    <w:rsid w:val="00072C8C"/>
    <w:rsid w:val="000733B5"/>
    <w:rsid w:val="00080491"/>
    <w:rsid w:val="00081202"/>
    <w:rsid w:val="0008179C"/>
    <w:rsid w:val="00081815"/>
    <w:rsid w:val="00091625"/>
    <w:rsid w:val="000931C0"/>
    <w:rsid w:val="000B0595"/>
    <w:rsid w:val="000B1333"/>
    <w:rsid w:val="000B175B"/>
    <w:rsid w:val="000B3A0F"/>
    <w:rsid w:val="000B4EF7"/>
    <w:rsid w:val="000C2C03"/>
    <w:rsid w:val="000C2D2E"/>
    <w:rsid w:val="000C4D51"/>
    <w:rsid w:val="000D230B"/>
    <w:rsid w:val="000E0415"/>
    <w:rsid w:val="00107F9D"/>
    <w:rsid w:val="001103AA"/>
    <w:rsid w:val="0011666B"/>
    <w:rsid w:val="001208E2"/>
    <w:rsid w:val="00126112"/>
    <w:rsid w:val="00155068"/>
    <w:rsid w:val="00165F3A"/>
    <w:rsid w:val="0017587F"/>
    <w:rsid w:val="001A1DCA"/>
    <w:rsid w:val="001B13A5"/>
    <w:rsid w:val="001B4B04"/>
    <w:rsid w:val="001C6663"/>
    <w:rsid w:val="001C7895"/>
    <w:rsid w:val="001D0C8C"/>
    <w:rsid w:val="001D1419"/>
    <w:rsid w:val="001D26DF"/>
    <w:rsid w:val="001D3A03"/>
    <w:rsid w:val="001D7F46"/>
    <w:rsid w:val="001E0B9E"/>
    <w:rsid w:val="001E7B67"/>
    <w:rsid w:val="001F7435"/>
    <w:rsid w:val="00202DA8"/>
    <w:rsid w:val="0021157B"/>
    <w:rsid w:val="00211E0B"/>
    <w:rsid w:val="00214D4D"/>
    <w:rsid w:val="002564BC"/>
    <w:rsid w:val="00260F3E"/>
    <w:rsid w:val="00267F5F"/>
    <w:rsid w:val="00277C12"/>
    <w:rsid w:val="00285D7A"/>
    <w:rsid w:val="00286B4D"/>
    <w:rsid w:val="002A5964"/>
    <w:rsid w:val="002A603B"/>
    <w:rsid w:val="002C134A"/>
    <w:rsid w:val="002D2DC1"/>
    <w:rsid w:val="002D4643"/>
    <w:rsid w:val="002D4B6C"/>
    <w:rsid w:val="002F175C"/>
    <w:rsid w:val="00300853"/>
    <w:rsid w:val="00302B8D"/>
    <w:rsid w:val="00302E18"/>
    <w:rsid w:val="00307FAA"/>
    <w:rsid w:val="00312506"/>
    <w:rsid w:val="00314AEB"/>
    <w:rsid w:val="003229D8"/>
    <w:rsid w:val="00352709"/>
    <w:rsid w:val="00357649"/>
    <w:rsid w:val="00371178"/>
    <w:rsid w:val="00371194"/>
    <w:rsid w:val="00381475"/>
    <w:rsid w:val="00385BE4"/>
    <w:rsid w:val="003A6810"/>
    <w:rsid w:val="003C2CC4"/>
    <w:rsid w:val="003D4B23"/>
    <w:rsid w:val="004059B4"/>
    <w:rsid w:val="00410C89"/>
    <w:rsid w:val="00422E03"/>
    <w:rsid w:val="00426B9B"/>
    <w:rsid w:val="0043040E"/>
    <w:rsid w:val="00430EFE"/>
    <w:rsid w:val="004325CB"/>
    <w:rsid w:val="00441896"/>
    <w:rsid w:val="00442A83"/>
    <w:rsid w:val="00443AB5"/>
    <w:rsid w:val="0045495B"/>
    <w:rsid w:val="0047728E"/>
    <w:rsid w:val="0048397A"/>
    <w:rsid w:val="00487F09"/>
    <w:rsid w:val="00495D15"/>
    <w:rsid w:val="004A12F2"/>
    <w:rsid w:val="004C2461"/>
    <w:rsid w:val="004C7462"/>
    <w:rsid w:val="004D4E04"/>
    <w:rsid w:val="004D5426"/>
    <w:rsid w:val="004E0C05"/>
    <w:rsid w:val="004E77B2"/>
    <w:rsid w:val="004F7CA5"/>
    <w:rsid w:val="00503DEB"/>
    <w:rsid w:val="00504B2D"/>
    <w:rsid w:val="00511A9B"/>
    <w:rsid w:val="0052136D"/>
    <w:rsid w:val="00522B58"/>
    <w:rsid w:val="0052775E"/>
    <w:rsid w:val="00531AFA"/>
    <w:rsid w:val="00535C90"/>
    <w:rsid w:val="005420F2"/>
    <w:rsid w:val="00543785"/>
    <w:rsid w:val="00545927"/>
    <w:rsid w:val="00546993"/>
    <w:rsid w:val="00546AD4"/>
    <w:rsid w:val="005628B6"/>
    <w:rsid w:val="00597EDC"/>
    <w:rsid w:val="005A575C"/>
    <w:rsid w:val="005B3DB3"/>
    <w:rsid w:val="005B4E13"/>
    <w:rsid w:val="005E6A77"/>
    <w:rsid w:val="005F7B75"/>
    <w:rsid w:val="006001EE"/>
    <w:rsid w:val="00605042"/>
    <w:rsid w:val="00605A9A"/>
    <w:rsid w:val="00611135"/>
    <w:rsid w:val="00611FC4"/>
    <w:rsid w:val="006176FB"/>
    <w:rsid w:val="00640B26"/>
    <w:rsid w:val="00652D0A"/>
    <w:rsid w:val="00656B98"/>
    <w:rsid w:val="006623D5"/>
    <w:rsid w:val="00662BB6"/>
    <w:rsid w:val="00667F8F"/>
    <w:rsid w:val="00684C21"/>
    <w:rsid w:val="0069232B"/>
    <w:rsid w:val="006A2530"/>
    <w:rsid w:val="006B7864"/>
    <w:rsid w:val="006C3589"/>
    <w:rsid w:val="006D37AF"/>
    <w:rsid w:val="006D51D0"/>
    <w:rsid w:val="006E5117"/>
    <w:rsid w:val="006E564B"/>
    <w:rsid w:val="006E7191"/>
    <w:rsid w:val="00703577"/>
    <w:rsid w:val="00705894"/>
    <w:rsid w:val="0072632A"/>
    <w:rsid w:val="00731FF0"/>
    <w:rsid w:val="007327D5"/>
    <w:rsid w:val="00744E2A"/>
    <w:rsid w:val="007611CF"/>
    <w:rsid w:val="007629C8"/>
    <w:rsid w:val="00764081"/>
    <w:rsid w:val="007674FA"/>
    <w:rsid w:val="0077047D"/>
    <w:rsid w:val="007B6BA5"/>
    <w:rsid w:val="007C3390"/>
    <w:rsid w:val="007C4F4B"/>
    <w:rsid w:val="007D46D5"/>
    <w:rsid w:val="007E01E9"/>
    <w:rsid w:val="007E63F3"/>
    <w:rsid w:val="007F2A80"/>
    <w:rsid w:val="007F6611"/>
    <w:rsid w:val="007F7106"/>
    <w:rsid w:val="00811920"/>
    <w:rsid w:val="00815AD0"/>
    <w:rsid w:val="008242D7"/>
    <w:rsid w:val="008257B1"/>
    <w:rsid w:val="00843767"/>
    <w:rsid w:val="008521A5"/>
    <w:rsid w:val="00860D0C"/>
    <w:rsid w:val="008679D9"/>
    <w:rsid w:val="00871389"/>
    <w:rsid w:val="00874CB6"/>
    <w:rsid w:val="00881C0C"/>
    <w:rsid w:val="00883999"/>
    <w:rsid w:val="008878DE"/>
    <w:rsid w:val="008979B1"/>
    <w:rsid w:val="008A2607"/>
    <w:rsid w:val="008A6B25"/>
    <w:rsid w:val="008A6C4F"/>
    <w:rsid w:val="008B2335"/>
    <w:rsid w:val="008B717B"/>
    <w:rsid w:val="008D6256"/>
    <w:rsid w:val="008E0678"/>
    <w:rsid w:val="008E7526"/>
    <w:rsid w:val="00901B81"/>
    <w:rsid w:val="0092212D"/>
    <w:rsid w:val="009223CA"/>
    <w:rsid w:val="00940F93"/>
    <w:rsid w:val="0094558F"/>
    <w:rsid w:val="0094766B"/>
    <w:rsid w:val="00961690"/>
    <w:rsid w:val="009760F3"/>
    <w:rsid w:val="0098759D"/>
    <w:rsid w:val="009950AD"/>
    <w:rsid w:val="009A0E8D"/>
    <w:rsid w:val="009B1518"/>
    <w:rsid w:val="009B192C"/>
    <w:rsid w:val="009B26E7"/>
    <w:rsid w:val="009B6669"/>
    <w:rsid w:val="009C3EED"/>
    <w:rsid w:val="009C454F"/>
    <w:rsid w:val="009D2A5B"/>
    <w:rsid w:val="009E37C8"/>
    <w:rsid w:val="00A00A3F"/>
    <w:rsid w:val="00A01489"/>
    <w:rsid w:val="00A1147F"/>
    <w:rsid w:val="00A2358C"/>
    <w:rsid w:val="00A3009E"/>
    <w:rsid w:val="00A3026E"/>
    <w:rsid w:val="00A338F1"/>
    <w:rsid w:val="00A43545"/>
    <w:rsid w:val="00A72F22"/>
    <w:rsid w:val="00A7360F"/>
    <w:rsid w:val="00A748A6"/>
    <w:rsid w:val="00A769F4"/>
    <w:rsid w:val="00A776B4"/>
    <w:rsid w:val="00A81407"/>
    <w:rsid w:val="00A8207E"/>
    <w:rsid w:val="00A9093D"/>
    <w:rsid w:val="00A9142D"/>
    <w:rsid w:val="00A94361"/>
    <w:rsid w:val="00AA0DB3"/>
    <w:rsid w:val="00AA293C"/>
    <w:rsid w:val="00AB25C8"/>
    <w:rsid w:val="00AD13BA"/>
    <w:rsid w:val="00AE08DA"/>
    <w:rsid w:val="00AE1E36"/>
    <w:rsid w:val="00AE6935"/>
    <w:rsid w:val="00AF3993"/>
    <w:rsid w:val="00B012FA"/>
    <w:rsid w:val="00B11BB4"/>
    <w:rsid w:val="00B175D8"/>
    <w:rsid w:val="00B22BC2"/>
    <w:rsid w:val="00B30179"/>
    <w:rsid w:val="00B36283"/>
    <w:rsid w:val="00B421C1"/>
    <w:rsid w:val="00B42658"/>
    <w:rsid w:val="00B55C71"/>
    <w:rsid w:val="00B56E4A"/>
    <w:rsid w:val="00B56E9C"/>
    <w:rsid w:val="00B61320"/>
    <w:rsid w:val="00B64B1F"/>
    <w:rsid w:val="00B6553F"/>
    <w:rsid w:val="00B70F1E"/>
    <w:rsid w:val="00B734ED"/>
    <w:rsid w:val="00B77D05"/>
    <w:rsid w:val="00B81206"/>
    <w:rsid w:val="00B81E12"/>
    <w:rsid w:val="00B857E8"/>
    <w:rsid w:val="00BA1092"/>
    <w:rsid w:val="00BA425C"/>
    <w:rsid w:val="00BB7CD1"/>
    <w:rsid w:val="00BC3FA0"/>
    <w:rsid w:val="00BC74E9"/>
    <w:rsid w:val="00BD4443"/>
    <w:rsid w:val="00BF1E62"/>
    <w:rsid w:val="00BF68A8"/>
    <w:rsid w:val="00C10FE6"/>
    <w:rsid w:val="00C11A03"/>
    <w:rsid w:val="00C22C0C"/>
    <w:rsid w:val="00C22F9A"/>
    <w:rsid w:val="00C255AF"/>
    <w:rsid w:val="00C30C61"/>
    <w:rsid w:val="00C3172E"/>
    <w:rsid w:val="00C35502"/>
    <w:rsid w:val="00C40B11"/>
    <w:rsid w:val="00C4527F"/>
    <w:rsid w:val="00C463DD"/>
    <w:rsid w:val="00C4724C"/>
    <w:rsid w:val="00C517D2"/>
    <w:rsid w:val="00C563BF"/>
    <w:rsid w:val="00C629A0"/>
    <w:rsid w:val="00C64629"/>
    <w:rsid w:val="00C745C3"/>
    <w:rsid w:val="00C76F8B"/>
    <w:rsid w:val="00C81EB8"/>
    <w:rsid w:val="00C92461"/>
    <w:rsid w:val="00CB3E03"/>
    <w:rsid w:val="00CE4A8F"/>
    <w:rsid w:val="00CF0197"/>
    <w:rsid w:val="00CF1BAD"/>
    <w:rsid w:val="00D2031B"/>
    <w:rsid w:val="00D24861"/>
    <w:rsid w:val="00D25FE2"/>
    <w:rsid w:val="00D43252"/>
    <w:rsid w:val="00D47EEA"/>
    <w:rsid w:val="00D550D4"/>
    <w:rsid w:val="00D773DF"/>
    <w:rsid w:val="00D872AC"/>
    <w:rsid w:val="00D9255F"/>
    <w:rsid w:val="00D95303"/>
    <w:rsid w:val="00D978C6"/>
    <w:rsid w:val="00DA3C1C"/>
    <w:rsid w:val="00DD29BD"/>
    <w:rsid w:val="00DE07C7"/>
    <w:rsid w:val="00DE1D53"/>
    <w:rsid w:val="00DE4750"/>
    <w:rsid w:val="00DF0F1A"/>
    <w:rsid w:val="00E046DF"/>
    <w:rsid w:val="00E15557"/>
    <w:rsid w:val="00E240D2"/>
    <w:rsid w:val="00E27346"/>
    <w:rsid w:val="00E71610"/>
    <w:rsid w:val="00E71BC8"/>
    <w:rsid w:val="00E72409"/>
    <w:rsid w:val="00E7260F"/>
    <w:rsid w:val="00E73F5D"/>
    <w:rsid w:val="00E74859"/>
    <w:rsid w:val="00E77E4E"/>
    <w:rsid w:val="00E8771C"/>
    <w:rsid w:val="00E96630"/>
    <w:rsid w:val="00EA3763"/>
    <w:rsid w:val="00EC106A"/>
    <w:rsid w:val="00EC1E8A"/>
    <w:rsid w:val="00ED1389"/>
    <w:rsid w:val="00ED7A2A"/>
    <w:rsid w:val="00EE1FD0"/>
    <w:rsid w:val="00EE6B3A"/>
    <w:rsid w:val="00EF1D7F"/>
    <w:rsid w:val="00F00888"/>
    <w:rsid w:val="00F31E5F"/>
    <w:rsid w:val="00F32BB7"/>
    <w:rsid w:val="00F47EDC"/>
    <w:rsid w:val="00F6100A"/>
    <w:rsid w:val="00F63C9D"/>
    <w:rsid w:val="00F64DBF"/>
    <w:rsid w:val="00F66565"/>
    <w:rsid w:val="00F75A16"/>
    <w:rsid w:val="00F77976"/>
    <w:rsid w:val="00F852F4"/>
    <w:rsid w:val="00F913E2"/>
    <w:rsid w:val="00F92A22"/>
    <w:rsid w:val="00F93781"/>
    <w:rsid w:val="00FA16BB"/>
    <w:rsid w:val="00FA6DA6"/>
    <w:rsid w:val="00FB06F6"/>
    <w:rsid w:val="00FB3838"/>
    <w:rsid w:val="00FB613B"/>
    <w:rsid w:val="00FC68B7"/>
    <w:rsid w:val="00FE106A"/>
    <w:rsid w:val="00FE3E35"/>
    <w:rsid w:val="00FE4FBE"/>
    <w:rsid w:val="00FF145D"/>
    <w:rsid w:val="00FF4220"/>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0039D22F"/>
  <w15:docId w15:val="{00A7D37C-5B34-4F49-959C-35FDA6DCB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 w:val="num" w:pos="360"/>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4_GR"/>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uiPriority w:val="99"/>
    <w:semiHidden/>
    <w:rPr>
      <w:sz w:val="6"/>
    </w:rPr>
  </w:style>
  <w:style w:type="paragraph" w:styleId="CommentText">
    <w:name w:val="annotation text"/>
    <w:basedOn w:val="Normal"/>
    <w:link w:val="CommentTextChar"/>
    <w:uiPriority w:val="99"/>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 w:type="character" w:customStyle="1" w:styleId="HeaderChar">
    <w:name w:val="Header Char"/>
    <w:aliases w:val="6_G Char"/>
    <w:basedOn w:val="DefaultParagraphFont"/>
    <w:link w:val="Header"/>
    <w:uiPriority w:val="99"/>
    <w:rsid w:val="00B42658"/>
    <w:rPr>
      <w:b/>
      <w:sz w:val="18"/>
      <w:lang w:eastAsia="en-US"/>
    </w:rPr>
  </w:style>
  <w:style w:type="character" w:customStyle="1" w:styleId="NormalWebChar">
    <w:name w:val="Normal (Web) Char"/>
    <w:link w:val="NormalWeb"/>
    <w:rsid w:val="00FA6DA6"/>
    <w:rPr>
      <w:sz w:val="24"/>
      <w:szCs w:val="24"/>
      <w:lang w:eastAsia="en-US"/>
    </w:rPr>
  </w:style>
  <w:style w:type="paragraph" w:styleId="ListParagraph">
    <w:name w:val="List Paragraph"/>
    <w:basedOn w:val="Normal"/>
    <w:uiPriority w:val="34"/>
    <w:qFormat/>
    <w:rsid w:val="00AD13BA"/>
    <w:pPr>
      <w:suppressAutoHyphens w:val="0"/>
      <w:spacing w:after="200" w:line="276" w:lineRule="auto"/>
      <w:ind w:left="720"/>
      <w:contextualSpacing/>
    </w:pPr>
    <w:rPr>
      <w:rFonts w:ascii="Calibri" w:hAnsi="Calibri"/>
      <w:sz w:val="22"/>
      <w:szCs w:val="22"/>
      <w:lang w:val="nl-NL" w:eastAsia="zh-CN"/>
    </w:rPr>
  </w:style>
  <w:style w:type="character" w:customStyle="1" w:styleId="apple-converted-space">
    <w:name w:val="apple-converted-space"/>
    <w:basedOn w:val="DefaultParagraphFont"/>
    <w:rsid w:val="00AD13BA"/>
  </w:style>
  <w:style w:type="character" w:customStyle="1" w:styleId="CommentTextChar">
    <w:name w:val="Comment Text Char"/>
    <w:basedOn w:val="DefaultParagraphFont"/>
    <w:link w:val="CommentText"/>
    <w:uiPriority w:val="99"/>
    <w:semiHidden/>
    <w:rsid w:val="00DE4750"/>
    <w:rPr>
      <w:lang w:eastAsia="en-US"/>
    </w:rPr>
  </w:style>
  <w:style w:type="character" w:customStyle="1" w:styleId="Heading2Char">
    <w:name w:val="Heading 2 Char"/>
    <w:basedOn w:val="DefaultParagraphFont"/>
    <w:link w:val="Heading2"/>
    <w:rsid w:val="009950A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49828">
      <w:bodyDiv w:val="1"/>
      <w:marLeft w:val="0"/>
      <w:marRight w:val="0"/>
      <w:marTop w:val="0"/>
      <w:marBottom w:val="0"/>
      <w:divBdr>
        <w:top w:val="none" w:sz="0" w:space="0" w:color="auto"/>
        <w:left w:val="none" w:sz="0" w:space="0" w:color="auto"/>
        <w:bottom w:val="none" w:sz="0" w:space="0" w:color="auto"/>
        <w:right w:val="none" w:sz="0" w:space="0" w:color="auto"/>
      </w:divBdr>
    </w:div>
    <w:div w:id="295525461">
      <w:bodyDiv w:val="1"/>
      <w:marLeft w:val="0"/>
      <w:marRight w:val="0"/>
      <w:marTop w:val="0"/>
      <w:marBottom w:val="0"/>
      <w:divBdr>
        <w:top w:val="none" w:sz="0" w:space="0" w:color="auto"/>
        <w:left w:val="none" w:sz="0" w:space="0" w:color="auto"/>
        <w:bottom w:val="none" w:sz="0" w:space="0" w:color="auto"/>
        <w:right w:val="none" w:sz="0" w:space="0" w:color="auto"/>
      </w:divBdr>
    </w:div>
    <w:div w:id="353576101">
      <w:bodyDiv w:val="1"/>
      <w:marLeft w:val="0"/>
      <w:marRight w:val="0"/>
      <w:marTop w:val="0"/>
      <w:marBottom w:val="0"/>
      <w:divBdr>
        <w:top w:val="none" w:sz="0" w:space="0" w:color="auto"/>
        <w:left w:val="none" w:sz="0" w:space="0" w:color="auto"/>
        <w:bottom w:val="none" w:sz="0" w:space="0" w:color="auto"/>
        <w:right w:val="none" w:sz="0" w:space="0" w:color="auto"/>
      </w:divBdr>
    </w:div>
    <w:div w:id="81973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8078D-D6D6-43AE-83A6-CACEDF06A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596</Words>
  <Characters>3398</Characters>
  <Application>Microsoft Office Word</Application>
  <DocSecurity>0</DocSecurity>
  <Lines>28</Lines>
  <Paragraphs>7</Paragraphs>
  <ScaleCrop>false</ScaleCrop>
  <HeadingPairs>
    <vt:vector size="6" baseType="variant">
      <vt:variant>
        <vt:lpstr>Title</vt:lpstr>
      </vt:variant>
      <vt:variant>
        <vt:i4>1</vt:i4>
      </vt:variant>
      <vt:variant>
        <vt:lpstr>Rubrik</vt:lpstr>
      </vt:variant>
      <vt:variant>
        <vt:i4>1</vt:i4>
      </vt:variant>
      <vt:variant>
        <vt:lpstr>Titre</vt:lpstr>
      </vt:variant>
      <vt:variant>
        <vt:i4>1</vt:i4>
      </vt:variant>
    </vt:vector>
  </HeadingPairs>
  <TitlesOfParts>
    <vt:vector size="3" baseType="lpstr">
      <vt:lpstr>1126259</vt:lpstr>
      <vt:lpstr>1126259</vt:lpstr>
      <vt:lpstr>1126259</vt:lpstr>
    </vt:vector>
  </TitlesOfParts>
  <Company>CSD</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9</cp:revision>
  <cp:lastPrinted>2018-06-25T07:10:00Z</cp:lastPrinted>
  <dcterms:created xsi:type="dcterms:W3CDTF">2018-06-25T06:52:00Z</dcterms:created>
  <dcterms:modified xsi:type="dcterms:W3CDTF">2018-06-25T14:50:00Z</dcterms:modified>
</cp:coreProperties>
</file>