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CC6149" w:rsidRDefault="0038100E" w:rsidP="00CC6149">
            <w:pPr>
              <w:suppressAutoHyphens w:val="0"/>
              <w:spacing w:after="20"/>
              <w:jc w:val="right"/>
              <w:rPr>
                <w:b/>
                <w:sz w:val="24"/>
                <w:szCs w:val="24"/>
              </w:rPr>
            </w:pPr>
            <w:r>
              <w:rPr>
                <w:b/>
                <w:sz w:val="24"/>
                <w:szCs w:val="24"/>
              </w:rPr>
              <w:t>INF.</w:t>
            </w:r>
            <w:r w:rsidR="00065781">
              <w:rPr>
                <w:b/>
                <w:sz w:val="24"/>
                <w:szCs w:val="24"/>
              </w:rPr>
              <w:t>21</w:t>
            </w:r>
          </w:p>
        </w:tc>
      </w:tr>
    </w:tbl>
    <w:p w:rsidR="00B61156" w:rsidRDefault="00B61156" w:rsidP="00B61156">
      <w:pPr>
        <w:spacing w:before="120"/>
        <w:rPr>
          <w:b/>
          <w:sz w:val="28"/>
          <w:szCs w:val="28"/>
        </w:rPr>
      </w:pPr>
      <w:r>
        <w:rPr>
          <w:b/>
          <w:sz w:val="28"/>
          <w:szCs w:val="28"/>
        </w:rPr>
        <w:t>Economic Commission for Europe</w:t>
      </w:r>
    </w:p>
    <w:p w:rsidR="00B61156" w:rsidRDefault="00B61156" w:rsidP="00B61156">
      <w:pPr>
        <w:spacing w:before="120"/>
        <w:rPr>
          <w:sz w:val="28"/>
          <w:szCs w:val="28"/>
        </w:rPr>
      </w:pPr>
      <w:r>
        <w:rPr>
          <w:sz w:val="28"/>
          <w:szCs w:val="28"/>
        </w:rPr>
        <w:t>Inland Transport Committee</w:t>
      </w:r>
    </w:p>
    <w:p w:rsidR="00B61156" w:rsidRDefault="00B61156" w:rsidP="00B61156">
      <w:pPr>
        <w:spacing w:before="120" w:after="120"/>
        <w:rPr>
          <w:b/>
          <w:sz w:val="24"/>
          <w:szCs w:val="24"/>
        </w:rPr>
      </w:pPr>
      <w:r>
        <w:rPr>
          <w:b/>
          <w:sz w:val="24"/>
          <w:szCs w:val="24"/>
        </w:rPr>
        <w:t>Working Party on the Transport of Dangerous Goods</w:t>
      </w:r>
    </w:p>
    <w:p w:rsidR="00B61156" w:rsidRDefault="00B61156" w:rsidP="00B61156">
      <w:pPr>
        <w:rPr>
          <w:b/>
        </w:rPr>
      </w:pPr>
      <w:r>
        <w:rPr>
          <w:b/>
        </w:rPr>
        <w:t>Joint Meeting of the RID Committee of Experts and the</w:t>
      </w:r>
    </w:p>
    <w:p w:rsidR="00B61156" w:rsidRDefault="00B61156" w:rsidP="00B61156">
      <w:pPr>
        <w:rPr>
          <w:b/>
        </w:rPr>
      </w:pPr>
      <w:r>
        <w:rPr>
          <w:b/>
        </w:rPr>
        <w:t>Working Party on the Transport of Dangerous Goods</w:t>
      </w:r>
    </w:p>
    <w:p w:rsidR="00B61156" w:rsidRPr="003D18C0" w:rsidRDefault="00B61156" w:rsidP="00B61156">
      <w:pPr>
        <w:rPr>
          <w:b/>
          <w:bCs/>
        </w:rPr>
      </w:pPr>
      <w:r w:rsidRPr="00057793">
        <w:t>Bern, 12-16 March 2018</w:t>
      </w:r>
      <w:r>
        <w:tab/>
      </w:r>
      <w:r>
        <w:tab/>
      </w:r>
      <w:r>
        <w:tab/>
      </w:r>
      <w:r>
        <w:tab/>
      </w:r>
      <w:r>
        <w:tab/>
      </w:r>
      <w:r>
        <w:tab/>
      </w:r>
      <w:r>
        <w:tab/>
      </w:r>
      <w:r>
        <w:tab/>
      </w:r>
      <w:r>
        <w:tab/>
      </w:r>
      <w:r w:rsidR="00065781">
        <w:rPr>
          <w:b/>
          <w:bCs/>
        </w:rPr>
        <w:t>21</w:t>
      </w:r>
      <w:r>
        <w:rPr>
          <w:b/>
          <w:bCs/>
        </w:rPr>
        <w:t xml:space="preserve"> February 2018</w:t>
      </w:r>
    </w:p>
    <w:p w:rsidR="00065781" w:rsidRDefault="00065781" w:rsidP="00065781">
      <w:r>
        <w:t>Item 5 (b) of the provisional agenda</w:t>
      </w:r>
    </w:p>
    <w:p w:rsidR="00065781" w:rsidRPr="00065781" w:rsidRDefault="00065781" w:rsidP="00065781">
      <w:pPr>
        <w:rPr>
          <w:b/>
          <w:bCs/>
        </w:rPr>
      </w:pPr>
      <w:r w:rsidRPr="00065781">
        <w:rPr>
          <w:b/>
          <w:bCs/>
        </w:rPr>
        <w:t>Proposals for amendments to RID/ADR/ADN:</w:t>
      </w:r>
    </w:p>
    <w:p w:rsidR="00065781" w:rsidRPr="00065781" w:rsidRDefault="00065781" w:rsidP="00065781">
      <w:pPr>
        <w:rPr>
          <w:b/>
          <w:bCs/>
        </w:rPr>
      </w:pPr>
      <w:r>
        <w:rPr>
          <w:b/>
          <w:bCs/>
        </w:rPr>
        <w:t>n</w:t>
      </w:r>
      <w:r w:rsidRPr="00065781">
        <w:rPr>
          <w:b/>
          <w:bCs/>
        </w:rPr>
        <w:t>ew proposals</w:t>
      </w:r>
    </w:p>
    <w:p w:rsidR="00065781" w:rsidRPr="00C82D65" w:rsidRDefault="00065781" w:rsidP="00065781">
      <w:pPr>
        <w:pStyle w:val="HChG"/>
      </w:pPr>
      <w:r w:rsidRPr="00C82D65">
        <w:tab/>
      </w:r>
      <w:r w:rsidRPr="00C82D65">
        <w:tab/>
        <w:t>Amendment to additional provision CV36</w:t>
      </w:r>
      <w:r>
        <w:t>/CW36</w:t>
      </w:r>
      <w:r w:rsidRPr="00C82D65">
        <w:t xml:space="preserve"> of 7.5.11</w:t>
      </w:r>
    </w:p>
    <w:p w:rsidR="00065781" w:rsidRPr="00C82D65" w:rsidRDefault="00065781" w:rsidP="00065781">
      <w:pPr>
        <w:pStyle w:val="H1G"/>
      </w:pPr>
      <w:r w:rsidRPr="00C82D65">
        <w:tab/>
      </w:r>
      <w:r w:rsidRPr="00C82D65">
        <w:tab/>
      </w:r>
      <w:bookmarkStart w:id="0" w:name="_GoBack"/>
      <w:bookmarkEnd w:id="0"/>
      <w:r w:rsidRPr="00C82D65">
        <w:t>Transmitted by the Government of Switzerland</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065781" w:rsidTr="00B9205C">
        <w:trPr>
          <w:jc w:val="center"/>
        </w:trPr>
        <w:tc>
          <w:tcPr>
            <w:tcW w:w="9637" w:type="dxa"/>
            <w:tcBorders>
              <w:bottom w:val="nil"/>
            </w:tcBorders>
          </w:tcPr>
          <w:p w:rsidR="00065781" w:rsidRPr="00FC74DC" w:rsidRDefault="00065781" w:rsidP="00B9205C">
            <w:pPr>
              <w:tabs>
                <w:tab w:val="left" w:pos="255"/>
              </w:tabs>
              <w:suppressAutoHyphens w:val="0"/>
              <w:spacing w:before="240" w:after="120"/>
              <w:rPr>
                <w:sz w:val="24"/>
              </w:rPr>
            </w:pPr>
            <w:r>
              <w:tab/>
            </w:r>
            <w:r>
              <w:rPr>
                <w:i/>
                <w:sz w:val="24"/>
              </w:rPr>
              <w:t>Summary</w:t>
            </w:r>
          </w:p>
        </w:tc>
      </w:tr>
      <w:tr w:rsidR="00065781" w:rsidTr="00B9205C">
        <w:trPr>
          <w:jc w:val="center"/>
        </w:trPr>
        <w:tc>
          <w:tcPr>
            <w:tcW w:w="9637" w:type="dxa"/>
            <w:tcBorders>
              <w:top w:val="nil"/>
              <w:bottom w:val="nil"/>
            </w:tcBorders>
            <w:shd w:val="clear" w:color="auto" w:fill="auto"/>
          </w:tcPr>
          <w:p w:rsidR="00065781" w:rsidRDefault="00065781" w:rsidP="00465F5B">
            <w:pPr>
              <w:pStyle w:val="SingleTxtG"/>
              <w:tabs>
                <w:tab w:val="left" w:pos="3260"/>
              </w:tabs>
              <w:ind w:left="3260" w:hanging="2126"/>
            </w:pPr>
            <w:r w:rsidRPr="00D14305">
              <w:rPr>
                <w:b/>
                <w:szCs w:val="22"/>
              </w:rPr>
              <w:t>Executive</w:t>
            </w:r>
            <w:r w:rsidRPr="00FC74DC">
              <w:rPr>
                <w:b/>
              </w:rPr>
              <w:t xml:space="preserve"> summary</w:t>
            </w:r>
            <w:r w:rsidRPr="00C82D65">
              <w:t>:</w:t>
            </w:r>
            <w:r w:rsidRPr="00C82D65">
              <w:tab/>
              <w:t>For the carriage of gases for which additional provision CV36</w:t>
            </w:r>
            <w:r>
              <w:t>/CW36</w:t>
            </w:r>
            <w:r w:rsidRPr="00C82D65">
              <w:t xml:space="preserve"> of 7.5.11 is assigned, apply </w:t>
            </w:r>
            <w:r>
              <w:t xml:space="preserve">similar </w:t>
            </w:r>
            <w:r w:rsidRPr="00C82D65">
              <w:t xml:space="preserve">safety measures as those applied </w:t>
            </w:r>
            <w:r>
              <w:t>for substances presenting a risk of asphyxiations envisaged in 5.5.3.3.3.</w:t>
            </w:r>
            <w:r w:rsidRPr="00C82D65">
              <w:tab/>
            </w:r>
          </w:p>
        </w:tc>
      </w:tr>
      <w:tr w:rsidR="00065781" w:rsidTr="00B9205C">
        <w:trPr>
          <w:jc w:val="center"/>
        </w:trPr>
        <w:tc>
          <w:tcPr>
            <w:tcW w:w="9637" w:type="dxa"/>
            <w:tcBorders>
              <w:top w:val="nil"/>
              <w:bottom w:val="nil"/>
            </w:tcBorders>
          </w:tcPr>
          <w:p w:rsidR="00065781" w:rsidRDefault="00065781" w:rsidP="00465F5B">
            <w:pPr>
              <w:pStyle w:val="SingleTxtG"/>
              <w:tabs>
                <w:tab w:val="left" w:pos="3260"/>
              </w:tabs>
              <w:ind w:left="3260" w:hanging="2126"/>
            </w:pPr>
            <w:r w:rsidRPr="009A25FC">
              <w:rPr>
                <w:b/>
              </w:rPr>
              <w:t xml:space="preserve">Action to </w:t>
            </w:r>
            <w:r w:rsidRPr="00D14305">
              <w:rPr>
                <w:b/>
                <w:szCs w:val="22"/>
              </w:rPr>
              <w:t>be</w:t>
            </w:r>
            <w:r w:rsidRPr="009A25FC">
              <w:rPr>
                <w:b/>
              </w:rPr>
              <w:t xml:space="preserve"> taken</w:t>
            </w:r>
            <w:r w:rsidRPr="00C82D65">
              <w:t>:</w:t>
            </w:r>
            <w:r w:rsidRPr="00C82D65">
              <w:tab/>
              <w:t>Amend the wording of additional provision CV36</w:t>
            </w:r>
            <w:r>
              <w:t>/VW36</w:t>
            </w:r>
            <w:r w:rsidRPr="00C82D65">
              <w:t xml:space="preserve"> of 7.5.11.</w:t>
            </w:r>
          </w:p>
        </w:tc>
      </w:tr>
      <w:tr w:rsidR="00065781" w:rsidRPr="000872AA" w:rsidTr="00B9205C">
        <w:trPr>
          <w:jc w:val="center"/>
        </w:trPr>
        <w:tc>
          <w:tcPr>
            <w:tcW w:w="9637" w:type="dxa"/>
            <w:tcBorders>
              <w:top w:val="nil"/>
              <w:bottom w:val="nil"/>
            </w:tcBorders>
          </w:tcPr>
          <w:p w:rsidR="00065781" w:rsidRDefault="00065781" w:rsidP="00465F5B">
            <w:pPr>
              <w:pStyle w:val="SingleTxtG"/>
              <w:tabs>
                <w:tab w:val="left" w:pos="3260"/>
              </w:tabs>
              <w:ind w:left="3260" w:hanging="2126"/>
              <w:rPr>
                <w:lang w:val="en-US"/>
              </w:rPr>
            </w:pPr>
            <w:r w:rsidRPr="00AD1964">
              <w:rPr>
                <w:b/>
                <w:bCs/>
                <w:lang w:val="en-US"/>
              </w:rPr>
              <w:t>Reference documents:</w:t>
            </w:r>
            <w:r w:rsidRPr="00AD1964">
              <w:rPr>
                <w:lang w:val="en-US"/>
              </w:rPr>
              <w:t xml:space="preserve"> </w:t>
            </w:r>
            <w:r w:rsidRPr="00AD1964">
              <w:rPr>
                <w:lang w:val="en-US"/>
              </w:rPr>
              <w:tab/>
              <w:t>ECE/TRANS/WP.15/2017/13 (Switzerland)</w:t>
            </w:r>
          </w:p>
          <w:p w:rsidR="00065781" w:rsidRPr="00AD1964" w:rsidRDefault="00065781" w:rsidP="00065781">
            <w:pPr>
              <w:pStyle w:val="SingleTxtG"/>
              <w:ind w:left="2552" w:hanging="2268"/>
              <w:rPr>
                <w:lang w:val="en-US"/>
              </w:rPr>
            </w:pPr>
            <w:r>
              <w:rPr>
                <w:b/>
                <w:bCs/>
                <w:lang w:val="en-US"/>
              </w:rPr>
              <w:tab/>
            </w:r>
            <w:r w:rsidR="00465F5B">
              <w:rPr>
                <w:b/>
                <w:bCs/>
                <w:lang w:val="en-US"/>
              </w:rPr>
              <w:tab/>
              <w:t xml:space="preserve">        </w:t>
            </w:r>
            <w:r w:rsidRPr="00AD1964">
              <w:rPr>
                <w:lang w:val="en-US"/>
              </w:rPr>
              <w:t>ECE</w:t>
            </w:r>
            <w:r w:rsidRPr="00AD1964">
              <w:rPr>
                <w:sz w:val="22"/>
                <w:szCs w:val="22"/>
                <w:lang w:val="en-US"/>
              </w:rPr>
              <w:t>/</w:t>
            </w:r>
            <w:r w:rsidRPr="00AD1964">
              <w:rPr>
                <w:lang w:val="en-US"/>
              </w:rPr>
              <w:t>TRANS/WP.15/239.</w:t>
            </w:r>
          </w:p>
        </w:tc>
      </w:tr>
      <w:tr w:rsidR="00065781" w:rsidRPr="000872AA" w:rsidTr="00B9205C">
        <w:trPr>
          <w:jc w:val="center"/>
        </w:trPr>
        <w:tc>
          <w:tcPr>
            <w:tcW w:w="9637" w:type="dxa"/>
            <w:tcBorders>
              <w:top w:val="nil"/>
            </w:tcBorders>
          </w:tcPr>
          <w:p w:rsidR="00065781" w:rsidRPr="00AD1964" w:rsidRDefault="00065781" w:rsidP="00B9205C">
            <w:pPr>
              <w:suppressAutoHyphens w:val="0"/>
              <w:rPr>
                <w:b/>
                <w:bCs/>
                <w:lang w:val="en-US"/>
              </w:rPr>
            </w:pPr>
          </w:p>
        </w:tc>
      </w:tr>
    </w:tbl>
    <w:p w:rsidR="00065781" w:rsidRPr="00C82D65" w:rsidRDefault="00065781" w:rsidP="00065781">
      <w:pPr>
        <w:pStyle w:val="HChG"/>
      </w:pPr>
      <w:r w:rsidRPr="00AD1964">
        <w:rPr>
          <w:lang w:val="en-US"/>
        </w:rPr>
        <w:tab/>
      </w:r>
      <w:r w:rsidRPr="00AD1964">
        <w:rPr>
          <w:lang w:val="en-US"/>
        </w:rPr>
        <w:tab/>
      </w:r>
      <w:r w:rsidRPr="00C82D65">
        <w:t>Introduction</w:t>
      </w:r>
    </w:p>
    <w:p w:rsidR="00065781" w:rsidRPr="00C82D65" w:rsidRDefault="00065781" w:rsidP="00065781">
      <w:pPr>
        <w:pStyle w:val="SingleTxtG"/>
      </w:pPr>
      <w:r w:rsidRPr="00C82D65">
        <w:t>1.</w:t>
      </w:r>
      <w:r w:rsidRPr="00C82D65">
        <w:tab/>
      </w:r>
      <w:r w:rsidRPr="0046062C">
        <w:t xml:space="preserve">During the meeting of the WP.15 of November 2017 a discussion on the field of application of the provision CV 36 took place, </w:t>
      </w:r>
      <w:proofErr w:type="gramStart"/>
      <w:r w:rsidRPr="0046062C">
        <w:t>on the basis of</w:t>
      </w:r>
      <w:proofErr w:type="gramEnd"/>
      <w:r w:rsidRPr="0046062C">
        <w:t xml:space="preserve"> document ECE/TRANS/WP.15/2017/13 of Switzerland. It resulted in adapting the terminology of French to that of English (proposal 2). This same adaptation was adopted for CW36 by the permanent working group of the Commission of experts of the RID in November 2017.</w:t>
      </w:r>
    </w:p>
    <w:p w:rsidR="00065781" w:rsidRPr="00C82D65" w:rsidRDefault="00065781" w:rsidP="00065781">
      <w:pPr>
        <w:pStyle w:val="SingleTxtG"/>
      </w:pPr>
      <w:r w:rsidRPr="00C82D65">
        <w:t>2.</w:t>
      </w:r>
      <w:r w:rsidRPr="00C82D65">
        <w:tab/>
      </w:r>
      <w:r w:rsidRPr="0046062C">
        <w:t xml:space="preserve">In addition, proposal 1 of Switzerland developed hereafter received the support of </w:t>
      </w:r>
      <w:proofErr w:type="gramStart"/>
      <w:r w:rsidRPr="0046062C">
        <w:t>the majority of</w:t>
      </w:r>
      <w:proofErr w:type="gramEnd"/>
      <w:r w:rsidRPr="0046062C">
        <w:t xml:space="preserve"> the delegations which </w:t>
      </w:r>
      <w:r>
        <w:t xml:space="preserve">intervened. </w:t>
      </w:r>
      <w:r w:rsidRPr="00D725A0">
        <w:t>The Working Party agreed that the proposal was multimodal in scope and should be discussed in the RID/ADR/ADN Joint Meeting</w:t>
      </w:r>
      <w:r w:rsidRPr="0046062C">
        <w:t>.</w:t>
      </w:r>
    </w:p>
    <w:p w:rsidR="00065781" w:rsidRDefault="00065781" w:rsidP="00065781">
      <w:pPr>
        <w:pStyle w:val="SingleTxtG"/>
      </w:pPr>
      <w:r w:rsidRPr="00C82D65">
        <w:t>3.</w:t>
      </w:r>
      <w:r w:rsidRPr="00C82D65">
        <w:tab/>
        <w:t>There are road sheeted vehicles, in which the load compartment is not separate from the passengers</w:t>
      </w:r>
      <w:r>
        <w:t>’</w:t>
      </w:r>
      <w:r w:rsidRPr="00C82D65">
        <w:t xml:space="preserve"> and driver</w:t>
      </w:r>
      <w:r>
        <w:t>’</w:t>
      </w:r>
      <w:r w:rsidRPr="00C82D65">
        <w:t xml:space="preserve">s compartment (see first image in annex). </w:t>
      </w:r>
      <w:r w:rsidRPr="000A22D6">
        <w:t xml:space="preserve">Passenger carriages can also present a compartment of loading of goods. </w:t>
      </w:r>
      <w:r w:rsidRPr="00C82D65">
        <w:t xml:space="preserve">Ventilation must be ensured </w:t>
      </w:r>
      <w:r>
        <w:t xml:space="preserve">in this case </w:t>
      </w:r>
      <w:r w:rsidRPr="00C82D65">
        <w:t>not only on opening the doors of the load containing gases assigned to CV36</w:t>
      </w:r>
      <w:r>
        <w:t>/CW36</w:t>
      </w:r>
      <w:r w:rsidRPr="00C82D65">
        <w:t xml:space="preserve">, but also during carriage. </w:t>
      </w:r>
    </w:p>
    <w:p w:rsidR="00065781" w:rsidRDefault="00065781" w:rsidP="00065781">
      <w:pPr>
        <w:pStyle w:val="SingleTxtG"/>
      </w:pPr>
      <w:r>
        <w:t>4.</w:t>
      </w:r>
      <w:r>
        <w:tab/>
      </w:r>
      <w:r w:rsidRPr="00C82D65">
        <w:t>In ADR</w:t>
      </w:r>
      <w:r>
        <w:t>/RID</w:t>
      </w:r>
      <w:r w:rsidRPr="00C82D65">
        <w:t xml:space="preserve"> 2017, provisions were introduced in 5.5.3.3.3 to ensure the safety of the driver during carriage of loads containing asphyxiant. </w:t>
      </w:r>
      <w:r w:rsidRPr="001A2E7C">
        <w:t xml:space="preserve">They prescribe a separation of the </w:t>
      </w:r>
      <w:r w:rsidRPr="001A2E7C">
        <w:lastRenderedPageBreak/>
        <w:t xml:space="preserve">compartments accessible during transport from the compartments of loading when the latter are not </w:t>
      </w:r>
      <w:r>
        <w:t>ventilated.</w:t>
      </w:r>
    </w:p>
    <w:p w:rsidR="00065781" w:rsidRPr="00C82D65" w:rsidRDefault="00065781" w:rsidP="00065781">
      <w:pPr>
        <w:pStyle w:val="SingleTxtG"/>
      </w:pPr>
      <w:r>
        <w:t>5</w:t>
      </w:r>
      <w:r w:rsidRPr="00C82D65">
        <w:t>.</w:t>
      </w:r>
      <w:r w:rsidRPr="00C82D65">
        <w:tab/>
        <w:t>Given that these safety issues also arise in respect of the provisions of CV36</w:t>
      </w:r>
      <w:r>
        <w:t>/CW36</w:t>
      </w:r>
      <w:r w:rsidRPr="00C82D65">
        <w:t xml:space="preserve">, it would be useful to adopt </w:t>
      </w:r>
      <w:r>
        <w:t>similar</w:t>
      </w:r>
      <w:r w:rsidRPr="00C82D65">
        <w:t xml:space="preserve"> provisions as in 5.5.3.3.3. </w:t>
      </w:r>
    </w:p>
    <w:p w:rsidR="00065781" w:rsidRPr="00C82D65" w:rsidRDefault="00065781" w:rsidP="00065781">
      <w:pPr>
        <w:pStyle w:val="HChG"/>
      </w:pPr>
      <w:r>
        <w:tab/>
      </w:r>
      <w:r>
        <w:tab/>
      </w:r>
      <w:r w:rsidRPr="00C82D65">
        <w:t>Proposal 1</w:t>
      </w:r>
    </w:p>
    <w:p w:rsidR="00065781" w:rsidRPr="00C82D65" w:rsidRDefault="00065781" w:rsidP="00065781">
      <w:pPr>
        <w:pStyle w:val="SingleTxtG"/>
      </w:pPr>
      <w:r>
        <w:t>6</w:t>
      </w:r>
      <w:r w:rsidRPr="00C82D65">
        <w:t>.</w:t>
      </w:r>
      <w:r w:rsidRPr="00C82D65">
        <w:tab/>
        <w:t xml:space="preserve">Amend additional provision CV36 of 7.5.11 as follows (new text underlined in bold): </w:t>
      </w:r>
    </w:p>
    <w:p w:rsidR="00065781" w:rsidRPr="00C82D65" w:rsidRDefault="00065781" w:rsidP="00065781">
      <w:pPr>
        <w:pStyle w:val="SingleTxtG"/>
      </w:pPr>
      <w:r>
        <w:t>“</w:t>
      </w:r>
      <w:r w:rsidRPr="00C82D65">
        <w:t>CV36</w:t>
      </w:r>
      <w:r>
        <w:tab/>
      </w:r>
      <w:r w:rsidRPr="00C82D65">
        <w:tab/>
        <w:t>Packages shall preferably be loaded in open or ventilated vehicles or open or ventilated containers. If this is not feasible and packages are carried in other closed vehicles or containers</w:t>
      </w:r>
      <w:r w:rsidRPr="00040036">
        <w:rPr>
          <w:b/>
          <w:u w:val="single"/>
        </w:rPr>
        <w:t>,</w:t>
      </w:r>
      <w:r>
        <w:rPr>
          <w:b/>
          <w:u w:val="single"/>
        </w:rPr>
        <w:t xml:space="preserve"> g</w:t>
      </w:r>
      <w:r w:rsidRPr="00040036">
        <w:rPr>
          <w:b/>
          <w:u w:val="single"/>
        </w:rPr>
        <w:t>as exchange between the load compartment and the driver’s cab shall be prevented; and</w:t>
      </w:r>
      <w:r>
        <w:rPr>
          <w:b/>
          <w:u w:val="single"/>
        </w:rPr>
        <w:t xml:space="preserve"> t</w:t>
      </w:r>
      <w:r w:rsidRPr="00C82D65">
        <w:t>he cargo doors of the vehicles or containers shall be marked with the following in letters not less than 25 mm high:</w:t>
      </w:r>
    </w:p>
    <w:p w:rsidR="00065781" w:rsidRPr="00C82D65" w:rsidRDefault="00065781" w:rsidP="00065781">
      <w:pPr>
        <w:pStyle w:val="SingleTxtG"/>
        <w:spacing w:after="0"/>
      </w:pPr>
      <w:r>
        <w:t>‘</w:t>
      </w:r>
      <w:r w:rsidRPr="00C82D65">
        <w:t>WARNING</w:t>
      </w:r>
    </w:p>
    <w:p w:rsidR="00065781" w:rsidRPr="00C82D65" w:rsidRDefault="00065781" w:rsidP="00065781">
      <w:pPr>
        <w:pStyle w:val="SingleTxtG"/>
        <w:spacing w:after="0"/>
      </w:pPr>
      <w:r w:rsidRPr="00C82D65">
        <w:t>CLOSED MEANS OF CONTAINMENT</w:t>
      </w:r>
    </w:p>
    <w:p w:rsidR="00065781" w:rsidRPr="00C82D65" w:rsidRDefault="00065781" w:rsidP="00065781">
      <w:pPr>
        <w:pStyle w:val="SingleTxtG"/>
        <w:spacing w:after="0"/>
      </w:pPr>
      <w:r w:rsidRPr="00C82D65">
        <w:t>OPEN WITH CAUTION</w:t>
      </w:r>
      <w:r>
        <w:t>’</w:t>
      </w:r>
    </w:p>
    <w:p w:rsidR="00065781" w:rsidRPr="00C82D65" w:rsidRDefault="00065781" w:rsidP="00065781">
      <w:pPr>
        <w:pStyle w:val="SingleTxtG"/>
        <w:spacing w:before="120"/>
      </w:pPr>
      <w:r>
        <w:t>T</w:t>
      </w:r>
      <w:r w:rsidRPr="00C82D65">
        <w:t>his shall be in a language considered appropriate by the consignor.</w:t>
      </w:r>
      <w:r>
        <w:t>”</w:t>
      </w:r>
    </w:p>
    <w:p w:rsidR="00065781" w:rsidRPr="00C82D65" w:rsidRDefault="00065781" w:rsidP="00065781">
      <w:pPr>
        <w:pStyle w:val="HChG"/>
      </w:pPr>
      <w:r>
        <w:br w:type="page"/>
      </w:r>
      <w:r w:rsidRPr="00C82D65">
        <w:lastRenderedPageBreak/>
        <w:t>Annex</w:t>
      </w:r>
    </w:p>
    <w:p w:rsidR="00065781" w:rsidRPr="00C82D65" w:rsidRDefault="00065781" w:rsidP="00065781">
      <w:pPr>
        <w:pStyle w:val="SingleTxtG"/>
      </w:pPr>
      <w:r w:rsidRPr="00C82D65">
        <w:rPr>
          <w:noProof/>
          <w:lang w:val="en-US"/>
        </w:rPr>
        <w:drawing>
          <wp:inline distT="0" distB="0" distL="0" distR="0" wp14:anchorId="784D399F" wp14:editId="45A88E6F">
            <wp:extent cx="4800000" cy="299047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0000" cy="2990476"/>
                    </a:xfrm>
                    <a:prstGeom prst="rect">
                      <a:avLst/>
                    </a:prstGeom>
                  </pic:spPr>
                </pic:pic>
              </a:graphicData>
            </a:graphic>
          </wp:inline>
        </w:drawing>
      </w:r>
    </w:p>
    <w:p w:rsidR="00065781" w:rsidRPr="00C82D65" w:rsidRDefault="00065781" w:rsidP="00065781">
      <w:pPr>
        <w:pStyle w:val="SingleTxtG"/>
      </w:pPr>
      <w:r w:rsidRPr="00C82D65">
        <w:rPr>
          <w:noProof/>
          <w:lang w:val="en-US"/>
        </w:rPr>
        <w:drawing>
          <wp:inline distT="0" distB="0" distL="0" distR="0" wp14:anchorId="6E6D13F6" wp14:editId="69A3A3D3">
            <wp:extent cx="4771390" cy="3496115"/>
            <wp:effectExtent l="0" t="0" r="0"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3233" cy="3497465"/>
                    </a:xfrm>
                    <a:prstGeom prst="rect">
                      <a:avLst/>
                    </a:prstGeom>
                  </pic:spPr>
                </pic:pic>
              </a:graphicData>
            </a:graphic>
          </wp:inline>
        </w:drawing>
      </w:r>
    </w:p>
    <w:p w:rsidR="00B61156" w:rsidRPr="00B61156" w:rsidRDefault="00B61156" w:rsidP="00B61156">
      <w:pPr>
        <w:pStyle w:val="SingleTxtG"/>
        <w:spacing w:before="240" w:after="0"/>
        <w:jc w:val="center"/>
        <w:rPr>
          <w:b/>
          <w:u w:val="single"/>
        </w:rPr>
      </w:pPr>
      <w:r>
        <w:rPr>
          <w:b/>
          <w:u w:val="single"/>
        </w:rPr>
        <w:tab/>
      </w:r>
      <w:r>
        <w:rPr>
          <w:b/>
          <w:u w:val="single"/>
        </w:rPr>
        <w:tab/>
      </w:r>
      <w:r>
        <w:rPr>
          <w:b/>
          <w:u w:val="single"/>
        </w:rPr>
        <w:tab/>
      </w:r>
    </w:p>
    <w:sectPr w:rsidR="00B61156" w:rsidRPr="00B61156" w:rsidSect="00306201">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A6" w:rsidRDefault="00D16BA6"/>
  </w:endnote>
  <w:endnote w:type="continuationSeparator" w:id="0">
    <w:p w:rsidR="00D16BA6" w:rsidRDefault="00D16BA6"/>
  </w:endnote>
  <w:endnote w:type="continuationNotice" w:id="1">
    <w:p w:rsidR="00D16BA6" w:rsidRDefault="00D1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299272376"/>
      <w:docPartObj>
        <w:docPartGallery w:val="Page Numbers (Bottom of Page)"/>
        <w:docPartUnique/>
      </w:docPartObj>
    </w:sdtPr>
    <w:sdtEndPr/>
    <w:sdtContent>
      <w:p w:rsidR="00E7636C" w:rsidRPr="00E762DB" w:rsidRDefault="00E7636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65591D">
          <w:rPr>
            <w:b/>
            <w:noProof/>
            <w:sz w:val="18"/>
            <w:szCs w:val="18"/>
          </w:rPr>
          <w:t>2</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A6" w:rsidRPr="000B175B" w:rsidRDefault="00D16BA6" w:rsidP="000B175B">
      <w:pPr>
        <w:tabs>
          <w:tab w:val="right" w:pos="2155"/>
        </w:tabs>
        <w:spacing w:after="80"/>
        <w:ind w:left="680"/>
        <w:rPr>
          <w:u w:val="single"/>
        </w:rPr>
      </w:pPr>
      <w:r>
        <w:rPr>
          <w:u w:val="single"/>
        </w:rPr>
        <w:tab/>
      </w:r>
    </w:p>
  </w:footnote>
  <w:footnote w:type="continuationSeparator" w:id="0">
    <w:p w:rsidR="00D16BA6" w:rsidRPr="00FC68B7" w:rsidRDefault="00D16BA6" w:rsidP="00FC68B7">
      <w:pPr>
        <w:tabs>
          <w:tab w:val="left" w:pos="2155"/>
        </w:tabs>
        <w:spacing w:after="80"/>
        <w:ind w:left="680"/>
        <w:rPr>
          <w:u w:val="single"/>
        </w:rPr>
      </w:pPr>
      <w:r>
        <w:rPr>
          <w:u w:val="single"/>
        </w:rPr>
        <w:tab/>
      </w:r>
    </w:p>
  </w:footnote>
  <w:footnote w:type="continuationNotice" w:id="1">
    <w:p w:rsidR="00D16BA6" w:rsidRDefault="00D16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40519E" w:rsidRDefault="00065781" w:rsidP="0040519E">
    <w:pPr>
      <w:pStyle w:val="Header"/>
      <w:rPr>
        <w:szCs w:val="18"/>
      </w:rPr>
    </w:pPr>
    <w:r>
      <w:t>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40519E" w:rsidRDefault="00E7636C" w:rsidP="0040519E">
    <w:pPr>
      <w:pStyle w:val="Header"/>
      <w:jc w:val="right"/>
      <w:rPr>
        <w:szCs w:val="18"/>
      </w:rPr>
    </w:pPr>
    <w:r>
      <w:t>INF.</w:t>
    </w:r>
    <w:r w:rsidR="00065781">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65781"/>
    <w:rsid w:val="00072972"/>
    <w:rsid w:val="00072A81"/>
    <w:rsid w:val="00072C8C"/>
    <w:rsid w:val="000733B5"/>
    <w:rsid w:val="00081815"/>
    <w:rsid w:val="00084D60"/>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47D3"/>
    <w:rsid w:val="000E0415"/>
    <w:rsid w:val="000F1CDD"/>
    <w:rsid w:val="0010391C"/>
    <w:rsid w:val="00104CDA"/>
    <w:rsid w:val="00105792"/>
    <w:rsid w:val="001060E7"/>
    <w:rsid w:val="001103AA"/>
    <w:rsid w:val="0011666B"/>
    <w:rsid w:val="001171F3"/>
    <w:rsid w:val="00122472"/>
    <w:rsid w:val="00125117"/>
    <w:rsid w:val="00145A8E"/>
    <w:rsid w:val="00155068"/>
    <w:rsid w:val="00165F3A"/>
    <w:rsid w:val="0017344C"/>
    <w:rsid w:val="00180B0D"/>
    <w:rsid w:val="00180F8C"/>
    <w:rsid w:val="001847D2"/>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2E3E"/>
    <w:rsid w:val="00203753"/>
    <w:rsid w:val="002102FF"/>
    <w:rsid w:val="0021114C"/>
    <w:rsid w:val="0021157B"/>
    <w:rsid w:val="00211E0B"/>
    <w:rsid w:val="0024023A"/>
    <w:rsid w:val="00243217"/>
    <w:rsid w:val="00252290"/>
    <w:rsid w:val="0025326C"/>
    <w:rsid w:val="0026060C"/>
    <w:rsid w:val="00267F5F"/>
    <w:rsid w:val="00286B4D"/>
    <w:rsid w:val="002A3C85"/>
    <w:rsid w:val="002A50EA"/>
    <w:rsid w:val="002A603B"/>
    <w:rsid w:val="002D4643"/>
    <w:rsid w:val="002D4B6C"/>
    <w:rsid w:val="002E6DA8"/>
    <w:rsid w:val="002F1471"/>
    <w:rsid w:val="002F175C"/>
    <w:rsid w:val="002F1DF0"/>
    <w:rsid w:val="00302E18"/>
    <w:rsid w:val="003050A4"/>
    <w:rsid w:val="0030606F"/>
    <w:rsid w:val="00306201"/>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04E9"/>
    <w:rsid w:val="003C2CC4"/>
    <w:rsid w:val="003C3DDB"/>
    <w:rsid w:val="003D4B23"/>
    <w:rsid w:val="0040519E"/>
    <w:rsid w:val="00410C89"/>
    <w:rsid w:val="00421B73"/>
    <w:rsid w:val="00422E03"/>
    <w:rsid w:val="00426B9B"/>
    <w:rsid w:val="004325CB"/>
    <w:rsid w:val="004356D2"/>
    <w:rsid w:val="004401CD"/>
    <w:rsid w:val="00442A83"/>
    <w:rsid w:val="00446782"/>
    <w:rsid w:val="00450287"/>
    <w:rsid w:val="0045495B"/>
    <w:rsid w:val="00461D82"/>
    <w:rsid w:val="0046311B"/>
    <w:rsid w:val="00464C81"/>
    <w:rsid w:val="00465F5B"/>
    <w:rsid w:val="0048397A"/>
    <w:rsid w:val="00490B0A"/>
    <w:rsid w:val="004975C1"/>
    <w:rsid w:val="004A12F2"/>
    <w:rsid w:val="004A28A3"/>
    <w:rsid w:val="004B574B"/>
    <w:rsid w:val="004C2461"/>
    <w:rsid w:val="004C308E"/>
    <w:rsid w:val="004C7462"/>
    <w:rsid w:val="004D142D"/>
    <w:rsid w:val="004D4E04"/>
    <w:rsid w:val="004D5426"/>
    <w:rsid w:val="004E0C05"/>
    <w:rsid w:val="004E77B2"/>
    <w:rsid w:val="00503DEB"/>
    <w:rsid w:val="00504B2D"/>
    <w:rsid w:val="00507993"/>
    <w:rsid w:val="0051064F"/>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D687F"/>
    <w:rsid w:val="005E6A77"/>
    <w:rsid w:val="005F7B75"/>
    <w:rsid w:val="006001EE"/>
    <w:rsid w:val="00605042"/>
    <w:rsid w:val="00611FC4"/>
    <w:rsid w:val="006176FB"/>
    <w:rsid w:val="00630BAF"/>
    <w:rsid w:val="00640B26"/>
    <w:rsid w:val="00652D0A"/>
    <w:rsid w:val="0065591D"/>
    <w:rsid w:val="006623D5"/>
    <w:rsid w:val="00662BB6"/>
    <w:rsid w:val="00667F8F"/>
    <w:rsid w:val="006741F1"/>
    <w:rsid w:val="0068117E"/>
    <w:rsid w:val="00684C21"/>
    <w:rsid w:val="00690828"/>
    <w:rsid w:val="006A2530"/>
    <w:rsid w:val="006B1C12"/>
    <w:rsid w:val="006B2F0C"/>
    <w:rsid w:val="006C30F2"/>
    <w:rsid w:val="006C3589"/>
    <w:rsid w:val="006D37AF"/>
    <w:rsid w:val="006D51D0"/>
    <w:rsid w:val="006E5117"/>
    <w:rsid w:val="006E564B"/>
    <w:rsid w:val="006E7191"/>
    <w:rsid w:val="006F1CEC"/>
    <w:rsid w:val="00701A34"/>
    <w:rsid w:val="00703577"/>
    <w:rsid w:val="00705894"/>
    <w:rsid w:val="0072632A"/>
    <w:rsid w:val="007327D5"/>
    <w:rsid w:val="007416DF"/>
    <w:rsid w:val="007611CF"/>
    <w:rsid w:val="00761787"/>
    <w:rsid w:val="007629C8"/>
    <w:rsid w:val="00764668"/>
    <w:rsid w:val="0077047D"/>
    <w:rsid w:val="00774AF7"/>
    <w:rsid w:val="00776430"/>
    <w:rsid w:val="00797575"/>
    <w:rsid w:val="00797E38"/>
    <w:rsid w:val="007B27F1"/>
    <w:rsid w:val="007B6278"/>
    <w:rsid w:val="007B6BA5"/>
    <w:rsid w:val="007C32F0"/>
    <w:rsid w:val="007C3390"/>
    <w:rsid w:val="007C4F4B"/>
    <w:rsid w:val="007E01E9"/>
    <w:rsid w:val="007E19C9"/>
    <w:rsid w:val="007E63F3"/>
    <w:rsid w:val="007F1F2D"/>
    <w:rsid w:val="007F6611"/>
    <w:rsid w:val="007F7106"/>
    <w:rsid w:val="007F7A86"/>
    <w:rsid w:val="0080046E"/>
    <w:rsid w:val="008005E9"/>
    <w:rsid w:val="008055C9"/>
    <w:rsid w:val="008116D7"/>
    <w:rsid w:val="00811920"/>
    <w:rsid w:val="00815AD0"/>
    <w:rsid w:val="008242D7"/>
    <w:rsid w:val="008257B1"/>
    <w:rsid w:val="00826C3D"/>
    <w:rsid w:val="00835C91"/>
    <w:rsid w:val="00843767"/>
    <w:rsid w:val="008465D9"/>
    <w:rsid w:val="00854501"/>
    <w:rsid w:val="00856263"/>
    <w:rsid w:val="008679D9"/>
    <w:rsid w:val="00871389"/>
    <w:rsid w:val="00880848"/>
    <w:rsid w:val="00883999"/>
    <w:rsid w:val="00887652"/>
    <w:rsid w:val="008878DE"/>
    <w:rsid w:val="0089185A"/>
    <w:rsid w:val="008933C9"/>
    <w:rsid w:val="008979B1"/>
    <w:rsid w:val="008A0EF8"/>
    <w:rsid w:val="008A24D4"/>
    <w:rsid w:val="008A253A"/>
    <w:rsid w:val="008A6B25"/>
    <w:rsid w:val="008A6C4F"/>
    <w:rsid w:val="008A7B69"/>
    <w:rsid w:val="008B2335"/>
    <w:rsid w:val="008C7DAF"/>
    <w:rsid w:val="008E0678"/>
    <w:rsid w:val="008E0DAA"/>
    <w:rsid w:val="008E4D3A"/>
    <w:rsid w:val="00914CB9"/>
    <w:rsid w:val="009223CA"/>
    <w:rsid w:val="00924790"/>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C4F8D"/>
    <w:rsid w:val="009D2A5B"/>
    <w:rsid w:val="009E1D8E"/>
    <w:rsid w:val="009F2B9A"/>
    <w:rsid w:val="00A00A3F"/>
    <w:rsid w:val="00A01489"/>
    <w:rsid w:val="00A04A9D"/>
    <w:rsid w:val="00A071BF"/>
    <w:rsid w:val="00A3009E"/>
    <w:rsid w:val="00A3026E"/>
    <w:rsid w:val="00A338F1"/>
    <w:rsid w:val="00A55B4D"/>
    <w:rsid w:val="00A72F22"/>
    <w:rsid w:val="00A73385"/>
    <w:rsid w:val="00A7360F"/>
    <w:rsid w:val="00A748A6"/>
    <w:rsid w:val="00A749DD"/>
    <w:rsid w:val="00A769F4"/>
    <w:rsid w:val="00A776B4"/>
    <w:rsid w:val="00A94361"/>
    <w:rsid w:val="00AA293C"/>
    <w:rsid w:val="00AA66C0"/>
    <w:rsid w:val="00AC1BD9"/>
    <w:rsid w:val="00AD44C2"/>
    <w:rsid w:val="00AD48FA"/>
    <w:rsid w:val="00AE5BC4"/>
    <w:rsid w:val="00B06A97"/>
    <w:rsid w:val="00B11BB4"/>
    <w:rsid w:val="00B17311"/>
    <w:rsid w:val="00B22BC2"/>
    <w:rsid w:val="00B30179"/>
    <w:rsid w:val="00B36690"/>
    <w:rsid w:val="00B421C1"/>
    <w:rsid w:val="00B54EB4"/>
    <w:rsid w:val="00B55C71"/>
    <w:rsid w:val="00B56E4A"/>
    <w:rsid w:val="00B56E9C"/>
    <w:rsid w:val="00B61156"/>
    <w:rsid w:val="00B61320"/>
    <w:rsid w:val="00B61BB6"/>
    <w:rsid w:val="00B64B1F"/>
    <w:rsid w:val="00B6553F"/>
    <w:rsid w:val="00B70F1E"/>
    <w:rsid w:val="00B77D05"/>
    <w:rsid w:val="00B81206"/>
    <w:rsid w:val="00B81E12"/>
    <w:rsid w:val="00B824F2"/>
    <w:rsid w:val="00BA2681"/>
    <w:rsid w:val="00BA639E"/>
    <w:rsid w:val="00BB45BD"/>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747A1"/>
    <w:rsid w:val="00CB2088"/>
    <w:rsid w:val="00CB3E03"/>
    <w:rsid w:val="00CC6149"/>
    <w:rsid w:val="00CD57D2"/>
    <w:rsid w:val="00CE4A8F"/>
    <w:rsid w:val="00CF0C03"/>
    <w:rsid w:val="00D00610"/>
    <w:rsid w:val="00D139AC"/>
    <w:rsid w:val="00D16BA6"/>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343FF"/>
    <w:rsid w:val="00E64224"/>
    <w:rsid w:val="00E71BC8"/>
    <w:rsid w:val="00E7260F"/>
    <w:rsid w:val="00E73F5D"/>
    <w:rsid w:val="00E762DB"/>
    <w:rsid w:val="00E7636C"/>
    <w:rsid w:val="00E77342"/>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1D8A"/>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259EFD"/>
  <w15:docId w15:val="{A5EF34C5-50D7-4E50-99B4-8FFDBA6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9185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qFormat/>
    <w:rsid w:val="007B6BA5"/>
    <w:rPr>
      <w:rFonts w:ascii="Times New Roman" w:hAnsi="Times New Roman" w:cs="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76F81CB9F7F45A84C1B0FFA26382D" ma:contentTypeVersion="0" ma:contentTypeDescription="Crée un document." ma:contentTypeScope="" ma:versionID="ffdc755366c48308652e4518f74763a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53B8-30E7-4965-95D7-8487A36B53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BF469A-113F-4659-9174-39ED48D1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C74251-0CCD-4142-BD2A-948D4711095A}">
  <ds:schemaRefs>
    <ds:schemaRef ds:uri="http://schemas.microsoft.com/sharepoint/v3/contenttype/forms"/>
  </ds:schemaRefs>
</ds:datastoreItem>
</file>

<file path=customXml/itemProps4.xml><?xml version="1.0" encoding="utf-8"?>
<ds:datastoreItem xmlns:ds="http://schemas.openxmlformats.org/officeDocument/2006/customXml" ds:itemID="{E5091ACD-D22E-4B09-A9A4-BCF711C0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463</Words>
  <Characters>2568</Characters>
  <Application>Microsoft Office Word</Application>
  <DocSecurity>0</DocSecurity>
  <Lines>62</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roland.meister@sbb.ch</dc:creator>
  <cp:keywords>ECE/TRANS/WP.15/AC.1/2012/8</cp:keywords>
  <dc:description>Final</dc:description>
  <cp:lastModifiedBy>Christine Barrio-Champeau</cp:lastModifiedBy>
  <cp:revision>5</cp:revision>
  <cp:lastPrinted>2018-02-21T14:51:00Z</cp:lastPrinted>
  <dcterms:created xsi:type="dcterms:W3CDTF">2018-02-21T14:24:00Z</dcterms:created>
  <dcterms:modified xsi:type="dcterms:W3CDTF">2018-02-21T14:51:00Z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0x0101005AA76F81CB9F7F45A84C1B0FFA26382D</vt:lpwstr>
  </property>
</Properties>
</file>