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815016">
            <w:pPr>
              <w:suppressAutoHyphens w:val="0"/>
              <w:spacing w:after="20"/>
              <w:jc w:val="right"/>
              <w:rPr>
                <w:b/>
                <w:sz w:val="24"/>
                <w:szCs w:val="24"/>
              </w:rPr>
            </w:pPr>
            <w:r w:rsidRPr="000C4DDA">
              <w:rPr>
                <w:b/>
                <w:sz w:val="24"/>
                <w:szCs w:val="24"/>
              </w:rPr>
              <w:t>INF.</w:t>
            </w:r>
            <w:r w:rsidR="000C4DDA">
              <w:rPr>
                <w:b/>
                <w:sz w:val="24"/>
                <w:szCs w:val="24"/>
              </w:rPr>
              <w:t>1</w:t>
            </w:r>
            <w:r w:rsidR="00A90566">
              <w:rPr>
                <w:b/>
                <w:sz w:val="24"/>
                <w:szCs w:val="24"/>
              </w:rPr>
              <w:t>2</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A90566">
        <w:rPr>
          <w:b/>
        </w:rPr>
        <w:t>12</w:t>
      </w:r>
      <w:r w:rsidR="001E0D94">
        <w:rPr>
          <w:b/>
        </w:rPr>
        <w:t xml:space="preserve"> </w:t>
      </w:r>
      <w:r w:rsidR="00AD6720">
        <w:rPr>
          <w:b/>
        </w:rPr>
        <w:t>February</w:t>
      </w:r>
      <w:r w:rsidR="00815016">
        <w:rPr>
          <w:b/>
        </w:rPr>
        <w:t xml:space="preserve"> </w:t>
      </w:r>
      <w:r w:rsidR="001E0D94">
        <w:rPr>
          <w:b/>
        </w:rPr>
        <w:t>201</w:t>
      </w:r>
      <w:r w:rsidR="00AD6720">
        <w:rPr>
          <w:b/>
        </w:rPr>
        <w:t>8</w:t>
      </w:r>
    </w:p>
    <w:p w:rsidR="009D2A5B" w:rsidRDefault="00BB7CD1" w:rsidP="00BB7CD1">
      <w:r>
        <w:t xml:space="preserve">Bern, </w:t>
      </w:r>
      <w:r w:rsidR="00D65303" w:rsidRPr="00AD6720">
        <w:t>1</w:t>
      </w:r>
      <w:r w:rsidR="00AD6720">
        <w:t>2</w:t>
      </w:r>
      <w:r w:rsidRPr="00AD6720">
        <w:t>–</w:t>
      </w:r>
      <w:r w:rsidR="00D65303" w:rsidRPr="00AD6720">
        <w:t>1</w:t>
      </w:r>
      <w:r w:rsidR="00AD6720">
        <w:t>6</w:t>
      </w:r>
      <w:r w:rsidR="00F66565">
        <w:t xml:space="preserve"> </w:t>
      </w:r>
      <w:r>
        <w:t>March 201</w:t>
      </w:r>
      <w:r w:rsidR="00FD3C56">
        <w:t>8</w:t>
      </w:r>
    </w:p>
    <w:p w:rsidR="00A90566" w:rsidRPr="008D1F25" w:rsidRDefault="00A90566" w:rsidP="00A90566">
      <w:r w:rsidRPr="008D1F25">
        <w:t>Item 5</w:t>
      </w:r>
      <w:r>
        <w:t xml:space="preserve"> (b</w:t>
      </w:r>
      <w:r w:rsidRPr="008D1F25">
        <w:t>) of the provisional agenda</w:t>
      </w:r>
    </w:p>
    <w:p w:rsidR="00A90566" w:rsidRPr="0079294F" w:rsidRDefault="00A90566" w:rsidP="00A90566">
      <w:pPr>
        <w:rPr>
          <w:b/>
          <w:bCs/>
        </w:rPr>
      </w:pPr>
      <w:r w:rsidRPr="0079294F">
        <w:rPr>
          <w:b/>
          <w:bCs/>
        </w:rPr>
        <w:t>Proposals for amendments to RID/ADR/ADN:</w:t>
      </w:r>
    </w:p>
    <w:p w:rsidR="00BB7CD1" w:rsidRPr="00BB7CD1" w:rsidRDefault="00A90566" w:rsidP="00A90566">
      <w:pPr>
        <w:rPr>
          <w:b/>
        </w:rPr>
      </w:pPr>
      <w:r>
        <w:rPr>
          <w:b/>
          <w:bCs/>
        </w:rPr>
        <w:t>new proposals</w:t>
      </w:r>
    </w:p>
    <w:p w:rsidR="005A2EEB" w:rsidRDefault="000C4DDA" w:rsidP="005A2EEB">
      <w:pPr>
        <w:pStyle w:val="HChG"/>
        <w:keepNext w:val="0"/>
        <w:keepLines w:val="0"/>
        <w:rPr>
          <w:b w:val="0"/>
          <w:sz w:val="18"/>
          <w:szCs w:val="18"/>
        </w:rPr>
      </w:pPr>
      <w:r>
        <w:tab/>
      </w:r>
      <w:r>
        <w:tab/>
      </w:r>
      <w:r w:rsidR="00A90566" w:rsidRPr="001F2F98">
        <w:rPr>
          <w:rFonts w:cs="Arial"/>
          <w:bCs/>
          <w:lang w:val="en-US" w:eastAsia="ru-RU"/>
        </w:rPr>
        <w:t>Proposal for an adjustment</w:t>
      </w:r>
      <w:r w:rsidR="00A90566" w:rsidRPr="001F2F98">
        <w:rPr>
          <w:szCs w:val="28"/>
          <w:lang w:val="en-US" w:eastAsia="ru-RU"/>
        </w:rPr>
        <w:t> </w:t>
      </w:r>
      <w:r w:rsidR="00071F0B">
        <w:rPr>
          <w:szCs w:val="28"/>
          <w:lang w:val="en-US" w:eastAsia="ru-RU"/>
        </w:rPr>
        <w:t xml:space="preserve">in </w:t>
      </w:r>
      <w:r w:rsidR="00A90566" w:rsidRPr="001F2F98">
        <w:rPr>
          <w:rFonts w:cs="Arial"/>
          <w:bCs/>
          <w:lang w:val="en-US" w:eastAsia="ru-RU"/>
        </w:rPr>
        <w:t>Chapter</w:t>
      </w:r>
      <w:r w:rsidR="00A90566" w:rsidRPr="001F2F98">
        <w:rPr>
          <w:lang w:val="en-US" w:eastAsia="ru-RU"/>
        </w:rPr>
        <w:t> </w:t>
      </w:r>
      <w:r w:rsidR="00A90566" w:rsidRPr="001F2F98">
        <w:rPr>
          <w:rFonts w:cs="Arial"/>
          <w:bCs/>
          <w:lang w:val="en-US" w:eastAsia="ru-RU"/>
        </w:rPr>
        <w:t>6.2</w:t>
      </w:r>
      <w:r w:rsidR="00A90566" w:rsidRPr="001F2F98">
        <w:rPr>
          <w:lang w:val="en-US" w:eastAsia="ru-RU"/>
        </w:rPr>
        <w:t> </w:t>
      </w:r>
      <w:r w:rsidR="00A90566" w:rsidRPr="001F2F98">
        <w:rPr>
          <w:rFonts w:cs="Arial"/>
          <w:bCs/>
          <w:lang w:val="en-US" w:eastAsia="ru-RU"/>
        </w:rPr>
        <w:t>of RID</w:t>
      </w:r>
      <w:r w:rsidR="00071F0B">
        <w:rPr>
          <w:rFonts w:cs="Arial"/>
          <w:bCs/>
          <w:lang w:val="en-US" w:eastAsia="ru-RU"/>
        </w:rPr>
        <w:t>/ADR/ADN</w:t>
      </w:r>
      <w:bookmarkStart w:id="0" w:name="_GoBack"/>
      <w:bookmarkEnd w:id="0"/>
    </w:p>
    <w:p w:rsidR="005A2EEB" w:rsidRPr="00DE1D53" w:rsidRDefault="005A2EEB" w:rsidP="005A2EEB">
      <w:pPr>
        <w:pStyle w:val="H1G"/>
        <w:keepNext w:val="0"/>
        <w:keepLines w:val="0"/>
        <w:rPr>
          <w:b w:val="0"/>
          <w:sz w:val="20"/>
        </w:rPr>
      </w:pPr>
      <w:r>
        <w:tab/>
      </w:r>
      <w:r>
        <w:tab/>
      </w:r>
      <w:r w:rsidRPr="007C7BC4">
        <w:t xml:space="preserve">Transmitted by the Government of </w:t>
      </w:r>
      <w:r w:rsidR="00071F0B">
        <w:t xml:space="preserve">the </w:t>
      </w:r>
      <w:r w:rsidR="00A90566">
        <w:t>Russian Federation</w:t>
      </w:r>
    </w:p>
    <w:p w:rsidR="00A90566" w:rsidRPr="001F2F98" w:rsidRDefault="00A90566" w:rsidP="00A90566">
      <w:pPr>
        <w:pStyle w:val="HChG"/>
        <w:keepNext w:val="0"/>
        <w:keepLines w:val="0"/>
        <w:rPr>
          <w:sz w:val="27"/>
          <w:szCs w:val="27"/>
          <w:lang w:eastAsia="ru-RU"/>
        </w:rPr>
      </w:pPr>
      <w:r>
        <w:rPr>
          <w:lang w:eastAsia="ru-RU"/>
        </w:rPr>
        <w:tab/>
      </w:r>
      <w:r>
        <w:rPr>
          <w:lang w:eastAsia="ru-RU"/>
        </w:rPr>
        <w:tab/>
      </w:r>
      <w:r w:rsidRPr="001F2F98">
        <w:rPr>
          <w:lang w:eastAsia="ru-RU"/>
        </w:rPr>
        <w:t>Introduction</w:t>
      </w:r>
    </w:p>
    <w:p w:rsidR="00A90566" w:rsidRDefault="00071F0B" w:rsidP="00A90566">
      <w:pPr>
        <w:pStyle w:val="SingleTxtG"/>
        <w:rPr>
          <w:lang w:eastAsia="ru-RU"/>
        </w:rPr>
      </w:pPr>
      <w:r>
        <w:rPr>
          <w:lang w:eastAsia="ru-RU"/>
        </w:rPr>
        <w:tab/>
      </w:r>
      <w:r>
        <w:rPr>
          <w:lang w:val="fr-CH" w:eastAsia="ru-RU"/>
        </w:rPr>
        <w:t>1.</w:t>
      </w:r>
      <w:r>
        <w:rPr>
          <w:lang w:val="fr-CH" w:eastAsia="ru-RU"/>
        </w:rPr>
        <w:tab/>
      </w:r>
      <w:r w:rsidR="00A90566" w:rsidRPr="001F2F98">
        <w:rPr>
          <w:lang w:eastAsia="ru-RU"/>
        </w:rPr>
        <w:t>By revising</w:t>
      </w:r>
      <w:r w:rsidR="00A90566">
        <w:rPr>
          <w:lang w:val="fr-CH" w:eastAsia="ru-RU"/>
        </w:rPr>
        <w:t xml:space="preserve"> </w:t>
      </w:r>
      <w:r w:rsidR="00A90566" w:rsidRPr="001F2F98">
        <w:rPr>
          <w:lang w:eastAsia="ru-RU"/>
        </w:rPr>
        <w:t>RID</w:t>
      </w:r>
      <w:r w:rsidR="00A90566">
        <w:rPr>
          <w:lang w:eastAsia="ru-RU"/>
        </w:rPr>
        <w:t>/ADR/ADN</w:t>
      </w:r>
      <w:r w:rsidR="00A90566" w:rsidRPr="001F2F98">
        <w:rPr>
          <w:lang w:eastAsia="ru-RU"/>
        </w:rPr>
        <w:t xml:space="preserve"> rules as amended in 2017 specialists of the Russian Federation carried out monitoring of legal documents, which are referred to in </w:t>
      </w:r>
      <w:proofErr w:type="gramStart"/>
      <w:r w:rsidR="00A90566" w:rsidRPr="001F2F98">
        <w:rPr>
          <w:lang w:eastAsia="ru-RU"/>
        </w:rPr>
        <w:t>Chapter  6.2.</w:t>
      </w:r>
      <w:proofErr w:type="gramEnd"/>
      <w:r w:rsidR="00A90566" w:rsidRPr="001F2F98">
        <w:rPr>
          <w:lang w:eastAsia="ru-RU"/>
        </w:rPr>
        <w:t> The subsection 6.2.4.1 "</w:t>
      </w:r>
      <w:r w:rsidR="00A90566">
        <w:rPr>
          <w:lang w:eastAsia="ru-RU"/>
        </w:rPr>
        <w:t>Design, construction</w:t>
      </w:r>
      <w:r w:rsidR="00A90566" w:rsidRPr="001F2F98">
        <w:rPr>
          <w:lang w:eastAsia="ru-RU"/>
        </w:rPr>
        <w:t xml:space="preserve"> and initial inspection and test" says that </w:t>
      </w:r>
      <w:r w:rsidR="00A90566">
        <w:rPr>
          <w:lang w:eastAsia="ru-RU"/>
        </w:rPr>
        <w:t>t</w:t>
      </w:r>
      <w:r w:rsidR="00A90566" w:rsidRPr="001F2F98">
        <w:rPr>
          <w:lang w:eastAsia="ru-RU"/>
        </w:rPr>
        <w:t xml:space="preserve">he scope </w:t>
      </w:r>
      <w:r w:rsidR="00A90566">
        <w:rPr>
          <w:lang w:eastAsia="ru-RU"/>
        </w:rPr>
        <w:t xml:space="preserve">of application </w:t>
      </w:r>
      <w:r w:rsidR="00A90566" w:rsidRPr="001F2F98">
        <w:rPr>
          <w:lang w:eastAsia="ru-RU"/>
        </w:rPr>
        <w:t>of each standard is defined in the scope clause of th</w:t>
      </w:r>
      <w:r w:rsidR="00A90566">
        <w:rPr>
          <w:lang w:eastAsia="ru-RU"/>
        </w:rPr>
        <w:t>e standard</w:t>
      </w:r>
      <w:r w:rsidR="00A90566" w:rsidRPr="001F2F98">
        <w:rPr>
          <w:lang w:eastAsia="ru-RU"/>
        </w:rPr>
        <w:t xml:space="preserve"> unless otherwise specified in the table in 6.2.4.1. When this was discovered, the first 3 entries in subsection 6.2.4.1 table include references to the Directives of the European Council's on the approximation of the laws of the Member States relating to:</w:t>
      </w:r>
    </w:p>
    <w:p w:rsidR="00A90566" w:rsidRPr="001F2F98" w:rsidRDefault="00A90566" w:rsidP="00A90566">
      <w:pPr>
        <w:pStyle w:val="SingleTxtG"/>
        <w:rPr>
          <w:lang w:eastAsia="ru-RU"/>
        </w:rPr>
      </w:pPr>
      <w:r>
        <w:rPr>
          <w:lang w:eastAsia="ru-RU"/>
        </w:rPr>
        <w:tab/>
      </w:r>
      <w:r>
        <w:rPr>
          <w:lang w:eastAsia="ru-RU"/>
        </w:rPr>
        <w:tab/>
      </w:r>
      <w:r w:rsidRPr="001F2F98">
        <w:rPr>
          <w:lang w:eastAsia="ru-RU"/>
        </w:rPr>
        <w:t>-</w:t>
      </w:r>
      <w:r>
        <w:rPr>
          <w:lang w:eastAsia="ru-RU"/>
        </w:rPr>
        <w:tab/>
      </w:r>
      <w:r w:rsidRPr="001F2F98">
        <w:rPr>
          <w:lang w:eastAsia="ru-RU"/>
        </w:rPr>
        <w:t>seamless steel gas cylinders;</w:t>
      </w:r>
    </w:p>
    <w:p w:rsidR="00A90566" w:rsidRPr="00A90566" w:rsidRDefault="00A90566" w:rsidP="00A90566">
      <w:pPr>
        <w:pStyle w:val="SingleTxtG"/>
        <w:rPr>
          <w:lang w:val="fr-CH" w:eastAsia="ru-RU"/>
        </w:rPr>
      </w:pPr>
      <w:r>
        <w:rPr>
          <w:lang w:eastAsia="ru-RU"/>
        </w:rPr>
        <w:tab/>
      </w:r>
      <w:r>
        <w:rPr>
          <w:lang w:eastAsia="ru-RU"/>
        </w:rPr>
        <w:tab/>
      </w:r>
      <w:r w:rsidRPr="001F2F98">
        <w:rPr>
          <w:lang w:eastAsia="ru-RU"/>
        </w:rPr>
        <w:t>-</w:t>
      </w:r>
      <w:r>
        <w:rPr>
          <w:lang w:eastAsia="ru-RU"/>
        </w:rPr>
        <w:tab/>
      </w:r>
      <w:r w:rsidRPr="001F2F98">
        <w:rPr>
          <w:lang w:eastAsia="ru-RU"/>
        </w:rPr>
        <w:t>seamless gas cylinder unalloyed aluminum, and</w:t>
      </w:r>
      <w:r>
        <w:rPr>
          <w:lang w:eastAsia="ru-RU"/>
        </w:rPr>
        <w:t> </w:t>
      </w:r>
      <w:r>
        <w:rPr>
          <w:lang w:val="fr-CH" w:eastAsia="ru-RU"/>
        </w:rPr>
        <w:t>;</w:t>
      </w:r>
    </w:p>
    <w:p w:rsidR="00A90566" w:rsidRPr="001F2F98" w:rsidRDefault="00A90566" w:rsidP="00A90566">
      <w:pPr>
        <w:pStyle w:val="SingleTxtG"/>
        <w:rPr>
          <w:lang w:eastAsia="ru-RU"/>
        </w:rPr>
      </w:pPr>
      <w:r>
        <w:rPr>
          <w:lang w:eastAsia="ru-RU"/>
        </w:rPr>
        <w:tab/>
      </w:r>
      <w:r>
        <w:rPr>
          <w:lang w:eastAsia="ru-RU"/>
        </w:rPr>
        <w:tab/>
      </w:r>
      <w:r w:rsidRPr="001F2F98">
        <w:rPr>
          <w:lang w:eastAsia="ru-RU"/>
        </w:rPr>
        <w:t>-</w:t>
      </w:r>
      <w:r>
        <w:rPr>
          <w:lang w:eastAsia="ru-RU"/>
        </w:rPr>
        <w:tab/>
      </w:r>
      <w:r w:rsidRPr="001F2F98">
        <w:rPr>
          <w:lang w:eastAsia="ru-RU"/>
        </w:rPr>
        <w:t>aluminum alloy and welded gas cylinders of unalloyed steel.</w:t>
      </w:r>
    </w:p>
    <w:p w:rsidR="00A90566" w:rsidRPr="001F2F98" w:rsidRDefault="00A90566" w:rsidP="00A90566">
      <w:pPr>
        <w:pStyle w:val="SingleTxtG"/>
        <w:rPr>
          <w:sz w:val="27"/>
          <w:szCs w:val="27"/>
          <w:lang w:eastAsia="ru-RU"/>
        </w:rPr>
      </w:pPr>
      <w:r>
        <w:rPr>
          <w:lang w:eastAsia="ru-RU"/>
        </w:rPr>
        <w:tab/>
      </w:r>
      <w:r>
        <w:rPr>
          <w:lang w:eastAsia="ru-RU"/>
        </w:rPr>
        <w:tab/>
      </w:r>
      <w:r w:rsidRPr="001F2F98">
        <w:rPr>
          <w:lang w:eastAsia="ru-RU"/>
        </w:rPr>
        <w:t>In this case, according to Wikipedia:</w:t>
      </w:r>
    </w:p>
    <w:p w:rsidR="00A90566" w:rsidRPr="00A90566" w:rsidRDefault="00A90566" w:rsidP="00A90566">
      <w:pPr>
        <w:pStyle w:val="SingleTxtG"/>
        <w:rPr>
          <w:color w:val="000000"/>
          <w:lang w:val="en-US" w:eastAsia="ru-RU"/>
        </w:rPr>
      </w:pPr>
      <w:r>
        <w:rPr>
          <w:rFonts w:cs="Arial"/>
          <w:color w:val="222222"/>
          <w:shd w:val="clear" w:color="auto" w:fill="FFFFFF"/>
        </w:rPr>
        <w:tab/>
      </w:r>
      <w:r w:rsidR="00071F0B">
        <w:rPr>
          <w:rFonts w:cs="Arial"/>
          <w:color w:val="222222"/>
          <w:shd w:val="clear" w:color="auto" w:fill="FFFFFF"/>
          <w:lang w:val="fr-CH"/>
        </w:rPr>
        <w:t>2.</w:t>
      </w:r>
      <w:r w:rsidR="00071F0B">
        <w:rPr>
          <w:rFonts w:cs="Arial"/>
          <w:color w:val="222222"/>
          <w:shd w:val="clear" w:color="auto" w:fill="FFFFFF"/>
          <w:lang w:val="fr-CH"/>
        </w:rPr>
        <w:tab/>
      </w:r>
      <w:r w:rsidRPr="00A90566">
        <w:rPr>
          <w:rFonts w:cs="Arial"/>
          <w:color w:val="222222"/>
          <w:shd w:val="clear" w:color="auto" w:fill="FFFFFF"/>
        </w:rPr>
        <w:t>A </w:t>
      </w:r>
      <w:r w:rsidRPr="00A90566">
        <w:rPr>
          <w:rFonts w:cs="Arial"/>
          <w:b/>
          <w:bCs/>
          <w:color w:val="222222"/>
          <w:shd w:val="clear" w:color="auto" w:fill="FFFFFF"/>
        </w:rPr>
        <w:t>directive</w:t>
      </w:r>
      <w:r w:rsidRPr="00A90566">
        <w:rPr>
          <w:rFonts w:cs="Arial"/>
          <w:color w:val="222222"/>
          <w:shd w:val="clear" w:color="auto" w:fill="FFFFFF"/>
        </w:rPr>
        <w:t> is a legal act of the </w:t>
      </w:r>
      <w:hyperlink r:id="rId8" w:tooltip="European Union" w:history="1">
        <w:r w:rsidRPr="00A90566">
          <w:rPr>
            <w:rStyle w:val="Hyperlink"/>
            <w:rFonts w:cs="Arial"/>
            <w:color w:val="auto"/>
            <w:u w:val="none"/>
            <w:shd w:val="clear" w:color="auto" w:fill="FFFFFF"/>
          </w:rPr>
          <w:t>European Union</w:t>
        </w:r>
      </w:hyperlink>
      <w:r w:rsidRPr="00A90566">
        <w:rPr>
          <w:rFonts w:cs="Arial"/>
          <w:color w:val="222222"/>
          <w:u w:val="single"/>
          <w:shd w:val="clear" w:color="auto" w:fill="FFFFFF"/>
        </w:rPr>
        <w:t>,</w:t>
      </w:r>
      <w:r w:rsidRPr="00A90566">
        <w:rPr>
          <w:rFonts w:cs="Arial"/>
          <w:color w:val="222222"/>
          <w:shd w:val="clear" w:color="auto" w:fill="FFFFFF"/>
        </w:rPr>
        <w:t> which requires </w:t>
      </w:r>
      <w:hyperlink r:id="rId9" w:tooltip="Member state of the European Union" w:history="1">
        <w:r w:rsidRPr="00A90566">
          <w:rPr>
            <w:rStyle w:val="Hyperlink"/>
            <w:rFonts w:cs="Arial"/>
            <w:color w:val="0B0080"/>
            <w:shd w:val="clear" w:color="auto" w:fill="FFFFFF"/>
          </w:rPr>
          <w:t>member states</w:t>
        </w:r>
      </w:hyperlink>
      <w:r w:rsidRPr="00A90566">
        <w:rPr>
          <w:rFonts w:cs="Arial"/>
          <w:color w:val="222222"/>
          <w:shd w:val="clear" w:color="auto" w:fill="FFFFFF"/>
        </w:rPr>
        <w:t> to achieve a particular result without dictating the means of achieving that result. It can be distinguished from </w:t>
      </w:r>
      <w:hyperlink r:id="rId10" w:tooltip="Regulation (European Union)" w:history="1">
        <w:r w:rsidRPr="00A90566">
          <w:rPr>
            <w:rStyle w:val="Hyperlink"/>
            <w:rFonts w:cs="Arial"/>
            <w:color w:val="auto"/>
            <w:u w:val="none"/>
            <w:shd w:val="clear" w:color="auto" w:fill="FFFFFF"/>
          </w:rPr>
          <w:t>regulations</w:t>
        </w:r>
      </w:hyperlink>
      <w:r w:rsidRPr="00A90566">
        <w:rPr>
          <w:rFonts w:cs="Arial"/>
          <w:color w:val="222222"/>
          <w:shd w:val="clear" w:color="auto" w:fill="FFFFFF"/>
        </w:rPr>
        <w:t> which are self-executing and do not require any implementing measures. Directives normally leave member states with a certain amount of leeway as to the exact rules to be adopted. Directives can be adopted by means of a variety of </w:t>
      </w:r>
      <w:hyperlink r:id="rId11" w:tooltip="European Union legislative procedure" w:history="1">
        <w:r w:rsidRPr="00A90566">
          <w:rPr>
            <w:rStyle w:val="Hyperlink"/>
            <w:rFonts w:cs="Arial"/>
            <w:color w:val="auto"/>
            <w:u w:val="none"/>
            <w:shd w:val="clear" w:color="auto" w:fill="FFFFFF"/>
          </w:rPr>
          <w:t>legislative procedures</w:t>
        </w:r>
      </w:hyperlink>
      <w:r w:rsidRPr="00A90566">
        <w:rPr>
          <w:rFonts w:cs="Arial"/>
          <w:color w:val="222222"/>
          <w:shd w:val="clear" w:color="auto" w:fill="FFFFFF"/>
        </w:rPr>
        <w:t> depending on their subject matter</w:t>
      </w:r>
      <w:r w:rsidRPr="00A90566">
        <w:rPr>
          <w:rFonts w:cs="Arial"/>
          <w:color w:val="222222"/>
          <w:shd w:val="clear" w:color="auto" w:fill="FFFFFF"/>
          <w:lang w:val="en-US"/>
        </w:rPr>
        <w:t>;</w:t>
      </w:r>
    </w:p>
    <w:p w:rsidR="00A90566" w:rsidRPr="00A90566" w:rsidRDefault="00071F0B" w:rsidP="00A90566">
      <w:pPr>
        <w:pStyle w:val="SingleTxtG"/>
        <w:rPr>
          <w:color w:val="000000"/>
          <w:lang w:val="en-US" w:eastAsia="ru-RU"/>
        </w:rPr>
      </w:pPr>
      <w:r>
        <w:tab/>
      </w:r>
      <w:r>
        <w:tab/>
      </w:r>
      <w:hyperlink r:id="rId12" w:history="1">
        <w:r w:rsidR="00A90566" w:rsidRPr="00071F0B">
          <w:rPr>
            <w:rFonts w:cs="Arial"/>
            <w:b/>
            <w:bCs/>
            <w:lang w:val="en-US" w:eastAsia="ru-RU"/>
          </w:rPr>
          <w:t>Standard</w:t>
        </w:r>
      </w:hyperlink>
      <w:r w:rsidR="00A90566" w:rsidRPr="00A90566">
        <w:rPr>
          <w:rFonts w:cs="Arial"/>
          <w:lang w:val="en-US" w:eastAsia="ru-RU"/>
        </w:rPr>
        <w:t xml:space="preserve"> is</w:t>
      </w:r>
      <w:r w:rsidR="00A90566">
        <w:rPr>
          <w:lang w:val="en-US" w:eastAsia="ru-RU"/>
        </w:rPr>
        <w:t xml:space="preserve"> </w:t>
      </w:r>
      <w:hyperlink r:id="rId13" w:anchor=".D0.9D.D0.B0_.D0.BC.D0.B5.D0.B6.D0.B4.D1.83.D0.BD.D0.B0.D1.80.D0.BE.D0.B4.D0.BD.D0.BE.D0.BC_.D1.83.D1.80.D0.BE.D0.B2.D0.BD.D0.B5" w:history="1">
        <w:r w:rsidR="00A90566" w:rsidRPr="00A90566">
          <w:rPr>
            <w:rFonts w:cs="Arial"/>
            <w:lang w:val="en-US" w:eastAsia="ru-RU"/>
          </w:rPr>
          <w:t>normative document (setting rules)</w:t>
        </w:r>
      </w:hyperlink>
      <w:r w:rsidR="00A90566" w:rsidRPr="00A90566">
        <w:rPr>
          <w:color w:val="000000"/>
          <w:lang w:val="en-US" w:eastAsia="ru-RU"/>
        </w:rPr>
        <w:t> </w:t>
      </w:r>
      <w:r w:rsidR="00A90566" w:rsidRPr="00A90566">
        <w:rPr>
          <w:rFonts w:cs="Arial"/>
          <w:color w:val="000000"/>
          <w:lang w:val="en-US" w:eastAsia="ru-RU"/>
        </w:rPr>
        <w:t>, wherein design features, claims methods of use, as well as directions to the particular target.</w:t>
      </w:r>
      <w:r w:rsidR="00A90566" w:rsidRPr="00A90566">
        <w:t xml:space="preserve"> </w:t>
      </w:r>
      <w:r w:rsidR="00A90566" w:rsidRPr="00A90566">
        <w:rPr>
          <w:rFonts w:cs="Arial"/>
          <w:color w:val="000000"/>
          <w:lang w:val="en-US" w:eastAsia="ru-RU"/>
        </w:rPr>
        <w:t xml:space="preserve">A technical standard is an established norm or requirement </w:t>
      </w:r>
      <w:proofErr w:type="gramStart"/>
      <w:r w:rsidR="00A90566" w:rsidRPr="00A90566">
        <w:rPr>
          <w:rFonts w:cs="Arial"/>
          <w:color w:val="000000"/>
          <w:lang w:val="en-US" w:eastAsia="ru-RU"/>
        </w:rPr>
        <w:t>in regard to</w:t>
      </w:r>
      <w:proofErr w:type="gramEnd"/>
      <w:r w:rsidR="00A90566" w:rsidRPr="00A90566">
        <w:rPr>
          <w:rFonts w:cs="Arial"/>
          <w:color w:val="000000"/>
          <w:lang w:val="en-US" w:eastAsia="ru-RU"/>
        </w:rPr>
        <w:t xml:space="preserve"> technical systems.</w:t>
      </w:r>
    </w:p>
    <w:p w:rsidR="00A90566" w:rsidRPr="00A90566" w:rsidRDefault="00071F0B" w:rsidP="00A90566">
      <w:pPr>
        <w:pStyle w:val="SingleTxtG"/>
        <w:rPr>
          <w:color w:val="000000"/>
          <w:lang w:val="en-US" w:eastAsia="ru-RU"/>
        </w:rPr>
      </w:pPr>
      <w:r>
        <w:rPr>
          <w:rFonts w:cs="Arial"/>
          <w:color w:val="000000"/>
          <w:lang w:val="en-US" w:eastAsia="ru-RU"/>
        </w:rPr>
        <w:tab/>
        <w:t>3.</w:t>
      </w:r>
      <w:r>
        <w:rPr>
          <w:rFonts w:cs="Arial"/>
          <w:color w:val="000000"/>
          <w:lang w:val="en-US" w:eastAsia="ru-RU"/>
        </w:rPr>
        <w:tab/>
      </w:r>
      <w:r w:rsidR="00A90566" w:rsidRPr="00A90566">
        <w:rPr>
          <w:rFonts w:cs="Arial"/>
          <w:color w:val="000000"/>
          <w:lang w:val="en-US" w:eastAsia="ru-RU"/>
        </w:rPr>
        <w:t>That is, the inclusion of these directives in the subsection of the Rules on the application of standards, in our opinion, is not legally justified.</w:t>
      </w:r>
    </w:p>
    <w:p w:rsidR="00A90566" w:rsidRPr="001F2F98" w:rsidRDefault="00071F0B" w:rsidP="00A90566">
      <w:pPr>
        <w:pStyle w:val="SingleTxtG"/>
        <w:rPr>
          <w:lang w:eastAsia="ru-RU"/>
        </w:rPr>
      </w:pPr>
      <w:r>
        <w:rPr>
          <w:lang w:eastAsia="ru-RU"/>
        </w:rPr>
        <w:tab/>
      </w:r>
      <w:r>
        <w:rPr>
          <w:lang w:val="fr-CH" w:eastAsia="ru-RU"/>
        </w:rPr>
        <w:t>4.</w:t>
      </w:r>
      <w:r>
        <w:rPr>
          <w:lang w:val="fr-CH" w:eastAsia="ru-RU"/>
        </w:rPr>
        <w:tab/>
      </w:r>
      <w:r w:rsidR="00A90566" w:rsidRPr="001F2F98">
        <w:rPr>
          <w:lang w:eastAsia="ru-RU"/>
        </w:rPr>
        <w:t>However, in the course of the audit the relevance of legal documents, which are referred to in Section 6.2.4.1, it was found that Directives European Council on the approximation of the laws of the Member States </w:t>
      </w:r>
      <w:r w:rsidR="00A90566">
        <w:rPr>
          <w:lang w:eastAsia="ru-RU"/>
        </w:rPr>
        <w:t>84/525/EEC, 84/526/EEC, 84/527/</w:t>
      </w:r>
      <w:r w:rsidR="00A90566" w:rsidRPr="001F2F98">
        <w:rPr>
          <w:lang w:eastAsia="ru-RU"/>
        </w:rPr>
        <w:t>EEC currently is no longer active.</w:t>
      </w:r>
    </w:p>
    <w:p w:rsidR="00A90566" w:rsidRPr="001F2F98" w:rsidRDefault="00A90566" w:rsidP="00A90566">
      <w:pPr>
        <w:pStyle w:val="H1G"/>
        <w:rPr>
          <w:sz w:val="27"/>
          <w:szCs w:val="27"/>
          <w:lang w:val="en-US" w:eastAsia="ru-RU"/>
        </w:rPr>
      </w:pPr>
      <w:r>
        <w:rPr>
          <w:lang w:val="en-US" w:eastAsia="ru-RU"/>
        </w:rPr>
        <w:lastRenderedPageBreak/>
        <w:tab/>
      </w:r>
      <w:r>
        <w:rPr>
          <w:lang w:val="en-US" w:eastAsia="ru-RU"/>
        </w:rPr>
        <w:tab/>
      </w:r>
      <w:r w:rsidR="00071F0B">
        <w:rPr>
          <w:lang w:val="en-US" w:eastAsia="ru-RU"/>
        </w:rPr>
        <w:t>Proposal</w:t>
      </w:r>
    </w:p>
    <w:p w:rsidR="00A90566" w:rsidRPr="001F2F98" w:rsidRDefault="00071F0B" w:rsidP="00A90566">
      <w:pPr>
        <w:pStyle w:val="SingleTxtG"/>
        <w:rPr>
          <w:lang w:eastAsia="ru-RU"/>
        </w:rPr>
      </w:pPr>
      <w:r>
        <w:rPr>
          <w:lang w:eastAsia="ru-RU"/>
        </w:rPr>
        <w:tab/>
      </w:r>
      <w:r>
        <w:rPr>
          <w:lang w:val="fr-CH" w:eastAsia="ru-RU"/>
        </w:rPr>
        <w:t>5.</w:t>
      </w:r>
      <w:r>
        <w:rPr>
          <w:lang w:val="fr-CH" w:eastAsia="ru-RU"/>
        </w:rPr>
        <w:tab/>
      </w:r>
      <w:r w:rsidR="00A90566" w:rsidRPr="00C04957">
        <w:rPr>
          <w:lang w:eastAsia="ru-RU"/>
        </w:rPr>
        <w:t xml:space="preserve">In order to maintain the references </w:t>
      </w:r>
      <w:proofErr w:type="gramStart"/>
      <w:r w:rsidR="00A90566" w:rsidRPr="00C04957">
        <w:rPr>
          <w:lang w:eastAsia="ru-RU"/>
        </w:rPr>
        <w:t>only  to</w:t>
      </w:r>
      <w:proofErr w:type="gramEnd"/>
      <w:r w:rsidR="00A90566" w:rsidRPr="00C04957">
        <w:rPr>
          <w:lang w:eastAsia="ru-RU"/>
        </w:rPr>
        <w:t xml:space="preserve"> the documents, which is currently in effect are and referred to in Chapter 6.2, as well as the elimination of violations of legal practice, it is proposed to delete the references to </w:t>
      </w:r>
      <w:r w:rsidR="00A90566" w:rsidRPr="001F2F98">
        <w:rPr>
          <w:lang w:eastAsia="ru-RU"/>
        </w:rPr>
        <w:t>Directives European Council </w:t>
      </w:r>
      <w:r w:rsidR="00A90566">
        <w:rPr>
          <w:lang w:eastAsia="ru-RU"/>
        </w:rPr>
        <w:t>84/525/EEC, 84/526/</w:t>
      </w:r>
      <w:r w:rsidR="00A90566" w:rsidRPr="001F2F98">
        <w:rPr>
          <w:lang w:eastAsia="ru-RU"/>
        </w:rPr>
        <w:t>EEC and </w:t>
      </w:r>
      <w:r w:rsidR="00A90566">
        <w:rPr>
          <w:lang w:eastAsia="ru-RU"/>
        </w:rPr>
        <w:t>84/527/</w:t>
      </w:r>
      <w:r w:rsidR="00A90566" w:rsidRPr="001F2F98">
        <w:rPr>
          <w:lang w:eastAsia="ru-RU"/>
        </w:rPr>
        <w:t>EEC.</w:t>
      </w:r>
    </w:p>
    <w:p w:rsidR="00A90566" w:rsidRPr="001F2F98" w:rsidRDefault="00A90566" w:rsidP="00A90566">
      <w:pPr>
        <w:pStyle w:val="H1G"/>
        <w:rPr>
          <w:sz w:val="27"/>
          <w:szCs w:val="27"/>
          <w:lang w:val="en-US" w:eastAsia="ru-RU"/>
        </w:rPr>
      </w:pPr>
      <w:r>
        <w:rPr>
          <w:lang w:val="en-US" w:eastAsia="ru-RU"/>
        </w:rPr>
        <w:tab/>
      </w:r>
      <w:r>
        <w:rPr>
          <w:lang w:val="en-US" w:eastAsia="ru-RU"/>
        </w:rPr>
        <w:tab/>
      </w:r>
      <w:r w:rsidRPr="001F2F98">
        <w:rPr>
          <w:lang w:val="en-US" w:eastAsia="ru-RU"/>
        </w:rPr>
        <w:t>Justification</w:t>
      </w:r>
    </w:p>
    <w:p w:rsidR="00A90566" w:rsidRPr="001F2F98" w:rsidRDefault="00071F0B" w:rsidP="00A90566">
      <w:pPr>
        <w:pStyle w:val="SingleTxtG"/>
        <w:rPr>
          <w:sz w:val="27"/>
          <w:szCs w:val="27"/>
          <w:lang w:eastAsia="ru-RU"/>
        </w:rPr>
      </w:pPr>
      <w:r>
        <w:rPr>
          <w:lang w:eastAsia="ru-RU"/>
        </w:rPr>
        <w:tab/>
      </w:r>
      <w:r>
        <w:rPr>
          <w:lang w:val="fr-CH" w:eastAsia="ru-RU"/>
        </w:rPr>
        <w:t>6.</w:t>
      </w:r>
      <w:r>
        <w:rPr>
          <w:lang w:val="fr-CH" w:eastAsia="ru-RU"/>
        </w:rPr>
        <w:tab/>
      </w:r>
      <w:r w:rsidR="00A90566" w:rsidRPr="001F2F98">
        <w:rPr>
          <w:lang w:eastAsia="ru-RU"/>
        </w:rPr>
        <w:t>This amendment eliminates the reference to the legal documents, which is not currently in effect,</w:t>
      </w:r>
      <w:r w:rsidR="00A90566" w:rsidRPr="001F2F98">
        <w:rPr>
          <w:sz w:val="27"/>
          <w:lang w:eastAsia="ru-RU"/>
        </w:rPr>
        <w:t> </w:t>
      </w:r>
      <w:r w:rsidR="00A90566" w:rsidRPr="001F2F98">
        <w:rPr>
          <w:lang w:eastAsia="ru-RU"/>
        </w:rPr>
        <w:t>eliminates the violations of legal practice.</w:t>
      </w:r>
    </w:p>
    <w:p w:rsidR="00A90566" w:rsidRPr="001F2F98" w:rsidRDefault="00A90566" w:rsidP="00A90566">
      <w:pPr>
        <w:pStyle w:val="H1G"/>
        <w:rPr>
          <w:sz w:val="27"/>
          <w:szCs w:val="27"/>
          <w:lang w:val="en-US" w:eastAsia="ru-RU"/>
        </w:rPr>
      </w:pPr>
      <w:r>
        <w:rPr>
          <w:lang w:val="en-US" w:eastAsia="ru-RU"/>
        </w:rPr>
        <w:tab/>
      </w:r>
      <w:r>
        <w:rPr>
          <w:lang w:val="en-US" w:eastAsia="ru-RU"/>
        </w:rPr>
        <w:tab/>
      </w:r>
      <w:r w:rsidRPr="001F2F98">
        <w:rPr>
          <w:lang w:val="en-US" w:eastAsia="ru-RU"/>
        </w:rPr>
        <w:t>Ensuring the application</w:t>
      </w:r>
    </w:p>
    <w:p w:rsidR="00A90566" w:rsidRPr="00FE1F49" w:rsidRDefault="00071F0B" w:rsidP="00A90566">
      <w:pPr>
        <w:pStyle w:val="SingleTxtG"/>
        <w:rPr>
          <w:lang w:eastAsia="ru-RU"/>
        </w:rPr>
      </w:pPr>
      <w:r>
        <w:rPr>
          <w:lang w:eastAsia="ru-RU"/>
        </w:rPr>
        <w:tab/>
      </w:r>
      <w:r>
        <w:rPr>
          <w:lang w:val="fr-CH" w:eastAsia="ru-RU"/>
        </w:rPr>
        <w:t>7.</w:t>
      </w:r>
      <w:r>
        <w:rPr>
          <w:lang w:val="fr-CH" w:eastAsia="ru-RU"/>
        </w:rPr>
        <w:tab/>
      </w:r>
      <w:r w:rsidR="00A90566" w:rsidRPr="001F2F98">
        <w:rPr>
          <w:lang w:eastAsia="ru-RU"/>
        </w:rPr>
        <w:t>Any difficulties with ensuring the application of the amendment is not </w:t>
      </w:r>
      <w:r w:rsidR="00A90566" w:rsidRPr="00FE1F49">
        <w:rPr>
          <w:lang w:eastAsia="ru-RU"/>
        </w:rPr>
        <w:t>expected.</w:t>
      </w:r>
    </w:p>
    <w:p w:rsidR="005A2EEB" w:rsidRPr="00EB0664" w:rsidRDefault="00EB0664" w:rsidP="00EB0664">
      <w:pPr>
        <w:pStyle w:val="SingleTxtG"/>
        <w:spacing w:before="240" w:after="0"/>
        <w:jc w:val="center"/>
        <w:rPr>
          <w:u w:val="single"/>
        </w:rPr>
      </w:pPr>
      <w:r>
        <w:rPr>
          <w:u w:val="single"/>
        </w:rPr>
        <w:tab/>
      </w:r>
      <w:r>
        <w:rPr>
          <w:u w:val="single"/>
        </w:rPr>
        <w:tab/>
      </w:r>
      <w:r>
        <w:rPr>
          <w:u w:val="single"/>
        </w:rPr>
        <w:tab/>
      </w:r>
    </w:p>
    <w:sectPr w:rsidR="005A2EEB" w:rsidRPr="00EB0664" w:rsidSect="004B47CC">
      <w:headerReference w:type="even" r:id="rId14"/>
      <w:headerReference w:type="default" r:id="rId15"/>
      <w:footerReference w:type="even" r:id="rId16"/>
      <w:footerReference w:type="default" r:id="rId17"/>
      <w:type w:val="continuous"/>
      <w:pgSz w:w="11907" w:h="16840" w:code="9"/>
      <w:pgMar w:top="1699" w:right="1138" w:bottom="2275" w:left="1138" w:header="1138" w:footer="16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E66" w:rsidRDefault="00E12E66"/>
  </w:endnote>
  <w:endnote w:type="continuationSeparator" w:id="0">
    <w:p w:rsidR="00E12E66" w:rsidRDefault="00E12E66"/>
  </w:endnote>
  <w:endnote w:type="continuationNotice" w:id="1">
    <w:p w:rsidR="00E12E66" w:rsidRDefault="00E12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071F0B">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A90566">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E66" w:rsidRPr="000B175B" w:rsidRDefault="00E12E66" w:rsidP="000B175B">
      <w:pPr>
        <w:tabs>
          <w:tab w:val="right" w:pos="2155"/>
        </w:tabs>
        <w:spacing w:after="80"/>
        <w:ind w:left="680"/>
        <w:rPr>
          <w:u w:val="single"/>
        </w:rPr>
      </w:pPr>
      <w:r>
        <w:rPr>
          <w:u w:val="single"/>
        </w:rPr>
        <w:tab/>
      </w:r>
    </w:p>
  </w:footnote>
  <w:footnote w:type="continuationSeparator" w:id="0">
    <w:p w:rsidR="00E12E66" w:rsidRPr="00FC68B7" w:rsidRDefault="00E12E66" w:rsidP="00FC68B7">
      <w:pPr>
        <w:tabs>
          <w:tab w:val="left" w:pos="2155"/>
        </w:tabs>
        <w:spacing w:after="80"/>
        <w:ind w:left="680"/>
        <w:rPr>
          <w:u w:val="single"/>
        </w:rPr>
      </w:pPr>
      <w:r>
        <w:rPr>
          <w:u w:val="single"/>
        </w:rPr>
        <w:tab/>
      </w:r>
    </w:p>
  </w:footnote>
  <w:footnote w:type="continuationNotice" w:id="1">
    <w:p w:rsidR="00E12E66" w:rsidRDefault="00E12E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pPr>
      <w:pStyle w:val="Header"/>
      <w:rPr>
        <w:lang w:val="fr-CH"/>
      </w:rPr>
    </w:pPr>
    <w:r>
      <w:rPr>
        <w:lang w:val="fr-CH"/>
      </w:rPr>
      <w:t>INF.</w:t>
    </w:r>
    <w:r w:rsidR="005A2EEB">
      <w:rPr>
        <w:lang w:val="fr-CH"/>
      </w:rPr>
      <w:t>1</w:t>
    </w:r>
    <w:r w:rsidR="00A90566">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rsidP="00652CFC">
    <w:pPr>
      <w:pStyle w:val="Header"/>
      <w:pBdr>
        <w:bottom w:val="single" w:sz="4" w:space="1" w:color="auto"/>
      </w:pBdr>
      <w:jc w:val="right"/>
      <w:rPr>
        <w:lang w:val="fr-CH"/>
      </w:rPr>
    </w:pPr>
    <w:r>
      <w:rPr>
        <w:lang w:val="fr-CH"/>
      </w:rPr>
      <w:t>INF.</w:t>
    </w:r>
    <w:r w:rsidR="00F66646">
      <w:rPr>
        <w:lang w:val="fr-CH"/>
      </w:rPr>
      <w:t>1</w:t>
    </w:r>
    <w:r w:rsidR="00A90566">
      <w:rPr>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CA2CCC"/>
    <w:multiLevelType w:val="hybridMultilevel"/>
    <w:tmpl w:val="0ADAB0CC"/>
    <w:lvl w:ilvl="0" w:tplc="E57E8FD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321497"/>
    <w:multiLevelType w:val="hybridMultilevel"/>
    <w:tmpl w:val="276CC79A"/>
    <w:lvl w:ilvl="0" w:tplc="322C209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44CE0"/>
    <w:multiLevelType w:val="multilevel"/>
    <w:tmpl w:val="F806A8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37BB371A"/>
    <w:multiLevelType w:val="hybridMultilevel"/>
    <w:tmpl w:val="C8ACF61C"/>
    <w:lvl w:ilvl="0" w:tplc="2D7695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CCF613E"/>
    <w:multiLevelType w:val="hybridMultilevel"/>
    <w:tmpl w:val="F4E8280A"/>
    <w:lvl w:ilvl="0" w:tplc="0948785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21"/>
  </w:num>
  <w:num w:numId="15">
    <w:abstractNumId w:val="14"/>
  </w:num>
  <w:num w:numId="16">
    <w:abstractNumId w:val="12"/>
  </w:num>
  <w:num w:numId="17">
    <w:abstractNumId w:val="15"/>
  </w:num>
  <w:num w:numId="18">
    <w:abstractNumId w:val="18"/>
  </w:num>
  <w:num w:numId="19">
    <w:abstractNumId w:val="11"/>
  </w:num>
  <w:num w:numId="20">
    <w:abstractNumId w:val="20"/>
  </w:num>
  <w:num w:numId="21">
    <w:abstractNumId w:val="19"/>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de-CH" w:vendorID="64" w:dllVersion="6" w:nlCheck="1" w:checkStyle="1"/>
  <w:activeWritingStyle w:appName="MSWord" w:lang="fr-FR"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14162"/>
    <w:rsid w:val="00037F90"/>
    <w:rsid w:val="00045B05"/>
    <w:rsid w:val="00046B1F"/>
    <w:rsid w:val="00050F6B"/>
    <w:rsid w:val="00057E97"/>
    <w:rsid w:val="00071F0B"/>
    <w:rsid w:val="00072C8C"/>
    <w:rsid w:val="000733B5"/>
    <w:rsid w:val="00081815"/>
    <w:rsid w:val="000931C0"/>
    <w:rsid w:val="00096262"/>
    <w:rsid w:val="00097556"/>
    <w:rsid w:val="000A3752"/>
    <w:rsid w:val="000A7267"/>
    <w:rsid w:val="000B0595"/>
    <w:rsid w:val="000B175B"/>
    <w:rsid w:val="000B3A0F"/>
    <w:rsid w:val="000B4EF7"/>
    <w:rsid w:val="000B633F"/>
    <w:rsid w:val="000C2C03"/>
    <w:rsid w:val="000C2D2E"/>
    <w:rsid w:val="000C4D51"/>
    <w:rsid w:val="000C4DDA"/>
    <w:rsid w:val="000C7F79"/>
    <w:rsid w:val="000E0415"/>
    <w:rsid w:val="0010391C"/>
    <w:rsid w:val="00104CDA"/>
    <w:rsid w:val="001103AA"/>
    <w:rsid w:val="0011666B"/>
    <w:rsid w:val="00125117"/>
    <w:rsid w:val="00141284"/>
    <w:rsid w:val="00152F26"/>
    <w:rsid w:val="00155068"/>
    <w:rsid w:val="00165F3A"/>
    <w:rsid w:val="001A57BD"/>
    <w:rsid w:val="001A6E55"/>
    <w:rsid w:val="001B13A5"/>
    <w:rsid w:val="001B4B04"/>
    <w:rsid w:val="001C6663"/>
    <w:rsid w:val="001C7895"/>
    <w:rsid w:val="001D0C8C"/>
    <w:rsid w:val="001D1419"/>
    <w:rsid w:val="001D26DF"/>
    <w:rsid w:val="001D3A03"/>
    <w:rsid w:val="001E0B9E"/>
    <w:rsid w:val="001E0D94"/>
    <w:rsid w:val="001E7B67"/>
    <w:rsid w:val="001F7435"/>
    <w:rsid w:val="00202DA8"/>
    <w:rsid w:val="00203753"/>
    <w:rsid w:val="002102FF"/>
    <w:rsid w:val="0021114C"/>
    <w:rsid w:val="0021157B"/>
    <w:rsid w:val="00211E0B"/>
    <w:rsid w:val="0024023A"/>
    <w:rsid w:val="00243217"/>
    <w:rsid w:val="00252290"/>
    <w:rsid w:val="00267F5F"/>
    <w:rsid w:val="00286B4D"/>
    <w:rsid w:val="002A3C85"/>
    <w:rsid w:val="002A603B"/>
    <w:rsid w:val="002C2AF3"/>
    <w:rsid w:val="002D4643"/>
    <w:rsid w:val="002D4B6C"/>
    <w:rsid w:val="002F175C"/>
    <w:rsid w:val="00302E18"/>
    <w:rsid w:val="003050A4"/>
    <w:rsid w:val="0030606F"/>
    <w:rsid w:val="003229D8"/>
    <w:rsid w:val="003358CF"/>
    <w:rsid w:val="003363A2"/>
    <w:rsid w:val="00345184"/>
    <w:rsid w:val="00352709"/>
    <w:rsid w:val="003571EA"/>
    <w:rsid w:val="00371178"/>
    <w:rsid w:val="003A6810"/>
    <w:rsid w:val="003B36D1"/>
    <w:rsid w:val="003C2CC4"/>
    <w:rsid w:val="003D4B23"/>
    <w:rsid w:val="00400297"/>
    <w:rsid w:val="00410C89"/>
    <w:rsid w:val="00422E03"/>
    <w:rsid w:val="00426B9B"/>
    <w:rsid w:val="004325CB"/>
    <w:rsid w:val="004356D2"/>
    <w:rsid w:val="00442A83"/>
    <w:rsid w:val="0045495B"/>
    <w:rsid w:val="00464C81"/>
    <w:rsid w:val="0048397A"/>
    <w:rsid w:val="00483F1B"/>
    <w:rsid w:val="004A12F2"/>
    <w:rsid w:val="004A28A3"/>
    <w:rsid w:val="004B47CC"/>
    <w:rsid w:val="004C2461"/>
    <w:rsid w:val="004C408F"/>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9363D"/>
    <w:rsid w:val="005A2EEB"/>
    <w:rsid w:val="005B3DB3"/>
    <w:rsid w:val="005B4E13"/>
    <w:rsid w:val="005C68F0"/>
    <w:rsid w:val="005D2A29"/>
    <w:rsid w:val="005E6A77"/>
    <w:rsid w:val="005F7B75"/>
    <w:rsid w:val="006001EE"/>
    <w:rsid w:val="00605042"/>
    <w:rsid w:val="00611FC4"/>
    <w:rsid w:val="006176FB"/>
    <w:rsid w:val="00630BAF"/>
    <w:rsid w:val="00640B26"/>
    <w:rsid w:val="00652CFC"/>
    <w:rsid w:val="00652D0A"/>
    <w:rsid w:val="006623D5"/>
    <w:rsid w:val="00662BB6"/>
    <w:rsid w:val="00667F8F"/>
    <w:rsid w:val="006741F1"/>
    <w:rsid w:val="00684C21"/>
    <w:rsid w:val="006A2530"/>
    <w:rsid w:val="006B1C12"/>
    <w:rsid w:val="006C1A28"/>
    <w:rsid w:val="006C3589"/>
    <w:rsid w:val="006D37AF"/>
    <w:rsid w:val="006D51D0"/>
    <w:rsid w:val="006E564B"/>
    <w:rsid w:val="006E7191"/>
    <w:rsid w:val="00703577"/>
    <w:rsid w:val="00705894"/>
    <w:rsid w:val="0072632A"/>
    <w:rsid w:val="007327D5"/>
    <w:rsid w:val="00760A73"/>
    <w:rsid w:val="007611CF"/>
    <w:rsid w:val="00761787"/>
    <w:rsid w:val="007629C8"/>
    <w:rsid w:val="00764668"/>
    <w:rsid w:val="0077047D"/>
    <w:rsid w:val="00776430"/>
    <w:rsid w:val="00797575"/>
    <w:rsid w:val="007B6BA5"/>
    <w:rsid w:val="007C3390"/>
    <w:rsid w:val="007C4F4B"/>
    <w:rsid w:val="007D02C9"/>
    <w:rsid w:val="007E01E9"/>
    <w:rsid w:val="007E63F3"/>
    <w:rsid w:val="007F1F2D"/>
    <w:rsid w:val="007F6611"/>
    <w:rsid w:val="007F7106"/>
    <w:rsid w:val="007F7A86"/>
    <w:rsid w:val="008116D7"/>
    <w:rsid w:val="00811920"/>
    <w:rsid w:val="00815016"/>
    <w:rsid w:val="00815AD0"/>
    <w:rsid w:val="008242D7"/>
    <w:rsid w:val="008257B1"/>
    <w:rsid w:val="00826C3D"/>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32498"/>
    <w:rsid w:val="00940F93"/>
    <w:rsid w:val="0094558F"/>
    <w:rsid w:val="00961690"/>
    <w:rsid w:val="00973775"/>
    <w:rsid w:val="009760F3"/>
    <w:rsid w:val="0098203C"/>
    <w:rsid w:val="009A0E8D"/>
    <w:rsid w:val="009A5452"/>
    <w:rsid w:val="009B1518"/>
    <w:rsid w:val="009B26E7"/>
    <w:rsid w:val="009C454F"/>
    <w:rsid w:val="009D2A5B"/>
    <w:rsid w:val="009E1D8E"/>
    <w:rsid w:val="00A00A3F"/>
    <w:rsid w:val="00A01489"/>
    <w:rsid w:val="00A179B2"/>
    <w:rsid w:val="00A3009E"/>
    <w:rsid w:val="00A3026E"/>
    <w:rsid w:val="00A338F1"/>
    <w:rsid w:val="00A47A60"/>
    <w:rsid w:val="00A72F22"/>
    <w:rsid w:val="00A7360F"/>
    <w:rsid w:val="00A748A6"/>
    <w:rsid w:val="00A769F4"/>
    <w:rsid w:val="00A776B4"/>
    <w:rsid w:val="00A8292C"/>
    <w:rsid w:val="00A90566"/>
    <w:rsid w:val="00A94361"/>
    <w:rsid w:val="00AA293C"/>
    <w:rsid w:val="00AA66C0"/>
    <w:rsid w:val="00AB27BE"/>
    <w:rsid w:val="00AD44C2"/>
    <w:rsid w:val="00AD48FA"/>
    <w:rsid w:val="00AD6720"/>
    <w:rsid w:val="00AE4840"/>
    <w:rsid w:val="00AF71D6"/>
    <w:rsid w:val="00B11BB4"/>
    <w:rsid w:val="00B22BC2"/>
    <w:rsid w:val="00B30179"/>
    <w:rsid w:val="00B36690"/>
    <w:rsid w:val="00B421C1"/>
    <w:rsid w:val="00B4406A"/>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2681"/>
    <w:rsid w:val="00BB7CD1"/>
    <w:rsid w:val="00BB7FE9"/>
    <w:rsid w:val="00BC3FA0"/>
    <w:rsid w:val="00BC74E9"/>
    <w:rsid w:val="00BD55A0"/>
    <w:rsid w:val="00BF15A1"/>
    <w:rsid w:val="00BF68A8"/>
    <w:rsid w:val="00C10FE6"/>
    <w:rsid w:val="00C11A03"/>
    <w:rsid w:val="00C22C0C"/>
    <w:rsid w:val="00C4527F"/>
    <w:rsid w:val="00C463DD"/>
    <w:rsid w:val="00C467C9"/>
    <w:rsid w:val="00C4724C"/>
    <w:rsid w:val="00C50425"/>
    <w:rsid w:val="00C629A0"/>
    <w:rsid w:val="00C64629"/>
    <w:rsid w:val="00C73056"/>
    <w:rsid w:val="00C745C3"/>
    <w:rsid w:val="00C87EB0"/>
    <w:rsid w:val="00CB3E03"/>
    <w:rsid w:val="00CD57D2"/>
    <w:rsid w:val="00CE4A8F"/>
    <w:rsid w:val="00CF189A"/>
    <w:rsid w:val="00D00610"/>
    <w:rsid w:val="00D2031B"/>
    <w:rsid w:val="00D25FE2"/>
    <w:rsid w:val="00D43252"/>
    <w:rsid w:val="00D47EEA"/>
    <w:rsid w:val="00D550D4"/>
    <w:rsid w:val="00D65303"/>
    <w:rsid w:val="00D773DF"/>
    <w:rsid w:val="00D80773"/>
    <w:rsid w:val="00D876F8"/>
    <w:rsid w:val="00D908A5"/>
    <w:rsid w:val="00D9255F"/>
    <w:rsid w:val="00D94726"/>
    <w:rsid w:val="00D95303"/>
    <w:rsid w:val="00D978C6"/>
    <w:rsid w:val="00DA3C1C"/>
    <w:rsid w:val="00DB6CA5"/>
    <w:rsid w:val="00E046DF"/>
    <w:rsid w:val="00E12E66"/>
    <w:rsid w:val="00E15557"/>
    <w:rsid w:val="00E27346"/>
    <w:rsid w:val="00E32ACF"/>
    <w:rsid w:val="00E71798"/>
    <w:rsid w:val="00E71BC8"/>
    <w:rsid w:val="00E7260F"/>
    <w:rsid w:val="00E73F5D"/>
    <w:rsid w:val="00E77E4E"/>
    <w:rsid w:val="00E96630"/>
    <w:rsid w:val="00EB0664"/>
    <w:rsid w:val="00EC106A"/>
    <w:rsid w:val="00EC32A0"/>
    <w:rsid w:val="00ED7A2A"/>
    <w:rsid w:val="00EE6B3A"/>
    <w:rsid w:val="00EF1D7F"/>
    <w:rsid w:val="00F227A6"/>
    <w:rsid w:val="00F31E5F"/>
    <w:rsid w:val="00F36F0D"/>
    <w:rsid w:val="00F4272A"/>
    <w:rsid w:val="00F6100A"/>
    <w:rsid w:val="00F66565"/>
    <w:rsid w:val="00F66646"/>
    <w:rsid w:val="00F70285"/>
    <w:rsid w:val="00F93781"/>
    <w:rsid w:val="00FA3772"/>
    <w:rsid w:val="00FB613B"/>
    <w:rsid w:val="00FC3C87"/>
    <w:rsid w:val="00FC42FA"/>
    <w:rsid w:val="00FC68B7"/>
    <w:rsid w:val="00FD3C56"/>
    <w:rsid w:val="00FE0135"/>
    <w:rsid w:val="00FE106A"/>
    <w:rsid w:val="00FE165B"/>
    <w:rsid w:val="00FE5FC1"/>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429962"/>
  <w15:docId w15:val="{AD7C27BA-1E90-490C-8D53-40523B93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basedOn w:val="Normal"/>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paragraph" w:customStyle="1" w:styleId="Titre4">
    <w:name w:val="Titre 4"/>
    <w:basedOn w:val="Normal"/>
    <w:next w:val="Normal"/>
    <w:rsid w:val="00932498"/>
    <w:pPr>
      <w:keepNext/>
      <w:widowControl w:val="0"/>
      <w:numPr>
        <w:ilvl w:val="3"/>
        <w:numId w:val="18"/>
      </w:numPr>
      <w:suppressAutoHyphens w:val="0"/>
      <w:spacing w:line="240" w:lineRule="auto"/>
      <w:ind w:left="1418" w:hanging="1418"/>
      <w:outlineLvl w:val="3"/>
    </w:pPr>
    <w:rPr>
      <w:rFonts w:ascii="Liberation Serif" w:eastAsia="SimSun" w:hAnsi="Liberation Serif" w:cs="Mangal"/>
      <w:b/>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uropean_Union" TargetMode="External"/><Relationship Id="rId13" Type="http://schemas.openxmlformats.org/officeDocument/2006/relationships/hyperlink" Target="https://translate.google.com/translate?hl=ru&amp;prev=_t&amp;sl=ru&amp;tl=en&amp;u=https://ru.wikipedia.org/wiki/%25D0%25A1%25D1%2582%25D0%25B0%25D0%25BD%25D0%25B4%25D0%25B0%25D1%2580%25D1%2582%23.D0.9D.D0.B0_.D0.BC.D0.B5.D0.B6.D0.B4.D1.83.D0.BD.D0.B0.D1.80.D0.BE.D0.B4.D0.BD.D0.BE.D0.BC_.D1.83.D1.80.D0.BE.D0.B2.D0.BD.D0.B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late.google.com/translate?hl=ru&amp;prev=_t&amp;sl=ru&amp;tl=en&amp;u=https://ru.wikipedia.org/wiki/%25D0%25A1%25D1%2582%25D0%25B0%25D0%25BD%25D0%25B4%25D0%25B0%25D1%2580%25D1%258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uropean_Union_legislative_procedur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n.wikipedia.org/wiki/Regulation_(European_Un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Member_state_of_the_European_Un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8D71-DB94-46DF-B434-441ACE1B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617</Words>
  <Characters>3517</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2018-02-09T14:05:00Z</cp:lastPrinted>
  <dcterms:created xsi:type="dcterms:W3CDTF">2018-02-12T13:46:00Z</dcterms:created>
  <dcterms:modified xsi:type="dcterms:W3CDTF">2018-02-12T15:11:00Z</dcterms:modified>
</cp:coreProperties>
</file>