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D3494A" w:rsidRPr="008268C5" w:rsidTr="00E9067C">
        <w:trPr>
          <w:cantSplit/>
          <w:trHeight w:hRule="exact" w:val="851"/>
        </w:trPr>
        <w:tc>
          <w:tcPr>
            <w:tcW w:w="1276" w:type="dxa"/>
            <w:tcBorders>
              <w:bottom w:val="single" w:sz="4" w:space="0" w:color="auto"/>
            </w:tcBorders>
            <w:shd w:val="clear" w:color="auto" w:fill="auto"/>
            <w:vAlign w:val="bottom"/>
          </w:tcPr>
          <w:p w:rsidR="00D3494A" w:rsidRPr="008268C5" w:rsidRDefault="00D3494A" w:rsidP="00E9067C">
            <w:pPr>
              <w:spacing w:after="80"/>
            </w:pPr>
          </w:p>
        </w:tc>
        <w:tc>
          <w:tcPr>
            <w:tcW w:w="2268" w:type="dxa"/>
            <w:tcBorders>
              <w:bottom w:val="single" w:sz="4" w:space="0" w:color="auto"/>
            </w:tcBorders>
            <w:shd w:val="clear" w:color="auto" w:fill="auto"/>
            <w:vAlign w:val="bottom"/>
          </w:tcPr>
          <w:p w:rsidR="00D3494A" w:rsidRPr="008268C5" w:rsidRDefault="00D3494A" w:rsidP="00E9067C">
            <w:pPr>
              <w:spacing w:after="80" w:line="300" w:lineRule="exact"/>
              <w:rPr>
                <w:b/>
                <w:sz w:val="24"/>
                <w:szCs w:val="24"/>
              </w:rPr>
            </w:pPr>
          </w:p>
        </w:tc>
        <w:tc>
          <w:tcPr>
            <w:tcW w:w="6095" w:type="dxa"/>
            <w:tcBorders>
              <w:bottom w:val="single" w:sz="4" w:space="0" w:color="auto"/>
            </w:tcBorders>
            <w:shd w:val="clear" w:color="auto" w:fill="auto"/>
            <w:vAlign w:val="bottom"/>
          </w:tcPr>
          <w:p w:rsidR="00D3494A" w:rsidRPr="008268C5" w:rsidRDefault="00D3494A" w:rsidP="00E9067C">
            <w:pPr>
              <w:suppressAutoHyphens w:val="0"/>
              <w:spacing w:after="20"/>
              <w:jc w:val="right"/>
              <w:rPr>
                <w:b/>
                <w:sz w:val="28"/>
                <w:szCs w:val="28"/>
              </w:rPr>
            </w:pPr>
            <w:r w:rsidRPr="008268C5">
              <w:rPr>
                <w:b/>
                <w:sz w:val="28"/>
                <w:szCs w:val="28"/>
              </w:rPr>
              <w:t>INF.</w:t>
            </w:r>
            <w:r>
              <w:rPr>
                <w:b/>
                <w:sz w:val="28"/>
                <w:szCs w:val="28"/>
              </w:rPr>
              <w:t>21/Add.1F</w:t>
            </w:r>
          </w:p>
        </w:tc>
      </w:tr>
    </w:tbl>
    <w:p w:rsidR="00D3494A" w:rsidRPr="008268C5" w:rsidRDefault="00865C76" w:rsidP="00D3494A">
      <w:pPr>
        <w:spacing w:before="120"/>
        <w:rPr>
          <w:b/>
          <w:sz w:val="28"/>
          <w:szCs w:val="28"/>
        </w:rPr>
      </w:pPr>
      <w:r>
        <w:rPr>
          <w:b/>
          <w:sz w:val="28"/>
          <w:szCs w:val="28"/>
        </w:rPr>
        <w:t xml:space="preserve">Commission </w:t>
      </w:r>
      <w:proofErr w:type="spellStart"/>
      <w:r>
        <w:rPr>
          <w:b/>
          <w:sz w:val="28"/>
          <w:szCs w:val="28"/>
        </w:rPr>
        <w:t>économique</w:t>
      </w:r>
      <w:proofErr w:type="spellEnd"/>
      <w:r>
        <w:rPr>
          <w:b/>
          <w:sz w:val="28"/>
          <w:szCs w:val="28"/>
        </w:rPr>
        <w:t xml:space="preserve"> pour </w:t>
      </w:r>
      <w:proofErr w:type="spellStart"/>
      <w:r>
        <w:rPr>
          <w:b/>
          <w:sz w:val="28"/>
          <w:szCs w:val="28"/>
        </w:rPr>
        <w:t>l’</w:t>
      </w:r>
      <w:r w:rsidR="00D3494A" w:rsidRPr="008268C5">
        <w:rPr>
          <w:b/>
          <w:sz w:val="28"/>
          <w:szCs w:val="28"/>
        </w:rPr>
        <w:t>Europe</w:t>
      </w:r>
      <w:proofErr w:type="spellEnd"/>
    </w:p>
    <w:p w:rsidR="00D3494A" w:rsidRPr="008268C5" w:rsidRDefault="00865C76" w:rsidP="00D3494A">
      <w:pPr>
        <w:spacing w:before="120"/>
        <w:rPr>
          <w:sz w:val="28"/>
          <w:szCs w:val="28"/>
        </w:rPr>
      </w:pPr>
      <w:proofErr w:type="spellStart"/>
      <w:r>
        <w:rPr>
          <w:sz w:val="28"/>
          <w:szCs w:val="28"/>
        </w:rPr>
        <w:t>Comité</w:t>
      </w:r>
      <w:proofErr w:type="spellEnd"/>
      <w:r>
        <w:rPr>
          <w:sz w:val="28"/>
          <w:szCs w:val="28"/>
        </w:rPr>
        <w:t xml:space="preserve"> des transports </w:t>
      </w:r>
      <w:proofErr w:type="spellStart"/>
      <w:r>
        <w:rPr>
          <w:sz w:val="28"/>
          <w:szCs w:val="28"/>
        </w:rPr>
        <w:t>intérieurs</w:t>
      </w:r>
      <w:proofErr w:type="spellEnd"/>
    </w:p>
    <w:p w:rsidR="00D3494A" w:rsidRPr="008268C5" w:rsidRDefault="00865C76" w:rsidP="00D3494A">
      <w:pPr>
        <w:spacing w:before="120"/>
        <w:rPr>
          <w:b/>
          <w:sz w:val="24"/>
          <w:szCs w:val="24"/>
        </w:rPr>
      </w:pPr>
      <w:r>
        <w:rPr>
          <w:b/>
          <w:sz w:val="24"/>
          <w:szCs w:val="24"/>
        </w:rPr>
        <w:t xml:space="preserve">Groupe de travail des transports de </w:t>
      </w:r>
      <w:proofErr w:type="spellStart"/>
      <w:r>
        <w:rPr>
          <w:b/>
          <w:sz w:val="24"/>
          <w:szCs w:val="24"/>
        </w:rPr>
        <w:t>marchandises</w:t>
      </w:r>
      <w:proofErr w:type="spellEnd"/>
      <w:r>
        <w:rPr>
          <w:b/>
          <w:sz w:val="24"/>
          <w:szCs w:val="24"/>
        </w:rPr>
        <w:t xml:space="preserve"> </w:t>
      </w:r>
      <w:proofErr w:type="spellStart"/>
      <w:r>
        <w:rPr>
          <w:b/>
          <w:sz w:val="24"/>
          <w:szCs w:val="24"/>
        </w:rPr>
        <w:t>dangereuses</w:t>
      </w:r>
      <w:proofErr w:type="spellEnd"/>
    </w:p>
    <w:p w:rsidR="00D3494A" w:rsidRPr="008268C5" w:rsidRDefault="00D3494A" w:rsidP="00D3494A">
      <w:pPr>
        <w:spacing w:before="120"/>
        <w:rPr>
          <w:b/>
        </w:rPr>
      </w:pPr>
      <w:r>
        <w:rPr>
          <w:b/>
        </w:rPr>
        <w:t>105e session</w:t>
      </w:r>
      <w:r>
        <w:rPr>
          <w:b/>
        </w:rPr>
        <w:tab/>
      </w:r>
      <w:r>
        <w:rPr>
          <w:b/>
        </w:rPr>
        <w:tab/>
      </w:r>
      <w:r>
        <w:rPr>
          <w:b/>
        </w:rPr>
        <w:tab/>
      </w:r>
      <w:r>
        <w:rPr>
          <w:b/>
        </w:rPr>
        <w:tab/>
      </w:r>
      <w:r>
        <w:rPr>
          <w:b/>
        </w:rPr>
        <w:tab/>
      </w:r>
      <w:r>
        <w:rPr>
          <w:b/>
        </w:rPr>
        <w:tab/>
      </w:r>
      <w:r>
        <w:rPr>
          <w:b/>
        </w:rPr>
        <w:tab/>
      </w:r>
      <w:r>
        <w:rPr>
          <w:b/>
        </w:rPr>
        <w:tab/>
      </w:r>
      <w:r>
        <w:rPr>
          <w:b/>
        </w:rPr>
        <w:tab/>
      </w:r>
      <w:r w:rsidR="00865C76">
        <w:rPr>
          <w:b/>
        </w:rPr>
        <w:t xml:space="preserve">             </w:t>
      </w:r>
      <w:r w:rsidR="00F729EB">
        <w:rPr>
          <w:b/>
        </w:rPr>
        <w:t xml:space="preserve">1 </w:t>
      </w:r>
      <w:proofErr w:type="spellStart"/>
      <w:r w:rsidR="00F729EB">
        <w:rPr>
          <w:b/>
        </w:rPr>
        <w:t>novembre</w:t>
      </w:r>
      <w:proofErr w:type="spellEnd"/>
      <w:r>
        <w:rPr>
          <w:b/>
        </w:rPr>
        <w:t xml:space="preserve"> 2018</w:t>
      </w:r>
    </w:p>
    <w:p w:rsidR="00D3494A" w:rsidRPr="008268C5" w:rsidRDefault="00D3494A" w:rsidP="00D3494A">
      <w:r>
        <w:t>Genève</w:t>
      </w:r>
      <w:r w:rsidRPr="008268C5">
        <w:t xml:space="preserve">, </w:t>
      </w:r>
      <w:r>
        <w:t xml:space="preserve">6-9 </w:t>
      </w:r>
      <w:proofErr w:type="spellStart"/>
      <w:r>
        <w:t>novembre</w:t>
      </w:r>
      <w:proofErr w:type="spellEnd"/>
      <w:r w:rsidRPr="008268C5">
        <w:t xml:space="preserve"> 201</w:t>
      </w:r>
      <w:r>
        <w:t>8</w:t>
      </w:r>
    </w:p>
    <w:p w:rsidR="00D3494A" w:rsidRPr="00065466" w:rsidRDefault="00D3494A" w:rsidP="00D3494A">
      <w:r>
        <w:t xml:space="preserve">Point 4 de </w:t>
      </w:r>
      <w:proofErr w:type="spellStart"/>
      <w:r>
        <w:t>l’ordre</w:t>
      </w:r>
      <w:proofErr w:type="spellEnd"/>
      <w:r>
        <w:t xml:space="preserve"> du jour</w:t>
      </w:r>
    </w:p>
    <w:p w:rsidR="00D3494A" w:rsidRPr="00BC336B" w:rsidRDefault="00D3494A" w:rsidP="00D3494A">
      <w:pPr>
        <w:rPr>
          <w:b/>
          <w:bCs/>
          <w:lang w:val="de-AT"/>
        </w:rPr>
      </w:pPr>
      <w:proofErr w:type="spellStart"/>
      <w:r>
        <w:rPr>
          <w:b/>
          <w:bCs/>
        </w:rPr>
        <w:t>Travaux</w:t>
      </w:r>
      <w:proofErr w:type="spellEnd"/>
      <w:r>
        <w:rPr>
          <w:b/>
          <w:bCs/>
        </w:rPr>
        <w:t xml:space="preserve"> de la Réunion commune RID/ADR/ADN </w:t>
      </w:r>
    </w:p>
    <w:p w:rsidR="00D3494A" w:rsidRPr="00890ED4" w:rsidRDefault="00D3494A" w:rsidP="00D3494A">
      <w:pPr>
        <w:pStyle w:val="HChG"/>
      </w:pPr>
      <w:r>
        <w:tab/>
      </w:r>
      <w:r>
        <w:tab/>
      </w:r>
      <w:proofErr w:type="spellStart"/>
      <w:r w:rsidR="00867571">
        <w:rPr>
          <w:bCs/>
        </w:rPr>
        <w:t>Recomma</w:t>
      </w:r>
      <w:r>
        <w:rPr>
          <w:bCs/>
        </w:rPr>
        <w:t>ndations</w:t>
      </w:r>
      <w:proofErr w:type="spellEnd"/>
      <w:r>
        <w:rPr>
          <w:bCs/>
        </w:rPr>
        <w:t xml:space="preserve"> de la Réunion </w:t>
      </w:r>
      <w:r w:rsidR="00487A97">
        <w:rPr>
          <w:bCs/>
        </w:rPr>
        <w:t>c</w:t>
      </w:r>
      <w:r>
        <w:rPr>
          <w:bCs/>
        </w:rPr>
        <w:t xml:space="preserve">ommune RID/ADR/ADN à </w:t>
      </w:r>
      <w:proofErr w:type="spellStart"/>
      <w:r>
        <w:rPr>
          <w:bCs/>
        </w:rPr>
        <w:t>sa</w:t>
      </w:r>
      <w:proofErr w:type="spellEnd"/>
      <w:r>
        <w:rPr>
          <w:bCs/>
        </w:rPr>
        <w:t xml:space="preserve"> session </w:t>
      </w:r>
      <w:proofErr w:type="spellStart"/>
      <w:r>
        <w:rPr>
          <w:bCs/>
        </w:rPr>
        <w:t>d’automne</w:t>
      </w:r>
      <w:proofErr w:type="spellEnd"/>
      <w:r>
        <w:rPr>
          <w:bCs/>
        </w:rPr>
        <w:t xml:space="preserve"> 2018</w:t>
      </w:r>
    </w:p>
    <w:p w:rsidR="00D3494A" w:rsidRDefault="00D3494A" w:rsidP="00D3494A">
      <w:pPr>
        <w:pStyle w:val="H1G"/>
      </w:pPr>
      <w:r>
        <w:tab/>
      </w:r>
      <w:r>
        <w:tab/>
      </w:r>
      <w:r w:rsidR="00867571">
        <w:t xml:space="preserve">Note du </w:t>
      </w:r>
      <w:bookmarkStart w:id="0" w:name="_GoBack"/>
      <w:bookmarkEnd w:id="0"/>
      <w:proofErr w:type="spellStart"/>
      <w:r>
        <w:t>secrétariat</w:t>
      </w:r>
      <w:proofErr w:type="spellEnd"/>
    </w:p>
    <w:p w:rsidR="00D3494A" w:rsidRPr="005264BB" w:rsidRDefault="00D3494A" w:rsidP="00D3494A">
      <w:pPr>
        <w:pStyle w:val="H23G"/>
      </w:pPr>
      <w:r>
        <w:tab/>
      </w:r>
      <w:r>
        <w:tab/>
      </w:r>
    </w:p>
    <w:p w:rsidR="00D3494A" w:rsidRDefault="00D3494A" w:rsidP="00D3494A">
      <w:pPr>
        <w:pStyle w:val="SingleTxtG"/>
      </w:pPr>
    </w:p>
    <w:p w:rsidR="00D3494A" w:rsidRDefault="00D3494A" w:rsidP="00D3494A">
      <w:pPr>
        <w:pStyle w:val="SingleTxtG"/>
      </w:pPr>
    </w:p>
    <w:p w:rsidR="00D3494A" w:rsidRDefault="00D3494A" w:rsidP="00D3494A">
      <w:pPr>
        <w:pStyle w:val="HChG"/>
      </w:pPr>
      <w:r>
        <w:tab/>
      </w:r>
      <w:r>
        <w:tab/>
      </w:r>
    </w:p>
    <w:p w:rsidR="00D3494A" w:rsidRDefault="00D3494A" w:rsidP="00D3494A">
      <w:pPr>
        <w:pStyle w:val="HChG"/>
      </w:pPr>
    </w:p>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Default="00D3494A" w:rsidP="00D3494A"/>
    <w:p w:rsidR="00D3494A" w:rsidRPr="005264BB" w:rsidRDefault="00D3494A" w:rsidP="00D3494A"/>
    <w:p w:rsidR="00D3494A" w:rsidRDefault="00D3494A" w:rsidP="00D3494A">
      <w:pPr>
        <w:pStyle w:val="HChG"/>
      </w:pPr>
      <w:r>
        <w:tab/>
      </w:r>
      <w:r>
        <w:tab/>
      </w:r>
    </w:p>
    <w:p w:rsidR="00D3494A" w:rsidRDefault="00D3494A" w:rsidP="00D3494A">
      <w:pPr>
        <w:suppressAutoHyphens w:val="0"/>
        <w:spacing w:line="240" w:lineRule="auto"/>
        <w:rPr>
          <w:b/>
          <w:sz w:val="28"/>
        </w:rPr>
      </w:pPr>
      <w:r>
        <w:br w:type="page"/>
      </w:r>
    </w:p>
    <w:p w:rsidR="00D3494A" w:rsidRDefault="00604F15" w:rsidP="00D3494A">
      <w:pPr>
        <w:pStyle w:val="HChG"/>
      </w:pPr>
      <w:r>
        <w:lastRenderedPageBreak/>
        <w:tab/>
      </w:r>
      <w:r>
        <w:tab/>
        <w:t>Annexe</w:t>
      </w:r>
      <w:r w:rsidR="00D3494A">
        <w:t xml:space="preserve"> I</w:t>
      </w:r>
    </w:p>
    <w:p w:rsidR="00D3494A" w:rsidRPr="00890ED4" w:rsidRDefault="00D3494A" w:rsidP="00D3494A">
      <w:pPr>
        <w:pStyle w:val="HChG"/>
      </w:pPr>
      <w:r>
        <w:tab/>
      </w:r>
      <w:r>
        <w:tab/>
      </w:r>
      <w:proofErr w:type="spellStart"/>
      <w:r w:rsidR="00865C76">
        <w:t>Projet</w:t>
      </w:r>
      <w:proofErr w:type="spellEnd"/>
      <w:r w:rsidR="00865C76">
        <w:t xml:space="preserve"> </w:t>
      </w:r>
      <w:proofErr w:type="spellStart"/>
      <w:r w:rsidR="00865C76">
        <w:t>d’amendements</w:t>
      </w:r>
      <w:proofErr w:type="spellEnd"/>
      <w:r w:rsidR="00865C76">
        <w:t xml:space="preserve"> pour les </w:t>
      </w:r>
      <w:proofErr w:type="spellStart"/>
      <w:r w:rsidR="00865C76">
        <w:t>norm</w:t>
      </w:r>
      <w:r w:rsidR="000A03BD">
        <w:t>e</w:t>
      </w:r>
      <w:r w:rsidR="00865C76">
        <w:t>s</w:t>
      </w:r>
      <w:proofErr w:type="spellEnd"/>
      <w:r w:rsidR="00865C76">
        <w:t xml:space="preserve">, </w:t>
      </w:r>
      <w:proofErr w:type="spellStart"/>
      <w:r w:rsidR="00865C76">
        <w:t>adopté</w:t>
      </w:r>
      <w:r w:rsidR="00D81B14">
        <w:t>s</w:t>
      </w:r>
      <w:proofErr w:type="spellEnd"/>
      <w:r w:rsidR="00865C76">
        <w:t xml:space="preserve"> par la Réunion commune pour entrée </w:t>
      </w:r>
      <w:proofErr w:type="spellStart"/>
      <w:r w:rsidR="00865C76">
        <w:t>en</w:t>
      </w:r>
      <w:proofErr w:type="spellEnd"/>
      <w:r w:rsidR="00865C76">
        <w:t xml:space="preserve"> </w:t>
      </w:r>
      <w:proofErr w:type="spellStart"/>
      <w:r w:rsidR="00865C76">
        <w:t>vigueur</w:t>
      </w:r>
      <w:proofErr w:type="spellEnd"/>
      <w:r w:rsidR="00865C76">
        <w:t xml:space="preserve"> le 1 </w:t>
      </w:r>
      <w:proofErr w:type="spellStart"/>
      <w:r w:rsidR="00865C76">
        <w:t>janvier</w:t>
      </w:r>
      <w:proofErr w:type="spellEnd"/>
      <w:r w:rsidR="00865C76">
        <w:t xml:space="preserve"> 2021</w:t>
      </w:r>
    </w:p>
    <w:p w:rsidR="00D3494A" w:rsidRPr="00DB762A" w:rsidRDefault="00D3494A" w:rsidP="00D3494A">
      <w:pPr>
        <w:pStyle w:val="H1G"/>
      </w:pPr>
      <w:r>
        <w:tab/>
      </w:r>
      <w:r>
        <w:tab/>
      </w:r>
      <w:proofErr w:type="spellStart"/>
      <w:r w:rsidRPr="00DB762A">
        <w:t>Chap</w:t>
      </w:r>
      <w:r w:rsidR="004D4909">
        <w:t>itre</w:t>
      </w:r>
      <w:proofErr w:type="spellEnd"/>
      <w:r w:rsidRPr="00DB762A">
        <w:t xml:space="preserve"> 6.2</w:t>
      </w:r>
    </w:p>
    <w:p w:rsidR="004D4909" w:rsidRPr="00364FEF" w:rsidRDefault="00D3494A" w:rsidP="004D4909">
      <w:pPr>
        <w:pStyle w:val="SingleTxtG"/>
        <w:rPr>
          <w:lang w:val="fr-FR"/>
        </w:rPr>
      </w:pPr>
      <w:r w:rsidRPr="00DB762A">
        <w:t>6.2.4.1</w:t>
      </w:r>
      <w:r w:rsidRPr="00DB762A">
        <w:tab/>
      </w:r>
      <w:r w:rsidR="004D4909" w:rsidRPr="00364FEF">
        <w:rPr>
          <w:lang w:val="fr-FR"/>
        </w:rPr>
        <w:t xml:space="preserve">Modifier le tableau comme </w:t>
      </w:r>
      <w:proofErr w:type="gramStart"/>
      <w:r w:rsidR="004D4909" w:rsidRPr="00364FEF">
        <w:rPr>
          <w:lang w:val="fr-FR"/>
        </w:rPr>
        <w:t>suit :</w:t>
      </w:r>
      <w:proofErr w:type="gramEnd"/>
    </w:p>
    <w:p w:rsidR="004D4909" w:rsidRDefault="004D4909" w:rsidP="00C5253D">
      <w:pPr>
        <w:pStyle w:val="SingleTxtG"/>
        <w:ind w:firstLine="306"/>
        <w:rPr>
          <w:b/>
          <w:bCs/>
          <w:i/>
          <w:iCs/>
          <w:lang w:val="fr-FR" w:eastAsia="zh-CN"/>
        </w:rPr>
      </w:pPr>
      <w:r w:rsidRPr="00364FEF">
        <w:rPr>
          <w:lang w:val="fr-FR"/>
        </w:rPr>
        <w:t>a)</w:t>
      </w:r>
      <w:r w:rsidRPr="00364FEF">
        <w:rPr>
          <w:lang w:val="fr-FR"/>
        </w:rPr>
        <w:tab/>
        <w:t>Sous « </w:t>
      </w:r>
      <w:r w:rsidRPr="00364FEF">
        <w:rPr>
          <w:b/>
          <w:bCs/>
          <w:i/>
          <w:iCs/>
          <w:lang w:val="fr-FR" w:eastAsia="zh-CN"/>
        </w:rPr>
        <w:t>Pour la conception et la fabrication</w:t>
      </w:r>
      <w:r>
        <w:rPr>
          <w:b/>
          <w:bCs/>
          <w:i/>
          <w:iCs/>
          <w:lang w:val="fr-FR" w:eastAsia="zh-CN"/>
        </w:rPr>
        <w:t> </w:t>
      </w:r>
      <w:proofErr w:type="gramStart"/>
      <w:r>
        <w:rPr>
          <w:b/>
          <w:bCs/>
          <w:i/>
          <w:iCs/>
          <w:lang w:val="fr-FR" w:eastAsia="zh-CN"/>
        </w:rPr>
        <w:t>»</w:t>
      </w:r>
      <w:r w:rsidRPr="00055EA2">
        <w:rPr>
          <w:i/>
          <w:iCs/>
          <w:lang w:val="fr-FR" w:eastAsia="zh-CN"/>
        </w:rPr>
        <w:t>:</w:t>
      </w:r>
      <w:proofErr w:type="gramEnd"/>
    </w:p>
    <w:p w:rsidR="004D4909" w:rsidRPr="00364FEF" w:rsidRDefault="004D4909" w:rsidP="004D4909">
      <w:pPr>
        <w:pStyle w:val="Bullet1G"/>
        <w:numPr>
          <w:ilvl w:val="0"/>
          <w:numId w:val="4"/>
        </w:numPr>
        <w:kinsoku w:val="0"/>
        <w:overflowPunct w:val="0"/>
        <w:autoSpaceDE w:val="0"/>
        <w:autoSpaceDN w:val="0"/>
        <w:adjustRightInd w:val="0"/>
        <w:snapToGrid w:val="0"/>
        <w:rPr>
          <w:lang w:val="fr-FR"/>
        </w:rPr>
      </w:pPr>
      <w:r>
        <w:rPr>
          <w:lang w:val="fr-FR"/>
        </w:rPr>
        <w:t xml:space="preserve">Insérer </w:t>
      </w:r>
      <w:r w:rsidRPr="00364FEF">
        <w:rPr>
          <w:lang w:val="fr-FR"/>
        </w:rPr>
        <w:t>le nota suivant </w:t>
      </w:r>
      <w:r>
        <w:rPr>
          <w:lang w:val="fr-FR"/>
        </w:rPr>
        <w:t xml:space="preserve">à la colonne (2), </w:t>
      </w:r>
      <w:r w:rsidRPr="00364FEF">
        <w:rPr>
          <w:lang w:val="fr-FR"/>
        </w:rPr>
        <w:t xml:space="preserve">après les références aux directives </w:t>
      </w:r>
      <w:r w:rsidRPr="003B1372">
        <w:rPr>
          <w:lang w:val="fr-FR"/>
        </w:rPr>
        <w:t>84/525/CEE, 84/526/CEE et 84/527/</w:t>
      </w:r>
      <w:proofErr w:type="gramStart"/>
      <w:r w:rsidRPr="003B1372">
        <w:rPr>
          <w:lang w:val="fr-FR"/>
        </w:rPr>
        <w:t>CEE</w:t>
      </w:r>
      <w:r w:rsidRPr="00364FEF">
        <w:rPr>
          <w:lang w:val="fr-FR"/>
        </w:rPr>
        <w:t>:</w:t>
      </w:r>
      <w:proofErr w:type="gramEnd"/>
      <w:r w:rsidRPr="00364FEF">
        <w:rPr>
          <w:lang w:val="fr-FR"/>
        </w:rPr>
        <w:t xml:space="preserve"> </w:t>
      </w:r>
    </w:p>
    <w:p w:rsidR="004D4909" w:rsidRPr="003B1372" w:rsidRDefault="004D4909" w:rsidP="004D4909">
      <w:pPr>
        <w:pStyle w:val="SingleTxtG"/>
        <w:ind w:left="1701"/>
        <w:rPr>
          <w:i/>
          <w:iCs/>
          <w:lang w:val="fr-FR"/>
        </w:rPr>
      </w:pPr>
      <w:r w:rsidRPr="003B1372">
        <w:rPr>
          <w:i/>
          <w:iCs/>
          <w:lang w:val="fr-FR"/>
        </w:rPr>
        <w:t xml:space="preserve">« </w:t>
      </w:r>
      <w:r w:rsidRPr="003B1372">
        <w:rPr>
          <w:b/>
          <w:bCs/>
          <w:i/>
          <w:iCs/>
          <w:lang w:val="fr-FR"/>
        </w:rPr>
        <w:t>NOTA :</w:t>
      </w:r>
      <w:r w:rsidRPr="003B1372">
        <w:rPr>
          <w:i/>
          <w:iCs/>
          <w:lang w:val="fr-FR"/>
        </w:rPr>
        <w:t xml:space="preserve"> Malgré l'abrogation des directives 84/525/CEE, 84/526/CEE et 84/527/CEE, telles que publiées au Journal officiel des Communautés européennes No L300 de 19 novembre 1984, les annexes de ces directives demeurent applicables en tant que normes pour la conception, la fabrication et les contrôle et épreuve initiaux pour les bouteilles </w:t>
      </w:r>
      <w:r>
        <w:rPr>
          <w:i/>
          <w:iCs/>
          <w:lang w:val="fr-FR"/>
        </w:rPr>
        <w:t>à</w:t>
      </w:r>
      <w:r w:rsidRPr="003B1372">
        <w:rPr>
          <w:i/>
          <w:iCs/>
          <w:lang w:val="fr-FR"/>
        </w:rPr>
        <w:t xml:space="preserve"> gaz. Ces annexes peuvent être consultées à l’adresse </w:t>
      </w:r>
      <w:proofErr w:type="gramStart"/>
      <w:r w:rsidRPr="003B1372">
        <w:rPr>
          <w:i/>
          <w:iCs/>
          <w:lang w:val="fr-FR"/>
        </w:rPr>
        <w:t>suivante:</w:t>
      </w:r>
      <w:proofErr w:type="gramEnd"/>
      <w:r w:rsidRPr="003B1372">
        <w:rPr>
          <w:i/>
          <w:iCs/>
          <w:lang w:val="fr-FR"/>
        </w:rPr>
        <w:t xml:space="preserve"> </w:t>
      </w:r>
      <w:hyperlink r:id="rId8" w:history="1">
        <w:r w:rsidRPr="003B1372">
          <w:rPr>
            <w:rStyle w:val="Hyperlink"/>
            <w:i/>
            <w:iCs/>
            <w:lang w:val="fr-FR"/>
          </w:rPr>
          <w:t>https://eur-lex.europa.eu/oj/direct-access.html</w:t>
        </w:r>
      </w:hyperlink>
      <w:r w:rsidRPr="003B1372">
        <w:rPr>
          <w:i/>
          <w:iCs/>
          <w:lang w:val="fr-FR"/>
        </w:rPr>
        <w:t> ».</w:t>
      </w:r>
    </w:p>
    <w:p w:rsidR="00275D09" w:rsidRPr="003B1372" w:rsidRDefault="00275D09" w:rsidP="00275D09">
      <w:pPr>
        <w:pStyle w:val="Bullet1G"/>
        <w:numPr>
          <w:ilvl w:val="0"/>
          <w:numId w:val="3"/>
        </w:numPr>
        <w:kinsoku w:val="0"/>
        <w:overflowPunct w:val="0"/>
        <w:autoSpaceDE w:val="0"/>
        <w:autoSpaceDN w:val="0"/>
        <w:adjustRightInd w:val="0"/>
        <w:snapToGrid w:val="0"/>
        <w:rPr>
          <w:lang w:val="fr-FR"/>
        </w:rPr>
      </w:pPr>
      <w:r w:rsidRPr="00364FEF">
        <w:rPr>
          <w:lang w:val="fr-FR"/>
        </w:rPr>
        <w:t xml:space="preserve">Pour « EN </w:t>
      </w:r>
      <w:proofErr w:type="gramStart"/>
      <w:r w:rsidRPr="00364FEF">
        <w:rPr>
          <w:lang w:val="fr-FR"/>
        </w:rPr>
        <w:t>12807:</w:t>
      </w:r>
      <w:proofErr w:type="gramEnd"/>
      <w:r w:rsidRPr="00364FEF">
        <w:rPr>
          <w:lang w:val="fr-FR"/>
        </w:rPr>
        <w:t>2008 », dans la colonne (4), remplacer le texte existant par « </w:t>
      </w:r>
      <w:r>
        <w:rPr>
          <w:rFonts w:eastAsia="MS Mincho"/>
          <w:lang w:val="fr-FR"/>
        </w:rPr>
        <w:t>Entre le 1</w:t>
      </w:r>
      <w:r w:rsidRPr="00364FEF">
        <w:rPr>
          <w:rFonts w:eastAsia="MS Mincho"/>
          <w:lang w:val="fr-FR"/>
        </w:rPr>
        <w:t>er janvier 2019 et le 31 décembre 2022 ».</w:t>
      </w:r>
      <w:r w:rsidRPr="003B1372">
        <w:rPr>
          <w:lang w:val="fr-FR"/>
        </w:rPr>
        <w:t xml:space="preserve"> </w:t>
      </w:r>
    </w:p>
    <w:p w:rsidR="00275D09" w:rsidRPr="00364FEF" w:rsidRDefault="00275D09" w:rsidP="00275D09">
      <w:pPr>
        <w:pStyle w:val="Bullet1G"/>
        <w:numPr>
          <w:ilvl w:val="0"/>
          <w:numId w:val="3"/>
        </w:numPr>
        <w:kinsoku w:val="0"/>
        <w:overflowPunct w:val="0"/>
        <w:autoSpaceDE w:val="0"/>
        <w:autoSpaceDN w:val="0"/>
        <w:adjustRightInd w:val="0"/>
        <w:snapToGrid w:val="0"/>
        <w:rPr>
          <w:b/>
          <w:iCs/>
          <w:sz w:val="18"/>
          <w:szCs w:val="18"/>
          <w:lang w:val="fr-FR"/>
        </w:rPr>
      </w:pPr>
      <w:r w:rsidRPr="003B1372">
        <w:rPr>
          <w:lang w:val="fr-FR"/>
        </w:rPr>
        <w:t xml:space="preserve">Après la rubrique existante pour la norme </w:t>
      </w:r>
      <w:r w:rsidRPr="00364FEF">
        <w:rPr>
          <w:lang w:val="fr-FR"/>
        </w:rPr>
        <w:t xml:space="preserve">« EN </w:t>
      </w:r>
      <w:proofErr w:type="gramStart"/>
      <w:r w:rsidRPr="00364FEF">
        <w:rPr>
          <w:lang w:val="fr-FR"/>
        </w:rPr>
        <w:t>12807:</w:t>
      </w:r>
      <w:proofErr w:type="gramEnd"/>
      <w:r w:rsidRPr="00364FEF">
        <w:rPr>
          <w:lang w:val="fr-FR"/>
        </w:rPr>
        <w:t>2008 », ajouter la nouvelle rubrique suivante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993"/>
        <w:gridCol w:w="1080"/>
        <w:gridCol w:w="1710"/>
        <w:gridCol w:w="410"/>
      </w:tblGrid>
      <w:tr w:rsidR="00275D09" w:rsidRPr="003B1372" w:rsidTr="00C5253D">
        <w:trPr>
          <w:jc w:val="center"/>
        </w:trPr>
        <w:tc>
          <w:tcPr>
            <w:tcW w:w="1312" w:type="dxa"/>
          </w:tcPr>
          <w:p w:rsidR="00275D09" w:rsidRPr="00364FEF" w:rsidRDefault="00275D09" w:rsidP="00E9067C">
            <w:pPr>
              <w:widowControl w:val="0"/>
              <w:spacing w:before="40" w:after="40"/>
              <w:jc w:val="center"/>
              <w:rPr>
                <w:rFonts w:asciiTheme="majorBidi" w:hAnsiTheme="majorBidi" w:cstheme="majorBidi"/>
                <w:bCs/>
                <w:sz w:val="18"/>
                <w:szCs w:val="18"/>
                <w:lang w:val="fr-FR"/>
              </w:rPr>
            </w:pPr>
            <w:r w:rsidRPr="00364FEF">
              <w:rPr>
                <w:rFonts w:asciiTheme="majorBidi" w:hAnsiTheme="majorBidi" w:cstheme="majorBidi"/>
                <w:bCs/>
                <w:iCs/>
                <w:sz w:val="18"/>
                <w:szCs w:val="18"/>
                <w:lang w:val="fr-FR"/>
              </w:rPr>
              <w:t xml:space="preserve">EN </w:t>
            </w:r>
            <w:proofErr w:type="gramStart"/>
            <w:r w:rsidRPr="00364FEF">
              <w:rPr>
                <w:rFonts w:asciiTheme="majorBidi" w:hAnsiTheme="majorBidi" w:cstheme="majorBidi"/>
                <w:bCs/>
                <w:iCs/>
                <w:sz w:val="18"/>
                <w:szCs w:val="18"/>
                <w:lang w:val="fr-FR"/>
              </w:rPr>
              <w:t>12807:[</w:t>
            </w:r>
            <w:proofErr w:type="gramEnd"/>
            <w:r w:rsidRPr="00364FEF">
              <w:rPr>
                <w:rFonts w:asciiTheme="majorBidi" w:hAnsiTheme="majorBidi" w:cstheme="majorBidi"/>
                <w:bCs/>
                <w:iCs/>
                <w:sz w:val="18"/>
                <w:szCs w:val="18"/>
                <w:lang w:val="fr-FR"/>
              </w:rPr>
              <w:t>2019]</w:t>
            </w:r>
          </w:p>
        </w:tc>
        <w:tc>
          <w:tcPr>
            <w:tcW w:w="3993" w:type="dxa"/>
            <w:vAlign w:val="center"/>
          </w:tcPr>
          <w:p w:rsidR="00275D09" w:rsidRPr="00364FEF" w:rsidRDefault="00275D09" w:rsidP="00E9067C">
            <w:pPr>
              <w:widowControl w:val="0"/>
              <w:spacing w:before="40" w:after="40"/>
              <w:rPr>
                <w:rFonts w:asciiTheme="majorBidi" w:hAnsiTheme="majorBidi" w:cstheme="majorBidi"/>
                <w:bCs/>
                <w:sz w:val="18"/>
                <w:szCs w:val="18"/>
                <w:highlight w:val="green"/>
                <w:lang w:val="fr-FR"/>
              </w:rPr>
            </w:pPr>
            <w:r>
              <w:rPr>
                <w:rFonts w:asciiTheme="majorBidi" w:eastAsia="MS Mincho" w:hAnsiTheme="majorBidi" w:cstheme="majorBidi"/>
                <w:bCs/>
                <w:sz w:val="18"/>
                <w:szCs w:val="18"/>
                <w:lang w:val="fr-FR" w:eastAsia="fr-FR"/>
              </w:rPr>
              <w:t>É</w:t>
            </w:r>
            <w:r w:rsidRPr="00055EA2">
              <w:rPr>
                <w:rFonts w:asciiTheme="majorBidi" w:eastAsia="MS Mincho" w:hAnsiTheme="majorBidi" w:cstheme="majorBidi"/>
                <w:bCs/>
                <w:sz w:val="18"/>
                <w:szCs w:val="18"/>
                <w:lang w:val="fr-FR" w:eastAsia="fr-FR"/>
              </w:rPr>
              <w:t>quipement et accessoires pour GPL - Bouteilles transportables et rechargeables en acier brasé pour gaz de pétrole liquéfié (GPL) - Conception et fabrication</w:t>
            </w:r>
          </w:p>
        </w:tc>
        <w:tc>
          <w:tcPr>
            <w:tcW w:w="1080" w:type="dxa"/>
          </w:tcPr>
          <w:p w:rsidR="00275D09" w:rsidRPr="00364FEF" w:rsidRDefault="00275D09" w:rsidP="00E9067C">
            <w:pPr>
              <w:widowControl w:val="0"/>
              <w:spacing w:before="40" w:after="40"/>
              <w:rPr>
                <w:rFonts w:asciiTheme="majorBidi" w:hAnsiTheme="majorBidi" w:cstheme="majorBidi"/>
                <w:bCs/>
                <w:sz w:val="18"/>
                <w:szCs w:val="18"/>
                <w:highlight w:val="green"/>
                <w:lang w:val="fr-FR"/>
              </w:rPr>
            </w:pPr>
            <w:r w:rsidRPr="00364FEF">
              <w:rPr>
                <w:rFonts w:asciiTheme="majorBidi" w:hAnsiTheme="majorBidi" w:cstheme="majorBidi"/>
                <w:bCs/>
                <w:sz w:val="18"/>
                <w:szCs w:val="18"/>
                <w:lang w:val="fr-FR"/>
              </w:rPr>
              <w:t>6.2.3.1 et 6.2.3.4</w:t>
            </w:r>
          </w:p>
        </w:tc>
        <w:tc>
          <w:tcPr>
            <w:tcW w:w="1710" w:type="dxa"/>
            <w:shd w:val="clear" w:color="auto" w:fill="auto"/>
          </w:tcPr>
          <w:p w:rsidR="00275D09" w:rsidRPr="00364FEF" w:rsidRDefault="00275D09" w:rsidP="00E9067C">
            <w:pPr>
              <w:widowControl w:val="0"/>
              <w:spacing w:before="40" w:after="40"/>
              <w:jc w:val="center"/>
              <w:rPr>
                <w:rFonts w:asciiTheme="majorBidi" w:hAnsiTheme="majorBidi" w:cstheme="majorBidi"/>
                <w:bCs/>
                <w:sz w:val="18"/>
                <w:szCs w:val="18"/>
                <w:lang w:val="fr-FR"/>
              </w:rPr>
            </w:pPr>
            <w:r w:rsidRPr="00364FEF">
              <w:rPr>
                <w:rFonts w:asciiTheme="majorBidi" w:hAnsiTheme="majorBidi" w:cstheme="majorBidi"/>
                <w:bCs/>
                <w:sz w:val="18"/>
                <w:szCs w:val="18"/>
                <w:lang w:val="fr-FR"/>
              </w:rPr>
              <w:t>Jusqu’à nouvel ordre</w:t>
            </w:r>
          </w:p>
        </w:tc>
        <w:tc>
          <w:tcPr>
            <w:tcW w:w="410" w:type="dxa"/>
            <w:shd w:val="clear" w:color="auto" w:fill="auto"/>
          </w:tcPr>
          <w:p w:rsidR="00275D09" w:rsidRPr="00364FEF" w:rsidRDefault="00275D09" w:rsidP="00E9067C">
            <w:pPr>
              <w:widowControl w:val="0"/>
              <w:spacing w:before="40" w:after="40"/>
              <w:jc w:val="center"/>
              <w:rPr>
                <w:rFonts w:asciiTheme="majorBidi" w:hAnsiTheme="majorBidi" w:cstheme="majorBidi"/>
                <w:bCs/>
                <w:sz w:val="18"/>
                <w:szCs w:val="18"/>
                <w:lang w:val="fr-FR"/>
              </w:rPr>
            </w:pPr>
          </w:p>
        </w:tc>
      </w:tr>
    </w:tbl>
    <w:p w:rsidR="00275D09" w:rsidRPr="00364FEF" w:rsidRDefault="00275D09" w:rsidP="00C5253D">
      <w:pPr>
        <w:pStyle w:val="SingleTxtG"/>
        <w:spacing w:before="240"/>
        <w:ind w:firstLine="306"/>
        <w:rPr>
          <w:lang w:val="fr-FR"/>
        </w:rPr>
      </w:pPr>
      <w:r w:rsidRPr="00364FEF">
        <w:rPr>
          <w:lang w:val="fr-FR"/>
        </w:rPr>
        <w:t>b)</w:t>
      </w:r>
      <w:r w:rsidRPr="00364FEF">
        <w:rPr>
          <w:lang w:val="fr-FR"/>
        </w:rPr>
        <w:tab/>
        <w:t>Sous « </w:t>
      </w:r>
      <w:r w:rsidRPr="00364FEF">
        <w:rPr>
          <w:b/>
          <w:bCs/>
          <w:i/>
          <w:iCs/>
          <w:lang w:val="fr-FR" w:eastAsia="zh-CN"/>
        </w:rPr>
        <w:t>Pour les fermetures</w:t>
      </w:r>
      <w:r w:rsidRPr="003B1372">
        <w:rPr>
          <w:b/>
          <w:bCs/>
          <w:i/>
          <w:iCs/>
          <w:lang w:val="fr-FR" w:eastAsia="zh-CN"/>
        </w:rPr>
        <w:t> »</w:t>
      </w:r>
      <w:r w:rsidRPr="00364FEF">
        <w:rPr>
          <w:b/>
          <w:bCs/>
          <w:i/>
          <w:iCs/>
          <w:lang w:val="fr-FR" w:eastAsia="zh-CN"/>
        </w:rPr>
        <w:t xml:space="preserve"> </w:t>
      </w:r>
      <w:r w:rsidRPr="00055EA2">
        <w:rPr>
          <w:i/>
          <w:iCs/>
          <w:lang w:val="fr-FR" w:eastAsia="zh-CN"/>
        </w:rPr>
        <w:t>:</w:t>
      </w:r>
    </w:p>
    <w:p w:rsidR="00275D09" w:rsidRPr="00364FEF" w:rsidRDefault="00275D09" w:rsidP="00275D09">
      <w:pPr>
        <w:pStyle w:val="Bullet1G"/>
        <w:numPr>
          <w:ilvl w:val="0"/>
          <w:numId w:val="3"/>
        </w:numPr>
        <w:kinsoku w:val="0"/>
        <w:overflowPunct w:val="0"/>
        <w:autoSpaceDE w:val="0"/>
        <w:autoSpaceDN w:val="0"/>
        <w:adjustRightInd w:val="0"/>
        <w:snapToGrid w:val="0"/>
        <w:rPr>
          <w:lang w:val="fr-FR"/>
        </w:rPr>
      </w:pPr>
      <w:r w:rsidRPr="00364FEF">
        <w:rPr>
          <w:lang w:val="fr-FR"/>
        </w:rPr>
        <w:t>Pour « EN ISO </w:t>
      </w:r>
      <w:proofErr w:type="gramStart"/>
      <w:r w:rsidRPr="00364FEF">
        <w:rPr>
          <w:lang w:val="fr-FR"/>
        </w:rPr>
        <w:t>17871:</w:t>
      </w:r>
      <w:proofErr w:type="gramEnd"/>
      <w:r w:rsidRPr="00364FEF">
        <w:rPr>
          <w:lang w:val="fr-FR"/>
        </w:rPr>
        <w:t xml:space="preserve">2015 », dans la colonne (4), remplacer le texte existant par « Entre le 1er janvier 2017 et le 31 décembre 2021 ». </w:t>
      </w:r>
    </w:p>
    <w:p w:rsidR="003E77B2" w:rsidRPr="00364FEF" w:rsidRDefault="003E77B2" w:rsidP="003E77B2">
      <w:pPr>
        <w:pStyle w:val="Bullet1G"/>
        <w:numPr>
          <w:ilvl w:val="0"/>
          <w:numId w:val="3"/>
        </w:numPr>
        <w:kinsoku w:val="0"/>
        <w:overflowPunct w:val="0"/>
        <w:autoSpaceDE w:val="0"/>
        <w:autoSpaceDN w:val="0"/>
        <w:adjustRightInd w:val="0"/>
        <w:snapToGrid w:val="0"/>
        <w:rPr>
          <w:lang w:val="fr-FR"/>
        </w:rPr>
      </w:pPr>
      <w:r w:rsidRPr="003B1372">
        <w:rPr>
          <w:lang w:val="fr-FR"/>
        </w:rPr>
        <w:t xml:space="preserve">Après la rubrique existante pour la norme </w:t>
      </w:r>
      <w:r w:rsidRPr="00364FEF">
        <w:rPr>
          <w:lang w:val="fr-FR"/>
        </w:rPr>
        <w:t>« EN ISO </w:t>
      </w:r>
      <w:proofErr w:type="gramStart"/>
      <w:r w:rsidRPr="00364FEF">
        <w:rPr>
          <w:lang w:val="fr-FR"/>
        </w:rPr>
        <w:t>17871:</w:t>
      </w:r>
      <w:proofErr w:type="gramEnd"/>
      <w:r w:rsidRPr="00364FEF">
        <w:rPr>
          <w:lang w:val="fr-FR"/>
        </w:rPr>
        <w:t>2015 », ajouter la nouvelle rubrique suivante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056"/>
        <w:gridCol w:w="1063"/>
        <w:gridCol w:w="1721"/>
        <w:gridCol w:w="410"/>
      </w:tblGrid>
      <w:tr w:rsidR="003E77B2" w:rsidRPr="003B1372" w:rsidTr="00C5253D">
        <w:trPr>
          <w:jc w:val="center"/>
        </w:trPr>
        <w:tc>
          <w:tcPr>
            <w:tcW w:w="1255" w:type="dxa"/>
            <w:vAlign w:val="center"/>
          </w:tcPr>
          <w:p w:rsidR="003E77B2" w:rsidRPr="00364FEF" w:rsidRDefault="003E77B2" w:rsidP="00E9067C">
            <w:pPr>
              <w:widowControl w:val="0"/>
              <w:spacing w:before="60" w:after="60"/>
              <w:rPr>
                <w:rFonts w:asciiTheme="majorBidi" w:hAnsiTheme="majorBidi" w:cstheme="majorBidi"/>
                <w:sz w:val="18"/>
                <w:szCs w:val="18"/>
                <w:lang w:val="fr-FR"/>
              </w:rPr>
            </w:pPr>
            <w:r w:rsidRPr="00364FEF">
              <w:rPr>
                <w:rFonts w:asciiTheme="majorBidi" w:hAnsiTheme="majorBidi" w:cstheme="majorBidi"/>
                <w:sz w:val="18"/>
                <w:szCs w:val="18"/>
                <w:lang w:val="fr-FR"/>
              </w:rPr>
              <w:t xml:space="preserve">EN ISO </w:t>
            </w:r>
            <w:proofErr w:type="gramStart"/>
            <w:r w:rsidRPr="00364FEF">
              <w:rPr>
                <w:rFonts w:asciiTheme="majorBidi" w:hAnsiTheme="majorBidi" w:cstheme="majorBidi"/>
                <w:sz w:val="18"/>
                <w:szCs w:val="18"/>
                <w:lang w:val="fr-FR"/>
              </w:rPr>
              <w:t>17871:</w:t>
            </w:r>
            <w:proofErr w:type="gramEnd"/>
            <w:r w:rsidRPr="00364FEF">
              <w:rPr>
                <w:rFonts w:asciiTheme="majorBidi" w:hAnsiTheme="majorBidi" w:cstheme="majorBidi"/>
                <w:sz w:val="18"/>
                <w:szCs w:val="18"/>
                <w:lang w:val="fr-FR"/>
              </w:rPr>
              <w:t>2015</w:t>
            </w:r>
            <w:r w:rsidRPr="00364FEF">
              <w:rPr>
                <w:rFonts w:asciiTheme="majorBidi" w:hAnsiTheme="majorBidi" w:cstheme="majorBidi"/>
                <w:sz w:val="18"/>
                <w:szCs w:val="18"/>
                <w:lang w:val="fr-FR"/>
              </w:rPr>
              <w:br/>
              <w:t>+A1:2018</w:t>
            </w:r>
          </w:p>
        </w:tc>
        <w:tc>
          <w:tcPr>
            <w:tcW w:w="4056" w:type="dxa"/>
            <w:vAlign w:val="center"/>
          </w:tcPr>
          <w:p w:rsidR="003E77B2" w:rsidRPr="00364FEF" w:rsidRDefault="003E77B2" w:rsidP="00E9067C">
            <w:pPr>
              <w:widowControl w:val="0"/>
              <w:spacing w:before="60" w:after="60"/>
              <w:rPr>
                <w:rFonts w:asciiTheme="majorBidi" w:hAnsiTheme="majorBidi" w:cstheme="majorBidi"/>
                <w:sz w:val="18"/>
                <w:szCs w:val="18"/>
                <w:lang w:val="fr-FR"/>
              </w:rPr>
            </w:pPr>
            <w:r w:rsidRPr="00364FEF">
              <w:rPr>
                <w:rFonts w:asciiTheme="majorBidi" w:hAnsiTheme="majorBidi" w:cstheme="majorBidi"/>
                <w:sz w:val="18"/>
                <w:szCs w:val="18"/>
                <w:lang w:val="fr-FR"/>
              </w:rPr>
              <w:t>Bouteilles à gaz - Robinets de bouteilles à ouverture rapide - Spécifications et essais de type</w:t>
            </w:r>
          </w:p>
        </w:tc>
        <w:tc>
          <w:tcPr>
            <w:tcW w:w="1063" w:type="dxa"/>
            <w:vAlign w:val="center"/>
          </w:tcPr>
          <w:p w:rsidR="003E77B2" w:rsidRPr="00364FEF" w:rsidRDefault="003E77B2" w:rsidP="00E9067C">
            <w:pPr>
              <w:widowControl w:val="0"/>
              <w:spacing w:before="60" w:after="60"/>
              <w:rPr>
                <w:rFonts w:asciiTheme="majorBidi" w:hAnsiTheme="majorBidi" w:cstheme="majorBidi"/>
                <w:sz w:val="18"/>
                <w:szCs w:val="18"/>
                <w:lang w:val="fr-FR"/>
              </w:rPr>
            </w:pPr>
            <w:r w:rsidRPr="00364FEF">
              <w:rPr>
                <w:rFonts w:asciiTheme="majorBidi" w:hAnsiTheme="majorBidi" w:cstheme="majorBidi"/>
                <w:sz w:val="18"/>
                <w:szCs w:val="18"/>
                <w:lang w:val="fr-FR"/>
              </w:rPr>
              <w:t>6.2.3.1, 6.2.3.3 et 6.2.3.4</w:t>
            </w:r>
          </w:p>
        </w:tc>
        <w:tc>
          <w:tcPr>
            <w:tcW w:w="1721" w:type="dxa"/>
            <w:vAlign w:val="center"/>
          </w:tcPr>
          <w:p w:rsidR="003E77B2" w:rsidRPr="00364FEF" w:rsidRDefault="003E77B2" w:rsidP="00E9067C">
            <w:pPr>
              <w:widowControl w:val="0"/>
              <w:spacing w:before="60" w:after="60"/>
              <w:jc w:val="center"/>
              <w:rPr>
                <w:rFonts w:asciiTheme="majorBidi" w:hAnsiTheme="majorBidi" w:cstheme="majorBidi"/>
                <w:sz w:val="18"/>
                <w:szCs w:val="18"/>
                <w:lang w:val="fr-FR"/>
              </w:rPr>
            </w:pPr>
            <w:r w:rsidRPr="00364FEF">
              <w:rPr>
                <w:rFonts w:asciiTheme="majorBidi" w:hAnsiTheme="majorBidi" w:cstheme="majorBidi"/>
                <w:sz w:val="18"/>
                <w:szCs w:val="18"/>
                <w:lang w:val="fr-FR"/>
              </w:rPr>
              <w:t>Jusqu’à nouvel ordre</w:t>
            </w:r>
          </w:p>
        </w:tc>
        <w:tc>
          <w:tcPr>
            <w:tcW w:w="410" w:type="dxa"/>
            <w:vAlign w:val="center"/>
          </w:tcPr>
          <w:p w:rsidR="003E77B2" w:rsidRPr="00364FEF" w:rsidRDefault="003E77B2" w:rsidP="00E9067C">
            <w:pPr>
              <w:widowControl w:val="0"/>
              <w:spacing w:before="60" w:after="60"/>
              <w:rPr>
                <w:rFonts w:asciiTheme="majorBidi" w:hAnsiTheme="majorBidi" w:cstheme="majorBidi"/>
                <w:sz w:val="18"/>
                <w:szCs w:val="18"/>
                <w:lang w:val="fr-FR"/>
              </w:rPr>
            </w:pPr>
          </w:p>
        </w:tc>
      </w:tr>
    </w:tbl>
    <w:p w:rsidR="003E77B2" w:rsidRPr="003B1372" w:rsidRDefault="003E77B2" w:rsidP="00E9067C">
      <w:pPr>
        <w:pStyle w:val="SingleTxtG"/>
        <w:keepNext/>
        <w:keepLines/>
        <w:spacing w:before="240"/>
        <w:rPr>
          <w:lang w:val="fr-FR"/>
        </w:rPr>
      </w:pPr>
      <w:r w:rsidRPr="003B1372">
        <w:rPr>
          <w:lang w:val="fr-FR"/>
        </w:rPr>
        <w:t>6.2.4.2</w:t>
      </w:r>
      <w:r w:rsidRPr="003B1372">
        <w:rPr>
          <w:lang w:val="fr-FR"/>
        </w:rPr>
        <w:tab/>
        <w:t>Modifier le tableau comme suit :</w:t>
      </w:r>
    </w:p>
    <w:p w:rsidR="003E77B2" w:rsidRPr="003E77B2" w:rsidRDefault="003E77B2" w:rsidP="003E77B2">
      <w:pPr>
        <w:pStyle w:val="Bullet1G"/>
        <w:numPr>
          <w:ilvl w:val="0"/>
          <w:numId w:val="4"/>
        </w:numPr>
        <w:tabs>
          <w:tab w:val="clear" w:pos="1701"/>
        </w:tabs>
        <w:kinsoku w:val="0"/>
        <w:overflowPunct w:val="0"/>
        <w:autoSpaceDE w:val="0"/>
        <w:autoSpaceDN w:val="0"/>
        <w:adjustRightInd w:val="0"/>
        <w:snapToGrid w:val="0"/>
        <w:ind w:left="2552" w:hanging="284"/>
        <w:rPr>
          <w:lang w:val="fr-FR"/>
        </w:rPr>
      </w:pPr>
      <w:r w:rsidRPr="003B1372">
        <w:rPr>
          <w:lang w:val="fr-FR"/>
        </w:rPr>
        <w:t xml:space="preserve">Pour </w:t>
      </w:r>
      <w:r w:rsidRPr="00364FEF">
        <w:rPr>
          <w:lang w:val="fr-FR"/>
        </w:rPr>
        <w:t>« EN </w:t>
      </w:r>
      <w:proofErr w:type="gramStart"/>
      <w:r w:rsidRPr="00364FEF">
        <w:rPr>
          <w:lang w:val="fr-FR"/>
        </w:rPr>
        <w:t>1968:</w:t>
      </w:r>
      <w:proofErr w:type="gramEnd"/>
      <w:r w:rsidRPr="00364FEF">
        <w:rPr>
          <w:lang w:val="fr-FR"/>
        </w:rPr>
        <w:t xml:space="preserve">2002+A1:2005 (sauf annexe B) », dans la colonne (3), remplacer </w:t>
      </w:r>
      <w:r w:rsidRPr="003B1372">
        <w:rPr>
          <w:lang w:val="fr-FR"/>
        </w:rPr>
        <w:t>le texte existant</w:t>
      </w:r>
      <w:r w:rsidRPr="00364FEF">
        <w:rPr>
          <w:lang w:val="fr-FR"/>
        </w:rPr>
        <w:t xml:space="preserve"> par «  jusqu’au 31 décembre 2022 ».</w:t>
      </w:r>
    </w:p>
    <w:p w:rsidR="003E77B2" w:rsidRPr="00364FEF" w:rsidRDefault="003E77B2" w:rsidP="003E77B2">
      <w:pPr>
        <w:pStyle w:val="Bullet1G"/>
        <w:numPr>
          <w:ilvl w:val="0"/>
          <w:numId w:val="4"/>
        </w:numPr>
        <w:tabs>
          <w:tab w:val="clear" w:pos="1701"/>
        </w:tabs>
        <w:kinsoku w:val="0"/>
        <w:overflowPunct w:val="0"/>
        <w:autoSpaceDE w:val="0"/>
        <w:autoSpaceDN w:val="0"/>
        <w:adjustRightInd w:val="0"/>
        <w:snapToGrid w:val="0"/>
        <w:ind w:left="2552" w:hanging="284"/>
        <w:rPr>
          <w:lang w:val="fr-FR"/>
        </w:rPr>
      </w:pPr>
      <w:r w:rsidRPr="003B1372">
        <w:rPr>
          <w:lang w:val="fr-FR"/>
        </w:rPr>
        <w:t xml:space="preserve">Pour </w:t>
      </w:r>
      <w:r w:rsidRPr="00364FEF">
        <w:rPr>
          <w:lang w:val="fr-FR"/>
        </w:rPr>
        <w:t>« EN </w:t>
      </w:r>
      <w:proofErr w:type="gramStart"/>
      <w:r w:rsidRPr="00364FEF">
        <w:rPr>
          <w:lang w:val="fr-FR"/>
        </w:rPr>
        <w:t>1802:</w:t>
      </w:r>
      <w:proofErr w:type="gramEnd"/>
      <w:r w:rsidRPr="00364FEF">
        <w:rPr>
          <w:lang w:val="fr-FR"/>
        </w:rPr>
        <w:t xml:space="preserve">2002 (sauf annexe B) », dans la colonne (3), remplacer </w:t>
      </w:r>
      <w:r w:rsidRPr="003B1372">
        <w:rPr>
          <w:lang w:val="fr-FR"/>
        </w:rPr>
        <w:t>le texte existant</w:t>
      </w:r>
      <w:r w:rsidRPr="00364FEF">
        <w:rPr>
          <w:lang w:val="fr-FR"/>
        </w:rPr>
        <w:t xml:space="preserve"> par « jusqu’au 31 décembre 2022 ».</w:t>
      </w:r>
    </w:p>
    <w:p w:rsidR="003E77B2" w:rsidRPr="00364FEF" w:rsidRDefault="003E77B2" w:rsidP="003E77B2">
      <w:pPr>
        <w:pStyle w:val="Bullet1G"/>
        <w:keepNext/>
        <w:keepLines/>
        <w:numPr>
          <w:ilvl w:val="0"/>
          <w:numId w:val="4"/>
        </w:numPr>
        <w:tabs>
          <w:tab w:val="clear" w:pos="1701"/>
        </w:tabs>
        <w:kinsoku w:val="0"/>
        <w:overflowPunct w:val="0"/>
        <w:autoSpaceDE w:val="0"/>
        <w:autoSpaceDN w:val="0"/>
        <w:adjustRightInd w:val="0"/>
        <w:snapToGrid w:val="0"/>
        <w:ind w:left="2552" w:hanging="284"/>
        <w:rPr>
          <w:lang w:val="fr-FR"/>
        </w:rPr>
      </w:pPr>
      <w:r w:rsidRPr="00364FEF">
        <w:rPr>
          <w:lang w:val="fr-FR"/>
        </w:rPr>
        <w:lastRenderedPageBreak/>
        <w:t xml:space="preserve">Après la rubrique </w:t>
      </w:r>
      <w:r>
        <w:rPr>
          <w:lang w:val="fr-FR"/>
        </w:rPr>
        <w:t xml:space="preserve">existante </w:t>
      </w:r>
      <w:r w:rsidRPr="00364FEF">
        <w:rPr>
          <w:lang w:val="fr-FR"/>
        </w:rPr>
        <w:t xml:space="preserve">pour la norme « EN </w:t>
      </w:r>
      <w:proofErr w:type="gramStart"/>
      <w:r>
        <w:rPr>
          <w:lang w:val="fr-FR"/>
        </w:rPr>
        <w:t>1802:</w:t>
      </w:r>
      <w:proofErr w:type="gramEnd"/>
      <w:r>
        <w:rPr>
          <w:lang w:val="fr-FR"/>
        </w:rPr>
        <w:t xml:space="preserve">2002 </w:t>
      </w:r>
      <w:r w:rsidRPr="00364FEF">
        <w:rPr>
          <w:lang w:val="fr-FR"/>
        </w:rPr>
        <w:t>(sauf annexe </w:t>
      </w:r>
      <w:r>
        <w:rPr>
          <w:lang w:val="fr-FR"/>
        </w:rPr>
        <w:t>B</w:t>
      </w:r>
      <w:r w:rsidRPr="00364FEF">
        <w:rPr>
          <w:lang w:val="fr-FR"/>
        </w:rPr>
        <w:t>) », ajouter la nouvelle rubrique suivante :</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890"/>
      </w:tblGrid>
      <w:tr w:rsidR="00D3494A" w:rsidRPr="00CE1950" w:rsidTr="00E9067C">
        <w:trPr>
          <w:trHeight w:val="1015"/>
        </w:trPr>
        <w:tc>
          <w:tcPr>
            <w:tcW w:w="1530" w:type="dxa"/>
            <w:vAlign w:val="center"/>
          </w:tcPr>
          <w:p w:rsidR="00D3494A" w:rsidRPr="00CE1950" w:rsidRDefault="003E77B2" w:rsidP="00E9067C">
            <w:pPr>
              <w:widowControl w:val="0"/>
              <w:spacing w:before="40" w:after="40"/>
              <w:jc w:val="center"/>
              <w:rPr>
                <w:bCs/>
                <w:iCs/>
                <w:sz w:val="18"/>
                <w:szCs w:val="18"/>
              </w:rPr>
            </w:pPr>
            <w:r w:rsidRPr="00364FEF">
              <w:rPr>
                <w:rFonts w:asciiTheme="majorBidi" w:hAnsiTheme="majorBidi" w:cstheme="majorBidi"/>
                <w:bCs/>
                <w:noProof/>
                <w:sz w:val="18"/>
                <w:szCs w:val="18"/>
                <w:lang w:val="fr-FR"/>
              </w:rPr>
              <w:t>EN ISO 18119:[2018]</w:t>
            </w:r>
          </w:p>
        </w:tc>
        <w:tc>
          <w:tcPr>
            <w:tcW w:w="5040" w:type="dxa"/>
            <w:vAlign w:val="center"/>
          </w:tcPr>
          <w:p w:rsidR="003E77B2" w:rsidRPr="00364FEF" w:rsidRDefault="003E77B2" w:rsidP="003E77B2">
            <w:pPr>
              <w:widowControl w:val="0"/>
              <w:spacing w:before="40" w:after="40"/>
              <w:rPr>
                <w:rFonts w:asciiTheme="majorBidi" w:hAnsiTheme="majorBidi" w:cstheme="majorBidi"/>
                <w:sz w:val="18"/>
                <w:szCs w:val="18"/>
                <w:lang w:val="fr-FR"/>
              </w:rPr>
            </w:pPr>
            <w:r w:rsidRPr="00364FEF">
              <w:rPr>
                <w:rFonts w:asciiTheme="majorBidi" w:hAnsiTheme="majorBidi" w:cstheme="majorBidi"/>
                <w:sz w:val="18"/>
                <w:szCs w:val="18"/>
                <w:lang w:val="fr-FR"/>
              </w:rPr>
              <w:t>Bouteilles à gaz - Bouteilles à gaz en acier et en alliages d'aluminium, sans soudure - Contrôles et essais périodiques</w:t>
            </w:r>
          </w:p>
          <w:p w:rsidR="00D3494A" w:rsidRPr="00CE1950" w:rsidRDefault="003E77B2" w:rsidP="003E77B2">
            <w:pPr>
              <w:widowControl w:val="0"/>
              <w:spacing w:before="40" w:after="40"/>
              <w:rPr>
                <w:bCs/>
                <w:iCs/>
                <w:sz w:val="18"/>
                <w:szCs w:val="18"/>
              </w:rPr>
            </w:pPr>
            <w:r w:rsidRPr="00364FEF">
              <w:rPr>
                <w:rFonts w:asciiTheme="majorBidi" w:hAnsiTheme="majorBidi" w:cstheme="majorBidi"/>
                <w:b/>
                <w:bCs/>
                <w:i/>
                <w:iCs/>
                <w:sz w:val="18"/>
                <w:szCs w:val="18"/>
                <w:lang w:val="fr-FR"/>
              </w:rPr>
              <w:t>NOTA :</w:t>
            </w:r>
            <w:r w:rsidRPr="00364FEF">
              <w:rPr>
                <w:rFonts w:asciiTheme="majorBidi" w:hAnsiTheme="majorBidi" w:cstheme="majorBidi"/>
                <w:sz w:val="18"/>
                <w:szCs w:val="18"/>
                <w:lang w:val="fr-FR"/>
              </w:rPr>
              <w:t xml:space="preserve"> </w:t>
            </w:r>
            <w:r w:rsidRPr="00364FEF">
              <w:rPr>
                <w:i/>
                <w:iCs/>
                <w:sz w:val="18"/>
                <w:szCs w:val="18"/>
                <w:lang w:val="fr-FR"/>
              </w:rPr>
              <w:t>Nonobstant l’article B.1 de cette norme, toutes les bouteilles et tubes dont l’épaisseur de paroi est inférieure à l’épaisseur minimale de calcul doivent être rejetés.</w:t>
            </w:r>
          </w:p>
        </w:tc>
        <w:tc>
          <w:tcPr>
            <w:tcW w:w="1890" w:type="dxa"/>
            <w:vAlign w:val="center"/>
          </w:tcPr>
          <w:p w:rsidR="00D3494A" w:rsidRPr="00CE1950" w:rsidRDefault="003E77B2" w:rsidP="00E9067C">
            <w:pPr>
              <w:widowControl w:val="0"/>
              <w:spacing w:before="40" w:after="40"/>
              <w:jc w:val="center"/>
              <w:rPr>
                <w:bCs/>
                <w:sz w:val="18"/>
                <w:szCs w:val="18"/>
              </w:rPr>
            </w:pPr>
            <w:r w:rsidRPr="00364FEF">
              <w:rPr>
                <w:rFonts w:asciiTheme="majorBidi" w:hAnsiTheme="majorBidi" w:cstheme="majorBidi"/>
                <w:sz w:val="18"/>
                <w:szCs w:val="18"/>
                <w:lang w:val="fr-FR"/>
              </w:rPr>
              <w:t>Obligatoirement à partir du 1er janvier 2023</w:t>
            </w:r>
          </w:p>
        </w:tc>
      </w:tr>
    </w:tbl>
    <w:p w:rsidR="003E77B2" w:rsidRPr="003B1372" w:rsidRDefault="003E77B2" w:rsidP="003E77B2">
      <w:pPr>
        <w:pStyle w:val="Bullet1G"/>
        <w:keepNext/>
        <w:keepLines/>
        <w:numPr>
          <w:ilvl w:val="0"/>
          <w:numId w:val="4"/>
        </w:numPr>
        <w:tabs>
          <w:tab w:val="clear" w:pos="1701"/>
        </w:tabs>
        <w:kinsoku w:val="0"/>
        <w:overflowPunct w:val="0"/>
        <w:autoSpaceDE w:val="0"/>
        <w:autoSpaceDN w:val="0"/>
        <w:adjustRightInd w:val="0"/>
        <w:snapToGrid w:val="0"/>
        <w:spacing w:before="240"/>
        <w:ind w:left="2552" w:hanging="284"/>
        <w:rPr>
          <w:lang w:val="fr-FR"/>
        </w:rPr>
      </w:pPr>
      <w:r w:rsidRPr="003B1372">
        <w:rPr>
          <w:lang w:val="fr-FR"/>
        </w:rPr>
        <w:t xml:space="preserve">Pour « EN </w:t>
      </w:r>
      <w:proofErr w:type="gramStart"/>
      <w:r w:rsidRPr="003B1372">
        <w:rPr>
          <w:lang w:val="fr-FR"/>
        </w:rPr>
        <w:t>1440:</w:t>
      </w:r>
      <w:proofErr w:type="gramEnd"/>
      <w:r w:rsidRPr="003B1372">
        <w:rPr>
          <w:lang w:val="fr-FR"/>
        </w:rPr>
        <w:t>2016 (sauf annexe C)</w:t>
      </w:r>
      <w:r w:rsidRPr="00364FEF">
        <w:rPr>
          <w:lang w:val="fr-FR"/>
        </w:rPr>
        <w:t> »</w:t>
      </w:r>
      <w:r w:rsidRPr="003B1372">
        <w:rPr>
          <w:lang w:val="fr-FR"/>
        </w:rPr>
        <w:t xml:space="preserve">, dans la colonne (3), remplacer </w:t>
      </w:r>
      <w:r w:rsidRPr="00364FEF">
        <w:rPr>
          <w:lang w:val="fr-FR"/>
        </w:rPr>
        <w:t xml:space="preserve">le texte </w:t>
      </w:r>
      <w:r w:rsidRPr="003B1372">
        <w:rPr>
          <w:lang w:val="fr-FR"/>
        </w:rPr>
        <w:t xml:space="preserve">existant par « Jusqu’au 31 décembre 2021 ». </w:t>
      </w:r>
    </w:p>
    <w:tbl>
      <w:tblPr>
        <w:tblpPr w:leftFromText="180" w:rightFromText="180" w:vertAnchor="text" w:horzAnchor="margin" w:tblpXSpec="right" w:tblpY="525"/>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220"/>
        <w:gridCol w:w="1710"/>
      </w:tblGrid>
      <w:tr w:rsidR="003E77B2" w:rsidRPr="003E77B2" w:rsidTr="00C5253D">
        <w:tc>
          <w:tcPr>
            <w:tcW w:w="1530" w:type="dxa"/>
            <w:vAlign w:val="center"/>
          </w:tcPr>
          <w:p w:rsidR="003E77B2" w:rsidRPr="003E77B2" w:rsidRDefault="003E77B2" w:rsidP="003E77B2">
            <w:pPr>
              <w:widowControl w:val="0"/>
              <w:spacing w:before="40" w:after="40"/>
              <w:jc w:val="center"/>
              <w:rPr>
                <w:rFonts w:asciiTheme="majorBidi" w:hAnsiTheme="majorBidi" w:cstheme="majorBidi"/>
                <w:bCs/>
                <w:noProof/>
                <w:sz w:val="18"/>
                <w:szCs w:val="18"/>
                <w:lang w:val="fr-FR"/>
              </w:rPr>
            </w:pPr>
            <w:r w:rsidRPr="003E77B2">
              <w:rPr>
                <w:rFonts w:asciiTheme="majorBidi" w:hAnsiTheme="majorBidi" w:cstheme="majorBidi"/>
                <w:bCs/>
                <w:noProof/>
                <w:sz w:val="18"/>
                <w:szCs w:val="18"/>
                <w:lang w:val="fr-FR"/>
              </w:rPr>
              <w:t>EN 1440:2016 + A1:2018 (sauf Annexe C)</w:t>
            </w:r>
          </w:p>
        </w:tc>
        <w:tc>
          <w:tcPr>
            <w:tcW w:w="5220" w:type="dxa"/>
            <w:vAlign w:val="center"/>
          </w:tcPr>
          <w:p w:rsidR="003E77B2" w:rsidRPr="003E77B2" w:rsidRDefault="003E77B2" w:rsidP="003E77B2">
            <w:pPr>
              <w:widowControl w:val="0"/>
              <w:spacing w:before="40" w:after="40"/>
              <w:rPr>
                <w:rFonts w:asciiTheme="majorBidi" w:hAnsiTheme="majorBidi" w:cstheme="majorBidi"/>
                <w:bCs/>
                <w:noProof/>
                <w:sz w:val="18"/>
                <w:szCs w:val="18"/>
                <w:lang w:val="fr-FR"/>
              </w:rPr>
            </w:pPr>
            <w:r w:rsidRPr="003E77B2">
              <w:rPr>
                <w:rFonts w:asciiTheme="majorBidi" w:hAnsiTheme="majorBidi" w:cstheme="majorBidi"/>
                <w:bCs/>
                <w:noProof/>
                <w:sz w:val="18"/>
                <w:szCs w:val="18"/>
                <w:lang w:val="fr-FR"/>
              </w:rPr>
              <w:t>Équipements pour GPL et leurs accessoires - Bouteilles de gaz de pétrole liquéfié (GPL) en acier soudé et brasé transportables et rechargeables - Contrôle périodique</w:t>
            </w:r>
          </w:p>
        </w:tc>
        <w:tc>
          <w:tcPr>
            <w:tcW w:w="1710" w:type="dxa"/>
            <w:vAlign w:val="center"/>
          </w:tcPr>
          <w:p w:rsidR="003E77B2" w:rsidRPr="003E77B2" w:rsidRDefault="003E77B2" w:rsidP="003E77B2">
            <w:pPr>
              <w:widowControl w:val="0"/>
              <w:spacing w:before="40" w:after="40"/>
              <w:jc w:val="center"/>
              <w:rPr>
                <w:rFonts w:asciiTheme="majorBidi" w:hAnsiTheme="majorBidi" w:cstheme="majorBidi"/>
                <w:bCs/>
                <w:noProof/>
                <w:sz w:val="18"/>
                <w:szCs w:val="18"/>
                <w:lang w:val="fr-FR"/>
              </w:rPr>
            </w:pPr>
            <w:r w:rsidRPr="003E77B2">
              <w:rPr>
                <w:rFonts w:asciiTheme="majorBidi" w:hAnsiTheme="majorBidi" w:cstheme="majorBidi"/>
                <w:bCs/>
                <w:noProof/>
                <w:sz w:val="18"/>
                <w:szCs w:val="18"/>
                <w:lang w:val="fr-FR"/>
              </w:rPr>
              <w:t>Obligatoirement à partir du 1er janvier 2022</w:t>
            </w:r>
          </w:p>
        </w:tc>
      </w:tr>
    </w:tbl>
    <w:p w:rsidR="003E77B2" w:rsidRPr="003E77B2" w:rsidRDefault="003E77B2" w:rsidP="003E77B2">
      <w:pPr>
        <w:pStyle w:val="Bullet1G"/>
        <w:keepNext/>
        <w:keepLines/>
        <w:numPr>
          <w:ilvl w:val="0"/>
          <w:numId w:val="4"/>
        </w:numPr>
        <w:tabs>
          <w:tab w:val="clear" w:pos="1701"/>
        </w:tabs>
        <w:kinsoku w:val="0"/>
        <w:overflowPunct w:val="0"/>
        <w:autoSpaceDE w:val="0"/>
        <w:autoSpaceDN w:val="0"/>
        <w:adjustRightInd w:val="0"/>
        <w:snapToGrid w:val="0"/>
        <w:ind w:left="2552" w:hanging="284"/>
        <w:rPr>
          <w:rFonts w:asciiTheme="majorBidi" w:hAnsiTheme="majorBidi" w:cstheme="majorBidi"/>
          <w:bCs/>
          <w:noProof/>
          <w:sz w:val="18"/>
          <w:szCs w:val="18"/>
          <w:lang w:val="fr-FR"/>
        </w:rPr>
      </w:pPr>
      <w:r w:rsidRPr="00364FEF">
        <w:rPr>
          <w:lang w:val="fr-FR"/>
        </w:rPr>
        <w:t xml:space="preserve">Après la rubrique pour la norme « EN </w:t>
      </w:r>
      <w:proofErr w:type="gramStart"/>
      <w:r w:rsidRPr="00364FEF">
        <w:rPr>
          <w:lang w:val="fr-FR"/>
        </w:rPr>
        <w:t>1440:</w:t>
      </w:r>
      <w:proofErr w:type="gramEnd"/>
      <w:r w:rsidRPr="00364FEF">
        <w:rPr>
          <w:lang w:val="fr-FR"/>
        </w:rPr>
        <w:t xml:space="preserve">2016 (sauf annexe C) », ajouter </w:t>
      </w:r>
      <w:r w:rsidRPr="003E77B2">
        <w:rPr>
          <w:rFonts w:asciiTheme="majorBidi" w:hAnsiTheme="majorBidi" w:cstheme="majorBidi"/>
          <w:bCs/>
          <w:noProof/>
          <w:sz w:val="18"/>
          <w:szCs w:val="18"/>
          <w:lang w:val="fr-FR"/>
        </w:rPr>
        <w:t>la nouvelle rubrique suivante :</w:t>
      </w:r>
    </w:p>
    <w:p w:rsidR="003E77B2" w:rsidRPr="00364FEF" w:rsidRDefault="003E77B2" w:rsidP="00C5253D">
      <w:pPr>
        <w:pStyle w:val="Bullet1G"/>
        <w:numPr>
          <w:ilvl w:val="0"/>
          <w:numId w:val="4"/>
        </w:numPr>
        <w:tabs>
          <w:tab w:val="clear" w:pos="1701"/>
        </w:tabs>
        <w:kinsoku w:val="0"/>
        <w:overflowPunct w:val="0"/>
        <w:autoSpaceDE w:val="0"/>
        <w:autoSpaceDN w:val="0"/>
        <w:adjustRightInd w:val="0"/>
        <w:snapToGrid w:val="0"/>
        <w:spacing w:before="240"/>
        <w:ind w:left="2552" w:hanging="284"/>
        <w:rPr>
          <w:lang w:val="fr-FR"/>
        </w:rPr>
      </w:pPr>
      <w:r w:rsidRPr="00364FEF">
        <w:rPr>
          <w:lang w:val="fr-FR"/>
        </w:rPr>
        <w:t>Pour « EN </w:t>
      </w:r>
      <w:proofErr w:type="gramStart"/>
      <w:r w:rsidRPr="00364FEF">
        <w:rPr>
          <w:lang w:val="fr-FR"/>
        </w:rPr>
        <w:t>16728:</w:t>
      </w:r>
      <w:proofErr w:type="gramEnd"/>
      <w:r w:rsidRPr="00364FEF">
        <w:rPr>
          <w:lang w:val="fr-FR"/>
        </w:rPr>
        <w:t xml:space="preserve">2016 (sauf article 3.5, Annexe F et Annexe G) », dans la colonne (3), remplacer le texte existant par « Jusqu’au 31 décembre 2021 ». </w:t>
      </w:r>
    </w:p>
    <w:p w:rsidR="003E77B2" w:rsidRPr="00364FEF" w:rsidRDefault="003E77B2" w:rsidP="003E77B2">
      <w:pPr>
        <w:pStyle w:val="Bullet1G"/>
        <w:numPr>
          <w:ilvl w:val="0"/>
          <w:numId w:val="4"/>
        </w:numPr>
        <w:tabs>
          <w:tab w:val="clear" w:pos="1701"/>
        </w:tabs>
        <w:kinsoku w:val="0"/>
        <w:overflowPunct w:val="0"/>
        <w:autoSpaceDE w:val="0"/>
        <w:autoSpaceDN w:val="0"/>
        <w:adjustRightInd w:val="0"/>
        <w:snapToGrid w:val="0"/>
        <w:ind w:left="2552" w:hanging="284"/>
        <w:rPr>
          <w:lang w:val="fr-FR"/>
        </w:rPr>
      </w:pPr>
      <w:r w:rsidRPr="00364FEF">
        <w:rPr>
          <w:lang w:val="fr-FR"/>
        </w:rPr>
        <w:t>Après la rubrique existante pour la norme « EN </w:t>
      </w:r>
      <w:proofErr w:type="gramStart"/>
      <w:r w:rsidRPr="00364FEF">
        <w:rPr>
          <w:lang w:val="fr-FR"/>
        </w:rPr>
        <w:t>16728:</w:t>
      </w:r>
      <w:proofErr w:type="gramEnd"/>
      <w:r w:rsidRPr="00364FEF">
        <w:rPr>
          <w:lang w:val="fr-FR"/>
        </w:rPr>
        <w:t xml:space="preserve">2016 </w:t>
      </w:r>
      <w:r>
        <w:rPr>
          <w:lang w:val="fr-FR"/>
        </w:rPr>
        <w:t>(</w:t>
      </w:r>
      <w:r w:rsidRPr="00364FEF">
        <w:rPr>
          <w:lang w:val="fr-FR"/>
        </w:rPr>
        <w:t xml:space="preserve">sauf article 3.5, Annexe F et Annexe G) », ajouter la nouvelle rubrique suivante : </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130"/>
        <w:gridCol w:w="1809"/>
      </w:tblGrid>
      <w:tr w:rsidR="003E77B2" w:rsidRPr="00CE1950" w:rsidTr="00C5253D">
        <w:tc>
          <w:tcPr>
            <w:tcW w:w="1530" w:type="dxa"/>
            <w:vAlign w:val="center"/>
          </w:tcPr>
          <w:p w:rsidR="003E77B2" w:rsidRPr="00364FEF" w:rsidRDefault="003E77B2" w:rsidP="003E77B2">
            <w:pPr>
              <w:widowControl w:val="0"/>
              <w:spacing w:before="60" w:after="60"/>
              <w:rPr>
                <w:rFonts w:cs="Arial"/>
                <w:sz w:val="18"/>
                <w:szCs w:val="18"/>
                <w:lang w:val="fr-FR"/>
              </w:rPr>
            </w:pPr>
            <w:r w:rsidRPr="00364FEF">
              <w:rPr>
                <w:rFonts w:cs="Arial"/>
                <w:sz w:val="18"/>
                <w:szCs w:val="18"/>
                <w:lang w:val="fr-FR"/>
              </w:rPr>
              <w:t xml:space="preserve">EN </w:t>
            </w:r>
            <w:proofErr w:type="gramStart"/>
            <w:r w:rsidRPr="00364FEF">
              <w:rPr>
                <w:rFonts w:cs="Arial"/>
                <w:sz w:val="18"/>
                <w:szCs w:val="18"/>
                <w:lang w:val="fr-FR"/>
              </w:rPr>
              <w:t>16728:</w:t>
            </w:r>
            <w:proofErr w:type="gramEnd"/>
            <w:r w:rsidRPr="00364FEF">
              <w:rPr>
                <w:rFonts w:cs="Arial"/>
                <w:sz w:val="18"/>
                <w:szCs w:val="18"/>
                <w:lang w:val="fr-FR"/>
              </w:rPr>
              <w:t>2016 + A1:2018</w:t>
            </w:r>
          </w:p>
        </w:tc>
        <w:tc>
          <w:tcPr>
            <w:tcW w:w="5130" w:type="dxa"/>
            <w:vAlign w:val="center"/>
          </w:tcPr>
          <w:p w:rsidR="003E77B2" w:rsidRPr="00364FEF" w:rsidRDefault="003E77B2" w:rsidP="003E77B2">
            <w:pPr>
              <w:widowControl w:val="0"/>
              <w:spacing w:before="60" w:after="60"/>
              <w:rPr>
                <w:rFonts w:cs="Arial"/>
                <w:sz w:val="18"/>
                <w:szCs w:val="18"/>
                <w:lang w:val="fr-FR"/>
              </w:rPr>
            </w:pPr>
            <w:r w:rsidRPr="00364FEF">
              <w:rPr>
                <w:sz w:val="18"/>
                <w:szCs w:val="18"/>
                <w:lang w:val="fr-FR"/>
              </w:rPr>
              <w:t>Équipements pour GPL et leurs accessoires</w:t>
            </w:r>
            <w:r>
              <w:rPr>
                <w:sz w:val="18"/>
                <w:szCs w:val="18"/>
                <w:lang w:val="fr-FR"/>
              </w:rPr>
              <w:t xml:space="preserve"> -</w:t>
            </w:r>
            <w:r w:rsidRPr="00364FEF">
              <w:rPr>
                <w:sz w:val="18"/>
                <w:szCs w:val="18"/>
                <w:lang w:val="fr-FR"/>
              </w:rPr>
              <w:t xml:space="preserve"> Bouteilles transportables et rechargeables pour GPL autres que celles en acier soudé et brasé</w:t>
            </w:r>
            <w:r>
              <w:rPr>
                <w:sz w:val="18"/>
                <w:szCs w:val="18"/>
                <w:lang w:val="fr-FR"/>
              </w:rPr>
              <w:t xml:space="preserve"> -</w:t>
            </w:r>
            <w:r w:rsidRPr="00364FEF">
              <w:rPr>
                <w:sz w:val="18"/>
                <w:szCs w:val="18"/>
                <w:lang w:val="fr-FR"/>
              </w:rPr>
              <w:t xml:space="preserve"> Contrôle périodique.</w:t>
            </w:r>
          </w:p>
        </w:tc>
        <w:tc>
          <w:tcPr>
            <w:tcW w:w="1809" w:type="dxa"/>
            <w:vAlign w:val="center"/>
          </w:tcPr>
          <w:p w:rsidR="003E77B2" w:rsidRPr="00364FEF" w:rsidRDefault="003E77B2" w:rsidP="003E77B2">
            <w:pPr>
              <w:widowControl w:val="0"/>
              <w:spacing w:before="60" w:after="60"/>
              <w:jc w:val="center"/>
              <w:rPr>
                <w:rFonts w:cs="Arial"/>
                <w:sz w:val="18"/>
                <w:szCs w:val="18"/>
                <w:lang w:val="fr-FR"/>
              </w:rPr>
            </w:pPr>
            <w:r w:rsidRPr="00364FEF">
              <w:rPr>
                <w:rFonts w:cs="Arial"/>
                <w:sz w:val="18"/>
                <w:szCs w:val="18"/>
                <w:lang w:val="fr-FR"/>
              </w:rPr>
              <w:t>Obligatoirement à partir du 1</w:t>
            </w:r>
            <w:r w:rsidRPr="00E223DF">
              <w:rPr>
                <w:rFonts w:cs="Arial"/>
                <w:sz w:val="18"/>
                <w:szCs w:val="18"/>
                <w:lang w:val="fr-FR"/>
              </w:rPr>
              <w:t>er</w:t>
            </w:r>
            <w:r w:rsidRPr="00364FEF">
              <w:rPr>
                <w:rFonts w:cs="Arial"/>
                <w:sz w:val="18"/>
                <w:szCs w:val="18"/>
                <w:lang w:val="fr-FR"/>
              </w:rPr>
              <w:t xml:space="preserve"> janvier 2022</w:t>
            </w:r>
          </w:p>
        </w:tc>
      </w:tr>
    </w:tbl>
    <w:p w:rsidR="00D3494A" w:rsidRPr="00DB762A" w:rsidRDefault="00D3494A" w:rsidP="00D3494A">
      <w:pPr>
        <w:pStyle w:val="H1G"/>
        <w:keepNext w:val="0"/>
        <w:keepLines w:val="0"/>
        <w:ind w:left="1138" w:right="1138" w:hanging="1138"/>
      </w:pPr>
      <w:r w:rsidRPr="00DB762A">
        <w:tab/>
      </w:r>
      <w:r w:rsidRPr="00DB762A">
        <w:tab/>
        <w:t>Chapter 6.8</w:t>
      </w:r>
    </w:p>
    <w:p w:rsidR="0030209F" w:rsidRDefault="0030209F" w:rsidP="0030209F">
      <w:pPr>
        <w:pStyle w:val="SingleTxtG"/>
        <w:spacing w:before="120"/>
        <w:rPr>
          <w:lang w:val="fr-FR"/>
        </w:rPr>
      </w:pPr>
      <w:r w:rsidRPr="00364FEF">
        <w:rPr>
          <w:lang w:val="fr-FR"/>
        </w:rPr>
        <w:t>6.8.2.6.1</w:t>
      </w:r>
      <w:r w:rsidRPr="00364FEF">
        <w:rPr>
          <w:lang w:val="fr-FR"/>
        </w:rPr>
        <w:tab/>
      </w:r>
      <w:r>
        <w:rPr>
          <w:lang w:val="fr-FR"/>
        </w:rPr>
        <w:t>Modifier le tableau comme suit :</w:t>
      </w:r>
    </w:p>
    <w:p w:rsidR="0030209F" w:rsidRPr="00364FEF" w:rsidRDefault="0030209F" w:rsidP="0030209F">
      <w:pPr>
        <w:pStyle w:val="SingleTxtG"/>
        <w:spacing w:before="120"/>
        <w:ind w:firstLine="567"/>
        <w:rPr>
          <w:lang w:val="fr-FR"/>
        </w:rPr>
      </w:pPr>
      <w:r>
        <w:rPr>
          <w:lang w:val="fr-FR"/>
        </w:rPr>
        <w:t xml:space="preserve">a) </w:t>
      </w:r>
      <w:r>
        <w:rPr>
          <w:lang w:val="fr-FR"/>
        </w:rPr>
        <w:tab/>
      </w:r>
      <w:r w:rsidRPr="00364FEF">
        <w:rPr>
          <w:lang w:val="fr-FR"/>
        </w:rPr>
        <w:t>Sous « </w:t>
      </w:r>
      <w:r w:rsidRPr="00364FEF">
        <w:rPr>
          <w:b/>
          <w:bCs/>
          <w:i/>
          <w:iCs/>
          <w:lang w:val="fr-FR" w:eastAsia="zh-CN"/>
        </w:rPr>
        <w:t xml:space="preserve">Pour les contrôles et épreuves périodiques </w:t>
      </w:r>
      <w:proofErr w:type="gramStart"/>
      <w:r w:rsidRPr="00364FEF">
        <w:rPr>
          <w:lang w:val="fr-FR"/>
        </w:rPr>
        <w:t>»:</w:t>
      </w:r>
      <w:proofErr w:type="gramEnd"/>
    </w:p>
    <w:p w:rsidR="0030209F" w:rsidRPr="00364FEF" w:rsidRDefault="0030209F" w:rsidP="0030209F">
      <w:pPr>
        <w:pStyle w:val="Bullet1G"/>
        <w:numPr>
          <w:ilvl w:val="0"/>
          <w:numId w:val="3"/>
        </w:numPr>
        <w:tabs>
          <w:tab w:val="clear" w:pos="1701"/>
        </w:tabs>
        <w:kinsoku w:val="0"/>
        <w:overflowPunct w:val="0"/>
        <w:autoSpaceDE w:val="0"/>
        <w:autoSpaceDN w:val="0"/>
        <w:adjustRightInd w:val="0"/>
        <w:snapToGrid w:val="0"/>
        <w:rPr>
          <w:lang w:val="fr-FR"/>
        </w:rPr>
      </w:pPr>
      <w:r w:rsidRPr="00364FEF">
        <w:rPr>
          <w:lang w:val="fr-FR"/>
        </w:rPr>
        <w:t>Pour « EN </w:t>
      </w:r>
      <w:proofErr w:type="gramStart"/>
      <w:r w:rsidRPr="00364FEF">
        <w:rPr>
          <w:lang w:val="fr-FR"/>
        </w:rPr>
        <w:t>14025:</w:t>
      </w:r>
      <w:proofErr w:type="gramEnd"/>
      <w:r w:rsidRPr="00364FEF">
        <w:rPr>
          <w:lang w:val="fr-FR"/>
        </w:rPr>
        <w:t xml:space="preserve">2013+A1:2016 (sauf Annexe B)», dans la colonne (4), remplacer </w:t>
      </w:r>
      <w:r>
        <w:rPr>
          <w:lang w:val="fr-FR"/>
        </w:rPr>
        <w:t>le texte existant</w:t>
      </w:r>
      <w:r w:rsidRPr="00364FEF">
        <w:rPr>
          <w:lang w:val="fr-FR"/>
        </w:rPr>
        <w:t xml:space="preserve"> par « Entre le 1</w:t>
      </w:r>
      <w:r w:rsidRPr="00E223DF">
        <w:rPr>
          <w:lang w:val="fr-FR"/>
        </w:rPr>
        <w:t>er</w:t>
      </w:r>
      <w:r>
        <w:rPr>
          <w:lang w:val="fr-FR"/>
        </w:rPr>
        <w:t xml:space="preserve"> </w:t>
      </w:r>
      <w:r w:rsidRPr="00364FEF">
        <w:rPr>
          <w:lang w:val="fr-FR"/>
        </w:rPr>
        <w:t xml:space="preserve"> janvier 2017 et le 31 décembre 2021 ». </w:t>
      </w:r>
    </w:p>
    <w:p w:rsidR="0030209F" w:rsidRPr="00364FEF" w:rsidRDefault="0030209F" w:rsidP="0030209F">
      <w:pPr>
        <w:pStyle w:val="Bullet1G"/>
        <w:numPr>
          <w:ilvl w:val="0"/>
          <w:numId w:val="3"/>
        </w:numPr>
        <w:tabs>
          <w:tab w:val="clear" w:pos="1701"/>
        </w:tabs>
        <w:kinsoku w:val="0"/>
        <w:overflowPunct w:val="0"/>
        <w:autoSpaceDE w:val="0"/>
        <w:autoSpaceDN w:val="0"/>
        <w:adjustRightInd w:val="0"/>
        <w:snapToGrid w:val="0"/>
        <w:rPr>
          <w:lang w:val="fr-FR"/>
        </w:rPr>
      </w:pPr>
      <w:r w:rsidRPr="00364FEF">
        <w:rPr>
          <w:lang w:val="fr-FR"/>
        </w:rPr>
        <w:t xml:space="preserve">Après la rubrique existante pour la norme </w:t>
      </w:r>
      <w:r w:rsidRPr="003B1372">
        <w:rPr>
          <w:lang w:val="fr-FR"/>
        </w:rPr>
        <w:t>« </w:t>
      </w:r>
      <w:r w:rsidRPr="00364FEF">
        <w:rPr>
          <w:lang w:val="fr-FR"/>
        </w:rPr>
        <w:t>EN </w:t>
      </w:r>
      <w:proofErr w:type="gramStart"/>
      <w:r w:rsidRPr="00364FEF">
        <w:rPr>
          <w:lang w:val="fr-FR"/>
        </w:rPr>
        <w:t>14025:</w:t>
      </w:r>
      <w:proofErr w:type="gramEnd"/>
      <w:r w:rsidRPr="00364FEF">
        <w:rPr>
          <w:lang w:val="fr-FR"/>
        </w:rPr>
        <w:t xml:space="preserve">2013+A1:2016 (sauf Annexe B) », insérer les nouvelles rubriques suivantes : </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600"/>
        <w:gridCol w:w="900"/>
        <w:gridCol w:w="1800"/>
        <w:gridCol w:w="360"/>
      </w:tblGrid>
      <w:tr w:rsidR="0030209F" w:rsidRPr="003B1372" w:rsidTr="00C5253D">
        <w:trPr>
          <w:jc w:val="center"/>
        </w:trPr>
        <w:tc>
          <w:tcPr>
            <w:tcW w:w="1530" w:type="dxa"/>
            <w:vAlign w:val="center"/>
          </w:tcPr>
          <w:p w:rsidR="0030209F" w:rsidRPr="00364FEF" w:rsidRDefault="0030209F" w:rsidP="00E9067C">
            <w:pPr>
              <w:widowControl w:val="0"/>
              <w:spacing w:before="40" w:after="40"/>
              <w:rPr>
                <w:rFonts w:asciiTheme="majorBidi" w:hAnsiTheme="majorBidi" w:cstheme="majorBidi"/>
                <w:sz w:val="18"/>
                <w:szCs w:val="18"/>
                <w:lang w:val="fr-FR"/>
              </w:rPr>
            </w:pPr>
            <w:r w:rsidRPr="00364FEF">
              <w:rPr>
                <w:rFonts w:asciiTheme="majorBidi" w:hAnsiTheme="majorBidi" w:cstheme="majorBidi"/>
                <w:iCs/>
                <w:sz w:val="18"/>
                <w:szCs w:val="18"/>
                <w:lang w:val="fr-FR"/>
              </w:rPr>
              <w:t>EN </w:t>
            </w:r>
            <w:proofErr w:type="gramStart"/>
            <w:r w:rsidRPr="00364FEF">
              <w:rPr>
                <w:rFonts w:asciiTheme="majorBidi" w:hAnsiTheme="majorBidi" w:cstheme="majorBidi"/>
                <w:sz w:val="18"/>
                <w:szCs w:val="18"/>
                <w:lang w:val="fr-FR"/>
              </w:rPr>
              <w:t>14025:</w:t>
            </w:r>
            <w:proofErr w:type="gramEnd"/>
            <w:r w:rsidRPr="00364FEF">
              <w:rPr>
                <w:rFonts w:asciiTheme="majorBidi" w:hAnsiTheme="majorBidi" w:cstheme="majorBidi"/>
                <w:sz w:val="18"/>
                <w:szCs w:val="18"/>
                <w:lang w:val="fr-FR"/>
              </w:rPr>
              <w:t>2018</w:t>
            </w:r>
          </w:p>
        </w:tc>
        <w:tc>
          <w:tcPr>
            <w:tcW w:w="3600" w:type="dxa"/>
            <w:vAlign w:val="center"/>
          </w:tcPr>
          <w:p w:rsidR="0030209F" w:rsidRPr="00E223DF" w:rsidRDefault="0030209F" w:rsidP="00E9067C">
            <w:pPr>
              <w:widowControl w:val="0"/>
              <w:spacing w:before="40" w:after="40"/>
              <w:rPr>
                <w:rFonts w:asciiTheme="majorBidi" w:hAnsiTheme="majorBidi" w:cstheme="majorBidi"/>
                <w:sz w:val="18"/>
                <w:szCs w:val="18"/>
                <w:lang w:val="fr-FR"/>
              </w:rPr>
            </w:pPr>
            <w:r w:rsidRPr="00E223DF">
              <w:rPr>
                <w:rFonts w:asciiTheme="majorBidi" w:hAnsiTheme="majorBidi" w:cstheme="majorBidi"/>
                <w:sz w:val="18"/>
                <w:szCs w:val="18"/>
                <w:lang w:val="fr-FR"/>
              </w:rPr>
              <w:t>Citernes pour le transport de matières dangereuses - Citernes métalliques sous pression - Conception et fabrication</w:t>
            </w:r>
          </w:p>
          <w:p w:rsidR="0030209F" w:rsidRPr="00E223DF" w:rsidRDefault="0030209F" w:rsidP="00E9067C">
            <w:pPr>
              <w:rPr>
                <w:sz w:val="18"/>
                <w:szCs w:val="18"/>
                <w:lang w:val="fr-FR" w:eastAsia="zh-CN"/>
              </w:rPr>
            </w:pPr>
            <w:proofErr w:type="gramStart"/>
            <w:r w:rsidRPr="00E223DF">
              <w:rPr>
                <w:b/>
                <w:bCs/>
                <w:i/>
                <w:iCs/>
                <w:color w:val="222222"/>
                <w:sz w:val="18"/>
                <w:szCs w:val="18"/>
                <w:lang w:val="fr-FR"/>
              </w:rPr>
              <w:t>NOTA:</w:t>
            </w:r>
            <w:proofErr w:type="gramEnd"/>
            <w:r w:rsidRPr="00E223DF">
              <w:rPr>
                <w:i/>
                <w:iCs/>
                <w:color w:val="222222"/>
                <w:sz w:val="18"/>
                <w:szCs w:val="18"/>
                <w:lang w:val="fr-FR"/>
              </w:rPr>
              <w:t xml:space="preserve"> Les matériaux des réservoirs doivent au moins être attestés par un certificat de type 3.1 délivré conformément à la norme EN 10204.</w:t>
            </w:r>
            <w:r w:rsidRPr="00E223DF">
              <w:rPr>
                <w:rFonts w:asciiTheme="majorBidi" w:hAnsiTheme="majorBidi" w:cstheme="majorBidi"/>
                <w:i/>
                <w:iCs/>
                <w:sz w:val="18"/>
                <w:szCs w:val="18"/>
                <w:lang w:val="fr-FR"/>
              </w:rPr>
              <w:t xml:space="preserve"> </w:t>
            </w:r>
          </w:p>
        </w:tc>
        <w:tc>
          <w:tcPr>
            <w:tcW w:w="900" w:type="dxa"/>
            <w:vAlign w:val="center"/>
          </w:tcPr>
          <w:p w:rsidR="0030209F" w:rsidRPr="00364FEF" w:rsidRDefault="0030209F" w:rsidP="00E9067C">
            <w:pPr>
              <w:widowControl w:val="0"/>
              <w:spacing w:before="40" w:after="40"/>
              <w:rPr>
                <w:rFonts w:asciiTheme="majorBidi" w:hAnsiTheme="majorBidi" w:cstheme="majorBidi"/>
                <w:sz w:val="18"/>
                <w:szCs w:val="18"/>
                <w:lang w:val="fr-FR"/>
              </w:rPr>
            </w:pPr>
            <w:r w:rsidRPr="00364FEF">
              <w:rPr>
                <w:rFonts w:asciiTheme="majorBidi" w:hAnsiTheme="majorBidi" w:cstheme="majorBidi"/>
                <w:sz w:val="18"/>
                <w:szCs w:val="18"/>
                <w:lang w:val="fr-FR"/>
              </w:rPr>
              <w:t>6.8.2.1 et 6.8.3.1</w:t>
            </w:r>
          </w:p>
        </w:tc>
        <w:tc>
          <w:tcPr>
            <w:tcW w:w="1800" w:type="dxa"/>
            <w:vAlign w:val="center"/>
          </w:tcPr>
          <w:p w:rsidR="0030209F" w:rsidRPr="00364FEF" w:rsidRDefault="0030209F" w:rsidP="00E9067C">
            <w:pPr>
              <w:widowControl w:val="0"/>
              <w:spacing w:before="40" w:after="40"/>
              <w:jc w:val="center"/>
              <w:rPr>
                <w:rFonts w:asciiTheme="majorBidi" w:hAnsiTheme="majorBidi" w:cstheme="majorBidi"/>
                <w:sz w:val="18"/>
                <w:szCs w:val="18"/>
                <w:lang w:val="fr-FR"/>
              </w:rPr>
            </w:pPr>
            <w:r w:rsidRPr="00364FEF">
              <w:rPr>
                <w:rFonts w:asciiTheme="majorBidi" w:hAnsiTheme="majorBidi" w:cstheme="majorBidi"/>
                <w:sz w:val="18"/>
                <w:szCs w:val="18"/>
                <w:lang w:val="fr-FR"/>
              </w:rPr>
              <w:t>Jusqu’à nouvel ordre</w:t>
            </w:r>
          </w:p>
        </w:tc>
        <w:tc>
          <w:tcPr>
            <w:tcW w:w="360" w:type="dxa"/>
            <w:vAlign w:val="center"/>
          </w:tcPr>
          <w:p w:rsidR="0030209F" w:rsidRPr="00364FEF" w:rsidRDefault="0030209F" w:rsidP="00E9067C">
            <w:pPr>
              <w:widowControl w:val="0"/>
              <w:spacing w:before="40" w:after="40"/>
              <w:rPr>
                <w:rFonts w:asciiTheme="majorBidi" w:hAnsiTheme="majorBidi" w:cstheme="majorBidi"/>
                <w:sz w:val="18"/>
                <w:szCs w:val="18"/>
                <w:lang w:val="fr-FR"/>
              </w:rPr>
            </w:pPr>
          </w:p>
        </w:tc>
      </w:tr>
      <w:tr w:rsidR="0030209F" w:rsidRPr="003B1372" w:rsidTr="00C5253D">
        <w:trPr>
          <w:jc w:val="center"/>
        </w:trPr>
        <w:tc>
          <w:tcPr>
            <w:tcW w:w="1530" w:type="dxa"/>
            <w:vAlign w:val="center"/>
          </w:tcPr>
          <w:p w:rsidR="0030209F" w:rsidRPr="00364FEF" w:rsidRDefault="0030209F" w:rsidP="00E9067C">
            <w:pPr>
              <w:keepNext/>
              <w:keepLines/>
              <w:spacing w:before="60" w:after="60"/>
              <w:rPr>
                <w:rFonts w:cs="Arial"/>
                <w:sz w:val="18"/>
                <w:szCs w:val="18"/>
                <w:lang w:val="fr-FR"/>
              </w:rPr>
            </w:pPr>
            <w:r w:rsidRPr="00364FEF">
              <w:rPr>
                <w:rFonts w:cs="Arial"/>
                <w:sz w:val="18"/>
                <w:szCs w:val="18"/>
                <w:lang w:val="fr-FR"/>
              </w:rPr>
              <w:t xml:space="preserve">EN </w:t>
            </w:r>
            <w:proofErr w:type="gramStart"/>
            <w:r w:rsidRPr="00364FEF">
              <w:rPr>
                <w:rFonts w:cs="Arial"/>
                <w:sz w:val="18"/>
                <w:szCs w:val="18"/>
                <w:lang w:val="fr-FR"/>
              </w:rPr>
              <w:t>12972:</w:t>
            </w:r>
            <w:proofErr w:type="gramEnd"/>
            <w:r w:rsidRPr="00364FEF">
              <w:rPr>
                <w:rFonts w:cs="Arial"/>
                <w:sz w:val="18"/>
                <w:szCs w:val="18"/>
                <w:lang w:val="fr-FR"/>
              </w:rPr>
              <w:t>2018</w:t>
            </w:r>
          </w:p>
        </w:tc>
        <w:tc>
          <w:tcPr>
            <w:tcW w:w="3600" w:type="dxa"/>
            <w:vAlign w:val="center"/>
          </w:tcPr>
          <w:p w:rsidR="0030209F" w:rsidRPr="00E223DF" w:rsidRDefault="0030209F" w:rsidP="00E9067C">
            <w:pPr>
              <w:keepNext/>
              <w:keepLines/>
              <w:spacing w:before="60" w:after="60"/>
              <w:rPr>
                <w:rFonts w:cs="Arial"/>
                <w:sz w:val="18"/>
                <w:szCs w:val="18"/>
                <w:lang w:val="fr-FR"/>
              </w:rPr>
            </w:pPr>
            <w:r w:rsidRPr="00E223DF">
              <w:rPr>
                <w:sz w:val="18"/>
                <w:szCs w:val="18"/>
                <w:lang w:val="fr-FR"/>
              </w:rPr>
              <w:t>Citernes destinées au transport de matières dangereuses</w:t>
            </w:r>
            <w:r>
              <w:rPr>
                <w:sz w:val="18"/>
                <w:szCs w:val="18"/>
                <w:lang w:val="fr-FR"/>
              </w:rPr>
              <w:t xml:space="preserve"> -</w:t>
            </w:r>
            <w:r w:rsidRPr="00E223DF">
              <w:rPr>
                <w:sz w:val="18"/>
                <w:szCs w:val="18"/>
                <w:lang w:val="fr-FR"/>
              </w:rPr>
              <w:t xml:space="preserve"> Épreuve, contrôle et marquage des citernes métalliques</w:t>
            </w:r>
          </w:p>
        </w:tc>
        <w:tc>
          <w:tcPr>
            <w:tcW w:w="900" w:type="dxa"/>
            <w:vAlign w:val="center"/>
          </w:tcPr>
          <w:p w:rsidR="0030209F" w:rsidRPr="00364FEF" w:rsidRDefault="0030209F" w:rsidP="00E9067C">
            <w:pPr>
              <w:keepNext/>
              <w:keepLines/>
              <w:spacing w:before="40" w:after="40"/>
              <w:rPr>
                <w:rFonts w:asciiTheme="majorBidi" w:hAnsiTheme="majorBidi" w:cstheme="majorBidi"/>
                <w:sz w:val="18"/>
                <w:szCs w:val="18"/>
                <w:lang w:val="fr-FR"/>
              </w:rPr>
            </w:pPr>
            <w:r w:rsidRPr="00364FEF">
              <w:rPr>
                <w:rFonts w:cs="Arial"/>
                <w:sz w:val="18"/>
                <w:szCs w:val="18"/>
                <w:lang w:val="fr-FR"/>
              </w:rPr>
              <w:t>6.8.2.3</w:t>
            </w:r>
          </w:p>
        </w:tc>
        <w:tc>
          <w:tcPr>
            <w:tcW w:w="1800" w:type="dxa"/>
            <w:vAlign w:val="center"/>
          </w:tcPr>
          <w:p w:rsidR="0030209F" w:rsidRPr="00364FEF" w:rsidRDefault="0030209F" w:rsidP="00E9067C">
            <w:pPr>
              <w:keepNext/>
              <w:keepLines/>
              <w:spacing w:before="40" w:after="40"/>
              <w:jc w:val="center"/>
              <w:rPr>
                <w:rFonts w:asciiTheme="majorBidi" w:hAnsiTheme="majorBidi" w:cstheme="majorBidi"/>
                <w:sz w:val="18"/>
                <w:szCs w:val="18"/>
                <w:lang w:val="fr-FR"/>
              </w:rPr>
            </w:pPr>
            <w:r w:rsidRPr="00364FEF">
              <w:rPr>
                <w:rFonts w:cs="Arial"/>
                <w:sz w:val="18"/>
                <w:szCs w:val="18"/>
                <w:lang w:val="fr-FR"/>
              </w:rPr>
              <w:t>Obligatoirement à partir du 1</w:t>
            </w:r>
            <w:r w:rsidRPr="00B60363">
              <w:rPr>
                <w:rFonts w:cs="Arial"/>
                <w:sz w:val="18"/>
                <w:szCs w:val="18"/>
                <w:lang w:val="fr-FR"/>
              </w:rPr>
              <w:t>er</w:t>
            </w:r>
            <w:r w:rsidRPr="00364FEF">
              <w:rPr>
                <w:rFonts w:cs="Arial"/>
                <w:sz w:val="18"/>
                <w:szCs w:val="18"/>
                <w:lang w:val="fr-FR"/>
              </w:rPr>
              <w:t xml:space="preserve"> janvier 2022</w:t>
            </w:r>
          </w:p>
        </w:tc>
        <w:tc>
          <w:tcPr>
            <w:tcW w:w="360" w:type="dxa"/>
            <w:vAlign w:val="center"/>
          </w:tcPr>
          <w:p w:rsidR="0030209F" w:rsidRPr="00364FEF" w:rsidRDefault="0030209F" w:rsidP="00E9067C">
            <w:pPr>
              <w:keepNext/>
              <w:keepLines/>
              <w:spacing w:before="40" w:after="40"/>
              <w:rPr>
                <w:rFonts w:asciiTheme="majorBidi" w:hAnsiTheme="majorBidi" w:cstheme="majorBidi"/>
                <w:sz w:val="18"/>
                <w:szCs w:val="18"/>
                <w:lang w:val="fr-FR"/>
              </w:rPr>
            </w:pPr>
          </w:p>
        </w:tc>
      </w:tr>
    </w:tbl>
    <w:p w:rsidR="0030209F" w:rsidRPr="00364FEF" w:rsidRDefault="0030209F" w:rsidP="00305B34">
      <w:pPr>
        <w:pStyle w:val="Bullet1G"/>
        <w:numPr>
          <w:ilvl w:val="0"/>
          <w:numId w:val="3"/>
        </w:numPr>
        <w:tabs>
          <w:tab w:val="clear" w:pos="1701"/>
        </w:tabs>
        <w:kinsoku w:val="0"/>
        <w:overflowPunct w:val="0"/>
        <w:autoSpaceDE w:val="0"/>
        <w:autoSpaceDN w:val="0"/>
        <w:adjustRightInd w:val="0"/>
        <w:snapToGrid w:val="0"/>
        <w:spacing w:before="240"/>
        <w:rPr>
          <w:lang w:val="fr-FR"/>
        </w:rPr>
      </w:pPr>
      <w:r w:rsidRPr="00364FEF">
        <w:rPr>
          <w:lang w:val="fr-FR"/>
        </w:rPr>
        <w:t xml:space="preserve">Pour </w:t>
      </w:r>
      <w:r w:rsidRPr="003B1372">
        <w:rPr>
          <w:lang w:val="fr-FR"/>
        </w:rPr>
        <w:t>« </w:t>
      </w:r>
      <w:r w:rsidRPr="00364FEF">
        <w:rPr>
          <w:lang w:val="fr-FR"/>
        </w:rPr>
        <w:t xml:space="preserve">EN </w:t>
      </w:r>
      <w:proofErr w:type="gramStart"/>
      <w:r w:rsidRPr="00364FEF">
        <w:rPr>
          <w:lang w:val="fr-FR"/>
        </w:rPr>
        <w:t>12493:</w:t>
      </w:r>
      <w:proofErr w:type="gramEnd"/>
      <w:r w:rsidRPr="00364FEF">
        <w:rPr>
          <w:lang w:val="fr-FR"/>
        </w:rPr>
        <w:t>2013+A1:2014+AC</w:t>
      </w:r>
      <w:r w:rsidRPr="003B1372">
        <w:rPr>
          <w:lang w:val="fr-FR"/>
        </w:rPr>
        <w:t>:</w:t>
      </w:r>
      <w:r w:rsidRPr="00364FEF">
        <w:rPr>
          <w:lang w:val="fr-FR"/>
        </w:rPr>
        <w:t>2015 (sauf annexe C)</w:t>
      </w:r>
      <w:r w:rsidRPr="003B1372">
        <w:rPr>
          <w:lang w:val="fr-FR"/>
        </w:rPr>
        <w:t> »</w:t>
      </w:r>
      <w:r w:rsidRPr="00364FEF">
        <w:rPr>
          <w:lang w:val="fr-FR"/>
        </w:rPr>
        <w:t xml:space="preserve">, dans la colonne (4), remplacer </w:t>
      </w:r>
      <w:r w:rsidRPr="003B1372">
        <w:rPr>
          <w:lang w:val="fr-FR"/>
        </w:rPr>
        <w:t>le texte existant</w:t>
      </w:r>
      <w:r w:rsidRPr="00364FEF">
        <w:rPr>
          <w:lang w:val="fr-FR"/>
        </w:rPr>
        <w:t xml:space="preserve"> par « Entre le 1</w:t>
      </w:r>
      <w:r>
        <w:rPr>
          <w:lang w:val="fr-FR"/>
        </w:rPr>
        <w:t>er</w:t>
      </w:r>
      <w:r w:rsidRPr="00364FEF">
        <w:rPr>
          <w:lang w:val="fr-FR"/>
        </w:rPr>
        <w:t xml:space="preserve"> janvier 2017 et le 31 décembre 2022 ».</w:t>
      </w:r>
    </w:p>
    <w:p w:rsidR="0030209F" w:rsidRPr="00364FEF" w:rsidRDefault="0030209F" w:rsidP="0030209F">
      <w:pPr>
        <w:pStyle w:val="Bullet1G"/>
        <w:numPr>
          <w:ilvl w:val="0"/>
          <w:numId w:val="3"/>
        </w:numPr>
        <w:tabs>
          <w:tab w:val="clear" w:pos="1701"/>
        </w:tabs>
        <w:kinsoku w:val="0"/>
        <w:overflowPunct w:val="0"/>
        <w:autoSpaceDE w:val="0"/>
        <w:autoSpaceDN w:val="0"/>
        <w:adjustRightInd w:val="0"/>
        <w:snapToGrid w:val="0"/>
        <w:rPr>
          <w:lang w:val="fr-FR"/>
        </w:rPr>
      </w:pPr>
      <w:r w:rsidRPr="003B1372">
        <w:rPr>
          <w:lang w:val="fr-FR"/>
        </w:rPr>
        <w:lastRenderedPageBreak/>
        <w:t xml:space="preserve">Après la rubrique existante pour la norme « EN </w:t>
      </w:r>
      <w:proofErr w:type="gramStart"/>
      <w:r w:rsidRPr="003B1372">
        <w:rPr>
          <w:lang w:val="fr-FR"/>
        </w:rPr>
        <w:t>12493:</w:t>
      </w:r>
      <w:proofErr w:type="gramEnd"/>
      <w:r w:rsidRPr="003B1372">
        <w:rPr>
          <w:lang w:val="fr-FR"/>
        </w:rPr>
        <w:t xml:space="preserve">2013+A1:2014+AC:2015 (sauf annexe C) », insérer la </w:t>
      </w:r>
      <w:r>
        <w:rPr>
          <w:lang w:val="fr-FR"/>
        </w:rPr>
        <w:t xml:space="preserve">nouvelle </w:t>
      </w:r>
      <w:r w:rsidRPr="003B1372">
        <w:rPr>
          <w:lang w:val="fr-FR"/>
        </w:rPr>
        <w:t>rubrique suivante</w:t>
      </w:r>
      <w:r w:rsidRPr="00364FEF">
        <w:rPr>
          <w:lang w:val="fr-FR"/>
        </w:rPr>
        <w:t>:</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228"/>
        <w:gridCol w:w="1417"/>
        <w:gridCol w:w="2205"/>
        <w:gridCol w:w="237"/>
      </w:tblGrid>
      <w:tr w:rsidR="0030209F" w:rsidRPr="003B1372" w:rsidTr="00C5253D">
        <w:trPr>
          <w:jc w:val="center"/>
        </w:trPr>
        <w:tc>
          <w:tcPr>
            <w:tcW w:w="1587" w:type="dxa"/>
          </w:tcPr>
          <w:p w:rsidR="0030209F" w:rsidRPr="00364FEF" w:rsidRDefault="0030209F" w:rsidP="00E9067C">
            <w:pPr>
              <w:widowControl w:val="0"/>
              <w:spacing w:before="40" w:after="40"/>
              <w:rPr>
                <w:rFonts w:asciiTheme="majorBidi" w:hAnsiTheme="majorBidi" w:cstheme="majorBidi"/>
                <w:bCs/>
                <w:iCs/>
                <w:sz w:val="18"/>
                <w:szCs w:val="18"/>
                <w:lang w:val="fr-FR"/>
              </w:rPr>
            </w:pPr>
            <w:r w:rsidRPr="00364FEF">
              <w:rPr>
                <w:rFonts w:asciiTheme="majorBidi" w:hAnsiTheme="majorBidi" w:cstheme="majorBidi"/>
                <w:bCs/>
                <w:iCs/>
                <w:sz w:val="18"/>
                <w:szCs w:val="18"/>
                <w:lang w:val="fr-FR"/>
              </w:rPr>
              <w:t xml:space="preserve">EN </w:t>
            </w:r>
            <w:proofErr w:type="gramStart"/>
            <w:r w:rsidRPr="00364FEF">
              <w:rPr>
                <w:rFonts w:asciiTheme="majorBidi" w:hAnsiTheme="majorBidi" w:cstheme="majorBidi"/>
                <w:bCs/>
                <w:iCs/>
                <w:sz w:val="18"/>
                <w:szCs w:val="18"/>
                <w:lang w:val="fr-FR"/>
              </w:rPr>
              <w:t>12493:</w:t>
            </w:r>
            <w:proofErr w:type="gramEnd"/>
            <w:r w:rsidRPr="00364FEF">
              <w:rPr>
                <w:rFonts w:asciiTheme="majorBidi" w:hAnsiTheme="majorBidi" w:cstheme="majorBidi"/>
                <w:bCs/>
                <w:iCs/>
                <w:sz w:val="18"/>
                <w:szCs w:val="18"/>
                <w:lang w:val="fr-FR"/>
              </w:rPr>
              <w:t>2013+ A2:2018 (sauf Annexe C)</w:t>
            </w:r>
          </w:p>
        </w:tc>
        <w:tc>
          <w:tcPr>
            <w:tcW w:w="3228" w:type="dxa"/>
            <w:vAlign w:val="center"/>
          </w:tcPr>
          <w:p w:rsidR="0030209F" w:rsidRPr="00364FEF" w:rsidRDefault="0030209F" w:rsidP="00E9067C">
            <w:pPr>
              <w:suppressAutoHyphens w:val="0"/>
              <w:spacing w:line="240" w:lineRule="auto"/>
              <w:rPr>
                <w:rFonts w:asciiTheme="majorBidi" w:hAnsiTheme="majorBidi" w:cstheme="majorBidi"/>
                <w:bCs/>
                <w:iCs/>
                <w:sz w:val="18"/>
                <w:szCs w:val="18"/>
                <w:lang w:val="fr-FR"/>
              </w:rPr>
            </w:pPr>
            <w:r w:rsidRPr="00A6671F">
              <w:rPr>
                <w:rFonts w:asciiTheme="majorBidi" w:eastAsia="TimesNewRomanPSMT" w:hAnsiTheme="majorBidi" w:cstheme="majorBidi"/>
                <w:bCs/>
                <w:sz w:val="18"/>
                <w:szCs w:val="18"/>
                <w:lang w:val="fr-FR" w:eastAsia="en-GB"/>
              </w:rPr>
              <w:t xml:space="preserve">Équipements pour GPL et leurs accessoires - Réservoirs sous pression en acier soudés des </w:t>
            </w:r>
            <w:proofErr w:type="spellStart"/>
            <w:r w:rsidRPr="00A6671F">
              <w:rPr>
                <w:rFonts w:asciiTheme="majorBidi" w:eastAsia="TimesNewRomanPSMT" w:hAnsiTheme="majorBidi" w:cstheme="majorBidi"/>
                <w:bCs/>
                <w:sz w:val="18"/>
                <w:szCs w:val="18"/>
                <w:lang w:val="fr-FR" w:eastAsia="en-GB"/>
              </w:rPr>
              <w:t>camions-citernes</w:t>
            </w:r>
            <w:proofErr w:type="spellEnd"/>
            <w:r w:rsidRPr="00A6671F">
              <w:rPr>
                <w:rFonts w:asciiTheme="majorBidi" w:eastAsia="TimesNewRomanPSMT" w:hAnsiTheme="majorBidi" w:cstheme="majorBidi"/>
                <w:bCs/>
                <w:sz w:val="18"/>
                <w:szCs w:val="18"/>
                <w:lang w:val="fr-FR" w:eastAsia="en-GB"/>
              </w:rPr>
              <w:t xml:space="preserve"> pour GPL - Conception et construction</w:t>
            </w:r>
          </w:p>
        </w:tc>
        <w:tc>
          <w:tcPr>
            <w:tcW w:w="1417" w:type="dxa"/>
            <w:vAlign w:val="center"/>
          </w:tcPr>
          <w:p w:rsidR="0030209F" w:rsidRPr="00364FEF" w:rsidRDefault="0030209F" w:rsidP="00E9067C">
            <w:pPr>
              <w:widowControl w:val="0"/>
              <w:spacing w:before="40" w:after="40"/>
              <w:rPr>
                <w:rFonts w:asciiTheme="majorBidi" w:hAnsiTheme="majorBidi" w:cstheme="majorBidi"/>
                <w:bCs/>
                <w:sz w:val="18"/>
                <w:szCs w:val="18"/>
                <w:lang w:val="fr-FR"/>
              </w:rPr>
            </w:pPr>
            <w:r w:rsidRPr="00364FEF">
              <w:rPr>
                <w:rFonts w:asciiTheme="majorBidi" w:hAnsiTheme="majorBidi" w:cstheme="majorBidi"/>
                <w:bCs/>
                <w:sz w:val="18"/>
                <w:szCs w:val="18"/>
                <w:lang w:val="fr-FR"/>
              </w:rPr>
              <w:t>6.8.2.1, 6.8.2.5</w:t>
            </w:r>
          </w:p>
          <w:p w:rsidR="0030209F" w:rsidRPr="00364FEF" w:rsidRDefault="0030209F" w:rsidP="00E9067C">
            <w:pPr>
              <w:widowControl w:val="0"/>
              <w:spacing w:before="40" w:after="40"/>
              <w:rPr>
                <w:rFonts w:asciiTheme="majorBidi" w:hAnsiTheme="majorBidi" w:cstheme="majorBidi"/>
                <w:bCs/>
                <w:sz w:val="18"/>
                <w:szCs w:val="18"/>
                <w:lang w:val="fr-FR"/>
              </w:rPr>
            </w:pPr>
            <w:r w:rsidRPr="00364FEF">
              <w:rPr>
                <w:rFonts w:asciiTheme="majorBidi" w:hAnsiTheme="majorBidi" w:cstheme="majorBidi"/>
                <w:bCs/>
                <w:sz w:val="18"/>
                <w:szCs w:val="18"/>
                <w:lang w:val="fr-FR"/>
              </w:rPr>
              <w:t>6.8.3.1, 6.8.3.5</w:t>
            </w:r>
          </w:p>
          <w:p w:rsidR="0030209F" w:rsidRPr="00364FEF" w:rsidRDefault="0030209F" w:rsidP="00E9067C">
            <w:pPr>
              <w:widowControl w:val="0"/>
              <w:spacing w:before="40" w:after="40"/>
              <w:rPr>
                <w:rFonts w:asciiTheme="majorBidi" w:hAnsiTheme="majorBidi" w:cstheme="majorBidi"/>
                <w:bCs/>
                <w:sz w:val="18"/>
                <w:szCs w:val="18"/>
                <w:lang w:val="fr-FR"/>
              </w:rPr>
            </w:pPr>
            <w:r w:rsidRPr="00364FEF">
              <w:rPr>
                <w:rFonts w:asciiTheme="majorBidi" w:hAnsiTheme="majorBidi" w:cstheme="majorBidi"/>
                <w:bCs/>
                <w:sz w:val="18"/>
                <w:szCs w:val="18"/>
                <w:lang w:val="fr-FR"/>
              </w:rPr>
              <w:t>6.8.5.1 à 6.8.5.3</w:t>
            </w:r>
          </w:p>
        </w:tc>
        <w:tc>
          <w:tcPr>
            <w:tcW w:w="2205" w:type="dxa"/>
            <w:vAlign w:val="center"/>
          </w:tcPr>
          <w:p w:rsidR="0030209F" w:rsidRPr="00364FEF" w:rsidRDefault="0030209F" w:rsidP="00E9067C">
            <w:pPr>
              <w:widowControl w:val="0"/>
              <w:spacing w:before="40" w:after="40"/>
              <w:jc w:val="center"/>
              <w:rPr>
                <w:rFonts w:asciiTheme="majorBidi" w:hAnsiTheme="majorBidi" w:cstheme="majorBidi"/>
                <w:bCs/>
                <w:sz w:val="18"/>
                <w:szCs w:val="18"/>
                <w:lang w:val="fr-FR"/>
              </w:rPr>
            </w:pPr>
            <w:r w:rsidRPr="00364FEF">
              <w:rPr>
                <w:rFonts w:asciiTheme="majorBidi" w:hAnsiTheme="majorBidi" w:cstheme="majorBidi"/>
                <w:bCs/>
                <w:sz w:val="18"/>
                <w:szCs w:val="18"/>
                <w:lang w:val="fr-FR"/>
              </w:rPr>
              <w:t>Jusqu’à nouvel ordre</w:t>
            </w:r>
          </w:p>
        </w:tc>
        <w:tc>
          <w:tcPr>
            <w:tcW w:w="237" w:type="dxa"/>
          </w:tcPr>
          <w:p w:rsidR="0030209F" w:rsidRPr="00364FEF" w:rsidRDefault="0030209F" w:rsidP="00E9067C">
            <w:pPr>
              <w:widowControl w:val="0"/>
              <w:spacing w:before="40" w:after="40"/>
              <w:jc w:val="center"/>
              <w:rPr>
                <w:rFonts w:asciiTheme="majorBidi" w:hAnsiTheme="majorBidi" w:cstheme="majorBidi"/>
                <w:bCs/>
                <w:sz w:val="18"/>
                <w:szCs w:val="18"/>
                <w:lang w:val="fr-FR"/>
              </w:rPr>
            </w:pPr>
          </w:p>
        </w:tc>
      </w:tr>
    </w:tbl>
    <w:p w:rsidR="0030209F" w:rsidRPr="00364FEF" w:rsidRDefault="0030209F" w:rsidP="0030209F">
      <w:pPr>
        <w:pStyle w:val="SingleTxtG"/>
        <w:spacing w:before="120"/>
        <w:ind w:left="2268" w:hanging="567"/>
        <w:rPr>
          <w:lang w:val="fr-FR"/>
        </w:rPr>
      </w:pPr>
      <w:r w:rsidRPr="00364FEF">
        <w:rPr>
          <w:lang w:val="fr-FR"/>
        </w:rPr>
        <w:t>(b)</w:t>
      </w:r>
      <w:r w:rsidRPr="00364FEF">
        <w:rPr>
          <w:lang w:val="fr-FR"/>
        </w:rPr>
        <w:tab/>
        <w:t xml:space="preserve">Sous </w:t>
      </w:r>
      <w:r w:rsidRPr="00364FEF">
        <w:rPr>
          <w:b/>
          <w:bCs/>
          <w:lang w:val="fr-FR"/>
        </w:rPr>
        <w:t>«</w:t>
      </w:r>
      <w:r w:rsidRPr="00364FEF">
        <w:rPr>
          <w:lang w:val="fr-FR"/>
        </w:rPr>
        <w:t> </w:t>
      </w:r>
      <w:r w:rsidRPr="00364FEF">
        <w:rPr>
          <w:b/>
          <w:bCs/>
          <w:i/>
          <w:iCs/>
          <w:lang w:val="fr-FR" w:eastAsia="zh-CN"/>
        </w:rPr>
        <w:t>Pour les équipements</w:t>
      </w:r>
      <w:r w:rsidRPr="003B1372">
        <w:rPr>
          <w:b/>
          <w:bCs/>
          <w:i/>
          <w:iCs/>
          <w:lang w:val="fr-FR" w:eastAsia="zh-CN"/>
        </w:rPr>
        <w:t> »</w:t>
      </w:r>
    </w:p>
    <w:p w:rsidR="0030209F" w:rsidRPr="00364FEF" w:rsidRDefault="0030209F" w:rsidP="0030209F">
      <w:pPr>
        <w:pStyle w:val="Bullet1G"/>
        <w:numPr>
          <w:ilvl w:val="0"/>
          <w:numId w:val="3"/>
        </w:numPr>
        <w:tabs>
          <w:tab w:val="clear" w:pos="1701"/>
        </w:tabs>
        <w:kinsoku w:val="0"/>
        <w:overflowPunct w:val="0"/>
        <w:autoSpaceDE w:val="0"/>
        <w:autoSpaceDN w:val="0"/>
        <w:adjustRightInd w:val="0"/>
        <w:snapToGrid w:val="0"/>
        <w:rPr>
          <w:lang w:val="fr-FR"/>
        </w:rPr>
      </w:pPr>
      <w:r w:rsidRPr="00364FEF">
        <w:rPr>
          <w:lang w:val="fr-FR"/>
        </w:rPr>
        <w:t xml:space="preserve">Pour la norme « EN </w:t>
      </w:r>
      <w:proofErr w:type="gramStart"/>
      <w:r w:rsidRPr="00364FEF">
        <w:rPr>
          <w:lang w:val="fr-FR"/>
        </w:rPr>
        <w:t>13317:</w:t>
      </w:r>
      <w:proofErr w:type="gramEnd"/>
      <w:r w:rsidRPr="00364FEF">
        <w:rPr>
          <w:lang w:val="fr-FR"/>
        </w:rPr>
        <w:t>2002</w:t>
      </w:r>
      <w:r>
        <w:rPr>
          <w:lang w:val="fr-FR"/>
        </w:rPr>
        <w:t> </w:t>
      </w:r>
      <w:r w:rsidRPr="00364FEF">
        <w:rPr>
          <w:lang w:val="fr-FR"/>
        </w:rPr>
        <w:t>+</w:t>
      </w:r>
      <w:r>
        <w:rPr>
          <w:lang w:val="fr-FR"/>
        </w:rPr>
        <w:t> </w:t>
      </w:r>
      <w:r w:rsidRPr="00364FEF">
        <w:rPr>
          <w:lang w:val="fr-FR"/>
        </w:rPr>
        <w:t xml:space="preserve">A1:2006 », dans la colonne (4), remplacer </w:t>
      </w:r>
      <w:r w:rsidRPr="00D92AAC">
        <w:rPr>
          <w:lang w:val="fr-FR"/>
        </w:rPr>
        <w:t>le texte existant</w:t>
      </w:r>
      <w:r w:rsidRPr="00364FEF">
        <w:rPr>
          <w:lang w:val="fr-FR"/>
        </w:rPr>
        <w:t xml:space="preserve"> par « entre le 1</w:t>
      </w:r>
      <w:r>
        <w:rPr>
          <w:lang w:val="fr-FR"/>
        </w:rPr>
        <w:t>er</w:t>
      </w:r>
      <w:r w:rsidRPr="00364FEF">
        <w:rPr>
          <w:lang w:val="fr-FR"/>
        </w:rPr>
        <w:t xml:space="preserve"> janvier 2009 et le 31 décembre 2021 ». </w:t>
      </w:r>
    </w:p>
    <w:p w:rsidR="0030209F" w:rsidRPr="00364FEF" w:rsidRDefault="0030209F" w:rsidP="0030209F">
      <w:pPr>
        <w:pStyle w:val="Bullet1G"/>
        <w:numPr>
          <w:ilvl w:val="0"/>
          <w:numId w:val="3"/>
        </w:numPr>
        <w:tabs>
          <w:tab w:val="clear" w:pos="1701"/>
        </w:tabs>
        <w:kinsoku w:val="0"/>
        <w:overflowPunct w:val="0"/>
        <w:autoSpaceDE w:val="0"/>
        <w:autoSpaceDN w:val="0"/>
        <w:adjustRightInd w:val="0"/>
        <w:snapToGrid w:val="0"/>
        <w:rPr>
          <w:lang w:val="fr-FR"/>
        </w:rPr>
      </w:pPr>
      <w:r w:rsidRPr="00364FEF">
        <w:rPr>
          <w:lang w:val="fr-FR"/>
        </w:rPr>
        <w:t xml:space="preserve">Après </w:t>
      </w:r>
      <w:r w:rsidRPr="003642B3">
        <w:rPr>
          <w:lang w:val="fr-FR"/>
        </w:rPr>
        <w:t xml:space="preserve">la rubrique existante pour la norme </w:t>
      </w:r>
      <w:r>
        <w:rPr>
          <w:lang w:val="fr-FR"/>
        </w:rPr>
        <w:t xml:space="preserve">« EN </w:t>
      </w:r>
      <w:proofErr w:type="gramStart"/>
      <w:r>
        <w:rPr>
          <w:lang w:val="fr-FR"/>
        </w:rPr>
        <w:t>13317:</w:t>
      </w:r>
      <w:proofErr w:type="gramEnd"/>
      <w:r w:rsidRPr="00364FEF">
        <w:rPr>
          <w:lang w:val="fr-FR"/>
        </w:rPr>
        <w:t>2002</w:t>
      </w:r>
      <w:r>
        <w:rPr>
          <w:lang w:val="fr-FR"/>
        </w:rPr>
        <w:t> </w:t>
      </w:r>
      <w:r w:rsidRPr="00364FEF">
        <w:rPr>
          <w:lang w:val="fr-FR"/>
        </w:rPr>
        <w:t>+</w:t>
      </w:r>
      <w:r>
        <w:rPr>
          <w:lang w:val="fr-FR"/>
        </w:rPr>
        <w:t> </w:t>
      </w:r>
      <w:r w:rsidRPr="00364FEF">
        <w:rPr>
          <w:lang w:val="fr-FR"/>
        </w:rPr>
        <w:t xml:space="preserve">A1:2006 », insérer la nouvelle rubrique suivante : </w:t>
      </w:r>
    </w:p>
    <w:tbl>
      <w:tblPr>
        <w:tblW w:w="7920"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60"/>
        <w:gridCol w:w="3930"/>
        <w:gridCol w:w="900"/>
        <w:gridCol w:w="1620"/>
        <w:gridCol w:w="210"/>
      </w:tblGrid>
      <w:tr w:rsidR="0030209F" w:rsidRPr="00CE1950" w:rsidTr="0030209F">
        <w:trPr>
          <w:trHeight w:val="517"/>
        </w:trPr>
        <w:tc>
          <w:tcPr>
            <w:tcW w:w="1260" w:type="dxa"/>
            <w:vAlign w:val="center"/>
          </w:tcPr>
          <w:p w:rsidR="0030209F" w:rsidRPr="00364FEF" w:rsidRDefault="0030209F" w:rsidP="0030209F">
            <w:pPr>
              <w:widowControl w:val="0"/>
              <w:spacing w:before="60" w:after="60"/>
              <w:rPr>
                <w:rFonts w:cs="Arial"/>
                <w:sz w:val="18"/>
                <w:szCs w:val="18"/>
                <w:lang w:val="fr-FR"/>
              </w:rPr>
            </w:pPr>
            <w:r w:rsidRPr="00364FEF">
              <w:rPr>
                <w:rFonts w:cs="Arial"/>
                <w:sz w:val="18"/>
                <w:szCs w:val="18"/>
                <w:lang w:val="fr-FR"/>
              </w:rPr>
              <w:t xml:space="preserve">EN </w:t>
            </w:r>
            <w:proofErr w:type="gramStart"/>
            <w:r w:rsidRPr="00364FEF">
              <w:rPr>
                <w:rFonts w:cs="Arial"/>
                <w:sz w:val="18"/>
                <w:szCs w:val="18"/>
                <w:lang w:val="fr-FR"/>
              </w:rPr>
              <w:t>13317:</w:t>
            </w:r>
            <w:proofErr w:type="gramEnd"/>
            <w:r w:rsidRPr="00364FEF">
              <w:rPr>
                <w:rFonts w:cs="Arial"/>
                <w:sz w:val="18"/>
                <w:szCs w:val="18"/>
                <w:lang w:val="fr-FR"/>
              </w:rPr>
              <w:t>2018</w:t>
            </w:r>
          </w:p>
        </w:tc>
        <w:tc>
          <w:tcPr>
            <w:tcW w:w="3930" w:type="dxa"/>
            <w:vAlign w:val="center"/>
          </w:tcPr>
          <w:p w:rsidR="0030209F" w:rsidRPr="00364FEF" w:rsidRDefault="0030209F" w:rsidP="0030209F">
            <w:pPr>
              <w:widowControl w:val="0"/>
              <w:spacing w:before="60" w:after="60"/>
              <w:rPr>
                <w:rFonts w:cs="Arial"/>
                <w:sz w:val="18"/>
                <w:szCs w:val="18"/>
                <w:lang w:val="fr-FR"/>
              </w:rPr>
            </w:pPr>
            <w:r w:rsidRPr="00364FEF">
              <w:rPr>
                <w:sz w:val="18"/>
                <w:szCs w:val="18"/>
                <w:lang w:val="fr-FR"/>
              </w:rPr>
              <w:t xml:space="preserve">Citernes </w:t>
            </w:r>
            <w:r>
              <w:rPr>
                <w:sz w:val="18"/>
                <w:szCs w:val="18"/>
                <w:lang w:val="fr-FR"/>
              </w:rPr>
              <w:t>pour le</w:t>
            </w:r>
            <w:r w:rsidRPr="00364FEF">
              <w:rPr>
                <w:sz w:val="18"/>
                <w:szCs w:val="18"/>
                <w:lang w:val="fr-FR"/>
              </w:rPr>
              <w:t xml:space="preserve"> tr</w:t>
            </w:r>
            <w:r>
              <w:rPr>
                <w:sz w:val="18"/>
                <w:szCs w:val="18"/>
                <w:lang w:val="fr-FR"/>
              </w:rPr>
              <w:t xml:space="preserve">ansport de matières dangereuses - </w:t>
            </w:r>
            <w:r w:rsidRPr="00364FEF">
              <w:rPr>
                <w:sz w:val="18"/>
                <w:szCs w:val="18"/>
                <w:lang w:val="fr-FR"/>
              </w:rPr>
              <w:t>Équipements de service pour citernes</w:t>
            </w:r>
            <w:r>
              <w:rPr>
                <w:sz w:val="18"/>
                <w:szCs w:val="18"/>
                <w:lang w:val="fr-FR"/>
              </w:rPr>
              <w:t xml:space="preserve"> -</w:t>
            </w:r>
            <w:r w:rsidRPr="00364FEF">
              <w:rPr>
                <w:sz w:val="18"/>
                <w:szCs w:val="18"/>
                <w:lang w:val="fr-FR"/>
              </w:rPr>
              <w:t xml:space="preserve"> Couvercle de trou d'homme</w:t>
            </w:r>
          </w:p>
        </w:tc>
        <w:tc>
          <w:tcPr>
            <w:tcW w:w="900" w:type="dxa"/>
            <w:vAlign w:val="center"/>
          </w:tcPr>
          <w:p w:rsidR="0030209F" w:rsidRPr="00364FEF" w:rsidRDefault="0030209F" w:rsidP="0030209F">
            <w:pPr>
              <w:widowControl w:val="0"/>
              <w:spacing w:before="60" w:after="60"/>
              <w:rPr>
                <w:rFonts w:cs="Arial"/>
                <w:sz w:val="18"/>
                <w:szCs w:val="18"/>
                <w:lang w:val="fr-FR"/>
              </w:rPr>
            </w:pPr>
            <w:r w:rsidRPr="00364FEF">
              <w:rPr>
                <w:rFonts w:cs="Arial"/>
                <w:sz w:val="18"/>
                <w:szCs w:val="18"/>
                <w:lang w:val="fr-FR"/>
              </w:rPr>
              <w:t>6.8.2.2 et 6.8.2.4.1</w:t>
            </w:r>
          </w:p>
        </w:tc>
        <w:tc>
          <w:tcPr>
            <w:tcW w:w="1620" w:type="dxa"/>
            <w:vAlign w:val="center"/>
          </w:tcPr>
          <w:p w:rsidR="0030209F" w:rsidRPr="00364FEF" w:rsidRDefault="0030209F" w:rsidP="0030209F">
            <w:pPr>
              <w:widowControl w:val="0"/>
              <w:spacing w:before="60" w:after="60"/>
              <w:rPr>
                <w:rFonts w:cs="Arial"/>
                <w:sz w:val="18"/>
                <w:szCs w:val="18"/>
                <w:lang w:val="fr-FR"/>
              </w:rPr>
            </w:pPr>
            <w:r w:rsidRPr="00364FEF">
              <w:rPr>
                <w:rFonts w:cs="Arial"/>
                <w:sz w:val="18"/>
                <w:szCs w:val="18"/>
                <w:lang w:val="fr-FR"/>
              </w:rPr>
              <w:t>Jusqu’à nouvel ordre</w:t>
            </w:r>
          </w:p>
        </w:tc>
        <w:tc>
          <w:tcPr>
            <w:tcW w:w="210" w:type="dxa"/>
            <w:vAlign w:val="center"/>
          </w:tcPr>
          <w:p w:rsidR="0030209F" w:rsidRPr="00364FEF" w:rsidRDefault="0030209F" w:rsidP="0030209F">
            <w:pPr>
              <w:widowControl w:val="0"/>
              <w:spacing w:before="60" w:after="60"/>
              <w:rPr>
                <w:rFonts w:cs="Arial"/>
                <w:sz w:val="18"/>
                <w:szCs w:val="18"/>
                <w:lang w:val="fr-FR"/>
              </w:rPr>
            </w:pPr>
          </w:p>
        </w:tc>
      </w:tr>
    </w:tbl>
    <w:p w:rsidR="00D3494A" w:rsidRDefault="00D3494A" w:rsidP="00D3494A">
      <w:pPr>
        <w:pStyle w:val="SingleTxtG"/>
        <w:spacing w:before="240"/>
        <w:ind w:left="2268" w:hanging="1134"/>
      </w:pPr>
      <w:r w:rsidRPr="00DB762A">
        <w:t>6.8.2.6.2</w:t>
      </w:r>
      <w:r w:rsidRPr="00DB762A">
        <w:tab/>
      </w:r>
      <w:r w:rsidR="00305B34" w:rsidRPr="00364FEF">
        <w:rPr>
          <w:lang w:val="fr-FR"/>
        </w:rPr>
        <w:t>Pour « EN 12972:2007 », dans la colonne (4), remplacer le texte existant par « Jusqu’au 30 juin 2021 ».</w:t>
      </w:r>
    </w:p>
    <w:p w:rsidR="00305B34" w:rsidRPr="00364FEF" w:rsidRDefault="00305B34" w:rsidP="00753BEF">
      <w:pPr>
        <w:pStyle w:val="Bullet1G"/>
        <w:numPr>
          <w:ilvl w:val="0"/>
          <w:numId w:val="3"/>
        </w:numPr>
        <w:tabs>
          <w:tab w:val="clear" w:pos="1701"/>
        </w:tabs>
        <w:kinsoku w:val="0"/>
        <w:overflowPunct w:val="0"/>
        <w:autoSpaceDE w:val="0"/>
        <w:autoSpaceDN w:val="0"/>
        <w:adjustRightInd w:val="0"/>
        <w:snapToGrid w:val="0"/>
        <w:rPr>
          <w:lang w:val="fr-FR"/>
        </w:rPr>
      </w:pPr>
      <w:r w:rsidRPr="00364FEF">
        <w:rPr>
          <w:lang w:val="fr-FR"/>
        </w:rPr>
        <w:t>Ajouter la nouvelle rubrique suivante après celle applicable à la norme « EN </w:t>
      </w:r>
      <w:proofErr w:type="gramStart"/>
      <w:r w:rsidRPr="00364FEF">
        <w:rPr>
          <w:lang w:val="fr-FR"/>
        </w:rPr>
        <w:t>12972:</w:t>
      </w:r>
      <w:proofErr w:type="gramEnd"/>
      <w:r w:rsidRPr="00364FEF">
        <w:rPr>
          <w:lang w:val="fr-FR"/>
        </w:rPr>
        <w:t>2007</w:t>
      </w:r>
      <w:r w:rsidRPr="003B1372">
        <w:rPr>
          <w:lang w:val="fr-FR"/>
        </w:rPr>
        <w:t> »</w:t>
      </w:r>
      <w:r w:rsidRPr="00364FEF">
        <w:rPr>
          <w:lang w:val="fr-FR"/>
        </w:rPr>
        <w:t>:</w:t>
      </w:r>
    </w:p>
    <w:tbl>
      <w:tblPr>
        <w:tblW w:w="788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870"/>
        <w:gridCol w:w="990"/>
        <w:gridCol w:w="1523"/>
        <w:gridCol w:w="237"/>
      </w:tblGrid>
      <w:tr w:rsidR="00305B34" w:rsidRPr="003B1372" w:rsidTr="00305B34">
        <w:tc>
          <w:tcPr>
            <w:tcW w:w="1260" w:type="dxa"/>
            <w:vAlign w:val="center"/>
          </w:tcPr>
          <w:p w:rsidR="00305B34" w:rsidRPr="00305B34" w:rsidRDefault="00305B34" w:rsidP="00E9067C">
            <w:pPr>
              <w:widowControl w:val="0"/>
              <w:spacing w:before="60" w:after="60"/>
              <w:rPr>
                <w:rFonts w:cs="Arial"/>
                <w:sz w:val="18"/>
                <w:szCs w:val="18"/>
                <w:lang w:val="fr-FR"/>
              </w:rPr>
            </w:pPr>
            <w:r w:rsidRPr="00305B34">
              <w:rPr>
                <w:rFonts w:cs="Arial"/>
                <w:sz w:val="18"/>
                <w:szCs w:val="18"/>
                <w:lang w:val="fr-FR"/>
              </w:rPr>
              <w:t xml:space="preserve">EN </w:t>
            </w:r>
            <w:proofErr w:type="gramStart"/>
            <w:r w:rsidRPr="00305B34">
              <w:rPr>
                <w:rFonts w:cs="Arial"/>
                <w:sz w:val="18"/>
                <w:szCs w:val="18"/>
                <w:lang w:val="fr-FR"/>
              </w:rPr>
              <w:t>12972:</w:t>
            </w:r>
            <w:proofErr w:type="gramEnd"/>
            <w:r w:rsidRPr="00305B34">
              <w:rPr>
                <w:rFonts w:cs="Arial"/>
                <w:sz w:val="18"/>
                <w:szCs w:val="18"/>
                <w:lang w:val="fr-FR"/>
              </w:rPr>
              <w:t>2018</w:t>
            </w:r>
          </w:p>
        </w:tc>
        <w:tc>
          <w:tcPr>
            <w:tcW w:w="3870" w:type="dxa"/>
            <w:vAlign w:val="center"/>
          </w:tcPr>
          <w:p w:rsidR="00305B34" w:rsidRPr="00305B34" w:rsidRDefault="00305B34" w:rsidP="00E9067C">
            <w:pPr>
              <w:widowControl w:val="0"/>
              <w:spacing w:before="60" w:after="60"/>
              <w:rPr>
                <w:rFonts w:cs="Arial"/>
                <w:sz w:val="18"/>
                <w:szCs w:val="18"/>
                <w:lang w:val="fr-FR"/>
              </w:rPr>
            </w:pPr>
            <w:r w:rsidRPr="00305B34">
              <w:rPr>
                <w:rFonts w:cs="Arial"/>
                <w:sz w:val="18"/>
                <w:szCs w:val="18"/>
                <w:lang w:val="fr-FR"/>
              </w:rPr>
              <w:t>Citernes destinées au transport de matières dangereuses - Épreuve, contrôle et marquage des citernes métalliques</w:t>
            </w:r>
          </w:p>
        </w:tc>
        <w:tc>
          <w:tcPr>
            <w:tcW w:w="990" w:type="dxa"/>
            <w:vAlign w:val="center"/>
          </w:tcPr>
          <w:p w:rsidR="00305B34" w:rsidRPr="00305B34" w:rsidRDefault="00305B34" w:rsidP="00E9067C">
            <w:pPr>
              <w:widowControl w:val="0"/>
              <w:spacing w:before="40" w:after="40"/>
              <w:rPr>
                <w:rFonts w:cs="Arial"/>
                <w:sz w:val="18"/>
                <w:szCs w:val="18"/>
                <w:lang w:val="fr-FR"/>
              </w:rPr>
            </w:pPr>
            <w:r w:rsidRPr="00305B34">
              <w:rPr>
                <w:rFonts w:cs="Arial"/>
                <w:sz w:val="18"/>
                <w:szCs w:val="18"/>
                <w:lang w:val="fr-FR"/>
              </w:rPr>
              <w:t>6.8.2.4</w:t>
            </w:r>
          </w:p>
          <w:p w:rsidR="00305B34" w:rsidRPr="00305B34" w:rsidRDefault="00305B34" w:rsidP="00E9067C">
            <w:pPr>
              <w:widowControl w:val="0"/>
              <w:spacing w:before="40" w:after="40"/>
              <w:rPr>
                <w:rFonts w:cs="Arial"/>
                <w:sz w:val="18"/>
                <w:szCs w:val="18"/>
                <w:lang w:val="fr-FR"/>
              </w:rPr>
            </w:pPr>
            <w:r w:rsidRPr="00305B34">
              <w:rPr>
                <w:rFonts w:cs="Arial"/>
                <w:sz w:val="18"/>
                <w:szCs w:val="18"/>
                <w:lang w:val="fr-FR"/>
              </w:rPr>
              <w:t>6.8.3.4</w:t>
            </w:r>
          </w:p>
        </w:tc>
        <w:tc>
          <w:tcPr>
            <w:tcW w:w="1523" w:type="dxa"/>
            <w:vAlign w:val="center"/>
          </w:tcPr>
          <w:p w:rsidR="00305B34" w:rsidRPr="00305B34" w:rsidRDefault="00305B34" w:rsidP="00305B34">
            <w:pPr>
              <w:widowControl w:val="0"/>
              <w:spacing w:before="40" w:after="40"/>
              <w:rPr>
                <w:rFonts w:cs="Arial"/>
                <w:sz w:val="18"/>
                <w:szCs w:val="18"/>
                <w:lang w:val="fr-FR"/>
              </w:rPr>
            </w:pPr>
            <w:r w:rsidRPr="00305B34">
              <w:rPr>
                <w:rFonts w:cs="Arial"/>
                <w:sz w:val="18"/>
                <w:szCs w:val="18"/>
                <w:lang w:val="fr-FR"/>
              </w:rPr>
              <w:t>Obligatoirement à partir du 1er juillet 2021</w:t>
            </w:r>
          </w:p>
        </w:tc>
        <w:tc>
          <w:tcPr>
            <w:tcW w:w="237" w:type="dxa"/>
            <w:vAlign w:val="center"/>
          </w:tcPr>
          <w:p w:rsidR="00305B34" w:rsidRPr="00305B34" w:rsidRDefault="00305B34" w:rsidP="00E9067C">
            <w:pPr>
              <w:widowControl w:val="0"/>
              <w:spacing w:before="40" w:after="40"/>
              <w:rPr>
                <w:rFonts w:cs="Arial"/>
                <w:sz w:val="18"/>
                <w:szCs w:val="18"/>
                <w:lang w:val="fr-FR"/>
              </w:rPr>
            </w:pPr>
          </w:p>
        </w:tc>
      </w:tr>
    </w:tbl>
    <w:p w:rsidR="00305B34" w:rsidRPr="00364FEF" w:rsidRDefault="00305B34" w:rsidP="00305B34">
      <w:pPr>
        <w:pStyle w:val="SingleTxtG"/>
        <w:spacing w:before="240"/>
        <w:ind w:left="2268" w:hanging="1134"/>
        <w:rPr>
          <w:rStyle w:val="SingleTxtGChar"/>
          <w:lang w:val="fr-FR"/>
        </w:rPr>
      </w:pPr>
      <w:r w:rsidRPr="00364FEF">
        <w:rPr>
          <w:lang w:val="fr-FR"/>
        </w:rPr>
        <w:t>6.8.4 d)</w:t>
      </w:r>
      <w:r w:rsidRPr="00364FEF">
        <w:rPr>
          <w:lang w:val="fr-FR"/>
        </w:rPr>
        <w:tab/>
        <w:t>Pour TT11, dans le paragraphe après le tableau, remplacer « EN </w:t>
      </w:r>
      <w:proofErr w:type="gramStart"/>
      <w:r w:rsidRPr="00364FEF">
        <w:rPr>
          <w:lang w:val="fr-FR"/>
        </w:rPr>
        <w:t>14025:</w:t>
      </w:r>
      <w:proofErr w:type="gramEnd"/>
      <w:r w:rsidRPr="00364FEF">
        <w:rPr>
          <w:lang w:val="fr-FR"/>
        </w:rPr>
        <w:t>2013 +A1:2016 »</w:t>
      </w:r>
      <w:r w:rsidRPr="00364FEF">
        <w:rPr>
          <w:rStyle w:val="SingleTxtGChar"/>
          <w:lang w:val="fr-FR"/>
        </w:rPr>
        <w:t xml:space="preserve"> par </w:t>
      </w:r>
      <w:r w:rsidRPr="00364FEF">
        <w:rPr>
          <w:lang w:val="fr-FR"/>
        </w:rPr>
        <w:t xml:space="preserve"> « EN</w:t>
      </w:r>
      <w:r>
        <w:rPr>
          <w:lang w:val="fr-FR"/>
        </w:rPr>
        <w:t> 14025:2018 » et remplacer « EN </w:t>
      </w:r>
      <w:r w:rsidRPr="00364FEF">
        <w:rPr>
          <w:lang w:val="fr-FR"/>
        </w:rPr>
        <w:t>12493:2013+A1:2014+AC:2015 » par « EN 12493:2013+A2:2018 »</w:t>
      </w:r>
      <w:r w:rsidRPr="00364FEF">
        <w:rPr>
          <w:rStyle w:val="SingleTxtGChar"/>
          <w:lang w:val="fr-FR"/>
        </w:rPr>
        <w:t>.</w:t>
      </w:r>
    </w:p>
    <w:p w:rsidR="00D3494A" w:rsidRPr="00DC5FF6" w:rsidRDefault="00D3494A" w:rsidP="00D3494A">
      <w:pPr>
        <w:pStyle w:val="H1G"/>
        <w:spacing w:before="0"/>
      </w:pPr>
      <w:r w:rsidRPr="00DB762A">
        <w:tab/>
      </w:r>
      <w:r w:rsidRPr="00DB762A">
        <w:tab/>
      </w:r>
    </w:p>
    <w:p w:rsidR="00D3494A" w:rsidRDefault="00D3494A" w:rsidP="00D3494A">
      <w:pPr>
        <w:pStyle w:val="HChG"/>
      </w:pPr>
      <w:r>
        <w:tab/>
      </w:r>
      <w:r>
        <w:tab/>
      </w:r>
    </w:p>
    <w:p w:rsidR="00D3494A" w:rsidRDefault="00D3494A" w:rsidP="00D3494A">
      <w:pPr>
        <w:suppressAutoHyphens w:val="0"/>
        <w:spacing w:line="240" w:lineRule="auto"/>
        <w:rPr>
          <w:b/>
          <w:sz w:val="28"/>
        </w:rPr>
      </w:pPr>
      <w:r>
        <w:br w:type="page"/>
      </w:r>
    </w:p>
    <w:p w:rsidR="000A0A4B" w:rsidRPr="00DB762A" w:rsidRDefault="00D3494A" w:rsidP="000A0A4B">
      <w:pPr>
        <w:pStyle w:val="HChG"/>
        <w:rPr>
          <w:highlight w:val="yellow"/>
        </w:rPr>
      </w:pPr>
      <w:r>
        <w:lastRenderedPageBreak/>
        <w:tab/>
      </w:r>
      <w:r>
        <w:tab/>
      </w:r>
      <w:r w:rsidR="000A0A4B">
        <w:t>ANNEXE II</w:t>
      </w:r>
    </w:p>
    <w:p w:rsidR="000A0A4B" w:rsidRPr="00364FEF" w:rsidRDefault="000A0A4B" w:rsidP="000A0A4B">
      <w:pPr>
        <w:pStyle w:val="HChG"/>
        <w:rPr>
          <w:lang w:val="fr-FR"/>
        </w:rPr>
      </w:pPr>
      <w:r w:rsidRPr="00DB762A">
        <w:tab/>
      </w:r>
      <w:r w:rsidRPr="00DB762A">
        <w:tab/>
      </w:r>
      <w:bookmarkStart w:id="1" w:name="_Hlk527553349"/>
      <w:r>
        <w:rPr>
          <w:lang w:val="fr-FR"/>
        </w:rPr>
        <w:t>Ligne</w:t>
      </w:r>
      <w:r w:rsidRPr="003B1372">
        <w:rPr>
          <w:lang w:val="fr-FR"/>
        </w:rPr>
        <w:t xml:space="preserve"> </w:t>
      </w:r>
      <w:r>
        <w:rPr>
          <w:lang w:val="fr-FR"/>
        </w:rPr>
        <w:t xml:space="preserve">directrice </w:t>
      </w:r>
      <w:bookmarkEnd w:id="1"/>
      <w:r w:rsidRPr="003B1372">
        <w:rPr>
          <w:lang w:val="fr-FR"/>
        </w:rPr>
        <w:t xml:space="preserve">pour l’application de la norme EN 12972 (Citernes destinées au transport des matières dangereuses − Épreuve, contrôle et marquage des citernes métalliques) </w:t>
      </w:r>
      <w:bookmarkStart w:id="2" w:name="_Hlk527553360"/>
      <w:r w:rsidRPr="003B1372">
        <w:rPr>
          <w:lang w:val="fr-FR"/>
        </w:rPr>
        <w:t xml:space="preserve">afin </w:t>
      </w:r>
      <w:r>
        <w:rPr>
          <w:lang w:val="fr-FR"/>
        </w:rPr>
        <w:t xml:space="preserve">de respecter les prescriptions </w:t>
      </w:r>
      <w:bookmarkEnd w:id="2"/>
      <w:r>
        <w:rPr>
          <w:lang w:val="fr-FR"/>
        </w:rPr>
        <w:t xml:space="preserve">du </w:t>
      </w:r>
      <w:r w:rsidRPr="003B1372">
        <w:rPr>
          <w:lang w:val="fr-FR"/>
        </w:rPr>
        <w:t>RID/ADR</w:t>
      </w:r>
    </w:p>
    <w:p w:rsidR="000A0A4B" w:rsidRPr="00364FEF" w:rsidRDefault="000A0A4B" w:rsidP="000A0A4B">
      <w:pPr>
        <w:pStyle w:val="SingleTxtG"/>
        <w:ind w:firstLine="567"/>
        <w:rPr>
          <w:lang w:val="fr-FR"/>
        </w:rPr>
      </w:pPr>
      <w:r w:rsidRPr="003B1372">
        <w:rPr>
          <w:lang w:val="fr-FR"/>
        </w:rPr>
        <w:t>Pour respecter les prescriptions du RID/ADR, la norme EN </w:t>
      </w:r>
      <w:proofErr w:type="gramStart"/>
      <w:r w:rsidRPr="003B1372">
        <w:rPr>
          <w:lang w:val="fr-FR"/>
        </w:rPr>
        <w:t>12972:</w:t>
      </w:r>
      <w:proofErr w:type="gramEnd"/>
      <w:r w:rsidRPr="003B1372">
        <w:rPr>
          <w:lang w:val="fr-FR"/>
        </w:rPr>
        <w:t xml:space="preserve">2007 citée en référence au 6.8.2.6.2 du RID/ADR doit être appliquée en tenant compte des exigences du </w:t>
      </w:r>
      <w:proofErr w:type="spellStart"/>
      <w:r w:rsidRPr="003B1372">
        <w:rPr>
          <w:lang w:val="fr-FR"/>
        </w:rPr>
        <w:t>du</w:t>
      </w:r>
      <w:proofErr w:type="spellEnd"/>
      <w:r w:rsidRPr="003B1372">
        <w:rPr>
          <w:lang w:val="fr-FR"/>
        </w:rPr>
        <w:t xml:space="preserve"> RID/ADR</w:t>
      </w:r>
      <w:r>
        <w:rPr>
          <w:lang w:val="fr-FR"/>
        </w:rPr>
        <w:t xml:space="preserve"> conformément au 1.1.5</w:t>
      </w:r>
      <w:r w:rsidRPr="003B1372">
        <w:rPr>
          <w:lang w:val="fr-FR"/>
        </w:rPr>
        <w:t>.</w:t>
      </w:r>
    </w:p>
    <w:p w:rsidR="000A0A4B" w:rsidRPr="00364FEF" w:rsidRDefault="000A0A4B" w:rsidP="000A0A4B">
      <w:pPr>
        <w:pStyle w:val="SingleTxtG"/>
        <w:ind w:firstLine="567"/>
        <w:rPr>
          <w:lang w:val="fr-FR"/>
        </w:rPr>
      </w:pPr>
      <w:r w:rsidRPr="003B1372">
        <w:rPr>
          <w:lang w:val="fr-FR"/>
        </w:rPr>
        <w:t xml:space="preserve">La norme EN </w:t>
      </w:r>
      <w:proofErr w:type="gramStart"/>
      <w:r w:rsidRPr="003B1372">
        <w:rPr>
          <w:lang w:val="fr-FR"/>
        </w:rPr>
        <w:t>12972:</w:t>
      </w:r>
      <w:proofErr w:type="gramEnd"/>
      <w:r w:rsidRPr="003B1372">
        <w:rPr>
          <w:lang w:val="fr-FR"/>
        </w:rPr>
        <w:t>2018 ayant été publiée, il a été décidé que cette norme serait citée en référence dans l’édition 2021 du RID/ADR.</w:t>
      </w:r>
    </w:p>
    <w:p w:rsidR="000A0A4B" w:rsidRPr="00364FEF" w:rsidRDefault="000A0A4B" w:rsidP="000A0A4B">
      <w:pPr>
        <w:pStyle w:val="SingleTxtG"/>
        <w:ind w:firstLine="567"/>
        <w:rPr>
          <w:lang w:val="fr-FR"/>
        </w:rPr>
      </w:pPr>
      <w:r w:rsidRPr="003B1372">
        <w:rPr>
          <w:lang w:val="fr-FR"/>
        </w:rPr>
        <w:t>Pour faciliter le respect et l’application cohérente de l’édition 2019 du RID/ADR, les autorités compétentes sont encouragées à approuver l’utilisation de la norme EN </w:t>
      </w:r>
      <w:proofErr w:type="gramStart"/>
      <w:r w:rsidRPr="003B1372">
        <w:rPr>
          <w:lang w:val="fr-FR"/>
        </w:rPr>
        <w:t>12972:</w:t>
      </w:r>
      <w:proofErr w:type="gramEnd"/>
      <w:r w:rsidRPr="003B1372">
        <w:rPr>
          <w:lang w:val="fr-FR"/>
        </w:rPr>
        <w:t xml:space="preserve">2018 aux fins </w:t>
      </w:r>
      <w:r>
        <w:rPr>
          <w:lang w:val="fr-FR"/>
        </w:rPr>
        <w:t>d</w:t>
      </w:r>
      <w:r w:rsidRPr="003B1372">
        <w:rPr>
          <w:lang w:val="fr-FR"/>
        </w:rPr>
        <w:t xml:space="preserve">’épreuve et </w:t>
      </w:r>
      <w:r>
        <w:rPr>
          <w:lang w:val="fr-FR"/>
        </w:rPr>
        <w:t>de</w:t>
      </w:r>
      <w:r w:rsidRPr="003B1372">
        <w:rPr>
          <w:lang w:val="fr-FR"/>
        </w:rPr>
        <w:t xml:space="preserve"> contrôle des citernes conformément au paragraphe 3 du 6.8.2.7 du RID/ADR, dès que possible mais au plus tard le 1</w:t>
      </w:r>
      <w:r w:rsidRPr="007278B6">
        <w:rPr>
          <w:lang w:val="fr-FR"/>
        </w:rPr>
        <w:t>er </w:t>
      </w:r>
      <w:r w:rsidRPr="003B1372">
        <w:rPr>
          <w:lang w:val="fr-FR"/>
        </w:rPr>
        <w:t>janvier 2020.</w:t>
      </w:r>
    </w:p>
    <w:p w:rsidR="000A0A4B" w:rsidRDefault="000A0A4B" w:rsidP="00D3494A">
      <w:pPr>
        <w:pStyle w:val="HChG"/>
      </w:pPr>
    </w:p>
    <w:p w:rsidR="000A0A4B" w:rsidRDefault="000A0A4B">
      <w:pPr>
        <w:suppressAutoHyphens w:val="0"/>
        <w:spacing w:line="240" w:lineRule="auto"/>
        <w:rPr>
          <w:b/>
          <w:sz w:val="28"/>
        </w:rPr>
      </w:pPr>
      <w:r>
        <w:br w:type="page"/>
      </w:r>
    </w:p>
    <w:p w:rsidR="00D3494A" w:rsidRDefault="000A0A4B" w:rsidP="00D3494A">
      <w:pPr>
        <w:pStyle w:val="HChG"/>
      </w:pPr>
      <w:r>
        <w:lastRenderedPageBreak/>
        <w:tab/>
      </w:r>
      <w:r>
        <w:tab/>
      </w:r>
      <w:r w:rsidR="00D3494A">
        <w:t>ANNEX</w:t>
      </w:r>
      <w:r w:rsidR="004D4909">
        <w:t>E</w:t>
      </w:r>
      <w:r w:rsidR="00D3494A">
        <w:t xml:space="preserve"> II</w:t>
      </w:r>
      <w:r>
        <w:t>I</w:t>
      </w:r>
    </w:p>
    <w:p w:rsidR="00D3494A" w:rsidRPr="005264BB" w:rsidRDefault="00D3494A" w:rsidP="00D3494A">
      <w:pPr>
        <w:pStyle w:val="H1G"/>
      </w:pPr>
      <w:r>
        <w:tab/>
      </w:r>
      <w:r>
        <w:tab/>
      </w:r>
      <w:proofErr w:type="spellStart"/>
      <w:r w:rsidR="00986C2D">
        <w:t>Projet</w:t>
      </w:r>
      <w:proofErr w:type="spellEnd"/>
      <w:r w:rsidR="00986C2D">
        <w:t xml:space="preserve"> </w:t>
      </w:r>
      <w:proofErr w:type="spellStart"/>
      <w:r w:rsidR="00986C2D">
        <w:t>d’amendements</w:t>
      </w:r>
      <w:proofErr w:type="spellEnd"/>
      <w:r w:rsidR="00986C2D">
        <w:t xml:space="preserve"> </w:t>
      </w:r>
      <w:proofErr w:type="spellStart"/>
      <w:r w:rsidR="00986C2D">
        <w:t>adopté</w:t>
      </w:r>
      <w:r w:rsidR="003871E8">
        <w:t>s</w:t>
      </w:r>
      <w:proofErr w:type="spellEnd"/>
      <w:r w:rsidR="00986C2D">
        <w:t xml:space="preserve"> par la Réunion commune pour entrée </w:t>
      </w:r>
      <w:proofErr w:type="spellStart"/>
      <w:r w:rsidR="00986C2D">
        <w:t>en</w:t>
      </w:r>
      <w:proofErr w:type="spellEnd"/>
      <w:r w:rsidR="00986C2D">
        <w:t xml:space="preserve"> </w:t>
      </w:r>
      <w:proofErr w:type="spellStart"/>
      <w:r w:rsidR="00986C2D">
        <w:t>vigueur</w:t>
      </w:r>
      <w:proofErr w:type="spellEnd"/>
      <w:r w:rsidR="00986C2D">
        <w:t xml:space="preserve"> le </w:t>
      </w:r>
      <w:r>
        <w:t xml:space="preserve">1 </w:t>
      </w:r>
      <w:proofErr w:type="spellStart"/>
      <w:r w:rsidR="00986C2D">
        <w:t>janvier</w:t>
      </w:r>
      <w:proofErr w:type="spellEnd"/>
      <w:r>
        <w:t xml:space="preserve"> 2021</w:t>
      </w:r>
    </w:p>
    <w:p w:rsidR="00D3494A" w:rsidRPr="00DB762A" w:rsidRDefault="00D3494A" w:rsidP="00D3494A">
      <w:pPr>
        <w:pStyle w:val="H1G"/>
      </w:pPr>
      <w:r>
        <w:tab/>
      </w:r>
      <w:r>
        <w:tab/>
      </w:r>
      <w:proofErr w:type="spellStart"/>
      <w:r w:rsidRPr="00DB762A">
        <w:t>Chap</w:t>
      </w:r>
      <w:r w:rsidR="00986C2D">
        <w:t>itre</w:t>
      </w:r>
      <w:proofErr w:type="spellEnd"/>
      <w:r w:rsidRPr="00DB762A">
        <w:t xml:space="preserve"> 1.4</w:t>
      </w:r>
    </w:p>
    <w:p w:rsidR="00986C2D" w:rsidRPr="003B1372" w:rsidRDefault="00986C2D" w:rsidP="00986C2D">
      <w:pPr>
        <w:pStyle w:val="SingleTxtG"/>
        <w:rPr>
          <w:lang w:val="fr-FR"/>
        </w:rPr>
      </w:pPr>
      <w:r w:rsidRPr="00364FEF">
        <w:rPr>
          <w:lang w:val="fr-FR"/>
        </w:rPr>
        <w:t>1.4.3.3 e)</w:t>
      </w:r>
      <w:r w:rsidRPr="00364FEF">
        <w:rPr>
          <w:lang w:val="fr-FR"/>
        </w:rPr>
        <w:tab/>
        <w:t>Supprimer « maximal » et « maximale ».</w:t>
      </w:r>
    </w:p>
    <w:p w:rsidR="00D3494A" w:rsidRPr="00DB762A" w:rsidRDefault="00D3494A" w:rsidP="00D3494A">
      <w:pPr>
        <w:pStyle w:val="H1G"/>
      </w:pPr>
      <w:r w:rsidRPr="00DB762A">
        <w:tab/>
      </w:r>
      <w:r w:rsidRPr="00DB762A">
        <w:tab/>
      </w:r>
      <w:proofErr w:type="spellStart"/>
      <w:r w:rsidRPr="00DB762A">
        <w:t>Chap</w:t>
      </w:r>
      <w:r w:rsidR="00EA6469">
        <w:t>itre</w:t>
      </w:r>
      <w:proofErr w:type="spellEnd"/>
      <w:r w:rsidRPr="00DB762A">
        <w:t xml:space="preserve"> 1.6</w:t>
      </w:r>
    </w:p>
    <w:p w:rsidR="00EA6469" w:rsidRPr="003B1372" w:rsidRDefault="00EA6469" w:rsidP="00EA6469">
      <w:pPr>
        <w:pStyle w:val="SingleTxtG"/>
        <w:rPr>
          <w:lang w:val="fr-FR"/>
        </w:rPr>
      </w:pPr>
      <w:r w:rsidRPr="003B1372">
        <w:rPr>
          <w:lang w:val="fr-FR"/>
        </w:rPr>
        <w:t>Ajouter le nouveau paragraphe 1.6.2.16 suivant :</w:t>
      </w:r>
    </w:p>
    <w:p w:rsidR="00EA6469" w:rsidRPr="003B1372" w:rsidRDefault="00EA6469" w:rsidP="00EA6469">
      <w:pPr>
        <w:pStyle w:val="SingleTxtG"/>
        <w:rPr>
          <w:lang w:val="fr-FR"/>
        </w:rPr>
      </w:pPr>
      <w:r w:rsidRPr="003B1372">
        <w:rPr>
          <w:lang w:val="fr-FR"/>
        </w:rPr>
        <w:t>« </w:t>
      </w:r>
      <w:r w:rsidRPr="00364FEF">
        <w:rPr>
          <w:lang w:val="fr-FR"/>
        </w:rPr>
        <w:t>1.6.2.16</w:t>
      </w:r>
      <w:r w:rsidRPr="00364FEF">
        <w:rPr>
          <w:lang w:val="fr-FR"/>
        </w:rPr>
        <w:tab/>
      </w:r>
      <w:r w:rsidRPr="00364FEF">
        <w:rPr>
          <w:rStyle w:val="SingleTxtGChar"/>
          <w:lang w:val="fr-FR"/>
        </w:rPr>
        <w:t>Les dispositions de la note 3 du 6.2.3.5.1, applicables jusqu'au 31 décembre 2020 peuvent continuer à être appliquées jusqu'au 31 décembre 2022. ».</w:t>
      </w:r>
    </w:p>
    <w:p w:rsidR="00EA6469" w:rsidRPr="00364FEF" w:rsidRDefault="00EA6469" w:rsidP="00EA6469">
      <w:pPr>
        <w:pStyle w:val="SingleTxtG"/>
        <w:rPr>
          <w:lang w:val="fr-FR"/>
        </w:rPr>
      </w:pPr>
      <w:r w:rsidRPr="00364FEF">
        <w:rPr>
          <w:lang w:val="fr-FR"/>
        </w:rPr>
        <w:t>1.6.3.100</w:t>
      </w:r>
      <w:r w:rsidRPr="00364FEF">
        <w:rPr>
          <w:lang w:val="fr-FR"/>
        </w:rPr>
        <w:tab/>
        <w:t>Combiner les deux paragraphes existants sous le titre, les numéroter en tant que 1.6.3.100.1 et ajouter le nouveau paragraphe 1.6.3.100.2 suivant :</w:t>
      </w:r>
    </w:p>
    <w:p w:rsidR="00EA6469" w:rsidRPr="003B1372" w:rsidRDefault="00EA6469" w:rsidP="00EA6469">
      <w:pPr>
        <w:pStyle w:val="SingleTxtG"/>
        <w:rPr>
          <w:lang w:val="fr-FR"/>
        </w:rPr>
      </w:pPr>
      <w:r w:rsidRPr="00364FEF">
        <w:rPr>
          <w:lang w:val="fr-FR"/>
        </w:rPr>
        <w:t>« 1.6.3.100.2</w:t>
      </w:r>
      <w:r w:rsidRPr="00364FEF">
        <w:rPr>
          <w:lang w:val="fr-FR"/>
        </w:rPr>
        <w:tab/>
        <w:t>Les citernes en matière plastique renforcée de fibres construites avant le 1er juillet 2021 conformément aux prescriptions applicables jusqu’au 31 décembre 2020 mais qui ne sont cependant pas conformes aux prescriptions de marquage du code-citerne du 6.9.6.1 applicables à compter du 1</w:t>
      </w:r>
      <w:r w:rsidRPr="00301954">
        <w:rPr>
          <w:lang w:val="fr-FR"/>
        </w:rPr>
        <w:t>er</w:t>
      </w:r>
      <w:r w:rsidRPr="00364FEF">
        <w:rPr>
          <w:lang w:val="fr-FR"/>
        </w:rPr>
        <w:t> janvier 2021 pourront continuer à porter le marquage conforme aux prescriptions en vigueur jusqu’au 31 décembre 2020 jusqu’au prochain contrôle périodique devant avoir lieu après le 1er juillet 2021. ».</w:t>
      </w:r>
    </w:p>
    <w:p w:rsidR="00D3494A" w:rsidRPr="00DB762A" w:rsidRDefault="00D3494A" w:rsidP="00D3494A">
      <w:pPr>
        <w:pStyle w:val="H1G"/>
      </w:pPr>
      <w:r>
        <w:tab/>
      </w:r>
      <w:r>
        <w:tab/>
      </w:r>
      <w:proofErr w:type="spellStart"/>
      <w:r w:rsidRPr="00DB762A">
        <w:t>Chap</w:t>
      </w:r>
      <w:r w:rsidR="00EA6469">
        <w:t>itre</w:t>
      </w:r>
      <w:proofErr w:type="spellEnd"/>
      <w:r w:rsidRPr="00DB762A">
        <w:t xml:space="preserve"> 1.8</w:t>
      </w:r>
    </w:p>
    <w:p w:rsidR="00EA6469" w:rsidRPr="00364FEF" w:rsidRDefault="00EA6469" w:rsidP="00EA6469">
      <w:pPr>
        <w:pStyle w:val="SingleTxtG"/>
        <w:rPr>
          <w:lang w:val="fr-FR"/>
        </w:rPr>
      </w:pPr>
      <w:r w:rsidRPr="00364FEF">
        <w:rPr>
          <w:lang w:val="fr-FR"/>
        </w:rPr>
        <w:t>1.8.5.1</w:t>
      </w:r>
      <w:r w:rsidRPr="00364FEF">
        <w:rPr>
          <w:lang w:val="fr-FR"/>
        </w:rPr>
        <w:tab/>
        <w:t xml:space="preserve">Après « le transporteur » ajouter </w:t>
      </w:r>
      <w:proofErr w:type="gramStart"/>
      <w:r w:rsidRPr="00364FEF">
        <w:rPr>
          <w:lang w:val="fr-FR"/>
        </w:rPr>
        <w:t>« ,</w:t>
      </w:r>
      <w:proofErr w:type="gramEnd"/>
      <w:r w:rsidRPr="00364FEF">
        <w:rPr>
          <w:lang w:val="fr-FR"/>
        </w:rPr>
        <w:t xml:space="preserve"> le déchargeur ».</w:t>
      </w:r>
    </w:p>
    <w:p w:rsidR="00D3494A" w:rsidRPr="00DB762A" w:rsidRDefault="00D3494A" w:rsidP="00D3494A">
      <w:pPr>
        <w:pStyle w:val="H1G"/>
      </w:pPr>
      <w:r w:rsidRPr="00DB762A">
        <w:tab/>
      </w:r>
      <w:r w:rsidRPr="00DB762A">
        <w:tab/>
      </w:r>
      <w:proofErr w:type="spellStart"/>
      <w:r w:rsidRPr="00DB762A">
        <w:t>Chap</w:t>
      </w:r>
      <w:r w:rsidR="00EA6469">
        <w:t>itre</w:t>
      </w:r>
      <w:proofErr w:type="spellEnd"/>
      <w:r w:rsidRPr="00DB762A">
        <w:t xml:space="preserve"> 2.1</w:t>
      </w:r>
    </w:p>
    <w:p w:rsidR="00EA6469" w:rsidRPr="003B1372" w:rsidRDefault="00EA6469" w:rsidP="00EA6469">
      <w:pPr>
        <w:pStyle w:val="SingleTxtG"/>
        <w:rPr>
          <w:u w:val="single"/>
          <w:lang w:val="fr-FR"/>
        </w:rPr>
      </w:pPr>
      <w:r w:rsidRPr="00364FEF">
        <w:rPr>
          <w:lang w:val="fr-FR"/>
        </w:rPr>
        <w:t>2.1.3.4.3</w:t>
      </w:r>
      <w:r w:rsidRPr="00364FEF">
        <w:rPr>
          <w:lang w:val="fr-FR"/>
        </w:rPr>
        <w:tab/>
        <w:t>Ajouter le nouveau paragraphe 2.1.3.4.3 suivant :</w:t>
      </w:r>
    </w:p>
    <w:p w:rsidR="00EA6469" w:rsidRPr="003B1372" w:rsidRDefault="00EA6469" w:rsidP="00EA6469">
      <w:pPr>
        <w:pStyle w:val="SingleTxtG"/>
        <w:rPr>
          <w:lang w:val="fr-FR" w:eastAsia="de-DE"/>
        </w:rPr>
      </w:pPr>
      <w:r w:rsidRPr="003B1372">
        <w:rPr>
          <w:lang w:val="fr-FR"/>
        </w:rPr>
        <w:t>« 2.1.3.4.3</w:t>
      </w:r>
      <w:r w:rsidRPr="003B1372">
        <w:rPr>
          <w:lang w:val="fr-FR"/>
        </w:rPr>
        <w:tab/>
        <w:t xml:space="preserve">Les articles usagés, par exemple les transformateurs et les condensateurs, contenant une solution ou </w:t>
      </w:r>
      <w:proofErr w:type="gramStart"/>
      <w:r w:rsidRPr="003B1372">
        <w:rPr>
          <w:lang w:val="fr-FR"/>
        </w:rPr>
        <w:t>un mélange visés</w:t>
      </w:r>
      <w:proofErr w:type="gramEnd"/>
      <w:r w:rsidRPr="003B1372">
        <w:rPr>
          <w:lang w:val="fr-FR"/>
        </w:rPr>
        <w:t xml:space="preserve"> au 2.1.3.4.2, doivent toujours être classés sous la même rubrique de la classe 9, à condition :</w:t>
      </w:r>
    </w:p>
    <w:p w:rsidR="00EA6469" w:rsidRPr="00364FEF" w:rsidRDefault="00EA6469" w:rsidP="00EA6469">
      <w:pPr>
        <w:pStyle w:val="SingleTxtG"/>
        <w:ind w:left="2694" w:hanging="426"/>
        <w:rPr>
          <w:lang w:val="fr-FR"/>
        </w:rPr>
      </w:pPr>
      <w:r w:rsidRPr="003B1372">
        <w:rPr>
          <w:lang w:val="fr-FR"/>
        </w:rPr>
        <w:t>a)</w:t>
      </w:r>
      <w:r w:rsidRPr="003B1372">
        <w:rPr>
          <w:lang w:val="fr-FR"/>
        </w:rPr>
        <w:tab/>
        <w:t xml:space="preserve">qu’ils ne contiennent pas en outre de composants dangereux autres que des </w:t>
      </w:r>
      <w:proofErr w:type="spellStart"/>
      <w:r w:rsidRPr="003B1372">
        <w:rPr>
          <w:lang w:val="fr-FR"/>
        </w:rPr>
        <w:t>dibenzodioxines</w:t>
      </w:r>
      <w:proofErr w:type="spellEnd"/>
      <w:r w:rsidRPr="003B1372">
        <w:rPr>
          <w:lang w:val="fr-FR"/>
        </w:rPr>
        <w:t xml:space="preserve"> et des </w:t>
      </w:r>
      <w:proofErr w:type="spellStart"/>
      <w:r w:rsidRPr="003B1372">
        <w:rPr>
          <w:lang w:val="fr-FR"/>
        </w:rPr>
        <w:t>dibenzofurannes</w:t>
      </w:r>
      <w:proofErr w:type="spellEnd"/>
      <w:r w:rsidRPr="003B1372">
        <w:rPr>
          <w:lang w:val="fr-FR"/>
        </w:rPr>
        <w:t xml:space="preserve"> </w:t>
      </w:r>
      <w:proofErr w:type="spellStart"/>
      <w:r w:rsidRPr="003B1372">
        <w:rPr>
          <w:lang w:val="fr-FR"/>
        </w:rPr>
        <w:t>polyhalogénés</w:t>
      </w:r>
      <w:proofErr w:type="spellEnd"/>
      <w:r w:rsidRPr="003B1372">
        <w:rPr>
          <w:lang w:val="fr-FR"/>
        </w:rPr>
        <w:t xml:space="preserve"> de la classe 6.1 ou des composants du groupe d’emballage III des classes 3, 4.1, 4.2, 4.3, 5.1, 6.1 ou 8 ; et</w:t>
      </w:r>
    </w:p>
    <w:p w:rsidR="00EA6469" w:rsidRPr="00364FEF" w:rsidRDefault="00EA6469" w:rsidP="00EA6469">
      <w:pPr>
        <w:pStyle w:val="SingleTxtG"/>
        <w:ind w:left="2694" w:hanging="426"/>
        <w:rPr>
          <w:lang w:val="fr-FR"/>
        </w:rPr>
      </w:pPr>
      <w:r w:rsidRPr="003B1372">
        <w:rPr>
          <w:lang w:val="fr-FR"/>
        </w:rPr>
        <w:t>b)</w:t>
      </w:r>
      <w:r w:rsidRPr="003B1372">
        <w:rPr>
          <w:lang w:val="fr-FR"/>
        </w:rPr>
        <w:tab/>
        <w:t>qu’ils ne présentent pas les caractéristiques de danger indiquées aux alinéas a) à g) et i) du 2.1.3.5.3. ».</w:t>
      </w:r>
    </w:p>
    <w:p w:rsidR="00D3494A" w:rsidRPr="00DB762A" w:rsidRDefault="00CD4C72" w:rsidP="00D3494A">
      <w:pPr>
        <w:pStyle w:val="H1G"/>
      </w:pPr>
      <w:r>
        <w:tab/>
      </w:r>
      <w:r>
        <w:tab/>
      </w:r>
      <w:proofErr w:type="spellStart"/>
      <w:r>
        <w:t>Chapitre</w:t>
      </w:r>
      <w:proofErr w:type="spellEnd"/>
      <w:r w:rsidR="00D3494A" w:rsidRPr="00DB762A">
        <w:t xml:space="preserve"> 3.2</w:t>
      </w:r>
      <w:r w:rsidR="00D3494A">
        <w:t>, Table</w:t>
      </w:r>
      <w:r>
        <w:t>au</w:t>
      </w:r>
      <w:r w:rsidR="00D3494A">
        <w:t xml:space="preserve"> A</w:t>
      </w:r>
    </w:p>
    <w:p w:rsidR="00CD4C72" w:rsidRPr="00364FEF" w:rsidRDefault="00CD4C72" w:rsidP="00CD4C72">
      <w:pPr>
        <w:pStyle w:val="SingleTxtG"/>
        <w:keepLines/>
        <w:ind w:left="1138" w:right="1138"/>
        <w:rPr>
          <w:lang w:val="fr-FR"/>
        </w:rPr>
      </w:pPr>
      <w:r w:rsidRPr="00364FEF">
        <w:rPr>
          <w:lang w:val="fr-FR"/>
        </w:rPr>
        <w:t>Pour les numéros ONU 2211 et 3314, insérer « 675 » dans la colonne (6).</w:t>
      </w:r>
    </w:p>
    <w:p w:rsidR="00CD4C72" w:rsidRPr="00364FEF" w:rsidRDefault="00CD4C72" w:rsidP="00CD4C72">
      <w:pPr>
        <w:pStyle w:val="SingleTxtG"/>
        <w:rPr>
          <w:lang w:val="fr-FR"/>
        </w:rPr>
      </w:pPr>
      <w:r w:rsidRPr="00364FEF">
        <w:rPr>
          <w:lang w:val="fr-FR"/>
        </w:rPr>
        <w:t>Pour le numéro ONU 2683, dans la colonne (20), remplacer « 86 » par « 836 ».</w:t>
      </w:r>
    </w:p>
    <w:p w:rsidR="00D3494A" w:rsidRPr="00DB762A" w:rsidRDefault="00D3494A" w:rsidP="00D3494A">
      <w:pPr>
        <w:pStyle w:val="H1G"/>
      </w:pPr>
      <w:r w:rsidRPr="00DB762A">
        <w:lastRenderedPageBreak/>
        <w:tab/>
      </w:r>
      <w:r w:rsidRPr="00DB762A">
        <w:tab/>
      </w:r>
      <w:proofErr w:type="spellStart"/>
      <w:r w:rsidRPr="00DB762A">
        <w:t>Chap</w:t>
      </w:r>
      <w:r w:rsidR="00B604B6">
        <w:t>itre</w:t>
      </w:r>
      <w:proofErr w:type="spellEnd"/>
      <w:r w:rsidRPr="00DB762A">
        <w:t xml:space="preserve"> 3.3</w:t>
      </w:r>
    </w:p>
    <w:p w:rsidR="00D3494A" w:rsidRPr="00B604B6" w:rsidRDefault="00B604B6" w:rsidP="00B604B6">
      <w:pPr>
        <w:pStyle w:val="SingleTxtG"/>
        <w:rPr>
          <w:lang w:val="fr-FR"/>
        </w:rPr>
      </w:pPr>
      <w:r w:rsidRPr="00364FEF">
        <w:rPr>
          <w:lang w:val="fr-FR"/>
        </w:rPr>
        <w:t>Disposition spéciale 386</w:t>
      </w:r>
      <w:r w:rsidRPr="00364FEF">
        <w:rPr>
          <w:lang w:val="fr-FR"/>
        </w:rPr>
        <w:tab/>
        <w:t>Dans la première phrase, remplacer « 2.2.41.1.17 » par « 2.2.41.1.21 ».</w:t>
      </w:r>
      <w:r w:rsidR="00D3494A" w:rsidRPr="00DB762A">
        <w:t xml:space="preserve"> </w:t>
      </w:r>
    </w:p>
    <w:p w:rsidR="00B604B6" w:rsidRPr="00364FEF" w:rsidRDefault="00B604B6" w:rsidP="00B604B6">
      <w:pPr>
        <w:pStyle w:val="SingleTxtG"/>
        <w:rPr>
          <w:lang w:val="fr-FR"/>
        </w:rPr>
      </w:pPr>
      <w:r w:rsidRPr="00364FEF">
        <w:rPr>
          <w:lang w:val="fr-FR"/>
        </w:rPr>
        <w:t>Disposition spéciale 556</w:t>
      </w:r>
      <w:r w:rsidRPr="00364FEF">
        <w:rPr>
          <w:lang w:val="fr-FR"/>
        </w:rPr>
        <w:tab/>
        <w:t>Supprimer et ajouter « (Supprimé) ».</w:t>
      </w:r>
    </w:p>
    <w:p w:rsidR="00B604B6" w:rsidRPr="00364FEF" w:rsidRDefault="00B604B6" w:rsidP="00B604B6">
      <w:pPr>
        <w:pStyle w:val="SingleTxtG"/>
        <w:rPr>
          <w:lang w:val="fr-FR"/>
        </w:rPr>
      </w:pPr>
      <w:r w:rsidRPr="00364FEF">
        <w:rPr>
          <w:lang w:val="fr-FR"/>
        </w:rPr>
        <w:t>Disposition spéciale 675</w:t>
      </w:r>
      <w:r w:rsidRPr="00364FEF">
        <w:rPr>
          <w:lang w:val="fr-FR"/>
        </w:rPr>
        <w:tab/>
        <w:t xml:space="preserve">Ajouter la nouvelle disposition spéciale 675 </w:t>
      </w:r>
      <w:proofErr w:type="gramStart"/>
      <w:r w:rsidRPr="00364FEF">
        <w:rPr>
          <w:lang w:val="fr-FR"/>
        </w:rPr>
        <w:t>suivante:</w:t>
      </w:r>
      <w:proofErr w:type="gramEnd"/>
    </w:p>
    <w:p w:rsidR="00B604B6" w:rsidRPr="00364FEF" w:rsidRDefault="00B604B6" w:rsidP="00B604B6">
      <w:pPr>
        <w:pStyle w:val="SingleTxtG"/>
        <w:rPr>
          <w:lang w:val="fr-FR"/>
        </w:rPr>
      </w:pPr>
      <w:r w:rsidRPr="00364FEF">
        <w:rPr>
          <w:lang w:val="fr-FR"/>
        </w:rPr>
        <w:t>«675</w:t>
      </w:r>
      <w:r w:rsidRPr="00364FEF">
        <w:rPr>
          <w:lang w:val="fr-FR"/>
        </w:rPr>
        <w:tab/>
        <w:t>Pour les colis contenant ces marchandises dangereuses, le chargement en commun avec des matières ou objets de la classe 1, à l’exception du 1.4S, est interdit</w:t>
      </w:r>
      <w:r>
        <w:rPr>
          <w:lang w:val="fr-FR"/>
        </w:rPr>
        <w:t>.</w:t>
      </w:r>
      <w:r w:rsidRPr="00364FEF">
        <w:rPr>
          <w:lang w:val="fr-FR"/>
        </w:rPr>
        <w:t xml:space="preserve"> ».</w:t>
      </w:r>
    </w:p>
    <w:p w:rsidR="00D3494A" w:rsidRPr="00DB762A" w:rsidRDefault="00B604B6" w:rsidP="00D3494A">
      <w:pPr>
        <w:pStyle w:val="H1G"/>
      </w:pPr>
      <w:r>
        <w:tab/>
      </w:r>
      <w:r>
        <w:tab/>
      </w:r>
      <w:proofErr w:type="spellStart"/>
      <w:r>
        <w:t>Chapitre</w:t>
      </w:r>
      <w:proofErr w:type="spellEnd"/>
      <w:r w:rsidR="00D3494A" w:rsidRPr="00DB762A">
        <w:t xml:space="preserve"> 5.3</w:t>
      </w:r>
    </w:p>
    <w:p w:rsidR="00B604B6" w:rsidRPr="003B1372" w:rsidRDefault="00B604B6" w:rsidP="00B604B6">
      <w:pPr>
        <w:pStyle w:val="SingleTxtG"/>
        <w:rPr>
          <w:lang w:val="fr-FR"/>
        </w:rPr>
      </w:pPr>
      <w:r w:rsidRPr="00364FEF">
        <w:rPr>
          <w:lang w:val="fr-FR"/>
        </w:rPr>
        <w:t>5.3.2.3.2</w:t>
      </w:r>
      <w:r w:rsidRPr="00364FEF">
        <w:rPr>
          <w:lang w:val="fr-FR"/>
        </w:rPr>
        <w:tab/>
        <w:t xml:space="preserve">Après « X83 », insérer </w:t>
      </w:r>
      <w:r w:rsidRPr="003B1372">
        <w:rPr>
          <w:lang w:val="fr-FR"/>
        </w:rPr>
        <w:t xml:space="preserve">le nouveau numéro d’identification du danger 836 </w:t>
      </w:r>
      <w:proofErr w:type="gramStart"/>
      <w:r w:rsidRPr="003B1372">
        <w:rPr>
          <w:lang w:val="fr-FR"/>
        </w:rPr>
        <w:t>suivant:</w:t>
      </w:r>
      <w:proofErr w:type="gramEnd"/>
    </w:p>
    <w:p w:rsidR="00B604B6" w:rsidRPr="00364FEF" w:rsidRDefault="00B604B6" w:rsidP="00B604B6">
      <w:pPr>
        <w:pStyle w:val="SingleTxtG"/>
        <w:rPr>
          <w:lang w:val="fr-FR"/>
        </w:rPr>
      </w:pPr>
      <w:r w:rsidRPr="00364FEF">
        <w:rPr>
          <w:lang w:val="fr-FR"/>
        </w:rPr>
        <w:t>« </w:t>
      </w:r>
      <w:r w:rsidRPr="003B1372">
        <w:rPr>
          <w:lang w:val="fr-FR"/>
        </w:rPr>
        <w:t xml:space="preserve">836 </w:t>
      </w:r>
      <w:r w:rsidRPr="003B1372">
        <w:rPr>
          <w:lang w:val="fr-FR"/>
        </w:rPr>
        <w:tab/>
        <w:t>Matière corrosive ou faiblement corrosive, inflammable (point d’éclair de 23</w:t>
      </w:r>
      <w:r>
        <w:rPr>
          <w:lang w:val="fr-FR"/>
        </w:rPr>
        <w:t> </w:t>
      </w:r>
      <w:r w:rsidRPr="003B1372">
        <w:rPr>
          <w:lang w:val="fr-FR"/>
        </w:rPr>
        <w:t>°C à 60</w:t>
      </w:r>
      <w:r>
        <w:rPr>
          <w:lang w:val="fr-FR"/>
        </w:rPr>
        <w:t> </w:t>
      </w:r>
      <w:r w:rsidRPr="003B1372">
        <w:rPr>
          <w:lang w:val="fr-FR"/>
        </w:rPr>
        <w:t>°C, valeurs limites comprises) et toxique ».</w:t>
      </w:r>
    </w:p>
    <w:p w:rsidR="00D3494A" w:rsidRPr="00DB762A" w:rsidRDefault="00271130" w:rsidP="00D3494A">
      <w:pPr>
        <w:pStyle w:val="H1G"/>
      </w:pPr>
      <w:r>
        <w:tab/>
      </w:r>
      <w:r>
        <w:tab/>
      </w:r>
      <w:proofErr w:type="spellStart"/>
      <w:r>
        <w:t>Chapitre</w:t>
      </w:r>
      <w:proofErr w:type="spellEnd"/>
      <w:r w:rsidR="00D3494A" w:rsidRPr="00DB762A">
        <w:t xml:space="preserve"> 6.2</w:t>
      </w:r>
    </w:p>
    <w:p w:rsidR="00271130" w:rsidRPr="00364FEF" w:rsidRDefault="00271130" w:rsidP="00271130">
      <w:pPr>
        <w:pStyle w:val="SingleTxtG"/>
        <w:rPr>
          <w:bCs/>
          <w:iCs/>
          <w:lang w:val="fr-FR"/>
        </w:rPr>
      </w:pPr>
      <w:r w:rsidRPr="00364FEF">
        <w:rPr>
          <w:bCs/>
          <w:iCs/>
          <w:lang w:val="fr-FR"/>
        </w:rPr>
        <w:t xml:space="preserve">6.2.3.5.1 </w:t>
      </w:r>
      <w:r w:rsidRPr="00364FEF">
        <w:rPr>
          <w:bCs/>
          <w:iCs/>
          <w:lang w:val="fr-FR"/>
        </w:rPr>
        <w:tab/>
        <w:t>Remplacer le Nota 3 par le texte suivant :</w:t>
      </w:r>
    </w:p>
    <w:p w:rsidR="00D3494A" w:rsidRDefault="00271130" w:rsidP="00271130">
      <w:pPr>
        <w:pStyle w:val="SingleTxtG"/>
        <w:rPr>
          <w:i/>
        </w:rPr>
      </w:pPr>
      <w:r w:rsidRPr="00364FEF">
        <w:rPr>
          <w:lang w:val="fr-FR"/>
        </w:rPr>
        <w:t>« </w:t>
      </w:r>
      <w:r w:rsidRPr="00364FEF">
        <w:rPr>
          <w:b/>
          <w:bCs/>
          <w:i/>
          <w:iCs/>
          <w:lang w:val="fr-FR"/>
        </w:rPr>
        <w:tab/>
        <w:t>3 :</w:t>
      </w:r>
      <w:r w:rsidRPr="00364FEF">
        <w:rPr>
          <w:i/>
          <w:iCs/>
          <w:lang w:val="fr-FR"/>
        </w:rPr>
        <w:tab/>
        <w:t xml:space="preserve"> Le contrôle du 6.2.1.6.1 b) et l’épreuve de pression hydraulique du 6.2.1.6.1 d) peuvent être remplacés par un examen ultrasonique réalisé conformément à la norme EN ISO </w:t>
      </w:r>
      <w:proofErr w:type="gramStart"/>
      <w:r w:rsidRPr="00364FEF">
        <w:rPr>
          <w:i/>
          <w:iCs/>
          <w:lang w:val="fr-FR"/>
        </w:rPr>
        <w:t>18119:[</w:t>
      </w:r>
      <w:proofErr w:type="gramEnd"/>
      <w:r w:rsidRPr="00364FEF">
        <w:rPr>
          <w:i/>
          <w:iCs/>
          <w:lang w:val="fr-FR"/>
        </w:rPr>
        <w:t>2018] pour les bouteilles et les tubes, sans soudure, en acier ou en alliages d’aluminium. Nonobstant l’article B.1 de cette norme, toutes les bouteilles et tubes dont l’épaisseur de paroi est inférieure à l’épaisseur minimale de calcul doivent être rejetés. ».</w:t>
      </w:r>
      <w:r w:rsidRPr="003B1372">
        <w:rPr>
          <w:lang w:val="fr-FR"/>
        </w:rPr>
        <w:t xml:space="preserve"> </w:t>
      </w:r>
      <w:r w:rsidR="00D3494A" w:rsidRPr="00DB762A">
        <w:rPr>
          <w:i/>
        </w:rPr>
        <w:t xml:space="preserve"> </w:t>
      </w:r>
    </w:p>
    <w:p w:rsidR="0030209F" w:rsidRPr="00364FEF" w:rsidRDefault="0030209F" w:rsidP="0030209F">
      <w:pPr>
        <w:pStyle w:val="SingleTxtG"/>
        <w:rPr>
          <w:lang w:val="fr-FR"/>
        </w:rPr>
      </w:pPr>
      <w:r w:rsidRPr="00364FEF">
        <w:rPr>
          <w:lang w:val="fr-FR"/>
        </w:rPr>
        <w:t>6.2.6.1.5</w:t>
      </w:r>
      <w:r w:rsidRPr="00364FEF">
        <w:rPr>
          <w:lang w:val="fr-FR"/>
        </w:rPr>
        <w:tab/>
        <w:t>Modifier la première phrase pour lire comme suit :</w:t>
      </w:r>
    </w:p>
    <w:p w:rsidR="0030209F" w:rsidRPr="00364FEF" w:rsidRDefault="0030209F" w:rsidP="0030209F">
      <w:pPr>
        <w:pStyle w:val="SingleTxtG"/>
        <w:rPr>
          <w:lang w:val="fr-FR"/>
        </w:rPr>
      </w:pPr>
      <w:r w:rsidRPr="00364FEF">
        <w:rPr>
          <w:lang w:val="fr-FR"/>
        </w:rPr>
        <w:t>« La pression intérieure des générateurs d’aérosols à 50</w:t>
      </w:r>
      <w:r>
        <w:rPr>
          <w:lang w:val="fr-FR"/>
        </w:rPr>
        <w:t> </w:t>
      </w:r>
      <w:r w:rsidRPr="00364FEF">
        <w:rPr>
          <w:lang w:val="fr-FR"/>
        </w:rPr>
        <w:t xml:space="preserve">°C ne doit dépasser ni les deux tiers de la pression d’épreuve, ni 1,2 MPa (12 bar) en cas d’utilisation de gaz liquéfié inflammable, 1,32 MPa (13,2 bar) en cas d’utilisation </w:t>
      </w:r>
      <w:r>
        <w:rPr>
          <w:lang w:val="fr-FR"/>
        </w:rPr>
        <w:t>de</w:t>
      </w:r>
      <w:r w:rsidRPr="00364FEF">
        <w:rPr>
          <w:lang w:val="fr-FR"/>
        </w:rPr>
        <w:t xml:space="preserve"> gaz liquéfié non inflammable et 1,5 MPa (15 bar) en cas d’utilisation de gaz comprimé ou dissous non inflammable. ».</w:t>
      </w:r>
    </w:p>
    <w:p w:rsidR="00C5253D" w:rsidRDefault="00D3494A" w:rsidP="00D3494A">
      <w:pPr>
        <w:pStyle w:val="H1G"/>
      </w:pPr>
      <w:r>
        <w:tab/>
      </w:r>
      <w:r>
        <w:tab/>
      </w:r>
      <w:proofErr w:type="spellStart"/>
      <w:r w:rsidR="00C5253D">
        <w:t>Chapitre</w:t>
      </w:r>
      <w:proofErr w:type="spellEnd"/>
      <w:r w:rsidR="00C5253D">
        <w:t xml:space="preserve"> 6.8</w:t>
      </w:r>
    </w:p>
    <w:p w:rsidR="00C5253D" w:rsidRPr="00DB762A" w:rsidRDefault="00C5253D" w:rsidP="00C5253D">
      <w:pPr>
        <w:pStyle w:val="SingleTxtG"/>
        <w:spacing w:before="120"/>
      </w:pPr>
      <w:r w:rsidRPr="00DB762A">
        <w:t>6.8.3.4.12</w:t>
      </w:r>
      <w:r w:rsidRPr="00DB762A">
        <w:tab/>
      </w:r>
      <w:r w:rsidRPr="00364FEF">
        <w:rPr>
          <w:lang w:val="fr-FR"/>
        </w:rPr>
        <w:t>Remplacer « 6.8.3.4.6 » par « 6.8.2.4.2 et 6.8.2.4.3 ».</w:t>
      </w:r>
    </w:p>
    <w:p w:rsidR="00D3494A" w:rsidRPr="00DB762A" w:rsidRDefault="00C5253D" w:rsidP="00D3494A">
      <w:pPr>
        <w:pStyle w:val="H1G"/>
      </w:pPr>
      <w:r>
        <w:tab/>
      </w:r>
      <w:r>
        <w:tab/>
      </w:r>
      <w:proofErr w:type="spellStart"/>
      <w:r w:rsidR="00865C76">
        <w:t>Chapitre</w:t>
      </w:r>
      <w:proofErr w:type="spellEnd"/>
      <w:r w:rsidR="00D3494A" w:rsidRPr="00DB762A">
        <w:t xml:space="preserve"> 6.9</w:t>
      </w:r>
    </w:p>
    <w:p w:rsidR="00865C76" w:rsidRPr="00364FEF" w:rsidRDefault="00865C76" w:rsidP="00865C76">
      <w:pPr>
        <w:pStyle w:val="SingleTxtG"/>
        <w:rPr>
          <w:lang w:val="fr-FR"/>
        </w:rPr>
      </w:pPr>
      <w:r>
        <w:rPr>
          <w:lang w:val="fr-FR"/>
        </w:rPr>
        <w:t>6</w:t>
      </w:r>
      <w:r w:rsidRPr="00364FEF">
        <w:rPr>
          <w:lang w:val="fr-FR"/>
        </w:rPr>
        <w:t>.9.6.1</w:t>
      </w:r>
      <w:r w:rsidRPr="00364FEF">
        <w:rPr>
          <w:lang w:val="fr-FR"/>
        </w:rPr>
        <w:tab/>
      </w:r>
      <w:r>
        <w:rPr>
          <w:lang w:val="fr-FR"/>
        </w:rPr>
        <w:t xml:space="preserve">À la fin du deuxième tiret, remplacer </w:t>
      </w:r>
      <w:proofErr w:type="gramStart"/>
      <w:r>
        <w:rPr>
          <w:lang w:val="fr-FR"/>
        </w:rPr>
        <w:t>« .</w:t>
      </w:r>
      <w:proofErr w:type="gramEnd"/>
      <w:r>
        <w:rPr>
          <w:lang w:val="fr-FR"/>
        </w:rPr>
        <w:t> » par « ; » et a</w:t>
      </w:r>
      <w:r w:rsidRPr="00364FEF">
        <w:rPr>
          <w:lang w:val="fr-FR"/>
        </w:rPr>
        <w:t>jouter un troisième tiret pour lire comme suit :</w:t>
      </w:r>
    </w:p>
    <w:p w:rsidR="00865C76" w:rsidRPr="00364FEF" w:rsidRDefault="00865C76" w:rsidP="000A0A4B">
      <w:pPr>
        <w:pStyle w:val="SingleTxtG"/>
        <w:ind w:left="2552" w:hanging="284"/>
        <w:rPr>
          <w:lang w:val="fr-FR"/>
        </w:rPr>
      </w:pPr>
      <w:r w:rsidRPr="00364FEF">
        <w:rPr>
          <w:lang w:val="fr-FR"/>
        </w:rPr>
        <w:t>« </w:t>
      </w:r>
      <w:r w:rsidRPr="00364FEF">
        <w:rPr>
          <w:lang w:val="fr-FR"/>
        </w:rPr>
        <w:noBreakHyphen/>
      </w:r>
      <w:r w:rsidRPr="00364FEF">
        <w:rPr>
          <w:lang w:val="fr-FR"/>
        </w:rPr>
        <w:tab/>
        <w:t>lorsqu’un code-citerne est requis conformément au 6.8.2.5.2, la deuxième partie du code-citerne doit indiquer la valeur la plus élevée de la pression de calcul pour la ou les matières dont le transport est autorisé conformément au certificat d’agrément de type. ».</w:t>
      </w:r>
      <w:r w:rsidR="00D3494A">
        <w:tab/>
      </w:r>
      <w:r w:rsidR="00D3494A">
        <w:tab/>
      </w:r>
    </w:p>
    <w:p w:rsidR="00D3494A" w:rsidRDefault="00D3494A" w:rsidP="000A0A4B">
      <w:pPr>
        <w:pStyle w:val="HChG"/>
        <w:jc w:val="center"/>
      </w:pPr>
      <w:r w:rsidRPr="00865C76">
        <w:rPr>
          <w:b w:val="0"/>
          <w:bCs/>
        </w:rPr>
        <w:t>_____________</w:t>
      </w:r>
    </w:p>
    <w:p w:rsidR="00DD396E" w:rsidRDefault="00DD396E"/>
    <w:sectPr w:rsidR="00DD396E" w:rsidSect="005264BB">
      <w:headerReference w:type="even" r:id="rId9"/>
      <w:headerReference w:type="default" r:id="rId10"/>
      <w:footerReference w:type="even" r:id="rId11"/>
      <w:footerReference w:type="default" r:id="rId12"/>
      <w:footnotePr>
        <w:numStart w:val="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4A" w:rsidRDefault="00D3494A" w:rsidP="00D3494A">
      <w:pPr>
        <w:spacing w:line="240" w:lineRule="auto"/>
      </w:pPr>
      <w:r>
        <w:separator/>
      </w:r>
    </w:p>
  </w:endnote>
  <w:endnote w:type="continuationSeparator" w:id="0">
    <w:p w:rsidR="00D3494A" w:rsidRDefault="00D3494A" w:rsidP="00D34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302D2A"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302D2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4A" w:rsidRDefault="00D3494A" w:rsidP="00D3494A">
      <w:pPr>
        <w:spacing w:line="240" w:lineRule="auto"/>
      </w:pPr>
      <w:r>
        <w:separator/>
      </w:r>
    </w:p>
  </w:footnote>
  <w:footnote w:type="continuationSeparator" w:id="0">
    <w:p w:rsidR="00D3494A" w:rsidRDefault="00D3494A" w:rsidP="00D34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302D2A" w:rsidP="009D2A5B">
    <w:pPr>
      <w:pStyle w:val="Header"/>
      <w:rPr>
        <w:szCs w:val="18"/>
        <w:lang w:val="fr-CH"/>
      </w:rPr>
    </w:pPr>
    <w:r w:rsidRPr="00FA7F6B">
      <w:rPr>
        <w:szCs w:val="18"/>
        <w:lang w:val="fr-CH"/>
      </w:rPr>
      <w:t>INF.</w:t>
    </w:r>
    <w:r>
      <w:rPr>
        <w:szCs w:val="18"/>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302D2A" w:rsidP="009D2A5B">
    <w:pPr>
      <w:pStyle w:val="Header"/>
      <w:jc w:val="right"/>
      <w:rPr>
        <w:lang w:val="fr-CH"/>
      </w:rPr>
    </w:pPr>
    <w:r>
      <w:rPr>
        <w:lang w:val="fr-CH"/>
      </w:rPr>
      <w:t>INF.21/Add.1</w:t>
    </w:r>
    <w:r w:rsidR="00D3494A">
      <w:rPr>
        <w:lang w:val="fr-CH"/>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numStart w:val="2"/>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A"/>
    <w:rsid w:val="000A03BD"/>
    <w:rsid w:val="000A0A4B"/>
    <w:rsid w:val="0019054F"/>
    <w:rsid w:val="00271130"/>
    <w:rsid w:val="00275D09"/>
    <w:rsid w:val="0030209F"/>
    <w:rsid w:val="00302D2A"/>
    <w:rsid w:val="00305B34"/>
    <w:rsid w:val="003871E8"/>
    <w:rsid w:val="003C10B9"/>
    <w:rsid w:val="003E77B2"/>
    <w:rsid w:val="00487A97"/>
    <w:rsid w:val="004B5A77"/>
    <w:rsid w:val="004D4909"/>
    <w:rsid w:val="00604F15"/>
    <w:rsid w:val="00753BEF"/>
    <w:rsid w:val="00865C76"/>
    <w:rsid w:val="00867571"/>
    <w:rsid w:val="00930F93"/>
    <w:rsid w:val="00986C2D"/>
    <w:rsid w:val="00B604B6"/>
    <w:rsid w:val="00C5253D"/>
    <w:rsid w:val="00C65283"/>
    <w:rsid w:val="00CD4553"/>
    <w:rsid w:val="00CD4C72"/>
    <w:rsid w:val="00D3494A"/>
    <w:rsid w:val="00D81B14"/>
    <w:rsid w:val="00DD396E"/>
    <w:rsid w:val="00EA6469"/>
    <w:rsid w:val="00F729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08F48"/>
  <w15:chartTrackingRefBased/>
  <w15:docId w15:val="{673BCEDC-787E-42D1-8439-28538682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94A"/>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styleId="Hyperlink">
    <w:name w:val="Hyperlink"/>
    <w:semiHidden/>
    <w:rsid w:val="00D3494A"/>
    <w:rPr>
      <w:color w:val="0000FF"/>
      <w:u w:val="single"/>
    </w:rPr>
  </w:style>
  <w:style w:type="character" w:customStyle="1" w:styleId="H1GChar">
    <w:name w:val="_ H_1_G Char"/>
    <w:link w:val="H1G"/>
    <w:rsid w:val="00D3494A"/>
    <w:rPr>
      <w:b/>
      <w:sz w:val="24"/>
    </w:rPr>
  </w:style>
  <w:style w:type="character" w:customStyle="1" w:styleId="SingleTxtGChar">
    <w:name w:val="_ Single Txt_G Char"/>
    <w:link w:val="SingleTxtG"/>
    <w:qFormat/>
    <w:rsid w:val="00D3494A"/>
  </w:style>
  <w:style w:type="character" w:customStyle="1" w:styleId="HChGChar">
    <w:name w:val="_ H _Ch_G Char"/>
    <w:link w:val="HChG"/>
    <w:rsid w:val="00D3494A"/>
    <w:rPr>
      <w:b/>
      <w:sz w:val="28"/>
    </w:rPr>
  </w:style>
  <w:style w:type="character" w:customStyle="1" w:styleId="H23GChar">
    <w:name w:val="_ H_2/3_G Char"/>
    <w:link w:val="H23G"/>
    <w:rsid w:val="00D3494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oj/direct-acc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CD2A-DC99-4462-85A1-DD249E37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1851</Words>
  <Characters>9592</Characters>
  <Application>Microsoft Office Word</Application>
  <DocSecurity>0</DocSecurity>
  <Lines>290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Christine Barrio-Champeau</cp:lastModifiedBy>
  <cp:revision>21</cp:revision>
  <dcterms:created xsi:type="dcterms:W3CDTF">2018-10-31T10:31:00Z</dcterms:created>
  <dcterms:modified xsi:type="dcterms:W3CDTF">2018-11-01T08:42:00Z</dcterms:modified>
</cp:coreProperties>
</file>