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573A" w:rsidRPr="00DD2A86" w:rsidRDefault="0067573A" w:rsidP="0067573A">
      <w:pPr>
        <w:spacing w:line="240" w:lineRule="auto"/>
        <w:ind w:left="5387" w:right="-286"/>
        <w:outlineLvl w:val="0"/>
        <w:rPr>
          <w:rFonts w:ascii="Arial" w:eastAsia="Arial" w:hAnsi="Arial" w:cs="Arial"/>
          <w:bCs/>
          <w:szCs w:val="24"/>
          <w:lang w:val="de-DE" w:eastAsia="de-DE"/>
        </w:rPr>
      </w:pPr>
      <w:bookmarkStart w:id="0" w:name="_GoBack"/>
      <w:bookmarkEnd w:id="0"/>
      <w:r w:rsidRPr="00DD2A86">
        <w:rPr>
          <w:rFonts w:ascii="Arial" w:hAnsi="Arial"/>
          <w:noProof/>
          <w:lang w:val="fr-FR" w:eastAsia="fr-FR"/>
        </w:rPr>
        <w:drawing>
          <wp:anchor distT="0" distB="0" distL="114300" distR="114300" simplePos="0" relativeHeight="251715584" behindDoc="0" locked="0" layoutInCell="1" allowOverlap="1" wp14:anchorId="42B7AB3D" wp14:editId="1B310C71">
            <wp:simplePos x="0" y="0"/>
            <wp:positionH relativeFrom="column">
              <wp:posOffset>0</wp:posOffset>
            </wp:positionH>
            <wp:positionV relativeFrom="paragraph">
              <wp:posOffset>-68580</wp:posOffset>
            </wp:positionV>
            <wp:extent cx="1713600" cy="604800"/>
            <wp:effectExtent l="0" t="0" r="1270" b="508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R_de_gauch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3600" cy="604800"/>
                    </a:xfrm>
                    <a:prstGeom prst="rect">
                      <a:avLst/>
                    </a:prstGeom>
                  </pic:spPr>
                </pic:pic>
              </a:graphicData>
            </a:graphic>
          </wp:anchor>
        </w:drawing>
      </w:r>
      <w:r w:rsidRPr="00DD2A86">
        <w:rPr>
          <w:rFonts w:ascii="Arial" w:eastAsia="Arial" w:hAnsi="Arial" w:cs="Arial"/>
          <w:bCs/>
          <w:szCs w:val="24"/>
          <w:lang w:val="de-DE" w:eastAsia="de-DE"/>
        </w:rPr>
        <w:t>CCNR-ZKR/ADN/45</w:t>
      </w:r>
    </w:p>
    <w:p w:rsidR="0067573A" w:rsidRPr="00DD2A86" w:rsidRDefault="0067573A" w:rsidP="0067573A">
      <w:pPr>
        <w:spacing w:line="240" w:lineRule="auto"/>
        <w:ind w:left="5387" w:right="-286"/>
        <w:outlineLvl w:val="0"/>
        <w:rPr>
          <w:rFonts w:ascii="Arial" w:hAnsi="Arial" w:cs="Arial"/>
          <w:sz w:val="16"/>
          <w:szCs w:val="24"/>
          <w:lang w:val="de-DE" w:eastAsia="de-DE"/>
        </w:rPr>
      </w:pPr>
      <w:r w:rsidRPr="00DD2A86">
        <w:rPr>
          <w:rFonts w:ascii="Arial" w:hAnsi="Arial" w:cs="Arial"/>
          <w:sz w:val="16"/>
          <w:szCs w:val="24"/>
          <w:lang w:val="de-DE" w:eastAsia="de-DE"/>
        </w:rPr>
        <w:t>Allgemeine Verteilung</w:t>
      </w:r>
    </w:p>
    <w:p w:rsidR="0067573A" w:rsidRPr="00DD2A86" w:rsidRDefault="0067573A" w:rsidP="0067573A">
      <w:pPr>
        <w:tabs>
          <w:tab w:val="right" w:pos="3856"/>
          <w:tab w:val="left" w:pos="5670"/>
        </w:tabs>
        <w:spacing w:line="240" w:lineRule="auto"/>
        <w:ind w:left="5387"/>
        <w:rPr>
          <w:rFonts w:ascii="Arial" w:eastAsia="Arial" w:hAnsi="Arial" w:cs="Arial"/>
          <w:szCs w:val="24"/>
          <w:lang w:val="de-DE" w:eastAsia="de-DE"/>
        </w:rPr>
      </w:pPr>
      <w:r w:rsidRPr="00DD2A86">
        <w:rPr>
          <w:rFonts w:ascii="Arial" w:eastAsia="Arial" w:hAnsi="Arial" w:cs="Arial"/>
          <w:szCs w:val="24"/>
          <w:lang w:val="de-DE" w:eastAsia="de-DE"/>
        </w:rPr>
        <w:t>1. Juni 2018</w:t>
      </w:r>
    </w:p>
    <w:p w:rsidR="0067573A" w:rsidRPr="00DD2A86" w:rsidRDefault="0067573A" w:rsidP="0067573A">
      <w:pPr>
        <w:tabs>
          <w:tab w:val="right" w:pos="3856"/>
          <w:tab w:val="left" w:pos="5670"/>
        </w:tabs>
        <w:spacing w:line="240" w:lineRule="auto"/>
        <w:ind w:left="5387" w:right="565"/>
        <w:rPr>
          <w:rFonts w:ascii="Arial" w:hAnsi="Arial" w:cs="Arial"/>
          <w:snapToGrid w:val="0"/>
          <w:kern w:val="1"/>
          <w:lang w:val="de-DE" w:eastAsia="de-DE"/>
        </w:rPr>
      </w:pPr>
      <w:r w:rsidRPr="00DD2A86">
        <w:rPr>
          <w:rFonts w:ascii="Arial" w:eastAsia="Arial" w:hAnsi="Arial" w:cs="Arial"/>
          <w:sz w:val="16"/>
          <w:szCs w:val="24"/>
          <w:lang w:val="de-DE" w:eastAsia="de-DE"/>
        </w:rPr>
        <w:t>Or.  ENGLISCH und FRANZÖSISCH</w:t>
      </w:r>
    </w:p>
    <w:p w:rsidR="0067573A" w:rsidRPr="00DD2A86" w:rsidRDefault="0067573A" w:rsidP="0067573A">
      <w:pPr>
        <w:spacing w:line="240" w:lineRule="auto"/>
        <w:rPr>
          <w:rFonts w:ascii="Arial" w:hAnsi="Arial" w:cs="Arial"/>
          <w:sz w:val="16"/>
          <w:szCs w:val="24"/>
          <w:lang w:val="de-DE" w:eastAsia="de-DE"/>
        </w:rPr>
      </w:pPr>
    </w:p>
    <w:p w:rsidR="0067573A" w:rsidRPr="00DD2A86" w:rsidRDefault="0067573A" w:rsidP="0067573A">
      <w:pPr>
        <w:spacing w:line="240" w:lineRule="auto"/>
        <w:rPr>
          <w:rFonts w:ascii="Arial" w:hAnsi="Arial" w:cs="Arial"/>
          <w:sz w:val="16"/>
          <w:szCs w:val="24"/>
          <w:lang w:val="de-DE" w:eastAsia="de-DE"/>
        </w:rPr>
      </w:pPr>
    </w:p>
    <w:p w:rsidR="0067573A" w:rsidRPr="00DD2A86" w:rsidRDefault="0067573A" w:rsidP="0067573A">
      <w:pPr>
        <w:tabs>
          <w:tab w:val="left" w:pos="1100"/>
        </w:tabs>
        <w:spacing w:line="240" w:lineRule="auto"/>
        <w:ind w:left="5103"/>
        <w:rPr>
          <w:rFonts w:ascii="Arial" w:hAnsi="Arial"/>
          <w:sz w:val="16"/>
          <w:szCs w:val="24"/>
          <w:lang w:val="de-DE" w:eastAsia="fr-FR"/>
        </w:rPr>
      </w:pPr>
      <w:r w:rsidRPr="00DD2A86">
        <w:rPr>
          <w:b/>
          <w:sz w:val="28"/>
          <w:lang w:val="de-DE"/>
        </w:rPr>
        <w:tab/>
      </w:r>
    </w:p>
    <w:p w:rsidR="0067573A" w:rsidRPr="00DD2A86" w:rsidRDefault="0067573A" w:rsidP="0067573A">
      <w:pPr>
        <w:tabs>
          <w:tab w:val="left" w:pos="1100"/>
        </w:tabs>
        <w:spacing w:line="240" w:lineRule="auto"/>
        <w:ind w:left="5103"/>
        <w:rPr>
          <w:rFonts w:ascii="Arial" w:hAnsi="Arial"/>
          <w:sz w:val="16"/>
          <w:szCs w:val="24"/>
          <w:lang w:val="de-DE" w:eastAsia="fr-FR"/>
        </w:rPr>
      </w:pPr>
      <w:r w:rsidRPr="00DD2A86">
        <w:rPr>
          <w:rFonts w:ascii="Arial" w:hAnsi="Arial"/>
          <w:noProof/>
          <w:sz w:val="16"/>
          <w:szCs w:val="24"/>
          <w:lang w:val="de-DE" w:eastAsia="fr-FR"/>
        </w:rPr>
        <w:t>VERWALTUNGSAUSSCHUSS DES EUROPÄISCHEN</w:t>
      </w:r>
      <w:r w:rsidRPr="00DD2A86">
        <w:rPr>
          <w:rFonts w:ascii="Arial" w:hAnsi="Arial"/>
          <w:sz w:val="16"/>
          <w:szCs w:val="24"/>
          <w:lang w:val="de-DE" w:eastAsia="fr-FR"/>
        </w:rPr>
        <w:t xml:space="preserve"> </w:t>
      </w:r>
      <w:r w:rsidRPr="00DD2A86">
        <w:rPr>
          <w:rFonts w:ascii="Arial" w:hAnsi="Arial"/>
          <w:sz w:val="16"/>
          <w:szCs w:val="24"/>
          <w:lang w:val="de-DE" w:eastAsia="fr-FR"/>
        </w:rPr>
        <w:tab/>
      </w:r>
      <w:r w:rsidRPr="00DD2A86">
        <w:rPr>
          <w:rFonts w:ascii="Arial" w:hAnsi="Arial"/>
          <w:noProof/>
          <w:sz w:val="16"/>
          <w:szCs w:val="24"/>
          <w:lang w:val="de-DE" w:eastAsia="fr-FR"/>
        </w:rPr>
        <w:t xml:space="preserve">ÜBEREINKOMMENS ÜBER DIE INTERNATIONALE </w:t>
      </w:r>
      <w:r w:rsidRPr="00DD2A86">
        <w:rPr>
          <w:rFonts w:ascii="Arial" w:hAnsi="Arial"/>
          <w:noProof/>
          <w:sz w:val="16"/>
          <w:szCs w:val="24"/>
          <w:lang w:val="de-DE" w:eastAsia="fr-FR"/>
        </w:rPr>
        <w:tab/>
        <w:t>BEFÖRDERUNG VON GEFÄHRLICHEN GÜTERN AUF BINNENWASSERSTRASSEN (ADN)</w:t>
      </w:r>
    </w:p>
    <w:p w:rsidR="0067573A" w:rsidRPr="00DD2A86" w:rsidRDefault="0067573A" w:rsidP="0067573A">
      <w:pPr>
        <w:spacing w:line="240" w:lineRule="auto"/>
        <w:ind w:left="5103"/>
        <w:rPr>
          <w:rFonts w:ascii="Arial" w:hAnsi="Arial"/>
          <w:sz w:val="16"/>
          <w:szCs w:val="24"/>
          <w:lang w:val="de-DE" w:eastAsia="fr-FR"/>
        </w:rPr>
      </w:pPr>
      <w:r w:rsidRPr="00DD2A86">
        <w:rPr>
          <w:rFonts w:ascii="Arial" w:hAnsi="Arial"/>
          <w:sz w:val="16"/>
          <w:szCs w:val="24"/>
          <w:lang w:val="de-DE" w:eastAsia="fr-FR"/>
        </w:rPr>
        <w:tab/>
      </w:r>
    </w:p>
    <w:p w:rsidR="0067573A" w:rsidRPr="00DD2A86" w:rsidRDefault="0067573A" w:rsidP="0067573A">
      <w:pPr>
        <w:tabs>
          <w:tab w:val="left" w:pos="8586"/>
        </w:tabs>
        <w:spacing w:line="240" w:lineRule="auto"/>
        <w:ind w:left="5103"/>
        <w:rPr>
          <w:rFonts w:ascii="Arial" w:hAnsi="Arial"/>
          <w:sz w:val="16"/>
          <w:szCs w:val="24"/>
          <w:lang w:val="de-DE" w:eastAsia="fr-FR"/>
        </w:rPr>
      </w:pPr>
    </w:p>
    <w:p w:rsidR="0067573A" w:rsidRPr="00DD2A86" w:rsidRDefault="0067573A" w:rsidP="0067573A">
      <w:pPr>
        <w:spacing w:line="240" w:lineRule="auto"/>
        <w:ind w:left="5103"/>
        <w:rPr>
          <w:rFonts w:ascii="Arial" w:hAnsi="Arial"/>
          <w:sz w:val="16"/>
          <w:szCs w:val="24"/>
          <w:lang w:val="de-DE" w:eastAsia="fr-FR"/>
        </w:rPr>
      </w:pPr>
    </w:p>
    <w:p w:rsidR="0067573A" w:rsidRPr="00DD2A86" w:rsidRDefault="0067573A" w:rsidP="0067573A">
      <w:pPr>
        <w:spacing w:line="240" w:lineRule="auto"/>
        <w:ind w:left="5103"/>
        <w:rPr>
          <w:rFonts w:ascii="Arial" w:hAnsi="Arial"/>
          <w:sz w:val="16"/>
          <w:szCs w:val="24"/>
          <w:lang w:val="de-DE" w:eastAsia="fr-FR"/>
        </w:rPr>
      </w:pPr>
    </w:p>
    <w:p w:rsidR="0067573A" w:rsidRPr="00DD2A86" w:rsidRDefault="0067573A" w:rsidP="0067573A">
      <w:pPr>
        <w:spacing w:line="240" w:lineRule="auto"/>
        <w:ind w:left="5103"/>
        <w:rPr>
          <w:rFonts w:ascii="Arial" w:hAnsi="Arial"/>
          <w:sz w:val="16"/>
          <w:szCs w:val="24"/>
          <w:lang w:val="de-DE" w:eastAsia="fr-FR"/>
        </w:rPr>
      </w:pPr>
    </w:p>
    <w:p w:rsidR="0067573A" w:rsidRPr="00DD2A86" w:rsidRDefault="0067573A" w:rsidP="0067573A">
      <w:pPr>
        <w:spacing w:line="240" w:lineRule="auto"/>
        <w:ind w:left="5103"/>
        <w:rPr>
          <w:lang w:val="de-DE" w:eastAsia="fr-FR"/>
        </w:rPr>
      </w:pPr>
    </w:p>
    <w:p w:rsidR="0067573A" w:rsidRPr="00DD2A86" w:rsidRDefault="0067573A" w:rsidP="0067573A">
      <w:pPr>
        <w:tabs>
          <w:tab w:val="left" w:pos="1100"/>
        </w:tabs>
        <w:spacing w:line="240" w:lineRule="auto"/>
        <w:ind w:left="1134"/>
        <w:rPr>
          <w:b/>
          <w:sz w:val="28"/>
          <w:lang w:val="de-DE"/>
        </w:rPr>
      </w:pPr>
      <w:r w:rsidRPr="00DD2A86">
        <w:rPr>
          <w:b/>
          <w:sz w:val="28"/>
          <w:lang w:val="de-DE"/>
        </w:rPr>
        <w:t>Übereinkommens über die internationale Beförderung von gefährlichen Gütern auf Binnenwasserstraßen (ADN)</w:t>
      </w:r>
    </w:p>
    <w:p w:rsidR="0067573A" w:rsidRPr="00DD2A86" w:rsidRDefault="0067573A" w:rsidP="0067573A">
      <w:pPr>
        <w:keepNext/>
        <w:keepLines/>
        <w:tabs>
          <w:tab w:val="right" w:pos="851"/>
        </w:tabs>
        <w:spacing w:before="360" w:after="240" w:line="280" w:lineRule="exact"/>
        <w:ind w:left="1134" w:right="1134" w:hanging="1134"/>
        <w:rPr>
          <w:b/>
          <w:snapToGrid w:val="0"/>
          <w:sz w:val="24"/>
          <w:szCs w:val="24"/>
          <w:lang w:val="de-DE" w:eastAsia="fr-FR"/>
        </w:rPr>
      </w:pPr>
      <w:r w:rsidRPr="00DD2A86">
        <w:rPr>
          <w:b/>
          <w:snapToGrid w:val="0"/>
          <w:sz w:val="24"/>
          <w:szCs w:val="24"/>
          <w:lang w:val="de-DE" w:eastAsia="fr-FR"/>
        </w:rPr>
        <w:tab/>
      </w:r>
      <w:r w:rsidRPr="00DD2A86">
        <w:rPr>
          <w:b/>
          <w:snapToGrid w:val="0"/>
          <w:sz w:val="24"/>
          <w:szCs w:val="24"/>
          <w:lang w:val="de-DE" w:eastAsia="fr-FR"/>
        </w:rPr>
        <w:tab/>
      </w:r>
      <w:r w:rsidRPr="00DD2A86">
        <w:rPr>
          <w:b/>
          <w:sz w:val="28"/>
          <w:lang w:val="de-DE"/>
        </w:rPr>
        <w:t>Änderungsentwürfe zu der dem ADN beigefügten Verordnung</w:t>
      </w:r>
      <w:r w:rsidRPr="00DD2A86">
        <w:rPr>
          <w:sz w:val="18"/>
          <w:szCs w:val="24"/>
          <w:vertAlign w:val="superscript"/>
          <w:lang w:val="de-DE" w:eastAsia="fr-FR"/>
        </w:rPr>
        <w:footnoteReference w:id="1"/>
      </w:r>
    </w:p>
    <w:p w:rsidR="0067573A" w:rsidRPr="00DD2A86" w:rsidRDefault="0067573A" w:rsidP="0067573A">
      <w:pPr>
        <w:spacing w:after="120"/>
        <w:ind w:left="1134" w:right="1134" w:firstLine="567"/>
        <w:jc w:val="both"/>
        <w:rPr>
          <w:lang w:val="de-DE"/>
        </w:rPr>
      </w:pPr>
      <w:r w:rsidRPr="00DD2A86">
        <w:rPr>
          <w:lang w:val="de-DE"/>
        </w:rPr>
        <w:t>In seiner zwanzigsten Sitzung (26. Januar 2018) forderte der ADN-Verwaltungsausschuss das Sekretariat auf, eine konsolidierte Liste aller Änderungen zu erstellen, die er im Hinblick auf ein Inkrafttreten am 1. Januar 2019 angenommenen hat, damit diese zum Gegenstand eines offiziellen Vorschlags nach dem in Artikel 20 geregelten Verfahren gemacht werden können. Die Notifizierung sollte spätestens am 1. Juli 2018 erfolgen und den geplanten Inkrafttretungszeitpunkt (1. Januar 2019) beinhalten (siehe ECE/ADN/44, Absatz 19).</w:t>
      </w:r>
    </w:p>
    <w:p w:rsidR="0067573A" w:rsidRPr="00DD2A86" w:rsidRDefault="0067573A" w:rsidP="0067573A">
      <w:pPr>
        <w:tabs>
          <w:tab w:val="left" w:pos="1701"/>
        </w:tabs>
        <w:spacing w:after="120"/>
        <w:ind w:left="1134" w:right="1134" w:firstLine="567"/>
        <w:jc w:val="both"/>
        <w:rPr>
          <w:lang w:val="de-DE"/>
        </w:rPr>
      </w:pPr>
      <w:r w:rsidRPr="00DD2A86">
        <w:rPr>
          <w:lang w:val="de-DE"/>
        </w:rPr>
        <w:t>Dieses Dokument enthält die gewünschte Liste der vom Verwaltungsausschuss in seiner zwanzigsten Sitzung angenommenen Änderungen, die auf den vom Sicherheitsausschuss in seiner zweiunddreißigsten Sitzung angenommenen Änderungen basieren</w:t>
      </w:r>
      <w:r w:rsidRPr="00DD2A86">
        <w:rPr>
          <w:bCs/>
          <w:lang w:val="de-DE"/>
        </w:rPr>
        <w:t xml:space="preserve"> </w:t>
      </w:r>
      <w:r w:rsidRPr="00DD2A86">
        <w:rPr>
          <w:lang w:val="de-DE"/>
        </w:rPr>
        <w:t xml:space="preserve">(siehe ECE/ADN/44 Abs. 18 und </w:t>
      </w:r>
      <w:r w:rsidRPr="00DD2A86">
        <w:rPr>
          <w:bCs/>
          <w:lang w:val="de-DE"/>
        </w:rPr>
        <w:t xml:space="preserve">ECE/TRANS/WP.15/AC.2/66, Anlage I über Dokument ECE/TRANS/WP.15/AC.2/66/Add.1). </w:t>
      </w:r>
      <w:r w:rsidRPr="00DD2A86">
        <w:rPr>
          <w:lang w:val="de-DE"/>
        </w:rPr>
        <w:t>Die Änderungen wurden vom Sicherheitsausschuss in dessen neunundzwanzigster, dreißigster, einunddreißigster und zweiunddreißigster Sitzung vorgeschlagen (siehe ECE/TRANS/WP.15/AC.2/60, ECE/TRANS/WP.15/AC.2/62, ECE/TRANS/WP.15/AC.2/64 und Corr. 1 und ECE/TRANS/WP.15/AC.2/66 und Corr.</w:t>
      </w:r>
      <w:r w:rsidR="00D4643C">
        <w:rPr>
          <w:lang w:val="de-DE"/>
        </w:rPr>
        <w:t xml:space="preserve"> 1</w:t>
      </w:r>
      <w:r w:rsidRPr="00DD2A86">
        <w:rPr>
          <w:lang w:val="de-DE"/>
        </w:rPr>
        <w:t>).</w:t>
      </w:r>
    </w:p>
    <w:p w:rsidR="000E27D8" w:rsidRPr="00DD2A86" w:rsidRDefault="000E27D8" w:rsidP="0049738D">
      <w:pPr>
        <w:suppressAutoHyphens w:val="0"/>
        <w:jc w:val="both"/>
        <w:rPr>
          <w:b/>
          <w:bCs/>
          <w:sz w:val="28"/>
          <w:szCs w:val="24"/>
          <w:lang w:val="de-DE" w:eastAsia="fr-FR"/>
        </w:rPr>
      </w:pPr>
      <w:r w:rsidRPr="00DD2A86">
        <w:rPr>
          <w:b/>
          <w:bCs/>
          <w:sz w:val="28"/>
          <w:szCs w:val="24"/>
          <w:lang w:val="de-DE" w:eastAsia="fr-FR"/>
        </w:rPr>
        <w:br w:type="page"/>
      </w:r>
    </w:p>
    <w:p w:rsidR="00071FFB" w:rsidRPr="00DD2A86" w:rsidRDefault="00C846E3" w:rsidP="00B61A90">
      <w:pPr>
        <w:keepNext/>
        <w:keepLines/>
        <w:tabs>
          <w:tab w:val="right" w:pos="851"/>
        </w:tabs>
        <w:spacing w:before="360" w:after="240" w:line="270" w:lineRule="exact"/>
        <w:ind w:left="1134" w:right="1134" w:hanging="1134"/>
        <w:rPr>
          <w:b/>
          <w:sz w:val="24"/>
          <w:lang w:val="de-DE"/>
        </w:rPr>
      </w:pPr>
      <w:r w:rsidRPr="00DD2A86">
        <w:rPr>
          <w:b/>
          <w:sz w:val="24"/>
          <w:lang w:val="de-DE"/>
        </w:rPr>
        <w:lastRenderedPageBreak/>
        <w:tab/>
      </w:r>
      <w:r w:rsidR="004F7853" w:rsidRPr="00DD2A86">
        <w:rPr>
          <w:b/>
          <w:sz w:val="24"/>
          <w:lang w:val="de-DE"/>
        </w:rPr>
        <w:tab/>
      </w:r>
      <w:r w:rsidR="00D91082" w:rsidRPr="00DD2A86">
        <w:rPr>
          <w:b/>
          <w:sz w:val="24"/>
          <w:lang w:val="de-DE"/>
        </w:rPr>
        <w:t>Inhaltsverzeichnis</w:t>
      </w:r>
    </w:p>
    <w:p w:rsidR="00475E52" w:rsidRPr="00DD2A86" w:rsidRDefault="00475E52" w:rsidP="00475E52">
      <w:pPr>
        <w:tabs>
          <w:tab w:val="left" w:pos="2268"/>
        </w:tabs>
        <w:suppressAutoHyphens w:val="0"/>
        <w:spacing w:before="120" w:after="120" w:line="240" w:lineRule="auto"/>
        <w:ind w:left="1134" w:right="1134"/>
        <w:jc w:val="both"/>
        <w:rPr>
          <w:lang w:val="de-DE"/>
        </w:rPr>
      </w:pPr>
      <w:r w:rsidRPr="00DD2A86">
        <w:rPr>
          <w:lang w:val="de-DE"/>
        </w:rPr>
        <w:t>2.1.5 wird zu 2.1.6.</w:t>
      </w:r>
    </w:p>
    <w:p w:rsidR="00475E52" w:rsidRPr="00DD2A86" w:rsidRDefault="00475E52" w:rsidP="00475E52">
      <w:pPr>
        <w:tabs>
          <w:tab w:val="left" w:pos="2268"/>
        </w:tabs>
        <w:suppressAutoHyphens w:val="0"/>
        <w:spacing w:before="120" w:after="120" w:line="240" w:lineRule="auto"/>
        <w:ind w:left="1134" w:right="1134"/>
        <w:jc w:val="both"/>
        <w:rPr>
          <w:b/>
          <w:iCs/>
          <w:color w:val="000000"/>
          <w:lang w:val="de-DE" w:eastAsia="de-DE"/>
        </w:rPr>
      </w:pPr>
      <w:r w:rsidRPr="00DD2A86">
        <w:rPr>
          <w:iCs/>
          <w:color w:val="000000"/>
          <w:lang w:val="de-DE" w:eastAsia="de-DE"/>
        </w:rPr>
        <w:t>Folgenden neuen Titel einfügen</w:t>
      </w:r>
      <w:r w:rsidR="001940C1" w:rsidRPr="00DD2A86">
        <w:rPr>
          <w:iCs/>
          <w:color w:val="000000"/>
          <w:lang w:val="de-DE" w:eastAsia="de-DE"/>
        </w:rPr>
        <w:t>:</w:t>
      </w:r>
      <w:r w:rsidRPr="00DD2A86">
        <w:rPr>
          <w:iCs/>
          <w:color w:val="000000"/>
          <w:lang w:val="de-DE" w:eastAsia="de-DE"/>
        </w:rPr>
        <w:t xml:space="preserve"> „</w:t>
      </w:r>
      <w:r w:rsidRPr="00DD2A86">
        <w:rPr>
          <w:b/>
          <w:iCs/>
          <w:color w:val="000000"/>
          <w:lang w:val="de-DE" w:eastAsia="de-DE"/>
        </w:rPr>
        <w:t>2.1.5</w:t>
      </w:r>
      <w:r w:rsidRPr="00DD2A86">
        <w:rPr>
          <w:iCs/>
          <w:color w:val="000000"/>
          <w:lang w:val="de-DE" w:eastAsia="de-DE"/>
        </w:rPr>
        <w:tab/>
      </w:r>
      <w:r w:rsidRPr="00DD2A86">
        <w:rPr>
          <w:b/>
          <w:iCs/>
          <w:color w:val="000000"/>
          <w:lang w:val="de-DE" w:eastAsia="de-DE"/>
        </w:rPr>
        <w:t>Klassifizierung von Gegenständen als Gegenstände, die gefährliche Güter enthalten, n.a.g.“.</w:t>
      </w:r>
    </w:p>
    <w:p w:rsidR="00475E52" w:rsidRPr="00DD2A86" w:rsidRDefault="00475E52" w:rsidP="00475E52">
      <w:pPr>
        <w:spacing w:before="120" w:after="120"/>
        <w:ind w:left="1134" w:right="1134"/>
        <w:jc w:val="both"/>
        <w:rPr>
          <w:iCs/>
          <w:lang w:val="de-DE"/>
        </w:rPr>
      </w:pPr>
      <w:r w:rsidRPr="00DD2A86">
        <w:rPr>
          <w:iCs/>
          <w:lang w:val="de-DE"/>
        </w:rPr>
        <w:t>5.3</w:t>
      </w:r>
      <w:r w:rsidRPr="00DD2A86">
        <w:rPr>
          <w:iCs/>
          <w:lang w:val="de-DE"/>
        </w:rPr>
        <w:tab/>
        <w:t>Die Überschrift erhält folgenden Wortlaut:</w:t>
      </w:r>
    </w:p>
    <w:p w:rsidR="00475E52" w:rsidRPr="00DD2A86" w:rsidRDefault="00475E52" w:rsidP="00475E52">
      <w:pPr>
        <w:spacing w:before="120" w:after="120"/>
        <w:ind w:left="1134" w:right="1134"/>
        <w:jc w:val="both"/>
        <w:rPr>
          <w:iCs/>
          <w:lang w:val="de-DE"/>
        </w:rPr>
      </w:pPr>
      <w:r w:rsidRPr="00DD2A86">
        <w:rPr>
          <w:b/>
          <w:iCs/>
          <w:lang w:val="de-DE"/>
        </w:rPr>
        <w:t>„5.3</w:t>
      </w:r>
      <w:r w:rsidRPr="00DD2A86">
        <w:rPr>
          <w:iCs/>
          <w:lang w:val="de-DE"/>
        </w:rPr>
        <w:t xml:space="preserve"> </w:t>
      </w:r>
      <w:r w:rsidRPr="00DD2A86">
        <w:rPr>
          <w:b/>
          <w:iCs/>
          <w:lang w:val="de-DE"/>
        </w:rPr>
        <w:t>Anbringen von Großzetteln (Placards) an und Kennzeichnung von Containern, Schüttgut-Containern, MEGC, MEMU, Tankcontainern, ortsbeweglichen Tanks, Fahrzeugen und Wagen“.</w:t>
      </w:r>
    </w:p>
    <w:p w:rsidR="00705CA9" w:rsidRPr="00DD2A86" w:rsidRDefault="00375305" w:rsidP="00375305">
      <w:pPr>
        <w:tabs>
          <w:tab w:val="left" w:pos="2268"/>
        </w:tabs>
        <w:spacing w:after="120"/>
        <w:ind w:left="1134" w:right="1134"/>
        <w:jc w:val="both"/>
        <w:rPr>
          <w:iCs/>
          <w:lang w:val="de-DE"/>
        </w:rPr>
      </w:pPr>
      <w:r w:rsidRPr="00DD2A86">
        <w:rPr>
          <w:iCs/>
          <w:lang w:val="de-DE"/>
        </w:rPr>
        <w:t>5.5.3</w:t>
      </w:r>
      <w:r w:rsidRPr="00DD2A86">
        <w:rPr>
          <w:iCs/>
          <w:lang w:val="de-DE"/>
        </w:rPr>
        <w:tab/>
        <w:t>„eine Erstickungsgefahr“ ändern in: „ein Erstickungsrisiko“</w:t>
      </w:r>
      <w:r w:rsidR="00705CA9" w:rsidRPr="00DD2A86">
        <w:rPr>
          <w:iCs/>
          <w:lang w:val="de-DE"/>
        </w:rPr>
        <w:t>.</w:t>
      </w:r>
    </w:p>
    <w:p w:rsidR="00375305" w:rsidRPr="00DD2A86" w:rsidRDefault="00705CA9" w:rsidP="00375305">
      <w:pPr>
        <w:tabs>
          <w:tab w:val="left" w:pos="2268"/>
        </w:tabs>
        <w:spacing w:after="120"/>
        <w:ind w:left="1134" w:right="1134"/>
        <w:jc w:val="both"/>
        <w:rPr>
          <w:iCs/>
          <w:lang w:val="de-DE"/>
        </w:rPr>
      </w:pPr>
      <w:r w:rsidRPr="00DD2A86">
        <w:rPr>
          <w:lang w:val="de-DE"/>
        </w:rPr>
        <w:t>[Betrifft nur die deutsche Sprachfassung]</w:t>
      </w:r>
    </w:p>
    <w:p w:rsidR="001940C1" w:rsidRPr="00DD2A86" w:rsidRDefault="001940C1" w:rsidP="001940C1">
      <w:pPr>
        <w:suppressAutoHyphens w:val="0"/>
        <w:autoSpaceDE w:val="0"/>
        <w:autoSpaceDN w:val="0"/>
        <w:adjustRightInd w:val="0"/>
        <w:spacing w:before="120" w:after="120" w:line="240" w:lineRule="auto"/>
        <w:ind w:left="1134" w:right="1134"/>
        <w:rPr>
          <w:bCs/>
          <w:lang w:val="de-DE"/>
        </w:rPr>
      </w:pPr>
      <w:r w:rsidRPr="00DD2A86">
        <w:rPr>
          <w:bCs/>
          <w:lang w:val="de-DE"/>
        </w:rPr>
        <w:t>Den Titel „8.1.7 Elektrische Einrichtungen“ ändern in: „8.1.7 Anlagen, Geräte und autonome Schutzsysteme“.</w:t>
      </w:r>
    </w:p>
    <w:p w:rsidR="00B90FF1" w:rsidRPr="00DD2A86" w:rsidRDefault="00B90FF1" w:rsidP="00B61A90">
      <w:pPr>
        <w:suppressAutoHyphens w:val="0"/>
        <w:autoSpaceDE w:val="0"/>
        <w:autoSpaceDN w:val="0"/>
        <w:adjustRightInd w:val="0"/>
        <w:spacing w:before="120" w:after="120" w:line="240" w:lineRule="auto"/>
        <w:ind w:left="1134" w:right="1134"/>
        <w:rPr>
          <w:bCs/>
          <w:lang w:val="de-DE"/>
        </w:rPr>
      </w:pPr>
      <w:r w:rsidRPr="00DD2A86">
        <w:rPr>
          <w:bCs/>
          <w:lang w:val="de-DE"/>
        </w:rPr>
        <w:t>Den Titel „8.3.2 Tragbare Lampen“ ändern in: „8.3.2 Tragbare Leuchten“.</w:t>
      </w:r>
    </w:p>
    <w:p w:rsidR="00B90FF1" w:rsidRPr="00DD2A86" w:rsidRDefault="00B90FF1" w:rsidP="00B61A90">
      <w:pPr>
        <w:suppressAutoHyphens w:val="0"/>
        <w:autoSpaceDE w:val="0"/>
        <w:autoSpaceDN w:val="0"/>
        <w:adjustRightInd w:val="0"/>
        <w:spacing w:before="120" w:after="120" w:line="240" w:lineRule="auto"/>
        <w:ind w:left="1134" w:right="1134"/>
        <w:rPr>
          <w:bCs/>
          <w:lang w:val="de-DE"/>
        </w:rPr>
      </w:pPr>
      <w:r w:rsidRPr="00DD2A86">
        <w:rPr>
          <w:bCs/>
          <w:lang w:val="de-DE"/>
        </w:rPr>
        <w:t>Den Titel „8.3.5 Gefahren bei Arbeiten an Bord“ ändern in: „8.3.5 Arbeiten an Bord“.</w:t>
      </w:r>
    </w:p>
    <w:p w:rsidR="00D37755" w:rsidRPr="00DD2A86" w:rsidRDefault="00D37755" w:rsidP="00B61A90">
      <w:pPr>
        <w:spacing w:after="120"/>
        <w:ind w:left="1134" w:right="1134"/>
        <w:jc w:val="both"/>
        <w:rPr>
          <w:i/>
          <w:lang w:val="de-DE"/>
        </w:rPr>
      </w:pPr>
    </w:p>
    <w:p w:rsidR="00D37755" w:rsidRPr="00DD2A86" w:rsidRDefault="00D37755" w:rsidP="00D37755">
      <w:pPr>
        <w:pStyle w:val="H1G"/>
        <w:spacing w:before="120"/>
        <w:rPr>
          <w:lang w:val="de-DE"/>
        </w:rPr>
      </w:pPr>
      <w:r w:rsidRPr="00DD2A86">
        <w:rPr>
          <w:lang w:val="de-DE"/>
        </w:rPr>
        <w:tab/>
      </w:r>
      <w:r w:rsidRPr="00DD2A86">
        <w:rPr>
          <w:lang w:val="de-DE"/>
        </w:rPr>
        <w:tab/>
        <w:t>Kapitel 1.1</w:t>
      </w:r>
    </w:p>
    <w:p w:rsidR="00622A37" w:rsidRPr="00DD2A86" w:rsidRDefault="00622A37" w:rsidP="00622A37">
      <w:pPr>
        <w:tabs>
          <w:tab w:val="left" w:pos="2268"/>
        </w:tabs>
        <w:spacing w:after="120"/>
        <w:ind w:left="1134" w:right="1134"/>
        <w:jc w:val="both"/>
        <w:rPr>
          <w:iCs/>
          <w:lang w:val="de-DE"/>
        </w:rPr>
      </w:pPr>
      <w:r w:rsidRPr="00DD2A86">
        <w:rPr>
          <w:iCs/>
          <w:lang w:val="de-DE"/>
        </w:rPr>
        <w:t>1.1.3.1</w:t>
      </w:r>
      <w:r w:rsidRPr="00DD2A86">
        <w:rPr>
          <w:iCs/>
          <w:lang w:val="de-DE"/>
        </w:rPr>
        <w:tab/>
        <w:t>Der Absatz b) erhält folgenden Wortlaut: „b)</w:t>
      </w:r>
      <w:r w:rsidRPr="00DD2A86">
        <w:rPr>
          <w:iCs/>
          <w:lang w:val="de-DE"/>
        </w:rPr>
        <w:tab/>
        <w:t>(gestrichen)“.</w:t>
      </w:r>
    </w:p>
    <w:p w:rsidR="00622A37" w:rsidRPr="00DD2A86" w:rsidRDefault="00622A37" w:rsidP="00622A37">
      <w:pPr>
        <w:spacing w:after="120"/>
        <w:ind w:left="1134" w:right="1134"/>
        <w:jc w:val="both"/>
        <w:rPr>
          <w:lang w:val="de-DE"/>
        </w:rPr>
      </w:pPr>
      <w:r w:rsidRPr="00DD2A86">
        <w:rPr>
          <w:lang w:val="de-DE"/>
        </w:rPr>
        <w:t>1.1.3.5</w:t>
      </w:r>
      <w:r w:rsidRPr="00DD2A86">
        <w:rPr>
          <w:lang w:val="de-DE"/>
        </w:rPr>
        <w:tab/>
      </w:r>
      <w:r w:rsidRPr="00DD2A86">
        <w:rPr>
          <w:lang w:val="de-DE"/>
        </w:rPr>
        <w:tab/>
        <w:t>„Gefährdungen“ ändern in: „Gefahren“ (zweimal).</w:t>
      </w:r>
    </w:p>
    <w:p w:rsidR="00D37755" w:rsidRPr="00DD2A86" w:rsidRDefault="00D37755" w:rsidP="00761D8C">
      <w:pPr>
        <w:tabs>
          <w:tab w:val="left" w:pos="2268"/>
        </w:tabs>
        <w:kinsoku w:val="0"/>
        <w:overflowPunct w:val="0"/>
        <w:autoSpaceDE w:val="0"/>
        <w:autoSpaceDN w:val="0"/>
        <w:adjustRightInd w:val="0"/>
        <w:snapToGrid w:val="0"/>
        <w:spacing w:before="120" w:after="120"/>
        <w:ind w:left="1134" w:right="1134"/>
        <w:jc w:val="both"/>
        <w:rPr>
          <w:rFonts w:eastAsiaTheme="minorHAnsi"/>
          <w:lang w:val="de-DE"/>
        </w:rPr>
      </w:pPr>
      <w:r w:rsidRPr="00DD2A86">
        <w:rPr>
          <w:rFonts w:eastAsiaTheme="minorHAnsi"/>
          <w:lang w:val="de-DE"/>
        </w:rPr>
        <w:t>1.1.3.6.2 d)</w:t>
      </w:r>
      <w:r w:rsidRPr="00DD2A86">
        <w:rPr>
          <w:rFonts w:eastAsiaTheme="minorHAnsi"/>
          <w:lang w:val="de-DE"/>
        </w:rPr>
        <w:tab/>
        <w:t>Die Anstriche erhalten folgenden Wortlaut:</w:t>
      </w:r>
    </w:p>
    <w:p w:rsidR="00D37755" w:rsidRPr="00DD2A86" w:rsidRDefault="00D37755" w:rsidP="00D37755">
      <w:pPr>
        <w:kinsoku w:val="0"/>
        <w:overflowPunct w:val="0"/>
        <w:autoSpaceDE w:val="0"/>
        <w:autoSpaceDN w:val="0"/>
        <w:adjustRightInd w:val="0"/>
        <w:snapToGrid w:val="0"/>
        <w:spacing w:before="120" w:after="120"/>
        <w:ind w:left="1134" w:right="1134"/>
        <w:jc w:val="both"/>
        <w:rPr>
          <w:rFonts w:eastAsiaTheme="minorHAnsi"/>
          <w:bCs/>
          <w:lang w:val="de-DE"/>
        </w:rPr>
      </w:pPr>
      <w:r w:rsidRPr="00DD2A86">
        <w:rPr>
          <w:rFonts w:eastAsiaTheme="minorHAnsi"/>
          <w:bCs/>
          <w:lang w:val="de-DE"/>
        </w:rPr>
        <w:t>„-</w:t>
      </w:r>
      <w:r w:rsidRPr="00DD2A86">
        <w:rPr>
          <w:rFonts w:eastAsiaTheme="minorHAnsi"/>
          <w:bCs/>
          <w:lang w:val="de-DE"/>
        </w:rPr>
        <w:tab/>
        <w:t>geschlossenen Containern;</w:t>
      </w:r>
    </w:p>
    <w:p w:rsidR="00D37755" w:rsidRPr="00DD2A86" w:rsidRDefault="00D37755" w:rsidP="00C323D4">
      <w:pPr>
        <w:numPr>
          <w:ilvl w:val="0"/>
          <w:numId w:val="39"/>
        </w:numPr>
        <w:kinsoku w:val="0"/>
        <w:overflowPunct w:val="0"/>
        <w:autoSpaceDE w:val="0"/>
        <w:autoSpaceDN w:val="0"/>
        <w:adjustRightInd w:val="0"/>
        <w:snapToGrid w:val="0"/>
        <w:spacing w:before="120" w:after="120"/>
        <w:ind w:left="1701" w:right="1134" w:hanging="567"/>
        <w:jc w:val="both"/>
        <w:rPr>
          <w:rFonts w:eastAsiaTheme="minorHAnsi"/>
          <w:bCs/>
          <w:lang w:val="de-DE"/>
        </w:rPr>
      </w:pPr>
      <w:r w:rsidRPr="00DD2A86">
        <w:rPr>
          <w:rFonts w:eastAsiaTheme="minorHAnsi"/>
          <w:bCs/>
          <w:lang w:val="de-DE"/>
        </w:rPr>
        <w:t>gedeckten Fahrzeugen oder gedeckten Wagen.“.</w:t>
      </w:r>
    </w:p>
    <w:p w:rsidR="00D37755" w:rsidRPr="00DD2A86" w:rsidRDefault="00D37755" w:rsidP="00D37755">
      <w:pPr>
        <w:kinsoku w:val="0"/>
        <w:overflowPunct w:val="0"/>
        <w:autoSpaceDE w:val="0"/>
        <w:autoSpaceDN w:val="0"/>
        <w:adjustRightInd w:val="0"/>
        <w:snapToGrid w:val="0"/>
        <w:spacing w:before="120" w:after="120"/>
        <w:ind w:left="1134" w:right="1134"/>
        <w:jc w:val="both"/>
        <w:rPr>
          <w:rFonts w:eastAsiaTheme="minorHAnsi"/>
          <w:lang w:val="de-DE"/>
        </w:rPr>
      </w:pPr>
      <w:r w:rsidRPr="00DD2A86">
        <w:rPr>
          <w:rFonts w:eastAsiaTheme="minorHAnsi"/>
          <w:lang w:val="de-DE"/>
        </w:rPr>
        <w:t>1.1.3.6.2 e)</w:t>
      </w:r>
      <w:r w:rsidRPr="00DD2A86">
        <w:rPr>
          <w:rFonts w:eastAsiaTheme="minorHAnsi"/>
          <w:lang w:val="de-DE"/>
        </w:rPr>
        <w:tab/>
        <w:t>Die Anstriche erhalten folgenden Wortlaut:</w:t>
      </w:r>
    </w:p>
    <w:p w:rsidR="00D37755" w:rsidRPr="00DD2A86" w:rsidRDefault="00D37755" w:rsidP="00D37755">
      <w:pPr>
        <w:kinsoku w:val="0"/>
        <w:overflowPunct w:val="0"/>
        <w:autoSpaceDE w:val="0"/>
        <w:autoSpaceDN w:val="0"/>
        <w:adjustRightInd w:val="0"/>
        <w:snapToGrid w:val="0"/>
        <w:spacing w:before="120" w:after="120"/>
        <w:ind w:left="1134" w:right="1134"/>
        <w:jc w:val="both"/>
        <w:rPr>
          <w:rFonts w:eastAsiaTheme="minorHAnsi"/>
          <w:bCs/>
          <w:lang w:val="de-DE"/>
        </w:rPr>
      </w:pPr>
      <w:r w:rsidRPr="00DD2A86">
        <w:rPr>
          <w:rFonts w:eastAsiaTheme="minorHAnsi"/>
          <w:bCs/>
          <w:lang w:val="de-DE"/>
        </w:rPr>
        <w:t>„-</w:t>
      </w:r>
      <w:r w:rsidRPr="00DD2A86">
        <w:rPr>
          <w:rFonts w:eastAsiaTheme="minorHAnsi"/>
          <w:bCs/>
          <w:lang w:val="de-DE"/>
        </w:rPr>
        <w:tab/>
        <w:t>geschlossene Container;</w:t>
      </w:r>
    </w:p>
    <w:p w:rsidR="00D37755" w:rsidRPr="00DD2A86" w:rsidRDefault="00D37755" w:rsidP="00C323D4">
      <w:pPr>
        <w:numPr>
          <w:ilvl w:val="0"/>
          <w:numId w:val="39"/>
        </w:numPr>
        <w:kinsoku w:val="0"/>
        <w:overflowPunct w:val="0"/>
        <w:autoSpaceDE w:val="0"/>
        <w:autoSpaceDN w:val="0"/>
        <w:adjustRightInd w:val="0"/>
        <w:snapToGrid w:val="0"/>
        <w:spacing w:before="120" w:after="120"/>
        <w:ind w:left="1701" w:right="1134" w:hanging="567"/>
        <w:jc w:val="both"/>
        <w:rPr>
          <w:rFonts w:eastAsiaTheme="minorHAnsi"/>
          <w:bCs/>
          <w:lang w:val="de-DE"/>
        </w:rPr>
      </w:pPr>
      <w:r w:rsidRPr="00DD2A86">
        <w:rPr>
          <w:rFonts w:eastAsiaTheme="minorHAnsi"/>
          <w:bCs/>
          <w:lang w:val="de-DE"/>
        </w:rPr>
        <w:t>gedeckte Fahrzeuge oder gedeckte Wagen.“.</w:t>
      </w:r>
    </w:p>
    <w:p w:rsidR="00622A37" w:rsidRPr="00DD2A86" w:rsidRDefault="00622A37" w:rsidP="00622A37">
      <w:pPr>
        <w:spacing w:after="120"/>
        <w:ind w:left="1134" w:right="1134"/>
        <w:jc w:val="both"/>
        <w:rPr>
          <w:iCs/>
          <w:lang w:val="de-DE"/>
        </w:rPr>
      </w:pPr>
      <w:r w:rsidRPr="00DD2A86">
        <w:rPr>
          <w:lang w:val="de-DE"/>
        </w:rPr>
        <w:t>1.1.4.2.1</w:t>
      </w:r>
      <w:r w:rsidRPr="00DD2A86">
        <w:rPr>
          <w:lang w:val="de-DE"/>
        </w:rPr>
        <w:tab/>
      </w:r>
      <w:r w:rsidRPr="00DD2A86">
        <w:rPr>
          <w:iCs/>
          <w:lang w:val="de-DE"/>
        </w:rPr>
        <w:t>Im ersten Satz nach „Container,“ einfügen: „Schüttgut-Container,“.</w:t>
      </w:r>
    </w:p>
    <w:p w:rsidR="00622A37" w:rsidRPr="00DD2A86" w:rsidRDefault="00622A37" w:rsidP="00622A37">
      <w:pPr>
        <w:spacing w:after="120"/>
        <w:ind w:left="2268" w:right="1134"/>
        <w:jc w:val="both"/>
        <w:rPr>
          <w:iCs/>
          <w:lang w:val="de-DE"/>
        </w:rPr>
      </w:pPr>
      <w:r w:rsidRPr="00DD2A86">
        <w:rPr>
          <w:iCs/>
          <w:lang w:val="de-DE"/>
        </w:rPr>
        <w:t>In Absatz c) nach „die Container,“ einfügen: „die Schüttgut-Container,“.</w:t>
      </w:r>
    </w:p>
    <w:p w:rsidR="00D37755" w:rsidRPr="00DD2A86" w:rsidRDefault="00D37755" w:rsidP="00761D8C">
      <w:pPr>
        <w:tabs>
          <w:tab w:val="left" w:pos="2268"/>
        </w:tabs>
        <w:spacing w:after="120"/>
        <w:ind w:left="1134" w:right="1134"/>
        <w:jc w:val="both"/>
        <w:rPr>
          <w:lang w:val="de-DE"/>
        </w:rPr>
      </w:pPr>
      <w:r w:rsidRPr="00DD2A86">
        <w:rPr>
          <w:lang w:val="de-DE"/>
        </w:rPr>
        <w:t>1.1.4.3</w:t>
      </w:r>
      <w:r w:rsidRPr="00DD2A86">
        <w:rPr>
          <w:lang w:val="de-DE"/>
        </w:rPr>
        <w:tab/>
        <w:t>Die Fußnote 2 erhält folgenden Wortlaut: „</w:t>
      </w:r>
      <w:r w:rsidRPr="00DD2A86">
        <w:rPr>
          <w:vertAlign w:val="superscript"/>
          <w:lang w:val="de-DE"/>
        </w:rPr>
        <w:t>2)</w:t>
      </w:r>
      <w:r w:rsidRPr="00DD2A86">
        <w:rPr>
          <w:vertAlign w:val="superscript"/>
          <w:lang w:val="de-DE"/>
        </w:rPr>
        <w:tab/>
      </w:r>
      <w:r w:rsidRPr="00DD2A86">
        <w:rPr>
          <w:lang w:val="de-DE"/>
        </w:rPr>
        <w:t>Die Internationale Seeschifffahrts</w:t>
      </w:r>
      <w:r w:rsidRPr="00DD2A86">
        <w:rPr>
          <w:lang w:val="de-DE"/>
        </w:rPr>
        <w:softHyphen/>
        <w:t>organisation (IMO) hat mit Rundschreiben CCC.1/Circ.3 einen revidierten Leitfaden für die Weiterverwendung von bestehenden ortsbeweglichen Tanks und von Straßentankfahrzeugen für die Beförderung gefährlicher Güter („Revised Guidance on the Continued Use of Existing IMO Type Portable Tanks and Road Tank Vehicles for the Transport of Dangerous Goods“) herausgegeben. Der englische Text dieses Leitfadens kann auf der Website der IMO unter www.imo.org eingesehen werden.“.</w:t>
      </w:r>
    </w:p>
    <w:p w:rsidR="00FC5DBE" w:rsidRPr="00DD2A86" w:rsidRDefault="00FC5DBE" w:rsidP="00FC5DBE">
      <w:pPr>
        <w:keepNext/>
        <w:keepLines/>
        <w:tabs>
          <w:tab w:val="right" w:pos="851"/>
        </w:tabs>
        <w:spacing w:line="270" w:lineRule="exact"/>
        <w:ind w:left="1134" w:right="1134" w:hanging="1134"/>
        <w:rPr>
          <w:b/>
          <w:sz w:val="24"/>
          <w:lang w:val="de-DE"/>
        </w:rPr>
      </w:pPr>
    </w:p>
    <w:p w:rsidR="004F7853" w:rsidRPr="00DD2A86" w:rsidRDefault="00071FFB" w:rsidP="00B61A90">
      <w:pPr>
        <w:keepNext/>
        <w:keepLines/>
        <w:tabs>
          <w:tab w:val="right" w:pos="851"/>
        </w:tabs>
        <w:spacing w:before="360" w:after="240" w:line="270" w:lineRule="exact"/>
        <w:ind w:left="1134" w:right="1134" w:hanging="1134"/>
        <w:rPr>
          <w:b/>
          <w:sz w:val="24"/>
          <w:lang w:val="de-DE"/>
        </w:rPr>
      </w:pPr>
      <w:r w:rsidRPr="00DD2A86">
        <w:rPr>
          <w:b/>
          <w:sz w:val="24"/>
          <w:lang w:val="de-DE"/>
        </w:rPr>
        <w:tab/>
      </w:r>
      <w:r w:rsidRPr="00DD2A86">
        <w:rPr>
          <w:b/>
          <w:sz w:val="24"/>
          <w:lang w:val="de-DE"/>
        </w:rPr>
        <w:tab/>
      </w:r>
      <w:r w:rsidR="004F7853" w:rsidRPr="00DD2A86">
        <w:rPr>
          <w:b/>
          <w:sz w:val="24"/>
          <w:lang w:val="de-DE"/>
        </w:rPr>
        <w:t>Kapitel 1.2</w:t>
      </w:r>
    </w:p>
    <w:p w:rsidR="004F7853" w:rsidRPr="00DD2A86" w:rsidRDefault="004F7853" w:rsidP="00B61A90">
      <w:pPr>
        <w:tabs>
          <w:tab w:val="left" w:pos="2268"/>
        </w:tabs>
        <w:ind w:left="1134" w:right="1134"/>
        <w:jc w:val="both"/>
        <w:rPr>
          <w:lang w:val="de-DE"/>
        </w:rPr>
      </w:pPr>
      <w:r w:rsidRPr="00DD2A86">
        <w:rPr>
          <w:lang w:val="de-DE"/>
        </w:rPr>
        <w:t>1.2.1</w:t>
      </w:r>
      <w:r w:rsidRPr="00DD2A86">
        <w:rPr>
          <w:lang w:val="de-DE"/>
        </w:rPr>
        <w:tab/>
        <w:t>In der Begriffsbestimmung für „</w:t>
      </w:r>
      <w:r w:rsidRPr="00DD2A86">
        <w:rPr>
          <w:rFonts w:eastAsia="Calibri"/>
          <w:b/>
          <w:i/>
          <w:lang w:val="de-DE"/>
        </w:rPr>
        <w:t>Aufstellungsraum</w:t>
      </w:r>
      <w:r w:rsidRPr="00DD2A86">
        <w:rPr>
          <w:lang w:val="de-DE"/>
        </w:rPr>
        <w:t>“</w:t>
      </w:r>
      <w:r w:rsidRPr="00DD2A86">
        <w:rPr>
          <w:b/>
          <w:i/>
          <w:lang w:val="de-DE"/>
        </w:rPr>
        <w:t xml:space="preserve"> </w:t>
      </w:r>
      <w:r w:rsidRPr="00DD2A86">
        <w:rPr>
          <w:lang w:val="de-DE"/>
        </w:rPr>
        <w:t>streichen: „(wenn Explosionsschutz gefordert wird, vergleichbar Zone 1)“.</w:t>
      </w:r>
    </w:p>
    <w:p w:rsidR="004F7853" w:rsidRPr="00DD2A86" w:rsidRDefault="004F7853" w:rsidP="00B61A90">
      <w:pPr>
        <w:tabs>
          <w:tab w:val="left" w:pos="2268"/>
        </w:tabs>
        <w:spacing w:before="240" w:after="60"/>
        <w:ind w:left="1134" w:right="1134"/>
        <w:jc w:val="both"/>
        <w:rPr>
          <w:iCs/>
          <w:lang w:val="de-DE" w:bidi="de-DE"/>
        </w:rPr>
      </w:pPr>
      <w:r w:rsidRPr="00DD2A86">
        <w:rPr>
          <w:iCs/>
          <w:lang w:val="de-DE" w:bidi="de-DE"/>
        </w:rPr>
        <w:lastRenderedPageBreak/>
        <w:t>1.2.1</w:t>
      </w:r>
      <w:r w:rsidRPr="00DD2A86">
        <w:rPr>
          <w:iCs/>
          <w:lang w:val="de-DE" w:bidi="de-DE"/>
        </w:rPr>
        <w:tab/>
        <w:t>Die Begriffsbestimmung</w:t>
      </w:r>
      <w:r w:rsidR="001426FB" w:rsidRPr="00DD2A86">
        <w:rPr>
          <w:iCs/>
          <w:lang w:val="de-DE" w:bidi="de-DE"/>
        </w:rPr>
        <w:t xml:space="preserve">en </w:t>
      </w:r>
      <w:r w:rsidR="00A04E9F" w:rsidRPr="00DD2A86">
        <w:rPr>
          <w:iCs/>
          <w:lang w:val="de-DE" w:bidi="de-DE"/>
        </w:rPr>
        <w:t xml:space="preserve">für </w:t>
      </w:r>
      <w:r w:rsidR="00A04E9F" w:rsidRPr="00DD2A86">
        <w:rPr>
          <w:b/>
          <w:i/>
          <w:iCs/>
          <w:lang w:val="de-DE" w:bidi="de-DE"/>
        </w:rPr>
        <w:t xml:space="preserve">„Bereich der Ladung“, </w:t>
      </w:r>
      <w:r w:rsidR="004774A0" w:rsidRPr="00DD2A86">
        <w:rPr>
          <w:iCs/>
          <w:lang w:val="de-DE" w:bidi="de-DE"/>
        </w:rPr>
        <w:t>für</w:t>
      </w:r>
      <w:r w:rsidR="004774A0" w:rsidRPr="00DD2A86">
        <w:rPr>
          <w:b/>
          <w:i/>
          <w:iCs/>
          <w:lang w:val="de-DE" w:bidi="de-DE"/>
        </w:rPr>
        <w:t xml:space="preserve"> </w:t>
      </w:r>
      <w:r w:rsidR="00A04E9F" w:rsidRPr="00DD2A86">
        <w:rPr>
          <w:b/>
          <w:i/>
          <w:iCs/>
          <w:lang w:val="de-DE" w:bidi="de-DE"/>
        </w:rPr>
        <w:t xml:space="preserve">„Teil des Bereichs der Ladung unterhalb des Decks“, </w:t>
      </w:r>
      <w:r w:rsidR="004774A0" w:rsidRPr="00DD2A86">
        <w:rPr>
          <w:iCs/>
          <w:lang w:val="de-DE" w:bidi="de-DE"/>
        </w:rPr>
        <w:t>für</w:t>
      </w:r>
      <w:r w:rsidR="004774A0" w:rsidRPr="00DD2A86">
        <w:rPr>
          <w:b/>
          <w:i/>
          <w:iCs/>
          <w:lang w:val="de-DE" w:bidi="de-DE"/>
        </w:rPr>
        <w:t xml:space="preserve"> </w:t>
      </w:r>
      <w:r w:rsidR="00A04E9F" w:rsidRPr="00DD2A86">
        <w:rPr>
          <w:b/>
          <w:i/>
          <w:iCs/>
          <w:lang w:val="de-DE" w:bidi="de-DE"/>
        </w:rPr>
        <w:t xml:space="preserve">„Hauptteil des Bereichs der Ladung oberhalb des Decks“ </w:t>
      </w:r>
      <w:r w:rsidR="00A04E9F" w:rsidRPr="00DD2A86">
        <w:rPr>
          <w:iCs/>
          <w:lang w:val="de-DE" w:bidi="de-DE"/>
        </w:rPr>
        <w:t>und</w:t>
      </w:r>
      <w:r w:rsidR="00A04E9F" w:rsidRPr="00DD2A86">
        <w:rPr>
          <w:b/>
          <w:i/>
          <w:iCs/>
          <w:lang w:val="de-DE" w:bidi="de-DE"/>
        </w:rPr>
        <w:t xml:space="preserve"> </w:t>
      </w:r>
      <w:r w:rsidR="004774A0" w:rsidRPr="00DD2A86">
        <w:rPr>
          <w:iCs/>
          <w:lang w:val="de-DE" w:bidi="de-DE"/>
        </w:rPr>
        <w:t>für</w:t>
      </w:r>
      <w:r w:rsidR="004774A0" w:rsidRPr="00DD2A86">
        <w:rPr>
          <w:b/>
          <w:i/>
          <w:iCs/>
          <w:lang w:val="de-DE" w:bidi="de-DE"/>
        </w:rPr>
        <w:t xml:space="preserve"> </w:t>
      </w:r>
      <w:r w:rsidR="00A04E9F" w:rsidRPr="00DD2A86">
        <w:rPr>
          <w:b/>
          <w:i/>
          <w:iCs/>
          <w:lang w:val="de-DE" w:bidi="de-DE"/>
        </w:rPr>
        <w:t>„Zusätzlicher Teil des Bereichs der Ladung oberhalb des Decks“</w:t>
      </w:r>
      <w:r w:rsidR="00A04E9F" w:rsidRPr="00DD2A86">
        <w:rPr>
          <w:iCs/>
          <w:lang w:val="de-DE" w:bidi="de-DE"/>
        </w:rPr>
        <w:t xml:space="preserve"> sowie die Skizzen: </w:t>
      </w:r>
      <w:r w:rsidR="004774A0" w:rsidRPr="00DD2A86">
        <w:rPr>
          <w:iCs/>
          <w:lang w:val="de-DE" w:bidi="de-DE"/>
        </w:rPr>
        <w:t>s</w:t>
      </w:r>
      <w:r w:rsidR="00A04E9F" w:rsidRPr="00DD2A86">
        <w:rPr>
          <w:iCs/>
          <w:lang w:val="de-DE" w:bidi="de-DE"/>
        </w:rPr>
        <w:t>treichen. Folgende Begriffsbestimmung einfügen:</w:t>
      </w:r>
    </w:p>
    <w:p w:rsidR="004F7853" w:rsidRPr="00DD2A86" w:rsidRDefault="004F7853" w:rsidP="00B61A90">
      <w:pPr>
        <w:suppressAutoHyphens w:val="0"/>
        <w:spacing w:after="60"/>
        <w:ind w:left="1134" w:right="1134"/>
        <w:jc w:val="both"/>
        <w:rPr>
          <w:rFonts w:eastAsia="Calibri"/>
          <w:bCs/>
          <w:iCs/>
          <w:lang w:val="de-DE"/>
        </w:rPr>
      </w:pPr>
      <w:r w:rsidRPr="00DD2A86">
        <w:rPr>
          <w:rFonts w:eastAsia="Calibri"/>
          <w:bCs/>
          <w:i/>
          <w:iCs/>
          <w:lang w:val="de-DE"/>
        </w:rPr>
        <w:t>„</w:t>
      </w:r>
      <w:r w:rsidRPr="00DD2A86">
        <w:rPr>
          <w:rFonts w:eastAsia="Calibri"/>
          <w:b/>
          <w:bCs/>
          <w:i/>
          <w:iCs/>
          <w:lang w:val="de-DE"/>
        </w:rPr>
        <w:t xml:space="preserve">Bereich der Ladung: </w:t>
      </w:r>
      <w:r w:rsidRPr="00DD2A86">
        <w:rPr>
          <w:rFonts w:eastAsia="Calibri"/>
          <w:bCs/>
          <w:iCs/>
          <w:lang w:val="de-DE"/>
        </w:rPr>
        <w:t>Die Gesamtheit folgender Räume an Bord von Tankschiffen:</w:t>
      </w:r>
    </w:p>
    <w:p w:rsidR="004F7853" w:rsidRPr="00DD2A86" w:rsidRDefault="004F7853" w:rsidP="00B61A90">
      <w:pPr>
        <w:suppressAutoHyphens w:val="0"/>
        <w:spacing w:after="60"/>
        <w:ind w:left="1134" w:right="1134"/>
        <w:jc w:val="both"/>
        <w:rPr>
          <w:rFonts w:eastAsia="Calibri"/>
          <w:b/>
          <w:i/>
          <w:lang w:val="de-DE"/>
        </w:rPr>
      </w:pPr>
      <w:r w:rsidRPr="00DD2A86">
        <w:rPr>
          <w:rFonts w:eastAsia="Calibri"/>
          <w:b/>
          <w:i/>
          <w:lang w:val="de-DE"/>
        </w:rPr>
        <w:t>Raum unterhalb des Decks:</w:t>
      </w:r>
    </w:p>
    <w:p w:rsidR="004F7853" w:rsidRPr="00DD2A86" w:rsidRDefault="004F7853" w:rsidP="00B61A90">
      <w:pPr>
        <w:suppressAutoHyphens w:val="0"/>
        <w:spacing w:after="60"/>
        <w:ind w:left="1134" w:right="1134"/>
        <w:jc w:val="both"/>
        <w:rPr>
          <w:rFonts w:eastAsia="Calibri"/>
          <w:lang w:val="de-DE"/>
        </w:rPr>
      </w:pPr>
      <w:r w:rsidRPr="00DD2A86">
        <w:rPr>
          <w:rFonts w:eastAsia="Calibri"/>
          <w:lang w:val="de-DE"/>
        </w:rPr>
        <w:t>Der Raum zwischen zwei rechtwinklig zur Mittellängsebene des Schiffes stehenden senkrechten Ebenen, zwischen welchen sich die Ladetanks, die Aufstellungsräume, die Kofferdämme, die Wallgänge und die Doppelböden befinden, wobei diese Ebenen in der Regel mit den äußeren Kofferdammschotten oder den Begrenzungsschotten der Au</w:t>
      </w:r>
      <w:r w:rsidR="00BA6562" w:rsidRPr="00DD2A86">
        <w:rPr>
          <w:rFonts w:eastAsia="Calibri"/>
          <w:lang w:val="de-DE"/>
        </w:rPr>
        <w:t>fstellungsräume zusammenfallen.</w:t>
      </w:r>
    </w:p>
    <w:p w:rsidR="004F7853" w:rsidRPr="00DD2A86" w:rsidRDefault="004F7853" w:rsidP="00B61A90">
      <w:pPr>
        <w:suppressAutoHyphens w:val="0"/>
        <w:autoSpaceDE w:val="0"/>
        <w:autoSpaceDN w:val="0"/>
        <w:adjustRightInd w:val="0"/>
        <w:spacing w:after="60"/>
        <w:ind w:left="1134" w:right="1134"/>
        <w:rPr>
          <w:rFonts w:eastAsia="Calibri"/>
          <w:bCs/>
          <w:iCs/>
          <w:lang w:val="de-DE"/>
        </w:rPr>
      </w:pPr>
      <w:r w:rsidRPr="00DD2A86">
        <w:rPr>
          <w:rFonts w:eastAsia="Calibri"/>
          <w:b/>
          <w:bCs/>
          <w:i/>
          <w:iCs/>
          <w:lang w:val="de-DE"/>
        </w:rPr>
        <w:t>Raum oberhalb des Decks:</w:t>
      </w:r>
      <w:r w:rsidRPr="00DD2A86">
        <w:rPr>
          <w:rFonts w:eastAsia="Calibri"/>
          <w:bCs/>
          <w:iCs/>
          <w:lang w:val="de-DE"/>
        </w:rPr>
        <w:t xml:space="preserve"> Der Raum, der begrenzt ist</w:t>
      </w:r>
    </w:p>
    <w:p w:rsidR="004F7853" w:rsidRPr="00DD2A86" w:rsidRDefault="004F7853" w:rsidP="00B61A90">
      <w:pPr>
        <w:suppressAutoHyphens w:val="0"/>
        <w:autoSpaceDE w:val="0"/>
        <w:autoSpaceDN w:val="0"/>
        <w:adjustRightInd w:val="0"/>
        <w:spacing w:after="60"/>
        <w:ind w:left="1418" w:right="1134" w:hanging="284"/>
        <w:jc w:val="both"/>
        <w:rPr>
          <w:rFonts w:eastAsia="Calibri"/>
          <w:bCs/>
          <w:iCs/>
          <w:lang w:val="de-DE"/>
        </w:rPr>
      </w:pPr>
      <w:r w:rsidRPr="00DD2A86">
        <w:rPr>
          <w:rFonts w:eastAsia="Calibri"/>
          <w:bCs/>
          <w:iCs/>
          <w:lang w:val="de-DE"/>
        </w:rPr>
        <w:t>-</w:t>
      </w:r>
      <w:r w:rsidRPr="00DD2A86">
        <w:rPr>
          <w:rFonts w:eastAsia="Calibri"/>
          <w:bCs/>
          <w:iCs/>
          <w:lang w:val="de-DE"/>
        </w:rPr>
        <w:tab/>
        <w:t>querschiffs durch senkrechte Ebenen, die mit den Bordwänden zusammenfallen,</w:t>
      </w:r>
    </w:p>
    <w:p w:rsidR="004F7853" w:rsidRPr="00DD2A86" w:rsidRDefault="004F7853" w:rsidP="00B61A90">
      <w:pPr>
        <w:suppressAutoHyphens w:val="0"/>
        <w:autoSpaceDE w:val="0"/>
        <w:autoSpaceDN w:val="0"/>
        <w:adjustRightInd w:val="0"/>
        <w:spacing w:after="60"/>
        <w:ind w:left="1418" w:right="1134" w:hanging="284"/>
        <w:jc w:val="both"/>
        <w:rPr>
          <w:rFonts w:eastAsia="Calibri"/>
          <w:lang w:val="de-DE"/>
        </w:rPr>
      </w:pPr>
      <w:r w:rsidRPr="00DD2A86">
        <w:rPr>
          <w:rFonts w:eastAsia="Calibri"/>
          <w:lang w:val="de-DE"/>
        </w:rPr>
        <w:t>-</w:t>
      </w:r>
      <w:r w:rsidRPr="00DD2A86">
        <w:rPr>
          <w:rFonts w:eastAsia="Calibri"/>
          <w:lang w:val="de-DE"/>
        </w:rPr>
        <w:tab/>
        <w:t>in der Längsrichtung des Schiffes durch senkrechte Ebenen, auf Höhe der äußeren Kofferdammschotten / der Begrenzungsschotten der Aufstellungsräume,</w:t>
      </w:r>
    </w:p>
    <w:p w:rsidR="004F7853" w:rsidRPr="00DD2A86" w:rsidRDefault="004F7853" w:rsidP="00B61A90">
      <w:pPr>
        <w:suppressAutoHyphens w:val="0"/>
        <w:autoSpaceDE w:val="0"/>
        <w:autoSpaceDN w:val="0"/>
        <w:adjustRightInd w:val="0"/>
        <w:spacing w:after="60"/>
        <w:ind w:left="1418" w:right="1134" w:hanging="284"/>
        <w:jc w:val="both"/>
        <w:rPr>
          <w:rFonts w:eastAsia="Calibri"/>
          <w:lang w:val="de-DE"/>
        </w:rPr>
      </w:pPr>
      <w:r w:rsidRPr="00DD2A86">
        <w:rPr>
          <w:rFonts w:eastAsia="Calibri"/>
          <w:lang w:val="de-DE"/>
        </w:rPr>
        <w:t>-</w:t>
      </w:r>
      <w:r w:rsidRPr="00DD2A86">
        <w:rPr>
          <w:rFonts w:eastAsia="Calibri"/>
          <w:lang w:val="de-DE"/>
        </w:rPr>
        <w:tab/>
        <w:t>nach oben durch eine 2,5</w:t>
      </w:r>
      <w:r w:rsidR="008A3E14" w:rsidRPr="00DD2A86">
        <w:rPr>
          <w:rFonts w:eastAsia="Calibri"/>
          <w:lang w:val="de-DE"/>
        </w:rPr>
        <w:t>0</w:t>
      </w:r>
      <w:r w:rsidRPr="00DD2A86">
        <w:rPr>
          <w:rFonts w:eastAsia="Calibri"/>
          <w:lang w:val="de-DE"/>
        </w:rPr>
        <w:t xml:space="preserve"> m über Deck liegende horizontale Ebene.</w:t>
      </w:r>
    </w:p>
    <w:p w:rsidR="004F7853" w:rsidRPr="00DD2A86" w:rsidRDefault="004F7853" w:rsidP="00B61A90">
      <w:pPr>
        <w:tabs>
          <w:tab w:val="left" w:pos="2268"/>
        </w:tabs>
        <w:spacing w:after="60"/>
        <w:ind w:left="1418" w:right="1134"/>
        <w:jc w:val="both"/>
        <w:rPr>
          <w:rFonts w:eastAsia="Calibri"/>
          <w:lang w:val="de-DE"/>
        </w:rPr>
      </w:pPr>
      <w:r w:rsidRPr="00DD2A86">
        <w:rPr>
          <w:rFonts w:eastAsia="Calibri"/>
          <w:lang w:val="de-DE"/>
        </w:rPr>
        <w:t>Die Begrenzungsebenen in Längsrichtung des Schiffes heißen „Begrenzungsebenen des Bereichs der Ladung“.“.</w:t>
      </w:r>
    </w:p>
    <w:p w:rsidR="005210BA" w:rsidRPr="00DD2A86" w:rsidRDefault="005210BA" w:rsidP="00B61A90">
      <w:pPr>
        <w:tabs>
          <w:tab w:val="left" w:pos="2268"/>
        </w:tabs>
        <w:spacing w:before="240" w:after="60"/>
        <w:ind w:left="1134" w:right="1134"/>
        <w:jc w:val="both"/>
        <w:rPr>
          <w:rFonts w:eastAsia="Calibri"/>
          <w:lang w:val="de-DE"/>
        </w:rPr>
      </w:pPr>
      <w:r w:rsidRPr="00DD2A86">
        <w:rPr>
          <w:rFonts w:eastAsia="Calibri"/>
          <w:lang w:val="de-DE"/>
        </w:rPr>
        <w:t>1.2.1</w:t>
      </w:r>
      <w:r w:rsidRPr="00DD2A86">
        <w:rPr>
          <w:rFonts w:eastAsia="Calibri"/>
          <w:lang w:val="de-DE"/>
        </w:rPr>
        <w:tab/>
        <w:t>In der Begriffsbestimmung für „</w:t>
      </w:r>
      <w:r w:rsidRPr="00DD2A86">
        <w:rPr>
          <w:rFonts w:eastAsia="Calibri"/>
          <w:b/>
          <w:i/>
          <w:lang w:val="de-DE"/>
        </w:rPr>
        <w:t>Dauerbrand</w:t>
      </w:r>
      <w:r w:rsidRPr="00DD2A86">
        <w:rPr>
          <w:rFonts w:eastAsia="Calibri"/>
          <w:lang w:val="de-DE"/>
        </w:rPr>
        <w:t>“ „</w:t>
      </w:r>
      <w:r w:rsidRPr="00DD2A86">
        <w:rPr>
          <w:rFonts w:eastAsia="Calibri"/>
          <w:bCs/>
          <w:lang w:val="de-DE"/>
        </w:rPr>
        <w:t>EN ISO 16852:</w:t>
      </w:r>
      <w:r w:rsidRPr="00DD2A86">
        <w:rPr>
          <w:rFonts w:eastAsia="Calibri"/>
          <w:lang w:val="de-DE"/>
        </w:rPr>
        <w:t>2010“ ändern in: „</w:t>
      </w:r>
      <w:r w:rsidRPr="00DD2A86">
        <w:rPr>
          <w:rFonts w:eastAsia="Calibri"/>
          <w:bCs/>
          <w:lang w:val="de-DE"/>
        </w:rPr>
        <w:t>ISO 16852:</w:t>
      </w:r>
      <w:r w:rsidRPr="00DD2A86">
        <w:rPr>
          <w:rFonts w:eastAsia="Calibri"/>
          <w:lang w:val="de-DE"/>
        </w:rPr>
        <w:t>2016“</w:t>
      </w:r>
      <w:r w:rsidRPr="00DD2A86">
        <w:rPr>
          <w:rFonts w:eastAsia="Calibri"/>
          <w:vertAlign w:val="superscript"/>
        </w:rPr>
        <w:footnoteReference w:id="2"/>
      </w:r>
      <w:r w:rsidR="00EC37B3" w:rsidRPr="00DD2A86">
        <w:rPr>
          <w:sz w:val="16"/>
          <w:szCs w:val="16"/>
          <w:vertAlign w:val="superscript"/>
          <w:lang w:val="de-DE"/>
        </w:rPr>
        <w:t xml:space="preserve"> </w:t>
      </w:r>
      <w:r w:rsidR="00EC37B3" w:rsidRPr="00DD2A86">
        <w:rPr>
          <w:rFonts w:eastAsia="Calibri"/>
          <w:vertAlign w:val="superscript"/>
          <w:lang w:val="de-DE"/>
        </w:rPr>
        <w:t>)</w:t>
      </w:r>
      <w:r w:rsidRPr="00DD2A86">
        <w:rPr>
          <w:rFonts w:eastAsia="Calibri"/>
          <w:lang w:val="de-DE"/>
        </w:rPr>
        <w:t>.“.</w:t>
      </w:r>
    </w:p>
    <w:p w:rsidR="00705CA9" w:rsidRPr="00DD2A86" w:rsidRDefault="00375305" w:rsidP="00BA1F0F">
      <w:pPr>
        <w:tabs>
          <w:tab w:val="left" w:pos="2268"/>
        </w:tabs>
        <w:spacing w:before="240" w:after="120"/>
        <w:ind w:left="1134" w:right="1134"/>
        <w:jc w:val="both"/>
        <w:rPr>
          <w:iCs/>
          <w:lang w:val="de-DE"/>
        </w:rPr>
      </w:pPr>
      <w:r w:rsidRPr="00DD2A86">
        <w:rPr>
          <w:iCs/>
          <w:lang w:val="de-DE"/>
        </w:rPr>
        <w:t>1.2.1</w:t>
      </w:r>
      <w:r w:rsidRPr="00DD2A86">
        <w:rPr>
          <w:iCs/>
          <w:lang w:val="de-DE"/>
        </w:rPr>
        <w:tab/>
        <w:t>In der Begriffsbestimmung von „</w:t>
      </w:r>
      <w:r w:rsidRPr="00DD2A86">
        <w:rPr>
          <w:b/>
          <w:i/>
          <w:iCs/>
          <w:lang w:val="de-DE"/>
        </w:rPr>
        <w:t>Druckfass</w:t>
      </w:r>
      <w:r w:rsidRPr="00DD2A86">
        <w:rPr>
          <w:iCs/>
          <w:lang w:val="de-DE"/>
        </w:rPr>
        <w:t>“ „mit einem Fassungsraum“ ändern in: „mit einem mit Wasser ausgeliterten Fassungsraum“.</w:t>
      </w:r>
    </w:p>
    <w:p w:rsidR="00375305" w:rsidRPr="00DD2A86" w:rsidRDefault="00705CA9" w:rsidP="00375305">
      <w:pPr>
        <w:tabs>
          <w:tab w:val="left" w:pos="2268"/>
        </w:tabs>
        <w:spacing w:after="120"/>
        <w:ind w:left="1134" w:right="1134"/>
        <w:jc w:val="both"/>
        <w:rPr>
          <w:iCs/>
          <w:lang w:val="de-DE"/>
        </w:rPr>
      </w:pPr>
      <w:r w:rsidRPr="00DD2A86">
        <w:rPr>
          <w:lang w:val="de-DE"/>
        </w:rPr>
        <w:t>[Betrifft nur die deutsche Sprachfassung]</w:t>
      </w:r>
    </w:p>
    <w:p w:rsidR="0038213C" w:rsidRPr="00DD2A86" w:rsidRDefault="004F7853" w:rsidP="00B61A90">
      <w:pPr>
        <w:tabs>
          <w:tab w:val="left" w:pos="2268"/>
        </w:tabs>
        <w:spacing w:before="240" w:after="60"/>
        <w:ind w:left="1134" w:right="1134"/>
        <w:jc w:val="both"/>
        <w:rPr>
          <w:b/>
          <w:i/>
          <w:iCs/>
          <w:lang w:val="de-DE" w:bidi="de-DE"/>
        </w:rPr>
      </w:pPr>
      <w:r w:rsidRPr="00DD2A86">
        <w:rPr>
          <w:iCs/>
          <w:lang w:val="de-DE" w:bidi="de-DE"/>
        </w:rPr>
        <w:t>1.2.1</w:t>
      </w:r>
      <w:r w:rsidRPr="00DD2A86">
        <w:rPr>
          <w:iCs/>
          <w:lang w:val="de-DE" w:bidi="de-DE"/>
        </w:rPr>
        <w:tab/>
        <w:t>In der Begriffsbestimmung für „</w:t>
      </w:r>
      <w:r w:rsidRPr="00DD2A86">
        <w:rPr>
          <w:rFonts w:eastAsia="Calibri"/>
          <w:b/>
          <w:i/>
          <w:iCs/>
          <w:lang w:val="de-DE" w:bidi="de-DE"/>
        </w:rPr>
        <w:t>Zoneneinteilung</w:t>
      </w:r>
      <w:r w:rsidRPr="00DD2A86">
        <w:rPr>
          <w:iCs/>
          <w:lang w:val="de-DE" w:bidi="de-DE"/>
        </w:rPr>
        <w:t>“ den Begriff „</w:t>
      </w:r>
      <w:r w:rsidRPr="00DD2A86">
        <w:rPr>
          <w:b/>
          <w:i/>
          <w:iCs/>
          <w:lang w:val="de-DE" w:bidi="de-DE"/>
        </w:rPr>
        <w:t>Zoneneinteilung</w:t>
      </w:r>
      <w:r w:rsidRPr="00DD2A86">
        <w:rPr>
          <w:iCs/>
          <w:lang w:val="de-DE" w:bidi="de-DE"/>
        </w:rPr>
        <w:t xml:space="preserve">“ ändern in: </w:t>
      </w:r>
      <w:r w:rsidRPr="00DD2A86">
        <w:rPr>
          <w:b/>
          <w:i/>
          <w:iCs/>
          <w:lang w:val="de-DE" w:bidi="de-DE"/>
        </w:rPr>
        <w:t>„Einteilung von explosionsgefährdeten Bereichen“</w:t>
      </w:r>
      <w:r w:rsidR="005610F9" w:rsidRPr="00DD2A86">
        <w:rPr>
          <w:b/>
          <w:i/>
          <w:iCs/>
          <w:lang w:val="de-DE" w:bidi="de-DE"/>
        </w:rPr>
        <w:t>.</w:t>
      </w:r>
    </w:p>
    <w:p w:rsidR="004F7853" w:rsidRPr="00DD2A86" w:rsidRDefault="0038213C" w:rsidP="00B61A90">
      <w:pPr>
        <w:tabs>
          <w:tab w:val="left" w:pos="2268"/>
        </w:tabs>
        <w:spacing w:after="60"/>
        <w:ind w:left="1134" w:right="1134"/>
        <w:jc w:val="both"/>
        <w:rPr>
          <w:iCs/>
          <w:lang w:val="de-DE" w:bidi="de-DE"/>
        </w:rPr>
      </w:pPr>
      <w:r w:rsidRPr="00DD2A86">
        <w:rPr>
          <w:iCs/>
          <w:lang w:val="de-DE" w:bidi="de-DE"/>
        </w:rPr>
        <w:t>A</w:t>
      </w:r>
      <w:r w:rsidR="004F7853" w:rsidRPr="00DD2A86">
        <w:rPr>
          <w:iCs/>
          <w:lang w:val="de-DE" w:bidi="de-DE"/>
        </w:rPr>
        <w:t xml:space="preserve">m Ende </w:t>
      </w:r>
      <w:r w:rsidRPr="00DD2A86">
        <w:rPr>
          <w:iCs/>
          <w:lang w:val="de-DE" w:bidi="de-DE"/>
        </w:rPr>
        <w:t xml:space="preserve">der Begriffsbestimmung </w:t>
      </w:r>
      <w:r w:rsidR="004F7853" w:rsidRPr="00DD2A86">
        <w:rPr>
          <w:iCs/>
          <w:lang w:val="de-DE" w:bidi="de-DE"/>
        </w:rPr>
        <w:t>hinzufügen: „Siehe auch Zoneneinteilung“.</w:t>
      </w:r>
    </w:p>
    <w:p w:rsidR="004F7853" w:rsidRPr="00DD2A86" w:rsidRDefault="004F7853" w:rsidP="00B61A90">
      <w:pPr>
        <w:tabs>
          <w:tab w:val="left" w:pos="2268"/>
        </w:tabs>
        <w:spacing w:before="240"/>
        <w:ind w:left="1134" w:right="1134"/>
        <w:jc w:val="both"/>
        <w:rPr>
          <w:rFonts w:eastAsia="Calibri"/>
          <w:b/>
          <w:i/>
          <w:iCs/>
          <w:lang w:val="de-DE" w:bidi="de-DE"/>
        </w:rPr>
      </w:pPr>
      <w:r w:rsidRPr="00DD2A86">
        <w:rPr>
          <w:iCs/>
          <w:lang w:val="de-DE" w:bidi="de-DE"/>
        </w:rPr>
        <w:t>1.2.1</w:t>
      </w:r>
      <w:r w:rsidRPr="00DD2A86">
        <w:rPr>
          <w:iCs/>
          <w:lang w:val="de-DE" w:bidi="de-DE"/>
        </w:rPr>
        <w:tab/>
        <w:t>In der Begriffsbestimmung für „</w:t>
      </w:r>
      <w:r w:rsidRPr="00DD2A86">
        <w:rPr>
          <w:rFonts w:eastAsia="Calibri"/>
          <w:b/>
          <w:i/>
          <w:iCs/>
          <w:lang w:val="de-DE" w:bidi="de-DE"/>
        </w:rPr>
        <w:t>Elektrische Einrichtung vom Typ „begrenzte Explosionsgefahr“:</w:t>
      </w:r>
    </w:p>
    <w:p w:rsidR="004F7853" w:rsidRPr="00DD2A86" w:rsidRDefault="004F7853" w:rsidP="00B61A90">
      <w:pPr>
        <w:tabs>
          <w:tab w:val="left" w:pos="2268"/>
        </w:tabs>
        <w:ind w:left="1418" w:right="1134" w:hanging="284"/>
        <w:jc w:val="both"/>
        <w:rPr>
          <w:rFonts w:eastAsia="Calibri"/>
          <w:lang w:val="de-DE"/>
        </w:rPr>
      </w:pPr>
      <w:r w:rsidRPr="00DD2A86">
        <w:rPr>
          <w:rFonts w:eastAsia="Calibri"/>
          <w:lang w:val="de-DE"/>
        </w:rPr>
        <w:t xml:space="preserve">- </w:t>
      </w:r>
      <w:r w:rsidRPr="00DD2A86">
        <w:rPr>
          <w:rFonts w:eastAsia="Calibri"/>
          <w:lang w:val="de-DE"/>
        </w:rPr>
        <w:tab/>
        <w:t>im ersten Satz „</w:t>
      </w:r>
      <w:r w:rsidRPr="00DD2A86">
        <w:rPr>
          <w:lang w:val="de-DE"/>
        </w:rPr>
        <w:t>die oberhalb der geforderten Temperaturklasse“ ändern in: „die oberhalb 200 °C“.</w:t>
      </w:r>
    </w:p>
    <w:p w:rsidR="004F7853" w:rsidRPr="00DD2A86" w:rsidRDefault="004F7853" w:rsidP="00B61A90">
      <w:pPr>
        <w:tabs>
          <w:tab w:val="left" w:pos="2268"/>
        </w:tabs>
        <w:ind w:left="1418" w:right="1134" w:hanging="284"/>
        <w:jc w:val="both"/>
        <w:rPr>
          <w:rFonts w:eastAsia="Calibri"/>
          <w:lang w:val="de-DE"/>
        </w:rPr>
      </w:pPr>
      <w:r w:rsidRPr="00DD2A86">
        <w:rPr>
          <w:rFonts w:eastAsia="Calibri"/>
          <w:lang w:val="de-DE"/>
        </w:rPr>
        <w:t xml:space="preserve">- </w:t>
      </w:r>
      <w:r w:rsidRPr="00DD2A86">
        <w:rPr>
          <w:rFonts w:eastAsia="Calibri"/>
          <w:lang w:val="de-DE"/>
        </w:rPr>
        <w:tab/>
        <w:t>erhält der letzte Anstrich folgenden Wortlaut: „- eine elektrische Einrichtung mit mindestens strahlwassergeschützter Kapselung (Schutzart IP 55 oder höher), die so beschaffen ist, dass bei normalem Betrieb keine Oberflächentemperaturen auftreten, die oberhalb 200 °C liegen.“.</w:t>
      </w:r>
    </w:p>
    <w:p w:rsidR="004F7853" w:rsidRPr="00DD2A86" w:rsidRDefault="004F7853" w:rsidP="00B61A90">
      <w:pPr>
        <w:tabs>
          <w:tab w:val="left" w:pos="2268"/>
        </w:tabs>
        <w:spacing w:before="240"/>
        <w:ind w:left="1134" w:right="1134"/>
        <w:jc w:val="both"/>
        <w:rPr>
          <w:rFonts w:eastAsia="Calibri"/>
          <w:i/>
          <w:lang w:val="de-DE"/>
        </w:rPr>
      </w:pPr>
      <w:r w:rsidRPr="00DD2A86">
        <w:rPr>
          <w:rFonts w:eastAsia="Calibri"/>
          <w:lang w:val="de-DE"/>
        </w:rPr>
        <w:t>1.2.1</w:t>
      </w:r>
      <w:r w:rsidRPr="00DD2A86">
        <w:rPr>
          <w:rFonts w:eastAsia="Calibri"/>
          <w:lang w:val="de-DE"/>
        </w:rPr>
        <w:tab/>
        <w:t>Die Begriffsbestimmung „</w:t>
      </w:r>
      <w:r w:rsidRPr="00DD2A86">
        <w:rPr>
          <w:rFonts w:eastAsia="Calibri"/>
          <w:b/>
          <w:i/>
          <w:lang w:val="de-DE"/>
        </w:rPr>
        <w:t>Elektrische Einrichtung vom Typ „bescheinigte Sicherheit“</w:t>
      </w:r>
      <w:r w:rsidR="005610F9" w:rsidRPr="00DD2A86">
        <w:rPr>
          <w:rFonts w:eastAsia="Calibri"/>
          <w:b/>
          <w:i/>
          <w:lang w:val="de-DE"/>
        </w:rPr>
        <w:t>“</w:t>
      </w:r>
      <w:r w:rsidRPr="00DD2A86">
        <w:rPr>
          <w:rFonts w:eastAsia="Calibri"/>
          <w:b/>
          <w:i/>
          <w:lang w:val="de-DE"/>
        </w:rPr>
        <w:t xml:space="preserve"> </w:t>
      </w:r>
      <w:r w:rsidRPr="00DD2A86">
        <w:rPr>
          <w:rFonts w:eastAsia="Calibri"/>
          <w:lang w:val="de-DE"/>
        </w:rPr>
        <w:t>streichen</w:t>
      </w:r>
      <w:r w:rsidRPr="00DD2A86">
        <w:rPr>
          <w:rFonts w:eastAsia="Calibri"/>
          <w:i/>
          <w:lang w:val="de-DE"/>
        </w:rPr>
        <w:t>.</w:t>
      </w:r>
    </w:p>
    <w:p w:rsidR="004F7853" w:rsidRPr="00DD2A86" w:rsidRDefault="004F7853" w:rsidP="00B61A90">
      <w:pPr>
        <w:tabs>
          <w:tab w:val="left" w:pos="2268"/>
        </w:tabs>
        <w:spacing w:before="240"/>
        <w:ind w:left="1134" w:right="1134"/>
        <w:jc w:val="both"/>
        <w:rPr>
          <w:rFonts w:eastAsia="Calibri"/>
          <w:iCs/>
          <w:lang w:val="de-DE" w:bidi="de-DE"/>
        </w:rPr>
      </w:pPr>
      <w:r w:rsidRPr="00DD2A86">
        <w:rPr>
          <w:iCs/>
          <w:lang w:val="de-DE" w:bidi="de-DE"/>
        </w:rPr>
        <w:t>1.2.1</w:t>
      </w:r>
      <w:r w:rsidRPr="00DD2A86">
        <w:rPr>
          <w:iCs/>
          <w:lang w:val="de-DE" w:bidi="de-DE"/>
        </w:rPr>
        <w:tab/>
        <w:t>In der Begriffsbestimmung für „</w:t>
      </w:r>
      <w:r w:rsidRPr="00DD2A86">
        <w:rPr>
          <w:rFonts w:eastAsia="Calibri"/>
          <w:b/>
          <w:i/>
          <w:iCs/>
          <w:lang w:val="de-DE" w:bidi="de-DE"/>
        </w:rPr>
        <w:t xml:space="preserve">Explosionsgefährdete Bereiche“ </w:t>
      </w:r>
      <w:r w:rsidRPr="00DD2A86">
        <w:rPr>
          <w:rFonts w:eastAsia="Calibri"/>
          <w:iCs/>
          <w:lang w:val="de-DE" w:bidi="de-DE"/>
        </w:rPr>
        <w:t>am Ende folgenden Satz hinzufügen:</w:t>
      </w:r>
      <w:r w:rsidRPr="00DD2A86">
        <w:rPr>
          <w:rFonts w:eastAsia="Calibri"/>
          <w:i/>
          <w:iCs/>
          <w:lang w:val="de-DE" w:bidi="de-DE"/>
        </w:rPr>
        <w:t xml:space="preserve"> „</w:t>
      </w:r>
      <w:r w:rsidRPr="00DD2A86">
        <w:rPr>
          <w:rFonts w:eastAsia="Calibri"/>
          <w:iCs/>
          <w:lang w:val="de-DE" w:bidi="de-DE"/>
        </w:rPr>
        <w:t>Explosionsgefährdete Bereiche werden nach Häufigkeit und Dauer des Auftretens von explosionsfähiger Atmosphäre in Zonen eingeteilt. Siehe auch „Einteilung von explosionsgefährdeten Bereichen“, „Explosionsschutz“, „Zoneneinteilung“ für Tankschiffe und „Geschützter Bereich“ für Trockengüterschiffe.“.</w:t>
      </w:r>
    </w:p>
    <w:p w:rsidR="004F7853" w:rsidRPr="00DD2A86" w:rsidRDefault="004F7853" w:rsidP="004953A8">
      <w:pPr>
        <w:tabs>
          <w:tab w:val="left" w:pos="2268"/>
        </w:tabs>
        <w:spacing w:before="240"/>
        <w:ind w:left="1134" w:right="1134"/>
        <w:jc w:val="both"/>
        <w:rPr>
          <w:iCs/>
          <w:lang w:val="de-DE" w:bidi="de-DE"/>
        </w:rPr>
      </w:pPr>
      <w:r w:rsidRPr="00DD2A86">
        <w:rPr>
          <w:iCs/>
          <w:lang w:val="de-DE" w:bidi="de-DE"/>
        </w:rPr>
        <w:lastRenderedPageBreak/>
        <w:t>1.2.1</w:t>
      </w:r>
      <w:r w:rsidRPr="00DD2A86">
        <w:rPr>
          <w:iCs/>
          <w:lang w:val="de-DE" w:bidi="de-DE"/>
        </w:rPr>
        <w:tab/>
        <w:t>Die Begriffsbestimmung für „</w:t>
      </w:r>
      <w:r w:rsidRPr="00DD2A86">
        <w:rPr>
          <w:rFonts w:eastAsia="Calibri"/>
          <w:b/>
          <w:i/>
          <w:iCs/>
          <w:lang w:val="de-DE" w:bidi="de-DE"/>
        </w:rPr>
        <w:t>Flammendurchschlagsicherung</w:t>
      </w:r>
      <w:r w:rsidRPr="00DD2A86">
        <w:rPr>
          <w:iCs/>
          <w:lang w:val="de-DE" w:bidi="de-DE"/>
        </w:rPr>
        <w:t>“ erhält folgenden Wortlaut:</w:t>
      </w:r>
    </w:p>
    <w:p w:rsidR="004F7853" w:rsidRPr="00DD2A86" w:rsidRDefault="004F7853" w:rsidP="00B61A90">
      <w:pPr>
        <w:spacing w:before="60"/>
        <w:ind w:left="1134" w:right="1134"/>
        <w:jc w:val="both"/>
        <w:rPr>
          <w:rFonts w:eastAsia="Calibri"/>
          <w:bCs/>
          <w:iCs/>
          <w:lang w:val="de-DE"/>
        </w:rPr>
      </w:pPr>
      <w:r w:rsidRPr="00DD2A86">
        <w:rPr>
          <w:rFonts w:eastAsia="Calibri"/>
          <w:b/>
          <w:bCs/>
          <w:i/>
          <w:iCs/>
          <w:lang w:val="de-DE"/>
        </w:rPr>
        <w:t xml:space="preserve">„Flammendurchschlagsicherung: </w:t>
      </w:r>
      <w:r w:rsidRPr="00DD2A86">
        <w:rPr>
          <w:rFonts w:eastAsia="Calibri"/>
          <w:bCs/>
          <w:iCs/>
          <w:lang w:val="de-DE"/>
        </w:rPr>
        <w:t>Eine Einrichtung, welche an der Öffnung eines Anlagenteils oder in der verbindenden Rohrleitung eines Systems von Anlagen eingebaut ist und deren vorgesehene Funktion es ist, den Durchfluss zu ermöglichen, aber den Flammendurchschlag zu verhindern. Die Flammendurchschlagsicherung muss nach der internationalen Norm ISO 16852:201</w:t>
      </w:r>
      <w:r w:rsidR="00D811E7" w:rsidRPr="00DD2A86">
        <w:rPr>
          <w:rFonts w:eastAsia="Calibri"/>
          <w:bCs/>
          <w:iCs/>
          <w:lang w:val="de-DE"/>
        </w:rPr>
        <w:t>6</w:t>
      </w:r>
      <w:r w:rsidRPr="00DD2A86">
        <w:rPr>
          <w:rFonts w:eastAsia="Calibri"/>
          <w:bCs/>
          <w:iCs/>
          <w:vertAlign w:val="superscript"/>
          <w:lang w:val="de-DE"/>
        </w:rPr>
        <w:footnoteReference w:id="3"/>
      </w:r>
      <w:r w:rsidRPr="00DD2A86">
        <w:rPr>
          <w:rFonts w:eastAsia="Calibri"/>
          <w:bCs/>
          <w:iCs/>
          <w:vertAlign w:val="superscript"/>
          <w:lang w:val="de-DE"/>
        </w:rPr>
        <w:t>)</w:t>
      </w:r>
      <w:r w:rsidRPr="00DD2A86">
        <w:rPr>
          <w:rFonts w:eastAsia="Calibri"/>
          <w:bCs/>
          <w:iCs/>
          <w:lang w:val="de-DE"/>
        </w:rPr>
        <w:t xml:space="preserve"> geprüft sein und es muss nachgewiesen sein, dass sie den anwendbaren Anforderungen entspricht (z.B</w:t>
      </w:r>
      <w:r w:rsidR="00463086" w:rsidRPr="00DD2A86">
        <w:rPr>
          <w:rFonts w:eastAsia="Calibri"/>
          <w:bCs/>
          <w:iCs/>
          <w:lang w:val="de-DE"/>
        </w:rPr>
        <w:t>.</w:t>
      </w:r>
      <w:r w:rsidRPr="00DD2A86">
        <w:rPr>
          <w:rFonts w:eastAsia="Calibri"/>
          <w:bCs/>
          <w:iCs/>
          <w:lang w:val="de-DE"/>
        </w:rPr>
        <w:t xml:space="preserve"> Konformitätsbewertungsverfahren nach Richtlinie </w:t>
      </w:r>
      <w:r w:rsidR="004E7BBC" w:rsidRPr="00DD2A86">
        <w:rPr>
          <w:rFonts w:eastAsia="Calibri"/>
          <w:bCs/>
          <w:iCs/>
          <w:lang w:val="de-DE"/>
        </w:rPr>
        <w:t>2014/34/EU</w:t>
      </w:r>
      <w:r w:rsidRPr="00DD2A86">
        <w:rPr>
          <w:rFonts w:eastAsia="Calibri"/>
          <w:bCs/>
          <w:iCs/>
          <w:vertAlign w:val="superscript"/>
          <w:lang w:val="de-DE"/>
        </w:rPr>
        <w:footnoteReference w:id="4"/>
      </w:r>
      <w:r w:rsidRPr="00DD2A86">
        <w:rPr>
          <w:rFonts w:eastAsia="Calibri"/>
          <w:bCs/>
          <w:iCs/>
          <w:vertAlign w:val="superscript"/>
          <w:lang w:val="de-DE"/>
        </w:rPr>
        <w:t>)</w:t>
      </w:r>
      <w:r w:rsidRPr="00DD2A86">
        <w:rPr>
          <w:rFonts w:eastAsia="Calibri"/>
          <w:bCs/>
          <w:iCs/>
          <w:lang w:val="de-DE"/>
        </w:rPr>
        <w:t>, oder ECE/Trade/391</w:t>
      </w:r>
      <w:r w:rsidRPr="00DD2A86">
        <w:rPr>
          <w:rFonts w:eastAsia="Calibri"/>
          <w:bCs/>
          <w:iCs/>
          <w:vertAlign w:val="superscript"/>
          <w:lang w:val="de-DE"/>
        </w:rPr>
        <w:footnoteReference w:id="5"/>
      </w:r>
      <w:r w:rsidRPr="00DD2A86">
        <w:rPr>
          <w:rFonts w:eastAsia="Calibri"/>
          <w:bCs/>
          <w:iCs/>
          <w:vertAlign w:val="superscript"/>
          <w:lang w:val="de-DE"/>
        </w:rPr>
        <w:t xml:space="preserve">) </w:t>
      </w:r>
      <w:r w:rsidRPr="00DD2A86">
        <w:rPr>
          <w:rFonts w:eastAsia="Calibri"/>
          <w:bCs/>
          <w:iCs/>
          <w:lang w:val="de-DE"/>
        </w:rPr>
        <w:t>oder mindestens gleichwertig).“.</w:t>
      </w:r>
    </w:p>
    <w:p w:rsidR="000A7B35" w:rsidRPr="00DD2A86" w:rsidRDefault="000A7B35" w:rsidP="000A7B35">
      <w:pPr>
        <w:spacing w:before="120"/>
        <w:ind w:left="1134" w:right="1134"/>
        <w:jc w:val="both"/>
        <w:rPr>
          <w:lang w:val="de-DE"/>
        </w:rPr>
      </w:pPr>
      <w:r w:rsidRPr="00DD2A86">
        <w:rPr>
          <w:lang w:val="de-DE"/>
        </w:rPr>
        <w:t>1.2.1</w:t>
      </w:r>
      <w:r w:rsidRPr="00DD2A86">
        <w:rPr>
          <w:lang w:val="de-DE"/>
        </w:rPr>
        <w:tab/>
        <w:t>Die Begriffsbestimmung für „</w:t>
      </w:r>
      <w:r w:rsidRPr="00DD2A86">
        <w:rPr>
          <w:b/>
          <w:i/>
          <w:lang w:val="de-DE"/>
        </w:rPr>
        <w:t>Flammpunkt</w:t>
      </w:r>
      <w:r w:rsidRPr="00DD2A86">
        <w:rPr>
          <w:lang w:val="de-DE"/>
        </w:rPr>
        <w:t>“ erhält folgenden Wortlaut:</w:t>
      </w:r>
    </w:p>
    <w:p w:rsidR="000A7B35" w:rsidRPr="00DD2A86" w:rsidRDefault="000A7B35" w:rsidP="000A7B35">
      <w:pPr>
        <w:spacing w:before="120"/>
        <w:ind w:left="1134" w:right="1134"/>
        <w:jc w:val="both"/>
        <w:rPr>
          <w:lang w:val="de-DE"/>
        </w:rPr>
      </w:pPr>
      <w:r w:rsidRPr="00DD2A86">
        <w:rPr>
          <w:b/>
          <w:bCs/>
          <w:i/>
          <w:iCs/>
          <w:lang w:val="de-DE"/>
        </w:rPr>
        <w:t xml:space="preserve">„Flammpunkt (Fp): </w:t>
      </w:r>
      <w:r w:rsidRPr="00DD2A86">
        <w:rPr>
          <w:lang w:val="de-DE"/>
        </w:rPr>
        <w:t>Die niedrigste Temperatur eines flüssigen Stoffes, bei der seine Dämpfe mit der Luft ein entzündbares Gemisch bilden.“.</w:t>
      </w:r>
    </w:p>
    <w:p w:rsidR="00705CA9" w:rsidRPr="00DD2A86" w:rsidRDefault="00375305" w:rsidP="00993052">
      <w:pPr>
        <w:tabs>
          <w:tab w:val="left" w:pos="2268"/>
        </w:tabs>
        <w:spacing w:before="120" w:after="120"/>
        <w:ind w:left="1134" w:right="1134"/>
        <w:jc w:val="both"/>
        <w:rPr>
          <w:iCs/>
          <w:lang w:val="de-DE"/>
        </w:rPr>
      </w:pPr>
      <w:r w:rsidRPr="00DD2A86">
        <w:rPr>
          <w:iCs/>
          <w:lang w:val="de-DE"/>
        </w:rPr>
        <w:t>1.2.1</w:t>
      </w:r>
      <w:r w:rsidRPr="00DD2A86">
        <w:rPr>
          <w:iCs/>
          <w:lang w:val="de-DE"/>
        </w:rPr>
        <w:tab/>
        <w:t>In der Begriffsbestimmung von „</w:t>
      </w:r>
      <w:r w:rsidRPr="00DD2A86">
        <w:rPr>
          <w:b/>
          <w:i/>
          <w:iCs/>
          <w:lang w:val="de-DE"/>
        </w:rPr>
        <w:t>Flasche</w:t>
      </w:r>
      <w:r w:rsidRPr="00DD2A86">
        <w:rPr>
          <w:iCs/>
          <w:lang w:val="de-DE"/>
        </w:rPr>
        <w:t>“ „mit einem Fassungsraum“ ändern in: „mit einem mit Wasser ausgeliterten Fassungsraum“.</w:t>
      </w:r>
    </w:p>
    <w:p w:rsidR="00375305" w:rsidRPr="00DD2A86" w:rsidRDefault="00705CA9" w:rsidP="00375305">
      <w:pPr>
        <w:tabs>
          <w:tab w:val="left" w:pos="2268"/>
        </w:tabs>
        <w:spacing w:after="120"/>
        <w:ind w:left="1134" w:right="1134"/>
        <w:jc w:val="both"/>
        <w:rPr>
          <w:iCs/>
          <w:lang w:val="de-DE"/>
        </w:rPr>
      </w:pPr>
      <w:r w:rsidRPr="00DD2A86">
        <w:rPr>
          <w:lang w:val="de-DE"/>
        </w:rPr>
        <w:t>[Betrifft nur die deutsche Sprachfassung]</w:t>
      </w:r>
    </w:p>
    <w:p w:rsidR="00705CA9" w:rsidRPr="00DD2A86" w:rsidRDefault="00375305" w:rsidP="00375305">
      <w:pPr>
        <w:tabs>
          <w:tab w:val="left" w:pos="2268"/>
        </w:tabs>
        <w:spacing w:after="120"/>
        <w:ind w:left="1134" w:right="1134"/>
        <w:jc w:val="both"/>
        <w:rPr>
          <w:iCs/>
          <w:lang w:val="de-DE"/>
        </w:rPr>
      </w:pPr>
      <w:r w:rsidRPr="00DD2A86">
        <w:rPr>
          <w:iCs/>
          <w:lang w:val="de-DE"/>
        </w:rPr>
        <w:t>1.2.1</w:t>
      </w:r>
      <w:r w:rsidRPr="00DD2A86">
        <w:rPr>
          <w:iCs/>
          <w:lang w:val="de-DE"/>
        </w:rPr>
        <w:tab/>
        <w:t>In der Begriffsbestimmung „</w:t>
      </w:r>
      <w:r w:rsidRPr="00DD2A86">
        <w:rPr>
          <w:b/>
          <w:i/>
          <w:iCs/>
          <w:lang w:val="de-DE"/>
        </w:rPr>
        <w:t>Flaschenbündel</w:t>
      </w:r>
      <w:r w:rsidRPr="00DD2A86">
        <w:rPr>
          <w:iCs/>
          <w:lang w:val="de-DE"/>
        </w:rPr>
        <w:t>“, im zweiten Satz „Fassungsraum“ ändern in: „mit Wasser ausgeliterte Fassungsraum“ (zweimal).</w:t>
      </w:r>
    </w:p>
    <w:p w:rsidR="00375305" w:rsidRPr="00DD2A86" w:rsidRDefault="00705CA9" w:rsidP="00375305">
      <w:pPr>
        <w:tabs>
          <w:tab w:val="left" w:pos="2268"/>
        </w:tabs>
        <w:spacing w:after="120"/>
        <w:ind w:left="1134" w:right="1134"/>
        <w:jc w:val="both"/>
        <w:rPr>
          <w:iCs/>
          <w:lang w:val="de-DE"/>
        </w:rPr>
      </w:pPr>
      <w:r w:rsidRPr="00DD2A86">
        <w:rPr>
          <w:lang w:val="de-DE"/>
        </w:rPr>
        <w:t>[Betrifft nur die deutsche Sprachfassung]</w:t>
      </w:r>
    </w:p>
    <w:p w:rsidR="00705CA9" w:rsidRPr="00DD2A86" w:rsidRDefault="00375305" w:rsidP="00375305">
      <w:pPr>
        <w:tabs>
          <w:tab w:val="left" w:pos="2268"/>
        </w:tabs>
        <w:spacing w:after="120"/>
        <w:ind w:left="1134" w:right="1134"/>
        <w:jc w:val="both"/>
        <w:rPr>
          <w:iCs/>
          <w:lang w:val="de-DE"/>
        </w:rPr>
      </w:pPr>
      <w:r w:rsidRPr="00DD2A86">
        <w:rPr>
          <w:iCs/>
          <w:lang w:val="de-DE"/>
        </w:rPr>
        <w:t>1.2.1</w:t>
      </w:r>
      <w:r w:rsidRPr="00DD2A86">
        <w:rPr>
          <w:iCs/>
          <w:lang w:val="de-DE"/>
        </w:rPr>
        <w:tab/>
        <w:t>In der Begriffsbestimmung von „</w:t>
      </w:r>
      <w:r w:rsidRPr="00DD2A86">
        <w:rPr>
          <w:b/>
          <w:i/>
          <w:iCs/>
          <w:lang w:val="de-DE"/>
        </w:rPr>
        <w:t>Füllungsgrad</w:t>
      </w:r>
      <w:r w:rsidRPr="00DD2A86">
        <w:rPr>
          <w:iCs/>
          <w:lang w:val="de-DE"/>
        </w:rPr>
        <w:t>“ „und Masse an Wasser“ ändern in: „und der Masse an Wasser“ und „ausfüllt“ ändern in: „ausfüllen würde“.</w:t>
      </w:r>
    </w:p>
    <w:p w:rsidR="00375305" w:rsidRPr="00DD2A86" w:rsidRDefault="00705CA9" w:rsidP="00375305">
      <w:pPr>
        <w:tabs>
          <w:tab w:val="left" w:pos="2268"/>
        </w:tabs>
        <w:spacing w:after="120"/>
        <w:ind w:left="1134" w:right="1134"/>
        <w:jc w:val="both"/>
        <w:rPr>
          <w:iCs/>
          <w:lang w:val="de-DE"/>
        </w:rPr>
      </w:pPr>
      <w:r w:rsidRPr="00DD2A86">
        <w:rPr>
          <w:lang w:val="de-DE"/>
        </w:rPr>
        <w:t>[Betrifft nur die deutsche Sprachfassung]</w:t>
      </w:r>
    </w:p>
    <w:p w:rsidR="004F7853" w:rsidRPr="00DD2A86" w:rsidRDefault="004F7853" w:rsidP="00B61A90">
      <w:pPr>
        <w:tabs>
          <w:tab w:val="left" w:pos="2268"/>
        </w:tabs>
        <w:spacing w:before="240"/>
        <w:ind w:left="1134" w:right="1134"/>
        <w:jc w:val="both"/>
        <w:rPr>
          <w:rFonts w:eastAsia="Calibri"/>
          <w:bCs/>
          <w:iCs/>
          <w:lang w:val="de-DE" w:bidi="de-DE"/>
        </w:rPr>
      </w:pPr>
      <w:r w:rsidRPr="00DD2A86">
        <w:rPr>
          <w:rFonts w:eastAsia="Calibri"/>
          <w:bCs/>
          <w:iCs/>
          <w:lang w:val="de-DE" w:bidi="de-DE"/>
        </w:rPr>
        <w:t>1.2.1</w:t>
      </w:r>
      <w:r w:rsidRPr="00DD2A86">
        <w:rPr>
          <w:rFonts w:eastAsia="Calibri"/>
          <w:bCs/>
          <w:iCs/>
          <w:lang w:val="de-DE" w:bidi="de-DE"/>
        </w:rPr>
        <w:tab/>
        <w:t>Die Begriffsbestimmung für „</w:t>
      </w:r>
      <w:r w:rsidRPr="00DD2A86">
        <w:rPr>
          <w:rFonts w:eastAsia="Calibri"/>
          <w:b/>
          <w:bCs/>
          <w:i/>
          <w:iCs/>
          <w:lang w:val="de-DE" w:bidi="de-DE"/>
        </w:rPr>
        <w:t>Gasspüranlage</w:t>
      </w:r>
      <w:r w:rsidRPr="00DD2A86">
        <w:rPr>
          <w:rFonts w:eastAsia="Calibri"/>
          <w:bCs/>
          <w:iCs/>
          <w:lang w:val="de-DE" w:bidi="de-DE"/>
        </w:rPr>
        <w:t xml:space="preserve"> “ erhält folgenden Wortlaut:</w:t>
      </w:r>
    </w:p>
    <w:p w:rsidR="004F7853" w:rsidRPr="00DD2A86" w:rsidRDefault="004F7853" w:rsidP="00B61A90">
      <w:pPr>
        <w:suppressAutoHyphens w:val="0"/>
        <w:autoSpaceDE w:val="0"/>
        <w:autoSpaceDN w:val="0"/>
        <w:adjustRightInd w:val="0"/>
        <w:spacing w:before="60"/>
        <w:ind w:left="1134" w:right="1134"/>
        <w:jc w:val="both"/>
        <w:rPr>
          <w:rFonts w:eastAsia="Calibri"/>
          <w:bCs/>
          <w:iCs/>
          <w:lang w:val="de-DE"/>
        </w:rPr>
      </w:pPr>
      <w:r w:rsidRPr="00DD2A86">
        <w:rPr>
          <w:rFonts w:eastAsia="Calibri"/>
          <w:b/>
          <w:bCs/>
          <w:i/>
          <w:iCs/>
          <w:lang w:val="de-DE"/>
        </w:rPr>
        <w:t xml:space="preserve">„Gasspüranlage: </w:t>
      </w:r>
      <w:r w:rsidRPr="00DD2A86">
        <w:rPr>
          <w:rFonts w:eastAsia="Calibri"/>
          <w:bCs/>
          <w:iCs/>
          <w:lang w:val="de-DE"/>
        </w:rPr>
        <w:t>Eine dauerhaft stationär arbeitende Messeinrichtung</w:t>
      </w:r>
      <w:r w:rsidR="009E692C" w:rsidRPr="00DD2A86">
        <w:rPr>
          <w:rFonts w:eastAsia="Calibri"/>
          <w:bCs/>
          <w:iCs/>
          <w:lang w:val="de-DE"/>
        </w:rPr>
        <w:t xml:space="preserve"> mit direkt messenden Sensoren</w:t>
      </w:r>
      <w:r w:rsidRPr="00DD2A86">
        <w:rPr>
          <w:rFonts w:eastAsia="Calibri"/>
          <w:bCs/>
          <w:iCs/>
          <w:lang w:val="de-DE"/>
        </w:rPr>
        <w:t xml:space="preserve">, mit der rechtzeitig bedeutsame Konzentrationen </w:t>
      </w:r>
      <w:r w:rsidR="00F93E23" w:rsidRPr="00DD2A86">
        <w:rPr>
          <w:rFonts w:eastAsia="Calibri"/>
          <w:bCs/>
          <w:iCs/>
          <w:lang w:val="de-DE"/>
        </w:rPr>
        <w:t xml:space="preserve">brennbarer </w:t>
      </w:r>
      <w:r w:rsidRPr="00DD2A86">
        <w:rPr>
          <w:rFonts w:eastAsia="Calibri"/>
          <w:bCs/>
          <w:iCs/>
          <w:lang w:val="de-DE"/>
        </w:rPr>
        <w:t>Gase unterhalb ihrer UEG gemessen werden können und bei Überschreiten eines Grenzwertes ein Alarm ausgelöst werden kann. Sie muss zumindest auf n-Hexan kalibriert sein. Die Ansprechschwelle der Sensoren beträgt höch</w:t>
      </w:r>
      <w:r w:rsidR="00841F39" w:rsidRPr="00DD2A86">
        <w:rPr>
          <w:rFonts w:eastAsia="Calibri"/>
          <w:bCs/>
          <w:iCs/>
          <w:lang w:val="de-DE"/>
        </w:rPr>
        <w:t>stens 10 % der UEG von n-Hexan.</w:t>
      </w:r>
    </w:p>
    <w:p w:rsidR="004F7853" w:rsidRPr="00DD2A86" w:rsidRDefault="004F7853" w:rsidP="00BA1F0F">
      <w:pPr>
        <w:tabs>
          <w:tab w:val="left" w:pos="2268"/>
        </w:tabs>
        <w:spacing w:before="120"/>
        <w:ind w:left="1134" w:right="1134"/>
        <w:jc w:val="both"/>
        <w:rPr>
          <w:rFonts w:eastAsia="Calibri"/>
          <w:lang w:val="de-DE"/>
        </w:rPr>
      </w:pPr>
      <w:r w:rsidRPr="00DD2A86">
        <w:rPr>
          <w:rFonts w:eastAsia="Calibri"/>
          <w:lang w:val="de-DE"/>
        </w:rPr>
        <w:t>Sie muss nach IEC/EN</w:t>
      </w:r>
      <w:r w:rsidRPr="00DD2A86">
        <w:rPr>
          <w:rFonts w:eastAsia="Calibri"/>
          <w:vertAlign w:val="superscript"/>
          <w:lang w:val="de-DE"/>
        </w:rPr>
        <w:footnoteReference w:id="6"/>
      </w:r>
      <w:r w:rsidRPr="00DD2A86">
        <w:rPr>
          <w:rFonts w:eastAsia="Calibri"/>
          <w:vertAlign w:val="superscript"/>
          <w:lang w:val="de-DE"/>
        </w:rPr>
        <w:t>)</w:t>
      </w:r>
      <w:r w:rsidRPr="00DD2A86">
        <w:rPr>
          <w:rFonts w:eastAsia="Calibri"/>
          <w:lang w:val="de-DE"/>
        </w:rPr>
        <w:t xml:space="preserve"> 60079-29-1:</w:t>
      </w:r>
      <w:r w:rsidR="00D55401" w:rsidRPr="00DD2A86">
        <w:rPr>
          <w:rFonts w:eastAsia="Calibri"/>
          <w:lang w:val="de-DE"/>
        </w:rPr>
        <w:t xml:space="preserve">2016 </w:t>
      </w:r>
      <w:r w:rsidRPr="00DD2A86">
        <w:rPr>
          <w:rFonts w:eastAsia="Calibri"/>
          <w:lang w:val="de-DE"/>
        </w:rPr>
        <w:t>und bei elektronisch arbeitenden Anlagen zusätzlich nach EN 50271:</w:t>
      </w:r>
      <w:r w:rsidR="00D55401" w:rsidRPr="00DD2A86">
        <w:rPr>
          <w:rFonts w:eastAsia="Calibri"/>
          <w:lang w:val="de-DE"/>
        </w:rPr>
        <w:t xml:space="preserve">2010 </w:t>
      </w:r>
      <w:r w:rsidRPr="00DD2A86">
        <w:rPr>
          <w:rFonts w:eastAsia="Calibri"/>
          <w:lang w:val="de-DE"/>
        </w:rPr>
        <w:t>geprüft sein. Wenn sie in explosionsgefährdeten Bereichen eingesetzt wird, muss sie zusätzlich die Anforderungen für den Einsatz in der jeweiligen Zone erfüllen und es muss nachgewiesen sein, dass sie den anwendbaren Anforderungen entspricht (</w:t>
      </w:r>
      <w:r w:rsidR="00545FF2" w:rsidRPr="00DD2A86">
        <w:rPr>
          <w:rFonts w:eastAsia="Calibri"/>
          <w:lang w:val="de-DE"/>
        </w:rPr>
        <w:t>z.B.</w:t>
      </w:r>
      <w:r w:rsidRPr="00DD2A86">
        <w:rPr>
          <w:rFonts w:eastAsia="Calibri"/>
          <w:lang w:val="de-DE"/>
        </w:rPr>
        <w:t xml:space="preserve"> Konformitätsbewertungsverfahren nach Richtlinie </w:t>
      </w:r>
      <w:r w:rsidR="004E7BBC" w:rsidRPr="00DD2A86">
        <w:rPr>
          <w:rFonts w:eastAsia="Calibri"/>
          <w:lang w:val="de-DE"/>
        </w:rPr>
        <w:t>2014/34/EU</w:t>
      </w:r>
      <w:r w:rsidRPr="00DD2A86">
        <w:rPr>
          <w:rFonts w:eastAsia="Calibri"/>
          <w:vertAlign w:val="superscript"/>
          <w:lang w:val="de-DE"/>
        </w:rPr>
        <w:footnoteReference w:id="7"/>
      </w:r>
      <w:r w:rsidRPr="00DD2A86">
        <w:rPr>
          <w:rFonts w:eastAsia="Calibri"/>
          <w:vertAlign w:val="superscript"/>
          <w:lang w:val="de-DE"/>
        </w:rPr>
        <w:t>)</w:t>
      </w:r>
      <w:r w:rsidRPr="00DD2A86">
        <w:rPr>
          <w:rFonts w:eastAsia="Calibri"/>
          <w:lang w:val="de-DE"/>
        </w:rPr>
        <w:t>, IECEx-System</w:t>
      </w:r>
      <w:r w:rsidRPr="00DD2A86">
        <w:rPr>
          <w:rFonts w:eastAsia="Calibri"/>
          <w:vertAlign w:val="superscript"/>
          <w:lang w:val="de-DE"/>
        </w:rPr>
        <w:footnoteReference w:id="8"/>
      </w:r>
      <w:r w:rsidRPr="00DD2A86">
        <w:rPr>
          <w:rFonts w:eastAsia="Calibri"/>
          <w:vertAlign w:val="superscript"/>
          <w:lang w:val="de-DE"/>
        </w:rPr>
        <w:t xml:space="preserve">), </w:t>
      </w:r>
      <w:r w:rsidRPr="00DD2A86">
        <w:rPr>
          <w:rFonts w:eastAsia="Calibri"/>
          <w:lang w:val="de-DE"/>
        </w:rPr>
        <w:t>oder ECE/Trade/391</w:t>
      </w:r>
      <w:r w:rsidRPr="00DD2A86">
        <w:rPr>
          <w:rFonts w:eastAsia="Calibri"/>
          <w:vertAlign w:val="superscript"/>
          <w:lang w:val="de-DE"/>
        </w:rPr>
        <w:footnoteReference w:id="9"/>
      </w:r>
      <w:r w:rsidRPr="00DD2A86">
        <w:rPr>
          <w:rFonts w:eastAsia="Calibri"/>
          <w:vertAlign w:val="superscript"/>
          <w:lang w:val="de-DE"/>
        </w:rPr>
        <w:t xml:space="preserve">) </w:t>
      </w:r>
      <w:r w:rsidRPr="00DD2A86">
        <w:rPr>
          <w:rFonts w:eastAsia="Calibri"/>
          <w:lang w:val="de-DE"/>
        </w:rPr>
        <w:t>oder mindestens gleichwertig).“.</w:t>
      </w:r>
    </w:p>
    <w:p w:rsidR="00283E6E" w:rsidRPr="00DD2A86" w:rsidRDefault="00283E6E">
      <w:pPr>
        <w:suppressAutoHyphens w:val="0"/>
        <w:spacing w:line="240" w:lineRule="auto"/>
        <w:rPr>
          <w:rFonts w:eastAsia="Calibri"/>
          <w:bCs/>
          <w:iCs/>
          <w:lang w:val="de-DE" w:bidi="de-DE"/>
        </w:rPr>
      </w:pPr>
      <w:r w:rsidRPr="00DD2A86">
        <w:rPr>
          <w:rFonts w:eastAsia="Calibri"/>
          <w:bCs/>
          <w:iCs/>
          <w:lang w:val="de-DE" w:bidi="de-DE"/>
        </w:rPr>
        <w:br w:type="page"/>
      </w:r>
    </w:p>
    <w:p w:rsidR="004F7853" w:rsidRPr="00DD2A86" w:rsidRDefault="004F7853" w:rsidP="00993052">
      <w:pPr>
        <w:tabs>
          <w:tab w:val="left" w:pos="2268"/>
        </w:tabs>
        <w:spacing w:before="120"/>
        <w:ind w:left="1134" w:right="1134"/>
        <w:jc w:val="both"/>
        <w:rPr>
          <w:rFonts w:eastAsia="Calibri"/>
          <w:bCs/>
          <w:iCs/>
          <w:lang w:val="de-DE" w:bidi="de-DE"/>
        </w:rPr>
      </w:pPr>
      <w:r w:rsidRPr="00DD2A86">
        <w:rPr>
          <w:rFonts w:eastAsia="Calibri"/>
          <w:bCs/>
          <w:iCs/>
          <w:lang w:val="de-DE" w:bidi="de-DE"/>
        </w:rPr>
        <w:lastRenderedPageBreak/>
        <w:t>1.2.1</w:t>
      </w:r>
      <w:r w:rsidRPr="00DD2A86">
        <w:rPr>
          <w:rFonts w:eastAsia="Calibri"/>
          <w:bCs/>
          <w:iCs/>
          <w:lang w:val="de-DE" w:bidi="de-DE"/>
        </w:rPr>
        <w:tab/>
        <w:t>Die Begriffsbestimmung für „</w:t>
      </w:r>
      <w:r w:rsidRPr="00DD2A86">
        <w:rPr>
          <w:rFonts w:eastAsia="Calibri"/>
          <w:b/>
          <w:bCs/>
          <w:i/>
          <w:iCs/>
          <w:lang w:val="de-DE" w:bidi="de-DE"/>
        </w:rPr>
        <w:t>Gasspürgerät</w:t>
      </w:r>
      <w:r w:rsidRPr="00DD2A86">
        <w:rPr>
          <w:rFonts w:eastAsia="Calibri"/>
          <w:bCs/>
          <w:iCs/>
          <w:lang w:val="de-DE" w:bidi="de-DE"/>
        </w:rPr>
        <w:t xml:space="preserve"> “ erhält folgenden Wortlaut:</w:t>
      </w:r>
    </w:p>
    <w:p w:rsidR="004F7853" w:rsidRPr="00DD2A86" w:rsidRDefault="004F7853" w:rsidP="00B61A90">
      <w:pPr>
        <w:suppressAutoHyphens w:val="0"/>
        <w:autoSpaceDE w:val="0"/>
        <w:autoSpaceDN w:val="0"/>
        <w:adjustRightInd w:val="0"/>
        <w:spacing w:before="60"/>
        <w:ind w:left="1134" w:right="1134"/>
        <w:jc w:val="both"/>
        <w:rPr>
          <w:rFonts w:eastAsia="Calibri"/>
          <w:bCs/>
          <w:iCs/>
          <w:lang w:val="de-DE"/>
        </w:rPr>
      </w:pPr>
      <w:r w:rsidRPr="00DD2A86">
        <w:rPr>
          <w:rFonts w:eastAsia="Calibri"/>
          <w:b/>
          <w:bCs/>
          <w:i/>
          <w:iCs/>
          <w:lang w:val="de-DE"/>
        </w:rPr>
        <w:t>„Gasspürgerät:</w:t>
      </w:r>
      <w:r w:rsidRPr="00DD2A86">
        <w:rPr>
          <w:rFonts w:eastAsia="Calibri"/>
          <w:bCs/>
          <w:iCs/>
          <w:lang w:val="de-DE"/>
        </w:rPr>
        <w:t xml:space="preserve"> Ein tragbares Gerät, mit dem bedeutsame Konzentrationen </w:t>
      </w:r>
      <w:r w:rsidR="002047EC" w:rsidRPr="00DD2A86">
        <w:rPr>
          <w:rFonts w:eastAsia="Calibri"/>
          <w:bCs/>
          <w:iCs/>
          <w:lang w:val="de-DE"/>
        </w:rPr>
        <w:t>brennbar</w:t>
      </w:r>
      <w:r w:rsidR="008F34A5" w:rsidRPr="00DD2A86">
        <w:rPr>
          <w:rFonts w:eastAsia="Calibri"/>
          <w:bCs/>
          <w:iCs/>
          <w:lang w:val="de-DE"/>
        </w:rPr>
        <w:t>er</w:t>
      </w:r>
      <w:r w:rsidR="002047EC" w:rsidRPr="00DD2A86">
        <w:rPr>
          <w:rFonts w:eastAsia="Calibri"/>
          <w:bCs/>
          <w:iCs/>
          <w:lang w:val="de-DE"/>
        </w:rPr>
        <w:t xml:space="preserve"> </w:t>
      </w:r>
      <w:r w:rsidRPr="00DD2A86">
        <w:rPr>
          <w:rFonts w:eastAsia="Calibri"/>
          <w:bCs/>
          <w:iCs/>
          <w:lang w:val="de-DE"/>
        </w:rPr>
        <w:t xml:space="preserve">Gase unterhalb der UEG gemessen werden können und welches </w:t>
      </w:r>
      <w:r w:rsidR="00153CF4" w:rsidRPr="00DD2A86">
        <w:rPr>
          <w:rFonts w:eastAsia="Calibri"/>
          <w:bCs/>
          <w:iCs/>
          <w:lang w:val="de-DE"/>
        </w:rPr>
        <w:t>die Konzentration dieser G</w:t>
      </w:r>
      <w:r w:rsidR="009310AB" w:rsidRPr="00DD2A86">
        <w:rPr>
          <w:rFonts w:eastAsia="Calibri"/>
          <w:bCs/>
          <w:iCs/>
          <w:lang w:val="de-DE"/>
        </w:rPr>
        <w:t>ase</w:t>
      </w:r>
      <w:r w:rsidRPr="00DD2A86">
        <w:rPr>
          <w:rFonts w:eastAsia="Calibri"/>
          <w:bCs/>
          <w:iCs/>
          <w:lang w:val="de-DE"/>
        </w:rPr>
        <w:t xml:space="preserve"> eindeutig anzeigt. Gasspürgeräte können sowohl als Einzelmessgeräte als auch als Kombinationsmessgeräte zur Messung von </w:t>
      </w:r>
      <w:r w:rsidR="008F34A5" w:rsidRPr="00DD2A86">
        <w:rPr>
          <w:rFonts w:eastAsia="Calibri"/>
          <w:bCs/>
          <w:iCs/>
          <w:lang w:val="de-DE"/>
        </w:rPr>
        <w:t xml:space="preserve">brennbaren </w:t>
      </w:r>
      <w:r w:rsidRPr="00DD2A86">
        <w:rPr>
          <w:rFonts w:eastAsia="Calibri"/>
          <w:bCs/>
          <w:iCs/>
          <w:lang w:val="de-DE"/>
        </w:rPr>
        <w:t>Gasen und Sauerstoff ausgeführt sein. Das Gerät muss so beschaffen sein, dass auch Messungen möglich sind, ohne die zu prüfenden Räume zu betreten.</w:t>
      </w:r>
    </w:p>
    <w:p w:rsidR="004F7853" w:rsidRPr="00DD2A86" w:rsidRDefault="004F7853" w:rsidP="00B61A90">
      <w:pPr>
        <w:tabs>
          <w:tab w:val="left" w:pos="2268"/>
        </w:tabs>
        <w:spacing w:before="120"/>
        <w:ind w:left="1134" w:right="1134"/>
        <w:jc w:val="both"/>
        <w:rPr>
          <w:rFonts w:eastAsia="Calibri"/>
          <w:lang w:val="de-DE" w:eastAsia="de-DE"/>
        </w:rPr>
      </w:pPr>
      <w:r w:rsidRPr="00DD2A86">
        <w:rPr>
          <w:rFonts w:eastAsia="Calibri"/>
          <w:lang w:val="de-DE" w:eastAsia="de-DE"/>
        </w:rPr>
        <w:t>Die Ansprechschwelle der Sensoren beträgt höchstens 5 % der UEG des kritischsten Stoffes der Schiffsstoffliste</w:t>
      </w:r>
      <w:r w:rsidR="00BC16FA" w:rsidRPr="00DD2A86">
        <w:rPr>
          <w:rFonts w:eastAsia="Calibri"/>
          <w:lang w:val="de-DE" w:eastAsia="de-DE"/>
        </w:rPr>
        <w:t xml:space="preserve"> </w:t>
      </w:r>
      <w:r w:rsidR="00E3493D" w:rsidRPr="00DD2A86">
        <w:rPr>
          <w:rFonts w:eastAsia="Calibri"/>
          <w:lang w:val="de-DE" w:eastAsia="de-DE"/>
        </w:rPr>
        <w:t xml:space="preserve">bei Tankschiffen </w:t>
      </w:r>
      <w:r w:rsidR="00BC16FA" w:rsidRPr="00DD2A86">
        <w:rPr>
          <w:rFonts w:eastAsia="Calibri"/>
          <w:lang w:val="de-DE" w:eastAsia="de-DE"/>
        </w:rPr>
        <w:t>bzw. der Ladung</w:t>
      </w:r>
      <w:r w:rsidR="00E3493D" w:rsidRPr="00DD2A86">
        <w:rPr>
          <w:rFonts w:eastAsia="Calibri"/>
          <w:lang w:val="de-DE" w:eastAsia="de-DE"/>
        </w:rPr>
        <w:t xml:space="preserve"> bei Trockengüterschiffen</w:t>
      </w:r>
      <w:r w:rsidRPr="00DD2A86">
        <w:rPr>
          <w:rFonts w:eastAsia="Calibri"/>
          <w:lang w:val="de-DE" w:eastAsia="de-DE"/>
        </w:rPr>
        <w:t>. Das Gasspürgerät muss nach IEC/EN</w:t>
      </w:r>
      <w:r w:rsidRPr="00DD2A86">
        <w:rPr>
          <w:rFonts w:eastAsia="Calibri"/>
          <w:vertAlign w:val="superscript"/>
          <w:lang w:val="de-DE" w:eastAsia="de-DE"/>
        </w:rPr>
        <w:footnoteReference w:id="10"/>
      </w:r>
      <w:r w:rsidRPr="00DD2A86">
        <w:rPr>
          <w:rFonts w:eastAsia="Calibri"/>
          <w:vertAlign w:val="superscript"/>
          <w:lang w:val="de-DE" w:eastAsia="de-DE"/>
        </w:rPr>
        <w:t>)</w:t>
      </w:r>
      <w:r w:rsidRPr="00DD2A86">
        <w:rPr>
          <w:rFonts w:eastAsia="Calibri"/>
          <w:lang w:val="de-DE" w:eastAsia="de-DE"/>
        </w:rPr>
        <w:t xml:space="preserve"> 60079-29-1:</w:t>
      </w:r>
      <w:r w:rsidR="008C01DF" w:rsidRPr="00DD2A86">
        <w:rPr>
          <w:rFonts w:eastAsia="Calibri"/>
          <w:lang w:val="de-DE" w:eastAsia="de-DE"/>
        </w:rPr>
        <w:t>2016</w:t>
      </w:r>
      <w:r w:rsidRPr="00DD2A86">
        <w:rPr>
          <w:rFonts w:eastAsia="Calibri"/>
          <w:lang w:val="de-DE" w:eastAsia="de-DE"/>
        </w:rPr>
        <w:t>, geprüft sein. Wenn es in explosionsgefährdeten Bereichen eingesetzt wird, muss es zusätzlich die Anforderungen für den Einsatz in der jeweiligen Zone erfüllen und es muss nachgewiesen sein, dass es den anwendbaren Anforderungen entspricht (</w:t>
      </w:r>
      <w:r w:rsidR="00545FF2" w:rsidRPr="00DD2A86">
        <w:rPr>
          <w:rFonts w:eastAsia="Calibri"/>
          <w:lang w:val="de-DE" w:eastAsia="de-DE"/>
        </w:rPr>
        <w:t>z.B.</w:t>
      </w:r>
      <w:r w:rsidRPr="00DD2A86">
        <w:rPr>
          <w:rFonts w:eastAsia="Calibri"/>
          <w:lang w:val="de-DE" w:eastAsia="de-DE"/>
        </w:rPr>
        <w:t xml:space="preserve"> Konformitätsbewertungsverfahren nach Richtlinie </w:t>
      </w:r>
      <w:r w:rsidR="004E7BBC" w:rsidRPr="00DD2A86">
        <w:rPr>
          <w:rFonts w:eastAsia="Calibri"/>
          <w:lang w:val="de-DE" w:eastAsia="de-DE"/>
        </w:rPr>
        <w:t>2014/34/EU</w:t>
      </w:r>
      <w:r w:rsidRPr="00DD2A86">
        <w:rPr>
          <w:rFonts w:eastAsia="Calibri"/>
          <w:vertAlign w:val="superscript"/>
          <w:lang w:val="de-DE" w:eastAsia="de-DE"/>
        </w:rPr>
        <w:footnoteReference w:id="11"/>
      </w:r>
      <w:r w:rsidRPr="00DD2A86">
        <w:rPr>
          <w:rFonts w:eastAsia="Calibri"/>
          <w:vertAlign w:val="superscript"/>
          <w:lang w:val="de-DE" w:eastAsia="de-DE"/>
        </w:rPr>
        <w:t>)</w:t>
      </w:r>
      <w:r w:rsidRPr="00DD2A86">
        <w:rPr>
          <w:rFonts w:eastAsia="Calibri"/>
          <w:lang w:val="de-DE" w:eastAsia="de-DE"/>
        </w:rPr>
        <w:t>, IECEx-System</w:t>
      </w:r>
      <w:r w:rsidRPr="00DD2A86">
        <w:rPr>
          <w:rFonts w:eastAsia="Calibri"/>
          <w:vertAlign w:val="superscript"/>
          <w:lang w:val="de-DE" w:eastAsia="de-DE"/>
        </w:rPr>
        <w:footnoteReference w:id="12"/>
      </w:r>
      <w:r w:rsidRPr="00DD2A86">
        <w:rPr>
          <w:rFonts w:eastAsia="Calibri"/>
          <w:vertAlign w:val="superscript"/>
          <w:lang w:val="de-DE" w:eastAsia="de-DE"/>
        </w:rPr>
        <w:t xml:space="preserve">) </w:t>
      </w:r>
      <w:r w:rsidRPr="00DD2A86">
        <w:rPr>
          <w:rFonts w:eastAsia="Calibri"/>
          <w:lang w:val="de-DE" w:eastAsia="de-DE"/>
        </w:rPr>
        <w:t>oder ECE Trade 391</w:t>
      </w:r>
      <w:r w:rsidRPr="00DD2A86">
        <w:rPr>
          <w:rFonts w:eastAsia="Calibri"/>
          <w:vertAlign w:val="superscript"/>
          <w:lang w:val="de-DE" w:eastAsia="de-DE"/>
        </w:rPr>
        <w:footnoteReference w:id="13"/>
      </w:r>
      <w:r w:rsidRPr="00DD2A86">
        <w:rPr>
          <w:rFonts w:eastAsia="Calibri"/>
          <w:vertAlign w:val="superscript"/>
          <w:lang w:val="de-DE" w:eastAsia="de-DE"/>
        </w:rPr>
        <w:t>)</w:t>
      </w:r>
      <w:r w:rsidRPr="00DD2A86">
        <w:rPr>
          <w:rFonts w:eastAsia="Calibri"/>
          <w:lang w:val="de-DE" w:eastAsia="de-DE"/>
        </w:rPr>
        <w:t>oder mindestens gleichwertig).“.</w:t>
      </w:r>
    </w:p>
    <w:p w:rsidR="004F7853" w:rsidRPr="00DD2A86" w:rsidRDefault="004F7853" w:rsidP="00B61A90">
      <w:pPr>
        <w:tabs>
          <w:tab w:val="left" w:pos="2268"/>
        </w:tabs>
        <w:spacing w:before="240"/>
        <w:ind w:left="1134" w:right="1134"/>
        <w:jc w:val="both"/>
        <w:rPr>
          <w:rFonts w:eastAsia="Calibri"/>
          <w:b/>
          <w:i/>
          <w:iCs/>
          <w:lang w:val="de-DE" w:bidi="de-DE"/>
        </w:rPr>
      </w:pPr>
      <w:r w:rsidRPr="00DD2A86">
        <w:rPr>
          <w:iCs/>
          <w:lang w:val="de-DE" w:bidi="de-DE"/>
        </w:rPr>
        <w:t>1.2.1</w:t>
      </w:r>
      <w:r w:rsidRPr="00DD2A86">
        <w:rPr>
          <w:iCs/>
          <w:lang w:val="de-DE" w:bidi="de-DE"/>
        </w:rPr>
        <w:tab/>
        <w:t>In der Begriffsbestimmung für „</w:t>
      </w:r>
      <w:r w:rsidRPr="00DD2A86">
        <w:rPr>
          <w:rFonts w:eastAsia="Calibri"/>
          <w:b/>
          <w:i/>
          <w:iCs/>
          <w:lang w:val="de-DE" w:bidi="de-DE"/>
        </w:rPr>
        <w:t>Geschützter Bereich“:</w:t>
      </w:r>
    </w:p>
    <w:p w:rsidR="004F7853" w:rsidRPr="00DD2A86" w:rsidRDefault="004F7853" w:rsidP="00B61A90">
      <w:pPr>
        <w:tabs>
          <w:tab w:val="left" w:pos="2268"/>
        </w:tabs>
        <w:ind w:left="1418" w:right="1134" w:hanging="284"/>
        <w:jc w:val="both"/>
        <w:rPr>
          <w:lang w:val="de-DE"/>
        </w:rPr>
      </w:pPr>
      <w:r w:rsidRPr="00DD2A86">
        <w:rPr>
          <w:rFonts w:eastAsia="Calibri"/>
          <w:lang w:val="de-DE"/>
        </w:rPr>
        <w:t xml:space="preserve">- </w:t>
      </w:r>
      <w:r w:rsidRPr="00DD2A86">
        <w:rPr>
          <w:rFonts w:eastAsia="Calibri"/>
          <w:lang w:val="de-DE"/>
        </w:rPr>
        <w:tab/>
        <w:t>am Anfang folgenden Satz hinzufügen: „</w:t>
      </w:r>
      <w:r w:rsidRPr="00DD2A86">
        <w:rPr>
          <w:lang w:val="de-DE"/>
        </w:rPr>
        <w:t>Die Gesamtheit folgender Räume an Bord von Trockengüterschiffen</w:t>
      </w:r>
      <w:r w:rsidR="005B66A8" w:rsidRPr="00DD2A86">
        <w:rPr>
          <w:lang w:val="de-DE"/>
        </w:rPr>
        <w:t>:</w:t>
      </w:r>
      <w:r w:rsidRPr="00DD2A86">
        <w:rPr>
          <w:lang w:val="de-DE"/>
        </w:rPr>
        <w:t>“.</w:t>
      </w:r>
    </w:p>
    <w:p w:rsidR="008521C1" w:rsidRPr="00DD2A86" w:rsidRDefault="004F7853" w:rsidP="00B61A90">
      <w:pPr>
        <w:tabs>
          <w:tab w:val="left" w:pos="2268"/>
        </w:tabs>
        <w:ind w:left="1418" w:right="1134" w:hanging="284"/>
        <w:jc w:val="both"/>
        <w:rPr>
          <w:bCs/>
          <w:lang w:val="de-DE" w:eastAsia="de-DE"/>
        </w:rPr>
      </w:pPr>
      <w:r w:rsidRPr="00DD2A86">
        <w:rPr>
          <w:bCs/>
          <w:lang w:val="de-DE" w:eastAsia="de-DE"/>
        </w:rPr>
        <w:t>-</w:t>
      </w:r>
      <w:r w:rsidRPr="00DD2A86">
        <w:rPr>
          <w:bCs/>
          <w:lang w:val="de-DE" w:eastAsia="de-DE"/>
        </w:rPr>
        <w:tab/>
        <w:t>„vergleichbar Zone“ ändern in: „Zone“ (zweimal).</w:t>
      </w:r>
    </w:p>
    <w:p w:rsidR="00ED5F67" w:rsidRPr="00DD2A86" w:rsidRDefault="00ED5F67" w:rsidP="00993052">
      <w:pPr>
        <w:tabs>
          <w:tab w:val="left" w:pos="2268"/>
        </w:tabs>
        <w:spacing w:before="120" w:after="120"/>
        <w:ind w:left="1134" w:right="1134"/>
        <w:jc w:val="both"/>
        <w:rPr>
          <w:bCs/>
          <w:iCs/>
          <w:lang w:val="de-DE"/>
        </w:rPr>
      </w:pPr>
      <w:r w:rsidRPr="00DD2A86">
        <w:rPr>
          <w:lang w:val="de-DE"/>
        </w:rPr>
        <w:t>1.2.1</w:t>
      </w:r>
      <w:r w:rsidRPr="00DD2A86">
        <w:rPr>
          <w:lang w:val="de-DE"/>
        </w:rPr>
        <w:tab/>
      </w:r>
      <w:r w:rsidRPr="00DD2A86">
        <w:rPr>
          <w:iCs/>
          <w:lang w:val="de-DE"/>
        </w:rPr>
        <w:t>In der Begriffsbestimmung von „</w:t>
      </w:r>
      <w:r w:rsidRPr="00DD2A86">
        <w:rPr>
          <w:b/>
          <w:bCs/>
          <w:i/>
          <w:iCs/>
          <w:lang w:val="de-DE"/>
        </w:rPr>
        <w:t xml:space="preserve">GHS </w:t>
      </w:r>
      <w:r w:rsidRPr="00DD2A86">
        <w:rPr>
          <w:b/>
          <w:bCs/>
          <w:iCs/>
          <w:lang w:val="de-DE"/>
        </w:rPr>
        <w:t>(Globally Harmonized System of Classification and Labelling of Chemicals)</w:t>
      </w:r>
      <w:r w:rsidRPr="00DD2A86">
        <w:rPr>
          <w:bCs/>
          <w:iCs/>
          <w:lang w:val="de-DE"/>
        </w:rPr>
        <w:t>“ „mit Dokument ST/SG/AC.10/30/Rev.6 veröffentlichte sechste überarbeitete Ausgabe“ ändern in: „mit Dokument ST/SG/AC.10/30/Rev.7 veröffentlichte siebte überarbeitete Ausgabe“.</w:t>
      </w:r>
    </w:p>
    <w:p w:rsidR="00375305" w:rsidRPr="00DD2A86" w:rsidRDefault="00375305" w:rsidP="00375305">
      <w:pPr>
        <w:tabs>
          <w:tab w:val="left" w:pos="2268"/>
        </w:tabs>
        <w:spacing w:after="120"/>
        <w:ind w:left="1134" w:right="1134"/>
        <w:jc w:val="both"/>
        <w:rPr>
          <w:iCs/>
          <w:lang w:val="de-DE"/>
        </w:rPr>
      </w:pPr>
      <w:r w:rsidRPr="00DD2A86">
        <w:rPr>
          <w:iCs/>
          <w:lang w:val="de-DE"/>
        </w:rPr>
        <w:t>1.2.1</w:t>
      </w:r>
      <w:r w:rsidRPr="00DD2A86">
        <w:rPr>
          <w:iCs/>
          <w:lang w:val="de-DE"/>
        </w:rPr>
        <w:tab/>
        <w:t>In der Begriffsbestimmung von „</w:t>
      </w:r>
      <w:r w:rsidRPr="00DD2A86">
        <w:rPr>
          <w:b/>
          <w:i/>
          <w:iCs/>
          <w:lang w:val="de-DE"/>
        </w:rPr>
        <w:t>Großflasche</w:t>
      </w:r>
      <w:r w:rsidRPr="00DD2A86">
        <w:rPr>
          <w:iCs/>
          <w:lang w:val="de-DE"/>
        </w:rPr>
        <w:t>“ „mit einem Fassungsraum“ ändern in: „mit einem mit Wasser ausgeliterten Fassungsraum“.</w:t>
      </w:r>
    </w:p>
    <w:p w:rsidR="00705CA9" w:rsidRPr="00DD2A86" w:rsidRDefault="00705CA9" w:rsidP="00375305">
      <w:pPr>
        <w:tabs>
          <w:tab w:val="left" w:pos="2268"/>
        </w:tabs>
        <w:spacing w:after="120"/>
        <w:ind w:left="1134" w:right="1134"/>
        <w:jc w:val="both"/>
        <w:rPr>
          <w:iCs/>
          <w:lang w:val="de-DE"/>
        </w:rPr>
      </w:pPr>
      <w:r w:rsidRPr="00DD2A86">
        <w:rPr>
          <w:lang w:val="de-DE"/>
        </w:rPr>
        <w:t>[Betrifft nur die deutsche Sprachfassung]</w:t>
      </w:r>
    </w:p>
    <w:p w:rsidR="00E33D33" w:rsidRPr="00DD2A86" w:rsidRDefault="00E33D33" w:rsidP="00C56929">
      <w:pPr>
        <w:tabs>
          <w:tab w:val="left" w:pos="2268"/>
        </w:tabs>
        <w:spacing w:after="120"/>
        <w:ind w:left="1134" w:right="1134"/>
        <w:jc w:val="both"/>
        <w:rPr>
          <w:iCs/>
          <w:lang w:val="de-DE"/>
        </w:rPr>
      </w:pPr>
      <w:r w:rsidRPr="00DD2A86">
        <w:rPr>
          <w:lang w:val="de-DE"/>
        </w:rPr>
        <w:t>1.2.1</w:t>
      </w:r>
      <w:r w:rsidRPr="00DD2A86">
        <w:rPr>
          <w:lang w:val="de-DE"/>
        </w:rPr>
        <w:tab/>
      </w:r>
      <w:r w:rsidRPr="00DD2A86">
        <w:rPr>
          <w:iCs/>
          <w:lang w:val="de-DE"/>
        </w:rPr>
        <w:t>In der Begriffsbestimmung von „</w:t>
      </w:r>
      <w:r w:rsidRPr="00DD2A86">
        <w:rPr>
          <w:b/>
          <w:bCs/>
          <w:i/>
          <w:iCs/>
          <w:lang w:val="de-DE"/>
        </w:rPr>
        <w:t>Handbuch Prüfungen und Kriterien“</w:t>
      </w:r>
      <w:r w:rsidRPr="00DD2A86">
        <w:rPr>
          <w:bCs/>
          <w:iCs/>
          <w:lang w:val="de-DE"/>
        </w:rPr>
        <w:t xml:space="preserve"> nach „ST/SG/AC.10/11/Rev.6“ einfügen: „und Amend.1“.</w:t>
      </w:r>
    </w:p>
    <w:p w:rsidR="004F7853" w:rsidRPr="00DD2A86" w:rsidRDefault="004F7853" w:rsidP="00B61A90">
      <w:pPr>
        <w:tabs>
          <w:tab w:val="left" w:pos="2268"/>
        </w:tabs>
        <w:spacing w:before="240"/>
        <w:ind w:left="1134" w:right="1134"/>
        <w:jc w:val="both"/>
        <w:rPr>
          <w:rFonts w:eastAsia="Calibri"/>
          <w:bCs/>
          <w:iCs/>
          <w:lang w:val="de-DE" w:bidi="de-DE"/>
        </w:rPr>
      </w:pPr>
      <w:r w:rsidRPr="00DD2A86">
        <w:rPr>
          <w:rFonts w:eastAsia="Calibri"/>
          <w:bCs/>
          <w:iCs/>
          <w:lang w:val="de-DE" w:bidi="de-DE"/>
        </w:rPr>
        <w:t>1.2.1</w:t>
      </w:r>
      <w:r w:rsidRPr="00DD2A86">
        <w:rPr>
          <w:rFonts w:eastAsia="Calibri"/>
          <w:bCs/>
          <w:iCs/>
          <w:lang w:val="de-DE" w:bidi="de-DE"/>
        </w:rPr>
        <w:tab/>
        <w:t>Die Begriffsbestimmung für „</w:t>
      </w:r>
      <w:r w:rsidRPr="00DD2A86">
        <w:rPr>
          <w:rFonts w:eastAsia="Calibri"/>
          <w:b/>
          <w:bCs/>
          <w:i/>
          <w:iCs/>
          <w:lang w:val="de-DE" w:bidi="de-DE"/>
        </w:rPr>
        <w:t>Hochgeschwindigkeitsventil</w:t>
      </w:r>
      <w:r w:rsidRPr="00DD2A86">
        <w:rPr>
          <w:rFonts w:eastAsia="Calibri"/>
          <w:bCs/>
          <w:iCs/>
          <w:lang w:val="de-DE" w:bidi="de-DE"/>
        </w:rPr>
        <w:t>“ erhält folgenden Wortlaut:</w:t>
      </w:r>
    </w:p>
    <w:p w:rsidR="004F7853" w:rsidRPr="00DD2A86" w:rsidRDefault="004F7853" w:rsidP="00B61A90">
      <w:pPr>
        <w:suppressAutoHyphens w:val="0"/>
        <w:spacing w:before="60" w:line="240" w:lineRule="auto"/>
        <w:ind w:left="1134" w:right="1134"/>
        <w:jc w:val="both"/>
        <w:rPr>
          <w:rFonts w:eastAsia="Calibri"/>
          <w:bCs/>
          <w:iCs/>
          <w:lang w:val="de-DE"/>
        </w:rPr>
      </w:pPr>
      <w:r w:rsidRPr="00DD2A86">
        <w:rPr>
          <w:rFonts w:eastAsia="Calibri"/>
          <w:b/>
          <w:bCs/>
          <w:i/>
          <w:iCs/>
          <w:lang w:val="de-DE"/>
        </w:rPr>
        <w:t>„Hochgeschwindigkeitsventil:</w:t>
      </w:r>
      <w:r w:rsidRPr="00DD2A86">
        <w:rPr>
          <w:rFonts w:eastAsia="Calibri"/>
          <w:bCs/>
          <w:iCs/>
          <w:lang w:val="de-DE"/>
        </w:rPr>
        <w:t xml:space="preserve"> Überdruckventil, das Nenn-Strömungsgeschwindigkeiten oberhalb der Flammenausbreitungsgeschwindigkeit des explosionsfähigen Gemisches aufweist und dadurch den Flammendurchschlag verhindert. Wenn die Schiffsstoffliste nach Absatz 1.16.1.2.5 Stoffe enthält, für die nach Unterabschnitt 3.2.3.2 Tabelle C Spalte (17) Explosionsschutz gefordert ist, muss eine solche Einrichtung nach der internationalen Norm ISO 16852:201</w:t>
      </w:r>
      <w:r w:rsidR="00D811E7" w:rsidRPr="00DD2A86">
        <w:rPr>
          <w:rFonts w:eastAsia="Calibri"/>
          <w:bCs/>
          <w:iCs/>
          <w:lang w:val="de-DE"/>
        </w:rPr>
        <w:t>6</w:t>
      </w:r>
      <w:r w:rsidRPr="00DD2A86">
        <w:rPr>
          <w:rFonts w:eastAsia="Calibri"/>
          <w:bCs/>
          <w:iCs/>
          <w:vertAlign w:val="superscript"/>
          <w:lang w:val="de-DE"/>
        </w:rPr>
        <w:footnoteReference w:id="14"/>
      </w:r>
      <w:r w:rsidRPr="00DD2A86">
        <w:rPr>
          <w:rFonts w:eastAsia="Calibri"/>
          <w:bCs/>
          <w:iCs/>
          <w:vertAlign w:val="superscript"/>
          <w:lang w:val="de-DE"/>
        </w:rPr>
        <w:t>)</w:t>
      </w:r>
      <w:r w:rsidRPr="00DD2A86">
        <w:rPr>
          <w:rFonts w:eastAsia="Calibri"/>
          <w:bCs/>
          <w:iCs/>
          <w:lang w:val="de-DE"/>
        </w:rPr>
        <w:t xml:space="preserve"> geprüft sein und es muss nachgewiesen sein, dass sie den anwendbaren Anforderungen entspricht (</w:t>
      </w:r>
      <w:r w:rsidR="00545FF2" w:rsidRPr="00DD2A86">
        <w:rPr>
          <w:rFonts w:eastAsia="Calibri"/>
          <w:bCs/>
          <w:iCs/>
          <w:lang w:val="de-DE"/>
        </w:rPr>
        <w:t>z.B.</w:t>
      </w:r>
      <w:r w:rsidRPr="00DD2A86">
        <w:rPr>
          <w:rFonts w:eastAsia="Calibri"/>
          <w:bCs/>
          <w:iCs/>
          <w:lang w:val="de-DE"/>
        </w:rPr>
        <w:t xml:space="preserve"> Konformitätsbewertungsverfahren nach Richtlinie </w:t>
      </w:r>
      <w:r w:rsidR="004E7BBC" w:rsidRPr="00DD2A86">
        <w:rPr>
          <w:rFonts w:eastAsia="Calibri"/>
          <w:bCs/>
          <w:iCs/>
          <w:lang w:val="de-DE"/>
        </w:rPr>
        <w:t>2014/34/EU</w:t>
      </w:r>
      <w:r w:rsidRPr="00DD2A86">
        <w:rPr>
          <w:rFonts w:eastAsia="Calibri"/>
          <w:bCs/>
          <w:iCs/>
          <w:vertAlign w:val="superscript"/>
          <w:lang w:val="de-DE"/>
        </w:rPr>
        <w:footnoteReference w:id="15"/>
      </w:r>
      <w:r w:rsidRPr="00DD2A86">
        <w:rPr>
          <w:rFonts w:eastAsia="Calibri"/>
          <w:bCs/>
          <w:iCs/>
          <w:vertAlign w:val="superscript"/>
          <w:lang w:val="de-DE"/>
        </w:rPr>
        <w:t>)</w:t>
      </w:r>
      <w:r w:rsidRPr="00DD2A86">
        <w:rPr>
          <w:rFonts w:eastAsia="Calibri"/>
          <w:bCs/>
          <w:iCs/>
          <w:lang w:val="de-DE"/>
        </w:rPr>
        <w:t>, oder ECE Trade 391</w:t>
      </w:r>
      <w:r w:rsidRPr="00DD2A86">
        <w:rPr>
          <w:rFonts w:eastAsia="Calibri"/>
          <w:bCs/>
          <w:iCs/>
          <w:vertAlign w:val="superscript"/>
          <w:lang w:val="de-DE"/>
        </w:rPr>
        <w:footnoteReference w:id="16"/>
      </w:r>
      <w:r w:rsidRPr="00DD2A86">
        <w:rPr>
          <w:rFonts w:eastAsia="Calibri"/>
          <w:bCs/>
          <w:iCs/>
          <w:vertAlign w:val="superscript"/>
          <w:lang w:val="de-DE"/>
        </w:rPr>
        <w:t xml:space="preserve">) </w:t>
      </w:r>
      <w:r w:rsidRPr="00DD2A86">
        <w:rPr>
          <w:rFonts w:eastAsia="Calibri"/>
          <w:bCs/>
          <w:iCs/>
          <w:lang w:val="de-DE"/>
        </w:rPr>
        <w:t xml:space="preserve"> oder mindestens gleichwertig).“.</w:t>
      </w:r>
    </w:p>
    <w:p w:rsidR="00283E6E" w:rsidRPr="00DD2A86" w:rsidRDefault="00283E6E">
      <w:pPr>
        <w:suppressAutoHyphens w:val="0"/>
        <w:spacing w:line="240" w:lineRule="auto"/>
        <w:rPr>
          <w:iCs/>
          <w:lang w:val="de-DE"/>
        </w:rPr>
      </w:pPr>
      <w:r w:rsidRPr="00DD2A86">
        <w:rPr>
          <w:iCs/>
          <w:lang w:val="de-DE"/>
        </w:rPr>
        <w:br w:type="page"/>
      </w:r>
    </w:p>
    <w:p w:rsidR="00375305" w:rsidRPr="00DD2A86" w:rsidRDefault="00375305" w:rsidP="00993052">
      <w:pPr>
        <w:tabs>
          <w:tab w:val="left" w:pos="2268"/>
        </w:tabs>
        <w:spacing w:before="120" w:after="120"/>
        <w:ind w:left="1134" w:right="1134"/>
        <w:jc w:val="both"/>
        <w:rPr>
          <w:iCs/>
          <w:lang w:val="de-DE"/>
        </w:rPr>
      </w:pPr>
      <w:r w:rsidRPr="00DD2A86">
        <w:rPr>
          <w:iCs/>
          <w:lang w:val="de-DE"/>
        </w:rPr>
        <w:t>1.2.1</w:t>
      </w:r>
      <w:r w:rsidRPr="00DD2A86">
        <w:rPr>
          <w:iCs/>
          <w:lang w:val="de-DE"/>
        </w:rPr>
        <w:tab/>
        <w:t>Den Titel der Begriffsbestimmung „</w:t>
      </w:r>
      <w:r w:rsidRPr="00DD2A86">
        <w:rPr>
          <w:b/>
          <w:i/>
          <w:iCs/>
          <w:lang w:val="de-DE"/>
        </w:rPr>
        <w:t>Inspektionsstelle</w:t>
      </w:r>
      <w:r w:rsidRPr="00DD2A86">
        <w:rPr>
          <w:iCs/>
          <w:lang w:val="de-DE"/>
        </w:rPr>
        <w:t>“ ändern in: „</w:t>
      </w:r>
      <w:r w:rsidRPr="00DD2A86">
        <w:rPr>
          <w:b/>
          <w:i/>
          <w:iCs/>
          <w:lang w:val="de-DE"/>
        </w:rPr>
        <w:t>Prüfstelle</w:t>
      </w:r>
      <w:r w:rsidRPr="00DD2A86">
        <w:rPr>
          <w:iCs/>
          <w:lang w:val="de-DE"/>
        </w:rPr>
        <w:t>“.</w:t>
      </w:r>
    </w:p>
    <w:p w:rsidR="00705CA9" w:rsidRPr="00DD2A86" w:rsidRDefault="00705CA9" w:rsidP="00375305">
      <w:pPr>
        <w:tabs>
          <w:tab w:val="left" w:pos="2268"/>
        </w:tabs>
        <w:spacing w:after="120"/>
        <w:ind w:left="1134" w:right="1134"/>
        <w:jc w:val="both"/>
        <w:rPr>
          <w:iCs/>
          <w:lang w:val="de-DE"/>
        </w:rPr>
      </w:pPr>
      <w:r w:rsidRPr="00DD2A86">
        <w:rPr>
          <w:lang w:val="de-DE"/>
        </w:rPr>
        <w:t>[Betrifft nur die deutsche Sprachfassung]</w:t>
      </w:r>
    </w:p>
    <w:p w:rsidR="004F7853" w:rsidRPr="00DD2A86" w:rsidRDefault="004F7853" w:rsidP="00B61A90">
      <w:pPr>
        <w:tabs>
          <w:tab w:val="left" w:pos="2268"/>
        </w:tabs>
        <w:spacing w:before="240"/>
        <w:ind w:left="1134" w:right="1134"/>
        <w:jc w:val="both"/>
        <w:rPr>
          <w:rFonts w:eastAsia="Calibri"/>
          <w:b/>
          <w:i/>
          <w:iCs/>
          <w:lang w:val="de-DE" w:bidi="de-DE"/>
        </w:rPr>
      </w:pPr>
      <w:r w:rsidRPr="00DD2A86">
        <w:rPr>
          <w:iCs/>
          <w:lang w:val="de-DE" w:bidi="de-DE"/>
        </w:rPr>
        <w:t>1.2.1</w:t>
      </w:r>
      <w:r w:rsidRPr="00DD2A86">
        <w:rPr>
          <w:iCs/>
          <w:lang w:val="de-DE" w:bidi="de-DE"/>
        </w:rPr>
        <w:tab/>
        <w:t>In der Begriffsbestimmung für „</w:t>
      </w:r>
      <w:r w:rsidRPr="00DD2A86">
        <w:rPr>
          <w:rFonts w:eastAsia="Calibri"/>
          <w:b/>
          <w:i/>
          <w:iCs/>
          <w:lang w:val="de-DE" w:bidi="de-DE"/>
        </w:rPr>
        <w:t>Kofferdamm“:</w:t>
      </w:r>
    </w:p>
    <w:p w:rsidR="004F7853" w:rsidRPr="00DD2A86" w:rsidRDefault="004F7853" w:rsidP="00B61A90">
      <w:pPr>
        <w:tabs>
          <w:tab w:val="left" w:pos="2268"/>
        </w:tabs>
        <w:ind w:left="1418" w:right="1134" w:hanging="284"/>
        <w:jc w:val="both"/>
        <w:rPr>
          <w:lang w:val="de-DE"/>
        </w:rPr>
      </w:pPr>
      <w:r w:rsidRPr="00DD2A86">
        <w:rPr>
          <w:rFonts w:eastAsia="Calibri"/>
          <w:lang w:val="de-DE"/>
        </w:rPr>
        <w:t xml:space="preserve">- </w:t>
      </w:r>
      <w:r w:rsidRPr="00DD2A86">
        <w:rPr>
          <w:rFonts w:eastAsia="Calibri"/>
          <w:lang w:val="de-DE"/>
        </w:rPr>
        <w:tab/>
        <w:t>am Anfang den Satz zwischen Klammern streichen: „</w:t>
      </w:r>
      <w:r w:rsidRPr="00DD2A86">
        <w:rPr>
          <w:lang w:val="de-DE"/>
        </w:rPr>
        <w:t>(wenn Explosionsschutz gefordert wird, vergleichbar Zone 1)</w:t>
      </w:r>
      <w:r w:rsidR="00B126C1" w:rsidRPr="00DD2A86">
        <w:rPr>
          <w:lang w:val="de-DE"/>
        </w:rPr>
        <w:t>“</w:t>
      </w:r>
      <w:r w:rsidRPr="00DD2A86">
        <w:rPr>
          <w:lang w:val="de-DE"/>
        </w:rPr>
        <w:t>.</w:t>
      </w:r>
    </w:p>
    <w:p w:rsidR="004F7853" w:rsidRPr="00DD2A86" w:rsidRDefault="004F7853" w:rsidP="00B61A90">
      <w:pPr>
        <w:tabs>
          <w:tab w:val="left" w:pos="2268"/>
        </w:tabs>
        <w:ind w:left="1418" w:right="1134" w:hanging="284"/>
        <w:jc w:val="both"/>
        <w:rPr>
          <w:lang w:val="de-DE" w:eastAsia="de-DE"/>
        </w:rPr>
      </w:pPr>
      <w:r w:rsidRPr="00DD2A86">
        <w:rPr>
          <w:lang w:val="de-DE" w:eastAsia="de-DE"/>
        </w:rPr>
        <w:t>-</w:t>
      </w:r>
      <w:r w:rsidRPr="00DD2A86">
        <w:rPr>
          <w:lang w:val="de-DE" w:eastAsia="de-DE"/>
        </w:rPr>
        <w:tab/>
        <w:t>im dritten Satz nach „Das dem Ladungsbereich abgewandte Schott” hinzufügen: „(äußeres Kofferdammschott)“.</w:t>
      </w:r>
    </w:p>
    <w:p w:rsidR="004F7853" w:rsidRPr="00DD2A86" w:rsidRDefault="004F7853" w:rsidP="00B61A90">
      <w:pPr>
        <w:tabs>
          <w:tab w:val="left" w:pos="2268"/>
        </w:tabs>
        <w:ind w:left="1418" w:right="1134" w:hanging="284"/>
        <w:jc w:val="both"/>
        <w:rPr>
          <w:lang w:val="de-DE" w:eastAsia="de-DE"/>
        </w:rPr>
      </w:pPr>
      <w:r w:rsidRPr="00DD2A86">
        <w:rPr>
          <w:lang w:val="de-DE" w:eastAsia="de-DE"/>
        </w:rPr>
        <w:t>-</w:t>
      </w:r>
      <w:r w:rsidRPr="00DD2A86">
        <w:rPr>
          <w:lang w:val="de-DE" w:eastAsia="de-DE"/>
        </w:rPr>
        <w:tab/>
      </w:r>
      <w:r w:rsidR="00C151B8" w:rsidRPr="00DD2A86">
        <w:rPr>
          <w:lang w:val="de-DE" w:eastAsia="de-DE"/>
        </w:rPr>
        <w:t xml:space="preserve">im dritten Satz </w:t>
      </w:r>
      <w:r w:rsidRPr="00DD2A86">
        <w:rPr>
          <w:lang w:val="de-DE" w:eastAsia="de-DE"/>
        </w:rPr>
        <w:t>„von Bord zu Bord“ ändern in: „von Bordwand zu Bordwand“.</w:t>
      </w:r>
    </w:p>
    <w:p w:rsidR="00ED5F67" w:rsidRPr="00DD2A86" w:rsidRDefault="00ED5F67" w:rsidP="00993052">
      <w:pPr>
        <w:tabs>
          <w:tab w:val="left" w:pos="2268"/>
        </w:tabs>
        <w:spacing w:before="120" w:after="120"/>
        <w:ind w:left="1134" w:right="1134"/>
        <w:jc w:val="both"/>
        <w:rPr>
          <w:iCs/>
          <w:lang w:val="de-DE"/>
        </w:rPr>
      </w:pPr>
      <w:r w:rsidRPr="00DD2A86">
        <w:rPr>
          <w:lang w:val="de-DE"/>
        </w:rPr>
        <w:t>1.2.1</w:t>
      </w:r>
      <w:r w:rsidRPr="00DD2A86">
        <w:rPr>
          <w:lang w:val="de-DE"/>
        </w:rPr>
        <w:tab/>
      </w:r>
      <w:r w:rsidRPr="00DD2A86">
        <w:rPr>
          <w:iCs/>
          <w:lang w:val="de-DE"/>
        </w:rPr>
        <w:t>In der Begriffsbestimmung von „</w:t>
      </w:r>
      <w:r w:rsidRPr="00DD2A86">
        <w:rPr>
          <w:b/>
          <w:i/>
          <w:iCs/>
          <w:lang w:val="de-DE"/>
        </w:rPr>
        <w:t>Kontrolltemperatur“</w:t>
      </w:r>
      <w:r w:rsidRPr="00DD2A86">
        <w:rPr>
          <w:iCs/>
          <w:lang w:val="de-DE"/>
        </w:rPr>
        <w:t xml:space="preserve"> „oder der selbstzersetzliche Stoff“ ändern in: „, der selbstzersetzliche Stoff oder der polymerisierende Stoff“.</w:t>
      </w:r>
    </w:p>
    <w:p w:rsidR="001940C1" w:rsidRPr="00DD2A86" w:rsidRDefault="001940C1" w:rsidP="001940C1">
      <w:pPr>
        <w:tabs>
          <w:tab w:val="left" w:pos="2268"/>
        </w:tabs>
        <w:spacing w:after="120"/>
        <w:ind w:left="1134" w:right="1134"/>
        <w:jc w:val="both"/>
        <w:rPr>
          <w:iCs/>
          <w:lang w:val="de-DE"/>
        </w:rPr>
      </w:pPr>
      <w:r w:rsidRPr="00DD2A86">
        <w:rPr>
          <w:iCs/>
          <w:lang w:val="de-DE"/>
        </w:rPr>
        <w:t>1.2.1</w:t>
      </w:r>
      <w:r w:rsidRPr="00DD2A86">
        <w:rPr>
          <w:iCs/>
          <w:lang w:val="de-DE"/>
        </w:rPr>
        <w:tab/>
        <w:t>In der Begriffsbestimmung von „</w:t>
      </w:r>
      <w:r w:rsidRPr="00DD2A86">
        <w:rPr>
          <w:b/>
          <w:i/>
          <w:iCs/>
          <w:lang w:val="de-DE"/>
        </w:rPr>
        <w:t>Kryo-Behälter</w:t>
      </w:r>
      <w:r w:rsidRPr="00DD2A86">
        <w:rPr>
          <w:iCs/>
          <w:lang w:val="de-DE"/>
        </w:rPr>
        <w:t>“ „mit einem Fassungsraum“ ändern in: „mit einem mit Wasser ausgeliterten Fassungsraum“.</w:t>
      </w:r>
    </w:p>
    <w:p w:rsidR="001940C1" w:rsidRPr="00DD2A86" w:rsidRDefault="001940C1" w:rsidP="001940C1">
      <w:pPr>
        <w:tabs>
          <w:tab w:val="left" w:pos="2268"/>
        </w:tabs>
        <w:spacing w:after="120"/>
        <w:ind w:left="1134" w:right="1134"/>
        <w:jc w:val="both"/>
        <w:rPr>
          <w:iCs/>
          <w:lang w:val="de-DE"/>
        </w:rPr>
      </w:pPr>
      <w:r w:rsidRPr="00DD2A86">
        <w:rPr>
          <w:lang w:val="de-DE"/>
        </w:rPr>
        <w:t>[Betrifft nur die deutsche Sprachfassung]</w:t>
      </w:r>
    </w:p>
    <w:p w:rsidR="001940C1" w:rsidRPr="00DD2A86" w:rsidRDefault="001940C1" w:rsidP="001940C1">
      <w:pPr>
        <w:tabs>
          <w:tab w:val="left" w:pos="2268"/>
        </w:tabs>
        <w:spacing w:before="240"/>
        <w:ind w:left="1418" w:right="1134" w:hanging="284"/>
        <w:jc w:val="both"/>
        <w:rPr>
          <w:b/>
          <w:i/>
          <w:iCs/>
          <w:lang w:val="de-DE" w:eastAsia="de-DE" w:bidi="de-DE"/>
        </w:rPr>
      </w:pPr>
      <w:r w:rsidRPr="00DD2A86">
        <w:rPr>
          <w:iCs/>
          <w:lang w:val="de-DE" w:eastAsia="de-DE" w:bidi="de-DE"/>
        </w:rPr>
        <w:t>1.2.1</w:t>
      </w:r>
      <w:r w:rsidRPr="00DD2A86">
        <w:rPr>
          <w:iCs/>
          <w:lang w:val="de-DE" w:eastAsia="de-DE" w:bidi="de-DE"/>
        </w:rPr>
        <w:tab/>
        <w:t>In der Begriffsbestimmung für „</w:t>
      </w:r>
      <w:r w:rsidRPr="00DD2A86">
        <w:rPr>
          <w:b/>
          <w:i/>
          <w:iCs/>
          <w:lang w:val="de-DE" w:eastAsia="de-DE" w:bidi="de-DE"/>
        </w:rPr>
        <w:t>Laderaum“:</w:t>
      </w:r>
    </w:p>
    <w:p w:rsidR="001940C1" w:rsidRPr="00DD2A86" w:rsidRDefault="001940C1" w:rsidP="001940C1">
      <w:pPr>
        <w:tabs>
          <w:tab w:val="left" w:pos="2268"/>
        </w:tabs>
        <w:ind w:left="1418" w:right="1134" w:hanging="284"/>
        <w:jc w:val="both"/>
        <w:rPr>
          <w:lang w:val="de-DE" w:eastAsia="de-DE"/>
        </w:rPr>
      </w:pPr>
      <w:r w:rsidRPr="00DD2A86">
        <w:rPr>
          <w:lang w:val="de-DE" w:eastAsia="de-DE"/>
        </w:rPr>
        <w:t xml:space="preserve">- </w:t>
      </w:r>
      <w:r w:rsidRPr="00DD2A86">
        <w:rPr>
          <w:lang w:val="de-DE" w:eastAsia="de-DE"/>
        </w:rPr>
        <w:tab/>
        <w:t>am Anfang den Satz zwischen Klammern streichen: „(wenn Explosionsschutz gefordert wird, vergleichbar Zone 1)“.</w:t>
      </w:r>
    </w:p>
    <w:p w:rsidR="004F7853" w:rsidRPr="00DD2A86" w:rsidRDefault="004F7853" w:rsidP="00B61A90">
      <w:pPr>
        <w:tabs>
          <w:tab w:val="left" w:pos="2268"/>
        </w:tabs>
        <w:spacing w:before="240"/>
        <w:ind w:left="1418" w:right="1134" w:hanging="284"/>
        <w:jc w:val="both"/>
        <w:rPr>
          <w:b/>
          <w:i/>
          <w:iCs/>
          <w:lang w:val="de-DE" w:eastAsia="de-DE" w:bidi="de-DE"/>
        </w:rPr>
      </w:pPr>
      <w:r w:rsidRPr="00DD2A86">
        <w:rPr>
          <w:iCs/>
          <w:lang w:val="de-DE" w:eastAsia="de-DE" w:bidi="de-DE"/>
        </w:rPr>
        <w:t>1.2.1</w:t>
      </w:r>
      <w:r w:rsidRPr="00DD2A86">
        <w:rPr>
          <w:iCs/>
          <w:lang w:val="de-DE" w:eastAsia="de-DE" w:bidi="de-DE"/>
        </w:rPr>
        <w:tab/>
        <w:t>In der Begriffsbestimmung für „</w:t>
      </w:r>
      <w:r w:rsidRPr="00DD2A86">
        <w:rPr>
          <w:b/>
          <w:i/>
          <w:iCs/>
          <w:lang w:val="de-DE" w:eastAsia="de-DE" w:bidi="de-DE"/>
        </w:rPr>
        <w:t>Ladetank“:</w:t>
      </w:r>
    </w:p>
    <w:p w:rsidR="004F7853" w:rsidRPr="00DD2A86" w:rsidRDefault="004F7853" w:rsidP="00B61A90">
      <w:pPr>
        <w:tabs>
          <w:tab w:val="left" w:pos="2268"/>
        </w:tabs>
        <w:ind w:left="1418" w:right="1134" w:hanging="284"/>
        <w:jc w:val="both"/>
        <w:rPr>
          <w:lang w:val="de-DE" w:eastAsia="de-DE"/>
        </w:rPr>
      </w:pPr>
      <w:r w:rsidRPr="00DD2A86">
        <w:rPr>
          <w:lang w:val="de-DE" w:eastAsia="de-DE"/>
        </w:rPr>
        <w:t xml:space="preserve">- </w:t>
      </w:r>
      <w:r w:rsidRPr="00DD2A86">
        <w:rPr>
          <w:lang w:val="de-DE" w:eastAsia="de-DE"/>
        </w:rPr>
        <w:tab/>
        <w:t>am Anfang den Satz zwischen Klammern streichen: „(wenn Explosionsschutz gefordert wird, vergleichbar Zone 0)</w:t>
      </w:r>
      <w:r w:rsidR="00B126C1" w:rsidRPr="00DD2A86">
        <w:rPr>
          <w:lang w:val="de-DE" w:eastAsia="de-DE"/>
        </w:rPr>
        <w:t>“</w:t>
      </w:r>
      <w:r w:rsidRPr="00DD2A86">
        <w:rPr>
          <w:lang w:val="de-DE" w:eastAsia="de-DE"/>
        </w:rPr>
        <w:t>.</w:t>
      </w:r>
    </w:p>
    <w:p w:rsidR="00761D8C" w:rsidRPr="00DD2A86" w:rsidRDefault="00761D8C" w:rsidP="00761D8C">
      <w:pPr>
        <w:tabs>
          <w:tab w:val="left" w:pos="2268"/>
        </w:tabs>
        <w:kinsoku w:val="0"/>
        <w:overflowPunct w:val="0"/>
        <w:autoSpaceDE w:val="0"/>
        <w:autoSpaceDN w:val="0"/>
        <w:adjustRightInd w:val="0"/>
        <w:snapToGrid w:val="0"/>
        <w:spacing w:before="120" w:after="120"/>
        <w:ind w:left="1134" w:right="1134"/>
        <w:jc w:val="both"/>
        <w:rPr>
          <w:rFonts w:eastAsiaTheme="minorHAnsi"/>
          <w:lang w:val="de-DE"/>
        </w:rPr>
      </w:pPr>
      <w:r w:rsidRPr="00DD2A86">
        <w:rPr>
          <w:rFonts w:eastAsiaTheme="minorHAnsi"/>
          <w:lang w:val="de-DE"/>
        </w:rPr>
        <w:t>1.2.1</w:t>
      </w:r>
      <w:r w:rsidRPr="00DD2A86">
        <w:rPr>
          <w:rFonts w:eastAsiaTheme="minorHAnsi"/>
          <w:lang w:val="de-DE"/>
        </w:rPr>
        <w:tab/>
        <w:t xml:space="preserve">In der Begriffsbestimmung für </w:t>
      </w:r>
      <w:r w:rsidRPr="00DD2A86">
        <w:rPr>
          <w:rFonts w:eastAsiaTheme="minorHAnsi"/>
          <w:b/>
          <w:lang w:val="de-DE"/>
        </w:rPr>
        <w:t>„</w:t>
      </w:r>
      <w:r w:rsidRPr="00DD2A86">
        <w:rPr>
          <w:rFonts w:eastAsia="Calibri"/>
          <w:b/>
          <w:bCs/>
          <w:i/>
          <w:iCs/>
          <w:szCs w:val="18"/>
          <w:lang w:val="de-DE" w:eastAsia="zh-CN" w:bidi="hi-IN"/>
        </w:rPr>
        <w:t>Ladetank (gasfrei)“</w:t>
      </w:r>
      <w:r w:rsidRPr="00DD2A86">
        <w:rPr>
          <w:rFonts w:eastAsia="Calibri"/>
          <w:bCs/>
          <w:i/>
          <w:iCs/>
          <w:szCs w:val="18"/>
          <w:lang w:val="de-DE" w:eastAsia="zh-CN" w:bidi="hi-IN"/>
        </w:rPr>
        <w:t xml:space="preserve"> „</w:t>
      </w:r>
      <w:r w:rsidRPr="00DD2A86">
        <w:rPr>
          <w:rFonts w:eastAsia="Calibri"/>
          <w:szCs w:val="18"/>
          <w:lang w:val="de-DE" w:eastAsia="zh-CN" w:bidi="hi-IN"/>
        </w:rPr>
        <w:t>Konzentration gefährlicher Gase“ ändern in: „Konzentration gefährlicher Gase und Dämpfe“.</w:t>
      </w:r>
    </w:p>
    <w:p w:rsidR="000A7B35" w:rsidRPr="00DD2A86" w:rsidRDefault="000A7B35" w:rsidP="004953A8">
      <w:pPr>
        <w:tabs>
          <w:tab w:val="left" w:pos="2268"/>
        </w:tabs>
        <w:spacing w:before="120" w:after="120"/>
        <w:ind w:left="1134" w:right="1134"/>
        <w:jc w:val="both"/>
        <w:rPr>
          <w:iCs/>
          <w:lang w:val="de-DE"/>
        </w:rPr>
      </w:pPr>
      <w:r w:rsidRPr="00DD2A86">
        <w:rPr>
          <w:lang w:val="de-DE"/>
        </w:rPr>
        <w:t>1.2.1</w:t>
      </w:r>
      <w:r w:rsidRPr="00DD2A86">
        <w:rPr>
          <w:lang w:val="de-DE"/>
        </w:rPr>
        <w:tab/>
      </w:r>
      <w:r w:rsidRPr="00DD2A86">
        <w:rPr>
          <w:iCs/>
          <w:lang w:val="de-DE"/>
        </w:rPr>
        <w:t xml:space="preserve">[Die Änderung der Begriffsbestimmung von </w:t>
      </w:r>
      <w:r w:rsidRPr="00DD2A86">
        <w:rPr>
          <w:b/>
          <w:i/>
          <w:iCs/>
          <w:lang w:val="de-DE"/>
        </w:rPr>
        <w:t>„Ladungsreste</w:t>
      </w:r>
      <w:r w:rsidRPr="00DD2A86">
        <w:rPr>
          <w:b/>
          <w:bCs/>
          <w:i/>
          <w:iCs/>
          <w:lang w:val="de-DE"/>
        </w:rPr>
        <w:t>“</w:t>
      </w:r>
      <w:r w:rsidRPr="00DD2A86">
        <w:rPr>
          <w:bCs/>
          <w:iCs/>
          <w:lang w:val="de-DE"/>
        </w:rPr>
        <w:t xml:space="preserve"> („Restes de cargaison“) </w:t>
      </w:r>
      <w:r w:rsidRPr="00DD2A86">
        <w:rPr>
          <w:iCs/>
          <w:lang w:val="de-DE"/>
        </w:rPr>
        <w:t>in der französischen Fassung hat keine Auswirkungen auf den deutschen Text.]</w:t>
      </w:r>
    </w:p>
    <w:p w:rsidR="00F16EC8" w:rsidRPr="00DD2A86" w:rsidRDefault="00F16EC8" w:rsidP="00C56929">
      <w:pPr>
        <w:tabs>
          <w:tab w:val="left" w:pos="2268"/>
        </w:tabs>
        <w:spacing w:after="120"/>
        <w:ind w:left="1134" w:right="1134"/>
        <w:jc w:val="both"/>
        <w:rPr>
          <w:lang w:val="de-DE"/>
        </w:rPr>
      </w:pPr>
      <w:r w:rsidRPr="00DD2A86">
        <w:rPr>
          <w:lang w:val="de-DE"/>
        </w:rPr>
        <w:t>1.2.1</w:t>
      </w:r>
      <w:r w:rsidRPr="00DD2A86">
        <w:rPr>
          <w:lang w:val="de-DE"/>
        </w:rPr>
        <w:tab/>
        <w:t>Die Begriffsbestimmung von „</w:t>
      </w:r>
      <w:r w:rsidRPr="00DD2A86">
        <w:rPr>
          <w:b/>
          <w:i/>
          <w:lang w:val="de-DE"/>
        </w:rPr>
        <w:t>Luftdicht verschlossener Tank</w:t>
      </w:r>
      <w:r w:rsidRPr="00DD2A86">
        <w:rPr>
          <w:lang w:val="de-DE"/>
        </w:rPr>
        <w:t>“ erhält folgenden Wortlaut:</w:t>
      </w:r>
    </w:p>
    <w:p w:rsidR="00F16EC8" w:rsidRPr="00DD2A86" w:rsidRDefault="00F16EC8" w:rsidP="00F16EC8">
      <w:pPr>
        <w:tabs>
          <w:tab w:val="left" w:pos="1843"/>
        </w:tabs>
        <w:suppressAutoHyphens w:val="0"/>
        <w:spacing w:line="240" w:lineRule="auto"/>
        <w:ind w:left="1134"/>
        <w:jc w:val="both"/>
        <w:rPr>
          <w:lang w:val="de-DE"/>
        </w:rPr>
      </w:pPr>
      <w:r w:rsidRPr="00DD2A86">
        <w:rPr>
          <w:lang w:val="de-DE"/>
        </w:rPr>
        <w:t>„</w:t>
      </w:r>
      <w:r w:rsidRPr="00DD2A86">
        <w:rPr>
          <w:b/>
          <w:i/>
          <w:lang w:val="de-DE"/>
        </w:rPr>
        <w:t>Luftdicht</w:t>
      </w:r>
      <w:r w:rsidRPr="00DD2A86">
        <w:rPr>
          <w:lang w:val="de-DE"/>
        </w:rPr>
        <w:t xml:space="preserve"> </w:t>
      </w:r>
      <w:r w:rsidRPr="00DD2A86">
        <w:rPr>
          <w:b/>
          <w:i/>
          <w:lang w:val="de-DE"/>
        </w:rPr>
        <w:t>verschlossener</w:t>
      </w:r>
      <w:r w:rsidRPr="00DD2A86">
        <w:rPr>
          <w:lang w:val="de-DE"/>
        </w:rPr>
        <w:t xml:space="preserve"> </w:t>
      </w:r>
      <w:r w:rsidRPr="00DD2A86">
        <w:rPr>
          <w:b/>
          <w:i/>
          <w:lang w:val="de-DE"/>
        </w:rPr>
        <w:t>Tank</w:t>
      </w:r>
      <w:r w:rsidRPr="00DD2A86">
        <w:rPr>
          <w:lang w:val="de-DE"/>
        </w:rPr>
        <w:t>: Ein Tank, der</w:t>
      </w:r>
    </w:p>
    <w:p w:rsidR="00F16EC8" w:rsidRPr="00DD2A86" w:rsidRDefault="00F16EC8" w:rsidP="00F16EC8">
      <w:pPr>
        <w:tabs>
          <w:tab w:val="left" w:pos="1400"/>
          <w:tab w:val="left" w:pos="1701"/>
        </w:tabs>
        <w:suppressAutoHyphens w:val="0"/>
        <w:spacing w:before="60" w:line="240" w:lineRule="auto"/>
        <w:ind w:left="1701" w:right="1134" w:hanging="283"/>
        <w:jc w:val="both"/>
        <w:rPr>
          <w:lang w:val="de-DE"/>
        </w:rPr>
      </w:pPr>
      <w:r w:rsidRPr="00DD2A86">
        <w:rPr>
          <w:lang w:val="de-DE"/>
        </w:rPr>
        <w:t>–</w:t>
      </w:r>
      <w:r w:rsidRPr="00DD2A86">
        <w:rPr>
          <w:lang w:val="de-DE"/>
        </w:rPr>
        <w:tab/>
        <w:t>nicht mit Sicherheitsventilen, Berstscheiben, anderen ähnlichen Sicherheitseinrichtungen oder Vakuumventilen ausgerüstet ist oder</w:t>
      </w:r>
    </w:p>
    <w:p w:rsidR="00F16EC8" w:rsidRPr="00DD2A86" w:rsidRDefault="00F16EC8" w:rsidP="00F16EC8">
      <w:pPr>
        <w:tabs>
          <w:tab w:val="left" w:pos="1400"/>
          <w:tab w:val="left" w:pos="1701"/>
        </w:tabs>
        <w:suppressAutoHyphens w:val="0"/>
        <w:spacing w:before="60" w:line="240" w:lineRule="auto"/>
        <w:ind w:left="1701" w:right="1134" w:hanging="283"/>
        <w:jc w:val="both"/>
        <w:rPr>
          <w:lang w:val="de-DE"/>
        </w:rPr>
      </w:pPr>
      <w:r w:rsidRPr="00DD2A86">
        <w:rPr>
          <w:lang w:val="de-DE"/>
        </w:rPr>
        <w:t>–</w:t>
      </w:r>
      <w:r w:rsidRPr="00DD2A86">
        <w:rPr>
          <w:lang w:val="de-DE"/>
        </w:rPr>
        <w:tab/>
        <w:t>mit Sicherheitsventilen, denen gemäß Absatz 6.8.2.2.10 des ADR eine Berstscheibe vorgeschaltet ist, nicht jedoch mit Vakuumventilen ausgerüstet ist.</w:t>
      </w:r>
    </w:p>
    <w:p w:rsidR="00F16EC8" w:rsidRPr="00DD2A86" w:rsidRDefault="00F16EC8" w:rsidP="00F16EC8">
      <w:pPr>
        <w:tabs>
          <w:tab w:val="left" w:pos="1418"/>
          <w:tab w:val="left" w:pos="1701"/>
        </w:tabs>
        <w:suppressAutoHyphens w:val="0"/>
        <w:spacing w:before="60" w:line="240" w:lineRule="auto"/>
        <w:ind w:left="1418" w:right="1134"/>
        <w:jc w:val="both"/>
        <w:rPr>
          <w:lang w:val="de-DE"/>
        </w:rPr>
      </w:pPr>
      <w:r w:rsidRPr="00DD2A86">
        <w:rPr>
          <w:lang w:val="de-DE"/>
        </w:rPr>
        <w:t>Ein Tank für die Beförderung flüssiger Stoffe mit einem Berechnungsdruck von mindestens 4 bar oder für die Beförderung fester (pulverförmiger oder körniger) Stoffe ungeachtet seines Berechnungsdrucks gilt ebenfalls als luftdicht verschlossen, wenn er</w:t>
      </w:r>
    </w:p>
    <w:p w:rsidR="00F16EC8" w:rsidRPr="00DD2A86" w:rsidRDefault="00F16EC8" w:rsidP="00F16EC8">
      <w:pPr>
        <w:tabs>
          <w:tab w:val="left" w:pos="1418"/>
          <w:tab w:val="left" w:pos="1701"/>
        </w:tabs>
        <w:suppressAutoHyphens w:val="0"/>
        <w:spacing w:before="60" w:line="240" w:lineRule="auto"/>
        <w:ind w:left="1701" w:right="1134" w:hanging="283"/>
        <w:jc w:val="both"/>
        <w:rPr>
          <w:lang w:val="de-DE"/>
        </w:rPr>
      </w:pPr>
      <w:r w:rsidRPr="00DD2A86">
        <w:rPr>
          <w:lang w:val="de-DE"/>
        </w:rPr>
        <w:t>–</w:t>
      </w:r>
      <w:r w:rsidRPr="00DD2A86">
        <w:rPr>
          <w:lang w:val="de-DE"/>
        </w:rPr>
        <w:tab/>
        <w:t>mit Sicherheitsventilen, denen gemäß Absatz 6.8.2.2.10 des ADR eine Berstscheibe vorgeschaltet ist, und mit Vakuumventilen ausgerüstet ist, die dem Absatz 6.8.2.2.3 des ADR entsprechen, oder</w:t>
      </w:r>
    </w:p>
    <w:p w:rsidR="00F16EC8" w:rsidRPr="00DD2A86" w:rsidRDefault="00F16EC8" w:rsidP="00F16EC8">
      <w:pPr>
        <w:tabs>
          <w:tab w:val="left" w:pos="1418"/>
          <w:tab w:val="left" w:pos="1701"/>
        </w:tabs>
        <w:suppressAutoHyphens w:val="0"/>
        <w:spacing w:before="60" w:line="240" w:lineRule="auto"/>
        <w:ind w:left="1701" w:right="1134" w:hanging="283"/>
        <w:jc w:val="both"/>
        <w:rPr>
          <w:lang w:val="de-DE"/>
        </w:rPr>
      </w:pPr>
      <w:r w:rsidRPr="00DD2A86">
        <w:rPr>
          <w:lang w:val="de-DE"/>
        </w:rPr>
        <w:t>–</w:t>
      </w:r>
      <w:r w:rsidRPr="00DD2A86">
        <w:rPr>
          <w:lang w:val="de-DE"/>
        </w:rPr>
        <w:tab/>
        <w:t>nicht mit Sicherheitsventilen, Berstscheiben oder anderen ähnlichen Sicherheitseinrichtungen, jedoch mit Vakuumventilen ausgerüstet ist, die dem Absatz 6.8.2.2.3 des ADR entsprechen.“.</w:t>
      </w:r>
    </w:p>
    <w:p w:rsidR="00283E6E" w:rsidRPr="00DD2A86" w:rsidRDefault="00283E6E">
      <w:pPr>
        <w:suppressAutoHyphens w:val="0"/>
        <w:spacing w:line="240" w:lineRule="auto"/>
        <w:rPr>
          <w:rFonts w:eastAsia="Calibri"/>
          <w:iCs/>
          <w:lang w:val="de-DE" w:bidi="de-DE"/>
        </w:rPr>
      </w:pPr>
      <w:r w:rsidRPr="00DD2A86">
        <w:rPr>
          <w:rFonts w:eastAsia="Calibri"/>
          <w:iCs/>
          <w:lang w:val="de-DE" w:bidi="de-DE"/>
        </w:rPr>
        <w:br w:type="page"/>
      </w:r>
    </w:p>
    <w:p w:rsidR="004F7853" w:rsidRPr="00DD2A86" w:rsidRDefault="004F7853" w:rsidP="00B61A90">
      <w:pPr>
        <w:tabs>
          <w:tab w:val="left" w:pos="2268"/>
        </w:tabs>
        <w:spacing w:before="240"/>
        <w:ind w:left="1418" w:right="1134" w:hanging="284"/>
        <w:jc w:val="both"/>
        <w:rPr>
          <w:rFonts w:eastAsia="Calibri"/>
          <w:b/>
          <w:i/>
          <w:iCs/>
          <w:lang w:val="de-DE" w:bidi="de-DE"/>
        </w:rPr>
      </w:pPr>
      <w:r w:rsidRPr="00DD2A86">
        <w:rPr>
          <w:rFonts w:eastAsia="Calibri"/>
          <w:iCs/>
          <w:lang w:val="de-DE" w:bidi="de-DE"/>
        </w:rPr>
        <w:t>1.2.1</w:t>
      </w:r>
      <w:r w:rsidRPr="00DD2A86">
        <w:rPr>
          <w:rFonts w:eastAsia="Calibri"/>
          <w:iCs/>
          <w:lang w:val="de-DE" w:bidi="de-DE"/>
        </w:rPr>
        <w:tab/>
        <w:t>In der Begriffsbestimmung für „</w:t>
      </w:r>
      <w:r w:rsidRPr="00DD2A86">
        <w:rPr>
          <w:rFonts w:eastAsia="Calibri"/>
          <w:b/>
          <w:i/>
          <w:iCs/>
          <w:lang w:val="de-DE" w:bidi="de-DE"/>
        </w:rPr>
        <w:t>Öffnungsdruck“:</w:t>
      </w:r>
    </w:p>
    <w:p w:rsidR="004F7853" w:rsidRPr="00DD2A86" w:rsidRDefault="004F7853" w:rsidP="00B61A90">
      <w:pPr>
        <w:tabs>
          <w:tab w:val="left" w:pos="2268"/>
        </w:tabs>
        <w:ind w:left="1418" w:right="1134" w:hanging="284"/>
        <w:jc w:val="both"/>
        <w:rPr>
          <w:rFonts w:eastAsia="Calibri"/>
          <w:bCs/>
          <w:iCs/>
          <w:lang w:val="de-DE"/>
        </w:rPr>
      </w:pPr>
      <w:r w:rsidRPr="00DD2A86">
        <w:rPr>
          <w:rFonts w:eastAsia="Calibri"/>
          <w:bCs/>
          <w:iCs/>
          <w:lang w:val="de-DE"/>
        </w:rPr>
        <w:t xml:space="preserve">- </w:t>
      </w:r>
      <w:r w:rsidRPr="00DD2A86">
        <w:rPr>
          <w:rFonts w:eastAsia="Calibri"/>
          <w:bCs/>
          <w:iCs/>
          <w:lang w:val="de-DE"/>
        </w:rPr>
        <w:tab/>
        <w:t>im ersten Satz „Kapitel 3.2 Tabelle C“ ändern in: „Unterabschnitt 3.2.3.2 Tabelle C Spalte (10),“.</w:t>
      </w:r>
    </w:p>
    <w:p w:rsidR="004F7853" w:rsidRPr="00DD2A86" w:rsidRDefault="004F7853" w:rsidP="00B61A90">
      <w:pPr>
        <w:tabs>
          <w:tab w:val="left" w:pos="2268"/>
        </w:tabs>
        <w:ind w:left="1418" w:right="1134" w:hanging="284"/>
        <w:jc w:val="both"/>
        <w:rPr>
          <w:rFonts w:eastAsia="Calibri"/>
          <w:lang w:val="de-DE"/>
        </w:rPr>
      </w:pPr>
      <w:r w:rsidRPr="00DD2A86">
        <w:rPr>
          <w:rFonts w:eastAsia="Calibri"/>
          <w:lang w:val="de-DE"/>
        </w:rPr>
        <w:t>-</w:t>
      </w:r>
      <w:r w:rsidRPr="00DD2A86">
        <w:rPr>
          <w:rFonts w:eastAsia="Calibri"/>
          <w:lang w:val="de-DE"/>
        </w:rPr>
        <w:tab/>
        <w:t>im ersten Satz „Hochgeschwindigkeitsventil“ ändern in: „Überdruck-/Hochgeschwindigkeitsventil“.</w:t>
      </w:r>
    </w:p>
    <w:p w:rsidR="004F7853" w:rsidRPr="00DD2A86" w:rsidRDefault="004F7853" w:rsidP="00B61A90">
      <w:pPr>
        <w:tabs>
          <w:tab w:val="left" w:pos="2268"/>
        </w:tabs>
        <w:spacing w:before="240"/>
        <w:ind w:left="1134" w:right="1134"/>
        <w:jc w:val="both"/>
        <w:rPr>
          <w:rFonts w:eastAsia="Calibri"/>
          <w:bCs/>
          <w:iCs/>
          <w:lang w:val="de-DE" w:bidi="de-DE"/>
        </w:rPr>
      </w:pPr>
      <w:r w:rsidRPr="00DD2A86">
        <w:rPr>
          <w:rFonts w:eastAsia="Calibri"/>
          <w:bCs/>
          <w:iCs/>
          <w:lang w:val="de-DE" w:bidi="de-DE"/>
        </w:rPr>
        <w:t>1.2.1</w:t>
      </w:r>
      <w:r w:rsidRPr="00DD2A86">
        <w:rPr>
          <w:rFonts w:eastAsia="Calibri"/>
          <w:bCs/>
          <w:iCs/>
          <w:lang w:val="de-DE" w:bidi="de-DE"/>
        </w:rPr>
        <w:tab/>
        <w:t>Die Begriffsbestimmung für „</w:t>
      </w:r>
      <w:r w:rsidRPr="00DD2A86">
        <w:rPr>
          <w:rFonts w:eastAsia="Calibri"/>
          <w:b/>
          <w:bCs/>
          <w:i/>
          <w:iCs/>
          <w:lang w:val="de-DE" w:bidi="de-DE"/>
        </w:rPr>
        <w:t>Probeentnahmeöffnung</w:t>
      </w:r>
      <w:r w:rsidRPr="00DD2A86">
        <w:rPr>
          <w:rFonts w:eastAsia="Calibri"/>
          <w:bCs/>
          <w:iCs/>
          <w:lang w:val="de-DE" w:bidi="de-DE"/>
        </w:rPr>
        <w:t>“ erhält folgenden Wortlaut:</w:t>
      </w:r>
    </w:p>
    <w:p w:rsidR="004F7853" w:rsidRPr="00DD2A86" w:rsidRDefault="004F7853" w:rsidP="00C56929">
      <w:pPr>
        <w:suppressAutoHyphens w:val="0"/>
        <w:autoSpaceDE w:val="0"/>
        <w:autoSpaceDN w:val="0"/>
        <w:adjustRightInd w:val="0"/>
        <w:spacing w:before="60" w:after="120" w:line="276" w:lineRule="auto"/>
        <w:ind w:left="1134" w:right="1134"/>
        <w:jc w:val="both"/>
        <w:rPr>
          <w:rFonts w:eastAsia="Calibri"/>
          <w:bCs/>
          <w:iCs/>
          <w:lang w:val="de-DE"/>
        </w:rPr>
      </w:pPr>
      <w:r w:rsidRPr="00DD2A86">
        <w:rPr>
          <w:rFonts w:eastAsia="Calibri"/>
          <w:b/>
          <w:bCs/>
          <w:i/>
          <w:iCs/>
          <w:lang w:val="de-DE"/>
        </w:rPr>
        <w:t xml:space="preserve">„Probeentnahmeöffnung: </w:t>
      </w:r>
      <w:r w:rsidRPr="00DD2A86">
        <w:rPr>
          <w:rFonts w:eastAsia="Calibri"/>
          <w:bCs/>
          <w:iCs/>
          <w:lang w:val="de-DE"/>
        </w:rPr>
        <w:t>Eine verschließbare Öffnung des Ladetanks mit einem Durchmesser von höchstens 0,30 m. Wenn die Schiffsstoffliste nach Absatz 1.16.1.2.5 Stoffe enthält, für die in Unterabschnitt 3.2.3.2 Tabelle C Spalte (17) Explosionsschutz gefordert ist, muss sie deflagrations- und dauerbrandsicher für den kritischsten Stoff der Schiffstoffliste ausgeführt sein, eine möglichst kurze Öffnungsdauer ermöglichen, und so beschaffen sein, dass sie nicht ohne äußere</w:t>
      </w:r>
      <w:r w:rsidR="00BA6562" w:rsidRPr="00DD2A86">
        <w:rPr>
          <w:rFonts w:eastAsia="Calibri"/>
          <w:bCs/>
          <w:iCs/>
          <w:lang w:val="de-DE"/>
        </w:rPr>
        <w:t xml:space="preserve"> Einwirkung offen bleiben kann.</w:t>
      </w:r>
    </w:p>
    <w:p w:rsidR="004F7853" w:rsidRPr="00DD2A86" w:rsidRDefault="004F7853" w:rsidP="00B61A90">
      <w:pPr>
        <w:tabs>
          <w:tab w:val="left" w:pos="2268"/>
        </w:tabs>
        <w:ind w:left="1134" w:right="1134"/>
        <w:jc w:val="both"/>
        <w:rPr>
          <w:rFonts w:eastAsia="Calibri"/>
          <w:lang w:val="de-DE"/>
        </w:rPr>
      </w:pPr>
      <w:r w:rsidRPr="00DD2A86">
        <w:rPr>
          <w:rFonts w:eastAsia="Calibri"/>
          <w:lang w:val="de-DE"/>
        </w:rPr>
        <w:t>Die Deflagrationssicherheit muss nach der internationalen Norm ISO 16852:201</w:t>
      </w:r>
      <w:r w:rsidR="00D811E7" w:rsidRPr="00DD2A86">
        <w:rPr>
          <w:rFonts w:eastAsia="Calibri"/>
          <w:lang w:val="de-DE"/>
        </w:rPr>
        <w:t>6</w:t>
      </w:r>
      <w:r w:rsidRPr="00DD2A86">
        <w:rPr>
          <w:rFonts w:eastAsia="Calibri"/>
          <w:vertAlign w:val="superscript"/>
          <w:lang w:val="de-DE"/>
        </w:rPr>
        <w:footnoteReference w:id="17"/>
      </w:r>
      <w:r w:rsidRPr="00DD2A86">
        <w:rPr>
          <w:rFonts w:eastAsia="Calibri"/>
          <w:vertAlign w:val="superscript"/>
          <w:lang w:val="de-DE"/>
        </w:rPr>
        <w:t>)</w:t>
      </w:r>
      <w:r w:rsidRPr="00DD2A86">
        <w:rPr>
          <w:rFonts w:eastAsia="Calibri"/>
          <w:lang w:val="de-DE"/>
        </w:rPr>
        <w:t xml:space="preserve"> geprüft sein und es muss nachgewiesen sein, dass sie den anwendbaren Anforderungen entspricht (</w:t>
      </w:r>
      <w:r w:rsidR="00545FF2" w:rsidRPr="00DD2A86">
        <w:rPr>
          <w:rFonts w:eastAsia="Calibri"/>
          <w:lang w:val="de-DE"/>
        </w:rPr>
        <w:t>z.B.</w:t>
      </w:r>
      <w:r w:rsidRPr="00DD2A86">
        <w:rPr>
          <w:rFonts w:eastAsia="Calibri"/>
          <w:lang w:val="de-DE"/>
        </w:rPr>
        <w:t xml:space="preserve"> Konformitätsbewertungsverfahren nach Richtlinie </w:t>
      </w:r>
      <w:r w:rsidR="004E7BBC" w:rsidRPr="00DD2A86">
        <w:rPr>
          <w:rFonts w:eastAsia="Calibri"/>
          <w:lang w:val="de-DE"/>
        </w:rPr>
        <w:t>2014/34/EU</w:t>
      </w:r>
      <w:r w:rsidRPr="00DD2A86">
        <w:rPr>
          <w:rFonts w:eastAsia="Calibri"/>
          <w:vertAlign w:val="superscript"/>
          <w:lang w:val="de-DE"/>
        </w:rPr>
        <w:footnoteReference w:id="18"/>
      </w:r>
      <w:r w:rsidRPr="00DD2A86">
        <w:rPr>
          <w:rFonts w:eastAsia="Calibri"/>
          <w:vertAlign w:val="superscript"/>
          <w:lang w:val="de-DE"/>
        </w:rPr>
        <w:t>)</w:t>
      </w:r>
      <w:r w:rsidRPr="00DD2A86">
        <w:rPr>
          <w:rFonts w:eastAsia="Calibri"/>
          <w:lang w:val="de-DE"/>
        </w:rPr>
        <w:t>, oder ECE Trade 391</w:t>
      </w:r>
      <w:r w:rsidRPr="00DD2A86">
        <w:rPr>
          <w:rFonts w:eastAsia="Calibri"/>
          <w:vertAlign w:val="superscript"/>
          <w:lang w:val="de-DE"/>
        </w:rPr>
        <w:footnoteReference w:id="19"/>
      </w:r>
      <w:r w:rsidRPr="00DD2A86">
        <w:rPr>
          <w:rFonts w:eastAsia="Calibri"/>
          <w:vertAlign w:val="superscript"/>
          <w:lang w:val="de-DE"/>
        </w:rPr>
        <w:t xml:space="preserve">) </w:t>
      </w:r>
      <w:r w:rsidRPr="00DD2A86">
        <w:rPr>
          <w:rFonts w:eastAsia="Calibri"/>
          <w:lang w:val="de-DE"/>
        </w:rPr>
        <w:t>oder mindestens gleichwertig). Die Deflagrationssicherheit kann durch eine integrierte Flammensperre oder durch eine dauerbrandsichere Flammendurchschlagsicherung (Deflagrationsendsicherung) gewährleistet werden.“.</w:t>
      </w:r>
    </w:p>
    <w:p w:rsidR="00375305" w:rsidRPr="00DD2A86" w:rsidRDefault="00375305" w:rsidP="00993052">
      <w:pPr>
        <w:tabs>
          <w:tab w:val="left" w:pos="2268"/>
        </w:tabs>
        <w:spacing w:before="120" w:after="120"/>
        <w:ind w:left="1134" w:right="1134"/>
        <w:jc w:val="both"/>
        <w:rPr>
          <w:iCs/>
          <w:lang w:val="de-DE"/>
        </w:rPr>
      </w:pPr>
      <w:r w:rsidRPr="00DD2A86">
        <w:rPr>
          <w:iCs/>
          <w:lang w:val="de-DE"/>
        </w:rPr>
        <w:t>1.2.1</w:t>
      </w:r>
      <w:r w:rsidRPr="00DD2A86">
        <w:rPr>
          <w:iCs/>
          <w:lang w:val="de-DE"/>
        </w:rPr>
        <w:tab/>
        <w:t>In der Begriffsbestimmung von „</w:t>
      </w:r>
      <w:r w:rsidRPr="00DD2A86">
        <w:rPr>
          <w:b/>
          <w:i/>
          <w:iCs/>
          <w:lang w:val="de-DE"/>
        </w:rPr>
        <w:t>Prüfstelle</w:t>
      </w:r>
      <w:r w:rsidRPr="00DD2A86">
        <w:rPr>
          <w:iCs/>
          <w:lang w:val="de-DE"/>
        </w:rPr>
        <w:t>“ „Inspektions- und Prüfstelle“ ändern in: „Prüfstelle“.</w:t>
      </w:r>
    </w:p>
    <w:p w:rsidR="00705CA9" w:rsidRPr="00DD2A86" w:rsidRDefault="00705CA9" w:rsidP="00375305">
      <w:pPr>
        <w:tabs>
          <w:tab w:val="left" w:pos="2268"/>
        </w:tabs>
        <w:spacing w:after="120"/>
        <w:ind w:left="1134" w:right="1134"/>
        <w:jc w:val="both"/>
        <w:rPr>
          <w:iCs/>
          <w:lang w:val="de-DE"/>
        </w:rPr>
      </w:pPr>
      <w:r w:rsidRPr="00DD2A86">
        <w:rPr>
          <w:lang w:val="de-DE"/>
        </w:rPr>
        <w:t>[Betrifft nur die deutsche Sprachfassung]</w:t>
      </w:r>
    </w:p>
    <w:p w:rsidR="004F7853" w:rsidRPr="00DD2A86" w:rsidRDefault="004F7853" w:rsidP="00B61A90">
      <w:pPr>
        <w:tabs>
          <w:tab w:val="left" w:pos="2268"/>
        </w:tabs>
        <w:spacing w:before="240"/>
        <w:ind w:left="1418" w:right="1134" w:hanging="284"/>
        <w:jc w:val="both"/>
        <w:rPr>
          <w:rFonts w:eastAsia="Calibri"/>
          <w:b/>
          <w:i/>
          <w:iCs/>
          <w:lang w:val="de-DE" w:bidi="de-DE"/>
        </w:rPr>
      </w:pPr>
      <w:r w:rsidRPr="00DD2A86">
        <w:rPr>
          <w:rFonts w:eastAsia="Calibri"/>
          <w:iCs/>
          <w:lang w:val="de-DE" w:bidi="de-DE"/>
        </w:rPr>
        <w:t>1.2.1</w:t>
      </w:r>
      <w:r w:rsidRPr="00DD2A86">
        <w:rPr>
          <w:rFonts w:eastAsia="Calibri"/>
          <w:iCs/>
          <w:lang w:val="de-DE" w:bidi="de-DE"/>
        </w:rPr>
        <w:tab/>
        <w:t>In der Begriffsbestimmung für „</w:t>
      </w:r>
      <w:r w:rsidRPr="00DD2A86">
        <w:rPr>
          <w:rFonts w:eastAsia="Calibri"/>
          <w:b/>
          <w:i/>
          <w:iCs/>
          <w:lang w:val="de-DE" w:bidi="de-DE"/>
        </w:rPr>
        <w:t>Pumpenraum“:</w:t>
      </w:r>
    </w:p>
    <w:p w:rsidR="004F7853" w:rsidRPr="00DD2A86" w:rsidRDefault="004F7853" w:rsidP="00B61A90">
      <w:pPr>
        <w:tabs>
          <w:tab w:val="left" w:pos="2268"/>
        </w:tabs>
        <w:spacing w:before="60"/>
        <w:ind w:left="1418" w:right="1134" w:hanging="284"/>
        <w:jc w:val="both"/>
        <w:rPr>
          <w:rFonts w:eastAsia="Calibri"/>
          <w:bCs/>
          <w:iCs/>
          <w:lang w:val="de-DE"/>
        </w:rPr>
      </w:pPr>
      <w:r w:rsidRPr="00DD2A86">
        <w:rPr>
          <w:rFonts w:eastAsia="Calibri"/>
          <w:bCs/>
          <w:iCs/>
          <w:lang w:val="de-DE"/>
        </w:rPr>
        <w:t xml:space="preserve">- </w:t>
      </w:r>
      <w:r w:rsidRPr="00DD2A86">
        <w:rPr>
          <w:rFonts w:eastAsia="Calibri"/>
          <w:bCs/>
          <w:iCs/>
          <w:lang w:val="de-DE"/>
        </w:rPr>
        <w:tab/>
        <w:t>am Anfang den Satz in Klammern streichen: „(wenn Explosionsschutz gefordert wird, vergleichbar Zone 1)</w:t>
      </w:r>
      <w:r w:rsidR="001C2612" w:rsidRPr="00DD2A86">
        <w:rPr>
          <w:rFonts w:eastAsia="Calibri"/>
          <w:bCs/>
          <w:iCs/>
          <w:lang w:val="de-DE"/>
        </w:rPr>
        <w:t>“</w:t>
      </w:r>
      <w:r w:rsidRPr="00DD2A86">
        <w:rPr>
          <w:rFonts w:eastAsia="Calibri"/>
          <w:bCs/>
          <w:iCs/>
          <w:lang w:val="de-DE"/>
        </w:rPr>
        <w:t>.</w:t>
      </w:r>
    </w:p>
    <w:p w:rsidR="0004441E" w:rsidRPr="00DD2A86" w:rsidRDefault="0004441E" w:rsidP="0004441E">
      <w:pPr>
        <w:tabs>
          <w:tab w:val="left" w:pos="2268"/>
        </w:tabs>
        <w:spacing w:before="240"/>
        <w:ind w:left="1134" w:right="1134"/>
        <w:jc w:val="both"/>
        <w:rPr>
          <w:rFonts w:eastAsia="Calibri"/>
          <w:bCs/>
          <w:iCs/>
          <w:lang w:val="de-DE" w:bidi="de-DE"/>
        </w:rPr>
      </w:pPr>
      <w:r w:rsidRPr="00DD2A86">
        <w:rPr>
          <w:rFonts w:eastAsia="Calibri"/>
          <w:bCs/>
          <w:iCs/>
          <w:lang w:val="de-DE" w:bidi="de-DE"/>
        </w:rPr>
        <w:t>1.2.1</w:t>
      </w:r>
      <w:r w:rsidRPr="00DD2A86">
        <w:rPr>
          <w:rFonts w:eastAsia="Calibri"/>
          <w:bCs/>
          <w:iCs/>
          <w:lang w:val="de-DE" w:bidi="de-DE"/>
        </w:rPr>
        <w:tab/>
        <w:t>In der Begriffsbestimmung für „</w:t>
      </w:r>
      <w:r w:rsidRPr="00DD2A86">
        <w:rPr>
          <w:rFonts w:eastAsia="Calibri"/>
          <w:b/>
          <w:bCs/>
          <w:i/>
          <w:iCs/>
          <w:lang w:val="de-DE" w:bidi="de-DE"/>
        </w:rPr>
        <w:t>Restebehälter</w:t>
      </w:r>
      <w:r w:rsidRPr="00DD2A86">
        <w:rPr>
          <w:rFonts w:eastAsia="Calibri"/>
          <w:bCs/>
          <w:iCs/>
          <w:lang w:val="de-DE" w:bidi="de-DE"/>
        </w:rPr>
        <w:t>“</w:t>
      </w:r>
    </w:p>
    <w:p w:rsidR="0004441E" w:rsidRPr="00DD2A86" w:rsidRDefault="0004441E" w:rsidP="00C56929">
      <w:pPr>
        <w:tabs>
          <w:tab w:val="left" w:pos="1418"/>
          <w:tab w:val="left" w:pos="2552"/>
          <w:tab w:val="left" w:pos="6820"/>
        </w:tabs>
        <w:spacing w:before="120"/>
        <w:ind w:left="1134" w:right="1134"/>
        <w:jc w:val="both"/>
        <w:rPr>
          <w:rFonts w:eastAsia="Calibri"/>
          <w:bCs/>
          <w:iCs/>
          <w:lang w:val="de-DE" w:bidi="de-DE"/>
        </w:rPr>
      </w:pPr>
      <w:r w:rsidRPr="00DD2A86">
        <w:rPr>
          <w:rFonts w:eastAsia="Calibri"/>
          <w:bCs/>
          <w:iCs/>
          <w:lang w:val="de-DE" w:bidi="de-DE"/>
        </w:rPr>
        <w:t>-</w:t>
      </w:r>
      <w:r w:rsidRPr="00DD2A86">
        <w:rPr>
          <w:rFonts w:eastAsia="Calibri"/>
          <w:bCs/>
          <w:iCs/>
          <w:lang w:val="de-DE" w:bidi="de-DE"/>
        </w:rPr>
        <w:tab/>
        <w:t>Am Anfang des erst</w:t>
      </w:r>
      <w:r w:rsidR="00C56929" w:rsidRPr="00DD2A86">
        <w:rPr>
          <w:rFonts w:eastAsia="Calibri"/>
          <w:bCs/>
          <w:iCs/>
          <w:lang w:val="de-DE" w:bidi="de-DE"/>
        </w:rPr>
        <w:t>en Satzes löschen: „Ein Tank,“.</w:t>
      </w:r>
    </w:p>
    <w:p w:rsidR="0004441E" w:rsidRPr="00DD2A86" w:rsidRDefault="0004441E" w:rsidP="00C56929">
      <w:pPr>
        <w:tabs>
          <w:tab w:val="left" w:pos="1418"/>
          <w:tab w:val="left" w:pos="2552"/>
        </w:tabs>
        <w:spacing w:before="120"/>
        <w:ind w:left="1134" w:right="1134"/>
        <w:jc w:val="both"/>
        <w:rPr>
          <w:rFonts w:eastAsia="Calibri"/>
          <w:bCs/>
          <w:iCs/>
          <w:lang w:val="de-DE" w:bidi="de-DE"/>
        </w:rPr>
      </w:pPr>
      <w:r w:rsidRPr="00DD2A86">
        <w:rPr>
          <w:rFonts w:eastAsia="Calibri"/>
          <w:bCs/>
          <w:iCs/>
          <w:lang w:val="de-DE" w:bidi="de-DE"/>
        </w:rPr>
        <w:t>-</w:t>
      </w:r>
      <w:r w:rsidRPr="00DD2A86">
        <w:rPr>
          <w:rFonts w:eastAsia="Calibri"/>
          <w:bCs/>
          <w:iCs/>
          <w:lang w:val="de-DE" w:bidi="de-DE"/>
        </w:rPr>
        <w:tab/>
        <w:t>Folgenden neuen zweiten Satz am Ende hinzufügen:</w:t>
      </w:r>
    </w:p>
    <w:p w:rsidR="0004441E" w:rsidRPr="00DD2A86" w:rsidRDefault="0004441E" w:rsidP="00C56929">
      <w:pPr>
        <w:tabs>
          <w:tab w:val="left" w:pos="1418"/>
        </w:tabs>
        <w:spacing w:before="120"/>
        <w:ind w:left="1417" w:right="1134"/>
        <w:jc w:val="both"/>
        <w:rPr>
          <w:lang w:val="de-DE"/>
        </w:rPr>
      </w:pPr>
      <w:r w:rsidRPr="00DD2A86">
        <w:rPr>
          <w:rFonts w:eastAsia="Calibri"/>
          <w:bCs/>
          <w:iCs/>
          <w:lang w:val="de-DE" w:bidi="de-DE"/>
        </w:rPr>
        <w:t>„</w:t>
      </w:r>
      <w:r w:rsidRPr="00DD2A86">
        <w:rPr>
          <w:bCs/>
          <w:iCs/>
          <w:lang w:val="de-DE"/>
        </w:rPr>
        <w:t xml:space="preserve">Die Behälter müssen nach ADR, RID oder IMDG-Code zugelassen und für den betreffenden Stoff zulässig sein. </w:t>
      </w:r>
      <w:r w:rsidRPr="00DD2A86">
        <w:rPr>
          <w:lang w:val="de-DE"/>
        </w:rPr>
        <w:t>Der höchstzulässige Inhalt bei Großpackmitteln beträgt 3 m³, bei Tankcontainern und ortsbeweglichen Tanks 12 m³.“.</w:t>
      </w:r>
    </w:p>
    <w:p w:rsidR="00283E6E" w:rsidRPr="00DD2A86" w:rsidRDefault="00283E6E">
      <w:pPr>
        <w:suppressAutoHyphens w:val="0"/>
        <w:spacing w:line="240" w:lineRule="auto"/>
        <w:rPr>
          <w:rFonts w:eastAsia="Calibri"/>
          <w:bCs/>
          <w:iCs/>
          <w:lang w:val="de-DE" w:bidi="de-DE"/>
        </w:rPr>
      </w:pPr>
      <w:r w:rsidRPr="00DD2A86">
        <w:rPr>
          <w:rFonts w:eastAsia="Calibri"/>
          <w:bCs/>
          <w:iCs/>
          <w:lang w:val="de-DE" w:bidi="de-DE"/>
        </w:rPr>
        <w:br w:type="page"/>
      </w:r>
    </w:p>
    <w:p w:rsidR="004F7853" w:rsidRPr="00DD2A86" w:rsidRDefault="004F7853" w:rsidP="00B61A90">
      <w:pPr>
        <w:tabs>
          <w:tab w:val="left" w:pos="2268"/>
        </w:tabs>
        <w:spacing w:before="240"/>
        <w:ind w:left="1134" w:right="1134"/>
        <w:jc w:val="both"/>
        <w:rPr>
          <w:rFonts w:eastAsia="Calibri"/>
          <w:bCs/>
          <w:iCs/>
          <w:lang w:val="de-DE" w:bidi="de-DE"/>
        </w:rPr>
      </w:pPr>
      <w:r w:rsidRPr="00DD2A86">
        <w:rPr>
          <w:rFonts w:eastAsia="Calibri"/>
          <w:bCs/>
          <w:iCs/>
          <w:lang w:val="de-DE" w:bidi="de-DE"/>
        </w:rPr>
        <w:t>1.2.1</w:t>
      </w:r>
      <w:r w:rsidRPr="00DD2A86">
        <w:rPr>
          <w:rFonts w:eastAsia="Calibri"/>
          <w:bCs/>
          <w:iCs/>
          <w:lang w:val="de-DE" w:bidi="de-DE"/>
        </w:rPr>
        <w:tab/>
        <w:t>Die Begriffsbestimmung für „</w:t>
      </w:r>
      <w:r w:rsidRPr="00DD2A86">
        <w:rPr>
          <w:rFonts w:eastAsia="Calibri"/>
          <w:b/>
          <w:bCs/>
          <w:i/>
          <w:iCs/>
          <w:lang w:val="de-DE" w:bidi="de-DE"/>
        </w:rPr>
        <w:t>Sauerstoffmess</w:t>
      </w:r>
      <w:r w:rsidR="00A801B1" w:rsidRPr="00DD2A86">
        <w:rPr>
          <w:rFonts w:eastAsia="Calibri"/>
          <w:b/>
          <w:bCs/>
          <w:i/>
          <w:iCs/>
          <w:lang w:val="de-DE" w:bidi="de-DE"/>
        </w:rPr>
        <w:t>gerät</w:t>
      </w:r>
      <w:r w:rsidRPr="00DD2A86">
        <w:rPr>
          <w:rFonts w:eastAsia="Calibri"/>
          <w:bCs/>
          <w:iCs/>
          <w:lang w:val="de-DE" w:bidi="de-DE"/>
        </w:rPr>
        <w:t>“ erhält folgenden Wortlaut:</w:t>
      </w:r>
    </w:p>
    <w:p w:rsidR="004F7853" w:rsidRPr="00DD2A86" w:rsidRDefault="004F7853" w:rsidP="00B61A90">
      <w:pPr>
        <w:suppressAutoHyphens w:val="0"/>
        <w:autoSpaceDE w:val="0"/>
        <w:autoSpaceDN w:val="0"/>
        <w:adjustRightInd w:val="0"/>
        <w:spacing w:before="120" w:after="200" w:line="276" w:lineRule="auto"/>
        <w:ind w:left="1134" w:right="1134"/>
        <w:jc w:val="both"/>
        <w:rPr>
          <w:rFonts w:eastAsia="Calibri"/>
          <w:bCs/>
          <w:iCs/>
          <w:lang w:val="de-DE"/>
        </w:rPr>
      </w:pPr>
      <w:r w:rsidRPr="00DD2A86">
        <w:rPr>
          <w:rFonts w:eastAsia="Calibri"/>
          <w:b/>
          <w:bCs/>
          <w:i/>
          <w:iCs/>
          <w:lang w:val="de-DE"/>
        </w:rPr>
        <w:t xml:space="preserve">„Sauerstoffmessgerät: </w:t>
      </w:r>
      <w:r w:rsidRPr="00DD2A86">
        <w:rPr>
          <w:rFonts w:eastAsia="Calibri"/>
          <w:bCs/>
          <w:iCs/>
          <w:lang w:val="de-DE"/>
        </w:rPr>
        <w:t xml:space="preserve">Ein tragbares Gerät, mit dem jede bedeutsame Verminderung des Sauerstoffgehalts der Luft gemessen werden kann. Ein Sauerstoffmessgerät kann sowohl als Einzelmessgerät als auch als Kombinationsmessgerät zur Messung von Sauerstoff und </w:t>
      </w:r>
      <w:r w:rsidR="00F93E23" w:rsidRPr="00DD2A86">
        <w:rPr>
          <w:rFonts w:eastAsia="Calibri"/>
          <w:bCs/>
          <w:iCs/>
          <w:lang w:val="de-DE"/>
        </w:rPr>
        <w:t xml:space="preserve">brennbaren </w:t>
      </w:r>
      <w:r w:rsidRPr="00DD2A86">
        <w:rPr>
          <w:rFonts w:eastAsia="Calibri"/>
          <w:bCs/>
          <w:iCs/>
          <w:lang w:val="de-DE"/>
        </w:rPr>
        <w:t>Gasen ausgeführt sein. Das Gerät muss so beschaffen sein, dass auch Messungen möglich sind, ohne die zu prüfenden Räume zu betreten. Es muss nach IEC/EN</w:t>
      </w:r>
      <w:r w:rsidRPr="00DD2A86">
        <w:rPr>
          <w:rFonts w:eastAsia="Calibri"/>
          <w:bCs/>
          <w:iCs/>
          <w:vertAlign w:val="superscript"/>
          <w:lang w:val="de-DE"/>
        </w:rPr>
        <w:footnoteReference w:id="20"/>
      </w:r>
      <w:r w:rsidRPr="00DD2A86">
        <w:rPr>
          <w:rFonts w:eastAsia="Calibri"/>
          <w:bCs/>
          <w:iCs/>
          <w:vertAlign w:val="superscript"/>
          <w:lang w:val="de-DE"/>
        </w:rPr>
        <w:t>)</w:t>
      </w:r>
      <w:r w:rsidRPr="00DD2A86">
        <w:rPr>
          <w:rFonts w:eastAsia="Calibri"/>
          <w:bCs/>
          <w:iCs/>
          <w:lang w:val="de-DE"/>
        </w:rPr>
        <w:t xml:space="preserve"> 50104:</w:t>
      </w:r>
      <w:r w:rsidR="00D55401" w:rsidRPr="00DD2A86">
        <w:rPr>
          <w:rFonts w:eastAsia="Calibri"/>
          <w:bCs/>
          <w:iCs/>
          <w:lang w:val="de-DE"/>
        </w:rPr>
        <w:t xml:space="preserve">2010 </w:t>
      </w:r>
      <w:r w:rsidRPr="00DD2A86">
        <w:rPr>
          <w:rFonts w:eastAsia="Calibri"/>
          <w:bCs/>
          <w:iCs/>
          <w:lang w:val="de-DE"/>
        </w:rPr>
        <w:t>geprüft sein. Wenn es in explosionsgefährdeten Bereichen eingesetzt wird, muss es zusätzlich die Anforderungen für den Einsatz in der jeweiligen Zone erfüllen und es muss nachgewiesen sein, dass es den anwendbaren Anforderungen entspricht (</w:t>
      </w:r>
      <w:r w:rsidR="00545FF2" w:rsidRPr="00DD2A86">
        <w:rPr>
          <w:rFonts w:eastAsia="Calibri"/>
          <w:bCs/>
          <w:iCs/>
          <w:lang w:val="de-DE"/>
        </w:rPr>
        <w:t>z.B</w:t>
      </w:r>
      <w:r w:rsidRPr="00DD2A86">
        <w:rPr>
          <w:rFonts w:eastAsia="Calibri"/>
          <w:bCs/>
          <w:iCs/>
          <w:lang w:val="de-DE"/>
        </w:rPr>
        <w:t xml:space="preserve">. Konformitätsbewertungsverfahren nach Richtlinie </w:t>
      </w:r>
      <w:r w:rsidR="004E7BBC" w:rsidRPr="00DD2A86">
        <w:rPr>
          <w:rFonts w:eastAsia="Calibri"/>
          <w:bCs/>
          <w:iCs/>
          <w:lang w:val="de-DE"/>
        </w:rPr>
        <w:t>2014/34/EU</w:t>
      </w:r>
      <w:r w:rsidRPr="00DD2A86">
        <w:rPr>
          <w:rFonts w:eastAsia="Calibri"/>
          <w:bCs/>
          <w:iCs/>
          <w:vertAlign w:val="superscript"/>
          <w:lang w:val="de-DE"/>
        </w:rPr>
        <w:footnoteReference w:id="21"/>
      </w:r>
      <w:r w:rsidRPr="00DD2A86">
        <w:rPr>
          <w:rFonts w:eastAsia="Calibri"/>
          <w:bCs/>
          <w:iCs/>
          <w:vertAlign w:val="superscript"/>
          <w:lang w:val="de-DE"/>
        </w:rPr>
        <w:t>)</w:t>
      </w:r>
      <w:r w:rsidRPr="00DD2A86">
        <w:rPr>
          <w:rFonts w:eastAsia="Calibri"/>
          <w:bCs/>
          <w:iCs/>
          <w:lang w:val="de-DE"/>
        </w:rPr>
        <w:t>, IECEx-System</w:t>
      </w:r>
      <w:r w:rsidRPr="00DD2A86">
        <w:rPr>
          <w:rFonts w:eastAsia="Calibri"/>
          <w:bCs/>
          <w:iCs/>
          <w:vertAlign w:val="superscript"/>
          <w:lang w:val="de-DE"/>
        </w:rPr>
        <w:footnoteReference w:id="22"/>
      </w:r>
      <w:r w:rsidRPr="00DD2A86">
        <w:rPr>
          <w:rFonts w:eastAsia="Calibri"/>
          <w:bCs/>
          <w:iCs/>
          <w:vertAlign w:val="superscript"/>
          <w:lang w:val="de-DE"/>
        </w:rPr>
        <w:t xml:space="preserve">) </w:t>
      </w:r>
      <w:r w:rsidRPr="00DD2A86">
        <w:rPr>
          <w:rFonts w:eastAsia="Calibri"/>
          <w:bCs/>
          <w:iCs/>
          <w:lang w:val="de-DE"/>
        </w:rPr>
        <w:t>oder ECE Trade 391</w:t>
      </w:r>
      <w:r w:rsidRPr="00DD2A86">
        <w:rPr>
          <w:rFonts w:eastAsia="Calibri"/>
          <w:bCs/>
          <w:iCs/>
          <w:vertAlign w:val="superscript"/>
          <w:lang w:val="de-DE"/>
        </w:rPr>
        <w:footnoteReference w:id="23"/>
      </w:r>
      <w:r w:rsidRPr="00DD2A86">
        <w:rPr>
          <w:rFonts w:eastAsia="Calibri"/>
          <w:bCs/>
          <w:iCs/>
          <w:vertAlign w:val="superscript"/>
          <w:lang w:val="de-DE"/>
        </w:rPr>
        <w:t xml:space="preserve">) </w:t>
      </w:r>
      <w:r w:rsidRPr="00DD2A86">
        <w:rPr>
          <w:rFonts w:eastAsia="Calibri"/>
          <w:bCs/>
          <w:iCs/>
          <w:lang w:val="de-DE"/>
        </w:rPr>
        <w:t>oder mindestens gleichwertig).“.</w:t>
      </w:r>
    </w:p>
    <w:p w:rsidR="004F7853" w:rsidRPr="00DD2A86" w:rsidRDefault="004F7853" w:rsidP="00B61A90">
      <w:pPr>
        <w:tabs>
          <w:tab w:val="left" w:pos="2268"/>
        </w:tabs>
        <w:spacing w:before="240"/>
        <w:ind w:left="1418" w:right="1134" w:hanging="284"/>
        <w:jc w:val="both"/>
        <w:rPr>
          <w:rFonts w:eastAsia="Calibri"/>
          <w:b/>
          <w:i/>
          <w:iCs/>
          <w:lang w:val="de-DE" w:bidi="de-DE"/>
        </w:rPr>
      </w:pPr>
      <w:r w:rsidRPr="00DD2A86">
        <w:rPr>
          <w:rFonts w:eastAsia="Calibri"/>
          <w:iCs/>
          <w:lang w:val="de-DE" w:bidi="de-DE"/>
        </w:rPr>
        <w:t>1.2.1</w:t>
      </w:r>
      <w:r w:rsidRPr="00DD2A86">
        <w:rPr>
          <w:rFonts w:eastAsia="Calibri"/>
          <w:iCs/>
          <w:lang w:val="de-DE" w:bidi="de-DE"/>
        </w:rPr>
        <w:tab/>
        <w:t xml:space="preserve">In der Begriffsbestimmung für </w:t>
      </w:r>
      <w:r w:rsidRPr="00DD2A86">
        <w:rPr>
          <w:rFonts w:eastAsia="Calibri"/>
          <w:b/>
          <w:i/>
          <w:iCs/>
          <w:lang w:val="de-DE" w:bidi="de-DE"/>
        </w:rPr>
        <w:t>„Schutzanzug“:</w:t>
      </w:r>
    </w:p>
    <w:p w:rsidR="004F7853" w:rsidRPr="00DD2A86" w:rsidRDefault="004F7853" w:rsidP="00B61A90">
      <w:pPr>
        <w:tabs>
          <w:tab w:val="left" w:pos="2268"/>
        </w:tabs>
        <w:spacing w:before="60"/>
        <w:ind w:left="1418" w:right="1134" w:hanging="284"/>
        <w:jc w:val="both"/>
        <w:rPr>
          <w:bCs/>
          <w:iCs/>
          <w:lang w:val="de-DE"/>
        </w:rPr>
      </w:pPr>
      <w:r w:rsidRPr="00DD2A86">
        <w:rPr>
          <w:rFonts w:eastAsia="Calibri"/>
          <w:bCs/>
          <w:i/>
          <w:iCs/>
          <w:lang w:val="de-DE"/>
        </w:rPr>
        <w:t>-</w:t>
      </w:r>
      <w:r w:rsidRPr="00DD2A86">
        <w:rPr>
          <w:rFonts w:eastAsia="Calibri"/>
          <w:bCs/>
          <w:i/>
          <w:iCs/>
          <w:lang w:val="de-DE"/>
        </w:rPr>
        <w:tab/>
      </w:r>
      <w:r w:rsidRPr="00DD2A86">
        <w:rPr>
          <w:bCs/>
          <w:iCs/>
          <w:lang w:val="de-DE"/>
        </w:rPr>
        <w:t>der dritte Satz erhält folgenden Wortlaut: „</w:t>
      </w:r>
      <w:r w:rsidRPr="00DD2A86">
        <w:rPr>
          <w:rFonts w:eastAsia="Calibri"/>
          <w:bCs/>
          <w:iCs/>
          <w:lang w:val="de-DE"/>
        </w:rPr>
        <w:t xml:space="preserve">Für Schutzanzüge siehe </w:t>
      </w:r>
      <w:r w:rsidR="00545FF2" w:rsidRPr="00DD2A86">
        <w:rPr>
          <w:rFonts w:eastAsia="Calibri"/>
          <w:bCs/>
          <w:iCs/>
          <w:lang w:val="de-DE"/>
        </w:rPr>
        <w:t>z.B.</w:t>
      </w:r>
      <w:r w:rsidRPr="00DD2A86">
        <w:rPr>
          <w:rFonts w:eastAsia="Calibri"/>
          <w:bCs/>
          <w:iCs/>
          <w:lang w:val="de-DE"/>
        </w:rPr>
        <w:t xml:space="preserve"> ISO 13688:2013.</w:t>
      </w:r>
      <w:r w:rsidRPr="00DD2A86">
        <w:rPr>
          <w:bCs/>
          <w:iCs/>
          <w:lang w:val="de-DE"/>
        </w:rPr>
        <w:t>“.</w:t>
      </w:r>
    </w:p>
    <w:p w:rsidR="004F7853" w:rsidRPr="00DD2A86" w:rsidRDefault="004F7853" w:rsidP="00B61A90">
      <w:pPr>
        <w:tabs>
          <w:tab w:val="left" w:pos="2268"/>
        </w:tabs>
        <w:ind w:left="1418" w:right="1134" w:hanging="284"/>
        <w:jc w:val="both"/>
        <w:rPr>
          <w:rFonts w:eastAsia="Calibri"/>
          <w:lang w:val="de-DE"/>
        </w:rPr>
      </w:pPr>
      <w:r w:rsidRPr="00DD2A86">
        <w:rPr>
          <w:lang w:val="de-DE"/>
        </w:rPr>
        <w:t>-</w:t>
      </w:r>
      <w:r w:rsidRPr="00DD2A86">
        <w:rPr>
          <w:lang w:val="de-DE"/>
        </w:rPr>
        <w:tab/>
        <w:t>folgenden Satz am Ende hinzufügen: „</w:t>
      </w:r>
      <w:r w:rsidRPr="00DD2A86">
        <w:rPr>
          <w:rFonts w:eastAsia="Calibri"/>
          <w:lang w:val="de-DE"/>
        </w:rPr>
        <w:t>Bei Gefahren durch elektrostatische Aufladung/Entladung zusätzlich Europäische Norm EN 1149-5:2008.“.</w:t>
      </w:r>
    </w:p>
    <w:p w:rsidR="008E0ACD" w:rsidRPr="00DD2A86" w:rsidRDefault="004F7853" w:rsidP="00B61A90">
      <w:pPr>
        <w:tabs>
          <w:tab w:val="left" w:pos="2268"/>
        </w:tabs>
        <w:spacing w:before="240"/>
        <w:ind w:left="1134" w:right="-2"/>
        <w:rPr>
          <w:b/>
          <w:i/>
          <w:iCs/>
          <w:lang w:val="de-DE" w:eastAsia="de-DE" w:bidi="de-DE"/>
        </w:rPr>
      </w:pPr>
      <w:r w:rsidRPr="00DD2A86">
        <w:rPr>
          <w:iCs/>
          <w:lang w:val="de-DE" w:eastAsia="de-DE" w:bidi="de-DE"/>
        </w:rPr>
        <w:t>1.2.1</w:t>
      </w:r>
      <w:r w:rsidRPr="00DD2A86">
        <w:rPr>
          <w:iCs/>
          <w:lang w:val="de-DE" w:eastAsia="de-DE" w:bidi="de-DE"/>
        </w:rPr>
        <w:tab/>
      </w:r>
      <w:r w:rsidR="008E0ACD" w:rsidRPr="00DD2A86">
        <w:rPr>
          <w:iCs/>
          <w:lang w:val="de-DE" w:eastAsia="de-DE" w:bidi="de-DE"/>
        </w:rPr>
        <w:t xml:space="preserve">Die Begriffsbestimmung für </w:t>
      </w:r>
      <w:r w:rsidR="008E0ACD" w:rsidRPr="00DD2A86">
        <w:rPr>
          <w:b/>
          <w:i/>
          <w:iCs/>
          <w:lang w:val="de-DE" w:eastAsia="de-DE" w:bidi="de-DE"/>
        </w:rPr>
        <w:t xml:space="preserve">„Schutzhandschuhe“ </w:t>
      </w:r>
      <w:r w:rsidR="008E0ACD" w:rsidRPr="00DD2A86">
        <w:rPr>
          <w:iCs/>
          <w:lang w:val="de-DE" w:eastAsia="de-DE" w:bidi="de-DE"/>
        </w:rPr>
        <w:t>erhält folgenden Wortlaut:</w:t>
      </w:r>
    </w:p>
    <w:p w:rsidR="008E0ACD" w:rsidRPr="00DD2A86" w:rsidRDefault="008E0ACD" w:rsidP="009C6995">
      <w:pPr>
        <w:widowControl w:val="0"/>
        <w:tabs>
          <w:tab w:val="left" w:pos="2268"/>
        </w:tabs>
        <w:suppressAutoHyphens w:val="0"/>
        <w:overflowPunct w:val="0"/>
        <w:autoSpaceDE w:val="0"/>
        <w:autoSpaceDN w:val="0"/>
        <w:adjustRightInd w:val="0"/>
        <w:spacing w:before="120"/>
        <w:ind w:left="1134" w:right="1134"/>
        <w:jc w:val="both"/>
        <w:textAlignment w:val="baseline"/>
        <w:rPr>
          <w:szCs w:val="18"/>
          <w:lang w:val="de-DE" w:eastAsia="fr-FR"/>
        </w:rPr>
      </w:pPr>
      <w:r w:rsidRPr="00DD2A86">
        <w:rPr>
          <w:b/>
          <w:i/>
          <w:szCs w:val="18"/>
          <w:lang w:val="de-DE" w:eastAsia="fr-FR"/>
        </w:rPr>
        <w:t>„Schutzhandschuhe:</w:t>
      </w:r>
      <w:r w:rsidRPr="00DD2A86">
        <w:rPr>
          <w:szCs w:val="18"/>
          <w:lang w:val="de-DE" w:eastAsia="fr-FR"/>
        </w:rPr>
        <w:t xml:space="preserve"> Handschuhe, die die Hände des Trägers bei Arbeiten in einem Gefahrenbereich schützen. Die Wahl der geeigneten Schutzhandschuhe muss entsprechend den auftretenden Gefahren erfolgen (siehe z. B. Europäische Normen </w:t>
      </w:r>
      <w:r w:rsidRPr="00DD2A86">
        <w:rPr>
          <w:rFonts w:eastAsia="Calibri"/>
          <w:szCs w:val="18"/>
          <w:lang w:val="de-DE" w:eastAsia="fr-FR"/>
        </w:rPr>
        <w:t>EN 374-1:20</w:t>
      </w:r>
      <w:r w:rsidR="00D55401" w:rsidRPr="00DD2A86">
        <w:rPr>
          <w:rFonts w:eastAsia="Calibri"/>
          <w:szCs w:val="18"/>
          <w:lang w:val="de-DE" w:eastAsia="fr-FR"/>
        </w:rPr>
        <w:t>16</w:t>
      </w:r>
      <w:r w:rsidRPr="00DD2A86">
        <w:rPr>
          <w:rFonts w:eastAsia="Calibri"/>
          <w:szCs w:val="18"/>
          <w:lang w:val="de-DE" w:eastAsia="fr-FR"/>
        </w:rPr>
        <w:t>, EN</w:t>
      </w:r>
      <w:r w:rsidR="00FC5DBE" w:rsidRPr="00DD2A86">
        <w:rPr>
          <w:rFonts w:eastAsia="Calibri"/>
          <w:szCs w:val="18"/>
          <w:lang w:val="de-DE" w:eastAsia="fr-FR"/>
        </w:rPr>
        <w:t> </w:t>
      </w:r>
      <w:r w:rsidRPr="00DD2A86">
        <w:rPr>
          <w:rFonts w:eastAsia="Calibri"/>
          <w:szCs w:val="18"/>
          <w:lang w:val="de-DE" w:eastAsia="fr-FR"/>
        </w:rPr>
        <w:t>374-2:2015 oder EN 374-4:201</w:t>
      </w:r>
      <w:r w:rsidR="00D55401" w:rsidRPr="00DD2A86">
        <w:rPr>
          <w:rFonts w:eastAsia="Calibri"/>
          <w:szCs w:val="18"/>
          <w:lang w:val="de-DE" w:eastAsia="fr-FR"/>
        </w:rPr>
        <w:t>3</w:t>
      </w:r>
      <w:r w:rsidRPr="00DD2A86">
        <w:rPr>
          <w:szCs w:val="18"/>
          <w:lang w:val="de-DE" w:eastAsia="fr-FR"/>
        </w:rPr>
        <w:t>).</w:t>
      </w:r>
      <w:r w:rsidRPr="00DD2A86">
        <w:rPr>
          <w:rFonts w:eastAsia="Calibri"/>
          <w:szCs w:val="18"/>
          <w:lang w:val="de-DE" w:eastAsia="fr-FR"/>
        </w:rPr>
        <w:t xml:space="preserve"> Bei Gefahren durch elektrostatische Aufladung/Entladung müssen sie der Europäische Norm EN 16350:2015 entsprechen.“.</w:t>
      </w:r>
    </w:p>
    <w:p w:rsidR="008E0ACD" w:rsidRPr="00DD2A86" w:rsidRDefault="008E0ACD" w:rsidP="00B61A90">
      <w:pPr>
        <w:tabs>
          <w:tab w:val="left" w:pos="2268"/>
        </w:tabs>
        <w:spacing w:before="240"/>
        <w:ind w:left="1134" w:right="1134"/>
        <w:jc w:val="both"/>
        <w:rPr>
          <w:b/>
          <w:i/>
          <w:iCs/>
          <w:lang w:val="de-DE" w:eastAsia="de-DE" w:bidi="de-DE"/>
        </w:rPr>
      </w:pPr>
      <w:r w:rsidRPr="00DD2A86">
        <w:rPr>
          <w:iCs/>
          <w:lang w:val="de-DE" w:eastAsia="de-DE" w:bidi="de-DE"/>
        </w:rPr>
        <w:t>1.2.1</w:t>
      </w:r>
      <w:r w:rsidRPr="00DD2A86">
        <w:rPr>
          <w:iCs/>
          <w:lang w:val="de-DE" w:eastAsia="de-DE" w:bidi="de-DE"/>
        </w:rPr>
        <w:tab/>
        <w:t xml:space="preserve">Die Begriffsbestimmung für </w:t>
      </w:r>
      <w:r w:rsidRPr="00DD2A86">
        <w:rPr>
          <w:b/>
          <w:i/>
          <w:iCs/>
          <w:lang w:val="de-DE" w:eastAsia="de-DE" w:bidi="de-DE"/>
        </w:rPr>
        <w:t>„Schutzschuhe (oder Schutzstiefel)</w:t>
      </w:r>
      <w:r w:rsidR="001940C1" w:rsidRPr="00DD2A86">
        <w:rPr>
          <w:b/>
          <w:i/>
          <w:iCs/>
          <w:lang w:val="de-DE" w:eastAsia="de-DE" w:bidi="de-DE"/>
        </w:rPr>
        <w:t>“</w:t>
      </w:r>
      <w:r w:rsidRPr="00DD2A86">
        <w:rPr>
          <w:b/>
          <w:i/>
          <w:iCs/>
          <w:lang w:val="de-DE" w:eastAsia="de-DE" w:bidi="de-DE"/>
        </w:rPr>
        <w:t xml:space="preserve"> </w:t>
      </w:r>
      <w:r w:rsidRPr="00DD2A86">
        <w:rPr>
          <w:iCs/>
          <w:lang w:val="de-DE" w:eastAsia="de-DE" w:bidi="de-DE"/>
        </w:rPr>
        <w:t>erhält folgenden Wortlaut:</w:t>
      </w:r>
    </w:p>
    <w:p w:rsidR="004F7853" w:rsidRPr="00DD2A86" w:rsidRDefault="008E0ACD" w:rsidP="0057103B">
      <w:pPr>
        <w:tabs>
          <w:tab w:val="left" w:pos="2268"/>
        </w:tabs>
        <w:spacing w:before="120"/>
        <w:ind w:left="1134" w:right="1134"/>
        <w:jc w:val="both"/>
        <w:rPr>
          <w:rFonts w:eastAsia="Calibri"/>
          <w:iCs/>
          <w:lang w:val="de-DE" w:eastAsia="de-DE" w:bidi="de-DE"/>
        </w:rPr>
      </w:pPr>
      <w:r w:rsidRPr="00DD2A86">
        <w:rPr>
          <w:b/>
          <w:i/>
          <w:iCs/>
          <w:lang w:val="de-DE" w:eastAsia="de-DE" w:bidi="de-DE"/>
        </w:rPr>
        <w:t>„Schutzschuhe (oder Schutzstiefel):</w:t>
      </w:r>
      <w:r w:rsidRPr="00DD2A86">
        <w:rPr>
          <w:iCs/>
          <w:lang w:val="de-DE" w:eastAsia="de-DE" w:bidi="de-DE"/>
        </w:rPr>
        <w:t xml:space="preserve"> Schuhe oder Stiefel, welche die Füße des Trägers bei Arbeiten in einem Gefahrenbereich schützen. Die Wahl der geeigneten Schutzschuhe oder Schutzstiefel muss entsprechend den auftretenden Gefahren, insbesondere auch durch elektrostatische Aufladung/Entladung, entsprechend den internationalen Normen ISO</w:t>
      </w:r>
      <w:r w:rsidR="009C6995" w:rsidRPr="00DD2A86">
        <w:rPr>
          <w:iCs/>
          <w:lang w:val="de-DE" w:eastAsia="de-DE" w:bidi="de-DE"/>
        </w:rPr>
        <w:t> </w:t>
      </w:r>
      <w:r w:rsidRPr="00DD2A86">
        <w:rPr>
          <w:iCs/>
          <w:lang w:val="de-DE" w:eastAsia="de-DE" w:bidi="de-DE"/>
        </w:rPr>
        <w:t>20345:2012 oder ISO 20346:2014 erfolgen.“.</w:t>
      </w:r>
    </w:p>
    <w:p w:rsidR="00E2121D" w:rsidRPr="00DD2A86" w:rsidRDefault="00E2121D" w:rsidP="00E2121D">
      <w:pPr>
        <w:tabs>
          <w:tab w:val="left" w:pos="2268"/>
        </w:tabs>
        <w:spacing w:before="240"/>
        <w:ind w:left="1134" w:right="1134"/>
        <w:jc w:val="both"/>
        <w:rPr>
          <w:rFonts w:eastAsia="Calibri"/>
          <w:bCs/>
          <w:iCs/>
          <w:lang w:val="de-DE" w:bidi="de-DE"/>
        </w:rPr>
      </w:pPr>
      <w:r w:rsidRPr="00DD2A86">
        <w:rPr>
          <w:rFonts w:eastAsia="Calibri"/>
          <w:bCs/>
          <w:iCs/>
          <w:lang w:val="de-DE" w:bidi="de-DE"/>
        </w:rPr>
        <w:t>1.2.1</w:t>
      </w:r>
      <w:r w:rsidRPr="00DD2A86">
        <w:rPr>
          <w:rFonts w:eastAsia="Calibri"/>
          <w:bCs/>
          <w:iCs/>
          <w:lang w:val="de-DE" w:bidi="de-DE"/>
        </w:rPr>
        <w:tab/>
        <w:t>Die Begriffsbestimmung für „</w:t>
      </w:r>
      <w:r w:rsidRPr="00DD2A86">
        <w:rPr>
          <w:rFonts w:eastAsia="Calibri"/>
          <w:b/>
          <w:bCs/>
          <w:i/>
          <w:iCs/>
          <w:lang w:val="de-DE" w:bidi="de-DE"/>
        </w:rPr>
        <w:t>Slopbehälter</w:t>
      </w:r>
      <w:r w:rsidRPr="00DD2A86">
        <w:rPr>
          <w:rFonts w:eastAsia="Calibri"/>
          <w:bCs/>
          <w:iCs/>
          <w:lang w:val="de-DE" w:bidi="de-DE"/>
        </w:rPr>
        <w:t>“ erhält folgenden Wortlaut:</w:t>
      </w:r>
    </w:p>
    <w:p w:rsidR="00E2121D" w:rsidRPr="00DD2A86" w:rsidRDefault="00E2121D" w:rsidP="00EF5F02">
      <w:pPr>
        <w:spacing w:before="120"/>
        <w:ind w:left="1134" w:right="1134"/>
        <w:jc w:val="both"/>
        <w:rPr>
          <w:lang w:val="de-DE"/>
        </w:rPr>
      </w:pPr>
      <w:r w:rsidRPr="00DD2A86">
        <w:rPr>
          <w:bCs/>
          <w:iCs/>
          <w:lang w:val="de-DE"/>
        </w:rPr>
        <w:t>„</w:t>
      </w:r>
      <w:r w:rsidR="005B6BDB" w:rsidRPr="00DD2A86">
        <w:rPr>
          <w:b/>
          <w:bCs/>
          <w:i/>
          <w:iCs/>
          <w:lang w:val="de-DE"/>
        </w:rPr>
        <w:t>Slopbehälter</w:t>
      </w:r>
      <w:r w:rsidR="005B6BDB" w:rsidRPr="00DD2A86">
        <w:rPr>
          <w:bCs/>
          <w:iCs/>
          <w:lang w:val="de-DE"/>
        </w:rPr>
        <w:t xml:space="preserve">: </w:t>
      </w:r>
      <w:r w:rsidRPr="00DD2A86">
        <w:rPr>
          <w:bCs/>
          <w:iCs/>
          <w:lang w:val="de-DE"/>
        </w:rPr>
        <w:t>Ein feuerfester Behälter, der mit</w:t>
      </w:r>
      <w:r w:rsidRPr="00DD2A86">
        <w:rPr>
          <w:lang w:val="de-DE"/>
        </w:rPr>
        <w:t xml:space="preserve"> </w:t>
      </w:r>
      <w:r w:rsidRPr="00DD2A86">
        <w:rPr>
          <w:bCs/>
          <w:iCs/>
          <w:lang w:val="de-DE"/>
        </w:rPr>
        <w:t>Deckel verschlossen werden kann, zur Aufnahme von nicht pumpfähigen Slops. Die Behälter müssen nach ADR, RID oder IMDG-Code zugelassen und für den betreffenden Stoff zulässig sein. Der höchstzulässige Inhalt beträgt 450 l.</w:t>
      </w:r>
      <w:r w:rsidRPr="00DD2A86">
        <w:rPr>
          <w:bCs/>
          <w:i/>
          <w:iCs/>
          <w:lang w:val="de-DE"/>
        </w:rPr>
        <w:t xml:space="preserve"> </w:t>
      </w:r>
      <w:r w:rsidRPr="00DD2A86">
        <w:rPr>
          <w:lang w:val="de-DE"/>
        </w:rPr>
        <w:t>Er muss gut handhabbar und mit „SLOP“ (Schrifthöhe: 0,10 m) gekennzeichnet sein.“.</w:t>
      </w:r>
    </w:p>
    <w:p w:rsidR="00ED5F67" w:rsidRPr="00DD2A86" w:rsidRDefault="00ED5F67" w:rsidP="00993052">
      <w:pPr>
        <w:tabs>
          <w:tab w:val="left" w:pos="2268"/>
        </w:tabs>
        <w:spacing w:before="120" w:after="120"/>
        <w:ind w:left="1134" w:right="1134"/>
        <w:jc w:val="both"/>
        <w:rPr>
          <w:iCs/>
          <w:lang w:val="de-DE"/>
        </w:rPr>
      </w:pPr>
      <w:r w:rsidRPr="00DD2A86">
        <w:rPr>
          <w:lang w:val="de-DE"/>
        </w:rPr>
        <w:t>1.2.1</w:t>
      </w:r>
      <w:r w:rsidRPr="00DD2A86">
        <w:rPr>
          <w:lang w:val="de-DE"/>
        </w:rPr>
        <w:tab/>
      </w:r>
      <w:r w:rsidRPr="00DD2A86">
        <w:rPr>
          <w:iCs/>
          <w:lang w:val="de-DE"/>
        </w:rPr>
        <w:t>In der Begriffsbestimmung von „</w:t>
      </w:r>
      <w:r w:rsidRPr="00DD2A86">
        <w:rPr>
          <w:b/>
          <w:bCs/>
          <w:i/>
          <w:iCs/>
          <w:lang w:val="de-DE"/>
        </w:rPr>
        <w:t>Tierische Stoffe“</w:t>
      </w:r>
      <w:r w:rsidRPr="00DD2A86">
        <w:rPr>
          <w:i/>
          <w:iCs/>
          <w:lang w:val="de-DE"/>
        </w:rPr>
        <w:t xml:space="preserve"> „</w:t>
      </w:r>
      <w:r w:rsidRPr="00DD2A86">
        <w:rPr>
          <w:iCs/>
          <w:lang w:val="de-DE"/>
        </w:rPr>
        <w:t>oder tierische Futtermittel“ ändern in: „oder aus Tieren gewonnene Nahrungsmittel oder Futtermittel“.</w:t>
      </w:r>
    </w:p>
    <w:p w:rsidR="002B5060" w:rsidRPr="00DD2A86" w:rsidRDefault="002B5060">
      <w:pPr>
        <w:suppressAutoHyphens w:val="0"/>
        <w:spacing w:line="240" w:lineRule="auto"/>
        <w:rPr>
          <w:rFonts w:eastAsiaTheme="minorHAnsi"/>
          <w:lang w:val="de-DE"/>
        </w:rPr>
      </w:pPr>
      <w:r w:rsidRPr="00DD2A86">
        <w:rPr>
          <w:rFonts w:eastAsiaTheme="minorHAnsi"/>
          <w:lang w:val="de-DE"/>
        </w:rPr>
        <w:br w:type="page"/>
      </w:r>
    </w:p>
    <w:p w:rsidR="00C804F5" w:rsidRPr="00DD2A86" w:rsidRDefault="00C804F5" w:rsidP="00C804F5">
      <w:pPr>
        <w:tabs>
          <w:tab w:val="left" w:pos="2268"/>
        </w:tabs>
        <w:kinsoku w:val="0"/>
        <w:overflowPunct w:val="0"/>
        <w:autoSpaceDE w:val="0"/>
        <w:autoSpaceDN w:val="0"/>
        <w:adjustRightInd w:val="0"/>
        <w:snapToGrid w:val="0"/>
        <w:spacing w:before="120" w:after="120"/>
        <w:ind w:left="1134" w:right="1134"/>
        <w:jc w:val="both"/>
        <w:rPr>
          <w:rFonts w:eastAsiaTheme="minorHAnsi"/>
          <w:lang w:val="de-DE"/>
        </w:rPr>
      </w:pPr>
      <w:r w:rsidRPr="00DD2A86">
        <w:rPr>
          <w:rFonts w:eastAsiaTheme="minorHAnsi"/>
          <w:lang w:val="de-DE"/>
        </w:rPr>
        <w:t>1.2.1</w:t>
      </w:r>
      <w:r w:rsidRPr="00DD2A86">
        <w:rPr>
          <w:rFonts w:eastAsiaTheme="minorHAnsi"/>
          <w:lang w:val="de-DE"/>
        </w:rPr>
        <w:tab/>
        <w:t xml:space="preserve">Die Begriffsbestimmung für </w:t>
      </w:r>
      <w:r w:rsidRPr="00DD2A86">
        <w:rPr>
          <w:rFonts w:eastAsiaTheme="minorHAnsi"/>
          <w:b/>
          <w:i/>
          <w:lang w:val="de-DE"/>
        </w:rPr>
        <w:t>„Toximeter“</w:t>
      </w:r>
      <w:r w:rsidRPr="00DD2A86">
        <w:rPr>
          <w:rFonts w:eastAsiaTheme="minorHAnsi"/>
          <w:lang w:val="de-DE"/>
        </w:rPr>
        <w:t xml:space="preserve"> erhält folgenden Wortlaut:</w:t>
      </w:r>
    </w:p>
    <w:p w:rsidR="00C804F5" w:rsidRPr="00DD2A86" w:rsidRDefault="00C804F5" w:rsidP="00C804F5">
      <w:pPr>
        <w:spacing w:before="120" w:after="120"/>
        <w:ind w:left="1134" w:right="1134"/>
        <w:jc w:val="both"/>
        <w:rPr>
          <w:lang w:val="de-DE"/>
        </w:rPr>
      </w:pPr>
      <w:r w:rsidRPr="00DD2A86">
        <w:rPr>
          <w:i/>
          <w:lang w:val="de-DE"/>
        </w:rPr>
        <w:t>„</w:t>
      </w:r>
      <w:r w:rsidRPr="00DD2A86">
        <w:rPr>
          <w:b/>
          <w:i/>
          <w:lang w:val="de-DE"/>
        </w:rPr>
        <w:t>Toximeter</w:t>
      </w:r>
      <w:r w:rsidRPr="00DD2A86">
        <w:rPr>
          <w:i/>
          <w:lang w:val="de-DE"/>
        </w:rPr>
        <w:t>:</w:t>
      </w:r>
      <w:r w:rsidRPr="00DD2A86">
        <w:rPr>
          <w:lang w:val="de-DE"/>
        </w:rPr>
        <w:t xml:space="preserve"> Ein tragbares (ortsbewegliches) Gerät, mit dem jede bedeutsame Konzentration von giftigen Gasen und Dämpfen gemessen werden kann. Das Gerät muss den Normen EN 45544-1:2015, EN 45544-2:2015, EN 45544-3:2015 und EN 45544-4:2016 oder der Norm ISO 17621:2015 entsprechen.</w:t>
      </w:r>
    </w:p>
    <w:p w:rsidR="00C804F5" w:rsidRPr="00DD2A86" w:rsidRDefault="00C804F5" w:rsidP="00C804F5">
      <w:pPr>
        <w:spacing w:before="120" w:after="120"/>
        <w:ind w:left="1134" w:right="1134"/>
        <w:jc w:val="both"/>
        <w:rPr>
          <w:rFonts w:eastAsia="SimSun"/>
          <w:lang w:val="de-DE" w:eastAsia="zh-CN"/>
        </w:rPr>
      </w:pPr>
      <w:r w:rsidRPr="00DD2A86">
        <w:rPr>
          <w:rFonts w:eastAsia="SimSun"/>
          <w:lang w:val="de-DE" w:eastAsia="zh-CN"/>
        </w:rPr>
        <w:t xml:space="preserve">Wird dieses Gerät in explosionsgefährdeten Bereichen verwendet, muss es zusätzlich für die Verwendung in dem jeweiligen Bereich geeignet sein und es muss nachgewiesen sein, dass es den anwendbaren Anforderungen entspricht (z. B. Konformitätsbewertungsverfahren nach Richtlinie </w:t>
      </w:r>
      <w:r w:rsidR="004E7BBC" w:rsidRPr="00DD2A86">
        <w:rPr>
          <w:rFonts w:eastAsia="SimSun"/>
          <w:lang w:val="de-DE" w:eastAsia="zh-CN"/>
        </w:rPr>
        <w:t>2014/34/EU</w:t>
      </w:r>
      <w:r w:rsidRPr="00DD2A86">
        <w:rPr>
          <w:rFonts w:eastAsia="SimSun"/>
          <w:sz w:val="18"/>
          <w:vertAlign w:val="superscript"/>
          <w:lang w:val="de-DE" w:eastAsia="zh-CN"/>
        </w:rPr>
        <w:footnoteReference w:id="24"/>
      </w:r>
      <w:r w:rsidR="00EC37B3" w:rsidRPr="00DD2A86">
        <w:rPr>
          <w:rFonts w:eastAsia="SimSun"/>
          <w:vertAlign w:val="superscript"/>
          <w:lang w:val="de-DE" w:eastAsia="zh-CN"/>
        </w:rPr>
        <w:t xml:space="preserve">) </w:t>
      </w:r>
      <w:r w:rsidRPr="00DD2A86">
        <w:rPr>
          <w:rFonts w:eastAsia="SimSun"/>
          <w:lang w:val="de-DE" w:eastAsia="zh-CN"/>
        </w:rPr>
        <w:t>oder nach ECE/Trade/391</w:t>
      </w:r>
      <w:r w:rsidRPr="00DD2A86">
        <w:rPr>
          <w:rFonts w:eastAsia="SimSun"/>
          <w:sz w:val="18"/>
          <w:vertAlign w:val="superscript"/>
          <w:lang w:val="de-DE" w:eastAsia="zh-CN"/>
        </w:rPr>
        <w:footnoteReference w:id="25"/>
      </w:r>
      <w:r w:rsidR="00EC37B3" w:rsidRPr="00DD2A86">
        <w:rPr>
          <w:rFonts w:eastAsia="SimSun"/>
          <w:vertAlign w:val="superscript"/>
          <w:lang w:val="de-DE" w:eastAsia="zh-CN"/>
        </w:rPr>
        <w:t xml:space="preserve">) </w:t>
      </w:r>
      <w:r w:rsidRPr="00DD2A86">
        <w:rPr>
          <w:rFonts w:eastAsia="SimSun"/>
          <w:lang w:val="de-DE" w:eastAsia="zh-CN"/>
        </w:rPr>
        <w:t>oder mindestens gleichwertig).</w:t>
      </w:r>
    </w:p>
    <w:p w:rsidR="00C804F5" w:rsidRPr="00DD2A86" w:rsidRDefault="00C804F5" w:rsidP="00C804F5">
      <w:pPr>
        <w:spacing w:before="120" w:after="120"/>
        <w:ind w:left="1134" w:right="1134"/>
        <w:jc w:val="both"/>
        <w:rPr>
          <w:rFonts w:eastAsia="SimSun"/>
          <w:lang w:val="de-DE" w:eastAsia="zh-CN"/>
        </w:rPr>
      </w:pPr>
      <w:r w:rsidRPr="00DD2A86">
        <w:rPr>
          <w:rFonts w:eastAsia="SimSun"/>
          <w:lang w:val="de-DE" w:eastAsia="zh-CN"/>
        </w:rPr>
        <w:t>Das Gerät muss so beschaffen sein, dass auch Messungen möglich sind, ohne die zu prüfenden Räume zu betreten.“.</w:t>
      </w:r>
    </w:p>
    <w:p w:rsidR="004F7853" w:rsidRPr="00DD2A86" w:rsidRDefault="004F7853" w:rsidP="00B61A90">
      <w:pPr>
        <w:tabs>
          <w:tab w:val="left" w:pos="2268"/>
        </w:tabs>
        <w:spacing w:before="240" w:line="240" w:lineRule="auto"/>
        <w:ind w:left="1134" w:right="1134"/>
        <w:jc w:val="both"/>
        <w:rPr>
          <w:iCs/>
          <w:lang w:val="de-DE" w:eastAsia="de-DE" w:bidi="de-DE"/>
        </w:rPr>
      </w:pPr>
      <w:r w:rsidRPr="00DD2A86">
        <w:rPr>
          <w:iCs/>
          <w:lang w:val="de-DE" w:eastAsia="de-DE" w:bidi="de-DE"/>
        </w:rPr>
        <w:t>1.2.1</w:t>
      </w:r>
      <w:r w:rsidRPr="00DD2A86">
        <w:rPr>
          <w:iCs/>
          <w:lang w:val="de-DE" w:eastAsia="de-DE" w:bidi="de-DE"/>
        </w:rPr>
        <w:tab/>
        <w:t xml:space="preserve">In der Begriffsbestimmung für </w:t>
      </w:r>
      <w:r w:rsidRPr="00DD2A86">
        <w:rPr>
          <w:b/>
          <w:i/>
          <w:iCs/>
          <w:lang w:val="de-DE" w:eastAsia="de-DE" w:bidi="de-DE"/>
        </w:rPr>
        <w:t>„</w:t>
      </w:r>
      <w:r w:rsidRPr="00DD2A86">
        <w:rPr>
          <w:rFonts w:eastAsia="Calibri"/>
          <w:b/>
          <w:i/>
          <w:iCs/>
          <w:lang w:val="de-DE" w:eastAsia="de-DE" w:bidi="de-DE"/>
        </w:rPr>
        <w:t>Überdruckventil</w:t>
      </w:r>
      <w:r w:rsidRPr="00DD2A86">
        <w:rPr>
          <w:b/>
          <w:i/>
          <w:iCs/>
          <w:lang w:val="de-DE" w:eastAsia="de-DE" w:bidi="de-DE"/>
        </w:rPr>
        <w:t xml:space="preserve">“ </w:t>
      </w:r>
      <w:r w:rsidRPr="00DD2A86">
        <w:rPr>
          <w:i/>
          <w:iCs/>
          <w:lang w:val="de-DE" w:eastAsia="de-DE" w:bidi="de-DE"/>
        </w:rPr>
        <w:t>„</w:t>
      </w:r>
      <w:r w:rsidRPr="00DD2A86">
        <w:rPr>
          <w:rFonts w:eastAsia="Calibri"/>
          <w:iCs/>
          <w:lang w:val="de-DE" w:eastAsia="de-DE" w:bidi="de-DE"/>
        </w:rPr>
        <w:t>Eine selbsttätige druckabhängige federbelastete Einrichtung (Sicherheitsventil)“ ändern in: „</w:t>
      </w:r>
      <w:r w:rsidRPr="00DD2A86">
        <w:rPr>
          <w:iCs/>
          <w:lang w:val="de-DE" w:eastAsia="de-DE" w:bidi="de-DE"/>
        </w:rPr>
        <w:t>Ein selbsttätiges Sicherheitsventil“.</w:t>
      </w:r>
    </w:p>
    <w:p w:rsidR="00CC42D8" w:rsidRPr="00DD2A86" w:rsidRDefault="00CC42D8" w:rsidP="00993052">
      <w:pPr>
        <w:tabs>
          <w:tab w:val="left" w:pos="2268"/>
        </w:tabs>
        <w:spacing w:before="120" w:after="120"/>
        <w:ind w:left="1134" w:right="1134"/>
        <w:jc w:val="both"/>
        <w:rPr>
          <w:iCs/>
          <w:lang w:val="de-DE"/>
        </w:rPr>
      </w:pPr>
      <w:r w:rsidRPr="00DD2A86">
        <w:rPr>
          <w:lang w:val="de-DE"/>
        </w:rPr>
        <w:t>1.2.1</w:t>
      </w:r>
      <w:r w:rsidRPr="00DD2A86">
        <w:rPr>
          <w:lang w:val="de-DE"/>
        </w:rPr>
        <w:tab/>
      </w:r>
      <w:r w:rsidRPr="00DD2A86">
        <w:rPr>
          <w:iCs/>
          <w:lang w:val="de-DE"/>
        </w:rPr>
        <w:t xml:space="preserve">In der Begriffsbestimmung von </w:t>
      </w:r>
      <w:r w:rsidRPr="00DD2A86">
        <w:rPr>
          <w:b/>
          <w:i/>
          <w:iCs/>
          <w:lang w:val="de-DE"/>
        </w:rPr>
        <w:t xml:space="preserve">„UN-Modellvorschriften“ </w:t>
      </w:r>
      <w:r w:rsidRPr="00DD2A86">
        <w:rPr>
          <w:iCs/>
          <w:lang w:val="de-DE"/>
        </w:rPr>
        <w:t>„neunzehnten“ ändern in: „zwanzigsten“ und „(ST/SG/AC.10/1/Rev.19)“ ändern in: „(ST/SG/AC.10/1/Rev.20)“.</w:t>
      </w:r>
    </w:p>
    <w:p w:rsidR="004F7853" w:rsidRPr="00DD2A86" w:rsidRDefault="004F7853" w:rsidP="00B61A90">
      <w:pPr>
        <w:suppressAutoHyphens w:val="0"/>
        <w:spacing w:before="240" w:after="120" w:line="240" w:lineRule="auto"/>
        <w:ind w:left="567" w:right="1134" w:firstLine="567"/>
        <w:jc w:val="both"/>
        <w:rPr>
          <w:rFonts w:eastAsia="Calibri"/>
          <w:iCs/>
          <w:lang w:val="de-DE" w:eastAsia="de-DE" w:bidi="de-DE"/>
        </w:rPr>
      </w:pPr>
      <w:r w:rsidRPr="00DD2A86">
        <w:rPr>
          <w:iCs/>
          <w:lang w:val="de-DE" w:eastAsia="de-DE" w:bidi="de-DE"/>
        </w:rPr>
        <w:t>1.2.1</w:t>
      </w:r>
      <w:r w:rsidRPr="00DD2A86">
        <w:rPr>
          <w:iCs/>
          <w:lang w:val="de-DE" w:eastAsia="de-DE" w:bidi="de-DE"/>
        </w:rPr>
        <w:tab/>
      </w:r>
      <w:r w:rsidRPr="00DD2A86">
        <w:rPr>
          <w:iCs/>
          <w:lang w:val="de-DE" w:eastAsia="de-DE" w:bidi="de-DE"/>
        </w:rPr>
        <w:tab/>
        <w:t xml:space="preserve">Die Begriffsbestimmung für </w:t>
      </w:r>
      <w:r w:rsidRPr="00DD2A86">
        <w:rPr>
          <w:b/>
          <w:i/>
          <w:iCs/>
          <w:lang w:val="de-DE" w:eastAsia="de-DE" w:bidi="de-DE"/>
        </w:rPr>
        <w:t>„</w:t>
      </w:r>
      <w:r w:rsidRPr="00DD2A86">
        <w:rPr>
          <w:rFonts w:eastAsia="Calibri"/>
          <w:b/>
          <w:i/>
          <w:iCs/>
          <w:lang w:val="de-DE" w:eastAsia="de-DE" w:bidi="de-DE"/>
        </w:rPr>
        <w:t xml:space="preserve">Unterdruckventil“ </w:t>
      </w:r>
      <w:r w:rsidRPr="00DD2A86">
        <w:rPr>
          <w:rFonts w:eastAsia="Calibri"/>
          <w:iCs/>
          <w:lang w:val="de-DE" w:eastAsia="de-DE" w:bidi="de-DE"/>
        </w:rPr>
        <w:t>erhält folgenden Wortlaut:</w:t>
      </w:r>
    </w:p>
    <w:p w:rsidR="004F7853" w:rsidRPr="00DD2A86" w:rsidRDefault="004F7853" w:rsidP="00B61A90">
      <w:pPr>
        <w:suppressAutoHyphens w:val="0"/>
        <w:spacing w:after="120" w:line="240" w:lineRule="auto"/>
        <w:ind w:left="1134" w:right="1134"/>
        <w:jc w:val="both"/>
        <w:rPr>
          <w:rFonts w:eastAsia="Calibri"/>
          <w:bCs/>
          <w:iCs/>
          <w:lang w:val="de-DE"/>
        </w:rPr>
      </w:pPr>
      <w:r w:rsidRPr="00DD2A86">
        <w:rPr>
          <w:rFonts w:eastAsia="Calibri"/>
          <w:b/>
          <w:bCs/>
          <w:i/>
          <w:iCs/>
          <w:lang w:val="de-DE"/>
        </w:rPr>
        <w:t xml:space="preserve">„Unterdruckventil: </w:t>
      </w:r>
      <w:r w:rsidRPr="00DD2A86">
        <w:rPr>
          <w:rFonts w:eastAsia="Calibri"/>
          <w:bCs/>
          <w:iCs/>
          <w:lang w:val="de-DE"/>
        </w:rPr>
        <w:t>Ein selbsttätiges Sicherheitsventil zum Schutz des Ladetanks gegen einen unzulässigen inneren Unterdruck. Wenn die Schiffsstoffliste nach Absatz 1.16.1.2.5 Stoffe enthält, für die nach Unterabschnitt 3.2.3.2 Tabelle C Spalte (17) Explosionsschutz gefordert ist, muss es deflagrationssicher gegenüber einer atmosphärischen Explosion für den kritischsten Stoff der Schiffsstoffliste ausgeführt sein. Die Deflagrationssicherheit muss nach der internationalen Norm ISO 16852:201</w:t>
      </w:r>
      <w:r w:rsidR="00D811E7" w:rsidRPr="00DD2A86">
        <w:rPr>
          <w:rFonts w:eastAsia="Calibri"/>
          <w:bCs/>
          <w:iCs/>
          <w:lang w:val="de-DE"/>
        </w:rPr>
        <w:t>6</w:t>
      </w:r>
      <w:r w:rsidRPr="00DD2A86">
        <w:rPr>
          <w:rFonts w:eastAsia="Calibri"/>
          <w:bCs/>
          <w:iCs/>
          <w:vertAlign w:val="superscript"/>
          <w:lang w:val="de-DE"/>
        </w:rPr>
        <w:footnoteReference w:id="26"/>
      </w:r>
      <w:r w:rsidRPr="00DD2A86">
        <w:rPr>
          <w:rFonts w:eastAsia="Calibri"/>
          <w:bCs/>
          <w:iCs/>
          <w:vertAlign w:val="superscript"/>
          <w:lang w:val="de-DE"/>
        </w:rPr>
        <w:t>)</w:t>
      </w:r>
      <w:r w:rsidRPr="00DD2A86">
        <w:rPr>
          <w:rFonts w:eastAsia="Calibri"/>
          <w:bCs/>
          <w:iCs/>
          <w:lang w:val="de-DE"/>
        </w:rPr>
        <w:t xml:space="preserve"> geprüft sein und es muss nachgewiesen sein, dass sie den anwendbaren Anforderungen entspricht (</w:t>
      </w:r>
      <w:r w:rsidR="00545FF2" w:rsidRPr="00DD2A86">
        <w:rPr>
          <w:rFonts w:eastAsia="Calibri"/>
          <w:bCs/>
          <w:iCs/>
          <w:lang w:val="de-DE"/>
        </w:rPr>
        <w:t>z.B.</w:t>
      </w:r>
      <w:r w:rsidRPr="00DD2A86">
        <w:rPr>
          <w:rFonts w:eastAsia="Calibri"/>
          <w:bCs/>
          <w:iCs/>
          <w:lang w:val="de-DE"/>
        </w:rPr>
        <w:t xml:space="preserve"> Konformitätsbewertungsverfahren nach Richtlinie </w:t>
      </w:r>
      <w:r w:rsidR="004E7BBC" w:rsidRPr="00DD2A86">
        <w:rPr>
          <w:rFonts w:eastAsia="Calibri"/>
          <w:bCs/>
          <w:iCs/>
          <w:lang w:val="de-DE"/>
        </w:rPr>
        <w:t>2014/34/EU</w:t>
      </w:r>
      <w:r w:rsidRPr="00DD2A86">
        <w:rPr>
          <w:rFonts w:eastAsia="Calibri"/>
          <w:bCs/>
          <w:iCs/>
          <w:vertAlign w:val="superscript"/>
          <w:lang w:val="de-DE"/>
        </w:rPr>
        <w:footnoteReference w:id="27"/>
      </w:r>
      <w:r w:rsidRPr="00DD2A86">
        <w:rPr>
          <w:rFonts w:eastAsia="Calibri"/>
          <w:bCs/>
          <w:iCs/>
          <w:vertAlign w:val="superscript"/>
          <w:lang w:val="de-DE"/>
        </w:rPr>
        <w:t>)</w:t>
      </w:r>
      <w:r w:rsidRPr="00DD2A86">
        <w:rPr>
          <w:rFonts w:eastAsia="Calibri"/>
          <w:bCs/>
          <w:iCs/>
          <w:lang w:val="de-DE"/>
        </w:rPr>
        <w:t>, oder ECE Trade 391</w:t>
      </w:r>
      <w:r w:rsidRPr="00DD2A86">
        <w:rPr>
          <w:rFonts w:eastAsia="Calibri"/>
          <w:bCs/>
          <w:iCs/>
          <w:vertAlign w:val="superscript"/>
          <w:lang w:val="de-DE"/>
        </w:rPr>
        <w:footnoteReference w:id="28"/>
      </w:r>
      <w:r w:rsidRPr="00DD2A86">
        <w:rPr>
          <w:rFonts w:eastAsia="Calibri"/>
          <w:bCs/>
          <w:iCs/>
          <w:vertAlign w:val="superscript"/>
          <w:lang w:val="de-DE"/>
        </w:rPr>
        <w:t xml:space="preserve">) </w:t>
      </w:r>
      <w:r w:rsidRPr="00DD2A86">
        <w:rPr>
          <w:rFonts w:eastAsia="Calibri"/>
          <w:bCs/>
          <w:iCs/>
          <w:lang w:val="de-DE"/>
        </w:rPr>
        <w:t>oder mindestens gleichwertig). Die Deflagrationssicherheit kann durch eine integrierte Flammensperre oder durch eine Flammendurchschlagsicherung (Deflagrationsendsicherung) gewährleistet werden.</w:t>
      </w:r>
    </w:p>
    <w:p w:rsidR="004F7853" w:rsidRPr="00DD2A86" w:rsidRDefault="004F7853" w:rsidP="00F04668">
      <w:pPr>
        <w:tabs>
          <w:tab w:val="left" w:pos="2268"/>
        </w:tabs>
        <w:spacing w:line="240" w:lineRule="auto"/>
        <w:ind w:left="1701" w:right="1134" w:hanging="567"/>
        <w:jc w:val="both"/>
        <w:rPr>
          <w:rFonts w:eastAsia="Calibri"/>
          <w:lang w:val="de-DE"/>
        </w:rPr>
      </w:pPr>
      <w:r w:rsidRPr="00DD2A86">
        <w:rPr>
          <w:rFonts w:eastAsia="Calibri"/>
          <w:b/>
          <w:lang w:val="de-DE"/>
        </w:rPr>
        <w:t>Bem</w:t>
      </w:r>
      <w:r w:rsidRPr="00DD2A86">
        <w:rPr>
          <w:rFonts w:eastAsia="Calibri"/>
          <w:lang w:val="de-DE"/>
        </w:rPr>
        <w:t>.</w:t>
      </w:r>
      <w:r w:rsidR="00F04668" w:rsidRPr="00DD2A86">
        <w:rPr>
          <w:rFonts w:eastAsia="Calibri"/>
          <w:lang w:val="de-DE"/>
        </w:rPr>
        <w:tab/>
      </w:r>
      <w:r w:rsidRPr="00DD2A86">
        <w:rPr>
          <w:rFonts w:eastAsia="Calibri"/>
          <w:lang w:val="de-DE"/>
        </w:rPr>
        <w:t>Im ADR werden solche Einrichtungen zum Schutz von Tanks als Vakuumventile bezeichnet.“.</w:t>
      </w:r>
    </w:p>
    <w:p w:rsidR="004F7853" w:rsidRPr="00DD2A86" w:rsidRDefault="004F7853" w:rsidP="00B61A90">
      <w:pPr>
        <w:tabs>
          <w:tab w:val="left" w:pos="2268"/>
        </w:tabs>
        <w:spacing w:before="240" w:line="240" w:lineRule="auto"/>
        <w:ind w:left="1134" w:right="1134"/>
        <w:jc w:val="both"/>
        <w:rPr>
          <w:rFonts w:eastAsia="Calibri"/>
          <w:iCs/>
          <w:lang w:val="de-DE" w:bidi="de-DE"/>
        </w:rPr>
      </w:pPr>
      <w:r w:rsidRPr="00DD2A86">
        <w:rPr>
          <w:rFonts w:eastAsia="Calibri"/>
          <w:iCs/>
          <w:lang w:val="de-DE" w:bidi="de-DE"/>
        </w:rPr>
        <w:t>1.2.1</w:t>
      </w:r>
      <w:r w:rsidRPr="00DD2A86">
        <w:rPr>
          <w:rFonts w:eastAsia="Calibri"/>
          <w:iCs/>
          <w:lang w:val="de-DE" w:bidi="de-DE"/>
        </w:rPr>
        <w:tab/>
      </w:r>
      <w:r w:rsidRPr="00DD2A86">
        <w:rPr>
          <w:rFonts w:eastAsia="Calibri"/>
          <w:iCs/>
          <w:lang w:val="de-DE" w:bidi="de-DE"/>
        </w:rPr>
        <w:tab/>
        <w:t xml:space="preserve">Die Begriffsbestimmung für </w:t>
      </w:r>
      <w:r w:rsidRPr="00DD2A86">
        <w:rPr>
          <w:rFonts w:eastAsia="Calibri"/>
          <w:i/>
          <w:iCs/>
          <w:lang w:val="de-DE" w:bidi="de-DE"/>
        </w:rPr>
        <w:t>„</w:t>
      </w:r>
      <w:r w:rsidRPr="00DD2A86">
        <w:rPr>
          <w:rFonts w:eastAsia="Calibri"/>
          <w:b/>
          <w:i/>
          <w:iCs/>
          <w:lang w:val="de-DE" w:bidi="de-DE"/>
        </w:rPr>
        <w:t>Zündschutzarten</w:t>
      </w:r>
      <w:r w:rsidRPr="00DD2A86">
        <w:rPr>
          <w:rFonts w:eastAsia="Calibri"/>
          <w:i/>
          <w:iCs/>
          <w:lang w:val="de-DE" w:bidi="de-DE"/>
        </w:rPr>
        <w:t xml:space="preserve">“ </w:t>
      </w:r>
      <w:r w:rsidRPr="00DD2A86">
        <w:rPr>
          <w:rFonts w:eastAsia="Calibri"/>
          <w:iCs/>
          <w:lang w:val="de-DE" w:bidi="de-DE"/>
        </w:rPr>
        <w:t>erhält folgenden Wortlaut:</w:t>
      </w:r>
    </w:p>
    <w:p w:rsidR="004F7853" w:rsidRPr="00DD2A86" w:rsidRDefault="004F7853" w:rsidP="00B61A90">
      <w:pPr>
        <w:tabs>
          <w:tab w:val="left" w:pos="7392"/>
        </w:tabs>
        <w:suppressAutoHyphens w:val="0"/>
        <w:spacing w:before="120" w:line="240" w:lineRule="auto"/>
        <w:ind w:left="1134" w:right="1134"/>
        <w:rPr>
          <w:rFonts w:eastAsia="Calibri"/>
          <w:b/>
          <w:i/>
          <w:lang w:val="de-DE"/>
        </w:rPr>
      </w:pPr>
      <w:r w:rsidRPr="00DD2A86">
        <w:rPr>
          <w:rFonts w:eastAsia="Calibri"/>
          <w:b/>
          <w:i/>
          <w:lang w:val="de-DE"/>
        </w:rPr>
        <w:t>„Zündschutzarten:</w:t>
      </w:r>
    </w:p>
    <w:p w:rsidR="004F7853" w:rsidRPr="00DD2A86" w:rsidRDefault="004F7853" w:rsidP="00B61A90">
      <w:pPr>
        <w:tabs>
          <w:tab w:val="left" w:pos="7392"/>
        </w:tabs>
        <w:suppressAutoHyphens w:val="0"/>
        <w:spacing w:line="240" w:lineRule="auto"/>
        <w:ind w:left="1134" w:right="1134"/>
        <w:rPr>
          <w:rFonts w:eastAsia="Calibri"/>
          <w:lang w:val="de-DE"/>
        </w:rPr>
      </w:pPr>
      <w:r w:rsidRPr="00DD2A86">
        <w:rPr>
          <w:rFonts w:eastAsia="Calibri"/>
          <w:lang w:val="de-DE"/>
        </w:rPr>
        <w:t>elektrische Geräte (siehe IEC 60079-0:</w:t>
      </w:r>
      <w:r w:rsidR="00D270BA" w:rsidRPr="00DD2A86">
        <w:rPr>
          <w:rFonts w:eastAsia="Calibri"/>
          <w:lang w:val="de-DE"/>
        </w:rPr>
        <w:t xml:space="preserve">2014 </w:t>
      </w:r>
      <w:r w:rsidRPr="00DD2A86">
        <w:rPr>
          <w:rFonts w:eastAsia="Calibri"/>
          <w:lang w:val="de-DE"/>
        </w:rPr>
        <w:t>oder mindestens gleichwertig)</w:t>
      </w:r>
    </w:p>
    <w:p w:rsidR="004F7853" w:rsidRPr="00DD2A86" w:rsidRDefault="004F7853" w:rsidP="00B61A90">
      <w:pPr>
        <w:widowControl w:val="0"/>
        <w:tabs>
          <w:tab w:val="left" w:pos="2977"/>
        </w:tabs>
        <w:suppressAutoHyphens w:val="0"/>
        <w:overflowPunct w:val="0"/>
        <w:autoSpaceDE w:val="0"/>
        <w:autoSpaceDN w:val="0"/>
        <w:adjustRightInd w:val="0"/>
        <w:spacing w:line="240" w:lineRule="auto"/>
        <w:ind w:left="1134" w:right="1134"/>
        <w:textAlignment w:val="baseline"/>
        <w:rPr>
          <w:iCs/>
          <w:lang w:val="de-DE" w:eastAsia="fr-FR"/>
        </w:rPr>
      </w:pPr>
      <w:r w:rsidRPr="00DD2A86">
        <w:rPr>
          <w:iCs/>
          <w:lang w:val="de-DE" w:eastAsia="fr-FR"/>
        </w:rPr>
        <w:t>EEx (d): druckfeste Kapselung (IEC 60079-1:2014 oder mindestens gleichwertig);</w:t>
      </w:r>
    </w:p>
    <w:p w:rsidR="004F7853" w:rsidRPr="00DD2A86" w:rsidRDefault="004F7853" w:rsidP="00B61A90">
      <w:pPr>
        <w:widowControl w:val="0"/>
        <w:tabs>
          <w:tab w:val="left" w:pos="2977"/>
        </w:tabs>
        <w:suppressAutoHyphens w:val="0"/>
        <w:overflowPunct w:val="0"/>
        <w:autoSpaceDE w:val="0"/>
        <w:autoSpaceDN w:val="0"/>
        <w:adjustRightInd w:val="0"/>
        <w:spacing w:line="240" w:lineRule="auto"/>
        <w:ind w:left="1134" w:right="1134"/>
        <w:textAlignment w:val="baseline"/>
        <w:rPr>
          <w:iCs/>
          <w:lang w:val="de-DE" w:eastAsia="fr-FR"/>
        </w:rPr>
      </w:pPr>
      <w:r w:rsidRPr="00DD2A86">
        <w:rPr>
          <w:iCs/>
          <w:lang w:val="de-DE" w:eastAsia="fr-FR"/>
        </w:rPr>
        <w:t>EEx (e): erhöhte Sicherheit  (IEC 60079-7:</w:t>
      </w:r>
      <w:r w:rsidR="00D270BA" w:rsidRPr="00DD2A86">
        <w:rPr>
          <w:iCs/>
          <w:lang w:val="de-DE" w:eastAsia="fr-FR"/>
        </w:rPr>
        <w:t xml:space="preserve">2016 </w:t>
      </w:r>
      <w:r w:rsidRPr="00DD2A86">
        <w:rPr>
          <w:iCs/>
          <w:lang w:val="de-DE" w:eastAsia="fr-FR"/>
        </w:rPr>
        <w:t>oder mindestens gleichwertig);</w:t>
      </w:r>
    </w:p>
    <w:p w:rsidR="004F7853" w:rsidRPr="00DD2A86" w:rsidRDefault="004F7853" w:rsidP="00B61A90">
      <w:pPr>
        <w:widowControl w:val="0"/>
        <w:tabs>
          <w:tab w:val="left" w:pos="2977"/>
        </w:tabs>
        <w:suppressAutoHyphens w:val="0"/>
        <w:overflowPunct w:val="0"/>
        <w:autoSpaceDE w:val="0"/>
        <w:autoSpaceDN w:val="0"/>
        <w:adjustRightInd w:val="0"/>
        <w:spacing w:line="240" w:lineRule="auto"/>
        <w:ind w:left="1134" w:right="1134"/>
        <w:textAlignment w:val="baseline"/>
        <w:rPr>
          <w:iCs/>
          <w:lang w:val="de-DE" w:eastAsia="fr-FR"/>
        </w:rPr>
      </w:pPr>
      <w:r w:rsidRPr="00DD2A86">
        <w:rPr>
          <w:iCs/>
          <w:lang w:val="de-DE" w:eastAsia="fr-FR"/>
        </w:rPr>
        <w:t>EEx (ia) und EEx (ib): Eigensicherheit (IEC 60079-11:</w:t>
      </w:r>
      <w:r w:rsidR="00D270BA" w:rsidRPr="00DD2A86">
        <w:rPr>
          <w:iCs/>
          <w:lang w:val="de-DE" w:eastAsia="fr-FR"/>
        </w:rPr>
        <w:t xml:space="preserve">2012 </w:t>
      </w:r>
      <w:r w:rsidRPr="00DD2A86">
        <w:rPr>
          <w:iCs/>
          <w:lang w:val="de-DE" w:eastAsia="fr-FR"/>
        </w:rPr>
        <w:t>oder mindestens gleichwertig);</w:t>
      </w:r>
    </w:p>
    <w:p w:rsidR="004F7853" w:rsidRPr="00DD2A86" w:rsidRDefault="004F7853" w:rsidP="00B61A90">
      <w:pPr>
        <w:widowControl w:val="0"/>
        <w:tabs>
          <w:tab w:val="left" w:pos="2977"/>
        </w:tabs>
        <w:suppressAutoHyphens w:val="0"/>
        <w:overflowPunct w:val="0"/>
        <w:autoSpaceDE w:val="0"/>
        <w:autoSpaceDN w:val="0"/>
        <w:adjustRightInd w:val="0"/>
        <w:spacing w:line="240" w:lineRule="auto"/>
        <w:ind w:left="1134" w:right="1134"/>
        <w:textAlignment w:val="baseline"/>
        <w:rPr>
          <w:iCs/>
          <w:lang w:val="de-DE" w:eastAsia="fr-FR"/>
        </w:rPr>
      </w:pPr>
      <w:r w:rsidRPr="00DD2A86">
        <w:rPr>
          <w:iCs/>
          <w:lang w:val="de-DE" w:eastAsia="fr-FR"/>
        </w:rPr>
        <w:t>EEx (m): Vergusskapselung (IEC 60079-18:</w:t>
      </w:r>
      <w:r w:rsidR="00D270BA" w:rsidRPr="00DD2A86">
        <w:rPr>
          <w:iCs/>
          <w:lang w:val="de-DE" w:eastAsia="fr-FR"/>
        </w:rPr>
        <w:t xml:space="preserve">2014 </w:t>
      </w:r>
      <w:r w:rsidRPr="00DD2A86">
        <w:rPr>
          <w:iCs/>
          <w:lang w:val="de-DE" w:eastAsia="fr-FR"/>
        </w:rPr>
        <w:t>oder mindestens gleichwertig);</w:t>
      </w:r>
    </w:p>
    <w:p w:rsidR="004F7853" w:rsidRPr="00DD2A86" w:rsidRDefault="004F7853" w:rsidP="00B61A90">
      <w:pPr>
        <w:widowControl w:val="0"/>
        <w:tabs>
          <w:tab w:val="left" w:pos="2977"/>
        </w:tabs>
        <w:suppressAutoHyphens w:val="0"/>
        <w:overflowPunct w:val="0"/>
        <w:autoSpaceDE w:val="0"/>
        <w:autoSpaceDN w:val="0"/>
        <w:adjustRightInd w:val="0"/>
        <w:spacing w:line="240" w:lineRule="auto"/>
        <w:ind w:left="1134" w:right="1134"/>
        <w:textAlignment w:val="baseline"/>
        <w:rPr>
          <w:iCs/>
          <w:lang w:val="de-DE" w:eastAsia="fr-FR"/>
        </w:rPr>
      </w:pPr>
      <w:r w:rsidRPr="00DD2A86">
        <w:rPr>
          <w:iCs/>
          <w:lang w:val="de-DE" w:eastAsia="fr-FR"/>
        </w:rPr>
        <w:t>EEx (p): Überdruckkapselung (IEC 60079-2:</w:t>
      </w:r>
      <w:r w:rsidR="00D270BA" w:rsidRPr="00DD2A86">
        <w:rPr>
          <w:iCs/>
          <w:lang w:val="de-DE" w:eastAsia="fr-FR"/>
        </w:rPr>
        <w:t xml:space="preserve">2015 </w:t>
      </w:r>
      <w:r w:rsidRPr="00DD2A86">
        <w:rPr>
          <w:iCs/>
          <w:lang w:val="de-DE" w:eastAsia="fr-FR"/>
        </w:rPr>
        <w:t>oder mindestens gleichwertig);</w:t>
      </w:r>
    </w:p>
    <w:p w:rsidR="004F7853" w:rsidRPr="00DD2A86" w:rsidRDefault="004F7853" w:rsidP="00B61A90">
      <w:pPr>
        <w:widowControl w:val="0"/>
        <w:tabs>
          <w:tab w:val="left" w:pos="2977"/>
        </w:tabs>
        <w:suppressAutoHyphens w:val="0"/>
        <w:overflowPunct w:val="0"/>
        <w:autoSpaceDE w:val="0"/>
        <w:autoSpaceDN w:val="0"/>
        <w:adjustRightInd w:val="0"/>
        <w:spacing w:line="240" w:lineRule="auto"/>
        <w:ind w:left="1134" w:right="1134"/>
        <w:textAlignment w:val="baseline"/>
        <w:rPr>
          <w:iCs/>
          <w:lang w:val="de-DE" w:eastAsia="fr-FR"/>
        </w:rPr>
      </w:pPr>
      <w:r w:rsidRPr="00DD2A86">
        <w:rPr>
          <w:iCs/>
          <w:lang w:val="de-DE" w:eastAsia="fr-FR"/>
        </w:rPr>
        <w:t>EEx (q): Sandkapselung (IEC 60079-5:</w:t>
      </w:r>
      <w:r w:rsidR="00D270BA" w:rsidRPr="00DD2A86">
        <w:rPr>
          <w:iCs/>
          <w:lang w:val="de-DE" w:eastAsia="fr-FR"/>
        </w:rPr>
        <w:t xml:space="preserve">2015 </w:t>
      </w:r>
      <w:r w:rsidRPr="00DD2A86">
        <w:rPr>
          <w:iCs/>
          <w:lang w:val="de-DE" w:eastAsia="fr-FR"/>
        </w:rPr>
        <w:t>oder mindestens gleichwertig).</w:t>
      </w:r>
    </w:p>
    <w:p w:rsidR="004F7853" w:rsidRPr="00DD2A86" w:rsidRDefault="004F7853" w:rsidP="00B61A90">
      <w:pPr>
        <w:widowControl w:val="0"/>
        <w:tabs>
          <w:tab w:val="left" w:pos="2977"/>
        </w:tabs>
        <w:suppressAutoHyphens w:val="0"/>
        <w:overflowPunct w:val="0"/>
        <w:autoSpaceDE w:val="0"/>
        <w:autoSpaceDN w:val="0"/>
        <w:adjustRightInd w:val="0"/>
        <w:spacing w:line="240" w:lineRule="auto"/>
        <w:ind w:left="1134" w:right="1134"/>
        <w:textAlignment w:val="baseline"/>
        <w:rPr>
          <w:iCs/>
          <w:lang w:val="de-DE" w:eastAsia="fr-FR"/>
        </w:rPr>
      </w:pPr>
    </w:p>
    <w:p w:rsidR="004F7853" w:rsidRPr="00DD2A86" w:rsidRDefault="004F7853" w:rsidP="00B61A90">
      <w:pPr>
        <w:widowControl w:val="0"/>
        <w:tabs>
          <w:tab w:val="left" w:pos="2977"/>
        </w:tabs>
        <w:suppressAutoHyphens w:val="0"/>
        <w:overflowPunct w:val="0"/>
        <w:autoSpaceDE w:val="0"/>
        <w:autoSpaceDN w:val="0"/>
        <w:adjustRightInd w:val="0"/>
        <w:spacing w:line="240" w:lineRule="auto"/>
        <w:ind w:left="1134" w:right="1134"/>
        <w:textAlignment w:val="baseline"/>
        <w:rPr>
          <w:iCs/>
          <w:lang w:val="de-DE" w:eastAsia="fr-FR"/>
        </w:rPr>
      </w:pPr>
      <w:r w:rsidRPr="00DD2A86">
        <w:rPr>
          <w:iCs/>
          <w:lang w:val="de-DE" w:eastAsia="fr-FR"/>
        </w:rPr>
        <w:t>nicht-elektrische Geräte (</w:t>
      </w:r>
      <w:r w:rsidR="00D270BA" w:rsidRPr="00DD2A86">
        <w:rPr>
          <w:iCs/>
          <w:lang w:val="de-DE" w:eastAsia="fr-FR"/>
        </w:rPr>
        <w:t>ISO 80079-36:2016</w:t>
      </w:r>
      <w:r w:rsidR="00D07671" w:rsidRPr="00DD2A86">
        <w:rPr>
          <w:iCs/>
          <w:lang w:val="de-DE" w:eastAsia="fr-FR"/>
        </w:rPr>
        <w:t xml:space="preserve"> </w:t>
      </w:r>
      <w:r w:rsidRPr="00DD2A86">
        <w:rPr>
          <w:iCs/>
          <w:lang w:val="de-DE" w:eastAsia="fr-FR"/>
        </w:rPr>
        <w:t>oder mindestens gleichwertig)</w:t>
      </w:r>
    </w:p>
    <w:p w:rsidR="004F7853" w:rsidRPr="00DD2A86" w:rsidRDefault="004F7853" w:rsidP="00B61A90">
      <w:pPr>
        <w:widowControl w:val="0"/>
        <w:tabs>
          <w:tab w:val="left" w:pos="2977"/>
        </w:tabs>
        <w:suppressAutoHyphens w:val="0"/>
        <w:overflowPunct w:val="0"/>
        <w:autoSpaceDE w:val="0"/>
        <w:autoSpaceDN w:val="0"/>
        <w:adjustRightInd w:val="0"/>
        <w:spacing w:line="240" w:lineRule="auto"/>
        <w:ind w:left="1134" w:right="1134"/>
        <w:textAlignment w:val="baseline"/>
        <w:rPr>
          <w:lang w:val="de-DE" w:eastAsia="fr-FR"/>
        </w:rPr>
      </w:pPr>
      <w:r w:rsidRPr="00DD2A86">
        <w:rPr>
          <w:lang w:val="de-DE" w:eastAsia="fr-FR"/>
        </w:rPr>
        <w:t>EEx (fr): schwadenhemmende Kapselung (EN 13463-2:2005 oder mindestens gleichwertig);</w:t>
      </w:r>
    </w:p>
    <w:p w:rsidR="004F7853" w:rsidRPr="00DD2A86" w:rsidRDefault="004F7853" w:rsidP="00B61A90">
      <w:pPr>
        <w:widowControl w:val="0"/>
        <w:tabs>
          <w:tab w:val="left" w:pos="2977"/>
        </w:tabs>
        <w:suppressAutoHyphens w:val="0"/>
        <w:overflowPunct w:val="0"/>
        <w:autoSpaceDE w:val="0"/>
        <w:autoSpaceDN w:val="0"/>
        <w:adjustRightInd w:val="0"/>
        <w:spacing w:line="240" w:lineRule="auto"/>
        <w:ind w:left="1134" w:right="1134"/>
        <w:textAlignment w:val="baseline"/>
        <w:rPr>
          <w:lang w:val="de-DE" w:eastAsia="fr-FR"/>
        </w:rPr>
      </w:pPr>
      <w:r w:rsidRPr="00DD2A86">
        <w:rPr>
          <w:lang w:val="de-DE" w:eastAsia="fr-FR"/>
        </w:rPr>
        <w:t>EEx (d): druckfeste Kapselung (EN 13463-3:2005 oder mindestens gleichwertig);</w:t>
      </w:r>
    </w:p>
    <w:p w:rsidR="004F7853" w:rsidRPr="00DD2A86" w:rsidRDefault="004F7853" w:rsidP="00B61A90">
      <w:pPr>
        <w:widowControl w:val="0"/>
        <w:tabs>
          <w:tab w:val="left" w:pos="2977"/>
        </w:tabs>
        <w:suppressAutoHyphens w:val="0"/>
        <w:overflowPunct w:val="0"/>
        <w:autoSpaceDE w:val="0"/>
        <w:autoSpaceDN w:val="0"/>
        <w:adjustRightInd w:val="0"/>
        <w:spacing w:line="240" w:lineRule="auto"/>
        <w:ind w:left="1134" w:right="1134"/>
        <w:textAlignment w:val="baseline"/>
        <w:rPr>
          <w:lang w:val="de-DE" w:eastAsia="fr-FR"/>
        </w:rPr>
      </w:pPr>
      <w:r w:rsidRPr="00DD2A86">
        <w:rPr>
          <w:lang w:val="de-DE" w:eastAsia="fr-FR"/>
        </w:rPr>
        <w:t xml:space="preserve">EEx (c): Schutz durch konstruktive Sicherheit (EN </w:t>
      </w:r>
      <w:r w:rsidR="00D270BA" w:rsidRPr="00DD2A86">
        <w:rPr>
          <w:lang w:val="de-DE" w:eastAsia="fr-FR"/>
        </w:rPr>
        <w:t xml:space="preserve">80079-37:2016 </w:t>
      </w:r>
      <w:r w:rsidRPr="00DD2A86">
        <w:rPr>
          <w:lang w:val="de-DE" w:eastAsia="fr-FR"/>
        </w:rPr>
        <w:t>oder mindestens gleichwertig);</w:t>
      </w:r>
    </w:p>
    <w:p w:rsidR="004F7853" w:rsidRPr="00DD2A86" w:rsidRDefault="004F7853" w:rsidP="00B61A90">
      <w:pPr>
        <w:widowControl w:val="0"/>
        <w:tabs>
          <w:tab w:val="left" w:pos="2977"/>
        </w:tabs>
        <w:suppressAutoHyphens w:val="0"/>
        <w:overflowPunct w:val="0"/>
        <w:autoSpaceDE w:val="0"/>
        <w:autoSpaceDN w:val="0"/>
        <w:adjustRightInd w:val="0"/>
        <w:spacing w:line="240" w:lineRule="auto"/>
        <w:ind w:left="1134" w:right="1134"/>
        <w:textAlignment w:val="baseline"/>
        <w:rPr>
          <w:lang w:val="de-DE" w:eastAsia="fr-FR"/>
        </w:rPr>
      </w:pPr>
      <w:r w:rsidRPr="00DD2A86">
        <w:rPr>
          <w:lang w:val="de-DE" w:eastAsia="fr-FR"/>
        </w:rPr>
        <w:t>EEx (b): Schutz durch Zündquellenüberwachung (EN 13463-6:2005 oder mindestens gleichwertig);</w:t>
      </w:r>
    </w:p>
    <w:p w:rsidR="004F7853" w:rsidRPr="00DD2A86" w:rsidRDefault="004F7853" w:rsidP="00B61A90">
      <w:pPr>
        <w:tabs>
          <w:tab w:val="left" w:pos="2268"/>
        </w:tabs>
        <w:spacing w:line="240" w:lineRule="auto"/>
        <w:ind w:left="1134" w:right="1134"/>
        <w:jc w:val="both"/>
        <w:rPr>
          <w:rFonts w:eastAsia="Calibri"/>
          <w:szCs w:val="24"/>
          <w:lang w:val="de-DE"/>
        </w:rPr>
      </w:pPr>
      <w:r w:rsidRPr="00DD2A86">
        <w:rPr>
          <w:rFonts w:eastAsia="Calibri"/>
          <w:szCs w:val="24"/>
          <w:lang w:val="de-DE"/>
        </w:rPr>
        <w:t>EEx (k):Schutz durch Flüssigkeitskapselung: (EN 13463-8:2003 oder mindestens gleichwertig).“.</w:t>
      </w:r>
    </w:p>
    <w:p w:rsidR="004F7853" w:rsidRPr="00DD2A86" w:rsidRDefault="004F7853" w:rsidP="00B61A90">
      <w:pPr>
        <w:tabs>
          <w:tab w:val="left" w:pos="2268"/>
        </w:tabs>
        <w:spacing w:before="240" w:line="240" w:lineRule="auto"/>
        <w:ind w:left="1134" w:right="1134"/>
        <w:jc w:val="both"/>
        <w:rPr>
          <w:snapToGrid w:val="0"/>
          <w:lang w:val="de-DE" w:bidi="de-DE"/>
        </w:rPr>
      </w:pPr>
      <w:r w:rsidRPr="00DD2A86">
        <w:rPr>
          <w:snapToGrid w:val="0"/>
          <w:lang w:val="de-DE" w:bidi="de-DE"/>
        </w:rPr>
        <w:t>1.2.1</w:t>
      </w:r>
      <w:r w:rsidRPr="00DD2A86">
        <w:rPr>
          <w:snapToGrid w:val="0"/>
          <w:lang w:val="de-DE" w:bidi="de-DE"/>
        </w:rPr>
        <w:tab/>
        <w:t>Folgende neue Begriffsbestimmungen in alphabetischer Reihenfolge einfügen:</w:t>
      </w:r>
    </w:p>
    <w:p w:rsidR="001801E1" w:rsidRPr="00DD2A86" w:rsidRDefault="001801E1" w:rsidP="001801E1">
      <w:pPr>
        <w:spacing w:before="120" w:after="120"/>
        <w:ind w:left="1134" w:right="1134"/>
        <w:jc w:val="both"/>
        <w:rPr>
          <w:rFonts w:eastAsia="SimSun"/>
          <w:lang w:val="de-DE" w:eastAsia="zh-CN"/>
        </w:rPr>
      </w:pPr>
      <w:r w:rsidRPr="00DD2A86">
        <w:rPr>
          <w:rFonts w:eastAsia="SimSun"/>
          <w:lang w:val="de-DE" w:eastAsia="zh-CN"/>
        </w:rPr>
        <w:t>„</w:t>
      </w:r>
      <w:r w:rsidRPr="00DD2A86">
        <w:rPr>
          <w:rFonts w:eastAsia="SimSun"/>
          <w:b/>
          <w:i/>
          <w:lang w:val="de-DE" w:eastAsia="zh-CN"/>
        </w:rPr>
        <w:t>Annahmestelle</w:t>
      </w:r>
      <w:r w:rsidRPr="00DD2A86">
        <w:rPr>
          <w:rFonts w:eastAsia="SimSun"/>
          <w:i/>
          <w:lang w:val="de-DE" w:eastAsia="zh-CN"/>
        </w:rPr>
        <w:t>:</w:t>
      </w:r>
      <w:r w:rsidRPr="00DD2A86">
        <w:rPr>
          <w:rFonts w:eastAsia="SimSun"/>
          <w:lang w:val="de-DE" w:eastAsia="zh-CN"/>
        </w:rPr>
        <w:t xml:space="preserve"> Eine stationäre oder mobile Einrichtung zur Annahme von Gasen und Dämpfen während des Entgasens von leeren oder entladenen Ladetanks und Lade- und Löschleitungen.“</w:t>
      </w:r>
      <w:r w:rsidR="00C56929" w:rsidRPr="00DD2A86">
        <w:rPr>
          <w:rFonts w:eastAsia="SimSun"/>
          <w:lang w:val="de-DE" w:eastAsia="zh-CN"/>
        </w:rPr>
        <w:t>.</w:t>
      </w:r>
    </w:p>
    <w:p w:rsidR="004F7853" w:rsidRPr="00DD2A86" w:rsidRDefault="004F7853" w:rsidP="00B61A90">
      <w:pPr>
        <w:tabs>
          <w:tab w:val="left" w:pos="2268"/>
        </w:tabs>
        <w:spacing w:before="120" w:line="240" w:lineRule="auto"/>
        <w:ind w:left="1134" w:right="1134"/>
        <w:jc w:val="both"/>
        <w:rPr>
          <w:snapToGrid w:val="0"/>
          <w:lang w:val="de-DE" w:eastAsia="fr-FR"/>
        </w:rPr>
      </w:pPr>
      <w:r w:rsidRPr="00DD2A86">
        <w:rPr>
          <w:b/>
          <w:lang w:val="de-DE"/>
        </w:rPr>
        <w:t>„</w:t>
      </w:r>
      <w:r w:rsidRPr="00DD2A86">
        <w:rPr>
          <w:b/>
          <w:i/>
          <w:lang w:val="de-DE"/>
        </w:rPr>
        <w:t>Autonome</w:t>
      </w:r>
      <w:r w:rsidRPr="00DD2A86">
        <w:rPr>
          <w:b/>
          <w:lang w:val="de-DE"/>
        </w:rPr>
        <w:t xml:space="preserve"> </w:t>
      </w:r>
      <w:r w:rsidRPr="00DD2A86">
        <w:rPr>
          <w:b/>
          <w:i/>
          <w:lang w:val="de-DE"/>
        </w:rPr>
        <w:t>Schutzsysteme</w:t>
      </w:r>
      <w:r w:rsidRPr="00DD2A86">
        <w:rPr>
          <w:b/>
          <w:lang w:val="de-DE"/>
        </w:rPr>
        <w:t>:</w:t>
      </w:r>
      <w:r w:rsidRPr="00DD2A86">
        <w:rPr>
          <w:lang w:val="de-DE"/>
        </w:rPr>
        <w:t xml:space="preserve"> Alle Vorrichtungen, die anlaufende Explosionen umgehend stoppen und/oder den von einer Explosion betroffenen Bereich begrenzen sollen und als autonome Systeme gesondert auf dem Markt bereitgestellt werden. Dazu zählen Flammendurchschlagssicherungen, Hochgeschwindigkeitsventile, deflagrationssichere Unterdruckventile und deflagrationssichere Vorrichtungen zum gefahrlosen Entspannen der Ladetanks</w:t>
      </w:r>
      <w:r w:rsidR="008D0C8C" w:rsidRPr="00DD2A86">
        <w:rPr>
          <w:lang w:val="de-DE"/>
        </w:rPr>
        <w:t xml:space="preserve"> </w:t>
      </w:r>
      <w:r w:rsidRPr="00DD2A86">
        <w:rPr>
          <w:snapToGrid w:val="0"/>
          <w:lang w:val="de-DE" w:eastAsia="fr-FR"/>
        </w:rPr>
        <w:t xml:space="preserve">(Siehe </w:t>
      </w:r>
      <w:r w:rsidR="00D434C9" w:rsidRPr="00DD2A86">
        <w:rPr>
          <w:snapToGrid w:val="0"/>
          <w:lang w:val="de-DE" w:eastAsia="fr-FR"/>
        </w:rPr>
        <w:t xml:space="preserve">auch </w:t>
      </w:r>
      <w:r w:rsidR="00D434C9" w:rsidRPr="00DD2A86">
        <w:rPr>
          <w:lang w:val="de-DE"/>
        </w:rPr>
        <w:t>Flammendurchschlagssicherung, Hochgeschwindigkeitsventil, Unterdruckventil</w:t>
      </w:r>
      <w:r w:rsidR="00C11E03" w:rsidRPr="00DD2A86">
        <w:rPr>
          <w:lang w:val="de-DE"/>
        </w:rPr>
        <w:t>,</w:t>
      </w:r>
      <w:r w:rsidR="00D434C9" w:rsidRPr="00DD2A86">
        <w:rPr>
          <w:lang w:val="de-DE"/>
        </w:rPr>
        <w:t xml:space="preserve"> </w:t>
      </w:r>
      <w:r w:rsidR="00C11E03" w:rsidRPr="00DD2A86">
        <w:rPr>
          <w:lang w:val="de-DE"/>
        </w:rPr>
        <w:t>Vorrichtung zum gefahrlosen Entspannen der Ladetanks und Deflagration).</w:t>
      </w:r>
      <w:r w:rsidRPr="00DD2A86">
        <w:rPr>
          <w:snapToGrid w:val="0"/>
          <w:lang w:val="de-DE" w:eastAsia="fr-FR"/>
        </w:rPr>
        <w:t>“.</w:t>
      </w:r>
    </w:p>
    <w:p w:rsidR="00F16EC8" w:rsidRPr="00DD2A86" w:rsidRDefault="00F16EC8" w:rsidP="00993052">
      <w:pPr>
        <w:spacing w:before="120" w:after="120"/>
        <w:ind w:left="1134" w:right="1134"/>
        <w:jc w:val="both"/>
        <w:rPr>
          <w:lang w:val="de-DE"/>
        </w:rPr>
      </w:pPr>
      <w:r w:rsidRPr="00DD2A86">
        <w:rPr>
          <w:lang w:val="de-DE"/>
        </w:rPr>
        <w:t>„</w:t>
      </w:r>
      <w:r w:rsidRPr="00DD2A86">
        <w:rPr>
          <w:b/>
          <w:i/>
          <w:lang w:val="de-DE"/>
        </w:rPr>
        <w:t>Durchmesser</w:t>
      </w:r>
      <w:r w:rsidRPr="00DD2A86">
        <w:rPr>
          <w:lang w:val="de-DE"/>
        </w:rPr>
        <w:t xml:space="preserve"> </w:t>
      </w:r>
      <w:r w:rsidRPr="00DD2A86">
        <w:rPr>
          <w:i/>
          <w:lang w:val="de-DE"/>
        </w:rPr>
        <w:t>(für Tankkörper von Tanks):</w:t>
      </w:r>
      <w:r w:rsidRPr="00DD2A86">
        <w:rPr>
          <w:lang w:val="de-DE"/>
        </w:rPr>
        <w:t xml:space="preserve"> Der innere Durchmesser des Tankkörpers.“</w:t>
      </w:r>
      <w:r w:rsidR="00C56929" w:rsidRPr="00DD2A86">
        <w:rPr>
          <w:lang w:val="de-DE"/>
        </w:rPr>
        <w:t>.</w:t>
      </w:r>
    </w:p>
    <w:p w:rsidR="001801E1" w:rsidRPr="00DD2A86" w:rsidRDefault="001801E1" w:rsidP="001801E1">
      <w:pPr>
        <w:spacing w:before="120" w:after="120"/>
        <w:ind w:left="1134" w:right="1133"/>
        <w:jc w:val="both"/>
        <w:rPr>
          <w:rFonts w:eastAsiaTheme="minorHAnsi"/>
          <w:lang w:val="de-DE"/>
        </w:rPr>
      </w:pPr>
      <w:r w:rsidRPr="00DD2A86">
        <w:rPr>
          <w:rFonts w:eastAsiaTheme="minorHAnsi"/>
          <w:lang w:val="de-DE"/>
        </w:rPr>
        <w:t>„</w:t>
      </w:r>
      <w:r w:rsidRPr="00DD2A86">
        <w:rPr>
          <w:rFonts w:eastAsiaTheme="minorHAnsi"/>
          <w:b/>
          <w:i/>
          <w:lang w:val="de-DE"/>
        </w:rPr>
        <w:t>Entgasen</w:t>
      </w:r>
      <w:r w:rsidRPr="00DD2A86">
        <w:rPr>
          <w:rFonts w:eastAsiaTheme="minorHAnsi"/>
          <w:lang w:val="de-DE"/>
        </w:rPr>
        <w:t>: Ein Vorgang zur Senkung der Konzentration gefährlicher Gase und Dämpfe in entladenen oder leeren Ladetanks durch Freisetzung in die Atmosphäre oder durch Abgabe an Annahmestellen.“.</w:t>
      </w:r>
    </w:p>
    <w:p w:rsidR="001801E1" w:rsidRPr="00DD2A86" w:rsidRDefault="001801E1" w:rsidP="001801E1">
      <w:pPr>
        <w:spacing w:before="120" w:after="120"/>
        <w:ind w:left="1134" w:right="1134"/>
        <w:jc w:val="both"/>
        <w:rPr>
          <w:rFonts w:eastAsiaTheme="minorHAnsi"/>
          <w:lang w:val="de-DE"/>
        </w:rPr>
      </w:pPr>
      <w:r w:rsidRPr="00DD2A86">
        <w:rPr>
          <w:rFonts w:eastAsiaTheme="minorHAnsi"/>
          <w:lang w:val="de-DE"/>
        </w:rPr>
        <w:t>„</w:t>
      </w:r>
      <w:r w:rsidRPr="00DD2A86">
        <w:rPr>
          <w:rFonts w:eastAsiaTheme="minorHAnsi"/>
          <w:b/>
          <w:i/>
          <w:lang w:val="de-DE"/>
        </w:rPr>
        <w:t>Explosionsbereich</w:t>
      </w:r>
      <w:r w:rsidRPr="00DD2A86">
        <w:rPr>
          <w:rFonts w:eastAsiaTheme="minorHAnsi"/>
          <w:lang w:val="de-DE"/>
        </w:rPr>
        <w:t>: Der unter bestimmten Testbedingungen ermittelte Bereich der Konzentration einer brennbaren Substanz oder eines Substanzgemischs in der Luft, in dem eine Explosion auftreten kann, bzw. der unter bestimmten Testbedingungen ermittelte Bereich der Konzentration einer brennbaren Substanz oder eines Substanzgemischs gemischt mit Luft/Inertgas, in dem eine Explosion auftreten kann.“.</w:t>
      </w:r>
    </w:p>
    <w:p w:rsidR="004F7853" w:rsidRPr="00DD2A86" w:rsidRDefault="004F7853" w:rsidP="00B61A90">
      <w:pPr>
        <w:suppressAutoHyphens w:val="0"/>
        <w:spacing w:before="240" w:line="276" w:lineRule="auto"/>
        <w:ind w:left="1134" w:right="1134"/>
        <w:jc w:val="both"/>
        <w:rPr>
          <w:rFonts w:eastAsia="Calibri"/>
          <w:lang w:val="de-DE"/>
        </w:rPr>
      </w:pPr>
      <w:r w:rsidRPr="00DD2A86">
        <w:rPr>
          <w:rFonts w:eastAsia="Calibri"/>
          <w:b/>
          <w:i/>
          <w:lang w:val="de-DE"/>
        </w:rPr>
        <w:t xml:space="preserve">„Explosionsschutz: </w:t>
      </w:r>
      <w:r w:rsidRPr="00DD2A86">
        <w:rPr>
          <w:rFonts w:eastAsia="Calibri"/>
          <w:lang w:val="de-DE"/>
        </w:rPr>
        <w:t>Summe der Anforderungen, die zu erfüllen, und der Maßnahmen, die zu ergreifen sind, um Schäden durch Explosionen zu vermeiden.</w:t>
      </w:r>
    </w:p>
    <w:p w:rsidR="004F7853" w:rsidRPr="00DD2A86" w:rsidRDefault="004F7853" w:rsidP="00B61A90">
      <w:pPr>
        <w:suppressAutoHyphens w:val="0"/>
        <w:spacing w:line="276" w:lineRule="auto"/>
        <w:ind w:left="1134" w:right="1134"/>
        <w:jc w:val="both"/>
        <w:rPr>
          <w:rFonts w:eastAsia="Calibri"/>
          <w:lang w:val="de-DE"/>
        </w:rPr>
      </w:pPr>
      <w:r w:rsidRPr="00DD2A86">
        <w:rPr>
          <w:rFonts w:eastAsia="Calibri"/>
          <w:lang w:val="de-DE"/>
        </w:rPr>
        <w:t>Dazu zählen:</w:t>
      </w:r>
    </w:p>
    <w:p w:rsidR="004F7853" w:rsidRPr="00DD2A86" w:rsidRDefault="004F7853" w:rsidP="00B61A90">
      <w:pPr>
        <w:suppressAutoHyphens w:val="0"/>
        <w:spacing w:line="276" w:lineRule="auto"/>
        <w:ind w:left="1134" w:right="1134"/>
        <w:jc w:val="both"/>
        <w:rPr>
          <w:rFonts w:eastAsia="Calibri"/>
          <w:lang w:val="de-DE"/>
        </w:rPr>
      </w:pPr>
      <w:r w:rsidRPr="00DD2A86">
        <w:rPr>
          <w:rFonts w:eastAsia="Calibri"/>
          <w:lang w:val="de-DE"/>
        </w:rPr>
        <w:t xml:space="preserve">Organisatorische Maßnahmen wie </w:t>
      </w:r>
      <w:r w:rsidR="00545FF2" w:rsidRPr="00DD2A86">
        <w:rPr>
          <w:rFonts w:eastAsia="Calibri"/>
          <w:lang w:val="de-DE"/>
        </w:rPr>
        <w:t>z.B.</w:t>
      </w:r>
      <w:r w:rsidRPr="00DD2A86">
        <w:rPr>
          <w:rFonts w:eastAsia="Calibri"/>
          <w:lang w:val="de-DE"/>
        </w:rPr>
        <w:t xml:space="preserve"> </w:t>
      </w:r>
    </w:p>
    <w:p w:rsidR="004F7853" w:rsidRPr="00DD2A86" w:rsidRDefault="00051ADB" w:rsidP="00051ADB">
      <w:pPr>
        <w:suppressAutoHyphens w:val="0"/>
        <w:autoSpaceDE w:val="0"/>
        <w:autoSpaceDN w:val="0"/>
        <w:adjustRightInd w:val="0"/>
        <w:spacing w:line="276" w:lineRule="auto"/>
        <w:ind w:left="1134" w:right="1134"/>
        <w:jc w:val="both"/>
        <w:rPr>
          <w:rFonts w:eastAsia="Calibri"/>
          <w:lang w:val="de-DE"/>
        </w:rPr>
      </w:pPr>
      <w:r w:rsidRPr="00DD2A86">
        <w:rPr>
          <w:rFonts w:eastAsia="Calibri"/>
          <w:lang w:val="de-DE"/>
        </w:rPr>
        <w:t>a)</w:t>
      </w:r>
      <w:r w:rsidRPr="00DD2A86">
        <w:rPr>
          <w:rFonts w:eastAsia="Calibri"/>
          <w:lang w:val="de-DE"/>
        </w:rPr>
        <w:tab/>
      </w:r>
      <w:r w:rsidR="009B738E" w:rsidRPr="00DD2A86">
        <w:rPr>
          <w:rFonts w:eastAsia="Calibri"/>
          <w:lang w:val="de-DE"/>
        </w:rPr>
        <w:t xml:space="preserve">Festlegung </w:t>
      </w:r>
      <w:r w:rsidR="004F7853" w:rsidRPr="00DD2A86">
        <w:rPr>
          <w:rFonts w:eastAsia="Calibri"/>
          <w:lang w:val="de-DE"/>
        </w:rPr>
        <w:t xml:space="preserve">von explosionsgefährdeten Bereichen (Zoneneinteilung), in denen explosionsfähige Atmosphäre als Gemisch aus Luft und </w:t>
      </w:r>
      <w:r w:rsidR="00F93E23" w:rsidRPr="00DD2A86">
        <w:rPr>
          <w:rFonts w:eastAsia="Calibri"/>
          <w:lang w:val="de-DE"/>
        </w:rPr>
        <w:t>brennbaren</w:t>
      </w:r>
      <w:r w:rsidR="009F5E24" w:rsidRPr="00DD2A86">
        <w:rPr>
          <w:rFonts w:eastAsia="Calibri"/>
          <w:lang w:val="de-DE"/>
        </w:rPr>
        <w:t xml:space="preserve"> </w:t>
      </w:r>
      <w:r w:rsidR="004F7853" w:rsidRPr="00DD2A86">
        <w:rPr>
          <w:rFonts w:eastAsia="Calibri"/>
          <w:lang w:val="de-DE"/>
        </w:rPr>
        <w:t xml:space="preserve">Gasen, Dämpfen oder Nebeln entweder </w:t>
      </w:r>
    </w:p>
    <w:p w:rsidR="004F7853" w:rsidRPr="00DD2A86" w:rsidRDefault="004F7853" w:rsidP="00B61A90">
      <w:pPr>
        <w:numPr>
          <w:ilvl w:val="0"/>
          <w:numId w:val="24"/>
        </w:numPr>
        <w:suppressAutoHyphens w:val="0"/>
        <w:autoSpaceDE w:val="0"/>
        <w:autoSpaceDN w:val="0"/>
        <w:adjustRightInd w:val="0"/>
        <w:spacing w:line="276" w:lineRule="auto"/>
        <w:ind w:left="1985" w:right="1134" w:hanging="426"/>
        <w:jc w:val="both"/>
        <w:rPr>
          <w:rFonts w:eastAsia="Calibri"/>
          <w:lang w:val="de-DE"/>
        </w:rPr>
      </w:pPr>
      <w:r w:rsidRPr="00DD2A86">
        <w:rPr>
          <w:rFonts w:eastAsia="Calibri"/>
          <w:lang w:val="de-DE"/>
        </w:rPr>
        <w:t>ständig, über lange Zeiträume oder häufig (Zone 0),</w:t>
      </w:r>
    </w:p>
    <w:p w:rsidR="004F7853" w:rsidRPr="00DD2A86" w:rsidRDefault="004F7853" w:rsidP="00B61A90">
      <w:pPr>
        <w:numPr>
          <w:ilvl w:val="0"/>
          <w:numId w:val="24"/>
        </w:numPr>
        <w:suppressAutoHyphens w:val="0"/>
        <w:autoSpaceDE w:val="0"/>
        <w:autoSpaceDN w:val="0"/>
        <w:adjustRightInd w:val="0"/>
        <w:spacing w:line="276" w:lineRule="auto"/>
        <w:ind w:left="1985" w:right="1134" w:hanging="426"/>
        <w:jc w:val="both"/>
        <w:rPr>
          <w:rFonts w:eastAsia="Calibri"/>
          <w:lang w:val="de-DE"/>
        </w:rPr>
      </w:pPr>
      <w:r w:rsidRPr="00DD2A86">
        <w:rPr>
          <w:rFonts w:eastAsia="Calibri"/>
          <w:lang w:val="de-DE"/>
        </w:rPr>
        <w:t xml:space="preserve">bei Normalbetrieb gelegentlich (Zone 1), oder </w:t>
      </w:r>
    </w:p>
    <w:p w:rsidR="004F7853" w:rsidRPr="00DD2A86" w:rsidRDefault="004F7853" w:rsidP="00B61A90">
      <w:pPr>
        <w:numPr>
          <w:ilvl w:val="0"/>
          <w:numId w:val="24"/>
        </w:numPr>
        <w:suppressAutoHyphens w:val="0"/>
        <w:autoSpaceDE w:val="0"/>
        <w:autoSpaceDN w:val="0"/>
        <w:adjustRightInd w:val="0"/>
        <w:spacing w:line="276" w:lineRule="auto"/>
        <w:ind w:left="1985" w:right="1134" w:hanging="426"/>
        <w:jc w:val="both"/>
        <w:rPr>
          <w:rFonts w:eastAsia="Calibri"/>
          <w:lang w:val="de-DE"/>
        </w:rPr>
      </w:pPr>
      <w:r w:rsidRPr="00DD2A86">
        <w:rPr>
          <w:rFonts w:eastAsia="Calibri"/>
          <w:lang w:val="de-DE"/>
        </w:rPr>
        <w:t>normalerweise nicht oder aber nur kurzzeitig (Zone 2),</w:t>
      </w:r>
    </w:p>
    <w:p w:rsidR="004F7853" w:rsidRPr="00DD2A86" w:rsidRDefault="004F7853" w:rsidP="00B61A90">
      <w:pPr>
        <w:suppressAutoHyphens w:val="0"/>
        <w:autoSpaceDE w:val="0"/>
        <w:autoSpaceDN w:val="0"/>
        <w:adjustRightInd w:val="0"/>
        <w:spacing w:line="276" w:lineRule="auto"/>
        <w:ind w:left="1560" w:right="1134"/>
        <w:jc w:val="both"/>
        <w:rPr>
          <w:rFonts w:eastAsia="Calibri"/>
          <w:lang w:val="de-DE"/>
        </w:rPr>
      </w:pPr>
      <w:r w:rsidRPr="00DD2A86">
        <w:rPr>
          <w:rFonts w:eastAsia="Calibri"/>
          <w:lang w:val="de-DE"/>
        </w:rPr>
        <w:t>auftreten kann (siehe Richtlinie 1999/92/EG</w:t>
      </w:r>
      <w:r w:rsidRPr="00DD2A86">
        <w:rPr>
          <w:rFonts w:eastAsia="Calibri"/>
          <w:vertAlign w:val="superscript"/>
          <w:lang w:val="de-DE"/>
        </w:rPr>
        <w:footnoteReference w:id="29"/>
      </w:r>
      <w:r w:rsidRPr="00DD2A86">
        <w:rPr>
          <w:rFonts w:eastAsia="Calibri"/>
          <w:vertAlign w:val="superscript"/>
          <w:lang w:val="de-DE"/>
        </w:rPr>
        <w:t>)</w:t>
      </w:r>
      <w:r w:rsidRPr="00DD2A86">
        <w:rPr>
          <w:rFonts w:eastAsia="Calibri"/>
          <w:lang w:val="de-DE"/>
        </w:rPr>
        <w:t>).</w:t>
      </w:r>
    </w:p>
    <w:p w:rsidR="004F7853" w:rsidRPr="00DD2A86" w:rsidRDefault="00051ADB" w:rsidP="00051ADB">
      <w:pPr>
        <w:suppressAutoHyphens w:val="0"/>
        <w:spacing w:line="276" w:lineRule="auto"/>
        <w:ind w:left="1134" w:right="1134"/>
        <w:jc w:val="both"/>
        <w:rPr>
          <w:rFonts w:eastAsia="Calibri"/>
          <w:lang w:val="de-DE"/>
        </w:rPr>
      </w:pPr>
      <w:r w:rsidRPr="00DD2A86">
        <w:rPr>
          <w:rFonts w:eastAsia="Calibri"/>
          <w:lang w:val="de-DE"/>
        </w:rPr>
        <w:t>b)</w:t>
      </w:r>
      <w:r w:rsidRPr="00DD2A86">
        <w:rPr>
          <w:rFonts w:eastAsia="Calibri"/>
          <w:lang w:val="de-DE"/>
        </w:rPr>
        <w:tab/>
      </w:r>
      <w:r w:rsidR="004F7853" w:rsidRPr="00DD2A86">
        <w:rPr>
          <w:rFonts w:eastAsia="Calibri"/>
          <w:lang w:val="de-DE"/>
        </w:rPr>
        <w:t>Vermeiden von Zündquellen (Verwenden von funkenarmen Werkzeugen, nicht Rauchen, Tragen persönlicher Schutzausrüstung einschließlich ableitfähiger Schuhe, nicht isolierender Handschuhe etc.)</w:t>
      </w:r>
    </w:p>
    <w:p w:rsidR="004F7853" w:rsidRPr="00DD2A86" w:rsidRDefault="00051ADB" w:rsidP="00051ADB">
      <w:pPr>
        <w:suppressAutoHyphens w:val="0"/>
        <w:spacing w:line="276" w:lineRule="auto"/>
        <w:ind w:left="1134" w:right="1134"/>
        <w:jc w:val="both"/>
        <w:rPr>
          <w:rFonts w:eastAsia="Calibri"/>
          <w:lang w:val="de-DE"/>
        </w:rPr>
      </w:pPr>
      <w:r w:rsidRPr="00DD2A86">
        <w:rPr>
          <w:rFonts w:eastAsia="Calibri"/>
          <w:lang w:val="de-DE"/>
        </w:rPr>
        <w:t xml:space="preserve">c) </w:t>
      </w:r>
      <w:r w:rsidRPr="00DD2A86">
        <w:rPr>
          <w:rFonts w:eastAsia="Calibri"/>
          <w:lang w:val="de-DE"/>
        </w:rPr>
        <w:tab/>
      </w:r>
      <w:r w:rsidR="004F7853" w:rsidRPr="00DD2A86">
        <w:rPr>
          <w:rFonts w:eastAsia="Calibri"/>
          <w:lang w:val="de-DE"/>
        </w:rPr>
        <w:t>Erstellen von Arbeitsanweisungen.</w:t>
      </w:r>
    </w:p>
    <w:p w:rsidR="004F7853" w:rsidRPr="00DD2A86" w:rsidRDefault="004F7853" w:rsidP="00B61A90">
      <w:pPr>
        <w:suppressAutoHyphens w:val="0"/>
        <w:spacing w:before="120" w:line="276" w:lineRule="auto"/>
        <w:ind w:left="1560" w:right="1134" w:hanging="426"/>
        <w:jc w:val="both"/>
        <w:rPr>
          <w:rFonts w:eastAsia="Calibri"/>
          <w:lang w:val="de-DE"/>
        </w:rPr>
      </w:pPr>
      <w:r w:rsidRPr="00DD2A86">
        <w:rPr>
          <w:rFonts w:eastAsia="Calibri"/>
          <w:lang w:val="de-DE"/>
        </w:rPr>
        <w:t>Sowie technische Anforderungen wie z.B.</w:t>
      </w:r>
    </w:p>
    <w:p w:rsidR="004F7853" w:rsidRPr="00DD2A86" w:rsidRDefault="00051ADB" w:rsidP="00051ADB">
      <w:pPr>
        <w:suppressAutoHyphens w:val="0"/>
        <w:spacing w:line="276" w:lineRule="auto"/>
        <w:ind w:left="1134" w:right="1134"/>
        <w:jc w:val="both"/>
        <w:rPr>
          <w:rFonts w:eastAsia="Calibri"/>
          <w:lang w:val="de-DE"/>
        </w:rPr>
      </w:pPr>
      <w:r w:rsidRPr="00DD2A86">
        <w:rPr>
          <w:rFonts w:eastAsia="Calibri"/>
          <w:lang w:val="de-DE"/>
        </w:rPr>
        <w:t xml:space="preserve">a) </w:t>
      </w:r>
      <w:r w:rsidRPr="00DD2A86">
        <w:rPr>
          <w:rFonts w:eastAsia="Calibri"/>
          <w:lang w:val="de-DE"/>
        </w:rPr>
        <w:tab/>
      </w:r>
      <w:r w:rsidR="004F7853" w:rsidRPr="00DD2A86">
        <w:rPr>
          <w:rFonts w:eastAsia="Calibri"/>
          <w:lang w:val="de-DE"/>
        </w:rPr>
        <w:t>Verwenden von Anlagen und Geräten, für die nachgewiesen ist, dass sie für den Betrieb in den jeweiligen explosionsgefäh</w:t>
      </w:r>
      <w:r w:rsidR="00861FEA" w:rsidRPr="00DD2A86">
        <w:rPr>
          <w:rFonts w:eastAsia="Calibri"/>
          <w:lang w:val="de-DE"/>
        </w:rPr>
        <w:t>rdeten Bereichen geeignet sind,</w:t>
      </w:r>
    </w:p>
    <w:p w:rsidR="004F7853" w:rsidRPr="00DD2A86" w:rsidRDefault="00051ADB" w:rsidP="00051ADB">
      <w:pPr>
        <w:suppressAutoHyphens w:val="0"/>
        <w:spacing w:line="276" w:lineRule="auto"/>
        <w:ind w:left="1134" w:right="1134"/>
        <w:jc w:val="both"/>
        <w:rPr>
          <w:rFonts w:eastAsia="Calibri"/>
          <w:lang w:val="de-DE"/>
        </w:rPr>
      </w:pPr>
      <w:r w:rsidRPr="00DD2A86">
        <w:rPr>
          <w:rFonts w:eastAsia="Calibri"/>
          <w:lang w:val="de-DE"/>
        </w:rPr>
        <w:t xml:space="preserve">b) </w:t>
      </w:r>
      <w:r w:rsidRPr="00DD2A86">
        <w:rPr>
          <w:rFonts w:eastAsia="Calibri"/>
          <w:lang w:val="de-DE"/>
        </w:rPr>
        <w:tab/>
      </w:r>
      <w:r w:rsidR="004F7853" w:rsidRPr="00DD2A86">
        <w:rPr>
          <w:rFonts w:eastAsia="Calibri"/>
          <w:lang w:val="de-DE"/>
        </w:rPr>
        <w:t>Ausrüsten mit autonomen Schutzsystemen</w:t>
      </w:r>
    </w:p>
    <w:p w:rsidR="004F7853" w:rsidRPr="00DD2A86" w:rsidRDefault="00051ADB" w:rsidP="00051ADB">
      <w:pPr>
        <w:suppressAutoHyphens w:val="0"/>
        <w:spacing w:line="276" w:lineRule="auto"/>
        <w:ind w:left="1134" w:right="1134"/>
        <w:jc w:val="both"/>
        <w:rPr>
          <w:rFonts w:eastAsia="Calibri"/>
          <w:lang w:val="de-DE"/>
        </w:rPr>
      </w:pPr>
      <w:r w:rsidRPr="00DD2A86">
        <w:rPr>
          <w:rFonts w:eastAsia="Calibri"/>
          <w:lang w:val="de-DE"/>
        </w:rPr>
        <w:t xml:space="preserve">c) </w:t>
      </w:r>
      <w:r w:rsidRPr="00DD2A86">
        <w:rPr>
          <w:rFonts w:eastAsia="Calibri"/>
          <w:lang w:val="de-DE"/>
        </w:rPr>
        <w:tab/>
      </w:r>
      <w:r w:rsidR="004F7853" w:rsidRPr="00DD2A86">
        <w:rPr>
          <w:rFonts w:eastAsia="Calibri"/>
          <w:lang w:val="de-DE"/>
        </w:rPr>
        <w:t>Überwachen der potentiell explosionsfähigen Atmosphäre durch Gasspüranlagen und Gasspürgeräte.“.</w:t>
      </w:r>
    </w:p>
    <w:p w:rsidR="004F7853" w:rsidRPr="00DD2A86" w:rsidRDefault="004F7853" w:rsidP="00B61A90">
      <w:pPr>
        <w:suppressAutoHyphens w:val="0"/>
        <w:spacing w:before="240" w:line="276" w:lineRule="auto"/>
        <w:ind w:left="1134" w:right="1134"/>
        <w:jc w:val="both"/>
        <w:rPr>
          <w:rFonts w:eastAsia="Calibri"/>
          <w:lang w:val="de-DE"/>
        </w:rPr>
      </w:pPr>
      <w:r w:rsidRPr="00DD2A86">
        <w:rPr>
          <w:rFonts w:eastAsia="Calibri"/>
          <w:b/>
          <w:i/>
          <w:lang w:val="de-DE"/>
        </w:rPr>
        <w:t xml:space="preserve">„Gerät </w:t>
      </w:r>
      <w:r w:rsidRPr="00DD2A86">
        <w:rPr>
          <w:rFonts w:eastAsia="Calibri"/>
          <w:lang w:val="de-DE"/>
        </w:rPr>
        <w:t xml:space="preserve">(siehe Richtlinie </w:t>
      </w:r>
      <w:r w:rsidR="004E7BBC" w:rsidRPr="00DD2A86">
        <w:rPr>
          <w:rFonts w:eastAsia="Calibri"/>
          <w:lang w:val="de-DE"/>
        </w:rPr>
        <w:t>2014/34/EU</w:t>
      </w:r>
      <w:r w:rsidRPr="00DD2A86">
        <w:rPr>
          <w:rFonts w:eastAsia="Calibri"/>
          <w:vertAlign w:val="superscript"/>
          <w:lang w:val="de-DE"/>
        </w:rPr>
        <w:footnoteReference w:id="30"/>
      </w:r>
      <w:r w:rsidRPr="00DD2A86">
        <w:rPr>
          <w:rFonts w:eastAsia="Calibri"/>
          <w:vertAlign w:val="superscript"/>
          <w:lang w:val="de-DE"/>
        </w:rPr>
        <w:t>)</w:t>
      </w:r>
      <w:r w:rsidRPr="00DD2A86">
        <w:rPr>
          <w:rFonts w:eastAsia="Calibri"/>
          <w:lang w:val="de-DE"/>
        </w:rPr>
        <w:t>): Elektrische oder nicht-elektrische Maschinen, Betriebsmittel, stationäre oder ortsbewegliche Vorrichtungen, Steuerungs- und Ausrüstungsteile sowie Warn- und Vorbeugungssysteme, die einzeln oder kombiniert zur Erzeugung, Übertragung, Speicherung, Messung, Regelung und Umwandlung von Energien und/oder zur Verarbeitung von Werkstoffen bestimmt sind und die eigene potentielle Zündquellen aufweisen und dadurch eine Explosion verursachen können.</w:t>
      </w:r>
    </w:p>
    <w:p w:rsidR="004F7853" w:rsidRPr="00DD2A86" w:rsidRDefault="004F7853" w:rsidP="00BA1F0F">
      <w:pPr>
        <w:tabs>
          <w:tab w:val="left" w:pos="2268"/>
        </w:tabs>
        <w:spacing w:before="120"/>
        <w:ind w:left="1134" w:right="1134"/>
        <w:jc w:val="both"/>
        <w:rPr>
          <w:rFonts w:eastAsia="Calibri"/>
          <w:lang w:val="de-DE"/>
        </w:rPr>
      </w:pPr>
      <w:r w:rsidRPr="00DD2A86">
        <w:rPr>
          <w:rFonts w:eastAsia="Calibri"/>
          <w:lang w:val="de-DE"/>
        </w:rPr>
        <w:t xml:space="preserve">Hierzu zählen nicht Geräte </w:t>
      </w:r>
      <w:r w:rsidR="00C90D1B" w:rsidRPr="00DD2A86">
        <w:rPr>
          <w:rFonts w:eastAsia="Calibri"/>
          <w:lang w:val="de-DE"/>
        </w:rPr>
        <w:t xml:space="preserve">und Gegenstände </w:t>
      </w:r>
      <w:r w:rsidRPr="00DD2A86">
        <w:rPr>
          <w:rFonts w:eastAsia="Calibri"/>
          <w:lang w:val="de-DE"/>
        </w:rPr>
        <w:t>die einer UN-Nummer zugeordnet sind und als Ladung befördert werden.“.</w:t>
      </w:r>
    </w:p>
    <w:p w:rsidR="004F7853" w:rsidRPr="00DD2A86" w:rsidRDefault="004F7853" w:rsidP="00B61A90">
      <w:pPr>
        <w:suppressAutoHyphens w:val="0"/>
        <w:spacing w:before="240" w:line="276" w:lineRule="auto"/>
        <w:ind w:left="1134" w:right="1134"/>
        <w:jc w:val="both"/>
        <w:rPr>
          <w:rFonts w:eastAsia="Calibri"/>
          <w:lang w:val="de-DE"/>
        </w:rPr>
      </w:pPr>
      <w:r w:rsidRPr="00DD2A86">
        <w:rPr>
          <w:rFonts w:eastAsia="Calibri"/>
          <w:b/>
          <w:i/>
          <w:lang w:val="de-DE"/>
        </w:rPr>
        <w:t>„Gerät zum Einsatz in explosionsgefährdeten Bereichen</w:t>
      </w:r>
      <w:r w:rsidRPr="00DD2A86">
        <w:rPr>
          <w:rFonts w:eastAsia="Calibri"/>
          <w:b/>
          <w:lang w:val="de-DE"/>
        </w:rPr>
        <w:t xml:space="preserve">: </w:t>
      </w:r>
      <w:r w:rsidRPr="00DD2A86">
        <w:rPr>
          <w:rFonts w:eastAsia="Calibri"/>
          <w:lang w:val="de-DE"/>
        </w:rPr>
        <w:t>Elektrisches oder nicht-elektrisches Gerät, bei dem Maßnahmen getroffen sind, die verhindern, dass geräteeigene Zündquellen wirksam werden können. Solche Geräte müssen die Anforderungen für den Einsatz in der jeweiligen Zone erfüllen. Sie müssen entsprechend ihrer Zündschutzart geprüft sein und es muss nachgewiesen sein, dass sie den anwendbaren Anforderungen entsprechen (</w:t>
      </w:r>
      <w:r w:rsidR="00545FF2" w:rsidRPr="00DD2A86">
        <w:rPr>
          <w:rFonts w:eastAsia="Calibri"/>
          <w:lang w:val="de-DE"/>
        </w:rPr>
        <w:t>z.B.</w:t>
      </w:r>
      <w:r w:rsidRPr="00DD2A86">
        <w:rPr>
          <w:rFonts w:eastAsia="Calibri"/>
          <w:lang w:val="de-DE"/>
        </w:rPr>
        <w:t xml:space="preserve"> Konformitätsbewertungsverfahren nach Richtlinie </w:t>
      </w:r>
      <w:r w:rsidR="004E7BBC" w:rsidRPr="00DD2A86">
        <w:rPr>
          <w:rFonts w:eastAsia="Calibri"/>
          <w:lang w:val="de-DE"/>
        </w:rPr>
        <w:t>2014/34/EU</w:t>
      </w:r>
      <w:r w:rsidRPr="00DD2A86">
        <w:rPr>
          <w:rFonts w:eastAsia="Calibri"/>
          <w:vertAlign w:val="superscript"/>
          <w:lang w:val="de-DE"/>
        </w:rPr>
        <w:footnoteReference w:id="31"/>
      </w:r>
      <w:r w:rsidRPr="00DD2A86">
        <w:rPr>
          <w:rFonts w:eastAsia="Calibri"/>
          <w:vertAlign w:val="superscript"/>
          <w:lang w:val="de-DE"/>
        </w:rPr>
        <w:t>)</w:t>
      </w:r>
      <w:r w:rsidRPr="00DD2A86">
        <w:rPr>
          <w:rFonts w:eastAsia="Calibri"/>
          <w:lang w:val="de-DE"/>
        </w:rPr>
        <w:t xml:space="preserve"> oder IECEx-System</w:t>
      </w:r>
      <w:r w:rsidRPr="00DD2A86">
        <w:rPr>
          <w:rFonts w:eastAsia="Calibri"/>
          <w:vertAlign w:val="superscript"/>
          <w:lang w:val="de-DE"/>
        </w:rPr>
        <w:footnoteReference w:id="32"/>
      </w:r>
      <w:r w:rsidRPr="00DD2A86">
        <w:rPr>
          <w:rFonts w:eastAsia="Calibri"/>
          <w:vertAlign w:val="superscript"/>
          <w:lang w:val="de-DE"/>
        </w:rPr>
        <w:t>)</w:t>
      </w:r>
      <w:r w:rsidRPr="00DD2A86">
        <w:rPr>
          <w:rFonts w:eastAsia="Calibri"/>
          <w:lang w:val="de-DE"/>
        </w:rPr>
        <w:t xml:space="preserve"> oder ECE Trade 391</w:t>
      </w:r>
      <w:r w:rsidRPr="00DD2A86">
        <w:rPr>
          <w:rFonts w:eastAsia="Calibri"/>
          <w:vertAlign w:val="superscript"/>
          <w:lang w:val="de-DE"/>
        </w:rPr>
        <w:footnoteReference w:id="33"/>
      </w:r>
      <w:r w:rsidRPr="00DD2A86">
        <w:rPr>
          <w:rFonts w:eastAsia="Calibri"/>
          <w:vertAlign w:val="superscript"/>
          <w:lang w:val="de-DE"/>
        </w:rPr>
        <w:t>)</w:t>
      </w:r>
      <w:r w:rsidRPr="00DD2A86">
        <w:rPr>
          <w:rFonts w:eastAsia="Calibri"/>
          <w:lang w:val="de-DE"/>
        </w:rPr>
        <w:t xml:space="preserve"> oder mindestens gleichwertig).“.</w:t>
      </w:r>
    </w:p>
    <w:p w:rsidR="004F7853" w:rsidRPr="00DD2A86" w:rsidRDefault="004F7853" w:rsidP="00B61A90">
      <w:pPr>
        <w:suppressAutoHyphens w:val="0"/>
        <w:autoSpaceDE w:val="0"/>
        <w:autoSpaceDN w:val="0"/>
        <w:adjustRightInd w:val="0"/>
        <w:spacing w:before="240"/>
        <w:ind w:left="1134" w:right="1134"/>
        <w:jc w:val="both"/>
        <w:rPr>
          <w:rFonts w:eastAsia="Calibri"/>
          <w:lang w:val="de-DE"/>
        </w:rPr>
      </w:pPr>
      <w:r w:rsidRPr="00DD2A86">
        <w:rPr>
          <w:rFonts w:eastAsia="Calibri"/>
          <w:b/>
          <w:i/>
          <w:lang w:val="de-DE"/>
        </w:rPr>
        <w:t xml:space="preserve">„Gerätekategorie </w:t>
      </w:r>
      <w:r w:rsidRPr="00DD2A86">
        <w:rPr>
          <w:rFonts w:eastAsia="Calibri"/>
          <w:lang w:val="de-DE"/>
        </w:rPr>
        <w:t xml:space="preserve">(siehe Richtlinie </w:t>
      </w:r>
      <w:r w:rsidR="004E7BBC" w:rsidRPr="00DD2A86">
        <w:rPr>
          <w:rFonts w:eastAsia="Calibri"/>
          <w:lang w:val="de-DE"/>
        </w:rPr>
        <w:t>2014/34/EU</w:t>
      </w:r>
      <w:r w:rsidRPr="00DD2A86">
        <w:rPr>
          <w:rFonts w:eastAsia="Calibri"/>
          <w:vertAlign w:val="superscript"/>
          <w:lang w:val="de-DE"/>
        </w:rPr>
        <w:footnoteReference w:id="34"/>
      </w:r>
      <w:r w:rsidRPr="00DD2A86">
        <w:rPr>
          <w:rFonts w:eastAsia="Calibri"/>
          <w:vertAlign w:val="superscript"/>
          <w:lang w:val="de-DE"/>
        </w:rPr>
        <w:t>)</w:t>
      </w:r>
      <w:r w:rsidRPr="00DD2A86">
        <w:rPr>
          <w:rFonts w:eastAsia="Calibri"/>
          <w:lang w:val="de-DE"/>
        </w:rPr>
        <w:t>): Einteilung von Geräten zum Einsatz in explosionsgefährdeten Bereichen, aus der sich das erforderliche Maß an Sicherheit, das gewährleistet werden muss, ergibt.</w:t>
      </w:r>
    </w:p>
    <w:p w:rsidR="004F7853" w:rsidRPr="00DD2A86" w:rsidRDefault="004F7853" w:rsidP="00BA1F0F">
      <w:pPr>
        <w:suppressAutoHyphens w:val="0"/>
        <w:autoSpaceDE w:val="0"/>
        <w:autoSpaceDN w:val="0"/>
        <w:adjustRightInd w:val="0"/>
        <w:spacing w:before="120"/>
        <w:ind w:left="1134" w:right="1134"/>
        <w:jc w:val="both"/>
        <w:rPr>
          <w:rFonts w:eastAsia="Calibri"/>
          <w:lang w:val="de-DE"/>
        </w:rPr>
      </w:pPr>
      <w:r w:rsidRPr="00DD2A86">
        <w:rPr>
          <w:rFonts w:eastAsia="Calibri"/>
          <w:lang w:val="de-DE"/>
        </w:rPr>
        <w:t>Die Gerätekategorie 1 umfasst Geräte, die konstruktiv so gestaltet sind, dass sie in Übereinstimmung mit den vom Hersteller angegebenen Kenngrößen betrieben werden können und ein sehr hohes M</w:t>
      </w:r>
      <w:r w:rsidR="008D07AE" w:rsidRPr="00DD2A86">
        <w:rPr>
          <w:rFonts w:eastAsia="Calibri"/>
          <w:lang w:val="de-DE"/>
        </w:rPr>
        <w:t>aß an Sicherheit gewährleisten.</w:t>
      </w:r>
    </w:p>
    <w:p w:rsidR="004F7853" w:rsidRPr="00DD2A86" w:rsidRDefault="004F7853" w:rsidP="00BA1F0F">
      <w:pPr>
        <w:suppressAutoHyphens w:val="0"/>
        <w:autoSpaceDE w:val="0"/>
        <w:autoSpaceDN w:val="0"/>
        <w:adjustRightInd w:val="0"/>
        <w:spacing w:before="120"/>
        <w:ind w:left="1134" w:right="1134"/>
        <w:jc w:val="both"/>
        <w:rPr>
          <w:rFonts w:eastAsia="Calibri"/>
          <w:lang w:val="de-DE"/>
        </w:rPr>
      </w:pPr>
      <w:r w:rsidRPr="00DD2A86">
        <w:rPr>
          <w:rFonts w:eastAsia="Calibri"/>
          <w:lang w:val="de-DE"/>
        </w:rPr>
        <w:t>Geräte dieser Kategorie sind zur Verwendung in Bereichen bestimmt, in denen eine explosionsfähige Atmosphäre, die aus einem Gemisch von Luft und Gasen, Dämpfen oder Nebeln oder aus Staub/Luft-Gemischen besteht, ständig oder langze</w:t>
      </w:r>
      <w:r w:rsidR="00FA6A72" w:rsidRPr="00DD2A86">
        <w:rPr>
          <w:rFonts w:eastAsia="Calibri"/>
          <w:lang w:val="de-DE"/>
        </w:rPr>
        <w:t>itig oder häufig vorhanden ist.</w:t>
      </w:r>
    </w:p>
    <w:p w:rsidR="004F7853" w:rsidRPr="00DD2A86" w:rsidRDefault="004F7853" w:rsidP="00BA1F0F">
      <w:pPr>
        <w:suppressAutoHyphens w:val="0"/>
        <w:autoSpaceDE w:val="0"/>
        <w:autoSpaceDN w:val="0"/>
        <w:adjustRightInd w:val="0"/>
        <w:spacing w:before="120"/>
        <w:ind w:left="1134" w:right="1134"/>
        <w:jc w:val="both"/>
        <w:rPr>
          <w:rFonts w:eastAsia="Calibri"/>
          <w:lang w:val="de-DE"/>
        </w:rPr>
      </w:pPr>
      <w:r w:rsidRPr="00DD2A86">
        <w:rPr>
          <w:rFonts w:eastAsia="Calibri"/>
          <w:lang w:val="de-DE"/>
        </w:rPr>
        <w:t>Geräte dieser Kategorie müssen selbst bei selten auftretenden Gerätestörungen das erforderliche Maß an Sicherheit gewährleisten und weisen daher Explosionsschutzmaßnahmen auf, so dass</w:t>
      </w:r>
    </w:p>
    <w:p w:rsidR="004F7853" w:rsidRPr="00DD2A86" w:rsidRDefault="004F7853" w:rsidP="00B61A90">
      <w:pPr>
        <w:suppressAutoHyphens w:val="0"/>
        <w:autoSpaceDE w:val="0"/>
        <w:autoSpaceDN w:val="0"/>
        <w:adjustRightInd w:val="0"/>
        <w:ind w:left="1560" w:right="1134" w:hanging="426"/>
        <w:jc w:val="both"/>
        <w:rPr>
          <w:rFonts w:eastAsia="Calibri"/>
          <w:lang w:val="de-DE"/>
        </w:rPr>
      </w:pPr>
      <w:r w:rsidRPr="00DD2A86">
        <w:rPr>
          <w:rFonts w:eastAsia="Calibri"/>
          <w:lang w:val="de-DE"/>
        </w:rPr>
        <w:t>-</w:t>
      </w:r>
      <w:r w:rsidRPr="00DD2A86">
        <w:rPr>
          <w:rFonts w:eastAsia="Calibri"/>
          <w:lang w:val="de-DE"/>
        </w:rPr>
        <w:tab/>
        <w:t>beim Versagen einer apparativen Schutzmaßnahme mindestens eine zweite unabhängige apparative Schutzmaßnahme die erforderlich</w:t>
      </w:r>
      <w:r w:rsidR="00FA6A72" w:rsidRPr="00DD2A86">
        <w:rPr>
          <w:rFonts w:eastAsia="Calibri"/>
          <w:lang w:val="de-DE"/>
        </w:rPr>
        <w:t>e Sicherheit gewährleistet oder</w:t>
      </w:r>
    </w:p>
    <w:p w:rsidR="004F7853" w:rsidRPr="00DD2A86" w:rsidRDefault="004F7853" w:rsidP="00B61A90">
      <w:pPr>
        <w:suppressAutoHyphens w:val="0"/>
        <w:autoSpaceDE w:val="0"/>
        <w:autoSpaceDN w:val="0"/>
        <w:adjustRightInd w:val="0"/>
        <w:ind w:left="1560" w:right="1134" w:hanging="426"/>
        <w:jc w:val="both"/>
        <w:rPr>
          <w:rFonts w:eastAsia="Calibri"/>
          <w:lang w:val="de-DE"/>
        </w:rPr>
      </w:pPr>
      <w:r w:rsidRPr="00DD2A86">
        <w:rPr>
          <w:rFonts w:eastAsia="Calibri"/>
          <w:lang w:val="de-DE"/>
        </w:rPr>
        <w:t>-</w:t>
      </w:r>
      <w:r w:rsidRPr="00DD2A86">
        <w:rPr>
          <w:rFonts w:eastAsia="Calibri"/>
          <w:lang w:val="de-DE"/>
        </w:rPr>
        <w:tab/>
        <w:t>beim Auftreten von zwei unabhängigen Fehlern die erforderliche Sicherheit gewährleist</w:t>
      </w:r>
      <w:r w:rsidR="00FA6A72" w:rsidRPr="00DD2A86">
        <w:rPr>
          <w:rFonts w:eastAsia="Calibri"/>
          <w:lang w:val="de-DE"/>
        </w:rPr>
        <w:t>et wird.</w:t>
      </w:r>
    </w:p>
    <w:p w:rsidR="00786DFA" w:rsidRPr="00DD2A86" w:rsidRDefault="004F7853" w:rsidP="00B61A90">
      <w:pPr>
        <w:suppressAutoHyphens w:val="0"/>
        <w:autoSpaceDE w:val="0"/>
        <w:autoSpaceDN w:val="0"/>
        <w:adjustRightInd w:val="0"/>
        <w:ind w:left="1134" w:right="1134"/>
        <w:jc w:val="both"/>
        <w:rPr>
          <w:rFonts w:eastAsia="Calibri"/>
          <w:lang w:val="de-DE"/>
        </w:rPr>
      </w:pPr>
      <w:r w:rsidRPr="00DD2A86">
        <w:rPr>
          <w:rFonts w:eastAsia="Calibri"/>
          <w:lang w:val="de-DE"/>
        </w:rPr>
        <w:t xml:space="preserve">Kategorie-1-Geräte nach Richtlinie </w:t>
      </w:r>
      <w:r w:rsidR="004E7BBC" w:rsidRPr="00DD2A86">
        <w:rPr>
          <w:rFonts w:eastAsia="Calibri"/>
          <w:lang w:val="de-DE"/>
        </w:rPr>
        <w:t>2014/34/EU</w:t>
      </w:r>
      <w:r w:rsidRPr="00DD2A86">
        <w:rPr>
          <w:rFonts w:eastAsia="Calibri"/>
          <w:vertAlign w:val="superscript"/>
          <w:lang w:val="de-DE"/>
        </w:rPr>
        <w:footnoteReference w:id="35"/>
      </w:r>
      <w:r w:rsidRPr="00DD2A86">
        <w:rPr>
          <w:rFonts w:eastAsia="Calibri"/>
          <w:vertAlign w:val="superscript"/>
          <w:lang w:val="de-DE"/>
        </w:rPr>
        <w:t xml:space="preserve">) </w:t>
      </w:r>
      <w:r w:rsidRPr="00DD2A86">
        <w:rPr>
          <w:rFonts w:eastAsia="Calibri"/>
          <w:lang w:val="de-DE"/>
        </w:rPr>
        <w:t xml:space="preserve"> haben die Kennzeichnung II 1 G. Sie entsprechen EPL</w:t>
      </w:r>
      <w:r w:rsidRPr="00DD2A86">
        <w:rPr>
          <w:rFonts w:eastAsia="Calibri"/>
          <w:vertAlign w:val="superscript"/>
          <w:lang w:val="de-DE"/>
        </w:rPr>
        <w:footnoteReference w:id="36"/>
      </w:r>
      <w:r w:rsidRPr="00DD2A86">
        <w:rPr>
          <w:rFonts w:eastAsia="Calibri"/>
          <w:vertAlign w:val="superscript"/>
          <w:lang w:val="de-DE"/>
        </w:rPr>
        <w:t>)</w:t>
      </w:r>
      <w:r w:rsidR="008D07AE" w:rsidRPr="00DD2A86">
        <w:rPr>
          <w:rFonts w:eastAsia="Calibri"/>
          <w:vertAlign w:val="superscript"/>
          <w:lang w:val="de-DE"/>
        </w:rPr>
        <w:t xml:space="preserve"> </w:t>
      </w:r>
      <w:r w:rsidR="008D07AE" w:rsidRPr="00DD2A86">
        <w:rPr>
          <w:rFonts w:eastAsia="Calibri"/>
          <w:lang w:val="de-DE"/>
        </w:rPr>
        <w:t>„</w:t>
      </w:r>
      <w:r w:rsidRPr="00DD2A86">
        <w:rPr>
          <w:rFonts w:eastAsia="Calibri"/>
          <w:lang w:val="de-DE"/>
        </w:rPr>
        <w:t>Ga</w:t>
      </w:r>
      <w:r w:rsidR="008D07AE" w:rsidRPr="00DD2A86">
        <w:rPr>
          <w:rFonts w:eastAsia="Calibri"/>
          <w:lang w:val="de-DE"/>
        </w:rPr>
        <w:t>“</w:t>
      </w:r>
      <w:r w:rsidRPr="00DD2A86">
        <w:rPr>
          <w:rFonts w:eastAsia="Calibri"/>
          <w:lang w:val="de-DE"/>
        </w:rPr>
        <w:t xml:space="preserve"> nach IEC 60079-0.</w:t>
      </w:r>
    </w:p>
    <w:p w:rsidR="004F7853" w:rsidRPr="00DD2A86" w:rsidRDefault="004F7853" w:rsidP="00B61A90">
      <w:pPr>
        <w:suppressAutoHyphens w:val="0"/>
        <w:ind w:left="1134" w:right="1134"/>
        <w:rPr>
          <w:rFonts w:eastAsia="Calibri"/>
          <w:lang w:val="de-DE" w:eastAsia="de-DE"/>
        </w:rPr>
      </w:pPr>
      <w:r w:rsidRPr="00DD2A86">
        <w:rPr>
          <w:rFonts w:eastAsia="Calibri"/>
          <w:lang w:val="de-DE" w:eastAsia="de-DE"/>
        </w:rPr>
        <w:t>Kategorie 1- Geräte sind geeignet für den Einsatz in Zone 0, 1 und 2.</w:t>
      </w:r>
    </w:p>
    <w:p w:rsidR="004F7853" w:rsidRPr="00DD2A86" w:rsidRDefault="004F7853" w:rsidP="00BA1F0F">
      <w:pPr>
        <w:suppressAutoHyphens w:val="0"/>
        <w:autoSpaceDE w:val="0"/>
        <w:autoSpaceDN w:val="0"/>
        <w:adjustRightInd w:val="0"/>
        <w:spacing w:before="120"/>
        <w:ind w:left="1134" w:right="1134"/>
        <w:jc w:val="both"/>
        <w:rPr>
          <w:rFonts w:eastAsia="Calibri"/>
          <w:lang w:val="de-DE"/>
        </w:rPr>
      </w:pPr>
      <w:r w:rsidRPr="00DD2A86">
        <w:rPr>
          <w:rFonts w:eastAsia="Calibri"/>
          <w:lang w:val="de-DE"/>
        </w:rPr>
        <w:t>Die Gerätekategorie 2 umfasst Geräte, die konstruktiv so gestaltet sind, dass sie in Übereinstimmung mit den vom Hersteller angegebenen Kenngrößen betrieben werden können und ein hohes Maß an Sicherheit gewährleisten.</w:t>
      </w:r>
    </w:p>
    <w:p w:rsidR="004F7853" w:rsidRPr="00DD2A86" w:rsidRDefault="004F7853" w:rsidP="00BA1F0F">
      <w:pPr>
        <w:suppressAutoHyphens w:val="0"/>
        <w:autoSpaceDE w:val="0"/>
        <w:autoSpaceDN w:val="0"/>
        <w:adjustRightInd w:val="0"/>
        <w:spacing w:before="120"/>
        <w:ind w:left="1134" w:right="1134"/>
        <w:jc w:val="both"/>
        <w:rPr>
          <w:rFonts w:eastAsia="Calibri"/>
          <w:lang w:val="de-DE"/>
        </w:rPr>
      </w:pPr>
      <w:r w:rsidRPr="00DD2A86">
        <w:rPr>
          <w:rFonts w:eastAsia="Calibri"/>
          <w:lang w:val="de-DE"/>
        </w:rPr>
        <w:t>Geräte dieser Kategorie sind zur Verwendung in Bereichen bestimmt, in denen damit zu rechnen ist, dass eine explosionsfähige Atmosphäre die aus einem Gemisch von Luft und Gasen, Dämpfen, Nebeln oder Staub/ Luft-Gemischen gelegentlich auftritt.</w:t>
      </w:r>
    </w:p>
    <w:p w:rsidR="004F7853" w:rsidRPr="00DD2A86" w:rsidRDefault="004F7853" w:rsidP="00BA1F0F">
      <w:pPr>
        <w:suppressAutoHyphens w:val="0"/>
        <w:autoSpaceDE w:val="0"/>
        <w:autoSpaceDN w:val="0"/>
        <w:adjustRightInd w:val="0"/>
        <w:spacing w:before="120"/>
        <w:ind w:left="1134" w:right="1134"/>
        <w:jc w:val="both"/>
        <w:rPr>
          <w:rFonts w:eastAsia="Calibri"/>
          <w:lang w:val="de-DE"/>
        </w:rPr>
      </w:pPr>
      <w:r w:rsidRPr="00DD2A86">
        <w:rPr>
          <w:rFonts w:eastAsia="Calibri"/>
          <w:lang w:val="de-DE"/>
        </w:rPr>
        <w:t>Die apparativen Explosionsschutzmaßnahmen dieser Kategorie gewährleisten selbst bei häufigen Gerätestörungen oder Fehlerzuständen, die üblicherweise zu erwarten sind, das e</w:t>
      </w:r>
      <w:r w:rsidR="006574A6" w:rsidRPr="00DD2A86">
        <w:rPr>
          <w:rFonts w:eastAsia="Calibri"/>
          <w:lang w:val="de-DE"/>
        </w:rPr>
        <w:t>rforderliche Maß an Sicherheit.</w:t>
      </w:r>
    </w:p>
    <w:p w:rsidR="004F7853" w:rsidRPr="00DD2A86" w:rsidRDefault="004F7853" w:rsidP="00BA1F0F">
      <w:pPr>
        <w:suppressAutoHyphens w:val="0"/>
        <w:autoSpaceDE w:val="0"/>
        <w:autoSpaceDN w:val="0"/>
        <w:adjustRightInd w:val="0"/>
        <w:spacing w:before="120"/>
        <w:ind w:left="1134" w:right="1134"/>
        <w:jc w:val="both"/>
        <w:rPr>
          <w:rFonts w:eastAsia="Calibri"/>
          <w:lang w:val="de-DE"/>
        </w:rPr>
      </w:pPr>
      <w:r w:rsidRPr="00DD2A86">
        <w:rPr>
          <w:rFonts w:eastAsia="Calibri"/>
          <w:lang w:val="de-DE"/>
        </w:rPr>
        <w:t xml:space="preserve">Kategorie-2-Geräte nach Richtlinie </w:t>
      </w:r>
      <w:r w:rsidR="004E7BBC" w:rsidRPr="00DD2A86">
        <w:rPr>
          <w:rFonts w:eastAsia="Calibri"/>
          <w:lang w:val="de-DE"/>
        </w:rPr>
        <w:t>2014/34/EU</w:t>
      </w:r>
      <w:r w:rsidRPr="00DD2A86">
        <w:rPr>
          <w:rFonts w:eastAsia="Calibri"/>
          <w:vertAlign w:val="superscript"/>
          <w:lang w:val="de-DE"/>
        </w:rPr>
        <w:footnoteReference w:id="37"/>
      </w:r>
      <w:r w:rsidRPr="00DD2A86">
        <w:rPr>
          <w:rFonts w:eastAsia="Calibri"/>
          <w:vertAlign w:val="superscript"/>
          <w:lang w:val="de-DE"/>
        </w:rPr>
        <w:t xml:space="preserve">) </w:t>
      </w:r>
      <w:r w:rsidRPr="00DD2A86">
        <w:rPr>
          <w:rFonts w:eastAsia="Calibri"/>
          <w:lang w:val="de-DE"/>
        </w:rPr>
        <w:t>haben die Kennzeichnung II 2 G. Sie entsprechen EPL</w:t>
      </w:r>
      <w:r w:rsidRPr="00DD2A86">
        <w:rPr>
          <w:rFonts w:eastAsia="Calibri"/>
          <w:vertAlign w:val="superscript"/>
          <w:lang w:val="de-DE"/>
        </w:rPr>
        <w:footnoteReference w:id="38"/>
      </w:r>
      <w:r w:rsidRPr="00DD2A86">
        <w:rPr>
          <w:rFonts w:eastAsia="Calibri"/>
          <w:vertAlign w:val="superscript"/>
          <w:lang w:val="de-DE"/>
        </w:rPr>
        <w:t>)</w:t>
      </w:r>
      <w:r w:rsidRPr="00DD2A86">
        <w:rPr>
          <w:rFonts w:eastAsia="Calibri"/>
          <w:lang w:val="de-DE"/>
        </w:rPr>
        <w:t xml:space="preserve"> „Gb“ nach IEC 60079-0.</w:t>
      </w:r>
    </w:p>
    <w:p w:rsidR="004F7853" w:rsidRPr="00DD2A86" w:rsidRDefault="004F7853" w:rsidP="00BA1F0F">
      <w:pPr>
        <w:suppressAutoHyphens w:val="0"/>
        <w:spacing w:before="120"/>
        <w:ind w:left="1134" w:right="1134"/>
        <w:rPr>
          <w:rFonts w:eastAsia="Calibri"/>
          <w:lang w:val="de-DE" w:eastAsia="de-DE"/>
        </w:rPr>
      </w:pPr>
      <w:r w:rsidRPr="00DD2A86">
        <w:rPr>
          <w:rFonts w:eastAsia="Calibri"/>
          <w:lang w:val="de-DE" w:eastAsia="de-DE"/>
        </w:rPr>
        <w:t>Kategorie 2- Geräte sind geeignet für den Einsatz in Zone 1 und 2.</w:t>
      </w:r>
    </w:p>
    <w:p w:rsidR="004F7853" w:rsidRPr="00DD2A86" w:rsidRDefault="004F7853" w:rsidP="00BA1F0F">
      <w:pPr>
        <w:suppressAutoHyphens w:val="0"/>
        <w:autoSpaceDE w:val="0"/>
        <w:autoSpaceDN w:val="0"/>
        <w:adjustRightInd w:val="0"/>
        <w:spacing w:before="120"/>
        <w:ind w:left="1134" w:right="1134"/>
        <w:jc w:val="both"/>
        <w:rPr>
          <w:rFonts w:eastAsia="Calibri"/>
          <w:lang w:val="de-DE"/>
        </w:rPr>
      </w:pPr>
      <w:r w:rsidRPr="00DD2A86">
        <w:rPr>
          <w:rFonts w:eastAsia="Calibri"/>
          <w:lang w:val="de-DE"/>
        </w:rPr>
        <w:t>Die Gerätekategorie 3 umfasst Geräte, die konstruktiv so gestaltet sind, dass sie in Übereinstimmung mit den vom Hersteller angegebenen Kenngrößen betrieben werden können und ein Normalm</w:t>
      </w:r>
      <w:r w:rsidR="006574A6" w:rsidRPr="00DD2A86">
        <w:rPr>
          <w:rFonts w:eastAsia="Calibri"/>
          <w:lang w:val="de-DE"/>
        </w:rPr>
        <w:t>aß an Sicherheit gewährleisten.</w:t>
      </w:r>
    </w:p>
    <w:p w:rsidR="004F7853" w:rsidRPr="00DD2A86" w:rsidRDefault="004F7853" w:rsidP="00BA1F0F">
      <w:pPr>
        <w:suppressAutoHyphens w:val="0"/>
        <w:autoSpaceDE w:val="0"/>
        <w:autoSpaceDN w:val="0"/>
        <w:adjustRightInd w:val="0"/>
        <w:spacing w:before="120"/>
        <w:ind w:left="1134" w:right="1134"/>
        <w:jc w:val="both"/>
        <w:rPr>
          <w:rFonts w:eastAsia="Calibri"/>
          <w:lang w:val="de-DE"/>
        </w:rPr>
      </w:pPr>
      <w:r w:rsidRPr="00DD2A86">
        <w:rPr>
          <w:rFonts w:eastAsia="Calibri"/>
          <w:lang w:val="de-DE"/>
        </w:rPr>
        <w:t xml:space="preserve">Geräte dieser Kategorie sind zur Verwendung in Bereichen bestimmt, in denen nicht damit zu rechnen ist, dass eine explosionsfähige Atmosphäre die aus einem Gemisch von Luft und Gase, Dämpfe, Nebel oder Staub/ Luft-Gemischen auftritt, aber wenn sie dennoch auftritt, dann aller Wahrscheinlichkeit nach nur selten und während eines kurzen Zeitraums. </w:t>
      </w:r>
    </w:p>
    <w:p w:rsidR="004F7853" w:rsidRPr="00DD2A86" w:rsidRDefault="004F7853" w:rsidP="00BA1F0F">
      <w:pPr>
        <w:suppressAutoHyphens w:val="0"/>
        <w:autoSpaceDE w:val="0"/>
        <w:autoSpaceDN w:val="0"/>
        <w:adjustRightInd w:val="0"/>
        <w:spacing w:before="120"/>
        <w:ind w:left="1134" w:right="1134"/>
        <w:jc w:val="both"/>
        <w:rPr>
          <w:rFonts w:eastAsia="Calibri"/>
          <w:lang w:val="de-DE"/>
        </w:rPr>
      </w:pPr>
      <w:r w:rsidRPr="00DD2A86">
        <w:rPr>
          <w:rFonts w:eastAsia="Calibri"/>
          <w:lang w:val="de-DE"/>
        </w:rPr>
        <w:t>Geräte dieser Kategorie gewährleisten bei normalem Betrieb das erforderliche Maß an Sicherheit.</w:t>
      </w:r>
    </w:p>
    <w:p w:rsidR="004F7853" w:rsidRPr="00DD2A86" w:rsidRDefault="004F7853" w:rsidP="00BA1F0F">
      <w:pPr>
        <w:suppressAutoHyphens w:val="0"/>
        <w:autoSpaceDE w:val="0"/>
        <w:autoSpaceDN w:val="0"/>
        <w:adjustRightInd w:val="0"/>
        <w:spacing w:before="120"/>
        <w:ind w:left="1134" w:right="1134"/>
        <w:jc w:val="both"/>
        <w:rPr>
          <w:rFonts w:eastAsia="Calibri"/>
          <w:lang w:val="de-DE"/>
        </w:rPr>
      </w:pPr>
      <w:r w:rsidRPr="00DD2A86">
        <w:rPr>
          <w:rFonts w:eastAsia="Calibri"/>
          <w:lang w:val="de-DE"/>
        </w:rPr>
        <w:t xml:space="preserve">Kategorie-3-Geräte nach Richtlinie </w:t>
      </w:r>
      <w:r w:rsidR="004E7BBC" w:rsidRPr="00DD2A86">
        <w:rPr>
          <w:rFonts w:eastAsia="Calibri"/>
          <w:lang w:val="de-DE"/>
        </w:rPr>
        <w:t>2014/34/EU</w:t>
      </w:r>
      <w:r w:rsidRPr="00DD2A86">
        <w:rPr>
          <w:rFonts w:eastAsia="Calibri"/>
          <w:vertAlign w:val="superscript"/>
          <w:lang w:val="de-DE"/>
        </w:rPr>
        <w:footnoteReference w:id="39"/>
      </w:r>
      <w:r w:rsidRPr="00DD2A86">
        <w:rPr>
          <w:rFonts w:eastAsia="Calibri"/>
          <w:vertAlign w:val="superscript"/>
          <w:lang w:val="de-DE"/>
        </w:rPr>
        <w:t xml:space="preserve">) </w:t>
      </w:r>
      <w:r w:rsidRPr="00DD2A86">
        <w:rPr>
          <w:rFonts w:eastAsia="Calibri"/>
          <w:lang w:val="de-DE"/>
        </w:rPr>
        <w:t>haben die Kennzeichnung II 3 G. Sie entsprechen EPL</w:t>
      </w:r>
      <w:r w:rsidRPr="00DD2A86">
        <w:rPr>
          <w:rFonts w:eastAsia="Calibri"/>
          <w:vertAlign w:val="superscript"/>
          <w:lang w:val="de-DE"/>
        </w:rPr>
        <w:footnoteReference w:id="40"/>
      </w:r>
      <w:r w:rsidRPr="00DD2A86">
        <w:rPr>
          <w:rFonts w:eastAsia="Calibri"/>
          <w:vertAlign w:val="superscript"/>
          <w:lang w:val="de-DE"/>
        </w:rPr>
        <w:t>)</w:t>
      </w:r>
      <w:r w:rsidR="00EC37B3" w:rsidRPr="00DD2A86">
        <w:rPr>
          <w:rFonts w:eastAsia="Calibri"/>
          <w:vertAlign w:val="superscript"/>
          <w:lang w:val="de-DE"/>
        </w:rPr>
        <w:t xml:space="preserve"> </w:t>
      </w:r>
      <w:r w:rsidRPr="00DD2A86">
        <w:rPr>
          <w:rFonts w:eastAsia="Calibri"/>
          <w:lang w:val="de-DE"/>
        </w:rPr>
        <w:t>„Gc“ nach IEC 60079-0.</w:t>
      </w:r>
    </w:p>
    <w:p w:rsidR="004F7853" w:rsidRPr="00DD2A86" w:rsidRDefault="004F7853" w:rsidP="00BA1F0F">
      <w:pPr>
        <w:tabs>
          <w:tab w:val="left" w:pos="2268"/>
        </w:tabs>
        <w:spacing w:before="120"/>
        <w:ind w:left="1134" w:right="1134"/>
        <w:jc w:val="both"/>
        <w:rPr>
          <w:rFonts w:eastAsia="Calibri"/>
          <w:lang w:val="de-DE" w:eastAsia="de-DE"/>
        </w:rPr>
      </w:pPr>
      <w:r w:rsidRPr="00DD2A86">
        <w:rPr>
          <w:rFonts w:eastAsia="Calibri"/>
          <w:lang w:val="de-DE" w:eastAsia="de-DE"/>
        </w:rPr>
        <w:t>Kategorie 3- Geräte sind geeignet für den Einsatz in Zone 2.“.</w:t>
      </w:r>
    </w:p>
    <w:p w:rsidR="004F7853" w:rsidRPr="00DD2A86" w:rsidRDefault="004F7853" w:rsidP="00B61A90">
      <w:pPr>
        <w:suppressAutoHyphens w:val="0"/>
        <w:spacing w:before="240" w:line="276" w:lineRule="auto"/>
        <w:ind w:left="1134" w:right="1134"/>
        <w:jc w:val="both"/>
        <w:rPr>
          <w:rFonts w:eastAsia="Calibri"/>
          <w:lang w:val="de-DE"/>
        </w:rPr>
      </w:pPr>
      <w:r w:rsidRPr="00DD2A86">
        <w:rPr>
          <w:rFonts w:eastAsia="Calibri"/>
          <w:b/>
          <w:i/>
          <w:lang w:val="de-DE"/>
        </w:rPr>
        <w:t>„Geräteschutzniveau</w:t>
      </w:r>
      <w:r w:rsidRPr="00DD2A86">
        <w:rPr>
          <w:rFonts w:eastAsia="Calibri"/>
          <w:lang w:val="de-DE"/>
        </w:rPr>
        <w:t xml:space="preserve"> (EPL</w:t>
      </w:r>
      <w:r w:rsidRPr="00DD2A86">
        <w:rPr>
          <w:rFonts w:eastAsia="Calibri"/>
          <w:vertAlign w:val="superscript"/>
          <w:lang w:val="de-DE"/>
        </w:rPr>
        <w:footnoteReference w:id="41"/>
      </w:r>
      <w:r w:rsidRPr="00DD2A86">
        <w:rPr>
          <w:rFonts w:eastAsia="Calibri"/>
          <w:vertAlign w:val="superscript"/>
          <w:lang w:val="de-DE"/>
        </w:rPr>
        <w:t>)</w:t>
      </w:r>
      <w:r w:rsidRPr="00DD2A86">
        <w:rPr>
          <w:rFonts w:eastAsia="Calibri"/>
          <w:lang w:val="de-DE"/>
        </w:rPr>
        <w:t xml:space="preserve"> (siehe IEC 60079-0)): Das Schutzniveau, das für ein Gerät festgelegt ist, wobei die Höhe der Wahrscheinlichkeit einer Zündung zugrunde gelegt ist.</w:t>
      </w:r>
    </w:p>
    <w:p w:rsidR="004F7853" w:rsidRPr="00DD2A86" w:rsidRDefault="004F7853" w:rsidP="00B61A90">
      <w:pPr>
        <w:suppressAutoHyphens w:val="0"/>
        <w:spacing w:before="60" w:line="276" w:lineRule="auto"/>
        <w:ind w:left="1134" w:right="1134"/>
        <w:jc w:val="both"/>
        <w:rPr>
          <w:rFonts w:eastAsia="Calibri"/>
          <w:lang w:val="de-DE"/>
        </w:rPr>
      </w:pPr>
      <w:r w:rsidRPr="00DD2A86">
        <w:rPr>
          <w:rFonts w:eastAsia="Calibri"/>
          <w:lang w:val="de-DE"/>
        </w:rPr>
        <w:t>EPL „Ga“:</w:t>
      </w:r>
    </w:p>
    <w:p w:rsidR="004F7853" w:rsidRPr="00DD2A86" w:rsidRDefault="004F7853" w:rsidP="00B61A90">
      <w:pPr>
        <w:suppressAutoHyphens w:val="0"/>
        <w:spacing w:line="276" w:lineRule="auto"/>
        <w:ind w:left="1134" w:right="1134"/>
        <w:jc w:val="both"/>
        <w:rPr>
          <w:rFonts w:eastAsia="Calibri"/>
          <w:lang w:val="de-DE"/>
        </w:rPr>
      </w:pPr>
      <w:r w:rsidRPr="00DD2A86">
        <w:rPr>
          <w:rFonts w:eastAsia="Calibri"/>
          <w:lang w:val="de-DE"/>
        </w:rPr>
        <w:t xml:space="preserve">Geräte mit „sehr hohem“ Schutzniveau. Sie entsprechen den Kategorie-1-Geräten nach Richtlinie </w:t>
      </w:r>
      <w:r w:rsidR="004E7BBC" w:rsidRPr="00DD2A86">
        <w:rPr>
          <w:rFonts w:eastAsia="Calibri"/>
          <w:lang w:val="de-DE"/>
        </w:rPr>
        <w:t>2014/34/EU</w:t>
      </w:r>
      <w:r w:rsidRPr="00DD2A86">
        <w:rPr>
          <w:rFonts w:eastAsia="Calibri"/>
          <w:vertAlign w:val="superscript"/>
          <w:lang w:val="de-DE"/>
        </w:rPr>
        <w:footnoteReference w:id="42"/>
      </w:r>
      <w:r w:rsidRPr="00DD2A86">
        <w:rPr>
          <w:rFonts w:eastAsia="Calibri"/>
          <w:vertAlign w:val="superscript"/>
          <w:lang w:val="de-DE"/>
        </w:rPr>
        <w:t>)</w:t>
      </w:r>
      <w:r w:rsidRPr="00DD2A86">
        <w:rPr>
          <w:rFonts w:eastAsia="Calibri"/>
          <w:lang w:val="de-DE"/>
        </w:rPr>
        <w:t>.</w:t>
      </w:r>
    </w:p>
    <w:p w:rsidR="004F7853" w:rsidRPr="00DD2A86" w:rsidRDefault="004F7853" w:rsidP="00B61A90">
      <w:pPr>
        <w:suppressAutoHyphens w:val="0"/>
        <w:spacing w:line="276" w:lineRule="auto"/>
        <w:ind w:left="1134" w:right="1134"/>
        <w:rPr>
          <w:rFonts w:eastAsia="Calibri"/>
          <w:lang w:val="de-DE" w:eastAsia="de-DE"/>
        </w:rPr>
      </w:pPr>
      <w:r w:rsidRPr="00DD2A86">
        <w:rPr>
          <w:rFonts w:eastAsia="Calibri"/>
          <w:lang w:val="de-DE" w:eastAsia="de-DE"/>
        </w:rPr>
        <w:t>Geräte des Geräteschutzniveaus „Ga“ sind geeignet für den Einsatz in Zone 0, 1 und 2.</w:t>
      </w:r>
    </w:p>
    <w:p w:rsidR="004F7853" w:rsidRPr="00DD2A86" w:rsidRDefault="004F7853" w:rsidP="00B61A90">
      <w:pPr>
        <w:suppressAutoHyphens w:val="0"/>
        <w:spacing w:before="60" w:line="276" w:lineRule="auto"/>
        <w:ind w:left="1134" w:right="1134"/>
        <w:jc w:val="both"/>
        <w:rPr>
          <w:rFonts w:eastAsia="Calibri"/>
          <w:lang w:val="de-DE"/>
        </w:rPr>
      </w:pPr>
      <w:r w:rsidRPr="00DD2A86">
        <w:rPr>
          <w:rFonts w:eastAsia="Calibri"/>
          <w:lang w:val="de-DE"/>
        </w:rPr>
        <w:t>EPL „Gb“:</w:t>
      </w:r>
    </w:p>
    <w:p w:rsidR="004F7853" w:rsidRPr="00DD2A86" w:rsidRDefault="004F7853" w:rsidP="00B61A90">
      <w:pPr>
        <w:suppressAutoHyphens w:val="0"/>
        <w:spacing w:line="276" w:lineRule="auto"/>
        <w:ind w:left="1134" w:right="1134"/>
        <w:jc w:val="both"/>
        <w:rPr>
          <w:rFonts w:eastAsia="Calibri"/>
          <w:lang w:val="de-DE"/>
        </w:rPr>
      </w:pPr>
      <w:r w:rsidRPr="00DD2A86">
        <w:rPr>
          <w:rFonts w:eastAsia="Calibri"/>
          <w:lang w:val="de-DE"/>
        </w:rPr>
        <w:t>Gerät</w:t>
      </w:r>
      <w:r w:rsidR="008030B7" w:rsidRPr="00DD2A86">
        <w:rPr>
          <w:rFonts w:eastAsia="Calibri"/>
          <w:lang w:val="de-DE"/>
        </w:rPr>
        <w:t>e</w:t>
      </w:r>
      <w:r w:rsidRPr="00DD2A86">
        <w:rPr>
          <w:rFonts w:eastAsia="Calibri"/>
          <w:lang w:val="de-DE"/>
        </w:rPr>
        <w:t xml:space="preserve"> mit „hohem“ Schutzniveau. Sie entsprechen den Kategorie-2-Geräten nach Richtlinie </w:t>
      </w:r>
      <w:r w:rsidR="004E7BBC" w:rsidRPr="00DD2A86">
        <w:rPr>
          <w:rFonts w:eastAsia="Calibri"/>
          <w:lang w:val="de-DE"/>
        </w:rPr>
        <w:t>2014/34/EU</w:t>
      </w:r>
      <w:r w:rsidRPr="00DD2A86">
        <w:rPr>
          <w:rFonts w:eastAsia="Calibri"/>
          <w:vertAlign w:val="superscript"/>
          <w:lang w:val="de-DE"/>
        </w:rPr>
        <w:footnoteReference w:id="43"/>
      </w:r>
      <w:r w:rsidRPr="00DD2A86">
        <w:rPr>
          <w:rFonts w:eastAsia="Calibri"/>
          <w:vertAlign w:val="superscript"/>
          <w:lang w:val="de-DE"/>
        </w:rPr>
        <w:t>)</w:t>
      </w:r>
      <w:r w:rsidRPr="00DD2A86">
        <w:rPr>
          <w:rFonts w:eastAsia="Calibri"/>
          <w:lang w:val="de-DE"/>
        </w:rPr>
        <w:t>.</w:t>
      </w:r>
    </w:p>
    <w:p w:rsidR="004F7853" w:rsidRPr="00DD2A86" w:rsidRDefault="004F7853" w:rsidP="00B61A90">
      <w:pPr>
        <w:suppressAutoHyphens w:val="0"/>
        <w:spacing w:line="276" w:lineRule="auto"/>
        <w:ind w:left="1134" w:right="1134"/>
        <w:rPr>
          <w:rFonts w:eastAsia="Calibri"/>
          <w:lang w:val="de-DE" w:eastAsia="de-DE"/>
        </w:rPr>
      </w:pPr>
      <w:r w:rsidRPr="00DD2A86">
        <w:rPr>
          <w:rFonts w:eastAsia="Calibri"/>
          <w:lang w:val="de-DE" w:eastAsia="de-DE"/>
        </w:rPr>
        <w:t>Geräte des Geräteschutzniveaus „Gb“ sind geeignet für den Einsatz in Zone 1 und 2.</w:t>
      </w:r>
    </w:p>
    <w:p w:rsidR="004F7853" w:rsidRPr="00DD2A86" w:rsidRDefault="004F7853" w:rsidP="00B61A90">
      <w:pPr>
        <w:suppressAutoHyphens w:val="0"/>
        <w:spacing w:before="60" w:line="276" w:lineRule="auto"/>
        <w:ind w:left="1134" w:right="1134"/>
        <w:jc w:val="both"/>
        <w:rPr>
          <w:rFonts w:eastAsia="Calibri"/>
          <w:lang w:val="de-DE"/>
        </w:rPr>
      </w:pPr>
      <w:r w:rsidRPr="00DD2A86">
        <w:rPr>
          <w:rFonts w:eastAsia="Calibri"/>
          <w:lang w:val="de-DE"/>
        </w:rPr>
        <w:t>EPL „Gc“:</w:t>
      </w:r>
    </w:p>
    <w:p w:rsidR="004F7853" w:rsidRPr="00DD2A86" w:rsidRDefault="004F7853" w:rsidP="00B61A90">
      <w:pPr>
        <w:suppressAutoHyphens w:val="0"/>
        <w:spacing w:line="276" w:lineRule="auto"/>
        <w:ind w:left="1134" w:right="1134"/>
        <w:jc w:val="both"/>
        <w:rPr>
          <w:rFonts w:eastAsia="Calibri"/>
          <w:lang w:val="de-DE"/>
        </w:rPr>
      </w:pPr>
      <w:r w:rsidRPr="00DD2A86">
        <w:rPr>
          <w:rFonts w:eastAsia="Calibri"/>
          <w:lang w:val="de-DE"/>
        </w:rPr>
        <w:t>Gerät</w:t>
      </w:r>
      <w:r w:rsidR="008030B7" w:rsidRPr="00DD2A86">
        <w:rPr>
          <w:rFonts w:eastAsia="Calibri"/>
          <w:lang w:val="de-DE"/>
        </w:rPr>
        <w:t>e</w:t>
      </w:r>
      <w:r w:rsidRPr="00DD2A86">
        <w:rPr>
          <w:rFonts w:eastAsia="Calibri"/>
          <w:lang w:val="de-DE"/>
        </w:rPr>
        <w:t xml:space="preserve"> mit „erweitertem“ Schutzniveau. Sie entsprechen den Kategorie-3-Geräten nach Richtlinie </w:t>
      </w:r>
      <w:r w:rsidR="004E7BBC" w:rsidRPr="00DD2A86">
        <w:rPr>
          <w:rFonts w:eastAsia="Calibri"/>
          <w:lang w:val="de-DE"/>
        </w:rPr>
        <w:t>2014/34/EU</w:t>
      </w:r>
      <w:r w:rsidRPr="00DD2A86">
        <w:rPr>
          <w:rFonts w:eastAsia="Calibri"/>
          <w:vertAlign w:val="superscript"/>
          <w:lang w:val="de-DE"/>
        </w:rPr>
        <w:footnoteReference w:id="44"/>
      </w:r>
      <w:r w:rsidRPr="00DD2A86">
        <w:rPr>
          <w:rFonts w:eastAsia="Calibri"/>
          <w:vertAlign w:val="superscript"/>
          <w:lang w:val="de-DE"/>
        </w:rPr>
        <w:t>)</w:t>
      </w:r>
      <w:r w:rsidRPr="00DD2A86">
        <w:rPr>
          <w:rFonts w:eastAsia="Calibri"/>
          <w:lang w:val="de-DE"/>
        </w:rPr>
        <w:t>.</w:t>
      </w:r>
    </w:p>
    <w:p w:rsidR="004F7853" w:rsidRPr="00DD2A86" w:rsidRDefault="004F7853" w:rsidP="00B61A90">
      <w:pPr>
        <w:tabs>
          <w:tab w:val="left" w:pos="2268"/>
        </w:tabs>
        <w:ind w:left="1134" w:right="1134"/>
        <w:jc w:val="both"/>
        <w:rPr>
          <w:rFonts w:eastAsia="Calibri"/>
          <w:lang w:val="de-DE" w:eastAsia="de-DE"/>
        </w:rPr>
      </w:pPr>
      <w:r w:rsidRPr="00DD2A86">
        <w:rPr>
          <w:rFonts w:eastAsia="Calibri"/>
          <w:lang w:val="de-DE" w:eastAsia="de-DE"/>
        </w:rPr>
        <w:t>Geräte des Geräteschutzniveaus „Gc“ sind geeignet für den Einsatz in Zone 2.“.</w:t>
      </w:r>
    </w:p>
    <w:p w:rsidR="001801E1" w:rsidRPr="00DD2A86" w:rsidRDefault="001801E1" w:rsidP="001801E1">
      <w:pPr>
        <w:kinsoku w:val="0"/>
        <w:overflowPunct w:val="0"/>
        <w:autoSpaceDE w:val="0"/>
        <w:autoSpaceDN w:val="0"/>
        <w:adjustRightInd w:val="0"/>
        <w:snapToGrid w:val="0"/>
        <w:spacing w:before="120" w:after="120"/>
        <w:ind w:left="1134" w:right="1134"/>
        <w:jc w:val="both"/>
        <w:rPr>
          <w:rFonts w:eastAsiaTheme="minorHAnsi"/>
          <w:lang w:val="de-DE"/>
        </w:rPr>
      </w:pPr>
      <w:r w:rsidRPr="00DD2A86">
        <w:rPr>
          <w:rFonts w:eastAsiaTheme="minorHAnsi"/>
          <w:i/>
          <w:lang w:val="de-DE"/>
        </w:rPr>
        <w:t>„</w:t>
      </w:r>
      <w:r w:rsidRPr="00DD2A86">
        <w:rPr>
          <w:rFonts w:eastAsiaTheme="minorHAnsi"/>
          <w:b/>
          <w:i/>
          <w:lang w:val="de-DE"/>
        </w:rPr>
        <w:t>Obere Explosionsgrenze (OEG)</w:t>
      </w:r>
      <w:r w:rsidRPr="00DD2A86">
        <w:rPr>
          <w:rFonts w:eastAsiaTheme="minorHAnsi"/>
          <w:lang w:val="de-DE"/>
        </w:rPr>
        <w:t>: Die höchste Konzentration des Explosionsbereiches, bei der eine Explosion auftreten kann.“.</w:t>
      </w:r>
    </w:p>
    <w:p w:rsidR="001801E1" w:rsidRPr="00DD2A86" w:rsidRDefault="001801E1" w:rsidP="001801E1">
      <w:pPr>
        <w:kinsoku w:val="0"/>
        <w:overflowPunct w:val="0"/>
        <w:autoSpaceDE w:val="0"/>
        <w:autoSpaceDN w:val="0"/>
        <w:adjustRightInd w:val="0"/>
        <w:snapToGrid w:val="0"/>
        <w:spacing w:before="120" w:after="120"/>
        <w:ind w:left="2257" w:right="567" w:hanging="1123"/>
        <w:jc w:val="both"/>
        <w:rPr>
          <w:rFonts w:eastAsiaTheme="minorHAnsi"/>
          <w:lang w:val="de-DE"/>
        </w:rPr>
      </w:pPr>
      <w:r w:rsidRPr="00DD2A86">
        <w:rPr>
          <w:rFonts w:eastAsiaTheme="minorHAnsi"/>
          <w:lang w:val="de-DE"/>
        </w:rPr>
        <w:t>„</w:t>
      </w:r>
      <w:r w:rsidRPr="00DD2A86">
        <w:rPr>
          <w:rFonts w:eastAsiaTheme="minorHAnsi"/>
          <w:b/>
          <w:i/>
          <w:lang w:val="de-DE"/>
        </w:rPr>
        <w:t>OEG</w:t>
      </w:r>
      <w:r w:rsidRPr="00DD2A86">
        <w:rPr>
          <w:rFonts w:eastAsiaTheme="minorHAnsi"/>
          <w:lang w:val="de-DE"/>
        </w:rPr>
        <w:t>: siehe Obere Explosionsgrenze.“.</w:t>
      </w:r>
    </w:p>
    <w:p w:rsidR="004F7853" w:rsidRPr="00DD2A86" w:rsidRDefault="004F7853" w:rsidP="00B61A90">
      <w:pPr>
        <w:suppressAutoHyphens w:val="0"/>
        <w:autoSpaceDE w:val="0"/>
        <w:autoSpaceDN w:val="0"/>
        <w:adjustRightInd w:val="0"/>
        <w:spacing w:before="240" w:line="276" w:lineRule="auto"/>
        <w:ind w:left="1134" w:right="1134"/>
        <w:jc w:val="both"/>
        <w:rPr>
          <w:rFonts w:eastAsia="Calibri"/>
          <w:bCs/>
          <w:iCs/>
          <w:lang w:val="de-DE"/>
        </w:rPr>
      </w:pPr>
      <w:r w:rsidRPr="00DD2A86">
        <w:rPr>
          <w:rFonts w:eastAsia="Calibri"/>
          <w:b/>
          <w:bCs/>
          <w:i/>
          <w:iCs/>
          <w:lang w:val="de-DE"/>
        </w:rPr>
        <w:t xml:space="preserve">„Peilöffnung: </w:t>
      </w:r>
      <w:r w:rsidRPr="00DD2A86">
        <w:rPr>
          <w:rFonts w:eastAsia="Calibri"/>
          <w:bCs/>
          <w:iCs/>
          <w:lang w:val="de-DE"/>
        </w:rPr>
        <w:t>Eine verschließbare Öffnung des Restetanks mit einem Durchmesser von höchstens 0,10 m. Die Peilöffnung muss so beschaffen sein, dass der Füllungsgrad mit einem Peilstab gemessen werden kann.“.</w:t>
      </w:r>
    </w:p>
    <w:p w:rsidR="004F7853" w:rsidRPr="00DD2A86" w:rsidRDefault="004F7853" w:rsidP="00B61A90">
      <w:pPr>
        <w:suppressAutoHyphens w:val="0"/>
        <w:autoSpaceDE w:val="0"/>
        <w:autoSpaceDN w:val="0"/>
        <w:adjustRightInd w:val="0"/>
        <w:spacing w:before="240"/>
        <w:ind w:left="1134" w:right="1134"/>
        <w:jc w:val="both"/>
        <w:rPr>
          <w:rFonts w:eastAsia="Calibri"/>
          <w:lang w:val="de-DE"/>
        </w:rPr>
      </w:pPr>
      <w:r w:rsidRPr="00DD2A86">
        <w:rPr>
          <w:rFonts w:eastAsia="Calibri"/>
          <w:b/>
          <w:i/>
          <w:lang w:val="de-DE"/>
        </w:rPr>
        <w:t>„Sauerstoffmessanlage:</w:t>
      </w:r>
      <w:r w:rsidRPr="00DD2A86">
        <w:rPr>
          <w:rFonts w:eastAsia="Calibri"/>
          <w:lang w:val="de-DE"/>
        </w:rPr>
        <w:t xml:space="preserve"> Eine dauerhaft stationär arbeitende Messeinrichtung, mit der rechtzeitig eine bedeutsame Verringerung des Sauerstoffanteils der Luft gemessen und ein Alarm beim Erreichen einer Sauerstoffkonzentration von 19,5 Vol.-% ausgelöst werden kann.</w:t>
      </w:r>
    </w:p>
    <w:p w:rsidR="004F7853" w:rsidRPr="00DD2A86" w:rsidRDefault="004F7853" w:rsidP="00BA1F0F">
      <w:pPr>
        <w:suppressAutoHyphens w:val="0"/>
        <w:autoSpaceDE w:val="0"/>
        <w:autoSpaceDN w:val="0"/>
        <w:adjustRightInd w:val="0"/>
        <w:spacing w:before="120"/>
        <w:ind w:left="1134" w:right="1134"/>
        <w:jc w:val="both"/>
        <w:rPr>
          <w:rFonts w:eastAsia="Calibri"/>
          <w:lang w:val="de-DE"/>
        </w:rPr>
      </w:pPr>
      <w:r w:rsidRPr="00DD2A86">
        <w:rPr>
          <w:rFonts w:eastAsia="Calibri"/>
          <w:lang w:val="de-DE"/>
        </w:rPr>
        <w:t>Sie muss nach IEC/EN</w:t>
      </w:r>
      <w:r w:rsidRPr="00DD2A86">
        <w:rPr>
          <w:rFonts w:eastAsia="Calibri"/>
          <w:vertAlign w:val="superscript"/>
          <w:lang w:val="de-DE"/>
        </w:rPr>
        <w:footnoteReference w:id="45"/>
      </w:r>
      <w:r w:rsidRPr="00DD2A86">
        <w:rPr>
          <w:rFonts w:eastAsia="Calibri"/>
          <w:vertAlign w:val="superscript"/>
          <w:lang w:val="de-DE"/>
        </w:rPr>
        <w:t>)</w:t>
      </w:r>
      <w:r w:rsidRPr="00DD2A86">
        <w:rPr>
          <w:rFonts w:eastAsia="Calibri"/>
          <w:lang w:val="de-DE"/>
        </w:rPr>
        <w:t xml:space="preserve"> 50104:</w:t>
      </w:r>
      <w:r w:rsidR="000D1AB1" w:rsidRPr="00DD2A86">
        <w:rPr>
          <w:rFonts w:eastAsia="Calibri"/>
          <w:lang w:val="de-DE"/>
        </w:rPr>
        <w:t xml:space="preserve">2010 </w:t>
      </w:r>
      <w:r w:rsidRPr="00DD2A86">
        <w:rPr>
          <w:rFonts w:eastAsia="Calibri"/>
          <w:lang w:val="de-DE"/>
        </w:rPr>
        <w:t>geprüft sein. Wenn sie in explosionsgefährdeten Bereichen eingesetzt wird, muss sie zusätzlich die Anforderungen für den Einsatz in der jeweiligen Zone erfüllen und es muss nachgewiesen sein, dass sie den anwendbaren Anforderungen entspricht (</w:t>
      </w:r>
      <w:r w:rsidR="00545FF2" w:rsidRPr="00DD2A86">
        <w:rPr>
          <w:rFonts w:eastAsia="Calibri"/>
          <w:lang w:val="de-DE"/>
        </w:rPr>
        <w:t>z.B.</w:t>
      </w:r>
      <w:r w:rsidRPr="00DD2A86">
        <w:rPr>
          <w:rFonts w:eastAsia="Calibri"/>
          <w:lang w:val="de-DE"/>
        </w:rPr>
        <w:t xml:space="preserve"> Konformitätsbewertungsverfahren nach Richtlinie </w:t>
      </w:r>
      <w:r w:rsidR="004E7BBC" w:rsidRPr="00DD2A86">
        <w:rPr>
          <w:rFonts w:eastAsia="Calibri"/>
          <w:lang w:val="de-DE"/>
        </w:rPr>
        <w:t>2014/34/EU</w:t>
      </w:r>
      <w:r w:rsidRPr="00DD2A86">
        <w:rPr>
          <w:rFonts w:eastAsia="Calibri"/>
          <w:vertAlign w:val="superscript"/>
          <w:lang w:val="de-DE"/>
        </w:rPr>
        <w:footnoteReference w:id="46"/>
      </w:r>
      <w:r w:rsidRPr="00DD2A86">
        <w:rPr>
          <w:rFonts w:eastAsia="Calibri"/>
          <w:vertAlign w:val="superscript"/>
          <w:lang w:val="de-DE"/>
        </w:rPr>
        <w:t>)</w:t>
      </w:r>
      <w:r w:rsidRPr="00DD2A86">
        <w:rPr>
          <w:rFonts w:eastAsia="Calibri"/>
          <w:lang w:val="de-DE"/>
        </w:rPr>
        <w:t>, IECEx-System</w:t>
      </w:r>
      <w:r w:rsidRPr="00DD2A86">
        <w:rPr>
          <w:rFonts w:eastAsia="Calibri"/>
          <w:vertAlign w:val="superscript"/>
          <w:lang w:val="de-DE"/>
        </w:rPr>
        <w:footnoteReference w:id="47"/>
      </w:r>
      <w:r w:rsidRPr="00DD2A86">
        <w:rPr>
          <w:rFonts w:eastAsia="Calibri"/>
          <w:vertAlign w:val="superscript"/>
          <w:lang w:val="de-DE"/>
        </w:rPr>
        <w:t>)</w:t>
      </w:r>
      <w:r w:rsidRPr="00DD2A86">
        <w:rPr>
          <w:rFonts w:eastAsia="Calibri"/>
          <w:lang w:val="de-DE"/>
        </w:rPr>
        <w:t>, oder ECE Trade 391</w:t>
      </w:r>
      <w:r w:rsidRPr="00DD2A86">
        <w:rPr>
          <w:rFonts w:eastAsia="Calibri"/>
          <w:vertAlign w:val="superscript"/>
          <w:lang w:val="de-DE"/>
        </w:rPr>
        <w:footnoteReference w:id="48"/>
      </w:r>
      <w:r w:rsidRPr="00DD2A86">
        <w:rPr>
          <w:rFonts w:eastAsia="Calibri"/>
          <w:vertAlign w:val="superscript"/>
          <w:lang w:val="de-DE"/>
        </w:rPr>
        <w:t xml:space="preserve">) </w:t>
      </w:r>
      <w:r w:rsidRPr="00DD2A86">
        <w:rPr>
          <w:rFonts w:eastAsia="Calibri"/>
          <w:lang w:val="de-DE"/>
        </w:rPr>
        <w:t>oder mindestens gleichwertig).</w:t>
      </w:r>
    </w:p>
    <w:p w:rsidR="004F7853" w:rsidRPr="00DD2A86" w:rsidRDefault="004F7853" w:rsidP="00BA1F0F">
      <w:pPr>
        <w:suppressAutoHyphens w:val="0"/>
        <w:autoSpaceDE w:val="0"/>
        <w:autoSpaceDN w:val="0"/>
        <w:adjustRightInd w:val="0"/>
        <w:spacing w:before="120"/>
        <w:ind w:left="1134" w:right="1134"/>
        <w:jc w:val="both"/>
        <w:rPr>
          <w:rFonts w:eastAsia="Calibri"/>
          <w:lang w:val="de-DE"/>
        </w:rPr>
      </w:pPr>
      <w:r w:rsidRPr="00DD2A86">
        <w:rPr>
          <w:rFonts w:eastAsia="Calibri"/>
          <w:lang w:val="de-DE"/>
        </w:rPr>
        <w:t xml:space="preserve">Eine Sauerstoffmessanlage kann auch als </w:t>
      </w:r>
      <w:r w:rsidR="00756A0F" w:rsidRPr="00DD2A86">
        <w:rPr>
          <w:rFonts w:eastAsia="Calibri"/>
          <w:lang w:val="de-DE"/>
        </w:rPr>
        <w:t xml:space="preserve">Kombinationsmessanlage </w:t>
      </w:r>
      <w:r w:rsidRPr="00DD2A86">
        <w:rPr>
          <w:rFonts w:eastAsia="Calibri"/>
          <w:lang w:val="de-DE"/>
        </w:rPr>
        <w:t xml:space="preserve">zur Messung von Sauerstoff und </w:t>
      </w:r>
      <w:r w:rsidR="00F93E23" w:rsidRPr="00DD2A86">
        <w:rPr>
          <w:rFonts w:eastAsia="Calibri"/>
          <w:lang w:val="de-DE"/>
        </w:rPr>
        <w:t>brennbaren</w:t>
      </w:r>
      <w:r w:rsidR="009F5E24" w:rsidRPr="00DD2A86">
        <w:rPr>
          <w:rFonts w:eastAsia="Calibri"/>
          <w:lang w:val="de-DE"/>
        </w:rPr>
        <w:t xml:space="preserve"> </w:t>
      </w:r>
      <w:r w:rsidRPr="00DD2A86">
        <w:rPr>
          <w:rFonts w:eastAsia="Calibri"/>
          <w:lang w:val="de-DE"/>
        </w:rPr>
        <w:t>Gasen ausgeführt sein.“.</w:t>
      </w:r>
    </w:p>
    <w:p w:rsidR="00F16EC8" w:rsidRPr="00DD2A86" w:rsidRDefault="00F16EC8" w:rsidP="00993052">
      <w:pPr>
        <w:spacing w:before="120" w:after="120"/>
        <w:ind w:left="1134" w:right="1134"/>
        <w:jc w:val="both"/>
        <w:rPr>
          <w:lang w:val="de-DE"/>
        </w:rPr>
      </w:pPr>
      <w:r w:rsidRPr="00DD2A86">
        <w:rPr>
          <w:lang w:val="de-DE"/>
        </w:rPr>
        <w:t>„</w:t>
      </w:r>
      <w:r w:rsidRPr="00DD2A86">
        <w:rPr>
          <w:b/>
          <w:i/>
          <w:lang w:val="de-DE"/>
        </w:rPr>
        <w:t>Schutzauskleidung</w:t>
      </w:r>
      <w:r w:rsidRPr="00DD2A86">
        <w:rPr>
          <w:i/>
          <w:lang w:val="de-DE"/>
        </w:rPr>
        <w:t xml:space="preserve"> (von Tanks): </w:t>
      </w:r>
      <w:r w:rsidRPr="00DD2A86">
        <w:rPr>
          <w:lang w:val="de-DE"/>
        </w:rPr>
        <w:t>Auskleidung oder Beschichtung, die den Werkstoff des metallenen Tanks vor den zu befördernden Stoffen schützt.</w:t>
      </w:r>
    </w:p>
    <w:p w:rsidR="00F16EC8" w:rsidRPr="00DD2A86" w:rsidRDefault="00F16EC8" w:rsidP="00F16EC8">
      <w:pPr>
        <w:spacing w:after="120"/>
        <w:ind w:left="1701" w:right="1134" w:hanging="567"/>
        <w:jc w:val="both"/>
        <w:rPr>
          <w:lang w:val="de-DE"/>
        </w:rPr>
      </w:pPr>
      <w:r w:rsidRPr="00DD2A86">
        <w:rPr>
          <w:b/>
          <w:lang w:val="de-DE"/>
        </w:rPr>
        <w:t>Bem.</w:t>
      </w:r>
      <w:r w:rsidRPr="00DD2A86">
        <w:rPr>
          <w:lang w:val="de-DE"/>
        </w:rPr>
        <w:tab/>
        <w:t>Diese Begriffsbestimmung gilt nicht für Auskleidungen oder Beschichtungen, die nur für den Schutz des zu befördernden Stoffes verwendet werden.“</w:t>
      </w:r>
      <w:r w:rsidR="00C56929" w:rsidRPr="00DD2A86">
        <w:rPr>
          <w:lang w:val="de-DE"/>
        </w:rPr>
        <w:t>.</w:t>
      </w:r>
    </w:p>
    <w:p w:rsidR="004F7853" w:rsidRPr="00DD2A86" w:rsidRDefault="004F7853" w:rsidP="00B61A90">
      <w:pPr>
        <w:suppressAutoHyphens w:val="0"/>
        <w:spacing w:before="240" w:line="240" w:lineRule="auto"/>
        <w:ind w:left="1134" w:right="1134"/>
        <w:jc w:val="both"/>
        <w:rPr>
          <w:rFonts w:eastAsia="Calibri"/>
          <w:snapToGrid w:val="0"/>
          <w:lang w:val="de-DE" w:eastAsia="fr-FR"/>
        </w:rPr>
      </w:pPr>
      <w:r w:rsidRPr="00DD2A86">
        <w:rPr>
          <w:b/>
          <w:i/>
          <w:snapToGrid w:val="0"/>
          <w:lang w:val="de-DE" w:eastAsia="fr-FR"/>
        </w:rPr>
        <w:t xml:space="preserve">„Schutzsüll, flüssigkeitsdicht: </w:t>
      </w:r>
      <w:r w:rsidRPr="00DD2A86">
        <w:rPr>
          <w:rFonts w:eastAsia="Calibri"/>
          <w:snapToGrid w:val="0"/>
          <w:lang w:val="de-DE" w:eastAsia="fr-FR"/>
        </w:rPr>
        <w:t>Ein an Deck auf Höhe der äußersten Ladetankschotte (siehe Skizze Zoneneinteilung)</w:t>
      </w:r>
      <w:r w:rsidR="00BB1FE7" w:rsidRPr="00DD2A86">
        <w:rPr>
          <w:rFonts w:eastAsia="Calibri"/>
          <w:snapToGrid w:val="0"/>
          <w:lang w:val="de-DE" w:eastAsia="fr-FR"/>
        </w:rPr>
        <w:t>,</w:t>
      </w:r>
      <w:r w:rsidRPr="00DD2A86">
        <w:rPr>
          <w:rFonts w:eastAsia="Calibri"/>
          <w:snapToGrid w:val="0"/>
          <w:lang w:val="de-DE" w:eastAsia="fr-FR"/>
        </w:rPr>
        <w:t xml:space="preserve"> höchstens jedoch 0,60 m innerhalb der äußeren Kofferdammschott</w:t>
      </w:r>
      <w:r w:rsidR="00BB1FE7" w:rsidRPr="00DD2A86">
        <w:rPr>
          <w:rFonts w:eastAsia="Calibri"/>
          <w:snapToGrid w:val="0"/>
          <w:lang w:val="de-DE" w:eastAsia="fr-FR"/>
        </w:rPr>
        <w:t>e</w:t>
      </w:r>
      <w:r w:rsidRPr="00DD2A86">
        <w:rPr>
          <w:rFonts w:eastAsia="Calibri"/>
          <w:snapToGrid w:val="0"/>
          <w:lang w:val="de-DE" w:eastAsia="fr-FR"/>
        </w:rPr>
        <w:t xml:space="preserve"> oder de</w:t>
      </w:r>
      <w:r w:rsidR="00BB1FE7" w:rsidRPr="00DD2A86">
        <w:rPr>
          <w:rFonts w:eastAsia="Calibri"/>
          <w:snapToGrid w:val="0"/>
          <w:lang w:val="de-DE" w:eastAsia="fr-FR"/>
        </w:rPr>
        <w:t>r</w:t>
      </w:r>
      <w:r w:rsidRPr="00DD2A86">
        <w:rPr>
          <w:rFonts w:eastAsia="Calibri"/>
          <w:snapToGrid w:val="0"/>
          <w:lang w:val="de-DE" w:eastAsia="fr-FR"/>
        </w:rPr>
        <w:t xml:space="preserve"> Begrenzungsschotte der Aufstellungsräume, verlaufendes flüssigkeitsdichtes Süll, das an Deck den Übertritt von Flüssigkeit in Richtung des Vor– oder Achterschiffs verhindert. Die Verbindung mit den Spillsüllen muss flüssigkeitsdicht sein.“.</w:t>
      </w:r>
    </w:p>
    <w:p w:rsidR="004F7853" w:rsidRPr="00DD2A86" w:rsidRDefault="004F7853" w:rsidP="00B61A90">
      <w:pPr>
        <w:suppressAutoHyphens w:val="0"/>
        <w:spacing w:before="240" w:line="240" w:lineRule="auto"/>
        <w:ind w:left="1134" w:right="1134"/>
        <w:jc w:val="both"/>
        <w:rPr>
          <w:rFonts w:eastAsia="Calibri"/>
          <w:lang w:val="de-DE"/>
        </w:rPr>
      </w:pPr>
      <w:r w:rsidRPr="00DD2A86">
        <w:rPr>
          <w:rFonts w:eastAsia="Calibri"/>
          <w:b/>
          <w:i/>
          <w:lang w:val="de-DE"/>
        </w:rPr>
        <w:t>„Schutzwand, gas- und flüssigkeitsdicht</w:t>
      </w:r>
      <w:r w:rsidRPr="00DD2A86">
        <w:rPr>
          <w:rFonts w:eastAsia="Calibri"/>
          <w:b/>
          <w:lang w:val="de-DE"/>
        </w:rPr>
        <w:t>:</w:t>
      </w:r>
      <w:r w:rsidRPr="00DD2A86">
        <w:rPr>
          <w:rFonts w:eastAsia="Calibri"/>
          <w:lang w:val="de-DE"/>
        </w:rPr>
        <w:t xml:space="preserve"> Eine an Deck auf Höhe der Begrenzungsebene des Bereichs der Ladung angebrachte gas- und flüssigkeitsdichte Wand, die den Übertritt von Gasen und Flüssigkeit in Bereiche außerhalb des Bereichs der Ladung verhindert.“.</w:t>
      </w:r>
    </w:p>
    <w:p w:rsidR="004F7853" w:rsidRPr="00DD2A86" w:rsidRDefault="004F7853" w:rsidP="00B61A90">
      <w:pPr>
        <w:tabs>
          <w:tab w:val="center" w:pos="4536"/>
          <w:tab w:val="right" w:pos="9072"/>
        </w:tabs>
        <w:suppressAutoHyphens w:val="0"/>
        <w:autoSpaceDE w:val="0"/>
        <w:autoSpaceDN w:val="0"/>
        <w:adjustRightInd w:val="0"/>
        <w:spacing w:before="240" w:line="240" w:lineRule="auto"/>
        <w:ind w:left="1134" w:right="1134"/>
        <w:jc w:val="both"/>
        <w:rPr>
          <w:rFonts w:eastAsia="Calibri"/>
          <w:snapToGrid w:val="0"/>
          <w:lang w:val="de-DE" w:eastAsia="fr-FR"/>
        </w:rPr>
      </w:pPr>
      <w:r w:rsidRPr="00DD2A86">
        <w:rPr>
          <w:b/>
          <w:i/>
          <w:snapToGrid w:val="0"/>
          <w:lang w:val="de-DE" w:eastAsia="fr-FR"/>
        </w:rPr>
        <w:t xml:space="preserve">„Spillsüll: </w:t>
      </w:r>
      <w:r w:rsidRPr="00DD2A86">
        <w:rPr>
          <w:rFonts w:eastAsia="Calibri"/>
          <w:snapToGrid w:val="0"/>
          <w:lang w:val="de-DE" w:eastAsia="fr-FR"/>
        </w:rPr>
        <w:t>Ein an Deck im Bereich der Ladung parallel zur Bordwand verlaufendes Süll mit verschließbaren Öffnungen</w:t>
      </w:r>
      <w:r w:rsidR="00BB1FE7" w:rsidRPr="00DD2A86">
        <w:rPr>
          <w:rFonts w:eastAsia="Calibri"/>
          <w:snapToGrid w:val="0"/>
          <w:lang w:val="de-DE" w:eastAsia="fr-FR"/>
        </w:rPr>
        <w:t>, das</w:t>
      </w:r>
      <w:r w:rsidRPr="00DD2A86">
        <w:rPr>
          <w:rFonts w:eastAsia="Calibri"/>
          <w:snapToGrid w:val="0"/>
          <w:lang w:val="de-DE" w:eastAsia="fr-FR"/>
        </w:rPr>
        <w:t xml:space="preserve"> den Übertritt von Flüssigkeit über Bord verhindert. Die Verbindung mit den Schutzsüllen, sofern vorhanden, muss flüssigkeitsdicht sein.“.</w:t>
      </w:r>
    </w:p>
    <w:p w:rsidR="001801E1" w:rsidRPr="00DD2A86" w:rsidRDefault="001801E1" w:rsidP="001801E1">
      <w:pPr>
        <w:kinsoku w:val="0"/>
        <w:overflowPunct w:val="0"/>
        <w:autoSpaceDE w:val="0"/>
        <w:autoSpaceDN w:val="0"/>
        <w:adjustRightInd w:val="0"/>
        <w:snapToGrid w:val="0"/>
        <w:spacing w:before="120" w:after="120"/>
        <w:ind w:left="2268" w:right="1134" w:hanging="1134"/>
        <w:jc w:val="both"/>
        <w:rPr>
          <w:rFonts w:eastAsiaTheme="minorHAnsi"/>
          <w:lang w:val="de-DE"/>
        </w:rPr>
      </w:pPr>
      <w:r w:rsidRPr="00DD2A86">
        <w:rPr>
          <w:rFonts w:eastAsiaTheme="minorHAnsi"/>
          <w:lang w:val="de-DE"/>
        </w:rPr>
        <w:t>„</w:t>
      </w:r>
      <w:r w:rsidRPr="00DD2A86">
        <w:rPr>
          <w:rFonts w:eastAsiaTheme="minorHAnsi"/>
          <w:b/>
          <w:i/>
          <w:lang w:val="de-DE"/>
        </w:rPr>
        <w:t>UEG</w:t>
      </w:r>
      <w:r w:rsidRPr="00DD2A86">
        <w:rPr>
          <w:rFonts w:eastAsiaTheme="minorHAnsi"/>
          <w:lang w:val="de-DE"/>
        </w:rPr>
        <w:t>: siehe Untere Explosionsgrenze.“.</w:t>
      </w:r>
    </w:p>
    <w:p w:rsidR="00F16EC8" w:rsidRPr="00DD2A86" w:rsidRDefault="00F16EC8" w:rsidP="00F16EC8">
      <w:pPr>
        <w:spacing w:after="120"/>
        <w:ind w:left="1134" w:right="1134"/>
        <w:jc w:val="both"/>
        <w:rPr>
          <w:iCs/>
          <w:lang w:val="de-DE"/>
        </w:rPr>
      </w:pPr>
      <w:r w:rsidRPr="00DD2A86">
        <w:rPr>
          <w:iCs/>
          <w:lang w:val="de-DE"/>
        </w:rPr>
        <w:t>„</w:t>
      </w:r>
      <w:r w:rsidRPr="00DD2A86">
        <w:rPr>
          <w:b/>
          <w:i/>
          <w:iCs/>
          <w:lang w:val="de-DE"/>
        </w:rPr>
        <w:t>Umformte Flasche</w:t>
      </w:r>
      <w:r w:rsidRPr="00DD2A86">
        <w:rPr>
          <w:iCs/>
          <w:lang w:val="de-DE"/>
        </w:rPr>
        <w:t>: Eine Flasche zur Beförderung von Flüssiggas mit einem mit Wasser ausgeliterten Fassungsraum von höchstens 13 Litern aus einer beschichteten geschweißten Innenflasche aus Stahl mit einem Schutzgehäuse, das aus einer Umformung aus Schaumstoff besteht, die nicht abnehmbar und auf der äußeren Oberfläche der Wand der Stahlflasche aufgeklebt ist.“.</w:t>
      </w:r>
    </w:p>
    <w:p w:rsidR="001801E1" w:rsidRPr="00DD2A86" w:rsidRDefault="001801E1" w:rsidP="001801E1">
      <w:pPr>
        <w:kinsoku w:val="0"/>
        <w:overflowPunct w:val="0"/>
        <w:autoSpaceDE w:val="0"/>
        <w:autoSpaceDN w:val="0"/>
        <w:adjustRightInd w:val="0"/>
        <w:snapToGrid w:val="0"/>
        <w:spacing w:before="120" w:after="120"/>
        <w:ind w:left="1134" w:right="1134"/>
        <w:jc w:val="both"/>
        <w:rPr>
          <w:rFonts w:eastAsiaTheme="minorHAnsi"/>
          <w:lang w:val="de-DE"/>
        </w:rPr>
      </w:pPr>
      <w:r w:rsidRPr="00DD2A86">
        <w:rPr>
          <w:rFonts w:eastAsiaTheme="minorHAnsi"/>
          <w:lang w:val="de-DE"/>
        </w:rPr>
        <w:t>„</w:t>
      </w:r>
      <w:r w:rsidRPr="00DD2A86">
        <w:rPr>
          <w:rFonts w:eastAsiaTheme="minorHAnsi"/>
          <w:b/>
          <w:i/>
          <w:lang w:val="de-DE"/>
        </w:rPr>
        <w:t>Untere Explosionsgrenze (UEG)</w:t>
      </w:r>
      <w:r w:rsidRPr="00DD2A86">
        <w:rPr>
          <w:rFonts w:eastAsiaTheme="minorHAnsi"/>
          <w:lang w:val="de-DE"/>
        </w:rPr>
        <w:t>: Die niedrigste Konzentration des Explosionsbereiches, bei der eine Explosion auftreten kann.“.</w:t>
      </w:r>
    </w:p>
    <w:p w:rsidR="004F7853" w:rsidRPr="00DD2A86" w:rsidRDefault="004F7853" w:rsidP="00B61A90">
      <w:pPr>
        <w:suppressAutoHyphens w:val="0"/>
        <w:spacing w:before="240" w:line="276" w:lineRule="auto"/>
        <w:ind w:left="1134" w:right="1134"/>
        <w:jc w:val="both"/>
        <w:rPr>
          <w:rFonts w:eastAsia="Calibri"/>
          <w:lang w:val="de-DE"/>
        </w:rPr>
      </w:pPr>
      <w:r w:rsidRPr="00DD2A86">
        <w:rPr>
          <w:rFonts w:eastAsia="Calibri"/>
          <w:b/>
          <w:i/>
          <w:lang w:val="de-DE"/>
        </w:rPr>
        <w:t>„Vorrichtung zum gefahrlosen Entspannen der Ladetanks</w:t>
      </w:r>
      <w:r w:rsidRPr="00DD2A86">
        <w:rPr>
          <w:rFonts w:eastAsia="Calibri"/>
          <w:b/>
          <w:lang w:val="de-DE"/>
        </w:rPr>
        <w:t xml:space="preserve">: </w:t>
      </w:r>
      <w:r w:rsidRPr="00DD2A86">
        <w:rPr>
          <w:rFonts w:eastAsia="Calibri"/>
          <w:lang w:val="de-DE"/>
        </w:rPr>
        <w:t>Eine handbetätigte oder fernbediente Vorrichtung</w:t>
      </w:r>
      <w:r w:rsidR="00BB1FE7" w:rsidRPr="00DD2A86">
        <w:rPr>
          <w:rFonts w:eastAsia="Calibri"/>
          <w:lang w:val="de-DE"/>
        </w:rPr>
        <w:t>,</w:t>
      </w:r>
      <w:r w:rsidRPr="00DD2A86">
        <w:rPr>
          <w:rFonts w:eastAsia="Calibri"/>
          <w:lang w:val="de-DE"/>
        </w:rPr>
        <w:t xml:space="preserve"> die so angeordnet ist, dass das Entspannen der Ladetanks gefahrlos möglich ist. Wenn die Schiffsstoffliste nach Absatz 1.16.1.2.5 Stoffe enthält, für die nach Unterabschnitt 3.2.3.2 Tabelle C Spalte (17) Explosionsschutz gefordert ist, muss sie deflagrations- und dauerbrandsicher für den kritischsten Stoff der Schiffsstoffliste ausgeführt sein. Die Deflagrationssicherheit muss nach der internationalen Norm ISO 16852:201</w:t>
      </w:r>
      <w:r w:rsidR="00D811E7" w:rsidRPr="00DD2A86">
        <w:rPr>
          <w:rFonts w:eastAsia="Calibri"/>
          <w:lang w:val="de-DE"/>
        </w:rPr>
        <w:t>6</w:t>
      </w:r>
      <w:r w:rsidRPr="00DD2A86">
        <w:rPr>
          <w:rFonts w:eastAsia="Calibri"/>
          <w:vertAlign w:val="superscript"/>
          <w:lang w:val="de-DE"/>
        </w:rPr>
        <w:footnoteReference w:id="49"/>
      </w:r>
      <w:r w:rsidRPr="00DD2A86">
        <w:rPr>
          <w:rFonts w:eastAsia="Calibri"/>
          <w:vertAlign w:val="superscript"/>
          <w:lang w:val="de-DE"/>
        </w:rPr>
        <w:t>)</w:t>
      </w:r>
      <w:r w:rsidRPr="00DD2A86">
        <w:rPr>
          <w:rFonts w:eastAsia="Calibri"/>
          <w:lang w:val="de-DE"/>
        </w:rPr>
        <w:t xml:space="preserve"> geprüft sein und es muss nachgewiesen sein, dass sie den anwendbaren Anforderungen entspricht (</w:t>
      </w:r>
      <w:r w:rsidR="00545FF2" w:rsidRPr="00DD2A86">
        <w:rPr>
          <w:rFonts w:eastAsia="Calibri"/>
          <w:lang w:val="de-DE"/>
        </w:rPr>
        <w:t>z.B.</w:t>
      </w:r>
      <w:r w:rsidRPr="00DD2A86">
        <w:rPr>
          <w:rFonts w:eastAsia="Calibri"/>
          <w:lang w:val="de-DE"/>
        </w:rPr>
        <w:t xml:space="preserve"> Konformitätsbewertungsverfahren nach Richtlinie </w:t>
      </w:r>
      <w:r w:rsidR="004E7BBC" w:rsidRPr="00DD2A86">
        <w:rPr>
          <w:rFonts w:eastAsia="Calibri"/>
          <w:lang w:val="de-DE"/>
        </w:rPr>
        <w:t>2014/34/EU</w:t>
      </w:r>
      <w:r w:rsidRPr="00DD2A86">
        <w:rPr>
          <w:rFonts w:eastAsia="Calibri"/>
          <w:vertAlign w:val="superscript"/>
          <w:lang w:val="de-DE"/>
        </w:rPr>
        <w:footnoteReference w:id="50"/>
      </w:r>
      <w:r w:rsidRPr="00DD2A86">
        <w:rPr>
          <w:rFonts w:eastAsia="Calibri"/>
          <w:vertAlign w:val="superscript"/>
          <w:lang w:val="de-DE"/>
        </w:rPr>
        <w:t>)</w:t>
      </w:r>
      <w:r w:rsidRPr="00DD2A86">
        <w:rPr>
          <w:rFonts w:eastAsia="Calibri"/>
          <w:lang w:val="de-DE"/>
        </w:rPr>
        <w:t>, oder ECE Trade 391</w:t>
      </w:r>
      <w:r w:rsidRPr="00DD2A86">
        <w:rPr>
          <w:rFonts w:eastAsia="Calibri"/>
          <w:vertAlign w:val="superscript"/>
          <w:lang w:val="de-DE"/>
        </w:rPr>
        <w:footnoteReference w:id="51"/>
      </w:r>
      <w:r w:rsidRPr="00DD2A86">
        <w:rPr>
          <w:rFonts w:eastAsia="Calibri"/>
          <w:vertAlign w:val="superscript"/>
          <w:lang w:val="de-DE"/>
        </w:rPr>
        <w:t xml:space="preserve">) </w:t>
      </w:r>
      <w:r w:rsidRPr="00DD2A86">
        <w:rPr>
          <w:rFonts w:eastAsia="Calibri"/>
          <w:lang w:val="de-DE"/>
        </w:rPr>
        <w:t>oder mindestens gleichwertig). Die Deflagrationssicherheit kann durch eine integrierte dauerbrandsichere Flammensperre oder durch eine dauerbrandsichere Flammendurchschlagsicherung (Deflagrationsendsicherung) gewährleistet werden.“.</w:t>
      </w:r>
    </w:p>
    <w:p w:rsidR="004F7853" w:rsidRPr="00DD2A86" w:rsidRDefault="004F7853" w:rsidP="00B61A90">
      <w:pPr>
        <w:suppressAutoHyphens w:val="0"/>
        <w:spacing w:before="240"/>
        <w:ind w:left="1134" w:right="1134"/>
        <w:jc w:val="both"/>
        <w:rPr>
          <w:rFonts w:eastAsia="Calibri"/>
          <w:b/>
          <w:lang w:val="de-DE"/>
        </w:rPr>
      </w:pPr>
      <w:r w:rsidRPr="00DD2A86">
        <w:rPr>
          <w:rFonts w:eastAsia="Calibri"/>
          <w:b/>
          <w:i/>
          <w:lang w:val="de-DE"/>
        </w:rPr>
        <w:t xml:space="preserve">„Zoneneinteilung: </w:t>
      </w:r>
      <w:r w:rsidRPr="00DD2A86">
        <w:rPr>
          <w:rFonts w:eastAsia="Calibri"/>
          <w:lang w:val="de-DE"/>
        </w:rPr>
        <w:t xml:space="preserve">Diese Zoneneinteilung (siehe Skizze) gilt für </w:t>
      </w:r>
      <w:r w:rsidR="00E3493D" w:rsidRPr="00DD2A86">
        <w:rPr>
          <w:rFonts w:eastAsia="Calibri"/>
          <w:lang w:val="de-DE"/>
        </w:rPr>
        <w:t>T</w:t>
      </w:r>
      <w:r w:rsidRPr="00DD2A86">
        <w:rPr>
          <w:rFonts w:eastAsia="Calibri"/>
          <w:lang w:val="de-DE"/>
        </w:rPr>
        <w:t xml:space="preserve">ankschiffe, deren Schiffsstoffliste nach </w:t>
      </w:r>
      <w:r w:rsidR="009462B2" w:rsidRPr="00DD2A86">
        <w:rPr>
          <w:rFonts w:eastAsia="Calibri"/>
          <w:lang w:val="de-DE"/>
        </w:rPr>
        <w:t xml:space="preserve">Absatz </w:t>
      </w:r>
      <w:r w:rsidRPr="00DD2A86">
        <w:rPr>
          <w:rFonts w:eastAsia="Calibri"/>
          <w:lang w:val="de-DE"/>
        </w:rPr>
        <w:t xml:space="preserve">1.16.1.2.5 Stoffe enthält, für die nach </w:t>
      </w:r>
      <w:r w:rsidR="00257DD8" w:rsidRPr="00DD2A86">
        <w:rPr>
          <w:rFonts w:eastAsia="Calibri"/>
          <w:lang w:val="de-DE"/>
        </w:rPr>
        <w:t xml:space="preserve">Unterabschnitt </w:t>
      </w:r>
      <w:r w:rsidRPr="00DD2A86">
        <w:rPr>
          <w:rFonts w:eastAsia="Calibri"/>
          <w:lang w:val="de-DE"/>
        </w:rPr>
        <w:t>3.2.3.2 Tabelle C Spalte (17) Explosionsschutz gefordert wird.</w:t>
      </w:r>
    </w:p>
    <w:p w:rsidR="004F7853" w:rsidRPr="00DD2A86" w:rsidRDefault="004F7853" w:rsidP="00B61A90">
      <w:pPr>
        <w:tabs>
          <w:tab w:val="left" w:pos="851"/>
        </w:tabs>
        <w:suppressAutoHyphens w:val="0"/>
        <w:spacing w:before="60"/>
        <w:ind w:left="1134" w:right="1134"/>
        <w:jc w:val="both"/>
        <w:rPr>
          <w:rFonts w:eastAsia="Calibri"/>
          <w:szCs w:val="24"/>
          <w:lang w:val="de-DE"/>
        </w:rPr>
      </w:pPr>
      <w:r w:rsidRPr="00DD2A86">
        <w:rPr>
          <w:rFonts w:eastAsia="Calibri"/>
          <w:b/>
          <w:szCs w:val="24"/>
          <w:lang w:val="de-DE"/>
        </w:rPr>
        <w:t>Zone 0</w:t>
      </w:r>
      <w:r w:rsidRPr="00DD2A86">
        <w:rPr>
          <w:rFonts w:eastAsia="Calibri"/>
          <w:szCs w:val="24"/>
          <w:lang w:val="de-DE"/>
        </w:rPr>
        <w:t>: umfasst:</w:t>
      </w:r>
    </w:p>
    <w:p w:rsidR="004F7853" w:rsidRPr="00DD2A86" w:rsidRDefault="004F7853" w:rsidP="00B61A90">
      <w:pPr>
        <w:numPr>
          <w:ilvl w:val="0"/>
          <w:numId w:val="26"/>
        </w:numPr>
        <w:tabs>
          <w:tab w:val="left" w:pos="851"/>
        </w:tabs>
        <w:suppressAutoHyphens w:val="0"/>
        <w:ind w:left="1134" w:right="1134" w:hanging="284"/>
        <w:jc w:val="both"/>
        <w:outlineLvl w:val="1"/>
        <w:rPr>
          <w:rFonts w:eastAsia="Calibri"/>
          <w:szCs w:val="24"/>
          <w:lang w:val="de-DE"/>
        </w:rPr>
      </w:pPr>
      <w:r w:rsidRPr="00DD2A86">
        <w:rPr>
          <w:rFonts w:eastAsia="Calibri"/>
          <w:noProof/>
          <w:szCs w:val="24"/>
          <w:lang w:val="fr-FR" w:eastAsia="fr-FR"/>
        </w:rPr>
        <mc:AlternateContent>
          <mc:Choice Requires="wps">
            <w:drawing>
              <wp:anchor distT="0" distB="0" distL="114300" distR="114300" simplePos="0" relativeHeight="251685888" behindDoc="0" locked="0" layoutInCell="1" allowOverlap="1" wp14:anchorId="7F3CFE9F" wp14:editId="62010D86">
                <wp:simplePos x="0" y="0"/>
                <wp:positionH relativeFrom="column">
                  <wp:posOffset>13335</wp:posOffset>
                </wp:positionH>
                <wp:positionV relativeFrom="paragraph">
                  <wp:posOffset>43180</wp:posOffset>
                </wp:positionV>
                <wp:extent cx="297180" cy="224155"/>
                <wp:effectExtent l="8890" t="7620" r="8255" b="6350"/>
                <wp:wrapNone/>
                <wp:docPr id="2" name="Rectangle 2" descr="Große Konfetti"/>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224155"/>
                        </a:xfrm>
                        <a:prstGeom prst="rect">
                          <a:avLst/>
                        </a:prstGeom>
                        <a:pattFill prst="lgConfetti">
                          <a:fgClr>
                            <a:srgbClr val="4F81BD"/>
                          </a:fgClr>
                          <a:bgClr>
                            <a:srgbClr val="FFFFFF"/>
                          </a:bgClr>
                        </a:patt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5C50DB" id="Rectangle 2" o:spid="_x0000_s1026" alt="Große Konfetti" style="position:absolute;margin-left:1.05pt;margin-top:3.4pt;width:23.4pt;height:17.6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" fillcolor="#4f81bd">
                <v:fill r:id="rId9" o:title="" type="pattern"/>
              </v:rect>
            </w:pict>
          </mc:Fallback>
        </mc:AlternateContent>
      </w:r>
      <w:r w:rsidRPr="00DD2A86">
        <w:rPr>
          <w:rFonts w:eastAsia="Calibri"/>
          <w:szCs w:val="24"/>
          <w:lang w:val="de-DE"/>
        </w:rPr>
        <w:t xml:space="preserve">Das Innere aller </w:t>
      </w:r>
      <w:r w:rsidR="00716ED1" w:rsidRPr="00DD2A86">
        <w:rPr>
          <w:rFonts w:eastAsia="Calibri"/>
          <w:szCs w:val="24"/>
          <w:lang w:val="de-DE"/>
        </w:rPr>
        <w:t>Ladetanks, Restetanks, Restebehälter und Slopbehälter</w:t>
      </w:r>
      <w:r w:rsidR="00716ED1" w:rsidRPr="00DD2A86" w:rsidDel="00716ED1">
        <w:rPr>
          <w:rFonts w:eastAsia="Calibri"/>
          <w:szCs w:val="24"/>
          <w:lang w:val="de-DE"/>
        </w:rPr>
        <w:t xml:space="preserve"> </w:t>
      </w:r>
      <w:r w:rsidRPr="00DD2A86">
        <w:rPr>
          <w:rFonts w:eastAsia="Calibri"/>
          <w:szCs w:val="24"/>
          <w:lang w:val="de-DE"/>
        </w:rPr>
        <w:t>sowie von Rohrleitungen, die Ladung oder Ladungsdämpfe enthalten, einschließlich deren Ausrüstung sowie Pumpen und Kompressoren.</w:t>
      </w:r>
    </w:p>
    <w:p w:rsidR="004F7853" w:rsidRPr="00DD2A86" w:rsidRDefault="004F7853" w:rsidP="00B61A90">
      <w:pPr>
        <w:tabs>
          <w:tab w:val="left" w:pos="851"/>
        </w:tabs>
        <w:suppressAutoHyphens w:val="0"/>
        <w:spacing w:before="60"/>
        <w:ind w:left="1134" w:right="1134"/>
        <w:jc w:val="both"/>
        <w:rPr>
          <w:rFonts w:eastAsia="Calibri"/>
          <w:szCs w:val="24"/>
          <w:lang w:val="de-DE"/>
        </w:rPr>
      </w:pPr>
      <w:r w:rsidRPr="00DD2A86">
        <w:rPr>
          <w:rFonts w:eastAsia="Calibri"/>
          <w:b/>
          <w:szCs w:val="24"/>
          <w:lang w:val="de-DE"/>
        </w:rPr>
        <w:t xml:space="preserve">Zone 1: </w:t>
      </w:r>
      <w:r w:rsidRPr="00DD2A86">
        <w:rPr>
          <w:rFonts w:eastAsia="Calibri"/>
          <w:szCs w:val="24"/>
          <w:lang w:val="de-DE"/>
        </w:rPr>
        <w:t>umfasst:</w:t>
      </w:r>
    </w:p>
    <w:p w:rsidR="004F7853" w:rsidRPr="00DD2A86" w:rsidRDefault="004F7853" w:rsidP="00B61A90">
      <w:pPr>
        <w:numPr>
          <w:ilvl w:val="0"/>
          <w:numId w:val="26"/>
        </w:numPr>
        <w:tabs>
          <w:tab w:val="left" w:pos="851"/>
        </w:tabs>
        <w:suppressAutoHyphens w:val="0"/>
        <w:ind w:left="1134" w:right="1134" w:hanging="283"/>
        <w:jc w:val="both"/>
        <w:outlineLvl w:val="1"/>
        <w:rPr>
          <w:rFonts w:eastAsia="Calibri"/>
          <w:szCs w:val="24"/>
          <w:lang w:val="de-DE"/>
        </w:rPr>
      </w:pPr>
      <w:r w:rsidRPr="00DD2A86">
        <w:rPr>
          <w:rFonts w:eastAsia="Calibri"/>
          <w:noProof/>
          <w:szCs w:val="24"/>
          <w:lang w:val="fr-FR" w:eastAsia="fr-FR"/>
        </w:rPr>
        <mc:AlternateContent>
          <mc:Choice Requires="wps">
            <w:drawing>
              <wp:anchor distT="0" distB="0" distL="114300" distR="114300" simplePos="0" relativeHeight="251684864" behindDoc="0" locked="0" layoutInCell="1" allowOverlap="1" wp14:anchorId="5D70BFF2" wp14:editId="498080D4">
                <wp:simplePos x="0" y="0"/>
                <wp:positionH relativeFrom="column">
                  <wp:posOffset>13335</wp:posOffset>
                </wp:positionH>
                <wp:positionV relativeFrom="paragraph">
                  <wp:posOffset>78105</wp:posOffset>
                </wp:positionV>
                <wp:extent cx="297180" cy="224155"/>
                <wp:effectExtent l="8890" t="13970" r="8255" b="9525"/>
                <wp:wrapNone/>
                <wp:docPr id="3" name="Rectangle 3" descr="Diagonal hell nach ob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224155"/>
                        </a:xfrm>
                        <a:prstGeom prst="rect">
                          <a:avLst/>
                        </a:prstGeom>
                        <a:pattFill prst="openDmnd">
                          <a:fgClr>
                            <a:srgbClr val="C0504D"/>
                          </a:fgClr>
                          <a:bgClr>
                            <a:srgbClr val="FFFFFF"/>
                          </a:bgClr>
                        </a:patt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ED376AA" id="Rectangle 3" o:spid="_x0000_s1026" alt="Diagonal hell nach oben" style="position:absolute;margin-left:1.05pt;margin-top:6.15pt;width:23.4pt;height:17.6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" fillcolor="#c0504d">
                <v:fill r:id="rId10" o:title="" type="pattern"/>
              </v:rect>
            </w:pict>
          </mc:Fallback>
        </mc:AlternateContent>
      </w:r>
      <w:r w:rsidRPr="00DD2A86">
        <w:rPr>
          <w:rFonts w:eastAsia="Calibri"/>
          <w:szCs w:val="24"/>
          <w:lang w:val="de-DE"/>
        </w:rPr>
        <w:t>Alle Räume unter Deck im Bereich der Ladun</w:t>
      </w:r>
      <w:r w:rsidR="006574A6" w:rsidRPr="00DD2A86">
        <w:rPr>
          <w:rFonts w:eastAsia="Calibri"/>
          <w:szCs w:val="24"/>
          <w:lang w:val="de-DE"/>
        </w:rPr>
        <w:t>g, die nicht zu Zone 0 gehören.</w:t>
      </w:r>
    </w:p>
    <w:p w:rsidR="004F7853" w:rsidRPr="00DD2A86" w:rsidRDefault="004F7853" w:rsidP="00B61A90">
      <w:pPr>
        <w:numPr>
          <w:ilvl w:val="0"/>
          <w:numId w:val="26"/>
        </w:numPr>
        <w:tabs>
          <w:tab w:val="left" w:pos="851"/>
        </w:tabs>
        <w:suppressAutoHyphens w:val="0"/>
        <w:ind w:left="1134" w:right="1134" w:hanging="283"/>
        <w:jc w:val="both"/>
        <w:outlineLvl w:val="0"/>
        <w:rPr>
          <w:rFonts w:eastAsia="Calibri"/>
          <w:szCs w:val="24"/>
          <w:lang w:val="de-DE"/>
        </w:rPr>
      </w:pPr>
      <w:r w:rsidRPr="00DD2A86">
        <w:rPr>
          <w:rFonts w:eastAsia="Calibri"/>
          <w:szCs w:val="24"/>
          <w:lang w:val="de-DE"/>
        </w:rPr>
        <w:t>Geschlossene Räume an Deck im Bereich der Ladung.</w:t>
      </w:r>
    </w:p>
    <w:p w:rsidR="004F7853" w:rsidRPr="00DD2A86" w:rsidRDefault="004F7853" w:rsidP="00B61A90">
      <w:pPr>
        <w:numPr>
          <w:ilvl w:val="0"/>
          <w:numId w:val="26"/>
        </w:numPr>
        <w:tabs>
          <w:tab w:val="left" w:pos="851"/>
        </w:tabs>
        <w:suppressAutoHyphens w:val="0"/>
        <w:ind w:left="1134" w:right="1134" w:hanging="284"/>
        <w:jc w:val="both"/>
        <w:outlineLvl w:val="2"/>
        <w:rPr>
          <w:rFonts w:eastAsia="Calibri"/>
          <w:szCs w:val="24"/>
          <w:lang w:val="de-DE"/>
        </w:rPr>
      </w:pPr>
      <w:r w:rsidRPr="00DD2A86">
        <w:rPr>
          <w:rFonts w:eastAsia="Calibri"/>
          <w:szCs w:val="24"/>
          <w:lang w:val="de-DE"/>
        </w:rPr>
        <w:t>Das freie Deck im Bereich der Ladung in voller Breite des Schiffes bis zu den äußeren Kofferdammschotten.</w:t>
      </w:r>
    </w:p>
    <w:p w:rsidR="004F7853" w:rsidRPr="00DD2A86" w:rsidRDefault="004F7853" w:rsidP="00B61A90">
      <w:pPr>
        <w:numPr>
          <w:ilvl w:val="0"/>
          <w:numId w:val="26"/>
        </w:numPr>
        <w:tabs>
          <w:tab w:val="left" w:pos="851"/>
        </w:tabs>
        <w:suppressAutoHyphens w:val="0"/>
        <w:ind w:left="1134" w:right="1134" w:hanging="284"/>
        <w:jc w:val="both"/>
        <w:outlineLvl w:val="2"/>
        <w:rPr>
          <w:rFonts w:eastAsia="Calibri"/>
          <w:szCs w:val="24"/>
          <w:lang w:val="de-DE"/>
        </w:rPr>
      </w:pPr>
      <w:r w:rsidRPr="00DD2A86">
        <w:rPr>
          <w:rFonts w:eastAsia="Calibri"/>
          <w:szCs w:val="24"/>
          <w:lang w:val="de-DE"/>
        </w:rPr>
        <w:t>Bis zu einem Abstand von 1,6</w:t>
      </w:r>
      <w:r w:rsidR="0077037F" w:rsidRPr="00DD2A86">
        <w:rPr>
          <w:rFonts w:eastAsia="Calibri"/>
          <w:szCs w:val="24"/>
          <w:lang w:val="de-DE"/>
        </w:rPr>
        <w:t>0</w:t>
      </w:r>
      <w:r w:rsidRPr="00DD2A86">
        <w:rPr>
          <w:rFonts w:eastAsia="Calibri"/>
          <w:szCs w:val="24"/>
          <w:lang w:val="de-DE"/>
        </w:rPr>
        <w:t xml:space="preserve"> m zu den „Begrenzungsebenen des Bereichs der Ladung“ beträgt die Höhe 2,50 m über Deck, mindestens jedoch 1,50 m über den höchstgelegenen Rohrleitungen, die Ladun</w:t>
      </w:r>
      <w:r w:rsidR="00756A0F" w:rsidRPr="00DD2A86">
        <w:rPr>
          <w:rFonts w:eastAsia="Calibri"/>
          <w:szCs w:val="24"/>
          <w:lang w:val="de-DE"/>
        </w:rPr>
        <w:t>g oder Ladungsdämpfe enthalten.</w:t>
      </w:r>
    </w:p>
    <w:p w:rsidR="00756A0F" w:rsidRPr="00DD2A86" w:rsidRDefault="00756A0F" w:rsidP="00B61A90">
      <w:pPr>
        <w:tabs>
          <w:tab w:val="left" w:pos="851"/>
        </w:tabs>
        <w:suppressAutoHyphens w:val="0"/>
        <w:ind w:left="1134" w:right="1134"/>
        <w:jc w:val="both"/>
        <w:outlineLvl w:val="2"/>
        <w:rPr>
          <w:rFonts w:eastAsia="Calibri"/>
          <w:szCs w:val="24"/>
          <w:lang w:val="de-DE"/>
        </w:rPr>
      </w:pPr>
      <w:r w:rsidRPr="00DD2A86">
        <w:rPr>
          <w:rFonts w:eastAsia="Calibri"/>
          <w:szCs w:val="24"/>
          <w:lang w:val="de-DE"/>
        </w:rPr>
        <w:t>Daran anschließend (nach vorne und nach hinten) bis zum äußersten Ladetankschott, beträgt die Höhe 0,25 m über Deck.</w:t>
      </w:r>
    </w:p>
    <w:p w:rsidR="00756A0F" w:rsidRPr="00DD2A86" w:rsidRDefault="00756A0F" w:rsidP="00B61A90">
      <w:pPr>
        <w:tabs>
          <w:tab w:val="left" w:pos="851"/>
        </w:tabs>
        <w:suppressAutoHyphens w:val="0"/>
        <w:ind w:left="1134" w:right="1134"/>
        <w:jc w:val="both"/>
        <w:outlineLvl w:val="2"/>
        <w:rPr>
          <w:rFonts w:eastAsia="Calibri"/>
          <w:szCs w:val="24"/>
          <w:lang w:val="de-DE"/>
        </w:rPr>
      </w:pPr>
      <w:r w:rsidRPr="00DD2A86">
        <w:rPr>
          <w:rFonts w:eastAsia="Calibri"/>
          <w:szCs w:val="24"/>
          <w:lang w:val="de-DE"/>
        </w:rPr>
        <w:t>Ist das Schiff mit Aufstellungsräumen gebaut, oder der Kofferdamm/ein Teile des Kofferdammes als Betriebsraum eingerichtet, beträgt diese daran anschließende Höhe (nach vorne und nach hinten) bis zur „Begrenzungsebene des Bereichs der Ladung“ 1,00 m über Deck (siehe Zeichnung)</w:t>
      </w:r>
    </w:p>
    <w:p w:rsidR="002B5060" w:rsidRPr="00DD2A86" w:rsidRDefault="002B5060">
      <w:pPr>
        <w:suppressAutoHyphens w:val="0"/>
        <w:spacing w:line="240" w:lineRule="auto"/>
        <w:rPr>
          <w:rFonts w:eastAsia="Calibri"/>
          <w:szCs w:val="24"/>
          <w:lang w:val="de-DE" w:eastAsia="fr-FR"/>
        </w:rPr>
      </w:pPr>
      <w:r w:rsidRPr="00DD2A86">
        <w:rPr>
          <w:rFonts w:eastAsia="Calibri"/>
          <w:szCs w:val="24"/>
          <w:lang w:val="de-DE"/>
        </w:rPr>
        <w:br w:type="page"/>
      </w:r>
    </w:p>
    <w:p w:rsidR="004F7853" w:rsidRPr="00DD2A86" w:rsidRDefault="004F7853" w:rsidP="00C323D4">
      <w:pPr>
        <w:pStyle w:val="ListParagraph"/>
        <w:numPr>
          <w:ilvl w:val="0"/>
          <w:numId w:val="37"/>
        </w:numPr>
        <w:suppressAutoHyphens w:val="0"/>
        <w:ind w:left="1134" w:right="1134" w:hanging="283"/>
        <w:jc w:val="both"/>
        <w:outlineLvl w:val="2"/>
        <w:rPr>
          <w:rFonts w:eastAsia="Calibri"/>
          <w:szCs w:val="24"/>
          <w:lang w:val="de-DE"/>
        </w:rPr>
      </w:pPr>
      <w:r w:rsidRPr="00DD2A86">
        <w:rPr>
          <w:rFonts w:eastAsia="Calibri"/>
          <w:szCs w:val="24"/>
          <w:lang w:val="de-DE"/>
        </w:rPr>
        <w:t>Dabei muss jede Öffnung aus Zone 0, außer um Hochgeschwindigkeitsventile/Sicherheitsventile der Drucktanks</w:t>
      </w:r>
      <w:r w:rsidR="00BB1FE7" w:rsidRPr="00DD2A86">
        <w:rPr>
          <w:rFonts w:eastAsia="Calibri"/>
          <w:szCs w:val="24"/>
          <w:lang w:val="de-DE"/>
        </w:rPr>
        <w:t>,</w:t>
      </w:r>
      <w:r w:rsidRPr="00DD2A86">
        <w:rPr>
          <w:rFonts w:eastAsia="Calibri"/>
          <w:szCs w:val="24"/>
          <w:lang w:val="de-DE"/>
        </w:rPr>
        <w:t xml:space="preserve"> von einem Kreisring Zone 1 umgeben sein, dessen Kreisringbreite mindestens 2,50 m beträgt. Bei Öffnungen</w:t>
      </w:r>
      <w:r w:rsidR="00BB1FE7" w:rsidRPr="00DD2A86">
        <w:rPr>
          <w:rFonts w:eastAsia="Calibri"/>
          <w:szCs w:val="24"/>
          <w:lang w:val="de-DE"/>
        </w:rPr>
        <w:t>,</w:t>
      </w:r>
      <w:r w:rsidRPr="00DD2A86">
        <w:rPr>
          <w:rFonts w:eastAsia="Calibri"/>
          <w:szCs w:val="24"/>
          <w:lang w:val="de-DE"/>
        </w:rPr>
        <w:t xml:space="preserve"> deren Durchmesser weniger 0,026 m (</w:t>
      </w:r>
      <w:r w:rsidRPr="00DD2A86">
        <w:rPr>
          <w:rFonts w:eastAsia="Calibri"/>
          <w:lang w:val="de-DE"/>
        </w:rPr>
        <w:t>1ˮ)</w:t>
      </w:r>
      <w:r w:rsidRPr="00DD2A86">
        <w:rPr>
          <w:rFonts w:eastAsia="Calibri"/>
          <w:szCs w:val="24"/>
          <w:lang w:val="de-DE"/>
        </w:rPr>
        <w:t xml:space="preserve"> beträgt, kann der Abstand zum äußeren Kofferdammschott auf 0,50 m verringert werden, sofern sichergestellt ist, dass solche Öffnungen innerhalb dieses Abstandes nicht zur Atmosphäre geöffnet werden.</w:t>
      </w:r>
    </w:p>
    <w:p w:rsidR="004F7853" w:rsidRPr="00DD2A86" w:rsidRDefault="004F7853" w:rsidP="00B61A90">
      <w:pPr>
        <w:numPr>
          <w:ilvl w:val="0"/>
          <w:numId w:val="26"/>
        </w:numPr>
        <w:suppressAutoHyphens w:val="0"/>
        <w:ind w:left="1134" w:right="1134" w:hanging="284"/>
        <w:jc w:val="both"/>
        <w:rPr>
          <w:rFonts w:eastAsia="Calibri"/>
          <w:szCs w:val="24"/>
          <w:lang w:val="de-DE"/>
        </w:rPr>
      </w:pPr>
      <w:r w:rsidRPr="00DD2A86">
        <w:rPr>
          <w:rFonts w:eastAsia="Calibri"/>
          <w:szCs w:val="24"/>
          <w:lang w:val="de-DE"/>
        </w:rPr>
        <w:t>Um Hochgeschwindigkeitsventile oder Sicherheitsventile der Drucktanks einen zylindrischen Bereich mit einem Radius von 3,00 m bis zu einer Höhe von 4</w:t>
      </w:r>
      <w:r w:rsidR="00C25E75" w:rsidRPr="00DD2A86">
        <w:rPr>
          <w:rFonts w:eastAsia="Calibri"/>
          <w:szCs w:val="24"/>
          <w:lang w:val="de-DE"/>
        </w:rPr>
        <w:t>,00</w:t>
      </w:r>
      <w:r w:rsidRPr="00DD2A86">
        <w:rPr>
          <w:rFonts w:eastAsia="Calibri"/>
          <w:szCs w:val="24"/>
          <w:lang w:val="de-DE"/>
        </w:rPr>
        <w:t xml:space="preserve"> m über der Austrittsöffnung des Hochgeschwindigkeitsventils oder Sicherheitsventils der Drucktanks.</w:t>
      </w:r>
    </w:p>
    <w:p w:rsidR="004F7853" w:rsidRPr="00DD2A86" w:rsidRDefault="004F7853" w:rsidP="00B61A90">
      <w:pPr>
        <w:numPr>
          <w:ilvl w:val="0"/>
          <w:numId w:val="26"/>
        </w:numPr>
        <w:tabs>
          <w:tab w:val="left" w:pos="851"/>
        </w:tabs>
        <w:suppressAutoHyphens w:val="0"/>
        <w:ind w:left="1134" w:right="1134" w:hanging="284"/>
        <w:jc w:val="both"/>
        <w:rPr>
          <w:rFonts w:eastAsia="Calibri"/>
          <w:szCs w:val="24"/>
          <w:lang w:val="de-DE"/>
        </w:rPr>
      </w:pPr>
      <w:r w:rsidRPr="00DD2A86">
        <w:rPr>
          <w:rFonts w:eastAsia="Calibri"/>
          <w:szCs w:val="24"/>
          <w:lang w:val="de-DE"/>
        </w:rPr>
        <w:t>Um Entlüftungsöffnungen technisch belüfteter Betriebsräume im Bereich der Ladung einen Bereich in Form eines Kugelsegmentes mit Radius von 1,00 m.</w:t>
      </w:r>
    </w:p>
    <w:p w:rsidR="004F7853" w:rsidRPr="00DD2A86" w:rsidRDefault="004F7853" w:rsidP="00B61A90">
      <w:pPr>
        <w:suppressAutoHyphens w:val="0"/>
        <w:spacing w:before="60"/>
        <w:ind w:left="1134" w:right="1134"/>
        <w:jc w:val="both"/>
        <w:rPr>
          <w:rFonts w:eastAsia="Calibri"/>
          <w:szCs w:val="24"/>
          <w:lang w:val="de-DE"/>
        </w:rPr>
      </w:pPr>
      <w:r w:rsidRPr="00DD2A86">
        <w:rPr>
          <w:rFonts w:eastAsia="Calibri"/>
          <w:b/>
          <w:szCs w:val="24"/>
          <w:lang w:val="de-DE"/>
        </w:rPr>
        <w:t xml:space="preserve">Zone 2: </w:t>
      </w:r>
      <w:r w:rsidRPr="00DD2A86">
        <w:rPr>
          <w:rFonts w:eastAsia="Calibri"/>
          <w:szCs w:val="24"/>
          <w:lang w:val="de-DE"/>
        </w:rPr>
        <w:t>umfasst:</w:t>
      </w:r>
    </w:p>
    <w:p w:rsidR="004F7853" w:rsidRPr="00DD2A86" w:rsidRDefault="004F7853" w:rsidP="00B61A90">
      <w:pPr>
        <w:numPr>
          <w:ilvl w:val="0"/>
          <w:numId w:val="26"/>
        </w:numPr>
        <w:tabs>
          <w:tab w:val="left" w:pos="851"/>
        </w:tabs>
        <w:suppressAutoHyphens w:val="0"/>
        <w:ind w:left="1134" w:right="1134" w:hanging="284"/>
        <w:jc w:val="both"/>
        <w:outlineLvl w:val="0"/>
        <w:rPr>
          <w:rFonts w:eastAsia="Calibri"/>
          <w:szCs w:val="24"/>
          <w:lang w:val="de-DE"/>
        </w:rPr>
      </w:pPr>
      <w:r w:rsidRPr="00DD2A86">
        <w:rPr>
          <w:rFonts w:eastAsia="Calibri"/>
          <w:noProof/>
          <w:szCs w:val="24"/>
          <w:lang w:val="fr-FR" w:eastAsia="fr-FR"/>
        </w:rPr>
        <mc:AlternateContent>
          <mc:Choice Requires="wps">
            <w:drawing>
              <wp:anchor distT="0" distB="0" distL="114300" distR="114300" simplePos="0" relativeHeight="251683840" behindDoc="0" locked="0" layoutInCell="1" allowOverlap="1" wp14:anchorId="2B467F01" wp14:editId="4A830F0C">
                <wp:simplePos x="0" y="0"/>
                <wp:positionH relativeFrom="column">
                  <wp:posOffset>13335</wp:posOffset>
                </wp:positionH>
                <wp:positionV relativeFrom="paragraph">
                  <wp:posOffset>71120</wp:posOffset>
                </wp:positionV>
                <wp:extent cx="297180" cy="224155"/>
                <wp:effectExtent l="8890" t="11430" r="8255" b="12065"/>
                <wp:wrapNone/>
                <wp:docPr id="4" name="Rectangle 4" descr="Diagonal hell nach ob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224155"/>
                        </a:xfrm>
                        <a:prstGeom prst="rect">
                          <a:avLst/>
                        </a:prstGeom>
                        <a:pattFill prst="ltUpDiag">
                          <a:fgClr>
                            <a:srgbClr val="000000"/>
                          </a:fgClr>
                          <a:bgClr>
                            <a:srgbClr val="FFFFFF"/>
                          </a:bgClr>
                        </a:patt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AD17A6" id="Rectangle 4" o:spid="_x0000_s1026" alt="Diagonal hell nach oben" style="position:absolute;margin-left:1.05pt;margin-top:5.6pt;width:23.4pt;height:17.6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" fillcolor="black">
                <v:fill r:id="rId11" o:title="" type="pattern"/>
              </v:rect>
            </w:pict>
          </mc:Fallback>
        </mc:AlternateContent>
      </w:r>
      <w:r w:rsidRPr="00DD2A86">
        <w:rPr>
          <w:rFonts w:eastAsia="Calibri"/>
          <w:szCs w:val="24"/>
          <w:lang w:val="de-DE"/>
        </w:rPr>
        <w:t>An Deck im Bereich der Ladung, einen Bereich mit einer Ausdehnung von 1,00 m in der Höhe und in Längsrichtung anschließend an Zone 1.</w:t>
      </w:r>
    </w:p>
    <w:p w:rsidR="004F7853" w:rsidRPr="00DD2A86" w:rsidRDefault="004F7853" w:rsidP="00B61A90">
      <w:pPr>
        <w:keepNext/>
        <w:keepLines/>
        <w:numPr>
          <w:ilvl w:val="0"/>
          <w:numId w:val="26"/>
        </w:numPr>
        <w:tabs>
          <w:tab w:val="left" w:pos="851"/>
        </w:tabs>
        <w:suppressAutoHyphens w:val="0"/>
        <w:ind w:left="1134" w:right="1134" w:hanging="284"/>
        <w:jc w:val="both"/>
        <w:outlineLvl w:val="0"/>
        <w:rPr>
          <w:rFonts w:eastAsia="Calibri"/>
          <w:szCs w:val="24"/>
          <w:lang w:val="de-DE"/>
        </w:rPr>
      </w:pPr>
      <w:r w:rsidRPr="00DD2A86">
        <w:rPr>
          <w:rFonts w:eastAsia="Calibri"/>
          <w:szCs w:val="24"/>
          <w:lang w:val="de-DE"/>
        </w:rPr>
        <w:t>Auf dem Vor- und Achterdeck anschließend an die „Begrenzungsebene des Bereichs der Ladung“ einen Bereich über die volle Breite des Schiffs, mit einer Länge von 7,5</w:t>
      </w:r>
      <w:r w:rsidR="0077037F" w:rsidRPr="00DD2A86">
        <w:rPr>
          <w:rFonts w:eastAsia="Calibri"/>
          <w:szCs w:val="24"/>
          <w:lang w:val="de-DE"/>
        </w:rPr>
        <w:t>0</w:t>
      </w:r>
      <w:r w:rsidRPr="00DD2A86">
        <w:rPr>
          <w:rFonts w:eastAsia="Calibri"/>
          <w:szCs w:val="24"/>
          <w:lang w:val="de-DE"/>
        </w:rPr>
        <w:t xml:space="preserve"> m. Zwischen der seitlichen Bordwand und der Schutzwand entspricht dieser Bereich in der Länge und in der Höhe den Abmessungen der seitlichen Flanke dieser Schutzwand. Ansonsten beträgt die Höhe der Zone 2 0,50 m.</w:t>
      </w:r>
    </w:p>
    <w:p w:rsidR="004F7853" w:rsidRPr="00DD2A86" w:rsidRDefault="004F7853" w:rsidP="00B61A90">
      <w:pPr>
        <w:keepNext/>
        <w:keepLines/>
        <w:tabs>
          <w:tab w:val="left" w:pos="851"/>
        </w:tabs>
        <w:suppressAutoHyphens w:val="0"/>
        <w:ind w:left="1134" w:right="1134"/>
        <w:jc w:val="both"/>
        <w:outlineLvl w:val="0"/>
        <w:rPr>
          <w:rFonts w:eastAsia="Calibri"/>
          <w:szCs w:val="24"/>
          <w:lang w:val="de-DE"/>
        </w:rPr>
      </w:pPr>
      <w:r w:rsidRPr="00DD2A86">
        <w:rPr>
          <w:rFonts w:eastAsia="Calibri"/>
          <w:szCs w:val="24"/>
          <w:lang w:val="de-DE"/>
        </w:rPr>
        <w:t>Dieser Bereich zählt nicht zu Zone 2, wenn die Schutzwand von Bord zu Bord reicht und keine Öffnungen aufweist.</w:t>
      </w:r>
    </w:p>
    <w:p w:rsidR="004F7853" w:rsidRPr="00DD2A86" w:rsidRDefault="004F7853" w:rsidP="00B61A90">
      <w:pPr>
        <w:numPr>
          <w:ilvl w:val="0"/>
          <w:numId w:val="26"/>
        </w:numPr>
        <w:tabs>
          <w:tab w:val="left" w:pos="851"/>
        </w:tabs>
        <w:suppressAutoHyphens w:val="0"/>
        <w:ind w:left="1134" w:right="1134" w:hanging="284"/>
        <w:jc w:val="both"/>
        <w:outlineLvl w:val="3"/>
        <w:rPr>
          <w:rFonts w:eastAsia="Calibri"/>
          <w:szCs w:val="24"/>
          <w:lang w:val="de-DE"/>
        </w:rPr>
      </w:pPr>
      <w:r w:rsidRPr="00DD2A86">
        <w:rPr>
          <w:rFonts w:eastAsia="Calibri"/>
          <w:szCs w:val="24"/>
          <w:lang w:val="de-DE"/>
        </w:rPr>
        <w:t>Einen Bereich von 3,00 m Ausdehnung um die Zone 1 um Hochgeschwindigkeitsventile oder Sicherheitsventile der Drucktanks.</w:t>
      </w:r>
    </w:p>
    <w:p w:rsidR="004F7853" w:rsidRPr="00DD2A86" w:rsidRDefault="004F7853" w:rsidP="00B61A90">
      <w:pPr>
        <w:tabs>
          <w:tab w:val="left" w:pos="2268"/>
        </w:tabs>
        <w:ind w:left="1134" w:right="1134" w:hanging="283"/>
        <w:jc w:val="both"/>
        <w:rPr>
          <w:rFonts w:eastAsia="Calibri"/>
          <w:szCs w:val="24"/>
          <w:lang w:val="de-DE"/>
        </w:rPr>
      </w:pPr>
      <w:r w:rsidRPr="00DD2A86">
        <w:rPr>
          <w:rFonts w:eastAsia="Calibri"/>
          <w:szCs w:val="24"/>
          <w:lang w:val="de-DE"/>
        </w:rPr>
        <w:t>-</w:t>
      </w:r>
      <w:r w:rsidRPr="00DD2A86">
        <w:rPr>
          <w:rFonts w:eastAsia="Calibri"/>
          <w:szCs w:val="24"/>
          <w:lang w:val="de-DE"/>
        </w:rPr>
        <w:tab/>
        <w:t>Um Entlüftungsöffnungen technisch belüfteter Betriebsräume im Bereich der Ladung einen Bereich in Form einer Kugelschale mit Kugelschalenbreite 1,00 m, die Zone 1 umhüllt.“.</w:t>
      </w:r>
    </w:p>
    <w:p w:rsidR="00A21536" w:rsidRPr="00DD2A86" w:rsidRDefault="00A21536" w:rsidP="00B61A90">
      <w:pPr>
        <w:tabs>
          <w:tab w:val="left" w:pos="2268"/>
        </w:tabs>
        <w:ind w:left="1134" w:right="1134" w:hanging="283"/>
        <w:jc w:val="both"/>
        <w:rPr>
          <w:rFonts w:eastAsia="Calibri"/>
          <w:szCs w:val="24"/>
          <w:lang w:val="de-DE"/>
        </w:rPr>
      </w:pPr>
    </w:p>
    <w:p w:rsidR="00A21536" w:rsidRPr="00DD2A86" w:rsidRDefault="00A21536" w:rsidP="00B61A90">
      <w:pPr>
        <w:spacing w:before="120" w:after="120"/>
        <w:ind w:left="1134" w:right="1134"/>
        <w:jc w:val="both"/>
        <w:rPr>
          <w:i/>
          <w:lang w:val="de-DE"/>
        </w:rPr>
        <w:sectPr w:rsidR="00A21536" w:rsidRPr="00DD2A86" w:rsidSect="009F66E5">
          <w:headerReference w:type="even" r:id="rId12"/>
          <w:headerReference w:type="default" r:id="rId13"/>
          <w:footerReference w:type="even" r:id="rId14"/>
          <w:footerReference w:type="default" r:id="rId15"/>
          <w:headerReference w:type="first" r:id="rId16"/>
          <w:endnotePr>
            <w:numFmt w:val="decimal"/>
          </w:endnotePr>
          <w:pgSz w:w="11907" w:h="16840" w:code="9"/>
          <w:pgMar w:top="1701" w:right="1134" w:bottom="2268" w:left="1134" w:header="567" w:footer="567" w:gutter="0"/>
          <w:cols w:space="720"/>
          <w:titlePg/>
          <w:docGrid w:linePitch="272"/>
        </w:sectPr>
      </w:pPr>
    </w:p>
    <w:p w:rsidR="00A21536" w:rsidRPr="00DD2A86" w:rsidRDefault="00A21536" w:rsidP="00A21536">
      <w:pPr>
        <w:suppressAutoHyphens w:val="0"/>
        <w:spacing w:after="200" w:line="276" w:lineRule="auto"/>
        <w:rPr>
          <w:rFonts w:eastAsia="Calibri"/>
          <w:b/>
          <w:sz w:val="28"/>
          <w:szCs w:val="28"/>
          <w:lang w:val="de-DE"/>
        </w:rPr>
      </w:pPr>
      <w:r w:rsidRPr="00DD2A86">
        <w:rPr>
          <w:rFonts w:ascii="Arial" w:eastAsia="Calibri" w:hAnsi="Arial"/>
          <w:noProof/>
          <w:szCs w:val="24"/>
          <w:lang w:val="fr-FR" w:eastAsia="fr-FR"/>
        </w:rPr>
        <mc:AlternateContent>
          <mc:Choice Requires="wpg">
            <w:drawing>
              <wp:anchor distT="0" distB="0" distL="114300" distR="114300" simplePos="0" relativeHeight="251710464" behindDoc="0" locked="0" layoutInCell="1" allowOverlap="1" wp14:anchorId="20E5165A" wp14:editId="0F97501E">
                <wp:simplePos x="0" y="0"/>
                <wp:positionH relativeFrom="column">
                  <wp:posOffset>-213995</wp:posOffset>
                </wp:positionH>
                <wp:positionV relativeFrom="paragraph">
                  <wp:posOffset>376555</wp:posOffset>
                </wp:positionV>
                <wp:extent cx="8843010" cy="5349234"/>
                <wp:effectExtent l="19050" t="0" r="0" b="4445"/>
                <wp:wrapNone/>
                <wp:docPr id="1952" name="Gruppieren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43010" cy="5349234"/>
                          <a:chOff x="-1" y="984250"/>
                          <a:chExt cx="8843511" cy="5358231"/>
                        </a:xfrm>
                      </wpg:grpSpPr>
                      <wpg:grpSp>
                        <wpg:cNvPr id="1953" name="Gruppieren 3"/>
                        <wpg:cNvGrpSpPr>
                          <a:grpSpLocks/>
                        </wpg:cNvGrpSpPr>
                        <wpg:grpSpPr bwMode="auto">
                          <a:xfrm>
                            <a:off x="287303" y="3624621"/>
                            <a:ext cx="1965360" cy="541670"/>
                            <a:chOff x="287303" y="3624625"/>
                            <a:chExt cx="1964753" cy="543404"/>
                          </a:xfrm>
                        </wpg:grpSpPr>
                        <wps:wsp>
                          <wps:cNvPr id="1954" name="Rectangle 20" descr="5%"/>
                          <wps:cNvSpPr>
                            <a:spLocks noChangeAspect="1" noChangeArrowheads="1"/>
                          </wps:cNvSpPr>
                          <wps:spPr bwMode="auto">
                            <a:xfrm>
                              <a:off x="879648" y="3739167"/>
                              <a:ext cx="1361665" cy="70133"/>
                            </a:xfrm>
                            <a:prstGeom prst="rect">
                              <a:avLst/>
                            </a:prstGeom>
                            <a:blipFill dpi="0" rotWithShape="0">
                              <a:blip r:embed="rId17"/>
                              <a:srcRect/>
                              <a:tile tx="0" ty="0" sx="100000" sy="100000" flip="none" algn="tl"/>
                            </a:blipFill>
                            <a:ln w="9525">
                              <a:solidFill>
                                <a:srgbClr val="3F3151"/>
                              </a:solidFill>
                              <a:miter lim="800000"/>
                              <a:headEnd/>
                              <a:tailEnd/>
                            </a:ln>
                          </wps:spPr>
                          <wps:bodyPr wrap="none" anchor="ctr"/>
                        </wps:wsp>
                        <wps:wsp>
                          <wps:cNvPr id="1955" name="Line 11"/>
                          <wps:cNvCnPr/>
                          <wps:spPr bwMode="auto">
                            <a:xfrm flipV="1">
                              <a:off x="716328" y="3810045"/>
                              <a:ext cx="0" cy="89535"/>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1956" name="Line 12"/>
                          <wps:cNvCnPr/>
                          <wps:spPr bwMode="auto">
                            <a:xfrm>
                              <a:off x="724581" y="3624625"/>
                              <a:ext cx="0" cy="89535"/>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1957" name="Text Box 13"/>
                          <wps:cNvSpPr txBox="1">
                            <a:spLocks noChangeAspect="1" noChangeArrowheads="1"/>
                          </wps:cNvSpPr>
                          <wps:spPr bwMode="auto">
                            <a:xfrm>
                              <a:off x="287303" y="3642297"/>
                              <a:ext cx="646911" cy="356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Default="00AA4416" w:rsidP="00A21536">
                                <w:pPr>
                                  <w:pStyle w:val="NormalWeb"/>
                                  <w:spacing w:after="200"/>
                                  <w:textAlignment w:val="baseline"/>
                                </w:pPr>
                                <w:r w:rsidRPr="00C1504E">
                                  <w:rPr>
                                    <w:rFonts w:ascii="Arial" w:hAnsi="Arial" w:cs="Arial"/>
                                    <w:color w:val="5F497A"/>
                                    <w:kern w:val="24"/>
                                    <w:sz w:val="18"/>
                                    <w:szCs w:val="18"/>
                                  </w:rPr>
                                  <w:t>0,50 m</w:t>
                                </w:r>
                              </w:p>
                            </w:txbxContent>
                          </wps:txbx>
                          <wps:bodyPr lIns="75888" tIns="37944" rIns="75888" bIns="37944">
                            <a:spAutoFit/>
                          </wps:bodyPr>
                        </wps:wsp>
                        <wps:wsp>
                          <wps:cNvPr id="1958" name="Text Box 14"/>
                          <wps:cNvSpPr txBox="1">
                            <a:spLocks noChangeAspect="1" noChangeArrowheads="1"/>
                          </wps:cNvSpPr>
                          <wps:spPr bwMode="auto">
                            <a:xfrm>
                              <a:off x="1406042" y="3811050"/>
                              <a:ext cx="639928" cy="356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Default="00AA4416" w:rsidP="00A21536">
                                <w:pPr>
                                  <w:pStyle w:val="NormalWeb"/>
                                  <w:spacing w:after="200"/>
                                  <w:textAlignment w:val="baseline"/>
                                </w:pPr>
                                <w:r w:rsidRPr="00C1504E">
                                  <w:rPr>
                                    <w:rFonts w:ascii="Arial" w:hAnsi="Arial" w:cs="Arial"/>
                                    <w:color w:val="5F497A"/>
                                    <w:kern w:val="24"/>
                                    <w:sz w:val="18"/>
                                    <w:szCs w:val="18"/>
                                  </w:rPr>
                                  <w:t>7,50 m</w:t>
                                </w:r>
                              </w:p>
                            </w:txbxContent>
                          </wps:txbx>
                          <wps:bodyPr lIns="75888" tIns="37944" rIns="75888" bIns="37944">
                            <a:spAutoFit/>
                          </wps:bodyPr>
                        </wps:wsp>
                        <wps:wsp>
                          <wps:cNvPr id="1959" name="Line 15"/>
                          <wps:cNvCnPr/>
                          <wps:spPr bwMode="auto">
                            <a:xfrm flipH="1">
                              <a:off x="875516" y="3848265"/>
                              <a:ext cx="1376540" cy="0"/>
                            </a:xfrm>
                            <a:prstGeom prst="line">
                              <a:avLst/>
                            </a:prstGeom>
                            <a:noFill/>
                            <a:ln w="9525">
                              <a:solidFill>
                                <a:srgbClr val="5F497A"/>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60" name="Line 10"/>
                          <wps:cNvCnPr/>
                          <wps:spPr bwMode="auto">
                            <a:xfrm flipH="1">
                              <a:off x="724167" y="3727351"/>
                              <a:ext cx="15347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1961" name="Line 83"/>
                        <wps:cNvCnPr/>
                        <wps:spPr bwMode="auto">
                          <a:xfrm rot="21120000" flipH="1">
                            <a:off x="2224287" y="3211512"/>
                            <a:ext cx="36515" cy="269875"/>
                          </a:xfrm>
                          <a:prstGeom prst="line">
                            <a:avLst/>
                          </a:prstGeom>
                          <a:noFill/>
                          <a:ln w="9525">
                            <a:solidFill>
                              <a:sysClr val="windowText" lastClr="000000">
                                <a:lumMod val="65000"/>
                                <a:lumOff val="35000"/>
                              </a:sysClr>
                            </a:solidFill>
                            <a:prstDash val="lgDash"/>
                            <a:round/>
                            <a:headEnd/>
                            <a:tailEnd/>
                          </a:ln>
                        </wps:spPr>
                        <wps:bodyPr/>
                      </wps:wsp>
                      <wps:wsp>
                        <wps:cNvPr id="1962" name="Line 89"/>
                        <wps:cNvCnPr/>
                        <wps:spPr bwMode="auto">
                          <a:xfrm>
                            <a:off x="1760696" y="3179762"/>
                            <a:ext cx="22227" cy="0"/>
                          </a:xfrm>
                          <a:prstGeom prst="line">
                            <a:avLst/>
                          </a:prstGeom>
                          <a:noFill/>
                          <a:ln w="9525">
                            <a:solidFill>
                              <a:sysClr val="windowText" lastClr="000000">
                                <a:lumMod val="65000"/>
                                <a:lumOff val="35000"/>
                              </a:sysClr>
                            </a:solidFill>
                            <a:round/>
                            <a:headEnd/>
                            <a:tailEnd/>
                          </a:ln>
                        </wps:spPr>
                        <wps:bodyPr/>
                      </wps:wsp>
                      <wps:wsp>
                        <wps:cNvPr id="1963" name="Line 91"/>
                        <wps:cNvCnPr/>
                        <wps:spPr bwMode="auto">
                          <a:xfrm>
                            <a:off x="2243138" y="3770312"/>
                            <a:ext cx="0" cy="538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64" name="Gruppieren 7"/>
                        <wpg:cNvGrpSpPr>
                          <a:grpSpLocks/>
                        </wpg:cNvGrpSpPr>
                        <wpg:grpSpPr bwMode="auto">
                          <a:xfrm>
                            <a:off x="6350" y="3424226"/>
                            <a:ext cx="2252663" cy="887410"/>
                            <a:chOff x="6350" y="3424237"/>
                            <a:chExt cx="2251882" cy="887724"/>
                          </a:xfrm>
                        </wpg:grpSpPr>
                        <wps:wsp>
                          <wps:cNvPr id="1965" name="Line 76"/>
                          <wps:cNvCnPr/>
                          <wps:spPr bwMode="auto">
                            <a:xfrm>
                              <a:off x="297775" y="4055594"/>
                              <a:ext cx="279739" cy="2563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6" name="Line 77"/>
                          <wps:cNvCnPr/>
                          <wps:spPr bwMode="auto">
                            <a:xfrm>
                              <a:off x="52849" y="4050835"/>
                              <a:ext cx="2520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5" name="Line 78"/>
                          <wps:cNvCnPr/>
                          <wps:spPr bwMode="auto">
                            <a:xfrm>
                              <a:off x="6350" y="3802370"/>
                              <a:ext cx="46499" cy="251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6" name="Line 79"/>
                          <wps:cNvCnPr/>
                          <wps:spPr bwMode="auto">
                            <a:xfrm>
                              <a:off x="8797" y="3807830"/>
                              <a:ext cx="22494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7" name="Line 81"/>
                          <wps:cNvCnPr/>
                          <wps:spPr bwMode="auto">
                            <a:xfrm flipH="1">
                              <a:off x="282025" y="3466530"/>
                              <a:ext cx="14684" cy="3385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8" name="Line 82"/>
                          <wps:cNvCnPr/>
                          <wps:spPr bwMode="auto">
                            <a:xfrm flipV="1">
                              <a:off x="292687" y="3424237"/>
                              <a:ext cx="1404346" cy="422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09" name="Line 84"/>
                        <wps:cNvCnPr/>
                        <wps:spPr bwMode="auto">
                          <a:xfrm flipV="1">
                            <a:off x="1752757" y="2990850"/>
                            <a:ext cx="566789" cy="3175"/>
                          </a:xfrm>
                          <a:prstGeom prst="line">
                            <a:avLst/>
                          </a:prstGeom>
                          <a:noFill/>
                          <a:ln w="9525">
                            <a:solidFill>
                              <a:sysClr val="windowText" lastClr="000000">
                                <a:lumMod val="65000"/>
                                <a:lumOff val="35000"/>
                              </a:sysClr>
                            </a:solidFill>
                            <a:prstDash val="lgDash"/>
                            <a:round/>
                            <a:headEnd/>
                            <a:tailEnd/>
                          </a:ln>
                        </wps:spPr>
                        <wps:bodyPr/>
                      </wps:wsp>
                      <wps:wsp>
                        <wps:cNvPr id="2410" name="Line 85"/>
                        <wps:cNvCnPr/>
                        <wps:spPr bwMode="auto">
                          <a:xfrm>
                            <a:off x="1752757" y="2990850"/>
                            <a:ext cx="3175" cy="185737"/>
                          </a:xfrm>
                          <a:prstGeom prst="line">
                            <a:avLst/>
                          </a:prstGeom>
                          <a:noFill/>
                          <a:ln w="9525">
                            <a:solidFill>
                              <a:sysClr val="windowText" lastClr="000000">
                                <a:lumMod val="65000"/>
                                <a:lumOff val="35000"/>
                              </a:sysClr>
                            </a:solidFill>
                            <a:prstDash val="lgDash"/>
                            <a:round/>
                            <a:headEnd/>
                            <a:tailEnd/>
                          </a:ln>
                        </wps:spPr>
                        <wps:bodyPr/>
                      </wps:wsp>
                      <wps:wsp>
                        <wps:cNvPr id="2411" name="Line 86"/>
                        <wps:cNvCnPr/>
                        <wps:spPr bwMode="auto">
                          <a:xfrm rot="120000" flipH="1">
                            <a:off x="2249690" y="2994025"/>
                            <a:ext cx="63506" cy="209550"/>
                          </a:xfrm>
                          <a:prstGeom prst="line">
                            <a:avLst/>
                          </a:prstGeom>
                          <a:noFill/>
                          <a:ln w="9525">
                            <a:solidFill>
                              <a:sysClr val="windowText" lastClr="000000">
                                <a:lumMod val="65000"/>
                                <a:lumOff val="35000"/>
                              </a:sysClr>
                            </a:solidFill>
                            <a:prstDash val="lgDash"/>
                            <a:round/>
                            <a:headEnd/>
                            <a:tailEnd/>
                          </a:ln>
                        </wps:spPr>
                        <wps:bodyPr/>
                      </wps:wsp>
                      <wps:wsp>
                        <wps:cNvPr id="2412" name="Line 88"/>
                        <wps:cNvCnPr/>
                        <wps:spPr bwMode="auto">
                          <a:xfrm>
                            <a:off x="1782923" y="3176587"/>
                            <a:ext cx="0" cy="561975"/>
                          </a:xfrm>
                          <a:prstGeom prst="line">
                            <a:avLst/>
                          </a:prstGeom>
                          <a:noFill/>
                          <a:ln w="9525">
                            <a:solidFill>
                              <a:sysClr val="windowText" lastClr="000000">
                                <a:lumMod val="65000"/>
                                <a:lumOff val="35000"/>
                              </a:sysClr>
                            </a:solidFill>
                            <a:prstDash val="lgDash"/>
                            <a:round/>
                            <a:headEnd/>
                            <a:tailEnd/>
                          </a:ln>
                        </wps:spPr>
                        <wps:bodyPr/>
                      </wps:wsp>
                      <wps:wsp>
                        <wps:cNvPr id="2413" name="Line 90"/>
                        <wps:cNvCnPr/>
                        <wps:spPr bwMode="auto">
                          <a:xfrm>
                            <a:off x="574675" y="4311650"/>
                            <a:ext cx="16748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414" name="Gruppieren 13"/>
                        <wpg:cNvGrpSpPr>
                          <a:grpSpLocks/>
                        </wpg:cNvGrpSpPr>
                        <wpg:grpSpPr bwMode="auto">
                          <a:xfrm>
                            <a:off x="347664" y="3071837"/>
                            <a:ext cx="1813121" cy="504829"/>
                            <a:chOff x="347663" y="3071812"/>
                            <a:chExt cx="1812803" cy="504030"/>
                          </a:xfrm>
                        </wpg:grpSpPr>
                        <wps:wsp>
                          <wps:cNvPr id="2415" name="Rectangle 24" descr="Horizontal hell"/>
                          <wps:cNvSpPr>
                            <a:spLocks noChangeAspect="1" noChangeArrowheads="1"/>
                          </wps:cNvSpPr>
                          <wps:spPr bwMode="auto">
                            <a:xfrm>
                              <a:off x="1835055" y="3071812"/>
                              <a:ext cx="325411" cy="64985"/>
                            </a:xfrm>
                            <a:prstGeom prst="rect">
                              <a:avLst/>
                            </a:prstGeom>
                            <a:noFill/>
                            <a:ln w="9525">
                              <a:solidFill>
                                <a:sysClr val="windowText" lastClr="000000">
                                  <a:lumMod val="65000"/>
                                  <a:lumOff val="35000"/>
                                </a:sysClr>
                              </a:solidFill>
                              <a:prstDash val="lgDash"/>
                              <a:miter lim="800000"/>
                              <a:headEnd/>
                              <a:tailEnd/>
                            </a:ln>
                          </wps:spPr>
                          <wps:bodyPr wrap="none" anchor="ctr"/>
                        </wps:wsp>
                        <wps:wsp>
                          <wps:cNvPr id="2416" name="Rectangle 92" descr="Horizontal hell"/>
                          <wps:cNvSpPr>
                            <a:spLocks noChangeAspect="1" noChangeArrowheads="1"/>
                          </wps:cNvSpPr>
                          <wps:spPr bwMode="auto">
                            <a:xfrm>
                              <a:off x="347663" y="3509802"/>
                              <a:ext cx="324228" cy="66040"/>
                            </a:xfrm>
                            <a:prstGeom prst="rect">
                              <a:avLst/>
                            </a:prstGeom>
                            <a:blipFill dpi="0" rotWithShape="0">
                              <a:blip r:embed="rId18"/>
                              <a:srcRect/>
                              <a:tile tx="0" ty="0" sx="100000" sy="100000" flip="none" algn="tl"/>
                            </a:blipFill>
                            <a:ln w="9525">
                              <a:solidFill>
                                <a:srgbClr val="000000"/>
                              </a:solidFill>
                              <a:miter lim="800000"/>
                              <a:headEnd/>
                              <a:tailEnd/>
                            </a:ln>
                          </wps:spPr>
                          <wps:bodyPr wrap="none" anchor="ctr"/>
                        </wps:wsp>
                      </wpg:grpSp>
                      <wps:wsp>
                        <wps:cNvPr id="2417" name="Rectangle 3" descr="Horizontal hell"/>
                        <wps:cNvSpPr>
                          <a:spLocks noChangeArrowheads="1"/>
                        </wps:cNvSpPr>
                        <wps:spPr bwMode="auto">
                          <a:xfrm>
                            <a:off x="7454900" y="3494087"/>
                            <a:ext cx="454025" cy="74613"/>
                          </a:xfrm>
                          <a:prstGeom prst="rect">
                            <a:avLst/>
                          </a:prstGeom>
                          <a:blipFill dpi="0" rotWithShape="0">
                            <a:blip r:embed="rId18"/>
                            <a:srcRect/>
                            <a:tile tx="0" ty="0" sx="100000" sy="100000" flip="none" algn="tl"/>
                          </a:blipFill>
                          <a:ln w="9525">
                            <a:solidFill>
                              <a:srgbClr val="000000"/>
                            </a:solidFill>
                            <a:miter lim="800000"/>
                            <a:headEnd/>
                            <a:tailEnd/>
                          </a:ln>
                        </wps:spPr>
                        <wps:bodyPr wrap="none" anchor="ctr"/>
                      </wps:wsp>
                      <wps:wsp>
                        <wps:cNvPr id="2418" name="Rectangle 5"/>
                        <wps:cNvSpPr>
                          <a:spLocks noChangeArrowheads="1"/>
                        </wps:cNvSpPr>
                        <wps:spPr bwMode="auto">
                          <a:xfrm>
                            <a:off x="6808788" y="3454400"/>
                            <a:ext cx="1212850" cy="390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wrap="none" anchor="ctr"/>
                      </wps:wsp>
                      <wps:wsp>
                        <wps:cNvPr id="2419" name="Line 8"/>
                        <wps:cNvCnPr/>
                        <wps:spPr bwMode="auto">
                          <a:xfrm>
                            <a:off x="6810375" y="3730625"/>
                            <a:ext cx="6350" cy="577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0" name="Line 10"/>
                        <wps:cNvCnPr/>
                        <wps:spPr bwMode="auto">
                          <a:xfrm>
                            <a:off x="8012298" y="3845206"/>
                            <a:ext cx="599146" cy="15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1" name="Line 11"/>
                        <wps:cNvCnPr/>
                        <wps:spPr bwMode="auto">
                          <a:xfrm>
                            <a:off x="6819900" y="4313237"/>
                            <a:ext cx="1425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2" name="Line 12"/>
                        <wps:cNvCnPr/>
                        <wps:spPr bwMode="auto">
                          <a:xfrm flipH="1">
                            <a:off x="8486775" y="3849687"/>
                            <a:ext cx="122238"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3" name="Arc 13"/>
                        <wps:cNvSpPr>
                          <a:spLocks/>
                        </wps:cNvSpPr>
                        <wps:spPr bwMode="auto">
                          <a:xfrm flipV="1">
                            <a:off x="8242300" y="4181475"/>
                            <a:ext cx="242888" cy="130175"/>
                          </a:xfrm>
                          <a:custGeom>
                            <a:avLst/>
                            <a:gdLst>
                              <a:gd name="T0" fmla="*/ 0 w 21600"/>
                              <a:gd name="T1" fmla="*/ 0 h 21896"/>
                              <a:gd name="T2" fmla="*/ 2147483646 w 21600"/>
                              <a:gd name="T3" fmla="*/ 2147483646 h 21896"/>
                              <a:gd name="T4" fmla="*/ 0 w 21600"/>
                              <a:gd name="T5" fmla="*/ 2147483646 h 21896"/>
                              <a:gd name="T6" fmla="*/ 0 60000 65536"/>
                              <a:gd name="T7" fmla="*/ 0 60000 65536"/>
                              <a:gd name="T8" fmla="*/ 0 60000 65536"/>
                              <a:gd name="T9" fmla="*/ 0 w 21600"/>
                              <a:gd name="T10" fmla="*/ 0 h 21896"/>
                              <a:gd name="T11" fmla="*/ 21600 w 21600"/>
                              <a:gd name="T12" fmla="*/ 21896 h 21896"/>
                            </a:gdLst>
                            <a:ahLst/>
                            <a:cxnLst>
                              <a:cxn ang="T6">
                                <a:pos x="T0" y="T1"/>
                              </a:cxn>
                              <a:cxn ang="T7">
                                <a:pos x="T2" y="T3"/>
                              </a:cxn>
                              <a:cxn ang="T8">
                                <a:pos x="T4" y="T5"/>
                              </a:cxn>
                            </a:cxnLst>
                            <a:rect l="T9" t="T10" r="T11" b="T12"/>
                            <a:pathLst>
                              <a:path w="21600" h="21896" fill="none" extrusionOk="0">
                                <a:moveTo>
                                  <a:pt x="-1" y="0"/>
                                </a:moveTo>
                                <a:cubicBezTo>
                                  <a:pt x="11929" y="0"/>
                                  <a:pt x="21600" y="9670"/>
                                  <a:pt x="21600" y="21600"/>
                                </a:cubicBezTo>
                                <a:cubicBezTo>
                                  <a:pt x="21600" y="21698"/>
                                  <a:pt x="21599" y="21797"/>
                                  <a:pt x="21597" y="21895"/>
                                </a:cubicBezTo>
                              </a:path>
                              <a:path w="21600" h="21896" stroke="0" extrusionOk="0">
                                <a:moveTo>
                                  <a:pt x="-1" y="0"/>
                                </a:moveTo>
                                <a:cubicBezTo>
                                  <a:pt x="11929" y="0"/>
                                  <a:pt x="21600" y="9670"/>
                                  <a:pt x="21600" y="21600"/>
                                </a:cubicBezTo>
                                <a:cubicBezTo>
                                  <a:pt x="21600" y="21698"/>
                                  <a:pt x="21599" y="21797"/>
                                  <a:pt x="21597" y="21895"/>
                                </a:cubicBezTo>
                                <a:lnTo>
                                  <a:pt x="0" y="21600"/>
                                </a:lnTo>
                                <a:lnTo>
                                  <a:pt x="-1" y="0"/>
                                </a:lnTo>
                                <a:close/>
                              </a:path>
                            </a:pathLst>
                          </a:custGeom>
                          <a:solidFill>
                            <a:srgbClr val="FFFFFF"/>
                          </a:solidFill>
                          <a:ln w="9525">
                            <a:solidFill>
                              <a:srgbClr val="000000"/>
                            </a:solidFill>
                            <a:round/>
                            <a:headEnd/>
                            <a:tailEnd/>
                          </a:ln>
                        </wps:spPr>
                        <wps:bodyPr anchor="ctr"/>
                      </wps:wsp>
                      <wps:wsp>
                        <wps:cNvPr id="2424" name="Rectangle 20" descr="5%"/>
                        <wps:cNvSpPr>
                          <a:spLocks noChangeArrowheads="1"/>
                        </wps:cNvSpPr>
                        <wps:spPr bwMode="auto">
                          <a:xfrm>
                            <a:off x="6820694" y="3766575"/>
                            <a:ext cx="1328738" cy="75600"/>
                          </a:xfrm>
                          <a:prstGeom prst="rect">
                            <a:avLst/>
                          </a:prstGeom>
                          <a:blipFill dpi="0" rotWithShape="0">
                            <a:blip r:embed="rId17"/>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425" name="Line 11"/>
                        <wps:cNvCnPr/>
                        <wps:spPr bwMode="auto">
                          <a:xfrm flipV="1">
                            <a:off x="8285163" y="3836987"/>
                            <a:ext cx="0" cy="92075"/>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2426" name="Line 12"/>
                        <wps:cNvCnPr/>
                        <wps:spPr bwMode="auto">
                          <a:xfrm>
                            <a:off x="8293100" y="3649662"/>
                            <a:ext cx="0" cy="90488"/>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2427" name="Text Box 13"/>
                        <wps:cNvSpPr txBox="1">
                          <a:spLocks noChangeAspect="1" noChangeArrowheads="1"/>
                        </wps:cNvSpPr>
                        <wps:spPr bwMode="auto">
                          <a:xfrm>
                            <a:off x="8249107" y="3666377"/>
                            <a:ext cx="594403" cy="355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Default="00AA4416" w:rsidP="00A21536">
                              <w:pPr>
                                <w:pStyle w:val="NormalWeb"/>
                                <w:spacing w:after="200"/>
                                <w:textAlignment w:val="baseline"/>
                              </w:pPr>
                              <w:r w:rsidRPr="00C1504E">
                                <w:rPr>
                                  <w:rFonts w:ascii="Arial" w:hAnsi="Arial" w:cs="Arial"/>
                                  <w:color w:val="5F497A"/>
                                  <w:kern w:val="24"/>
                                  <w:sz w:val="18"/>
                                  <w:szCs w:val="18"/>
                                </w:rPr>
                                <w:t>0,50 m</w:t>
                              </w:r>
                            </w:p>
                          </w:txbxContent>
                        </wps:txbx>
                        <wps:bodyPr lIns="75888" tIns="37944" rIns="75888" bIns="37944">
                          <a:spAutoFit/>
                        </wps:bodyPr>
                      </wps:wsp>
                      <wps:wsp>
                        <wps:cNvPr id="2428" name="Text Box 14"/>
                        <wps:cNvSpPr txBox="1">
                          <a:spLocks noChangeAspect="1" noChangeArrowheads="1"/>
                        </wps:cNvSpPr>
                        <wps:spPr bwMode="auto">
                          <a:xfrm>
                            <a:off x="7341867" y="3844658"/>
                            <a:ext cx="607739" cy="355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Default="00AA4416" w:rsidP="00A21536">
                              <w:pPr>
                                <w:pStyle w:val="NormalWeb"/>
                                <w:spacing w:after="200"/>
                                <w:textAlignment w:val="baseline"/>
                              </w:pPr>
                              <w:r w:rsidRPr="00C1504E">
                                <w:rPr>
                                  <w:rFonts w:ascii="Arial" w:hAnsi="Arial" w:cs="Arial"/>
                                  <w:color w:val="5F497A"/>
                                  <w:kern w:val="24"/>
                                  <w:sz w:val="18"/>
                                  <w:szCs w:val="18"/>
                                </w:rPr>
                                <w:t>7,50 m</w:t>
                              </w:r>
                            </w:p>
                          </w:txbxContent>
                        </wps:txbx>
                        <wps:bodyPr lIns="75888" tIns="37944" rIns="75888" bIns="37944">
                          <a:spAutoFit/>
                        </wps:bodyPr>
                      </wps:wsp>
                      <wps:wsp>
                        <wps:cNvPr id="2429" name="Line 15"/>
                        <wps:cNvCnPr/>
                        <wps:spPr bwMode="auto">
                          <a:xfrm flipH="1">
                            <a:off x="6799263" y="3889375"/>
                            <a:ext cx="1376362" cy="0"/>
                          </a:xfrm>
                          <a:prstGeom prst="line">
                            <a:avLst/>
                          </a:prstGeom>
                          <a:noFill/>
                          <a:ln w="9525">
                            <a:solidFill>
                              <a:srgbClr val="5F497A"/>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30" name="Line 10"/>
                        <wps:cNvCnPr/>
                        <wps:spPr bwMode="auto">
                          <a:xfrm flipH="1">
                            <a:off x="8147050" y="3748087"/>
                            <a:ext cx="1524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2431" name="Gruppieren 28"/>
                        <wpg:cNvGrpSpPr>
                          <a:grpSpLocks/>
                        </wpg:cNvGrpSpPr>
                        <wpg:grpSpPr bwMode="auto">
                          <a:xfrm>
                            <a:off x="6979276" y="3758597"/>
                            <a:ext cx="1176443" cy="76188"/>
                            <a:chOff x="6979276" y="3759199"/>
                            <a:chExt cx="1176995" cy="76092"/>
                          </a:xfrm>
                        </wpg:grpSpPr>
                        <wps:wsp>
                          <wps:cNvPr id="1755" name="Gerade Verbindung 308"/>
                          <wps:cNvCnPr/>
                          <wps:spPr>
                            <a:xfrm>
                              <a:off x="6979276" y="3759199"/>
                              <a:ext cx="1176995" cy="1585"/>
                            </a:xfrm>
                            <a:prstGeom prst="line">
                              <a:avLst/>
                            </a:prstGeom>
                            <a:noFill/>
                            <a:ln w="9525" cap="flat" cmpd="sng" algn="ctr">
                              <a:solidFill>
                                <a:srgbClr val="8064A2">
                                  <a:lumMod val="75000"/>
                                </a:srgbClr>
                              </a:solidFill>
                              <a:prstDash val="solid"/>
                            </a:ln>
                            <a:effectLst/>
                          </wps:spPr>
                          <wps:bodyPr/>
                        </wps:wsp>
                        <wps:wsp>
                          <wps:cNvPr id="1756" name="Gerade Verbindung 313"/>
                          <wps:cNvCnPr/>
                          <wps:spPr>
                            <a:xfrm>
                              <a:off x="8156271" y="3763954"/>
                              <a:ext cx="0" cy="71337"/>
                            </a:xfrm>
                            <a:prstGeom prst="line">
                              <a:avLst/>
                            </a:prstGeom>
                            <a:noFill/>
                            <a:ln w="9525" cap="flat" cmpd="sng" algn="ctr">
                              <a:solidFill>
                                <a:srgbClr val="8064A2">
                                  <a:lumMod val="75000"/>
                                </a:srgbClr>
                              </a:solidFill>
                              <a:prstDash val="solid"/>
                            </a:ln>
                            <a:effectLst/>
                          </wps:spPr>
                          <wps:bodyPr/>
                        </wps:wsp>
                      </wpg:grpSp>
                      <wps:wsp>
                        <wps:cNvPr id="1757" name="Line 6"/>
                        <wps:cNvCnPr/>
                        <wps:spPr bwMode="auto">
                          <a:xfrm>
                            <a:off x="276225" y="98425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8" name="Text Box 7"/>
                        <wps:cNvSpPr txBox="1">
                          <a:spLocks noChangeArrowheads="1"/>
                        </wps:cNvSpPr>
                        <wps:spPr bwMode="auto">
                          <a:xfrm>
                            <a:off x="3334177" y="5408737"/>
                            <a:ext cx="2477915" cy="508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Default="00AA4416" w:rsidP="00A21536">
                              <w:pPr>
                                <w:pStyle w:val="NormalWeb"/>
                                <w:spacing w:after="200"/>
                                <w:jc w:val="center"/>
                                <w:textAlignment w:val="baseline"/>
                              </w:pPr>
                              <w:r w:rsidRPr="00993052">
                                <w:rPr>
                                  <w:rFonts w:ascii="Verdana" w:hAnsi="Verdana" w:cs="Arial"/>
                                  <w:color w:val="000000" w:themeColor="text1"/>
                                  <w:kern w:val="24"/>
                                  <w:sz w:val="16"/>
                                  <w:szCs w:val="16"/>
                                </w:rPr>
                                <w:t>äußeres Kofferdammschott</w:t>
                              </w:r>
                              <w:r w:rsidRPr="00993052">
                                <w:rPr>
                                  <w:rFonts w:ascii="Arial" w:hAnsi="Arial" w:cs="Arial"/>
                                  <w:color w:val="000000" w:themeColor="text1"/>
                                  <w:kern w:val="24"/>
                                  <w:sz w:val="36"/>
                                  <w:szCs w:val="36"/>
                                </w:rPr>
                                <w:br/>
                              </w:r>
                              <w:r w:rsidRPr="00993052">
                                <w:rPr>
                                  <w:rFonts w:ascii="Verdana" w:hAnsi="Verdana" w:cs="Arial"/>
                                  <w:color w:val="000000" w:themeColor="text1"/>
                                  <w:kern w:val="24"/>
                                  <w:sz w:val="16"/>
                                  <w:szCs w:val="16"/>
                                </w:rPr>
                                <w:t>Begrenzungsschott der Aufstellungsräume</w:t>
                              </w:r>
                            </w:p>
                          </w:txbxContent>
                        </wps:txbx>
                        <wps:bodyPr lIns="75888" tIns="37944" rIns="75888" bIns="37944">
                          <a:spAutoFit/>
                        </wps:bodyPr>
                      </wps:wsp>
                      <wps:wsp>
                        <wps:cNvPr id="1759" name="Text Box 8"/>
                        <wps:cNvSpPr txBox="1">
                          <a:spLocks noChangeArrowheads="1"/>
                        </wps:cNvSpPr>
                        <wps:spPr bwMode="auto">
                          <a:xfrm>
                            <a:off x="6721457" y="4593906"/>
                            <a:ext cx="1823829" cy="381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Default="00AA4416" w:rsidP="00A21536">
                              <w:pPr>
                                <w:pStyle w:val="NormalWeb"/>
                                <w:textAlignment w:val="baseline"/>
                              </w:pPr>
                              <w:r w:rsidRPr="00C1504E">
                                <w:rPr>
                                  <w:rFonts w:ascii="Verdana" w:hAnsi="Verdana" w:cs="Arial"/>
                                  <w:color w:val="1F497D" w:themeColor="text2"/>
                                  <w:kern w:val="24"/>
                                  <w:sz w:val="16"/>
                                  <w:szCs w:val="16"/>
                                </w:rPr>
                                <w:t xml:space="preserve">Begrenzungsebene des </w:t>
                              </w:r>
                              <w:r w:rsidRPr="00C1504E">
                                <w:rPr>
                                  <w:rFonts w:ascii="Verdana" w:hAnsi="Verdana" w:cs="Arial"/>
                                  <w:color w:val="1F497D" w:themeColor="text2"/>
                                  <w:kern w:val="24"/>
                                  <w:sz w:val="16"/>
                                  <w:szCs w:val="16"/>
                                </w:rPr>
                                <w:br/>
                                <w:t>Bereichs der Ladung</w:t>
                              </w:r>
                            </w:p>
                          </w:txbxContent>
                        </wps:txbx>
                        <wps:bodyPr lIns="75888" tIns="37944" rIns="75888" bIns="37944">
                          <a:spAutoFit/>
                        </wps:bodyPr>
                      </wps:wsp>
                      <wps:wsp>
                        <wps:cNvPr id="2432" name="Text Box 9"/>
                        <wps:cNvSpPr txBox="1">
                          <a:spLocks noChangeArrowheads="1"/>
                        </wps:cNvSpPr>
                        <wps:spPr bwMode="auto">
                          <a:xfrm>
                            <a:off x="4784517" y="1614375"/>
                            <a:ext cx="2055617" cy="355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Default="00AA4416" w:rsidP="00A21536">
                              <w:pPr>
                                <w:pStyle w:val="NormalWeb"/>
                                <w:spacing w:after="200"/>
                                <w:textAlignment w:val="baseline"/>
                              </w:pPr>
                              <w:r>
                                <w:rPr>
                                  <w:rFonts w:ascii="Verdana" w:hAnsi="Verdana" w:cs="Arial"/>
                                  <w:color w:val="000000"/>
                                  <w:kern w:val="24"/>
                                  <w:sz w:val="16"/>
                                  <w:szCs w:val="16"/>
                                  <w:lang w:val="en-US"/>
                                </w:rPr>
                                <w:t>Hochgeschwindigkeitsventil</w:t>
                              </w:r>
                            </w:p>
                          </w:txbxContent>
                        </wps:txbx>
                        <wps:bodyPr lIns="75888" tIns="37944" rIns="75888" bIns="37944">
                          <a:spAutoFit/>
                        </wps:bodyPr>
                      </wps:wsp>
                      <wps:wsp>
                        <wps:cNvPr id="2433" name="Text Box 99"/>
                        <wps:cNvSpPr txBox="1">
                          <a:spLocks noChangeArrowheads="1"/>
                        </wps:cNvSpPr>
                        <wps:spPr bwMode="auto">
                          <a:xfrm>
                            <a:off x="3778087" y="4514538"/>
                            <a:ext cx="1663805" cy="508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Pr="00BA6439" w:rsidRDefault="00AA4416" w:rsidP="00A21536">
                              <w:pPr>
                                <w:pStyle w:val="NormalWeb"/>
                                <w:spacing w:after="200"/>
                                <w:jc w:val="center"/>
                                <w:textAlignment w:val="baseline"/>
                                <w:rPr>
                                  <w:rFonts w:ascii="Verdana" w:hAnsi="Verdana" w:cs="Arial"/>
                                  <w:color w:val="000000" w:themeColor="text1"/>
                                  <w:kern w:val="24"/>
                                  <w:sz w:val="16"/>
                                  <w:szCs w:val="16"/>
                                </w:rPr>
                              </w:pPr>
                              <w:r w:rsidRPr="00BA6439">
                                <w:rPr>
                                  <w:rFonts w:ascii="Verdana" w:hAnsi="Verdana" w:cs="Arial"/>
                                  <w:color w:val="000000" w:themeColor="text1"/>
                                  <w:kern w:val="24"/>
                                  <w:sz w:val="16"/>
                                  <w:szCs w:val="16"/>
                                </w:rPr>
                                <w:t xml:space="preserve">Schutzsüll; gas- und flüssigkeitsdicht: </w:t>
                              </w:r>
                              <w:r>
                                <w:rPr>
                                  <w:rFonts w:ascii="Verdana" w:hAnsi="Verdana" w:cstheme="minorBidi"/>
                                  <w:color w:val="000000"/>
                                  <w:kern w:val="24"/>
                                  <w:sz w:val="18"/>
                                  <w:szCs w:val="18"/>
                                  <w:u w:val="single"/>
                                </w:rPr>
                                <w:t>&gt;</w:t>
                              </w:r>
                              <w:r w:rsidRPr="00BA6439">
                                <w:rPr>
                                  <w:rFonts w:ascii="Verdana" w:hAnsi="Verdana" w:cs="Arial"/>
                                  <w:color w:val="000000" w:themeColor="text1"/>
                                  <w:kern w:val="24"/>
                                  <w:sz w:val="16"/>
                                  <w:szCs w:val="16"/>
                                </w:rPr>
                                <w:t xml:space="preserve"> 0,075 m</w:t>
                              </w:r>
                            </w:p>
                          </w:txbxContent>
                        </wps:txbx>
                        <wps:bodyPr lIns="75888" tIns="37944" rIns="75888" bIns="37944">
                          <a:spAutoFit/>
                        </wps:bodyPr>
                      </wps:wsp>
                      <wps:wsp>
                        <wps:cNvPr id="2434" name="Line 100"/>
                        <wps:cNvCnPr/>
                        <wps:spPr bwMode="auto">
                          <a:xfrm flipH="1">
                            <a:off x="1654175" y="2120900"/>
                            <a:ext cx="508000" cy="280987"/>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435" name="Text Box 14"/>
                        <wps:cNvSpPr txBox="1">
                          <a:spLocks noChangeArrowheads="1"/>
                        </wps:cNvSpPr>
                        <wps:spPr bwMode="auto">
                          <a:xfrm>
                            <a:off x="1149347" y="4660547"/>
                            <a:ext cx="1370419" cy="381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Default="00AA4416" w:rsidP="00A21536">
                              <w:pPr>
                                <w:pStyle w:val="NormalWeb"/>
                                <w:textAlignment w:val="baseline"/>
                              </w:pPr>
                              <w:r w:rsidRPr="00C1504E">
                                <w:rPr>
                                  <w:rFonts w:ascii="Verdana" w:hAnsi="Verdana" w:cs="Arial"/>
                                  <w:color w:val="1F497D" w:themeColor="text2"/>
                                  <w:kern w:val="24"/>
                                  <w:sz w:val="16"/>
                                  <w:szCs w:val="16"/>
                                </w:rPr>
                                <w:t>Begrenzungsebene des</w:t>
                              </w:r>
                              <w:r w:rsidRPr="00C1504E">
                                <w:rPr>
                                  <w:rFonts w:ascii="Verdana" w:hAnsi="Verdana" w:cs="Arial"/>
                                  <w:color w:val="1F497D" w:themeColor="text2"/>
                                  <w:kern w:val="24"/>
                                  <w:sz w:val="16"/>
                                  <w:szCs w:val="16"/>
                                </w:rPr>
                                <w:br/>
                                <w:t>Bereichs der Ladung</w:t>
                              </w:r>
                            </w:p>
                          </w:txbxContent>
                        </wps:txbx>
                        <wps:bodyPr lIns="75888" tIns="37944" rIns="75888" bIns="37944">
                          <a:spAutoFit/>
                        </wps:bodyPr>
                      </wps:wsp>
                      <wps:wsp>
                        <wps:cNvPr id="2436" name="Text Box 63"/>
                        <wps:cNvSpPr txBox="1">
                          <a:spLocks noChangeAspect="1" noChangeArrowheads="1"/>
                        </wps:cNvSpPr>
                        <wps:spPr bwMode="auto">
                          <a:xfrm>
                            <a:off x="1616154" y="1144587"/>
                            <a:ext cx="755701" cy="373646"/>
                          </a:xfrm>
                          <a:prstGeom prst="rect">
                            <a:avLst/>
                          </a:prstGeom>
                          <a:noFill/>
                          <a:ln w="9525">
                            <a:noFill/>
                            <a:miter lim="800000"/>
                            <a:headEnd/>
                            <a:tailEnd/>
                          </a:ln>
                        </wps:spPr>
                        <wps:txbx>
                          <w:txbxContent>
                            <w:p w:rsidR="00AA4416" w:rsidRDefault="00AA4416" w:rsidP="00A21536">
                              <w:pPr>
                                <w:pStyle w:val="NormalWeb"/>
                                <w:spacing w:after="200"/>
                                <w:textAlignment w:val="baseline"/>
                              </w:pPr>
                              <w:r w:rsidRPr="00C1504E">
                                <w:rPr>
                                  <w:rFonts w:ascii="Arial" w:hAnsi="Arial" w:cstheme="minorBidi"/>
                                  <w:color w:val="7F7F7F" w:themeColor="text1" w:themeTint="80"/>
                                  <w:kern w:val="24"/>
                                  <w:sz w:val="22"/>
                                  <w:szCs w:val="22"/>
                                  <w:u w:val="single"/>
                                </w:rPr>
                                <w:t>&gt;</w:t>
                              </w:r>
                              <w:r w:rsidRPr="00C1504E">
                                <w:rPr>
                                  <w:rFonts w:ascii="Arial" w:hAnsi="Arial" w:cstheme="minorBidi"/>
                                  <w:color w:val="7F7F7F" w:themeColor="text1" w:themeTint="80"/>
                                  <w:kern w:val="24"/>
                                  <w:sz w:val="22"/>
                                  <w:szCs w:val="22"/>
                                </w:rPr>
                                <w:t>1,00 m</w:t>
                              </w:r>
                            </w:p>
                          </w:txbxContent>
                        </wps:txbx>
                        <wps:bodyPr lIns="75888" tIns="37944" rIns="75888" bIns="37944">
                          <a:spAutoFit/>
                        </wps:bodyPr>
                      </wps:wsp>
                      <wps:wsp>
                        <wps:cNvPr id="2437" name="Rectangle 3" descr="5%"/>
                        <wps:cNvSpPr>
                          <a:spLocks noChangeAspect="1" noChangeArrowheads="1"/>
                        </wps:cNvSpPr>
                        <wps:spPr bwMode="auto">
                          <a:xfrm>
                            <a:off x="2541588" y="3130550"/>
                            <a:ext cx="4019550" cy="242887"/>
                          </a:xfrm>
                          <a:prstGeom prst="rect">
                            <a:avLst/>
                          </a:prstGeom>
                          <a:blipFill dpi="0" rotWithShape="0">
                            <a:blip r:embed="rId17"/>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cNvPr id="2438" name="Gruppieren 38"/>
                        <wpg:cNvGrpSpPr>
                          <a:grpSpLocks/>
                        </wpg:cNvGrpSpPr>
                        <wpg:grpSpPr bwMode="auto">
                          <a:xfrm>
                            <a:off x="2335616" y="3121025"/>
                            <a:ext cx="361547" cy="673100"/>
                            <a:chOff x="2335616" y="3121025"/>
                            <a:chExt cx="266647" cy="597507"/>
                          </a:xfrm>
                        </wpg:grpSpPr>
                        <wps:wsp>
                          <wps:cNvPr id="2439" name="Oval 4" descr="5%"/>
                          <wps:cNvSpPr>
                            <a:spLocks noChangeAspect="1" noChangeArrowheads="1"/>
                          </wps:cNvSpPr>
                          <wps:spPr bwMode="auto">
                            <a:xfrm>
                              <a:off x="2335616" y="3121025"/>
                              <a:ext cx="266647" cy="266065"/>
                            </a:xfrm>
                            <a:prstGeom prst="ellipse">
                              <a:avLst/>
                            </a:prstGeom>
                            <a:blipFill dpi="0" rotWithShape="0">
                              <a:blip r:embed="rId1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wrap="none" anchor="ctr"/>
                        </wps:wsp>
                        <wps:wsp>
                          <wps:cNvPr id="2440" name="Rectangle 93" descr="5%"/>
                          <wps:cNvSpPr>
                            <a:spLocks noChangeAspect="1" noChangeArrowheads="1"/>
                          </wps:cNvSpPr>
                          <wps:spPr bwMode="auto">
                            <a:xfrm>
                              <a:off x="2338830" y="3227382"/>
                              <a:ext cx="133958" cy="491150"/>
                            </a:xfrm>
                            <a:prstGeom prst="rect">
                              <a:avLst/>
                            </a:prstGeom>
                            <a:blipFill dpi="0" rotWithShape="0">
                              <a:blip r:embed="rId17"/>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grpSp>
                        <wpg:cNvPr id="2441" name="Gruppieren 39"/>
                        <wpg:cNvGrpSpPr>
                          <a:grpSpLocks/>
                        </wpg:cNvGrpSpPr>
                        <wpg:grpSpPr bwMode="auto">
                          <a:xfrm flipH="1">
                            <a:off x="6340471" y="3124200"/>
                            <a:ext cx="352426" cy="673100"/>
                            <a:chOff x="6340471" y="3124200"/>
                            <a:chExt cx="266851" cy="597507"/>
                          </a:xfrm>
                        </wpg:grpSpPr>
                        <wps:wsp>
                          <wps:cNvPr id="2442" name="Oval 4" descr="5%"/>
                          <wps:cNvSpPr>
                            <a:spLocks noChangeAspect="1" noChangeArrowheads="1"/>
                          </wps:cNvSpPr>
                          <wps:spPr bwMode="auto">
                            <a:xfrm>
                              <a:off x="6340675" y="3124200"/>
                              <a:ext cx="266647" cy="266065"/>
                            </a:xfrm>
                            <a:prstGeom prst="ellipse">
                              <a:avLst/>
                            </a:prstGeom>
                            <a:blipFill dpi="0" rotWithShape="0">
                              <a:blip r:embed="rId1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wrap="none" anchor="ctr"/>
                        </wps:wsp>
                        <wps:wsp>
                          <wps:cNvPr id="2443" name="Rectangle 93" descr="5%"/>
                          <wps:cNvSpPr>
                            <a:spLocks noChangeAspect="1" noChangeArrowheads="1"/>
                          </wps:cNvSpPr>
                          <wps:spPr bwMode="auto">
                            <a:xfrm>
                              <a:off x="6340471" y="3230557"/>
                              <a:ext cx="133958" cy="491150"/>
                            </a:xfrm>
                            <a:prstGeom prst="rect">
                              <a:avLst/>
                            </a:prstGeom>
                            <a:blipFill dpi="0" rotWithShape="0">
                              <a:blip r:embed="rId17"/>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grpSp>
                        <wpg:cNvPr id="2444" name="Gruppieren 40"/>
                        <wpg:cNvGrpSpPr>
                          <a:grpSpLocks/>
                        </wpg:cNvGrpSpPr>
                        <wpg:grpSpPr bwMode="auto">
                          <a:xfrm>
                            <a:off x="3421852" y="2156730"/>
                            <a:ext cx="2175666" cy="1053197"/>
                            <a:chOff x="3421853" y="2156731"/>
                            <a:chExt cx="2162591" cy="1054388"/>
                          </a:xfrm>
                        </wpg:grpSpPr>
                        <wps:wsp>
                          <wps:cNvPr id="2445" name="Oval 16" descr="5%"/>
                          <wps:cNvSpPr>
                            <a:spLocks noChangeAspect="1" noChangeArrowheads="1"/>
                          </wps:cNvSpPr>
                          <wps:spPr bwMode="auto">
                            <a:xfrm>
                              <a:off x="4485207" y="2157372"/>
                              <a:ext cx="1099237" cy="976543"/>
                            </a:xfrm>
                            <a:prstGeom prst="ellipse">
                              <a:avLst/>
                            </a:prstGeom>
                            <a:blipFill dpi="0" rotWithShape="0">
                              <a:blip r:embed="rId1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wrap="none" anchor="ctr"/>
                        </wps:wsp>
                        <wps:wsp>
                          <wps:cNvPr id="2446" name="Oval 17" descr="5%"/>
                          <wps:cNvSpPr>
                            <a:spLocks noChangeAspect="1" noChangeArrowheads="1"/>
                          </wps:cNvSpPr>
                          <wps:spPr bwMode="auto">
                            <a:xfrm>
                              <a:off x="3421853" y="2156731"/>
                              <a:ext cx="1098418" cy="977306"/>
                            </a:xfrm>
                            <a:prstGeom prst="ellipse">
                              <a:avLst/>
                            </a:prstGeom>
                            <a:blipFill dpi="0" rotWithShape="0">
                              <a:blip r:embed="rId1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wrap="none" anchor="ctr"/>
                        </wps:wsp>
                        <wps:wsp>
                          <wps:cNvPr id="2447" name="Rectangle 18" descr="5%"/>
                          <wps:cNvSpPr>
                            <a:spLocks noChangeAspect="1" noChangeArrowheads="1"/>
                          </wps:cNvSpPr>
                          <wps:spPr bwMode="auto">
                            <a:xfrm>
                              <a:off x="3927037" y="2162623"/>
                              <a:ext cx="1139298" cy="501448"/>
                            </a:xfrm>
                            <a:prstGeom prst="rect">
                              <a:avLst/>
                            </a:prstGeom>
                            <a:blipFill dpi="0" rotWithShape="0">
                              <a:blip r:embed="rId17"/>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448" name="Rectangle 19" descr="5%"/>
                          <wps:cNvSpPr>
                            <a:spLocks noChangeAspect="1" noChangeArrowheads="1"/>
                          </wps:cNvSpPr>
                          <wps:spPr bwMode="auto">
                            <a:xfrm>
                              <a:off x="3434307" y="2577293"/>
                              <a:ext cx="2146889" cy="633826"/>
                            </a:xfrm>
                            <a:prstGeom prst="rect">
                              <a:avLst/>
                            </a:prstGeom>
                            <a:blipFill dpi="0" rotWithShape="0">
                              <a:blip r:embed="rId17"/>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grpSp>
                        <wpg:cNvPr id="2449" name="Gruppieren 41"/>
                        <wpg:cNvGrpSpPr>
                          <a:grpSpLocks/>
                        </wpg:cNvGrpSpPr>
                        <wpg:grpSpPr bwMode="auto">
                          <a:xfrm>
                            <a:off x="2241857" y="2160586"/>
                            <a:ext cx="4447242" cy="1666864"/>
                            <a:chOff x="2241736" y="2160587"/>
                            <a:chExt cx="4447242" cy="1666860"/>
                          </a:xfrm>
                        </wpg:grpSpPr>
                        <wps:wsp>
                          <wps:cNvPr id="2450" name="Gerade Verbindung 212"/>
                          <wps:cNvCnPr/>
                          <wps:spPr>
                            <a:xfrm>
                              <a:off x="6685803" y="3249609"/>
                              <a:ext cx="3175" cy="431799"/>
                            </a:xfrm>
                            <a:prstGeom prst="line">
                              <a:avLst/>
                            </a:prstGeom>
                            <a:noFill/>
                            <a:ln w="9525" cap="flat" cmpd="sng" algn="ctr">
                              <a:solidFill>
                                <a:srgbClr val="8064A2">
                                  <a:lumMod val="75000"/>
                                </a:srgbClr>
                              </a:solidFill>
                              <a:prstDash val="solid"/>
                            </a:ln>
                            <a:effectLst/>
                          </wps:spPr>
                          <wps:bodyPr/>
                        </wps:wsp>
                        <wps:wsp>
                          <wps:cNvPr id="2451" name="Gerade Verbindung 214"/>
                          <wps:cNvCnPr/>
                          <wps:spPr>
                            <a:xfrm flipV="1">
                              <a:off x="3908866" y="2160587"/>
                              <a:ext cx="1203498" cy="0"/>
                            </a:xfrm>
                            <a:prstGeom prst="line">
                              <a:avLst/>
                            </a:prstGeom>
                            <a:noFill/>
                            <a:ln w="9525" cap="flat" cmpd="sng" algn="ctr">
                              <a:solidFill>
                                <a:srgbClr val="8064A2">
                                  <a:lumMod val="75000"/>
                                </a:srgbClr>
                              </a:solidFill>
                              <a:prstDash val="solid"/>
                            </a:ln>
                            <a:effectLst/>
                          </wps:spPr>
                          <wps:bodyPr/>
                        </wps:wsp>
                        <wps:wsp>
                          <wps:cNvPr id="2452" name="Form 217"/>
                          <wps:cNvCnPr/>
                          <wps:spPr>
                            <a:xfrm rot="16200000" flipH="1">
                              <a:off x="3169023" y="2867023"/>
                              <a:ext cx="533398" cy="0"/>
                            </a:xfrm>
                            <a:prstGeom prst="bentConnector3">
                              <a:avLst>
                                <a:gd name="adj1" fmla="val 50000"/>
                              </a:avLst>
                            </a:prstGeom>
                            <a:noFill/>
                            <a:ln w="9525" cap="flat" cmpd="sng" algn="ctr">
                              <a:solidFill>
                                <a:srgbClr val="8064A2">
                                  <a:lumMod val="75000"/>
                                </a:srgbClr>
                              </a:solidFill>
                              <a:prstDash val="solid"/>
                            </a:ln>
                            <a:effectLst/>
                          </wps:spPr>
                          <wps:bodyPr/>
                        </wps:wsp>
                        <wps:wsp>
                          <wps:cNvPr id="2453" name="Form 218"/>
                          <wps:cNvCnPr/>
                          <wps:spPr>
                            <a:xfrm rot="16200000" flipH="1">
                              <a:off x="5333888" y="2878929"/>
                              <a:ext cx="503236" cy="0"/>
                            </a:xfrm>
                            <a:prstGeom prst="bentConnector3">
                              <a:avLst>
                                <a:gd name="adj1" fmla="val 50000"/>
                              </a:avLst>
                            </a:prstGeom>
                            <a:noFill/>
                            <a:ln w="9525" cap="flat" cmpd="sng" algn="ctr">
                              <a:solidFill>
                                <a:srgbClr val="8064A2">
                                  <a:lumMod val="75000"/>
                                </a:srgbClr>
                              </a:solidFill>
                              <a:prstDash val="solid"/>
                            </a:ln>
                            <a:effectLst/>
                          </wps:spPr>
                          <wps:bodyPr/>
                        </wps:wsp>
                        <wps:wsp>
                          <wps:cNvPr id="2454" name="Gerade Verbindung 219"/>
                          <wps:cNvCnPr/>
                          <wps:spPr>
                            <a:xfrm flipV="1">
                              <a:off x="5583919" y="3133722"/>
                              <a:ext cx="998681" cy="1587"/>
                            </a:xfrm>
                            <a:prstGeom prst="line">
                              <a:avLst/>
                            </a:prstGeom>
                            <a:noFill/>
                            <a:ln w="9525" cap="flat" cmpd="sng" algn="ctr">
                              <a:solidFill>
                                <a:srgbClr val="8064A2">
                                  <a:lumMod val="75000"/>
                                </a:srgbClr>
                              </a:solidFill>
                              <a:prstDash val="solid"/>
                            </a:ln>
                            <a:effectLst/>
                          </wps:spPr>
                          <wps:bodyPr/>
                        </wps:wsp>
                        <wps:wsp>
                          <wps:cNvPr id="2455" name="Gerade Verbindung 222"/>
                          <wps:cNvCnPr/>
                          <wps:spPr>
                            <a:xfrm flipV="1">
                              <a:off x="2478323" y="3128959"/>
                              <a:ext cx="955812" cy="0"/>
                            </a:xfrm>
                            <a:prstGeom prst="line">
                              <a:avLst/>
                            </a:prstGeom>
                            <a:noFill/>
                            <a:ln w="9525" cap="flat" cmpd="sng" algn="ctr">
                              <a:solidFill>
                                <a:srgbClr val="8064A2">
                                  <a:lumMod val="75000"/>
                                </a:srgbClr>
                              </a:solidFill>
                              <a:prstDash val="solid"/>
                            </a:ln>
                            <a:effectLst/>
                          </wps:spPr>
                          <wps:bodyPr/>
                        </wps:wsp>
                        <wps:wsp>
                          <wps:cNvPr id="2456" name="Bogen 193"/>
                          <wps:cNvSpPr/>
                          <wps:spPr>
                            <a:xfrm flipH="1">
                              <a:off x="3432547" y="2160587"/>
                              <a:ext cx="1008208" cy="912810"/>
                            </a:xfrm>
                            <a:prstGeom prst="arc">
                              <a:avLst>
                                <a:gd name="adj1" fmla="val 16244643"/>
                                <a:gd name="adj2" fmla="val 36358"/>
                              </a:avLst>
                            </a:prstGeom>
                            <a:noFill/>
                            <a:ln w="9525" cap="flat" cmpd="sng" algn="ctr">
                              <a:solidFill>
                                <a:srgbClr val="8064A2">
                                  <a:lumMod val="75000"/>
                                </a:srgbClr>
                              </a:solidFill>
                              <a:prstDash val="solid"/>
                            </a:ln>
                            <a:effectLst/>
                          </wps:spPr>
                          <wps:bodyPr anchor="ctr"/>
                        </wps:wsp>
                        <wps:wsp>
                          <wps:cNvPr id="2457" name="Bogen 194"/>
                          <wps:cNvSpPr/>
                          <wps:spPr>
                            <a:xfrm>
                              <a:off x="4577300" y="2160587"/>
                              <a:ext cx="1008207" cy="912810"/>
                            </a:xfrm>
                            <a:prstGeom prst="arc">
                              <a:avLst>
                                <a:gd name="adj1" fmla="val 16244643"/>
                                <a:gd name="adj2" fmla="val 36358"/>
                              </a:avLst>
                            </a:prstGeom>
                            <a:noFill/>
                            <a:ln w="9525" cap="flat" cmpd="sng" algn="ctr">
                              <a:solidFill>
                                <a:srgbClr val="8064A2">
                                  <a:lumMod val="75000"/>
                                </a:srgbClr>
                              </a:solidFill>
                              <a:prstDash val="solid"/>
                            </a:ln>
                            <a:effectLst/>
                          </wps:spPr>
                          <wps:bodyPr anchor="ctr"/>
                        </wps:wsp>
                        <wps:wsp>
                          <wps:cNvPr id="2458" name="Bogen 195"/>
                          <wps:cNvSpPr/>
                          <wps:spPr>
                            <a:xfrm flipH="1">
                              <a:off x="2343366" y="3125784"/>
                              <a:ext cx="287379" cy="257174"/>
                            </a:xfrm>
                            <a:prstGeom prst="arc">
                              <a:avLst>
                                <a:gd name="adj1" fmla="val 16244643"/>
                                <a:gd name="adj2" fmla="val 36358"/>
                              </a:avLst>
                            </a:prstGeom>
                            <a:noFill/>
                            <a:ln w="9525" cap="flat" cmpd="sng" algn="ctr">
                              <a:solidFill>
                                <a:srgbClr val="8064A2">
                                  <a:lumMod val="75000"/>
                                </a:srgbClr>
                              </a:solidFill>
                              <a:prstDash val="solid"/>
                            </a:ln>
                            <a:effectLst/>
                          </wps:spPr>
                          <wps:bodyPr anchor="ctr"/>
                        </wps:wsp>
                        <wps:wsp>
                          <wps:cNvPr id="2459" name="Bogen 196"/>
                          <wps:cNvSpPr/>
                          <wps:spPr>
                            <a:xfrm>
                              <a:off x="6398423" y="3130547"/>
                              <a:ext cx="287379" cy="257174"/>
                            </a:xfrm>
                            <a:prstGeom prst="arc">
                              <a:avLst>
                                <a:gd name="adj1" fmla="val 16244643"/>
                                <a:gd name="adj2" fmla="val 36358"/>
                              </a:avLst>
                            </a:prstGeom>
                            <a:noFill/>
                            <a:ln w="9525" cap="flat" cmpd="sng" algn="ctr">
                              <a:solidFill>
                                <a:srgbClr val="8064A2">
                                  <a:lumMod val="75000"/>
                                </a:srgbClr>
                              </a:solidFill>
                              <a:prstDash val="solid"/>
                            </a:ln>
                            <a:effectLst/>
                          </wps:spPr>
                          <wps:bodyPr anchor="ctr"/>
                        </wps:wsp>
                        <wpg:grpSp>
                          <wpg:cNvPr id="2460" name="Gruppieren 197"/>
                          <wpg:cNvGrpSpPr>
                            <a:grpSpLocks/>
                          </wpg:cNvGrpSpPr>
                          <wpg:grpSpPr bwMode="auto">
                            <a:xfrm>
                              <a:off x="2241736" y="3565511"/>
                              <a:ext cx="99023" cy="261936"/>
                              <a:chOff x="2241803" y="3565517"/>
                              <a:chExt cx="123342" cy="174352"/>
                            </a:xfrm>
                          </wpg:grpSpPr>
                          <wps:wsp>
                            <wps:cNvPr id="2461" name="Rectangle 3" descr="5%"/>
                            <wps:cNvSpPr>
                              <a:spLocks noChangeAspect="1" noChangeArrowheads="1"/>
                            </wps:cNvSpPr>
                            <wps:spPr bwMode="auto">
                              <a:xfrm>
                                <a:off x="2246974" y="3571347"/>
                                <a:ext cx="118171" cy="148590"/>
                              </a:xfrm>
                              <a:prstGeom prst="rect">
                                <a:avLst/>
                              </a:prstGeom>
                              <a:blipFill dpi="0" rotWithShape="0">
                                <a:blip r:embed="rId17"/>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462" name="Gerade Verbindung 238"/>
                            <wps:cNvCnPr/>
                            <wps:spPr>
                              <a:xfrm>
                                <a:off x="2241803" y="3565517"/>
                                <a:ext cx="0" cy="174352"/>
                              </a:xfrm>
                              <a:prstGeom prst="line">
                                <a:avLst/>
                              </a:prstGeom>
                              <a:noFill/>
                              <a:ln w="9525" cap="flat" cmpd="sng" algn="ctr">
                                <a:solidFill>
                                  <a:srgbClr val="8064A2">
                                    <a:lumMod val="75000"/>
                                  </a:srgbClr>
                                </a:solidFill>
                                <a:prstDash val="solid"/>
                              </a:ln>
                              <a:effectLst/>
                            </wps:spPr>
                            <wps:bodyPr/>
                          </wps:wsp>
                        </wpg:grpSp>
                      </wpg:grpSp>
                      <wpg:grpSp>
                        <wpg:cNvPr id="2463" name="Gruppieren 42"/>
                        <wpg:cNvGrpSpPr>
                          <a:grpSpLocks/>
                        </wpg:cNvGrpSpPr>
                        <wpg:grpSpPr bwMode="auto">
                          <a:xfrm>
                            <a:off x="6653192" y="3582987"/>
                            <a:ext cx="165694" cy="236538"/>
                            <a:chOff x="6653230" y="3582987"/>
                            <a:chExt cx="147005" cy="174169"/>
                          </a:xfrm>
                        </wpg:grpSpPr>
                        <wps:wsp>
                          <wps:cNvPr id="2464" name="Rectangle 3" descr="5%"/>
                          <wps:cNvSpPr>
                            <a:spLocks noChangeAspect="1" noChangeArrowheads="1"/>
                          </wps:cNvSpPr>
                          <wps:spPr bwMode="auto">
                            <a:xfrm flipH="1">
                              <a:off x="6653230" y="3588638"/>
                              <a:ext cx="132612" cy="148590"/>
                            </a:xfrm>
                            <a:prstGeom prst="rect">
                              <a:avLst/>
                            </a:prstGeom>
                            <a:blipFill dpi="0" rotWithShape="0">
                              <a:blip r:embed="rId17"/>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465" name="Gerade Verbindung 245"/>
                          <wps:cNvCnPr/>
                          <wps:spPr>
                            <a:xfrm flipH="1">
                              <a:off x="6791784" y="3582987"/>
                              <a:ext cx="0" cy="174169"/>
                            </a:xfrm>
                            <a:prstGeom prst="line">
                              <a:avLst/>
                            </a:prstGeom>
                            <a:noFill/>
                            <a:ln w="9525" cap="flat" cmpd="sng" algn="ctr">
                              <a:solidFill>
                                <a:srgbClr val="8064A2">
                                  <a:lumMod val="75000"/>
                                </a:srgbClr>
                              </a:solidFill>
                              <a:prstDash val="solid"/>
                            </a:ln>
                            <a:effectLst/>
                          </wps:spPr>
                          <wps:bodyPr/>
                        </wps:wsp>
                        <wps:wsp>
                          <wps:cNvPr id="2466" name="Gerade Verbindung 246"/>
                          <wps:cNvCnPr/>
                          <wps:spPr>
                            <a:xfrm flipH="1">
                              <a:off x="6683324" y="3582987"/>
                              <a:ext cx="116911" cy="2338"/>
                            </a:xfrm>
                            <a:prstGeom prst="line">
                              <a:avLst/>
                            </a:prstGeom>
                            <a:noFill/>
                            <a:ln w="9525" cap="flat" cmpd="sng" algn="ctr">
                              <a:solidFill>
                                <a:srgbClr val="8064A2">
                                  <a:lumMod val="75000"/>
                                </a:srgbClr>
                              </a:solidFill>
                              <a:prstDash val="solid"/>
                            </a:ln>
                            <a:effectLst/>
                          </wps:spPr>
                          <wps:bodyPr/>
                        </wps:wsp>
                      </wpg:grpSp>
                      <wpg:grpSp>
                        <wpg:cNvPr id="2467" name="Gruppieren 43"/>
                        <wpg:cNvGrpSpPr>
                          <a:grpSpLocks/>
                        </wpg:cNvGrpSpPr>
                        <wpg:grpSpPr bwMode="auto">
                          <a:xfrm>
                            <a:off x="2249690" y="2701925"/>
                            <a:ext cx="4562884" cy="1609725"/>
                            <a:chOff x="2249690" y="2701925"/>
                            <a:chExt cx="4562503" cy="1610587"/>
                          </a:xfrm>
                        </wpg:grpSpPr>
                        <wpg:grpSp>
                          <wpg:cNvPr id="2468" name="Gruppieren 167"/>
                          <wpg:cNvGrpSpPr>
                            <a:grpSpLocks/>
                          </wpg:cNvGrpSpPr>
                          <wpg:grpSpPr bwMode="auto">
                            <a:xfrm>
                              <a:off x="2249690" y="2701925"/>
                              <a:ext cx="4562503" cy="1610587"/>
                              <a:chOff x="2249690" y="2701925"/>
                              <a:chExt cx="4562503" cy="1610587"/>
                            </a:xfrm>
                          </wpg:grpSpPr>
                          <wpg:grpSp>
                            <wpg:cNvPr id="2469" name="Gruppieren 170"/>
                            <wpg:cNvGrpSpPr>
                              <a:grpSpLocks/>
                            </wpg:cNvGrpSpPr>
                            <wpg:grpSpPr bwMode="auto">
                              <a:xfrm>
                                <a:off x="2249690" y="2702362"/>
                                <a:ext cx="4562503" cy="1610150"/>
                                <a:chOff x="2249690" y="2702362"/>
                                <a:chExt cx="4562503" cy="1610150"/>
                              </a:xfrm>
                            </wpg:grpSpPr>
                            <wps:wsp>
                              <wps:cNvPr id="2470" name="Rectangle 23" descr="25%"/>
                              <wps:cNvSpPr>
                                <a:spLocks noChangeAspect="1" noChangeArrowheads="1"/>
                              </wps:cNvSpPr>
                              <wps:spPr bwMode="auto">
                                <a:xfrm>
                                  <a:off x="2249690" y="3745470"/>
                                  <a:ext cx="4562503" cy="567042"/>
                                </a:xfrm>
                                <a:prstGeom prst="rect">
                                  <a:avLst/>
                                </a:prstGeom>
                                <a:pattFill prst="openDmnd">
                                  <a:fgClr>
                                    <a:srgbClr val="943634"/>
                                  </a:fgClr>
                                  <a:bgClr>
                                    <a:srgbClr val="FFFFFF"/>
                                  </a:bgClr>
                                </a:pattFill>
                                <a:ln w="9525">
                                  <a:solidFill>
                                    <a:srgbClr val="C0504D">
                                      <a:lumMod val="75000"/>
                                    </a:srgbClr>
                                  </a:solidFill>
                                  <a:miter lim="800000"/>
                                  <a:headEnd/>
                                  <a:tailEnd/>
                                </a:ln>
                              </wps:spPr>
                              <wps:bodyPr wrap="none" anchor="ctr"/>
                            </wps:wsp>
                            <wps:wsp>
                              <wps:cNvPr id="2471" name="Rectangle 23" descr="25%"/>
                              <wps:cNvSpPr>
                                <a:spLocks noChangeAspect="1" noChangeArrowheads="1"/>
                              </wps:cNvSpPr>
                              <wps:spPr bwMode="auto">
                                <a:xfrm>
                                  <a:off x="2499065" y="3299839"/>
                                  <a:ext cx="4049942" cy="455666"/>
                                </a:xfrm>
                                <a:prstGeom prst="rect">
                                  <a:avLst/>
                                </a:prstGeom>
                                <a:blipFill dpi="0" rotWithShape="0">
                                  <a:blip r:embed="rId1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472" name="Rectangle 23" descr="25%"/>
                              <wps:cNvSpPr>
                                <a:spLocks noChangeAspect="1" noChangeArrowheads="1"/>
                              </wps:cNvSpPr>
                              <wps:spPr bwMode="auto">
                                <a:xfrm>
                                  <a:off x="3996355" y="2702362"/>
                                  <a:ext cx="1075724" cy="593167"/>
                                </a:xfrm>
                                <a:prstGeom prst="rect">
                                  <a:avLst/>
                                </a:prstGeom>
                                <a:blipFill dpi="0" rotWithShape="0">
                                  <a:blip r:embed="rId1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grpSp>
                            <wpg:cNvPr id="2473" name="Gruppieren 171"/>
                            <wpg:cNvGrpSpPr>
                              <a:grpSpLocks/>
                            </wpg:cNvGrpSpPr>
                            <wpg:grpSpPr bwMode="auto">
                              <a:xfrm>
                                <a:off x="2357641" y="2701925"/>
                                <a:ext cx="4337077" cy="1014955"/>
                                <a:chOff x="2357641" y="2701925"/>
                                <a:chExt cx="4337077" cy="1014955"/>
                              </a:xfrm>
                            </wpg:grpSpPr>
                            <wps:wsp>
                              <wps:cNvPr id="2474" name="Gerade Verbindung 185"/>
                              <wps:cNvCnPr/>
                              <wps:spPr>
                                <a:xfrm flipV="1">
                                  <a:off x="2494167" y="3300732"/>
                                  <a:ext cx="1482734" cy="6353"/>
                                </a:xfrm>
                                <a:prstGeom prst="line">
                                  <a:avLst/>
                                </a:prstGeom>
                                <a:noFill/>
                                <a:ln w="9525" cap="flat" cmpd="sng" algn="ctr">
                                  <a:solidFill>
                                    <a:srgbClr val="C0504D">
                                      <a:lumMod val="75000"/>
                                    </a:srgbClr>
                                  </a:solidFill>
                                  <a:prstDash val="solid"/>
                                </a:ln>
                                <a:effectLst/>
                              </wps:spPr>
                              <wps:bodyPr/>
                            </wps:wsp>
                            <wps:wsp>
                              <wps:cNvPr id="2475" name="Gerade Verbindung 187"/>
                              <wps:cNvCnPr/>
                              <wps:spPr>
                                <a:xfrm>
                                  <a:off x="5045295" y="3295968"/>
                                  <a:ext cx="1511309" cy="9530"/>
                                </a:xfrm>
                                <a:prstGeom prst="line">
                                  <a:avLst/>
                                </a:prstGeom>
                                <a:noFill/>
                                <a:ln w="9525" cap="flat" cmpd="sng" algn="ctr">
                                  <a:solidFill>
                                    <a:srgbClr val="C0504D">
                                      <a:lumMod val="75000"/>
                                    </a:srgbClr>
                                  </a:solidFill>
                                  <a:prstDash val="solid"/>
                                </a:ln>
                                <a:effectLst/>
                              </wps:spPr>
                              <wps:bodyPr/>
                            </wps:wsp>
                            <wps:wsp>
                              <wps:cNvPr id="2476" name="Gerade Verbindung 189"/>
                              <wps:cNvCnPr/>
                              <wps:spPr>
                                <a:xfrm flipV="1">
                                  <a:off x="3973726" y="2701925"/>
                                  <a:ext cx="1073157" cy="4765"/>
                                </a:xfrm>
                                <a:prstGeom prst="line">
                                  <a:avLst/>
                                </a:prstGeom>
                                <a:noFill/>
                                <a:ln w="9525" cap="flat" cmpd="sng" algn="ctr">
                                  <a:solidFill>
                                    <a:srgbClr val="C0504D">
                                      <a:lumMod val="75000"/>
                                    </a:srgbClr>
                                  </a:solidFill>
                                  <a:prstDash val="solid"/>
                                </a:ln>
                                <a:effectLst/>
                              </wps:spPr>
                              <wps:bodyPr/>
                            </wps:wsp>
                            <wps:wsp>
                              <wps:cNvPr id="2477" name="Gerade Verbindung 191"/>
                              <wps:cNvCnPr/>
                              <wps:spPr>
                                <a:xfrm flipH="1">
                                  <a:off x="3973726" y="2701925"/>
                                  <a:ext cx="1587" cy="598807"/>
                                </a:xfrm>
                                <a:prstGeom prst="line">
                                  <a:avLst/>
                                </a:prstGeom>
                                <a:noFill/>
                                <a:ln w="9525" cap="flat" cmpd="sng" algn="ctr">
                                  <a:solidFill>
                                    <a:srgbClr val="C0504D">
                                      <a:lumMod val="75000"/>
                                    </a:srgbClr>
                                  </a:solidFill>
                                  <a:prstDash val="solid"/>
                                </a:ln>
                                <a:effectLst/>
                              </wps:spPr>
                              <wps:bodyPr/>
                            </wps:wsp>
                            <wps:wsp>
                              <wps:cNvPr id="2478" name="Gerade Verbindung 192"/>
                              <wps:cNvCnPr/>
                              <wps:spPr>
                                <a:xfrm flipH="1">
                                  <a:off x="5045295" y="2701925"/>
                                  <a:ext cx="4763" cy="594043"/>
                                </a:xfrm>
                                <a:prstGeom prst="line">
                                  <a:avLst/>
                                </a:prstGeom>
                                <a:noFill/>
                                <a:ln w="9525" cap="flat" cmpd="sng" algn="ctr">
                                  <a:solidFill>
                                    <a:srgbClr val="C0504D">
                                      <a:lumMod val="75000"/>
                                    </a:srgbClr>
                                  </a:solidFill>
                                  <a:prstDash val="solid"/>
                                </a:ln>
                                <a:effectLst/>
                              </wps:spPr>
                              <wps:bodyPr/>
                            </wps:wsp>
                            <wps:wsp>
                              <wps:cNvPr id="2479" name="Gerade Verbindung 194"/>
                              <wps:cNvCnPr/>
                              <wps:spPr>
                                <a:xfrm>
                                  <a:off x="2500517" y="3303909"/>
                                  <a:ext cx="3175" cy="405030"/>
                                </a:xfrm>
                                <a:prstGeom prst="line">
                                  <a:avLst/>
                                </a:prstGeom>
                                <a:noFill/>
                                <a:ln w="9525" cap="flat" cmpd="sng" algn="ctr">
                                  <a:solidFill>
                                    <a:srgbClr val="C0504D">
                                      <a:lumMod val="75000"/>
                                    </a:srgbClr>
                                  </a:solidFill>
                                  <a:prstDash val="solid"/>
                                </a:ln>
                                <a:effectLst/>
                              </wps:spPr>
                              <wps:bodyPr/>
                            </wps:wsp>
                            <wps:wsp>
                              <wps:cNvPr id="2480" name="Gerade Verbindung 196"/>
                              <wps:cNvCnPr/>
                              <wps:spPr>
                                <a:xfrm>
                                  <a:off x="6551842" y="3299145"/>
                                  <a:ext cx="1587" cy="405029"/>
                                </a:xfrm>
                                <a:prstGeom prst="line">
                                  <a:avLst/>
                                </a:prstGeom>
                                <a:noFill/>
                                <a:ln w="9525" cap="flat" cmpd="sng" algn="ctr">
                                  <a:solidFill>
                                    <a:srgbClr val="C0504D">
                                      <a:lumMod val="75000"/>
                                    </a:srgbClr>
                                  </a:solidFill>
                                  <a:prstDash val="solid"/>
                                </a:ln>
                                <a:effectLst/>
                              </wps:spPr>
                              <wps:bodyPr/>
                            </wps:wsp>
                            <wps:wsp>
                              <wps:cNvPr id="2481" name="Gerade Verbindung 202"/>
                              <wps:cNvCnPr/>
                              <wps:spPr>
                                <a:xfrm>
                                  <a:off x="2357641" y="3715292"/>
                                  <a:ext cx="144463" cy="1588"/>
                                </a:xfrm>
                                <a:prstGeom prst="line">
                                  <a:avLst/>
                                </a:prstGeom>
                                <a:noFill/>
                                <a:ln w="9525" cap="flat" cmpd="sng" algn="ctr">
                                  <a:solidFill>
                                    <a:srgbClr val="C0504D">
                                      <a:lumMod val="75000"/>
                                    </a:srgbClr>
                                  </a:solidFill>
                                  <a:prstDash val="solid"/>
                                </a:ln>
                                <a:effectLst/>
                              </wps:spPr>
                              <wps:bodyPr/>
                            </wps:wsp>
                            <wps:wsp>
                              <wps:cNvPr id="2482" name="Gerade Verbindung 203"/>
                              <wps:cNvCnPr/>
                              <wps:spPr>
                                <a:xfrm>
                                  <a:off x="6550254" y="3712115"/>
                                  <a:ext cx="144464" cy="3177"/>
                                </a:xfrm>
                                <a:prstGeom prst="line">
                                  <a:avLst/>
                                </a:prstGeom>
                                <a:noFill/>
                                <a:ln w="9525" cap="flat" cmpd="sng" algn="ctr">
                                  <a:solidFill>
                                    <a:srgbClr val="C0504D">
                                      <a:lumMod val="75000"/>
                                    </a:srgbClr>
                                  </a:solidFill>
                                  <a:prstDash val="solid"/>
                                </a:ln>
                                <a:effectLst/>
                              </wps:spPr>
                              <wps:bodyPr/>
                            </wps:wsp>
                          </wpg:grpSp>
                        </wpg:grpSp>
                        <wps:wsp>
                          <wps:cNvPr id="2483" name="Rectangle 27" descr="25%"/>
                          <wps:cNvSpPr>
                            <a:spLocks noChangeAspect="1" noChangeArrowheads="1"/>
                          </wps:cNvSpPr>
                          <wps:spPr bwMode="auto">
                            <a:xfrm>
                              <a:off x="6528911" y="3718764"/>
                              <a:ext cx="161564" cy="45719"/>
                            </a:xfrm>
                            <a:prstGeom prst="rect">
                              <a:avLst/>
                            </a:prstGeom>
                            <a:blipFill dpi="0" rotWithShape="0">
                              <a:blip r:embed="rId1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484" name="Rectangle 27" descr="25%"/>
                          <wps:cNvSpPr>
                            <a:spLocks noChangeAspect="1" noChangeArrowheads="1"/>
                          </wps:cNvSpPr>
                          <wps:spPr bwMode="auto">
                            <a:xfrm>
                              <a:off x="2352020" y="3718587"/>
                              <a:ext cx="161564" cy="45719"/>
                            </a:xfrm>
                            <a:prstGeom prst="rect">
                              <a:avLst/>
                            </a:prstGeom>
                            <a:blipFill dpi="0" rotWithShape="0">
                              <a:blip r:embed="rId1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grpSp>
                        <wpg:cNvPr id="2485" name="Gruppieren 44"/>
                        <wpg:cNvGrpSpPr>
                          <a:grpSpLocks/>
                        </wpg:cNvGrpSpPr>
                        <wpg:grpSpPr bwMode="auto">
                          <a:xfrm>
                            <a:off x="2637073" y="2155826"/>
                            <a:ext cx="4192679" cy="1301789"/>
                            <a:chOff x="2637074" y="2155825"/>
                            <a:chExt cx="4192679" cy="1301659"/>
                          </a:xfrm>
                        </wpg:grpSpPr>
                        <wps:wsp>
                          <wps:cNvPr id="2486" name="Gerade Verbindung mit Pfeil 153"/>
                          <wps:cNvCnPr/>
                          <wps:spPr>
                            <a:xfrm flipV="1">
                              <a:off x="4513666" y="2155825"/>
                              <a:ext cx="1587" cy="539696"/>
                            </a:xfrm>
                            <a:prstGeom prst="straightConnector1">
                              <a:avLst/>
                            </a:prstGeom>
                            <a:noFill/>
                            <a:ln w="9525" cap="flat" cmpd="sng" algn="ctr">
                              <a:solidFill>
                                <a:srgbClr val="8064A2">
                                  <a:lumMod val="75000"/>
                                </a:srgbClr>
                              </a:solidFill>
                              <a:prstDash val="solid"/>
                              <a:headEnd type="triangle" w="med" len="med"/>
                              <a:tailEnd type="triangle" w="med" len="med"/>
                            </a:ln>
                            <a:effectLst/>
                          </wps:spPr>
                          <wps:bodyPr/>
                        </wps:wsp>
                        <wps:wsp>
                          <wps:cNvPr id="2487" name="Gerade Verbindung mit Pfeil 154"/>
                          <wps:cNvCnPr/>
                          <wps:spPr>
                            <a:xfrm rot="5400000" flipV="1">
                              <a:off x="3703175" y="2486735"/>
                              <a:ext cx="1587" cy="539798"/>
                            </a:xfrm>
                            <a:prstGeom prst="straightConnector1">
                              <a:avLst/>
                            </a:prstGeom>
                            <a:noFill/>
                            <a:ln w="9525" cap="flat" cmpd="sng" algn="ctr">
                              <a:solidFill>
                                <a:srgbClr val="8064A2">
                                  <a:lumMod val="75000"/>
                                </a:srgbClr>
                              </a:solidFill>
                              <a:prstDash val="solid"/>
                              <a:headEnd type="triangle" w="med" len="med"/>
                              <a:tailEnd type="triangle" w="med" len="med"/>
                            </a:ln>
                            <a:effectLst/>
                          </wps:spPr>
                          <wps:bodyPr/>
                        </wps:wsp>
                        <wpg:grpSp>
                          <wpg:cNvPr id="2488" name="Gruppieren 155"/>
                          <wpg:cNvGrpSpPr>
                            <a:grpSpLocks/>
                          </wpg:cNvGrpSpPr>
                          <wpg:grpSpPr bwMode="auto">
                            <a:xfrm>
                              <a:off x="2637074" y="3005052"/>
                              <a:ext cx="7938" cy="425407"/>
                              <a:chOff x="2637074" y="3005052"/>
                              <a:chExt cx="7938" cy="425407"/>
                            </a:xfrm>
                          </wpg:grpSpPr>
                          <wps:wsp>
                            <wps:cNvPr id="2489" name="Gerade Verbindung mit Pfeil 165"/>
                            <wps:cNvCnPr/>
                            <wps:spPr>
                              <a:xfrm rot="5400000" flipV="1">
                                <a:off x="2578344" y="3363791"/>
                                <a:ext cx="131749" cy="1587"/>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s:wsp>
                            <wps:cNvPr id="2490" name="Gerade Verbindung mit Pfeil 166"/>
                            <wps:cNvCnPr/>
                            <wps:spPr>
                              <a:xfrm rot="5400000" flipH="1">
                                <a:off x="2572787" y="3069339"/>
                                <a:ext cx="136512" cy="7938"/>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g:grpSp>
                        <wps:wsp>
                          <wps:cNvPr id="2491" name="Text Box 63"/>
                          <wps:cNvSpPr txBox="1">
                            <a:spLocks noChangeAspect="1" noChangeArrowheads="1"/>
                          </wps:cNvSpPr>
                          <wps:spPr bwMode="auto">
                            <a:xfrm>
                              <a:off x="4492832" y="2276305"/>
                              <a:ext cx="596942" cy="365342"/>
                            </a:xfrm>
                            <a:prstGeom prst="rect">
                              <a:avLst/>
                            </a:prstGeom>
                            <a:noFill/>
                            <a:ln w="9525">
                              <a:noFill/>
                              <a:miter lim="800000"/>
                              <a:headEnd/>
                              <a:tailEnd/>
                            </a:ln>
                          </wps:spPr>
                          <wps:txbx>
                            <w:txbxContent>
                              <w:p w:rsidR="00AA4416" w:rsidRDefault="00AA4416" w:rsidP="00A21536">
                                <w:pPr>
                                  <w:pStyle w:val="NormalWeb"/>
                                  <w:spacing w:after="200"/>
                                  <w:textAlignment w:val="baseline"/>
                                </w:pPr>
                                <w:r w:rsidRPr="00C1504E">
                                  <w:rPr>
                                    <w:rFonts w:ascii="Arial" w:hAnsi="Arial" w:cstheme="minorBidi"/>
                                    <w:color w:val="5F497A" w:themeColor="accent4" w:themeShade="BF"/>
                                    <w:kern w:val="24"/>
                                    <w:sz w:val="18"/>
                                    <w:szCs w:val="18"/>
                                  </w:rPr>
                                  <w:t>3,00 m</w:t>
                                </w:r>
                              </w:p>
                            </w:txbxContent>
                          </wps:txbx>
                          <wps:bodyPr lIns="75888" tIns="37944" rIns="75888" bIns="37944">
                            <a:spAutoFit/>
                          </wps:bodyPr>
                        </wps:wsp>
                        <wps:wsp>
                          <wps:cNvPr id="2492" name="Text Box 63"/>
                          <wps:cNvSpPr txBox="1">
                            <a:spLocks noChangeAspect="1" noChangeArrowheads="1"/>
                          </wps:cNvSpPr>
                          <wps:spPr bwMode="auto">
                            <a:xfrm>
                              <a:off x="3456147" y="2720731"/>
                              <a:ext cx="596942" cy="365342"/>
                            </a:xfrm>
                            <a:prstGeom prst="rect">
                              <a:avLst/>
                            </a:prstGeom>
                            <a:noFill/>
                            <a:ln w="9525">
                              <a:noFill/>
                              <a:miter lim="800000"/>
                              <a:headEnd/>
                              <a:tailEnd/>
                            </a:ln>
                          </wps:spPr>
                          <wps:txbx>
                            <w:txbxContent>
                              <w:p w:rsidR="00AA4416" w:rsidRDefault="00AA4416" w:rsidP="00A21536">
                                <w:pPr>
                                  <w:pStyle w:val="NormalWeb"/>
                                  <w:spacing w:after="200"/>
                                  <w:textAlignment w:val="baseline"/>
                                </w:pPr>
                                <w:r w:rsidRPr="00C1504E">
                                  <w:rPr>
                                    <w:rFonts w:ascii="Arial" w:hAnsi="Arial" w:cstheme="minorBidi"/>
                                    <w:color w:val="5F497A" w:themeColor="accent4" w:themeShade="BF"/>
                                    <w:kern w:val="24"/>
                                    <w:sz w:val="18"/>
                                    <w:szCs w:val="18"/>
                                  </w:rPr>
                                  <w:t>3,00 m</w:t>
                                </w:r>
                              </w:p>
                            </w:txbxContent>
                          </wps:txbx>
                          <wps:bodyPr lIns="75888" tIns="37944" rIns="75888" bIns="37944">
                            <a:spAutoFit/>
                          </wps:bodyPr>
                        </wps:wsp>
                        <wps:wsp>
                          <wps:cNvPr id="2493" name="Text Box 63"/>
                          <wps:cNvSpPr txBox="1">
                            <a:spLocks noChangeAspect="1" noChangeArrowheads="1"/>
                          </wps:cNvSpPr>
                          <wps:spPr bwMode="auto">
                            <a:xfrm>
                              <a:off x="6232811" y="3092142"/>
                              <a:ext cx="596942" cy="365342"/>
                            </a:xfrm>
                            <a:prstGeom prst="rect">
                              <a:avLst/>
                            </a:prstGeom>
                            <a:noFill/>
                            <a:ln w="9525">
                              <a:noFill/>
                              <a:miter lim="800000"/>
                              <a:headEnd/>
                              <a:tailEnd/>
                            </a:ln>
                          </wps:spPr>
                          <wps:txbx>
                            <w:txbxContent>
                              <w:p w:rsidR="00AA4416" w:rsidRDefault="00AA4416" w:rsidP="00A21536">
                                <w:pPr>
                                  <w:pStyle w:val="NormalWeb"/>
                                  <w:spacing w:after="200"/>
                                  <w:textAlignment w:val="baseline"/>
                                </w:pPr>
                                <w:r w:rsidRPr="00C1504E">
                                  <w:rPr>
                                    <w:rFonts w:ascii="Arial" w:hAnsi="Arial" w:cstheme="minorBidi"/>
                                    <w:color w:val="5F497A" w:themeColor="accent4" w:themeShade="BF"/>
                                    <w:kern w:val="24"/>
                                    <w:sz w:val="18"/>
                                    <w:szCs w:val="18"/>
                                  </w:rPr>
                                  <w:t>1,00 m</w:t>
                                </w:r>
                              </w:p>
                            </w:txbxContent>
                          </wps:txbx>
                          <wps:bodyPr lIns="75888" tIns="37944" rIns="75888" bIns="37944">
                            <a:spAutoFit/>
                          </wps:bodyPr>
                        </wps:wsp>
                        <wpg:grpSp>
                          <wpg:cNvPr id="2494" name="Gruppieren 159"/>
                          <wpg:cNvGrpSpPr>
                            <a:grpSpLocks/>
                          </wpg:cNvGrpSpPr>
                          <wpg:grpSpPr bwMode="auto">
                            <a:xfrm>
                              <a:off x="6422012" y="3413000"/>
                              <a:ext cx="401673" cy="3175"/>
                              <a:chOff x="6422012" y="3413000"/>
                              <a:chExt cx="401673" cy="3175"/>
                            </a:xfrm>
                          </wpg:grpSpPr>
                          <wps:wsp>
                            <wps:cNvPr id="2495" name="Gerade Verbindung mit Pfeil 163"/>
                            <wps:cNvCnPr/>
                            <wps:spPr>
                              <a:xfrm flipV="1">
                                <a:off x="6691911" y="3413000"/>
                                <a:ext cx="131774" cy="1587"/>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s:wsp>
                            <wps:cNvPr id="2496" name="Gerade Verbindung mit Pfeil 164"/>
                            <wps:cNvCnPr/>
                            <wps:spPr>
                              <a:xfrm flipH="1" flipV="1">
                                <a:off x="6422012" y="3414587"/>
                                <a:ext cx="130187" cy="1588"/>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g:grpSp>
                        <wpg:grpSp>
                          <wpg:cNvPr id="2497" name="Gruppieren 160"/>
                          <wpg:cNvGrpSpPr>
                            <a:grpSpLocks/>
                          </wpg:cNvGrpSpPr>
                          <wpg:grpSpPr bwMode="auto">
                            <a:xfrm>
                              <a:off x="6410897" y="3008228"/>
                              <a:ext cx="7940" cy="411121"/>
                              <a:chOff x="6410897" y="3008228"/>
                              <a:chExt cx="7940" cy="411121"/>
                            </a:xfrm>
                          </wpg:grpSpPr>
                          <wps:wsp>
                            <wps:cNvPr id="2498" name="Gerade Verbindung mit Pfeil 161"/>
                            <wps:cNvCnPr/>
                            <wps:spPr>
                              <a:xfrm rot="5400000" flipV="1">
                                <a:off x="6352168" y="3352680"/>
                                <a:ext cx="131750" cy="1588"/>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s:wsp>
                            <wps:cNvPr id="2499" name="Gerade Verbindung mit Pfeil 162"/>
                            <wps:cNvCnPr/>
                            <wps:spPr>
                              <a:xfrm rot="5400000" flipH="1">
                                <a:off x="6346611" y="3072514"/>
                                <a:ext cx="136511" cy="7939"/>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g:grpSp>
                      </wpg:grpSp>
                      <wps:wsp>
                        <wps:cNvPr id="2500" name="Gerade Verbindung mit Pfeil 45"/>
                        <wps:cNvCnPr/>
                        <wps:spPr>
                          <a:xfrm rot="5400000" flipV="1">
                            <a:off x="5316221" y="2513782"/>
                            <a:ext cx="1588" cy="539798"/>
                          </a:xfrm>
                          <a:prstGeom prst="straightConnector1">
                            <a:avLst/>
                          </a:prstGeom>
                          <a:noFill/>
                          <a:ln w="9525" cap="flat" cmpd="sng" algn="ctr">
                            <a:solidFill>
                              <a:srgbClr val="8064A2">
                                <a:lumMod val="75000"/>
                              </a:srgbClr>
                            </a:solidFill>
                            <a:prstDash val="solid"/>
                            <a:headEnd type="triangle" w="med" len="med"/>
                            <a:tailEnd type="triangle" w="med" len="med"/>
                          </a:ln>
                          <a:effectLst/>
                        </wps:spPr>
                        <wps:bodyPr/>
                      </wps:wsp>
                      <wpg:grpSp>
                        <wpg:cNvPr id="2501" name="Gruppieren 46"/>
                        <wpg:cNvGrpSpPr>
                          <a:grpSpLocks/>
                        </wpg:cNvGrpSpPr>
                        <wpg:grpSpPr bwMode="auto">
                          <a:xfrm>
                            <a:off x="2346325" y="3565525"/>
                            <a:ext cx="4346575" cy="642937"/>
                            <a:chOff x="2346325" y="3565525"/>
                            <a:chExt cx="4347412" cy="643432"/>
                          </a:xfrm>
                        </wpg:grpSpPr>
                        <wps:wsp>
                          <wps:cNvPr id="2502" name="Rectangle 25" descr="Kugeln"/>
                          <wps:cNvSpPr>
                            <a:spLocks noChangeAspect="1" noChangeArrowheads="1"/>
                          </wps:cNvSpPr>
                          <wps:spPr bwMode="auto">
                            <a:xfrm>
                              <a:off x="2346325" y="3753143"/>
                              <a:ext cx="4347412" cy="455814"/>
                            </a:xfrm>
                            <a:prstGeom prst="rect">
                              <a:avLst/>
                            </a:prstGeom>
                            <a:blipFill dpi="0" rotWithShape="0">
                              <a:blip r:embed="rId20"/>
                              <a:srcRect/>
                              <a:tile tx="0" ty="0" sx="100000" sy="100000" flip="none" algn="tl"/>
                            </a:blipFill>
                            <a:ln w="9525">
                              <a:solidFill>
                                <a:srgbClr val="000000"/>
                              </a:solidFill>
                              <a:miter lim="800000"/>
                              <a:headEnd/>
                              <a:tailEnd/>
                            </a:ln>
                          </wps:spPr>
                          <wps:bodyPr wrap="none" anchor="ctr"/>
                        </wps:wsp>
                        <wps:wsp>
                          <wps:cNvPr id="2503" name="Rectangle 47" descr="Kugeln"/>
                          <wps:cNvSpPr>
                            <a:spLocks noChangeAspect="1" noChangeArrowheads="1"/>
                          </wps:cNvSpPr>
                          <wps:spPr bwMode="auto">
                            <a:xfrm>
                              <a:off x="2952817" y="3565525"/>
                              <a:ext cx="3132000" cy="77887"/>
                            </a:xfrm>
                            <a:prstGeom prst="rect">
                              <a:avLst/>
                            </a:prstGeom>
                            <a:blipFill dpi="0" rotWithShape="0">
                              <a:blip r:embed="rId20"/>
                              <a:srcRect/>
                              <a:tile tx="0" ty="0" sx="100000" sy="100000" flip="none" algn="tl"/>
                            </a:blipFill>
                            <a:ln w="9525">
                              <a:solidFill>
                                <a:srgbClr val="000000"/>
                              </a:solidFill>
                              <a:miter lim="800000"/>
                              <a:headEnd/>
                              <a:tailEnd/>
                            </a:ln>
                          </wps:spPr>
                          <wps:bodyPr wrap="none" anchor="ctr"/>
                        </wps:wsp>
                        <wps:wsp>
                          <wps:cNvPr id="2504" name="Rectangle 47" descr="Kugeln"/>
                          <wps:cNvSpPr>
                            <a:spLocks noChangeAspect="1" noChangeArrowheads="1"/>
                          </wps:cNvSpPr>
                          <wps:spPr bwMode="auto">
                            <a:xfrm>
                              <a:off x="3377635" y="3637070"/>
                              <a:ext cx="64892" cy="131810"/>
                            </a:xfrm>
                            <a:prstGeom prst="rect">
                              <a:avLst/>
                            </a:pr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505" name="Rectangle 47" descr="Kugeln"/>
                          <wps:cNvSpPr>
                            <a:spLocks noChangeAspect="1" noChangeArrowheads="1"/>
                          </wps:cNvSpPr>
                          <wps:spPr bwMode="auto">
                            <a:xfrm>
                              <a:off x="5857429" y="3637599"/>
                              <a:ext cx="64892" cy="134459"/>
                            </a:xfrm>
                            <a:prstGeom prst="rect">
                              <a:avLst/>
                            </a:pr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506" name="Rectangle 47" descr="Kugeln"/>
                          <wps:cNvSpPr>
                            <a:spLocks noChangeAspect="1" noChangeArrowheads="1"/>
                          </wps:cNvSpPr>
                          <wps:spPr bwMode="auto">
                            <a:xfrm>
                              <a:off x="4588938" y="3637671"/>
                              <a:ext cx="64892" cy="131210"/>
                            </a:xfrm>
                            <a:prstGeom prst="rect">
                              <a:avLst/>
                            </a:pr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507" name="Gerade Verbindung 253"/>
                          <wps:cNvCnPr/>
                          <wps:spPr>
                            <a:xfrm>
                              <a:off x="3373938" y="3643372"/>
                              <a:ext cx="0" cy="109622"/>
                            </a:xfrm>
                            <a:prstGeom prst="line">
                              <a:avLst/>
                            </a:prstGeom>
                            <a:noFill/>
                            <a:ln w="9525" cap="flat" cmpd="sng" algn="ctr">
                              <a:solidFill>
                                <a:sysClr val="windowText" lastClr="000000"/>
                              </a:solidFill>
                              <a:prstDash val="solid"/>
                            </a:ln>
                            <a:effectLst/>
                          </wps:spPr>
                          <wps:bodyPr/>
                        </wps:wsp>
                        <wps:wsp>
                          <wps:cNvPr id="2508" name="Gerade Verbindung 254"/>
                          <wps:cNvCnPr/>
                          <wps:spPr>
                            <a:xfrm>
                              <a:off x="3443808" y="3640194"/>
                              <a:ext cx="0" cy="108033"/>
                            </a:xfrm>
                            <a:prstGeom prst="line">
                              <a:avLst/>
                            </a:prstGeom>
                            <a:noFill/>
                            <a:ln w="9525" cap="flat" cmpd="sng" algn="ctr">
                              <a:solidFill>
                                <a:sysClr val="windowText" lastClr="000000"/>
                              </a:solidFill>
                              <a:prstDash val="solid"/>
                            </a:ln>
                            <a:effectLst/>
                          </wps:spPr>
                          <wps:bodyPr/>
                        </wps:wsp>
                        <wps:wsp>
                          <wps:cNvPr id="2509" name="Gerade Verbindung 255"/>
                          <wps:cNvCnPr/>
                          <wps:spPr>
                            <a:xfrm>
                              <a:off x="4590306" y="3643372"/>
                              <a:ext cx="0" cy="108033"/>
                            </a:xfrm>
                            <a:prstGeom prst="line">
                              <a:avLst/>
                            </a:prstGeom>
                            <a:noFill/>
                            <a:ln w="9525" cap="flat" cmpd="sng" algn="ctr">
                              <a:solidFill>
                                <a:sysClr val="windowText" lastClr="000000"/>
                              </a:solidFill>
                              <a:prstDash val="solid"/>
                            </a:ln>
                            <a:effectLst/>
                          </wps:spPr>
                          <wps:bodyPr/>
                        </wps:wsp>
                        <wps:wsp>
                          <wps:cNvPr id="2510" name="Gerade Verbindung 256"/>
                          <wps:cNvCnPr/>
                          <wps:spPr>
                            <a:xfrm>
                              <a:off x="4652236" y="3641784"/>
                              <a:ext cx="0" cy="108033"/>
                            </a:xfrm>
                            <a:prstGeom prst="line">
                              <a:avLst/>
                            </a:prstGeom>
                            <a:noFill/>
                            <a:ln w="9525" cap="flat" cmpd="sng" algn="ctr">
                              <a:solidFill>
                                <a:sysClr val="windowText" lastClr="000000"/>
                              </a:solidFill>
                              <a:prstDash val="solid"/>
                            </a:ln>
                            <a:effectLst/>
                          </wps:spPr>
                          <wps:bodyPr/>
                        </wps:wsp>
                        <wps:wsp>
                          <wps:cNvPr id="2511" name="Gerade Verbindung 257"/>
                          <wps:cNvCnPr/>
                          <wps:spPr>
                            <a:xfrm>
                              <a:off x="5857489" y="3644961"/>
                              <a:ext cx="0" cy="108033"/>
                            </a:xfrm>
                            <a:prstGeom prst="line">
                              <a:avLst/>
                            </a:prstGeom>
                            <a:noFill/>
                            <a:ln w="9525" cap="flat" cmpd="sng" algn="ctr">
                              <a:solidFill>
                                <a:sysClr val="windowText" lastClr="000000"/>
                              </a:solidFill>
                              <a:prstDash val="solid"/>
                            </a:ln>
                            <a:effectLst/>
                          </wps:spPr>
                          <wps:bodyPr/>
                        </wps:wsp>
                        <wps:wsp>
                          <wps:cNvPr id="2512" name="Gerade Verbindung 258"/>
                          <wps:cNvCnPr/>
                          <wps:spPr>
                            <a:xfrm>
                              <a:off x="5925770" y="3643372"/>
                              <a:ext cx="0" cy="108033"/>
                            </a:xfrm>
                            <a:prstGeom prst="line">
                              <a:avLst/>
                            </a:prstGeom>
                            <a:pattFill prst="pct20"/>
                            <a:ln w="9525" cap="flat" cmpd="sng" algn="ctr">
                              <a:solidFill>
                                <a:sysClr val="windowText" lastClr="000000"/>
                              </a:solidFill>
                              <a:prstDash val="solid"/>
                            </a:ln>
                            <a:effectLst/>
                          </wps:spPr>
                          <wps:bodyPr/>
                        </wps:wsp>
                        <wps:wsp>
                          <wps:cNvPr id="2513" name="Rectangle 47" descr="Kugeln"/>
                          <wps:cNvSpPr>
                            <a:spLocks noChangeAspect="1" noChangeArrowheads="1"/>
                          </wps:cNvSpPr>
                          <wps:spPr bwMode="auto">
                            <a:xfrm rot="-5400000">
                              <a:off x="2981558" y="3661240"/>
                              <a:ext cx="64327" cy="118374"/>
                            </a:xfrm>
                            <a:prstGeom prst="rect">
                              <a:avLst/>
                            </a:prstGeom>
                            <a:blipFill dpi="0" rotWithShape="0">
                              <a:blip r:embed="rId20"/>
                              <a:srcRect/>
                              <a:tile tx="0" ty="0" sx="100000" sy="100000" flip="none" algn="tl"/>
                            </a:blipFill>
                            <a:ln w="9525">
                              <a:solidFill>
                                <a:sysClr val="windowText" lastClr="000000"/>
                              </a:solidFill>
                              <a:miter lim="800000"/>
                              <a:headEnd/>
                              <a:tailEnd/>
                            </a:ln>
                          </wps:spPr>
                          <wps:bodyPr wrap="none" anchor="ctr"/>
                        </wps:wsp>
                        <wps:wsp>
                          <wps:cNvPr id="2514" name="Rectangle 47" descr="Kugeln"/>
                          <wps:cNvSpPr>
                            <a:spLocks noChangeAspect="1" noChangeArrowheads="1"/>
                          </wps:cNvSpPr>
                          <wps:spPr bwMode="auto">
                            <a:xfrm rot="-5400000">
                              <a:off x="5997361" y="3662248"/>
                              <a:ext cx="64327" cy="118374"/>
                            </a:xfrm>
                            <a:prstGeom prst="rect">
                              <a:avLst/>
                            </a:prstGeom>
                            <a:blipFill dpi="0" rotWithShape="0">
                              <a:blip r:embed="rId20"/>
                              <a:srcRect/>
                              <a:tile tx="0" ty="0" sx="100000" sy="100000" flip="none" algn="tl"/>
                            </a:blipFill>
                            <a:ln w="9525">
                              <a:solidFill>
                                <a:sysClr val="windowText" lastClr="000000"/>
                              </a:solidFill>
                              <a:miter lim="800000"/>
                              <a:headEnd/>
                              <a:tailEnd/>
                            </a:ln>
                          </wps:spPr>
                          <wps:bodyPr wrap="none" anchor="ctr"/>
                        </wps:wsp>
                      </wpg:grpSp>
                      <wpg:grpSp>
                        <wpg:cNvPr id="2515" name="Gruppieren 47"/>
                        <wpg:cNvGrpSpPr>
                          <a:grpSpLocks/>
                        </wpg:cNvGrpSpPr>
                        <wpg:grpSpPr bwMode="auto">
                          <a:xfrm>
                            <a:off x="4446588" y="3430565"/>
                            <a:ext cx="117475" cy="152399"/>
                            <a:chOff x="4446588" y="3430587"/>
                            <a:chExt cx="118374" cy="152112"/>
                          </a:xfrm>
                        </wpg:grpSpPr>
                        <wps:wsp>
                          <wps:cNvPr id="2516" name="Rectangle 47" descr="Kugeln"/>
                          <wps:cNvSpPr>
                            <a:spLocks noChangeAspect="1" noChangeArrowheads="1"/>
                          </wps:cNvSpPr>
                          <wps:spPr bwMode="auto">
                            <a:xfrm>
                              <a:off x="4477664" y="3469998"/>
                              <a:ext cx="55808" cy="112701"/>
                            </a:xfrm>
                            <a:prstGeom prst="rect">
                              <a:avLst/>
                            </a:pr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517" name="Rectangle 47" descr="Kugeln"/>
                          <wps:cNvSpPr>
                            <a:spLocks noChangeAspect="1" noChangeArrowheads="1"/>
                          </wps:cNvSpPr>
                          <wps:spPr bwMode="auto">
                            <a:xfrm rot="-5400000">
                              <a:off x="4480134" y="3397041"/>
                              <a:ext cx="51282" cy="118374"/>
                            </a:xfrm>
                            <a:prstGeom prst="rect">
                              <a:avLst/>
                            </a:prstGeom>
                            <a:blipFill dpi="0" rotWithShape="0">
                              <a:blip r:embed="rId20"/>
                              <a:srcRect/>
                              <a:tile tx="0" ty="0" sx="100000" sy="100000" flip="none" algn="tl"/>
                            </a:blipFill>
                            <a:ln w="9525">
                              <a:solidFill>
                                <a:sysClr val="windowText" lastClr="000000"/>
                              </a:solidFill>
                              <a:miter lim="800000"/>
                              <a:headEnd/>
                              <a:tailEnd/>
                            </a:ln>
                          </wps:spPr>
                          <wps:bodyPr wrap="none" anchor="ctr"/>
                        </wps:wsp>
                      </wpg:grpSp>
                      <wpg:grpSp>
                        <wpg:cNvPr id="2518" name="Gruppieren 48"/>
                        <wpg:cNvGrpSpPr>
                          <a:grpSpLocks/>
                        </wpg:cNvGrpSpPr>
                        <wpg:grpSpPr bwMode="auto">
                          <a:xfrm>
                            <a:off x="2348124" y="3484572"/>
                            <a:ext cx="4334264" cy="725490"/>
                            <a:chOff x="2348124" y="3484562"/>
                            <a:chExt cx="4333916" cy="725604"/>
                          </a:xfrm>
                        </wpg:grpSpPr>
                        <wpg:grpSp>
                          <wpg:cNvPr id="2519" name="Gruppieren 131"/>
                          <wpg:cNvGrpSpPr>
                            <a:grpSpLocks/>
                          </wpg:cNvGrpSpPr>
                          <wpg:grpSpPr bwMode="auto">
                            <a:xfrm>
                              <a:off x="3721324" y="3484562"/>
                              <a:ext cx="1528777" cy="725604"/>
                              <a:chOff x="3721324" y="3484562"/>
                              <a:chExt cx="1528777" cy="725604"/>
                            </a:xfrm>
                          </wpg:grpSpPr>
                          <wps:wsp>
                            <wps:cNvPr id="2520" name="Gerade Verbindung 206"/>
                            <wps:cNvCnPr/>
                            <wps:spPr>
                              <a:xfrm>
                                <a:off x="4478569" y="3486150"/>
                                <a:ext cx="0" cy="71448"/>
                              </a:xfrm>
                              <a:prstGeom prst="line">
                                <a:avLst/>
                              </a:prstGeom>
                              <a:noFill/>
                              <a:ln w="9525" cap="flat" cmpd="sng" algn="ctr">
                                <a:solidFill>
                                  <a:sysClr val="windowText" lastClr="000000"/>
                                </a:solidFill>
                                <a:prstDash val="solid"/>
                              </a:ln>
                              <a:effectLst/>
                            </wps:spPr>
                            <wps:bodyPr/>
                          </wps:wsp>
                          <wps:wsp>
                            <wps:cNvPr id="2521" name="Gerade Verbindung 207"/>
                            <wps:cNvCnPr/>
                            <wps:spPr>
                              <a:xfrm>
                                <a:off x="4534131" y="3484562"/>
                                <a:ext cx="0" cy="71449"/>
                              </a:xfrm>
                              <a:prstGeom prst="line">
                                <a:avLst/>
                              </a:prstGeom>
                              <a:noFill/>
                              <a:ln w="9525" cap="flat" cmpd="sng" algn="ctr">
                                <a:solidFill>
                                  <a:sysClr val="windowText" lastClr="000000"/>
                                </a:solidFill>
                                <a:prstDash val="solid"/>
                              </a:ln>
                              <a:effectLst/>
                            </wps:spPr>
                            <wps:bodyPr/>
                          </wps:wsp>
                          <wps:wsp>
                            <wps:cNvPr id="2522" name="Gerade Verbindung 396"/>
                            <wps:cNvCnPr/>
                            <wps:spPr>
                              <a:xfrm>
                                <a:off x="3721324" y="3746542"/>
                                <a:ext cx="0" cy="463624"/>
                              </a:xfrm>
                              <a:prstGeom prst="line">
                                <a:avLst/>
                              </a:prstGeom>
                              <a:noFill/>
                              <a:ln w="9525" cap="flat" cmpd="sng" algn="ctr">
                                <a:solidFill>
                                  <a:sysClr val="windowText" lastClr="000000"/>
                                </a:solidFill>
                                <a:prstDash val="solid"/>
                              </a:ln>
                              <a:effectLst/>
                            </wps:spPr>
                            <wps:bodyPr/>
                          </wps:wsp>
                          <wps:wsp>
                            <wps:cNvPr id="2523" name="Gerade Verbindung 397"/>
                            <wps:cNvCnPr/>
                            <wps:spPr>
                              <a:xfrm>
                                <a:off x="5250101" y="3746542"/>
                                <a:ext cx="0" cy="462036"/>
                              </a:xfrm>
                              <a:prstGeom prst="line">
                                <a:avLst/>
                              </a:prstGeom>
                              <a:noFill/>
                              <a:ln w="9525" cap="flat" cmpd="sng" algn="ctr">
                                <a:solidFill>
                                  <a:sysClr val="windowText" lastClr="000000"/>
                                </a:solidFill>
                                <a:prstDash val="solid"/>
                              </a:ln>
                              <a:effectLst/>
                            </wps:spPr>
                            <wps:bodyPr/>
                          </wps:wsp>
                        </wpg:grpSp>
                        <wps:wsp>
                          <wps:cNvPr id="2524" name="Gerade Verbindung 269"/>
                          <wps:cNvCnPr/>
                          <wps:spPr>
                            <a:xfrm>
                              <a:off x="6682040" y="3706848"/>
                              <a:ext cx="0" cy="41282"/>
                            </a:xfrm>
                            <a:prstGeom prst="line">
                              <a:avLst/>
                            </a:prstGeom>
                            <a:noFill/>
                            <a:ln w="38100" cap="flat" cmpd="sng" algn="ctr">
                              <a:solidFill>
                                <a:sysClr val="windowText" lastClr="000000"/>
                              </a:solidFill>
                              <a:prstDash val="solid"/>
                            </a:ln>
                            <a:effectLst/>
                          </wps:spPr>
                          <wps:bodyPr/>
                        </wps:wsp>
                        <wps:wsp>
                          <wps:cNvPr id="2525" name="Gerade Verbindung 268"/>
                          <wps:cNvCnPr/>
                          <wps:spPr>
                            <a:xfrm>
                              <a:off x="2348124" y="3710023"/>
                              <a:ext cx="0" cy="41282"/>
                            </a:xfrm>
                            <a:prstGeom prst="line">
                              <a:avLst/>
                            </a:prstGeom>
                            <a:noFill/>
                            <a:ln w="38100" cap="flat" cmpd="sng" algn="ctr">
                              <a:solidFill>
                                <a:sysClr val="windowText" lastClr="000000"/>
                              </a:solidFill>
                              <a:prstDash val="solid"/>
                            </a:ln>
                            <a:effectLst/>
                          </wps:spPr>
                          <wps:bodyPr/>
                        </wps:wsp>
                      </wpg:grpSp>
                      <wpg:grpSp>
                        <wpg:cNvPr id="2526" name="Gruppieren 49"/>
                        <wpg:cNvGrpSpPr>
                          <a:grpSpLocks/>
                        </wpg:cNvGrpSpPr>
                        <wpg:grpSpPr bwMode="auto">
                          <a:xfrm>
                            <a:off x="2449626" y="2698753"/>
                            <a:ext cx="4183271" cy="1220794"/>
                            <a:chOff x="2449626" y="2698752"/>
                            <a:chExt cx="4182972" cy="1221516"/>
                          </a:xfrm>
                        </wpg:grpSpPr>
                        <wpg:grpSp>
                          <wpg:cNvPr id="2527" name="Gruppieren 118"/>
                          <wpg:cNvGrpSpPr>
                            <a:grpSpLocks/>
                          </wpg:cNvGrpSpPr>
                          <wpg:grpSpPr bwMode="auto">
                            <a:xfrm>
                              <a:off x="2500534" y="2698752"/>
                              <a:ext cx="4132064" cy="1221516"/>
                              <a:chOff x="2500534" y="2698752"/>
                              <a:chExt cx="4132064" cy="1221516"/>
                            </a:xfrm>
                          </wpg:grpSpPr>
                          <wps:wsp>
                            <wps:cNvPr id="2528" name="Gerade Verbindung mit Pfeil 122"/>
                            <wps:cNvCnPr/>
                            <wps:spPr>
                              <a:xfrm rot="16200000">
                                <a:off x="4146592" y="3062505"/>
                                <a:ext cx="727505" cy="0"/>
                              </a:xfrm>
                              <a:prstGeom prst="straightConnector1">
                                <a:avLst/>
                              </a:prstGeom>
                              <a:noFill/>
                              <a:ln w="9525" cap="flat" cmpd="sng" algn="ctr">
                                <a:solidFill>
                                  <a:srgbClr val="C0504D">
                                    <a:lumMod val="75000"/>
                                  </a:srgbClr>
                                </a:solidFill>
                                <a:prstDash val="solid"/>
                                <a:headEnd type="triangle" w="med" len="med"/>
                                <a:tailEnd type="triangle" w="med" len="med"/>
                              </a:ln>
                              <a:effectLst/>
                            </wps:spPr>
                            <wps:bodyPr/>
                          </wps:wsp>
                          <wps:wsp>
                            <wps:cNvPr id="2529" name="Gerade Verbindung mit Pfeil 123"/>
                            <wps:cNvCnPr/>
                            <wps:spPr>
                              <a:xfrm rot="16200000" flipH="1" flipV="1">
                                <a:off x="4244433" y="2798184"/>
                                <a:ext cx="1588" cy="539760"/>
                              </a:xfrm>
                              <a:prstGeom prst="straightConnector1">
                                <a:avLst/>
                              </a:prstGeom>
                              <a:noFill/>
                              <a:ln w="9525" cap="flat" cmpd="sng" algn="ctr">
                                <a:solidFill>
                                  <a:srgbClr val="C0504D">
                                    <a:lumMod val="75000"/>
                                  </a:srgbClr>
                                </a:solidFill>
                                <a:prstDash val="solid"/>
                                <a:headEnd type="triangle" w="med" len="med"/>
                                <a:tailEnd type="triangle" w="med" len="med"/>
                              </a:ln>
                              <a:effectLst/>
                            </wps:spPr>
                            <wps:bodyPr/>
                          </wps:wsp>
                          <wps:wsp>
                            <wps:cNvPr id="2530" name="Gerade Verbindung mit Pfeil 124"/>
                            <wps:cNvCnPr/>
                            <wps:spPr>
                              <a:xfrm flipH="1">
                                <a:off x="2500534" y="3577159"/>
                                <a:ext cx="463558" cy="0"/>
                              </a:xfrm>
                              <a:prstGeom prst="straightConnector1">
                                <a:avLst/>
                              </a:prstGeom>
                              <a:noFill/>
                              <a:ln w="9525" cap="flat" cmpd="sng" algn="ctr">
                                <a:solidFill>
                                  <a:srgbClr val="C0504D">
                                    <a:lumMod val="75000"/>
                                  </a:srgbClr>
                                </a:solidFill>
                                <a:prstDash val="solid"/>
                                <a:headEnd type="triangle" w="med" len="med"/>
                                <a:tailEnd type="triangle" w="med" len="med"/>
                              </a:ln>
                              <a:effectLst/>
                            </wps:spPr>
                            <wps:bodyPr/>
                          </wps:wsp>
                          <wps:wsp>
                            <wps:cNvPr id="2531" name="Text Box 63"/>
                            <wps:cNvSpPr txBox="1">
                              <a:spLocks noChangeAspect="1" noChangeArrowheads="1"/>
                            </wps:cNvSpPr>
                            <wps:spPr bwMode="auto">
                              <a:xfrm>
                                <a:off x="6035698" y="3554674"/>
                                <a:ext cx="596900" cy="365594"/>
                              </a:xfrm>
                              <a:prstGeom prst="rect">
                                <a:avLst/>
                              </a:prstGeom>
                              <a:noFill/>
                              <a:ln w="9525">
                                <a:noFill/>
                                <a:miter lim="800000"/>
                                <a:headEnd/>
                                <a:tailEnd/>
                              </a:ln>
                            </wps:spPr>
                            <wps:txbx>
                              <w:txbxContent>
                                <w:p w:rsidR="00AA4416" w:rsidRDefault="00AA4416" w:rsidP="00A21536">
                                  <w:pPr>
                                    <w:pStyle w:val="NormalWeb"/>
                                    <w:spacing w:after="200"/>
                                    <w:textAlignment w:val="baseline"/>
                                  </w:pPr>
                                  <w:r w:rsidRPr="00C1504E">
                                    <w:rPr>
                                      <w:rFonts w:ascii="Arial" w:hAnsi="Arial" w:cstheme="minorBidi"/>
                                      <w:color w:val="943634" w:themeColor="accent2" w:themeShade="BF"/>
                                      <w:kern w:val="24"/>
                                      <w:sz w:val="18"/>
                                      <w:szCs w:val="18"/>
                                      <w:u w:val="single"/>
                                    </w:rPr>
                                    <w:t>&gt;</w:t>
                                  </w:r>
                                  <w:r w:rsidRPr="00C1504E">
                                    <w:rPr>
                                      <w:rFonts w:ascii="Arial" w:hAnsi="Arial" w:cstheme="minorBidi"/>
                                      <w:color w:val="943634" w:themeColor="accent2" w:themeShade="BF"/>
                                      <w:kern w:val="24"/>
                                      <w:sz w:val="18"/>
                                      <w:szCs w:val="18"/>
                                    </w:rPr>
                                    <w:t>2,50 m</w:t>
                                  </w:r>
                                </w:p>
                              </w:txbxContent>
                            </wps:txbx>
                            <wps:bodyPr lIns="75888" tIns="37944" rIns="75888" bIns="37944">
                              <a:spAutoFit/>
                            </wps:bodyPr>
                          </wps:wsp>
                          <wps:wsp>
                            <wps:cNvPr id="2532" name="Text Box 63"/>
                            <wps:cNvSpPr txBox="1">
                              <a:spLocks noChangeAspect="1" noChangeArrowheads="1"/>
                            </wps:cNvSpPr>
                            <wps:spPr bwMode="auto">
                              <a:xfrm>
                                <a:off x="4541496" y="3322775"/>
                                <a:ext cx="647699" cy="365594"/>
                              </a:xfrm>
                              <a:prstGeom prst="rect">
                                <a:avLst/>
                              </a:prstGeom>
                              <a:noFill/>
                              <a:ln w="9525">
                                <a:noFill/>
                                <a:miter lim="800000"/>
                                <a:headEnd/>
                                <a:tailEnd/>
                              </a:ln>
                            </wps:spPr>
                            <wps:txbx>
                              <w:txbxContent>
                                <w:p w:rsidR="00AA4416" w:rsidRDefault="00AA4416" w:rsidP="00A21536">
                                  <w:pPr>
                                    <w:pStyle w:val="NormalWeb"/>
                                    <w:spacing w:after="200"/>
                                    <w:textAlignment w:val="baseline"/>
                                  </w:pPr>
                                  <w:r w:rsidRPr="00C1504E">
                                    <w:rPr>
                                      <w:rFonts w:ascii="Arial" w:hAnsi="Arial" w:cs="Arial"/>
                                      <w:color w:val="943634" w:themeColor="accent2" w:themeShade="BF"/>
                                      <w:kern w:val="24"/>
                                      <w:sz w:val="18"/>
                                      <w:szCs w:val="18"/>
                                      <w:u w:val="single"/>
                                    </w:rPr>
                                    <w:t>&gt;</w:t>
                                  </w:r>
                                  <w:r w:rsidRPr="00C1504E">
                                    <w:rPr>
                                      <w:rFonts w:ascii="Arial" w:hAnsi="Arial" w:cs="Arial"/>
                                      <w:color w:val="943634" w:themeColor="accent2" w:themeShade="BF"/>
                                      <w:kern w:val="24"/>
                                      <w:sz w:val="18"/>
                                      <w:szCs w:val="18"/>
                                    </w:rPr>
                                    <w:t xml:space="preserve"> </w:t>
                                  </w:r>
                                  <w:r w:rsidRPr="00C1504E">
                                    <w:rPr>
                                      <w:rFonts w:ascii="Arial" w:hAnsi="Arial" w:cstheme="minorBidi"/>
                                      <w:color w:val="943634" w:themeColor="accent2" w:themeShade="BF"/>
                                      <w:kern w:val="24"/>
                                      <w:sz w:val="18"/>
                                      <w:szCs w:val="18"/>
                                    </w:rPr>
                                    <w:t>2,50 m</w:t>
                                  </w:r>
                                </w:p>
                              </w:txbxContent>
                            </wps:txbx>
                            <wps:bodyPr lIns="75888" tIns="37944" rIns="75888" bIns="37944">
                              <a:spAutoFit/>
                            </wps:bodyPr>
                          </wps:wsp>
                          <wps:wsp>
                            <wps:cNvPr id="2533" name="Text Box 63"/>
                            <wps:cNvSpPr txBox="1">
                              <a:spLocks noChangeAspect="1" noChangeArrowheads="1"/>
                            </wps:cNvSpPr>
                            <wps:spPr bwMode="auto">
                              <a:xfrm>
                                <a:off x="5119706" y="3321841"/>
                                <a:ext cx="716278" cy="365594"/>
                              </a:xfrm>
                              <a:prstGeom prst="rect">
                                <a:avLst/>
                              </a:prstGeom>
                              <a:noFill/>
                              <a:ln w="9525">
                                <a:noFill/>
                                <a:miter lim="800000"/>
                                <a:headEnd/>
                                <a:tailEnd/>
                              </a:ln>
                            </wps:spPr>
                            <wps:txbx>
                              <w:txbxContent>
                                <w:p w:rsidR="00AA4416" w:rsidRDefault="00AA4416" w:rsidP="00A21536">
                                  <w:pPr>
                                    <w:pStyle w:val="NormalWeb"/>
                                    <w:spacing w:after="200"/>
                                    <w:textAlignment w:val="baseline"/>
                                  </w:pPr>
                                  <w:r w:rsidRPr="00C1504E">
                                    <w:rPr>
                                      <w:rFonts w:ascii="Arial" w:hAnsi="Arial" w:cstheme="minorBidi"/>
                                      <w:color w:val="943634" w:themeColor="accent2" w:themeShade="BF"/>
                                      <w:kern w:val="24"/>
                                      <w:sz w:val="18"/>
                                      <w:szCs w:val="18"/>
                                      <w:u w:val="single"/>
                                    </w:rPr>
                                    <w:t>&gt;</w:t>
                                  </w:r>
                                  <w:r w:rsidRPr="00C1504E">
                                    <w:rPr>
                                      <w:rFonts w:ascii="Arial" w:hAnsi="Arial" w:cstheme="minorBidi"/>
                                      <w:color w:val="943634" w:themeColor="accent2" w:themeShade="BF"/>
                                      <w:kern w:val="24"/>
                                      <w:sz w:val="18"/>
                                      <w:szCs w:val="18"/>
                                    </w:rPr>
                                    <w:t>1,50 m</w:t>
                                  </w:r>
                                </w:p>
                              </w:txbxContent>
                            </wps:txbx>
                            <wps:bodyPr lIns="75888" tIns="37944" rIns="75888" bIns="37944">
                              <a:spAutoFit/>
                            </wps:bodyPr>
                          </wps:wsp>
                          <wps:wsp>
                            <wps:cNvPr id="2534" name="Text Box 63"/>
                            <wps:cNvSpPr txBox="1">
                              <a:spLocks noChangeAspect="1" noChangeArrowheads="1"/>
                            </wps:cNvSpPr>
                            <wps:spPr bwMode="auto">
                              <a:xfrm>
                                <a:off x="4466694" y="2815053"/>
                                <a:ext cx="596900" cy="365594"/>
                              </a:xfrm>
                              <a:prstGeom prst="rect">
                                <a:avLst/>
                              </a:prstGeom>
                              <a:noFill/>
                              <a:ln w="9525">
                                <a:noFill/>
                                <a:miter lim="800000"/>
                                <a:headEnd/>
                                <a:tailEnd/>
                              </a:ln>
                            </wps:spPr>
                            <wps:txbx>
                              <w:txbxContent>
                                <w:p w:rsidR="00AA4416" w:rsidRDefault="00AA4416" w:rsidP="00A21536">
                                  <w:pPr>
                                    <w:pStyle w:val="NormalWeb"/>
                                    <w:spacing w:after="200"/>
                                    <w:textAlignment w:val="baseline"/>
                                  </w:pPr>
                                  <w:r w:rsidRPr="00C1504E">
                                    <w:rPr>
                                      <w:rFonts w:ascii="Arial" w:hAnsi="Arial" w:cstheme="minorBidi"/>
                                      <w:color w:val="943634" w:themeColor="accent2" w:themeShade="BF"/>
                                      <w:kern w:val="24"/>
                                      <w:sz w:val="18"/>
                                      <w:szCs w:val="18"/>
                                    </w:rPr>
                                    <w:t>4,00 m</w:t>
                                  </w:r>
                                </w:p>
                              </w:txbxContent>
                            </wps:txbx>
                            <wps:bodyPr lIns="75888" tIns="37944" rIns="75888" bIns="37944">
                              <a:spAutoFit/>
                            </wps:bodyPr>
                          </wps:wsp>
                          <wps:wsp>
                            <wps:cNvPr id="2535" name="Text Box 63"/>
                            <wps:cNvSpPr txBox="1">
                              <a:spLocks noChangeAspect="1" noChangeArrowheads="1"/>
                            </wps:cNvSpPr>
                            <wps:spPr bwMode="auto">
                              <a:xfrm>
                                <a:off x="4003749" y="3046409"/>
                                <a:ext cx="596900" cy="365594"/>
                              </a:xfrm>
                              <a:prstGeom prst="rect">
                                <a:avLst/>
                              </a:prstGeom>
                              <a:noFill/>
                              <a:ln w="9525">
                                <a:noFill/>
                                <a:miter lim="800000"/>
                                <a:headEnd/>
                                <a:tailEnd/>
                              </a:ln>
                            </wps:spPr>
                            <wps:txbx>
                              <w:txbxContent>
                                <w:p w:rsidR="00AA4416" w:rsidRDefault="00AA4416" w:rsidP="00A21536">
                                  <w:pPr>
                                    <w:pStyle w:val="NormalWeb"/>
                                    <w:spacing w:after="200"/>
                                    <w:textAlignment w:val="baseline"/>
                                  </w:pPr>
                                  <w:r w:rsidRPr="00C1504E">
                                    <w:rPr>
                                      <w:rFonts w:ascii="Arial" w:hAnsi="Arial" w:cstheme="minorBidi"/>
                                      <w:color w:val="943634" w:themeColor="accent2" w:themeShade="BF"/>
                                      <w:kern w:val="24"/>
                                      <w:sz w:val="18"/>
                                      <w:szCs w:val="18"/>
                                    </w:rPr>
                                    <w:t>3,00 m</w:t>
                                  </w:r>
                                </w:p>
                              </w:txbxContent>
                            </wps:txbx>
                            <wps:bodyPr lIns="75888" tIns="37944" rIns="75888" bIns="37944">
                              <a:spAutoFit/>
                            </wps:bodyPr>
                          </wps:wsp>
                          <wps:wsp>
                            <wps:cNvPr id="2536" name="Gerade Verbindung mit Pfeil 130"/>
                            <wps:cNvCnPr/>
                            <wps:spPr>
                              <a:xfrm rot="16200000" flipH="1">
                                <a:off x="4836449" y="3514416"/>
                                <a:ext cx="463824" cy="1588"/>
                              </a:xfrm>
                              <a:prstGeom prst="straightConnector1">
                                <a:avLst/>
                              </a:prstGeom>
                              <a:noFill/>
                              <a:ln w="9525" cap="flat" cmpd="sng" algn="ctr">
                                <a:solidFill>
                                  <a:srgbClr val="C0504D">
                                    <a:lumMod val="75000"/>
                                  </a:srgbClr>
                                </a:solidFill>
                                <a:prstDash val="solid"/>
                                <a:headEnd type="triangle" w="med" len="med"/>
                                <a:tailEnd type="triangle" w="med" len="med"/>
                              </a:ln>
                              <a:effectLst/>
                            </wps:spPr>
                            <wps:bodyPr/>
                          </wps:wsp>
                        </wpg:grpSp>
                        <wps:wsp>
                          <wps:cNvPr id="2537" name="Gerade Verbindung mit Pfeil 119"/>
                          <wps:cNvCnPr/>
                          <wps:spPr>
                            <a:xfrm rot="5400000" flipH="1">
                              <a:off x="5495327" y="3430229"/>
                              <a:ext cx="276389" cy="1588"/>
                            </a:xfrm>
                            <a:prstGeom prst="straightConnector1">
                              <a:avLst/>
                            </a:prstGeom>
                            <a:noFill/>
                            <a:ln w="9525" cap="flat" cmpd="sng" algn="ctr">
                              <a:solidFill>
                                <a:srgbClr val="C0504D">
                                  <a:lumMod val="75000"/>
                                </a:srgbClr>
                              </a:solidFill>
                              <a:prstDash val="solid"/>
                              <a:headEnd type="triangle" w="med" len="med"/>
                              <a:tailEnd type="triangle" w="med" len="med"/>
                            </a:ln>
                            <a:effectLst/>
                          </wps:spPr>
                          <wps:bodyPr/>
                        </wps:wsp>
                        <wps:wsp>
                          <wps:cNvPr id="2538" name="Gerade Verbindung mit Pfeil 120"/>
                          <wps:cNvCnPr/>
                          <wps:spPr>
                            <a:xfrm flipH="1">
                              <a:off x="6081999" y="3578747"/>
                              <a:ext cx="463558" cy="1588"/>
                            </a:xfrm>
                            <a:prstGeom prst="straightConnector1">
                              <a:avLst/>
                            </a:prstGeom>
                            <a:noFill/>
                            <a:ln w="9525" cap="flat" cmpd="sng" algn="ctr">
                              <a:solidFill>
                                <a:srgbClr val="C0504D">
                                  <a:lumMod val="75000"/>
                                </a:srgbClr>
                              </a:solidFill>
                              <a:prstDash val="solid"/>
                              <a:headEnd type="triangle" w="med" len="med"/>
                              <a:tailEnd type="triangle" w="med" len="med"/>
                            </a:ln>
                            <a:effectLst/>
                          </wps:spPr>
                          <wps:bodyPr/>
                        </wps:wsp>
                        <wps:wsp>
                          <wps:cNvPr id="2539" name="Text Box 63"/>
                          <wps:cNvSpPr txBox="1">
                            <a:spLocks noChangeAspect="1" noChangeArrowheads="1"/>
                          </wps:cNvSpPr>
                          <wps:spPr bwMode="auto">
                            <a:xfrm>
                              <a:off x="2449626" y="3549909"/>
                              <a:ext cx="660398" cy="365594"/>
                            </a:xfrm>
                            <a:prstGeom prst="rect">
                              <a:avLst/>
                            </a:prstGeom>
                            <a:noFill/>
                            <a:ln w="9525">
                              <a:noFill/>
                              <a:miter lim="800000"/>
                              <a:headEnd/>
                              <a:tailEnd/>
                            </a:ln>
                          </wps:spPr>
                          <wps:txbx>
                            <w:txbxContent>
                              <w:p w:rsidR="00AA4416" w:rsidRDefault="00AA4416" w:rsidP="00A21536">
                                <w:pPr>
                                  <w:pStyle w:val="NormalWeb"/>
                                  <w:spacing w:after="200"/>
                                  <w:textAlignment w:val="baseline"/>
                                </w:pPr>
                                <w:r w:rsidRPr="00C1504E">
                                  <w:rPr>
                                    <w:rFonts w:ascii="Arial" w:hAnsi="Arial" w:cstheme="minorBidi"/>
                                    <w:color w:val="943634" w:themeColor="accent2" w:themeShade="BF"/>
                                    <w:kern w:val="24"/>
                                    <w:sz w:val="18"/>
                                    <w:szCs w:val="18"/>
                                    <w:u w:val="single"/>
                                  </w:rPr>
                                  <w:t>&gt;</w:t>
                                </w:r>
                                <w:r w:rsidRPr="00C1504E">
                                  <w:rPr>
                                    <w:rFonts w:ascii="Arial" w:hAnsi="Arial" w:cstheme="minorBidi"/>
                                    <w:color w:val="943634" w:themeColor="accent2" w:themeShade="BF"/>
                                    <w:kern w:val="24"/>
                                    <w:sz w:val="18"/>
                                    <w:szCs w:val="18"/>
                                  </w:rPr>
                                  <w:t>2,50 m</w:t>
                                </w:r>
                              </w:p>
                            </w:txbxContent>
                          </wps:txbx>
                          <wps:bodyPr lIns="75888" tIns="37944" rIns="75888" bIns="37944">
                            <a:spAutoFit/>
                          </wps:bodyPr>
                        </wps:wsp>
                      </wpg:grpSp>
                      <wps:wsp>
                        <wps:cNvPr id="2540" name="Text Box 63"/>
                        <wps:cNvSpPr txBox="1">
                          <a:spLocks noChangeAspect="1" noChangeArrowheads="1"/>
                        </wps:cNvSpPr>
                        <wps:spPr bwMode="auto">
                          <a:xfrm>
                            <a:off x="5070709" y="2744597"/>
                            <a:ext cx="596942" cy="365378"/>
                          </a:xfrm>
                          <a:prstGeom prst="rect">
                            <a:avLst/>
                          </a:prstGeom>
                          <a:noFill/>
                          <a:ln w="9525">
                            <a:noFill/>
                            <a:miter lim="800000"/>
                            <a:headEnd/>
                            <a:tailEnd/>
                          </a:ln>
                        </wps:spPr>
                        <wps:txbx>
                          <w:txbxContent>
                            <w:p w:rsidR="00AA4416" w:rsidRDefault="00AA4416" w:rsidP="00A21536">
                              <w:pPr>
                                <w:pStyle w:val="NormalWeb"/>
                                <w:spacing w:after="200"/>
                                <w:textAlignment w:val="baseline"/>
                              </w:pPr>
                              <w:r w:rsidRPr="00C1504E">
                                <w:rPr>
                                  <w:rFonts w:ascii="Arial" w:hAnsi="Arial" w:cstheme="minorBidi"/>
                                  <w:color w:val="5F497A" w:themeColor="accent4" w:themeShade="BF"/>
                                  <w:kern w:val="24"/>
                                  <w:sz w:val="18"/>
                                  <w:szCs w:val="18"/>
                                </w:rPr>
                                <w:t>3,00 m</w:t>
                              </w:r>
                            </w:p>
                          </w:txbxContent>
                        </wps:txbx>
                        <wps:bodyPr lIns="75888" tIns="37944" rIns="75888" bIns="37944">
                          <a:spAutoFit/>
                        </wps:bodyPr>
                      </wps:wsp>
                      <wps:wsp>
                        <wps:cNvPr id="2541" name="Gerade Verbindung mit Pfeil 51"/>
                        <wps:cNvCnPr/>
                        <wps:spPr>
                          <a:xfrm>
                            <a:off x="2362412" y="3435350"/>
                            <a:ext cx="2173483" cy="3175"/>
                          </a:xfrm>
                          <a:prstGeom prst="straightConnector1">
                            <a:avLst/>
                          </a:prstGeom>
                          <a:noFill/>
                          <a:ln w="9525" cap="flat" cmpd="sng" algn="ctr">
                            <a:solidFill>
                              <a:sysClr val="windowText" lastClr="000000"/>
                            </a:solidFill>
                            <a:prstDash val="solid"/>
                            <a:headEnd type="arrow" w="med" len="med"/>
                            <a:tailEnd type="arrow" w="med" len="med"/>
                          </a:ln>
                          <a:effectLst/>
                        </wps:spPr>
                        <wps:bodyPr/>
                      </wps:wsp>
                      <wps:wsp>
                        <wps:cNvPr id="2542" name="Text Box 63"/>
                        <wps:cNvSpPr txBox="1">
                          <a:spLocks noChangeAspect="1" noChangeArrowheads="1"/>
                        </wps:cNvSpPr>
                        <wps:spPr bwMode="auto">
                          <a:xfrm>
                            <a:off x="3278046" y="3256512"/>
                            <a:ext cx="815395" cy="355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Default="00AA4416" w:rsidP="00A21536">
                              <w:pPr>
                                <w:pStyle w:val="NormalWeb"/>
                                <w:spacing w:after="200"/>
                                <w:textAlignment w:val="baseline"/>
                              </w:pPr>
                              <w:r w:rsidRPr="00C1504E">
                                <w:rPr>
                                  <w:rFonts w:ascii="Arial" w:hAnsi="Arial" w:cs="Arial"/>
                                  <w:color w:val="000000" w:themeColor="text1"/>
                                  <w:kern w:val="24"/>
                                  <w:sz w:val="18"/>
                                  <w:szCs w:val="18"/>
                                  <w:u w:val="single"/>
                                </w:rPr>
                                <w:t>&gt;</w:t>
                              </w:r>
                              <w:r w:rsidRPr="00C1504E">
                                <w:rPr>
                                  <w:rFonts w:ascii="Arial" w:hAnsi="Arial" w:cs="Arial"/>
                                  <w:color w:val="000000" w:themeColor="text1"/>
                                  <w:kern w:val="24"/>
                                  <w:sz w:val="18"/>
                                  <w:szCs w:val="18"/>
                                </w:rPr>
                                <w:t xml:space="preserve"> 6,00 m</w:t>
                              </w:r>
                            </w:p>
                          </w:txbxContent>
                        </wps:txbx>
                        <wps:bodyPr lIns="75888" tIns="37944" rIns="75888" bIns="37944">
                          <a:spAutoFit/>
                        </wps:bodyPr>
                      </wps:wsp>
                      <wps:wsp>
                        <wps:cNvPr id="2543" name="Line 16" descr="Große Konfetti"/>
                        <wps:cNvCnPr/>
                        <wps:spPr bwMode="auto">
                          <a:xfrm rot="2212194">
                            <a:off x="2322513" y="3657600"/>
                            <a:ext cx="38100" cy="50800"/>
                          </a:xfrm>
                          <a:prstGeom prst="line">
                            <a:avLst/>
                          </a:prstGeom>
                          <a:noFill/>
                          <a:ln w="9525">
                            <a:solidFill>
                              <a:srgbClr val="943634"/>
                            </a:solidFill>
                            <a:round/>
                            <a:headEnd/>
                            <a:tailEnd type="triangle" w="med" len="med"/>
                          </a:ln>
                          <a:extLst>
                            <a:ext uri="{909E8E84-426E-40DD-AFC4-6F175D3DCCD1}">
                              <a14:hiddenFill xmlns:a14="http://schemas.microsoft.com/office/drawing/2010/main">
                                <a:noFill/>
                              </a14:hiddenFill>
                            </a:ext>
                          </a:extLst>
                        </wps:spPr>
                        <wps:bodyPr/>
                      </wps:wsp>
                      <wps:wsp>
                        <wps:cNvPr id="2544" name="Line 17" descr="Große Konfetti"/>
                        <wps:cNvCnPr/>
                        <wps:spPr bwMode="auto">
                          <a:xfrm rot="19387806" flipV="1">
                            <a:off x="2320925" y="3763962"/>
                            <a:ext cx="39688" cy="53975"/>
                          </a:xfrm>
                          <a:prstGeom prst="line">
                            <a:avLst/>
                          </a:prstGeom>
                          <a:noFill/>
                          <a:ln w="9525">
                            <a:solidFill>
                              <a:srgbClr val="943634"/>
                            </a:solidFill>
                            <a:round/>
                            <a:headEnd/>
                            <a:tailEnd type="triangle" w="med" len="med"/>
                          </a:ln>
                          <a:extLst>
                            <a:ext uri="{909E8E84-426E-40DD-AFC4-6F175D3DCCD1}">
                              <a14:hiddenFill xmlns:a14="http://schemas.microsoft.com/office/drawing/2010/main">
                                <a:noFill/>
                              </a14:hiddenFill>
                            </a:ext>
                          </a:extLst>
                        </wps:spPr>
                        <wps:bodyPr/>
                      </wps:wsp>
                      <wps:wsp>
                        <wps:cNvPr id="2545" name="Line 16" descr="Große Konfetti"/>
                        <wps:cNvCnPr/>
                        <wps:spPr bwMode="auto">
                          <a:xfrm rot="2212194">
                            <a:off x="6667500" y="3646487"/>
                            <a:ext cx="38100" cy="50800"/>
                          </a:xfrm>
                          <a:prstGeom prst="line">
                            <a:avLst/>
                          </a:prstGeom>
                          <a:noFill/>
                          <a:ln w="9525">
                            <a:solidFill>
                              <a:srgbClr val="943634"/>
                            </a:solidFill>
                            <a:round/>
                            <a:headEnd/>
                            <a:tailEnd type="triangle" w="med" len="med"/>
                          </a:ln>
                          <a:extLst>
                            <a:ext uri="{909E8E84-426E-40DD-AFC4-6F175D3DCCD1}">
                              <a14:hiddenFill xmlns:a14="http://schemas.microsoft.com/office/drawing/2010/main">
                                <a:noFill/>
                              </a14:hiddenFill>
                            </a:ext>
                          </a:extLst>
                        </wps:spPr>
                        <wps:bodyPr/>
                      </wps:wsp>
                      <wps:wsp>
                        <wps:cNvPr id="2546" name="Line 17" descr="Große Konfetti"/>
                        <wps:cNvCnPr/>
                        <wps:spPr bwMode="auto">
                          <a:xfrm rot="19387806" flipV="1">
                            <a:off x="6665913" y="3762375"/>
                            <a:ext cx="39687" cy="53975"/>
                          </a:xfrm>
                          <a:prstGeom prst="line">
                            <a:avLst/>
                          </a:prstGeom>
                          <a:noFill/>
                          <a:ln w="9525">
                            <a:solidFill>
                              <a:srgbClr val="943634"/>
                            </a:solidFill>
                            <a:round/>
                            <a:headEnd/>
                            <a:tailEnd type="triangle" w="med" len="med"/>
                          </a:ln>
                          <a:extLst>
                            <a:ext uri="{909E8E84-426E-40DD-AFC4-6F175D3DCCD1}">
                              <a14:hiddenFill xmlns:a14="http://schemas.microsoft.com/office/drawing/2010/main">
                                <a:noFill/>
                              </a14:hiddenFill>
                            </a:ext>
                          </a:extLst>
                        </wps:spPr>
                        <wps:bodyPr/>
                      </wps:wsp>
                      <wpg:grpSp>
                        <wpg:cNvPr id="2547" name="Group 20"/>
                        <wpg:cNvGrpSpPr>
                          <a:grpSpLocks/>
                        </wpg:cNvGrpSpPr>
                        <wpg:grpSpPr bwMode="auto">
                          <a:xfrm>
                            <a:off x="-1" y="1409700"/>
                            <a:ext cx="2521528" cy="746125"/>
                            <a:chOff x="0" y="1409700"/>
                            <a:chExt cx="3972" cy="1175"/>
                          </a:xfrm>
                        </wpg:grpSpPr>
                        <wps:wsp>
                          <wps:cNvPr id="2548" name="Rectangle 21"/>
                          <wps:cNvSpPr>
                            <a:spLocks noChangeArrowheads="1"/>
                          </wps:cNvSpPr>
                          <wps:spPr bwMode="auto">
                            <a:xfrm>
                              <a:off x="1415" y="1409888"/>
                              <a:ext cx="2112" cy="987"/>
                            </a:xfrm>
                            <a:prstGeom prst="rect">
                              <a:avLst/>
                            </a:prstGeom>
                            <a:solidFill>
                              <a:srgbClr val="FFFFFF"/>
                            </a:solidFill>
                            <a:ln w="9525">
                              <a:solidFill>
                                <a:srgbClr val="000000"/>
                              </a:solidFill>
                              <a:miter lim="800000"/>
                              <a:headEnd/>
                              <a:tailEnd/>
                            </a:ln>
                          </wps:spPr>
                          <wps:bodyPr/>
                        </wps:wsp>
                        <wps:wsp>
                          <wps:cNvPr id="2549" name="Arc 22"/>
                          <wps:cNvSpPr>
                            <a:spLocks/>
                          </wps:cNvSpPr>
                          <wps:spPr bwMode="auto">
                            <a:xfrm rot="10671234" flipV="1">
                              <a:off x="8" y="1409910"/>
                              <a:ext cx="1398" cy="241"/>
                            </a:xfrm>
                            <a:custGeom>
                              <a:avLst/>
                              <a:gdLst>
                                <a:gd name="T0" fmla="*/ 0 w 22687"/>
                                <a:gd name="T1" fmla="*/ 0 h 21600"/>
                                <a:gd name="T2" fmla="*/ 0 w 22687"/>
                                <a:gd name="T3" fmla="*/ 0 h 21600"/>
                                <a:gd name="T4" fmla="*/ 0 w 22687"/>
                                <a:gd name="T5" fmla="*/ 0 h 21600"/>
                                <a:gd name="T6" fmla="*/ 0 60000 65536"/>
                                <a:gd name="T7" fmla="*/ 0 60000 65536"/>
                                <a:gd name="T8" fmla="*/ 0 60000 65536"/>
                                <a:gd name="T9" fmla="*/ 0 w 22687"/>
                                <a:gd name="T10" fmla="*/ 0 h 21600"/>
                                <a:gd name="T11" fmla="*/ 22687 w 22687"/>
                                <a:gd name="T12" fmla="*/ 21600 h 21600"/>
                              </a:gdLst>
                              <a:ahLst/>
                              <a:cxnLst>
                                <a:cxn ang="T6">
                                  <a:pos x="T0" y="T1"/>
                                </a:cxn>
                                <a:cxn ang="T7">
                                  <a:pos x="T2" y="T3"/>
                                </a:cxn>
                                <a:cxn ang="T8">
                                  <a:pos x="T4" y="T5"/>
                                </a:cxn>
                              </a:cxnLst>
                              <a:rect l="T9" t="T10" r="T11" b="T12"/>
                              <a:pathLst>
                                <a:path w="22687" h="21600" fill="none" extrusionOk="0">
                                  <a:moveTo>
                                    <a:pt x="0" y="27"/>
                                  </a:moveTo>
                                  <a:cubicBezTo>
                                    <a:pt x="362" y="9"/>
                                    <a:pt x="724" y="-1"/>
                                    <a:pt x="1087" y="0"/>
                                  </a:cubicBezTo>
                                  <a:cubicBezTo>
                                    <a:pt x="13016" y="0"/>
                                    <a:pt x="22687" y="9670"/>
                                    <a:pt x="22687" y="21600"/>
                                  </a:cubicBezTo>
                                </a:path>
                                <a:path w="22687" h="21600" stroke="0" extrusionOk="0">
                                  <a:moveTo>
                                    <a:pt x="0" y="27"/>
                                  </a:moveTo>
                                  <a:cubicBezTo>
                                    <a:pt x="362" y="9"/>
                                    <a:pt x="724" y="-1"/>
                                    <a:pt x="1087" y="0"/>
                                  </a:cubicBezTo>
                                  <a:cubicBezTo>
                                    <a:pt x="13016" y="0"/>
                                    <a:pt x="22687" y="9670"/>
                                    <a:pt x="22687" y="21600"/>
                                  </a:cubicBezTo>
                                  <a:lnTo>
                                    <a:pt x="1087" y="21600"/>
                                  </a:lnTo>
                                  <a:lnTo>
                                    <a:pt x="0" y="2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2550" name="Arc 23"/>
                          <wps:cNvSpPr>
                            <a:spLocks/>
                          </wps:cNvSpPr>
                          <wps:spPr bwMode="auto">
                            <a:xfrm rot="-10671234">
                              <a:off x="0" y="1410607"/>
                              <a:ext cx="1398" cy="241"/>
                            </a:xfrm>
                            <a:custGeom>
                              <a:avLst/>
                              <a:gdLst>
                                <a:gd name="T0" fmla="*/ 0 w 22687"/>
                                <a:gd name="T1" fmla="*/ 0 h 21600"/>
                                <a:gd name="T2" fmla="*/ 0 w 22687"/>
                                <a:gd name="T3" fmla="*/ 0 h 21600"/>
                                <a:gd name="T4" fmla="*/ 0 w 22687"/>
                                <a:gd name="T5" fmla="*/ 0 h 21600"/>
                                <a:gd name="T6" fmla="*/ 0 60000 65536"/>
                                <a:gd name="T7" fmla="*/ 0 60000 65536"/>
                                <a:gd name="T8" fmla="*/ 0 60000 65536"/>
                                <a:gd name="T9" fmla="*/ 0 w 22687"/>
                                <a:gd name="T10" fmla="*/ 0 h 21600"/>
                                <a:gd name="T11" fmla="*/ 22687 w 22687"/>
                                <a:gd name="T12" fmla="*/ 21600 h 21600"/>
                              </a:gdLst>
                              <a:ahLst/>
                              <a:cxnLst>
                                <a:cxn ang="T6">
                                  <a:pos x="T0" y="T1"/>
                                </a:cxn>
                                <a:cxn ang="T7">
                                  <a:pos x="T2" y="T3"/>
                                </a:cxn>
                                <a:cxn ang="T8">
                                  <a:pos x="T4" y="T5"/>
                                </a:cxn>
                              </a:cxnLst>
                              <a:rect l="T9" t="T10" r="T11" b="T12"/>
                              <a:pathLst>
                                <a:path w="22687" h="21600" fill="none" extrusionOk="0">
                                  <a:moveTo>
                                    <a:pt x="0" y="27"/>
                                  </a:moveTo>
                                  <a:cubicBezTo>
                                    <a:pt x="362" y="9"/>
                                    <a:pt x="724" y="-1"/>
                                    <a:pt x="1087" y="0"/>
                                  </a:cubicBezTo>
                                  <a:cubicBezTo>
                                    <a:pt x="13016" y="0"/>
                                    <a:pt x="22687" y="9670"/>
                                    <a:pt x="22687" y="21600"/>
                                  </a:cubicBezTo>
                                </a:path>
                                <a:path w="22687" h="21600" stroke="0" extrusionOk="0">
                                  <a:moveTo>
                                    <a:pt x="0" y="27"/>
                                  </a:moveTo>
                                  <a:cubicBezTo>
                                    <a:pt x="362" y="9"/>
                                    <a:pt x="724" y="-1"/>
                                    <a:pt x="1087" y="0"/>
                                  </a:cubicBezTo>
                                  <a:cubicBezTo>
                                    <a:pt x="13016" y="0"/>
                                    <a:pt x="22687" y="9670"/>
                                    <a:pt x="22687" y="21600"/>
                                  </a:cubicBezTo>
                                  <a:lnTo>
                                    <a:pt x="1087" y="21600"/>
                                  </a:lnTo>
                                  <a:lnTo>
                                    <a:pt x="0" y="2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2551" name="AutoShape 24"/>
                          <wps:cNvCnPr>
                            <a:cxnSpLocks noChangeShapeType="1"/>
                          </wps:cNvCnPr>
                          <wps:spPr bwMode="auto">
                            <a:xfrm flipH="1">
                              <a:off x="4" y="1410177"/>
                              <a:ext cx="8" cy="4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2" name="Rectangle 25" descr="5%"/>
                          <wps:cNvSpPr>
                            <a:spLocks noChangeArrowheads="1"/>
                          </wps:cNvSpPr>
                          <wps:spPr bwMode="auto">
                            <a:xfrm>
                              <a:off x="1967" y="1409902"/>
                              <a:ext cx="1674" cy="962"/>
                            </a:xfrm>
                            <a:prstGeom prst="rect">
                              <a:avLst/>
                            </a:prstGeom>
                            <a:blipFill dpi="0" rotWithShape="0">
                              <a:blip r:embed="rId2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553" name="Rectangle 26"/>
                          <wps:cNvSpPr>
                            <a:spLocks noChangeArrowheads="1"/>
                          </wps:cNvSpPr>
                          <wps:spPr bwMode="auto">
                            <a:xfrm>
                              <a:off x="1288" y="1410018"/>
                              <a:ext cx="2148" cy="734"/>
                            </a:xfrm>
                            <a:prstGeom prst="rect">
                              <a:avLst/>
                            </a:prstGeom>
                            <a:solidFill>
                              <a:srgbClr val="FFFFFF"/>
                            </a:solidFill>
                            <a:ln w="9525">
                              <a:solidFill>
                                <a:srgbClr val="000000"/>
                              </a:solidFill>
                              <a:miter lim="800000"/>
                              <a:headEnd/>
                              <a:tailEnd/>
                            </a:ln>
                          </wps:spPr>
                          <wps:bodyPr/>
                        </wps:wsp>
                        <wps:wsp>
                          <wps:cNvPr id="2554" name="Rectangle 27"/>
                          <wps:cNvSpPr>
                            <a:spLocks noChangeArrowheads="1"/>
                          </wps:cNvSpPr>
                          <wps:spPr bwMode="auto">
                            <a:xfrm>
                              <a:off x="3255" y="1409986"/>
                              <a:ext cx="231" cy="797"/>
                            </a:xfrm>
                            <a:prstGeom prst="rect">
                              <a:avLst/>
                            </a:prstGeom>
                            <a:solidFill>
                              <a:srgbClr val="FFFFFF"/>
                            </a:solidFill>
                            <a:ln w="38100">
                              <a:solidFill>
                                <a:srgbClr val="5A5A5A"/>
                              </a:solidFill>
                              <a:miter lim="800000"/>
                              <a:headEnd/>
                              <a:tailEnd/>
                            </a:ln>
                          </wps:spPr>
                          <wps:bodyPr/>
                        </wps:wsp>
                        <wps:wsp>
                          <wps:cNvPr id="2555" name="Rectangle 28"/>
                          <wps:cNvSpPr>
                            <a:spLocks noChangeArrowheads="1"/>
                          </wps:cNvSpPr>
                          <wps:spPr bwMode="auto">
                            <a:xfrm>
                              <a:off x="2793" y="1410018"/>
                              <a:ext cx="660" cy="734"/>
                            </a:xfrm>
                            <a:prstGeom prst="rect">
                              <a:avLst/>
                            </a:prstGeom>
                            <a:solidFill>
                              <a:srgbClr val="D8D8D8"/>
                            </a:solidFill>
                            <a:ln w="9525">
                              <a:solidFill>
                                <a:srgbClr val="000000"/>
                              </a:solidFill>
                              <a:miter lim="800000"/>
                              <a:headEnd/>
                              <a:tailEnd/>
                            </a:ln>
                          </wps:spPr>
                          <wps:bodyPr/>
                        </wps:wsp>
                        <wps:wsp>
                          <wps:cNvPr id="2556" name="AutoShape 29"/>
                          <wps:cNvSpPr>
                            <a:spLocks noChangeArrowheads="1"/>
                          </wps:cNvSpPr>
                          <wps:spPr bwMode="auto">
                            <a:xfrm rot="5400000">
                              <a:off x="585" y="1410003"/>
                              <a:ext cx="736" cy="764"/>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4490 w 21600"/>
                                <a:gd name="T13" fmla="*/ 4495 h 21600"/>
                                <a:gd name="T14" fmla="*/ 17110 w 21600"/>
                                <a:gd name="T15" fmla="*/ 17105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wps:wsp>
                        <wps:wsp>
                          <wps:cNvPr id="2557" name="Rectangle 30"/>
                          <wps:cNvSpPr>
                            <a:spLocks noChangeAspect="1" noChangeArrowheads="1"/>
                          </wps:cNvSpPr>
                          <wps:spPr bwMode="auto">
                            <a:xfrm>
                              <a:off x="1323" y="1410034"/>
                              <a:ext cx="75" cy="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wps:wsp>
                        <wps:wsp>
                          <wps:cNvPr id="2558" name="Rectangle 31"/>
                          <wps:cNvSpPr>
                            <a:spLocks noChangeArrowheads="1"/>
                          </wps:cNvSpPr>
                          <wps:spPr bwMode="auto">
                            <a:xfrm>
                              <a:off x="1306" y="1409902"/>
                              <a:ext cx="257" cy="1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wps:wsp>
                        <wps:wsp>
                          <wps:cNvPr id="2559" name="Text Box 32"/>
                          <wps:cNvSpPr txBox="1">
                            <a:spLocks noChangeArrowheads="1"/>
                          </wps:cNvSpPr>
                          <wps:spPr bwMode="auto">
                            <a:xfrm>
                              <a:off x="2552" y="1410090"/>
                              <a:ext cx="1420"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Default="00AA4416" w:rsidP="00A21536">
                                <w:pPr>
                                  <w:pStyle w:val="NormalWeb"/>
                                  <w:spacing w:after="200"/>
                                  <w:textAlignment w:val="baseline"/>
                                </w:pPr>
                                <w:r w:rsidRPr="00C1504E">
                                  <w:rPr>
                                    <w:rFonts w:ascii="Arial" w:hAnsi="Arial" w:cs="Arial"/>
                                    <w:color w:val="000000" w:themeColor="text1"/>
                                    <w:kern w:val="24"/>
                                    <w:sz w:val="12"/>
                                    <w:szCs w:val="12"/>
                                  </w:rPr>
                                  <w:t>Bewegliches</w:t>
                                </w:r>
                                <w:r w:rsidRPr="00C1504E">
                                  <w:rPr>
                                    <w:rFonts w:ascii="Arial" w:hAnsi="Arial" w:cs="Arial"/>
                                    <w:color w:val="000000" w:themeColor="text1"/>
                                    <w:kern w:val="24"/>
                                    <w:sz w:val="12"/>
                                    <w:szCs w:val="12"/>
                                  </w:rPr>
                                  <w:br/>
                                  <w:t>Steuerhaus</w:t>
                                </w:r>
                              </w:p>
                            </w:txbxContent>
                          </wps:txbx>
                          <wps:bodyPr/>
                        </wps:wsp>
                        <wpg:grpSp>
                          <wpg:cNvPr id="2560" name="Group 33"/>
                          <wpg:cNvGrpSpPr>
                            <a:grpSpLocks/>
                          </wpg:cNvGrpSpPr>
                          <wpg:grpSpPr bwMode="auto">
                            <a:xfrm>
                              <a:off x="3253" y="1409700"/>
                              <a:ext cx="183" cy="135"/>
                              <a:chOff x="3253" y="1409700"/>
                              <a:chExt cx="183" cy="135"/>
                            </a:xfrm>
                          </wpg:grpSpPr>
                          <wps:wsp>
                            <wps:cNvPr id="2561" name="Line 34"/>
                            <wps:cNvCnPr/>
                            <wps:spPr bwMode="auto">
                              <a:xfrm rot="7612194">
                                <a:off x="3277" y="1409676"/>
                                <a:ext cx="135" cy="183"/>
                              </a:xfrm>
                              <a:prstGeom prst="line">
                                <a:avLst/>
                              </a:prstGeom>
                              <a:noFill/>
                              <a:ln w="9525">
                                <a:solidFill>
                                  <a:sysClr val="windowText" lastClr="000000">
                                    <a:lumMod val="65000"/>
                                    <a:lumOff val="35000"/>
                                  </a:sysClr>
                                </a:solidFill>
                                <a:round/>
                                <a:headEnd type="triangle" w="med" len="med"/>
                                <a:tailEnd type="triangle" w="med" len="med"/>
                              </a:ln>
                            </wps:spPr>
                            <wps:bodyPr/>
                          </wps:wsp>
                        </wpg:grpSp>
                        <wps:wsp>
                          <wps:cNvPr id="2562" name="Rectangle 35"/>
                          <wps:cNvSpPr>
                            <a:spLocks noChangeArrowheads="1"/>
                          </wps:cNvSpPr>
                          <wps:spPr bwMode="auto">
                            <a:xfrm>
                              <a:off x="1306" y="1410794"/>
                              <a:ext cx="291"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wps:wsp>
                      </wpg:grpSp>
                      <wps:wsp>
                        <wps:cNvPr id="2563" name="Text Box 36"/>
                        <wps:cNvSpPr txBox="1">
                          <a:spLocks noChangeAspect="1" noChangeArrowheads="1"/>
                        </wps:cNvSpPr>
                        <wps:spPr bwMode="auto">
                          <a:xfrm>
                            <a:off x="59094" y="2397596"/>
                            <a:ext cx="2779799" cy="417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Pr="00DD6C7A" w:rsidRDefault="00AA4416" w:rsidP="00A21536">
                              <w:pPr>
                                <w:pStyle w:val="NormalWeb"/>
                                <w:spacing w:after="200"/>
                                <w:textAlignment w:val="baseline"/>
                                <w:rPr>
                                  <w:lang w:val="de-DE"/>
                                </w:rPr>
                              </w:pPr>
                              <w:r w:rsidRPr="00BA6439">
                                <w:rPr>
                                  <w:rFonts w:ascii="Verdana" w:hAnsi="Verdana" w:cs="Arial"/>
                                  <w:color w:val="000000"/>
                                  <w:kern w:val="24"/>
                                  <w:sz w:val="16"/>
                                  <w:szCs w:val="16"/>
                                  <w:lang w:val="de-DE"/>
                                </w:rPr>
                                <w:t>Schutzwand;  gas- und flüssigkeitsdicht,</w:t>
                              </w:r>
                              <w:r>
                                <w:rPr>
                                  <w:rFonts w:ascii="Verdana" w:hAnsi="Verdana" w:cs="Arial"/>
                                  <w:color w:val="000000"/>
                                  <w:kern w:val="24"/>
                                  <w:sz w:val="16"/>
                                  <w:szCs w:val="16"/>
                                  <w:lang w:val="de-DE"/>
                                </w:rPr>
                                <w:br/>
                              </w:r>
                              <w:r w:rsidRPr="00BA6439">
                                <w:rPr>
                                  <w:rFonts w:ascii="Verdana" w:hAnsi="Verdana" w:cs="Arial"/>
                                  <w:color w:val="000000"/>
                                  <w:kern w:val="24"/>
                                  <w:sz w:val="16"/>
                                  <w:szCs w:val="16"/>
                                  <w:lang w:val="de-DE"/>
                                </w:rPr>
                                <w:t xml:space="preserve">h: </w:t>
                              </w:r>
                              <w:r w:rsidRPr="00597467">
                                <w:rPr>
                                  <w:rFonts w:ascii="Verdana" w:hAnsi="Verdana" w:cstheme="minorBidi"/>
                                  <w:color w:val="000000"/>
                                  <w:kern w:val="24"/>
                                  <w:sz w:val="18"/>
                                  <w:szCs w:val="18"/>
                                  <w:u w:val="single"/>
                                  <w:lang w:val="de-DE"/>
                                </w:rPr>
                                <w:t>&gt;</w:t>
                              </w:r>
                              <w:r w:rsidRPr="00BA6439">
                                <w:rPr>
                                  <w:rFonts w:ascii="Verdana" w:hAnsi="Verdana" w:cs="Arial"/>
                                  <w:color w:val="000000"/>
                                  <w:kern w:val="24"/>
                                  <w:sz w:val="16"/>
                                  <w:szCs w:val="16"/>
                                  <w:lang w:val="de-DE"/>
                                </w:rPr>
                                <w:t xml:space="preserve"> 1,0</w:t>
                              </w:r>
                              <w:r>
                                <w:rPr>
                                  <w:rFonts w:ascii="Verdana" w:hAnsi="Verdana" w:cs="Arial"/>
                                  <w:color w:val="000000"/>
                                  <w:kern w:val="24"/>
                                  <w:sz w:val="16"/>
                                  <w:szCs w:val="16"/>
                                  <w:lang w:val="de-DE"/>
                                </w:rPr>
                                <w:t>0</w:t>
                              </w:r>
                              <w:r w:rsidRPr="00BA6439">
                                <w:rPr>
                                  <w:rFonts w:ascii="Verdana" w:hAnsi="Verdana" w:cs="Arial"/>
                                  <w:color w:val="000000"/>
                                  <w:kern w:val="24"/>
                                  <w:sz w:val="16"/>
                                  <w:szCs w:val="16"/>
                                  <w:lang w:val="de-DE"/>
                                </w:rPr>
                                <w:t xml:space="preserve"> m über anschließendem Ladetankdeck</w:t>
                              </w:r>
                              <w:r w:rsidRPr="00DD6C7A">
                                <w:rPr>
                                  <w:rFonts w:ascii="Verdana" w:hAnsi="Verdana" w:cs="Arial"/>
                                  <w:color w:val="000000"/>
                                  <w:kern w:val="24"/>
                                  <w:sz w:val="16"/>
                                  <w:szCs w:val="16"/>
                                  <w:lang w:val="de-DE"/>
                                </w:rPr>
                                <w:t xml:space="preserve"> </w:t>
                              </w:r>
                            </w:p>
                          </w:txbxContent>
                        </wps:txbx>
                        <wps:bodyPr lIns="75888" tIns="37944" rIns="75888" bIns="37944"/>
                      </wps:wsp>
                      <wps:wsp>
                        <wps:cNvPr id="2564" name="Line 100"/>
                        <wps:cNvCnPr/>
                        <wps:spPr bwMode="auto">
                          <a:xfrm>
                            <a:off x="1541463" y="2678112"/>
                            <a:ext cx="669925" cy="8763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565" name="Gerade Verbindung 503"/>
                        <wps:cNvCnPr/>
                        <wps:spPr>
                          <a:xfrm>
                            <a:off x="2233813" y="1006475"/>
                            <a:ext cx="12701" cy="3670300"/>
                          </a:xfrm>
                          <a:prstGeom prst="line">
                            <a:avLst/>
                          </a:prstGeom>
                          <a:noFill/>
                          <a:ln w="9525" cap="flat" cmpd="sng" algn="ctr">
                            <a:solidFill>
                              <a:srgbClr val="1F497D"/>
                            </a:solidFill>
                            <a:prstDash val="dash"/>
                          </a:ln>
                          <a:effectLst/>
                        </wps:spPr>
                        <wps:bodyPr/>
                      </wps:wsp>
                      <wps:wsp>
                        <wps:cNvPr id="2566" name="Gerade Verbindung 505"/>
                        <wps:cNvCnPr/>
                        <wps:spPr>
                          <a:xfrm>
                            <a:off x="6798285" y="2679700"/>
                            <a:ext cx="23815" cy="1922462"/>
                          </a:xfrm>
                          <a:prstGeom prst="line">
                            <a:avLst/>
                          </a:prstGeom>
                          <a:noFill/>
                          <a:ln w="9525" cap="flat" cmpd="sng" algn="ctr">
                            <a:solidFill>
                              <a:srgbClr val="1F497D"/>
                            </a:solidFill>
                            <a:prstDash val="dash"/>
                          </a:ln>
                          <a:effectLst/>
                        </wps:spPr>
                        <wps:bodyPr/>
                      </wps:wsp>
                      <wps:wsp>
                        <wps:cNvPr id="2567" name="Line 100"/>
                        <wps:cNvCnPr/>
                        <wps:spPr bwMode="auto">
                          <a:xfrm>
                            <a:off x="2381250" y="3771900"/>
                            <a:ext cx="1400175" cy="925512"/>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568" name="Line 100"/>
                        <wps:cNvCnPr/>
                        <wps:spPr bwMode="auto">
                          <a:xfrm flipH="1">
                            <a:off x="5362575" y="3738562"/>
                            <a:ext cx="1289050" cy="94615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569" name="Text Box 63"/>
                        <wps:cNvSpPr txBox="1">
                          <a:spLocks noChangeAspect="1" noChangeArrowheads="1"/>
                        </wps:cNvSpPr>
                        <wps:spPr bwMode="auto">
                          <a:xfrm>
                            <a:off x="2425812" y="3100172"/>
                            <a:ext cx="596942" cy="365378"/>
                          </a:xfrm>
                          <a:prstGeom prst="rect">
                            <a:avLst/>
                          </a:prstGeom>
                          <a:noFill/>
                          <a:ln w="9525">
                            <a:noFill/>
                            <a:miter lim="800000"/>
                            <a:headEnd/>
                            <a:tailEnd/>
                          </a:ln>
                        </wps:spPr>
                        <wps:txbx>
                          <w:txbxContent>
                            <w:p w:rsidR="00AA4416" w:rsidRDefault="00AA4416" w:rsidP="00A21536">
                              <w:pPr>
                                <w:pStyle w:val="NormalWeb"/>
                                <w:spacing w:after="200"/>
                                <w:textAlignment w:val="baseline"/>
                              </w:pPr>
                              <w:r w:rsidRPr="00C1504E">
                                <w:rPr>
                                  <w:rFonts w:ascii="Arial" w:hAnsi="Arial" w:cstheme="minorBidi"/>
                                  <w:color w:val="5F497A" w:themeColor="accent4" w:themeShade="BF"/>
                                  <w:kern w:val="24"/>
                                  <w:sz w:val="18"/>
                                  <w:szCs w:val="18"/>
                                </w:rPr>
                                <w:t>1,00 m</w:t>
                              </w:r>
                            </w:p>
                          </w:txbxContent>
                        </wps:txbx>
                        <wps:bodyPr lIns="75888" tIns="37944" rIns="75888" bIns="37944">
                          <a:spAutoFit/>
                        </wps:bodyPr>
                      </wps:wsp>
                      <wps:wsp>
                        <wps:cNvPr id="2570" name="Gerade Verbindung mit Pfeil 65"/>
                        <wps:cNvCnPr/>
                        <wps:spPr>
                          <a:xfrm flipV="1">
                            <a:off x="2497362" y="3346450"/>
                            <a:ext cx="131774" cy="1587"/>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s:wsp>
                        <wps:cNvPr id="2571" name="Gerade Verbindung mit Pfeil 66"/>
                        <wps:cNvCnPr/>
                        <wps:spPr>
                          <a:xfrm flipH="1" flipV="1">
                            <a:off x="2213173" y="3343275"/>
                            <a:ext cx="130187" cy="1587"/>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s:wsp>
                        <wps:cNvPr id="2572" name="Line 100"/>
                        <wps:cNvCnPr/>
                        <wps:spPr bwMode="auto">
                          <a:xfrm flipV="1">
                            <a:off x="4500563" y="1849437"/>
                            <a:ext cx="1163637" cy="1655763"/>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573" name="AutoShape 68"/>
                        <wps:cNvSpPr>
                          <a:spLocks noChangeAspect="1" noChangeArrowheads="1"/>
                        </wps:cNvSpPr>
                        <wps:spPr bwMode="auto">
                          <a:xfrm rot="5400000">
                            <a:off x="5155407" y="3629818"/>
                            <a:ext cx="1244600" cy="176213"/>
                          </a:xfrm>
                          <a:prstGeom prst="wave">
                            <a:avLst>
                              <a:gd name="adj1" fmla="val 13005"/>
                              <a:gd name="adj2" fmla="val 0"/>
                            </a:avLst>
                          </a:prstGeom>
                          <a:solidFill>
                            <a:srgbClr val="FFFFFF"/>
                          </a:solidFill>
                          <a:ln w="9525">
                            <a:solidFill>
                              <a:srgbClr val="000000"/>
                            </a:solidFill>
                            <a:prstDash val="sysDot"/>
                            <a:round/>
                            <a:headEnd/>
                            <a:tailEnd/>
                          </a:ln>
                        </wps:spPr>
                        <wps:bodyPr wrap="none" anchor="ctr"/>
                      </wps:wsp>
                      <wps:wsp>
                        <wps:cNvPr id="2574" name="Line 10"/>
                        <wps:cNvCnPr/>
                        <wps:spPr bwMode="auto">
                          <a:xfrm flipH="1">
                            <a:off x="8172450" y="3843337"/>
                            <a:ext cx="153988"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75" name="Gerade Verbindung 221"/>
                        <wps:cNvCnPr/>
                        <wps:spPr>
                          <a:xfrm>
                            <a:off x="1784510" y="3478212"/>
                            <a:ext cx="466767" cy="0"/>
                          </a:xfrm>
                          <a:prstGeom prst="line">
                            <a:avLst/>
                          </a:prstGeom>
                          <a:noFill/>
                          <a:ln w="9525" cap="flat" cmpd="sng" algn="ctr">
                            <a:solidFill>
                              <a:sysClr val="windowText" lastClr="000000"/>
                            </a:solidFill>
                            <a:prstDash val="lgDash"/>
                          </a:ln>
                          <a:effectLst/>
                        </wps:spPr>
                        <wps:bodyPr/>
                      </wps:wsp>
                      <wps:wsp>
                        <wps:cNvPr id="2576" name="Rectangle 15" descr="5%"/>
                        <wps:cNvSpPr>
                          <a:spLocks noChangeAspect="1" noChangeArrowheads="1"/>
                        </wps:cNvSpPr>
                        <wps:spPr bwMode="auto">
                          <a:xfrm>
                            <a:off x="2079625" y="3559175"/>
                            <a:ext cx="158750" cy="176212"/>
                          </a:xfrm>
                          <a:prstGeom prst="rect">
                            <a:avLst/>
                          </a:prstGeom>
                          <a:blipFill dpi="0" rotWithShape="0">
                            <a:blip r:embed="rId22"/>
                            <a:srcRect/>
                            <a:tile tx="0" ty="0" sx="100000" sy="100000" flip="none" algn="tl"/>
                          </a:blipFill>
                          <a:ln w="9525">
                            <a:solidFill>
                              <a:srgbClr val="7F7F7F"/>
                            </a:solidFill>
                            <a:miter lim="800000"/>
                            <a:headEnd/>
                            <a:tailEnd/>
                          </a:ln>
                        </wps:spPr>
                        <wps:bodyPr wrap="none" anchor="ctr"/>
                      </wps:wsp>
                      <wpg:grpSp>
                        <wpg:cNvPr id="2577" name="Gruppieren 72"/>
                        <wpg:cNvGrpSpPr>
                          <a:grpSpLocks/>
                        </wpg:cNvGrpSpPr>
                        <wpg:grpSpPr bwMode="auto">
                          <a:xfrm>
                            <a:off x="1747838" y="3208337"/>
                            <a:ext cx="566737" cy="411163"/>
                            <a:chOff x="1747838" y="3208337"/>
                            <a:chExt cx="565789" cy="411730"/>
                          </a:xfrm>
                        </wpg:grpSpPr>
                        <wpg:grpSp>
                          <wpg:cNvPr id="2578" name="Gruppieren 94"/>
                          <wpg:cNvGrpSpPr>
                            <a:grpSpLocks/>
                          </wpg:cNvGrpSpPr>
                          <wpg:grpSpPr bwMode="auto">
                            <a:xfrm>
                              <a:off x="1747838" y="3208337"/>
                              <a:ext cx="565789" cy="407409"/>
                              <a:chOff x="1747838" y="3208337"/>
                              <a:chExt cx="565789" cy="407409"/>
                            </a:xfrm>
                          </wpg:grpSpPr>
                          <wps:wsp>
                            <wps:cNvPr id="2579" name="Line 84"/>
                            <wps:cNvCnPr/>
                            <wps:spPr bwMode="auto">
                              <a:xfrm flipV="1">
                                <a:off x="1747838" y="3208337"/>
                                <a:ext cx="565789" cy="2733"/>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2580" name="Line 85"/>
                            <wps:cNvCnPr/>
                            <wps:spPr bwMode="auto">
                              <a:xfrm>
                                <a:off x="1747838" y="3208337"/>
                                <a:ext cx="2773" cy="18580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2581" name="Line 86"/>
                            <wps:cNvCnPr/>
                            <wps:spPr bwMode="auto">
                              <a:xfrm rot="120000" flipH="1">
                                <a:off x="2243956" y="3211222"/>
                                <a:ext cx="63789" cy="210392"/>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2582" name="Line 88"/>
                            <wps:cNvCnPr/>
                            <wps:spPr bwMode="auto">
                              <a:xfrm>
                                <a:off x="1782707" y="3409284"/>
                                <a:ext cx="0" cy="206462"/>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g:grpSp>
                        <wpg:grpSp>
                          <wpg:cNvPr id="2583" name="Gruppieren 95"/>
                          <wpg:cNvGrpSpPr>
                            <a:grpSpLocks/>
                          </wpg:cNvGrpSpPr>
                          <wpg:grpSpPr bwMode="auto">
                            <a:xfrm>
                              <a:off x="1755355" y="3393437"/>
                              <a:ext cx="499699" cy="226630"/>
                              <a:chOff x="1755355" y="3393437"/>
                              <a:chExt cx="499699" cy="226630"/>
                            </a:xfrm>
                          </wpg:grpSpPr>
                          <wps:wsp>
                            <wps:cNvPr id="2584" name="Line 83"/>
                            <wps:cNvCnPr/>
                            <wps:spPr bwMode="auto">
                              <a:xfrm rot="21120000" flipH="1">
                                <a:off x="2226216" y="3405830"/>
                                <a:ext cx="28838" cy="214237"/>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2585" name="Line 89"/>
                            <wps:cNvCnPr/>
                            <wps:spPr bwMode="auto">
                              <a:xfrm>
                                <a:off x="1755355" y="3393437"/>
                                <a:ext cx="22188"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g:grpSp>
                        <wps:wsp>
                          <wps:cNvPr id="2586" name="Rectangle 24" descr="Horizontal hell"/>
                          <wps:cNvSpPr>
                            <a:spLocks noChangeAspect="1" noChangeArrowheads="1"/>
                          </wps:cNvSpPr>
                          <wps:spPr bwMode="auto">
                            <a:xfrm>
                              <a:off x="1833417" y="3273388"/>
                              <a:ext cx="325735" cy="64770"/>
                            </a:xfrm>
                            <a:prstGeom prst="rect">
                              <a:avLst/>
                            </a:prstGeom>
                            <a:blipFill dpi="0" rotWithShape="0">
                              <a:blip r:embed="rId18"/>
                              <a:srcRect/>
                              <a:tile tx="0" ty="0" sx="100000" sy="100000" flip="none" algn="tl"/>
                            </a:blipFill>
                            <a:ln w="9525">
                              <a:solidFill>
                                <a:sysClr val="windowText" lastClr="000000"/>
                              </a:solidFill>
                              <a:miter lim="800000"/>
                              <a:headEnd/>
                              <a:tailEnd/>
                            </a:ln>
                          </wps:spPr>
                          <wps:bodyPr wrap="none" anchor="ctr"/>
                        </wps:wsp>
                      </wpg:grpSp>
                      <wpg:grpSp>
                        <wpg:cNvPr id="2587" name="Gruppieren 73"/>
                        <wpg:cNvGrpSpPr>
                          <a:grpSpLocks/>
                        </wpg:cNvGrpSpPr>
                        <wpg:grpSpPr bwMode="auto">
                          <a:xfrm>
                            <a:off x="1847935" y="3397022"/>
                            <a:ext cx="595037" cy="365379"/>
                            <a:chOff x="1847936" y="3397016"/>
                            <a:chExt cx="595640" cy="364074"/>
                          </a:xfrm>
                        </wpg:grpSpPr>
                        <wps:wsp>
                          <wps:cNvPr id="2588" name="Text Box 63"/>
                          <wps:cNvSpPr txBox="1">
                            <a:spLocks noChangeAspect="1" noChangeArrowheads="1"/>
                          </wps:cNvSpPr>
                          <wps:spPr bwMode="auto">
                            <a:xfrm>
                              <a:off x="1847936" y="3397016"/>
                              <a:ext cx="595640" cy="364074"/>
                            </a:xfrm>
                            <a:prstGeom prst="rect">
                              <a:avLst/>
                            </a:prstGeom>
                            <a:noFill/>
                            <a:ln w="9525">
                              <a:noFill/>
                              <a:miter lim="800000"/>
                              <a:headEnd/>
                              <a:tailEnd/>
                            </a:ln>
                          </wps:spPr>
                          <wps:txbx>
                            <w:txbxContent>
                              <w:p w:rsidR="00AA4416" w:rsidRDefault="00AA4416" w:rsidP="00A21536">
                                <w:pPr>
                                  <w:pStyle w:val="NormalWeb"/>
                                  <w:spacing w:after="200"/>
                                  <w:textAlignment w:val="baseline"/>
                                </w:pPr>
                                <w:r w:rsidRPr="00C1504E">
                                  <w:rPr>
                                    <w:rFonts w:ascii="Arial" w:hAnsi="Arial" w:cstheme="minorBidi"/>
                                    <w:color w:val="595959" w:themeColor="text1" w:themeTint="A6"/>
                                    <w:kern w:val="24"/>
                                    <w:sz w:val="18"/>
                                    <w:szCs w:val="18"/>
                                    <w:u w:val="single"/>
                                  </w:rPr>
                                  <w:t>&gt;</w:t>
                                </w:r>
                                <w:r w:rsidRPr="00C1504E">
                                  <w:rPr>
                                    <w:rFonts w:ascii="Arial" w:hAnsi="Arial" w:cstheme="minorBidi"/>
                                    <w:color w:val="595959" w:themeColor="text1" w:themeTint="A6"/>
                                    <w:kern w:val="24"/>
                                    <w:sz w:val="18"/>
                                    <w:szCs w:val="18"/>
                                  </w:rPr>
                                  <w:t>1,00 m</w:t>
                                </w:r>
                              </w:p>
                            </w:txbxContent>
                          </wps:txbx>
                          <wps:bodyPr lIns="75888" tIns="37944" rIns="75888" bIns="37944">
                            <a:spAutoFit/>
                          </wps:bodyPr>
                        </wps:wsp>
                        <wps:wsp>
                          <wps:cNvPr id="2589" name="Gerade Verbindung mit Pfeil 93"/>
                          <wps:cNvCnPr/>
                          <wps:spPr bwMode="auto">
                            <a:xfrm flipH="1" flipV="1">
                              <a:off x="1962442" y="3602889"/>
                              <a:ext cx="130318" cy="14236"/>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g:grpSp>
                      <wps:wsp>
                        <wps:cNvPr id="2590" name="Textfeld 2"/>
                        <wps:cNvSpPr txBox="1">
                          <a:spLocks noChangeArrowheads="1"/>
                        </wps:cNvSpPr>
                        <wps:spPr bwMode="auto">
                          <a:xfrm>
                            <a:off x="3828091" y="5021619"/>
                            <a:ext cx="1403430" cy="244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Default="00AA4416" w:rsidP="00A21536">
                              <w:pPr>
                                <w:pStyle w:val="NormalWeb"/>
                                <w:kinsoku w:val="0"/>
                                <w:overflowPunct w:val="0"/>
                                <w:textAlignment w:val="baseline"/>
                              </w:pPr>
                              <w:r w:rsidRPr="00C1504E">
                                <w:rPr>
                                  <w:rFonts w:ascii="Verdana" w:hAnsi="Verdana" w:cs="Arial"/>
                                  <w:color w:val="000000" w:themeColor="text1"/>
                                  <w:kern w:val="24"/>
                                  <w:sz w:val="16"/>
                                  <w:szCs w:val="16"/>
                                </w:rPr>
                                <w:t>äußeres Ladetankschott</w:t>
                              </w:r>
                            </w:p>
                          </w:txbxContent>
                        </wps:txbx>
                        <wps:bodyPr wrap="none">
                          <a:spAutoFit/>
                        </wps:bodyPr>
                      </wps:wsp>
                      <wps:wsp>
                        <wps:cNvPr id="2591" name="Line 100"/>
                        <wps:cNvCnPr/>
                        <wps:spPr bwMode="auto">
                          <a:xfrm flipH="1">
                            <a:off x="5111750" y="4014787"/>
                            <a:ext cx="1577975" cy="1096963"/>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592" name="Line 100"/>
                        <wps:cNvCnPr/>
                        <wps:spPr bwMode="auto">
                          <a:xfrm flipH="1">
                            <a:off x="5105400" y="4195762"/>
                            <a:ext cx="1708150" cy="11811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593" name="Line 100"/>
                        <wps:cNvCnPr/>
                        <wps:spPr bwMode="auto">
                          <a:xfrm>
                            <a:off x="2247900" y="4186237"/>
                            <a:ext cx="1708150" cy="11811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594" name="Line 100"/>
                        <wps:cNvCnPr/>
                        <wps:spPr bwMode="auto">
                          <a:xfrm>
                            <a:off x="2341563" y="4005262"/>
                            <a:ext cx="1568450" cy="1077913"/>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595" name="Gerader Verbinder 79"/>
                        <wps:cNvCnPr/>
                        <wps:spPr>
                          <a:xfrm flipH="1">
                            <a:off x="1690840" y="3414712"/>
                            <a:ext cx="3175" cy="323850"/>
                          </a:xfrm>
                          <a:prstGeom prst="line">
                            <a:avLst/>
                          </a:prstGeom>
                          <a:noFill/>
                          <a:ln w="9525" cap="flat" cmpd="sng" algn="ctr">
                            <a:solidFill>
                              <a:sysClr val="windowText" lastClr="000000">
                                <a:shade val="95000"/>
                                <a:satMod val="105000"/>
                              </a:sysClr>
                            </a:solidFill>
                            <a:prstDash val="solid"/>
                          </a:ln>
                          <a:effectLst/>
                        </wps:spPr>
                        <wps:bodyPr/>
                      </wps:wsp>
                      <wps:wsp>
                        <wps:cNvPr id="2596" name="Rectangle 15" descr="5%"/>
                        <wps:cNvSpPr>
                          <a:spLocks noChangeAspect="1" noChangeArrowheads="1"/>
                        </wps:cNvSpPr>
                        <wps:spPr bwMode="auto">
                          <a:xfrm>
                            <a:off x="6812229" y="3586907"/>
                            <a:ext cx="158750" cy="176212"/>
                          </a:xfrm>
                          <a:prstGeom prst="rect">
                            <a:avLst/>
                          </a:prstGeom>
                          <a:blipFill dpi="0" rotWithShape="0">
                            <a:blip r:embed="rId22"/>
                            <a:srcRect/>
                            <a:tile tx="0" ty="0" sx="100000" sy="100000" flip="none" algn="tl"/>
                          </a:blipFill>
                          <a:ln w="9525">
                            <a:solidFill>
                              <a:srgbClr val="7F7F7F"/>
                            </a:solidFill>
                            <a:miter lim="800000"/>
                            <a:headEnd/>
                            <a:tailEnd/>
                          </a:ln>
                        </wps:spPr>
                        <wps:bodyPr wrap="none" anchor="ctr"/>
                      </wps:wsp>
                      <wps:wsp>
                        <wps:cNvPr id="2597" name="Gerade Verbindung mit Pfeil 82"/>
                        <wps:cNvCnPr/>
                        <wps:spPr bwMode="auto">
                          <a:xfrm flipV="1">
                            <a:off x="2240164" y="3594100"/>
                            <a:ext cx="142888" cy="14287"/>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g:grpSp>
                        <wpg:cNvPr id="2598" name="Gruppieren 83"/>
                        <wpg:cNvGrpSpPr>
                          <a:grpSpLocks/>
                        </wpg:cNvGrpSpPr>
                        <wpg:grpSpPr bwMode="auto">
                          <a:xfrm>
                            <a:off x="7281871" y="5553081"/>
                            <a:ext cx="1101346" cy="267114"/>
                            <a:chOff x="7281863" y="5553075"/>
                            <a:chExt cx="1101077" cy="266332"/>
                          </a:xfrm>
                        </wpg:grpSpPr>
                        <wps:wsp>
                          <wps:cNvPr id="2599" name="Rectangle 220" descr="Kugeln"/>
                          <wps:cNvSpPr>
                            <a:spLocks noChangeArrowheads="1"/>
                          </wps:cNvSpPr>
                          <wps:spPr bwMode="auto">
                            <a:xfrm>
                              <a:off x="7281863" y="5612784"/>
                              <a:ext cx="269875" cy="166687"/>
                            </a:xfrm>
                            <a:prstGeom prst="rect">
                              <a:avLst/>
                            </a:prstGeom>
                            <a:blipFill dpi="0" rotWithShape="0">
                              <a:blip r:embed="rId23"/>
                              <a:srcRect/>
                              <a:tile tx="0" ty="0" sx="100000" sy="100000" flip="none" algn="tl"/>
                            </a:blipFill>
                            <a:ln w="9525">
                              <a:solidFill>
                                <a:srgbClr val="548DD4"/>
                              </a:solidFill>
                              <a:miter lim="800000"/>
                              <a:headEnd/>
                              <a:tailEnd/>
                            </a:ln>
                          </wps:spPr>
                          <wps:bodyPr/>
                        </wps:wsp>
                        <wps:wsp>
                          <wps:cNvPr id="2600" name="Textfeld 5"/>
                          <wps:cNvSpPr txBox="1">
                            <a:spLocks noChangeArrowheads="1"/>
                          </wps:cNvSpPr>
                          <wps:spPr bwMode="auto">
                            <a:xfrm>
                              <a:off x="7713143" y="5553075"/>
                              <a:ext cx="669797" cy="266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Default="00AA4416" w:rsidP="00A21536">
                                <w:pPr>
                                  <w:pStyle w:val="NormalWeb"/>
                                  <w:kinsoku w:val="0"/>
                                  <w:overflowPunct w:val="0"/>
                                  <w:textAlignment w:val="baseline"/>
                                </w:pPr>
                                <w:r w:rsidRPr="00C1504E">
                                  <w:rPr>
                                    <w:rFonts w:ascii="Arial" w:hAnsi="Arial" w:cs="Arial"/>
                                    <w:color w:val="000000" w:themeColor="text1"/>
                                    <w:kern w:val="24"/>
                                  </w:rPr>
                                  <w:t>Zone 0</w:t>
                                </w:r>
                              </w:p>
                            </w:txbxContent>
                          </wps:txbx>
                          <wps:bodyPr>
                            <a:spAutoFit/>
                          </wps:bodyPr>
                        </wps:wsp>
                      </wpg:grpSp>
                      <wpg:grpSp>
                        <wpg:cNvPr id="2601" name="Gruppieren 84"/>
                        <wpg:cNvGrpSpPr>
                          <a:grpSpLocks/>
                        </wpg:cNvGrpSpPr>
                        <wpg:grpSpPr bwMode="auto">
                          <a:xfrm>
                            <a:off x="7296149" y="5822944"/>
                            <a:ext cx="1069718" cy="267148"/>
                            <a:chOff x="7296150" y="5822910"/>
                            <a:chExt cx="1069330" cy="267895"/>
                          </a:xfrm>
                        </wpg:grpSpPr>
                        <wps:wsp>
                          <wps:cNvPr id="2602" name="Rectangle 221" descr="50%"/>
                          <wps:cNvSpPr>
                            <a:spLocks noChangeArrowheads="1"/>
                          </wps:cNvSpPr>
                          <wps:spPr bwMode="auto">
                            <a:xfrm>
                              <a:off x="7296150" y="5876103"/>
                              <a:ext cx="269875" cy="165100"/>
                            </a:xfrm>
                            <a:prstGeom prst="rect">
                              <a:avLst/>
                            </a:prstGeom>
                            <a:blipFill dpi="0" rotWithShape="0">
                              <a:blip r:embed="rId24"/>
                              <a:srcRect/>
                              <a:tile tx="0" ty="0" sx="100000" sy="100000" flip="none" algn="tl"/>
                            </a:blipFill>
                            <a:ln w="9525">
                              <a:solidFill>
                                <a:srgbClr val="943634"/>
                              </a:solidFill>
                              <a:miter lim="800000"/>
                              <a:headEnd/>
                              <a:tailEnd/>
                            </a:ln>
                          </wps:spPr>
                          <wps:bodyPr/>
                        </wps:wsp>
                        <wps:wsp>
                          <wps:cNvPr id="2603" name="Textfeld 223"/>
                          <wps:cNvSpPr txBox="1">
                            <a:spLocks noChangeArrowheads="1"/>
                          </wps:cNvSpPr>
                          <wps:spPr bwMode="auto">
                            <a:xfrm>
                              <a:off x="7707822" y="5822910"/>
                              <a:ext cx="657658" cy="267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Default="00AA4416" w:rsidP="00A21536">
                                <w:pPr>
                                  <w:pStyle w:val="NormalWeb"/>
                                  <w:kinsoku w:val="0"/>
                                  <w:overflowPunct w:val="0"/>
                                  <w:textAlignment w:val="baseline"/>
                                </w:pPr>
                                <w:r w:rsidRPr="00C1504E">
                                  <w:rPr>
                                    <w:rFonts w:ascii="Arial" w:hAnsi="Arial" w:cs="Arial"/>
                                    <w:color w:val="000000" w:themeColor="text1"/>
                                    <w:kern w:val="24"/>
                                  </w:rPr>
                                  <w:t>Zone 1</w:t>
                                </w:r>
                              </w:p>
                            </w:txbxContent>
                          </wps:txbx>
                          <wps:bodyPr wrap="none">
                            <a:spAutoFit/>
                          </wps:bodyPr>
                        </wps:wsp>
                      </wpg:grpSp>
                      <wpg:grpSp>
                        <wpg:cNvPr id="2604" name="Gruppieren 85"/>
                        <wpg:cNvGrpSpPr>
                          <a:grpSpLocks/>
                        </wpg:cNvGrpSpPr>
                        <wpg:grpSpPr bwMode="auto">
                          <a:xfrm>
                            <a:off x="7299328" y="6075333"/>
                            <a:ext cx="1053206" cy="267148"/>
                            <a:chOff x="7299325" y="6075320"/>
                            <a:chExt cx="1051810" cy="267896"/>
                          </a:xfrm>
                        </wpg:grpSpPr>
                        <wps:wsp>
                          <wps:cNvPr id="2605" name="Rectangle 219" descr="5%"/>
                          <wps:cNvSpPr>
                            <a:spLocks noChangeArrowheads="1"/>
                          </wps:cNvSpPr>
                          <wps:spPr bwMode="auto">
                            <a:xfrm>
                              <a:off x="7299325" y="6131998"/>
                              <a:ext cx="269875" cy="166688"/>
                            </a:xfrm>
                            <a:prstGeom prst="rect">
                              <a:avLst/>
                            </a:prstGeom>
                            <a:blipFill dpi="0" rotWithShape="0">
                              <a:blip r:embed="rId25"/>
                              <a:srcRect/>
                              <a:tile tx="0" ty="0" sx="100000" sy="100000" flip="none" algn="tl"/>
                            </a:blipFill>
                            <a:ln w="9525">
                              <a:solidFill>
                                <a:srgbClr val="5F497A"/>
                              </a:solidFill>
                              <a:miter lim="800000"/>
                              <a:headEnd/>
                              <a:tailEnd/>
                            </a:ln>
                          </wps:spPr>
                          <wps:bodyPr/>
                        </wps:wsp>
                        <wps:wsp>
                          <wps:cNvPr id="2606" name="Textfeld 224"/>
                          <wps:cNvSpPr txBox="1">
                            <a:spLocks noChangeArrowheads="1"/>
                          </wps:cNvSpPr>
                          <wps:spPr bwMode="auto">
                            <a:xfrm>
                              <a:off x="7694110" y="6075320"/>
                              <a:ext cx="657025" cy="267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Default="00AA4416" w:rsidP="00A21536">
                                <w:pPr>
                                  <w:pStyle w:val="NormalWeb"/>
                                  <w:kinsoku w:val="0"/>
                                  <w:overflowPunct w:val="0"/>
                                  <w:textAlignment w:val="baseline"/>
                                </w:pPr>
                                <w:r w:rsidRPr="00C1504E">
                                  <w:rPr>
                                    <w:rFonts w:ascii="Arial" w:hAnsi="Arial" w:cs="Arial"/>
                                    <w:color w:val="000000" w:themeColor="text1"/>
                                    <w:kern w:val="24"/>
                                  </w:rPr>
                                  <w:t>Zone 2</w:t>
                                </w:r>
                              </w:p>
                            </w:txbxContent>
                          </wps:txbx>
                          <wps:bodyPr wrap="none">
                            <a:spAutoFit/>
                          </wps:bodyPr>
                        </wps:wsp>
                      </wpg:grpSp>
                    </wpg:wgp>
                  </a:graphicData>
                </a:graphic>
                <wp14:sizeRelH relativeFrom="page">
                  <wp14:pctWidth>0</wp14:pctWidth>
                </wp14:sizeRelH>
                <wp14:sizeRelV relativeFrom="page">
                  <wp14:pctHeight>0</wp14:pctHeight>
                </wp14:sizeRelV>
              </wp:anchor>
            </w:drawing>
          </mc:Choice>
          <mc:Fallback>
            <w:pict>
              <v:group w14:anchorId="20E5165A" id="Gruppieren 228" o:spid="_x0000_s1026" style="position:absolute;margin-left:-16.85pt;margin-top:29.65pt;width:696.3pt;height:421.2pt;z-index:251710464" coordorigin=",9842" coordsize="88435,53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">
                <v:group id="Gruppieren 3" o:spid="_x0000_s1027" style="position:absolute;left:2873;top:36246;width:19653;height:5416" coordorigin="2873,36246" coordsize="19647,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">
                  <v:rect id="Rectangle 20" o:spid="_x0000_s1028" alt="5%" style="position:absolute;left:8796;top:37391;width:13617;height:70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" strokecolor="#3f3151">
                    <v:fill r:id="rId26" o:title="5%" recolor="t" type="tile"/>
                    <o:lock v:ext="edit" aspectratio="t"/>
                  </v:rect>
                  <v:line id="Line 11" o:spid="_x0000_s1029" style="position:absolute;flip:y;visibility:visible;mso-wrap-style:square" from="7163,38100" to="7163,38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" strokecolor="#5f497a">
                    <v:stroke endarrow="block"/>
                  </v:line>
                  <v:line id="Line 12" o:spid="_x0000_s1030" style="position:absolute;visibility:visible;mso-wrap-style:square" from="7245,36246" to="7245,3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" strokecolor="#5f497a">
                    <v:stroke endarrow="block"/>
                  </v:line>
                  <v:shapetype id="_x0000_t202" coordsize="21600,21600" o:spt="202" path="m,l,21600r21600,l21600,xe">
                    <v:stroke joinstyle="miter"/>
                    <v:path gradientshapeok="t" o:connecttype="rect"/>
                  </v:shapetype>
                  <v:shape id="Text Box 13" o:spid="_x0000_s1031" type="#_x0000_t202" style="position:absolute;left:2873;top:36422;width:6469;height:3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" filled="f" stroked="f">
                    <o:lock v:ext="edit" aspectratio="t"/>
                    <v:textbox style="mso-fit-shape-to-text:t" inset="2.108mm,1.054mm,2.108mm,1.054mm">
                      <w:txbxContent>
                        <w:p w:rsidR="00AA4416" w:rsidRDefault="00AA4416" w:rsidP="00A21536">
                          <w:pPr>
                            <w:pStyle w:val="NormalWeb"/>
                            <w:spacing w:after="200"/>
                            <w:textAlignment w:val="baseline"/>
                          </w:pPr>
                          <w:r w:rsidRPr="00C1504E">
                            <w:rPr>
                              <w:rFonts w:ascii="Arial" w:hAnsi="Arial" w:cs="Arial"/>
                              <w:color w:val="5F497A"/>
                              <w:kern w:val="24"/>
                              <w:sz w:val="18"/>
                              <w:szCs w:val="18"/>
                            </w:rPr>
                            <w:t>0,50 m</w:t>
                          </w:r>
                        </w:p>
                      </w:txbxContent>
                    </v:textbox>
                  </v:shape>
                  <v:shape id="Text Box 14" o:spid="_x0000_s1032" type="#_x0000_t202" style="position:absolute;left:14060;top:38110;width:6399;height:3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" filled="f" stroked="f">
                    <o:lock v:ext="edit" aspectratio="t"/>
                    <v:textbox style="mso-fit-shape-to-text:t" inset="2.108mm,1.054mm,2.108mm,1.054mm">
                      <w:txbxContent>
                        <w:p w:rsidR="00AA4416" w:rsidRDefault="00AA4416" w:rsidP="00A21536">
                          <w:pPr>
                            <w:pStyle w:val="NormalWeb"/>
                            <w:spacing w:after="200"/>
                            <w:textAlignment w:val="baseline"/>
                          </w:pPr>
                          <w:r w:rsidRPr="00C1504E">
                            <w:rPr>
                              <w:rFonts w:ascii="Arial" w:hAnsi="Arial" w:cs="Arial"/>
                              <w:color w:val="5F497A"/>
                              <w:kern w:val="24"/>
                              <w:sz w:val="18"/>
                              <w:szCs w:val="18"/>
                            </w:rPr>
                            <w:t>7,50 m</w:t>
                          </w:r>
                        </w:p>
                      </w:txbxContent>
                    </v:textbox>
                  </v:shape>
                  <v:line id="Line 15" o:spid="_x0000_s1033" style="position:absolute;flip:x;visibility:visible;mso-wrap-style:square" from="8755,38482" to="22520,3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" strokecolor="#5f497a">
                    <v:stroke startarrow="block" endarrow="block"/>
                  </v:line>
                  <v:line id="Line 10" o:spid="_x0000_s1034" style="position:absolute;flip:x;visibility:visible;mso-wrap-style:square" from="7241,37273" to="8776,37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">
                    <v:stroke dashstyle="1 1" endcap="round"/>
                  </v:line>
                </v:group>
                <v:line id="Line 83" o:spid="_x0000_s1035" style="position:absolute;rotation:8;flip:x;visibility:visible;mso-wrap-style:square" from="22242,32115" to="22608,3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" strokecolor="#595959">
                  <v:stroke dashstyle="longDash"/>
                </v:line>
                <v:line id="Line 89" o:spid="_x0000_s1036" style="position:absolute;visibility:visible;mso-wrap-style:square" from="17606,31797" to="17829,3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" strokecolor="#595959"/>
                <v:line id="Line 91" o:spid="_x0000_s1037" style="position:absolute;visibility:visible;mso-wrap-style:square" from="22431,37703" to="22431,4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"/>
                <v:group id="Gruppieren 7" o:spid="_x0000_s1038" style="position:absolute;left:63;top:34242;width:22527;height:8874" coordorigin="63,34242" coordsize="22518,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">
                  <v:line id="Line 76" o:spid="_x0000_s1039" style="position:absolute;visibility:visible;mso-wrap-style:square" from="2977,40555" to="5775,4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"/>
                  <v:line id="Line 77" o:spid="_x0000_s1040" style="position:absolute;visibility:visible;mso-wrap-style:square" from="528,40508" to="3049,40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"/>
                  <v:line id="Line 78" o:spid="_x0000_s1041" style="position:absolute;visibility:visible;mso-wrap-style:square" from="63,38023" to="528,40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"/>
                  <v:line id="Line 79" o:spid="_x0000_s1042" style="position:absolute;visibility:visible;mso-wrap-style:square" from="87,38078" to="22582,38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"/>
                  <v:line id="Line 81" o:spid="_x0000_s1043" style="position:absolute;flip:x;visibility:visible;mso-wrap-style:square" from="2820,34665" to="2967,38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"/>
                  <v:line id="Line 82" o:spid="_x0000_s1044" style="position:absolute;flip:y;visibility:visible;mso-wrap-style:square" from="2926,34242" to="16970,34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"/>
                </v:group>
                <v:line id="Line 84" o:spid="_x0000_s1045" style="position:absolute;flip:y;visibility:visible;mso-wrap-style:square" from="17527,29908" to="23195,29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" strokecolor="#595959">
                  <v:stroke dashstyle="longDash"/>
                </v:line>
                <v:line id="Line 85" o:spid="_x0000_s1046" style="position:absolute;visibility:visible;mso-wrap-style:square" from="17527,29908" to="17559,3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" strokecolor="#595959">
                  <v:stroke dashstyle="longDash"/>
                </v:line>
                <v:line id="Line 86" o:spid="_x0000_s1047" style="position:absolute;rotation:-2;flip:x;visibility:visible;mso-wrap-style:square" from="22496,29940" to="23131,3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" strokecolor="#595959">
                  <v:stroke dashstyle="longDash"/>
                </v:line>
                <v:line id="Line 88" o:spid="_x0000_s1048" style="position:absolute;visibility:visible;mso-wrap-style:square" from="17829,31765" to="17829,37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" strokecolor="#595959">
                  <v:stroke dashstyle="longDash"/>
                </v:line>
                <v:line id="Line 90" o:spid="_x0000_s1049" style="position:absolute;visibility:visible;mso-wrap-style:square" from="5746,43116" to="22494,4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"/>
                <v:group id="Gruppieren 13" o:spid="_x0000_s1050" style="position:absolute;left:3476;top:30718;width:18131;height:5048" coordorigin="3476,30718" coordsize="18128,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">
                  <v:rect id="Rectangle 24" o:spid="_x0000_s1051" alt="Horizontal hell" style="position:absolute;left:18350;top:30718;width:3254;height:6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" filled="f" strokecolor="#595959">
                    <v:stroke dashstyle="longDash"/>
                    <o:lock v:ext="edit" aspectratio="t"/>
                  </v:rect>
                  <v:rect id="Rectangle 92" o:spid="_x0000_s1052" alt="Horizontal hell" style="position:absolute;left:3476;top:35098;width:3242;height:6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">
                    <v:fill r:id="rId27" o:title="Horizontal hell" recolor="t" type="tile"/>
                    <o:lock v:ext="edit" aspectratio="t"/>
                  </v:rect>
                </v:group>
                <v:rect id="Rectangle 3" o:spid="_x0000_s1053" alt="Horizontal hell" style="position:absolute;left:74549;top:34940;width:4540;height:7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">
                  <v:fill r:id="rId27" o:title="Horizontal hell" recolor="t" type="tile"/>
                </v:rect>
                <v:rect id="Rectangle 5" o:spid="_x0000_s1054" style="position:absolute;left:68087;top:34544;width:12129;height:39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" filled="f"/>
                <v:line id="Line 8" o:spid="_x0000_s1055" style="position:absolute;visibility:visible;mso-wrap-style:square" from="68103,37306" to="68167,4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"/>
                <v:line id="Line 10" o:spid="_x0000_s1056" style="position:absolute;visibility:visible;mso-wrap-style:square" from="80122,38452" to="86114,38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"/>
                <v:line id="Line 11" o:spid="_x0000_s1057" style="position:absolute;visibility:visible;mso-wrap-style:square" from="68199,43132" to="82454,43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"/>
                <v:line id="Line 12" o:spid="_x0000_s1058" style="position:absolute;flip:x;visibility:visible;mso-wrap-style:square" from="84867,38496" to="86090,4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"/>
                <v:shape id="Arc 13" o:spid="_x0000_s1059" style="position:absolute;left:82423;top:41814;width:2428;height:1302;flip:y;visibility:visible;mso-wrap-style:square;v-text-anchor:middle" coordsize="21600,2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" path="m-1,nfc11929,,21600,9670,21600,21600v,98,-1,197,-3,295em-1,nsc11929,,21600,9670,21600,21600v,98,-1,197,-3,295l,21600,-1,xe">
                  <v:path arrowok="t" o:extrusionok="f" o:connecttype="custom" o:connectlocs="0,0;2147483646,2147483646;0,2147483646" o:connectangles="0,0,0" textboxrect="0,0,21600,21896"/>
                </v:shape>
                <v:rect id="Rectangle 20" o:spid="_x0000_s1060" alt="5%" style="position:absolute;left:68206;top:37665;width:13288;height:75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" stroked="f">
                  <v:fill r:id="rId26" o:title="5%" recolor="t" type="tile"/>
                </v:rect>
                <v:line id="Line 11" o:spid="_x0000_s1061" style="position:absolute;flip:y;visibility:visible;mso-wrap-style:square" from="82851,38369" to="82851,39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" strokecolor="#5f497a">
                  <v:stroke endarrow="block"/>
                </v:line>
                <v:line id="Line 12" o:spid="_x0000_s1062" style="position:absolute;visibility:visible;mso-wrap-style:square" from="82931,36496" to="82931,37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" strokecolor="#5f497a">
                  <v:stroke endarrow="block"/>
                </v:line>
                <v:shape id="Text Box 13" o:spid="_x0000_s1063" type="#_x0000_t202" style="position:absolute;left:82491;top:36663;width:5944;height:3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" filled="f" stroked="f">
                  <o:lock v:ext="edit" aspectratio="t"/>
                  <v:textbox style="mso-fit-shape-to-text:t" inset="2.108mm,1.054mm,2.108mm,1.054mm">
                    <w:txbxContent>
                      <w:p w:rsidR="00AA4416" w:rsidRDefault="00AA4416" w:rsidP="00A21536">
                        <w:pPr>
                          <w:pStyle w:val="NormalWeb"/>
                          <w:spacing w:after="200"/>
                          <w:textAlignment w:val="baseline"/>
                        </w:pPr>
                        <w:r w:rsidRPr="00C1504E">
                          <w:rPr>
                            <w:rFonts w:ascii="Arial" w:hAnsi="Arial" w:cs="Arial"/>
                            <w:color w:val="5F497A"/>
                            <w:kern w:val="24"/>
                            <w:sz w:val="18"/>
                            <w:szCs w:val="18"/>
                          </w:rPr>
                          <w:t>0,50 m</w:t>
                        </w:r>
                      </w:p>
                    </w:txbxContent>
                  </v:textbox>
                </v:shape>
                <v:shape id="Text Box 14" o:spid="_x0000_s1064" type="#_x0000_t202" style="position:absolute;left:73418;top:38446;width:6078;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" filled="f" stroked="f">
                  <o:lock v:ext="edit" aspectratio="t"/>
                  <v:textbox style="mso-fit-shape-to-text:t" inset="2.108mm,1.054mm,2.108mm,1.054mm">
                    <w:txbxContent>
                      <w:p w:rsidR="00AA4416" w:rsidRDefault="00AA4416" w:rsidP="00A21536">
                        <w:pPr>
                          <w:pStyle w:val="NormalWeb"/>
                          <w:spacing w:after="200"/>
                          <w:textAlignment w:val="baseline"/>
                        </w:pPr>
                        <w:r w:rsidRPr="00C1504E">
                          <w:rPr>
                            <w:rFonts w:ascii="Arial" w:hAnsi="Arial" w:cs="Arial"/>
                            <w:color w:val="5F497A"/>
                            <w:kern w:val="24"/>
                            <w:sz w:val="18"/>
                            <w:szCs w:val="18"/>
                          </w:rPr>
                          <w:t>7,50 m</w:t>
                        </w:r>
                      </w:p>
                    </w:txbxContent>
                  </v:textbox>
                </v:shape>
                <v:line id="Line 15" o:spid="_x0000_s1065" style="position:absolute;flip:x;visibility:visible;mso-wrap-style:square" from="67992,38893" to="81756,38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" strokecolor="#5f497a">
                  <v:stroke startarrow="block" endarrow="block"/>
                </v:line>
                <v:line id="Line 10" o:spid="_x0000_s1066" style="position:absolute;flip:x;visibility:visible;mso-wrap-style:square" from="81470,37480" to="82994,37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">
                  <v:stroke dashstyle="1 1" endcap="round"/>
                </v:line>
                <v:group id="Gruppieren 28" o:spid="_x0000_s1067" style="position:absolute;left:69792;top:37585;width:11765;height:762" coordorigin="69792,37591" coordsize="1176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">
                  <v:line id="Gerade Verbindung 308" o:spid="_x0000_s1068" style="position:absolute;visibility:visible;mso-wrap-style:square" from="69792,37591" to="81562,37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" strokecolor="#604a7b"/>
                  <v:line id="Gerade Verbindung 313" o:spid="_x0000_s1069" style="position:absolute;visibility:visible;mso-wrap-style:square" from="81562,37639" to="81562,38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" strokecolor="#604a7b"/>
                </v:group>
                <v:line id="Line 6" o:spid="_x0000_s1070" style="position:absolute;visibility:visible;mso-wrap-style:square" from="2762,9842" to="2762,9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"/>
                <v:shape id="Text Box 7" o:spid="_x0000_s1071" type="#_x0000_t202" style="position:absolute;left:33341;top:54087;width:24779;height:5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" filled="f" stroked="f">
                  <v:textbox style="mso-fit-shape-to-text:t" inset="2.108mm,1.054mm,2.108mm,1.054mm">
                    <w:txbxContent>
                      <w:p w:rsidR="00AA4416" w:rsidRDefault="00AA4416" w:rsidP="00A21536">
                        <w:pPr>
                          <w:pStyle w:val="NormalWeb"/>
                          <w:spacing w:after="200"/>
                          <w:jc w:val="center"/>
                          <w:textAlignment w:val="baseline"/>
                        </w:pPr>
                        <w:r w:rsidRPr="00993052">
                          <w:rPr>
                            <w:rFonts w:ascii="Verdana" w:hAnsi="Verdana" w:cs="Arial"/>
                            <w:color w:val="000000" w:themeColor="text1"/>
                            <w:kern w:val="24"/>
                            <w:sz w:val="16"/>
                            <w:szCs w:val="16"/>
                          </w:rPr>
                          <w:t>äußeres Kofferdammschott</w:t>
                        </w:r>
                        <w:r w:rsidRPr="00993052">
                          <w:rPr>
                            <w:rFonts w:ascii="Arial" w:hAnsi="Arial" w:cs="Arial"/>
                            <w:color w:val="000000" w:themeColor="text1"/>
                            <w:kern w:val="24"/>
                            <w:sz w:val="36"/>
                            <w:szCs w:val="36"/>
                          </w:rPr>
                          <w:br/>
                        </w:r>
                        <w:r w:rsidRPr="00993052">
                          <w:rPr>
                            <w:rFonts w:ascii="Verdana" w:hAnsi="Verdana" w:cs="Arial"/>
                            <w:color w:val="000000" w:themeColor="text1"/>
                            <w:kern w:val="24"/>
                            <w:sz w:val="16"/>
                            <w:szCs w:val="16"/>
                          </w:rPr>
                          <w:t>Begrenzungsschott der Aufstellungsräume</w:t>
                        </w:r>
                      </w:p>
                    </w:txbxContent>
                  </v:textbox>
                </v:shape>
                <v:shape id="Text Box 8" o:spid="_x0000_s1072" type="#_x0000_t202" style="position:absolute;left:67214;top:45939;width:18238;height:3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" filled="f" stroked="f">
                  <v:textbox style="mso-fit-shape-to-text:t" inset="2.108mm,1.054mm,2.108mm,1.054mm">
                    <w:txbxContent>
                      <w:p w:rsidR="00AA4416" w:rsidRDefault="00AA4416" w:rsidP="00A21536">
                        <w:pPr>
                          <w:pStyle w:val="NormalWeb"/>
                          <w:textAlignment w:val="baseline"/>
                        </w:pPr>
                        <w:r w:rsidRPr="00C1504E">
                          <w:rPr>
                            <w:rFonts w:ascii="Verdana" w:hAnsi="Verdana" w:cs="Arial"/>
                            <w:color w:val="1F497D" w:themeColor="text2"/>
                            <w:kern w:val="24"/>
                            <w:sz w:val="16"/>
                            <w:szCs w:val="16"/>
                          </w:rPr>
                          <w:t xml:space="preserve">Begrenzungsebene des </w:t>
                        </w:r>
                        <w:r w:rsidRPr="00C1504E">
                          <w:rPr>
                            <w:rFonts w:ascii="Verdana" w:hAnsi="Verdana" w:cs="Arial"/>
                            <w:color w:val="1F497D" w:themeColor="text2"/>
                            <w:kern w:val="24"/>
                            <w:sz w:val="16"/>
                            <w:szCs w:val="16"/>
                          </w:rPr>
                          <w:br/>
                          <w:t>Bereichs der Ladung</w:t>
                        </w:r>
                      </w:p>
                    </w:txbxContent>
                  </v:textbox>
                </v:shape>
                <v:shape id="Text Box 9" o:spid="_x0000_s1073" type="#_x0000_t202" style="position:absolute;left:47845;top:16143;width:20556;height:3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" filled="f" stroked="f">
                  <v:textbox style="mso-fit-shape-to-text:t" inset="2.108mm,1.054mm,2.108mm,1.054mm">
                    <w:txbxContent>
                      <w:p w:rsidR="00AA4416" w:rsidRDefault="00AA4416" w:rsidP="00A21536">
                        <w:pPr>
                          <w:pStyle w:val="NormalWeb"/>
                          <w:spacing w:after="200"/>
                          <w:textAlignment w:val="baseline"/>
                        </w:pPr>
                        <w:r>
                          <w:rPr>
                            <w:rFonts w:ascii="Verdana" w:hAnsi="Verdana" w:cs="Arial"/>
                            <w:color w:val="000000"/>
                            <w:kern w:val="24"/>
                            <w:sz w:val="16"/>
                            <w:szCs w:val="16"/>
                            <w:lang w:val="en-US"/>
                          </w:rPr>
                          <w:t>Hochgeschwindigkeitsventil</w:t>
                        </w:r>
                      </w:p>
                    </w:txbxContent>
                  </v:textbox>
                </v:shape>
                <v:shape id="Text Box 99" o:spid="_x0000_s1074" type="#_x0000_t202" style="position:absolute;left:37780;top:45145;width:16638;height:5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" filled="f" stroked="f">
                  <v:textbox style="mso-fit-shape-to-text:t" inset="2.108mm,1.054mm,2.108mm,1.054mm">
                    <w:txbxContent>
                      <w:p w:rsidR="00AA4416" w:rsidRPr="00BA6439" w:rsidRDefault="00AA4416" w:rsidP="00A21536">
                        <w:pPr>
                          <w:pStyle w:val="NormalWeb"/>
                          <w:spacing w:after="200"/>
                          <w:jc w:val="center"/>
                          <w:textAlignment w:val="baseline"/>
                          <w:rPr>
                            <w:rFonts w:ascii="Verdana" w:hAnsi="Verdana" w:cs="Arial"/>
                            <w:color w:val="000000" w:themeColor="text1"/>
                            <w:kern w:val="24"/>
                            <w:sz w:val="16"/>
                            <w:szCs w:val="16"/>
                          </w:rPr>
                        </w:pPr>
                        <w:r w:rsidRPr="00BA6439">
                          <w:rPr>
                            <w:rFonts w:ascii="Verdana" w:hAnsi="Verdana" w:cs="Arial"/>
                            <w:color w:val="000000" w:themeColor="text1"/>
                            <w:kern w:val="24"/>
                            <w:sz w:val="16"/>
                            <w:szCs w:val="16"/>
                          </w:rPr>
                          <w:t xml:space="preserve">Schutzsüll; gas- und flüssigkeitsdicht: </w:t>
                        </w:r>
                        <w:r>
                          <w:rPr>
                            <w:rFonts w:ascii="Verdana" w:hAnsi="Verdana" w:cstheme="minorBidi"/>
                            <w:color w:val="000000"/>
                            <w:kern w:val="24"/>
                            <w:sz w:val="18"/>
                            <w:szCs w:val="18"/>
                            <w:u w:val="single"/>
                          </w:rPr>
                          <w:t>&gt;</w:t>
                        </w:r>
                        <w:r w:rsidRPr="00BA6439">
                          <w:rPr>
                            <w:rFonts w:ascii="Verdana" w:hAnsi="Verdana" w:cs="Arial"/>
                            <w:color w:val="000000" w:themeColor="text1"/>
                            <w:kern w:val="24"/>
                            <w:sz w:val="16"/>
                            <w:szCs w:val="16"/>
                          </w:rPr>
                          <w:t xml:space="preserve"> 0,075 m</w:t>
                        </w:r>
                      </w:p>
                    </w:txbxContent>
                  </v:textbox>
                </v:shape>
                <v:line id="Line 100" o:spid="_x0000_s1075" style="position:absolute;flip:x;visibility:visible;mso-wrap-style:square" from="16541,21209" to="21621,2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">
                  <v:stroke dashstyle="dashDot"/>
                </v:line>
                <v:shape id="Text Box 14" o:spid="_x0000_s1076" type="#_x0000_t202" style="position:absolute;left:11493;top:46605;width:13704;height:3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" filled="f" stroked="f">
                  <v:textbox style="mso-fit-shape-to-text:t" inset="2.108mm,1.054mm,2.108mm,1.054mm">
                    <w:txbxContent>
                      <w:p w:rsidR="00AA4416" w:rsidRDefault="00AA4416" w:rsidP="00A21536">
                        <w:pPr>
                          <w:pStyle w:val="NormalWeb"/>
                          <w:textAlignment w:val="baseline"/>
                        </w:pPr>
                        <w:r w:rsidRPr="00C1504E">
                          <w:rPr>
                            <w:rFonts w:ascii="Verdana" w:hAnsi="Verdana" w:cs="Arial"/>
                            <w:color w:val="1F497D" w:themeColor="text2"/>
                            <w:kern w:val="24"/>
                            <w:sz w:val="16"/>
                            <w:szCs w:val="16"/>
                          </w:rPr>
                          <w:t>Begrenzungsebene des</w:t>
                        </w:r>
                        <w:r w:rsidRPr="00C1504E">
                          <w:rPr>
                            <w:rFonts w:ascii="Verdana" w:hAnsi="Verdana" w:cs="Arial"/>
                            <w:color w:val="1F497D" w:themeColor="text2"/>
                            <w:kern w:val="24"/>
                            <w:sz w:val="16"/>
                            <w:szCs w:val="16"/>
                          </w:rPr>
                          <w:br/>
                          <w:t>Bereichs der Ladung</w:t>
                        </w:r>
                      </w:p>
                    </w:txbxContent>
                  </v:textbox>
                </v:shape>
                <v:shape id="_x0000_s1077" type="#_x0000_t202" style="position:absolute;left:16161;top:11445;width:7557;height:3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" filled="f" stroked="f">
                  <o:lock v:ext="edit" aspectratio="t"/>
                  <v:textbox style="mso-fit-shape-to-text:t" inset="2.108mm,1.054mm,2.108mm,1.054mm">
                    <w:txbxContent>
                      <w:p w:rsidR="00AA4416" w:rsidRDefault="00AA4416" w:rsidP="00A21536">
                        <w:pPr>
                          <w:pStyle w:val="NormalWeb"/>
                          <w:spacing w:after="200"/>
                          <w:textAlignment w:val="baseline"/>
                        </w:pPr>
                        <w:r w:rsidRPr="00C1504E">
                          <w:rPr>
                            <w:rFonts w:ascii="Arial" w:hAnsi="Arial" w:cstheme="minorBidi"/>
                            <w:color w:val="7F7F7F" w:themeColor="text1" w:themeTint="80"/>
                            <w:kern w:val="24"/>
                            <w:sz w:val="22"/>
                            <w:szCs w:val="22"/>
                            <w:u w:val="single"/>
                          </w:rPr>
                          <w:t>&gt;</w:t>
                        </w:r>
                        <w:r w:rsidRPr="00C1504E">
                          <w:rPr>
                            <w:rFonts w:ascii="Arial" w:hAnsi="Arial" w:cstheme="minorBidi"/>
                            <w:color w:val="7F7F7F" w:themeColor="text1" w:themeTint="80"/>
                            <w:kern w:val="24"/>
                            <w:sz w:val="22"/>
                            <w:szCs w:val="22"/>
                          </w:rPr>
                          <w:t>1,00 m</w:t>
                        </w:r>
                      </w:p>
                    </w:txbxContent>
                  </v:textbox>
                </v:shape>
                <v:rect id="Rectangle 3" o:spid="_x0000_s1078" alt="5%" style="position:absolute;left:25415;top:31305;width:40196;height:24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" stroked="f">
                  <v:fill r:id="rId26" o:title="5%" recolor="t" type="tile"/>
                  <o:lock v:ext="edit" aspectratio="t"/>
                </v:rect>
                <v:group id="Gruppieren 38" o:spid="_x0000_s1079" style="position:absolute;left:23356;top:31210;width:3615;height:6731" coordorigin="23356,31210" coordsize="2666,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">
                  <v:oval id="Oval 4" o:spid="_x0000_s1080" alt="5%" style="position:absolute;left:23356;top:31210;width:2666;height:26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" stroked="f">
                    <v:fill r:id="rId26" o:title="5%" recolor="t" type="tile"/>
                    <o:lock v:ext="edit" aspectratio="t"/>
                  </v:oval>
                  <v:rect id="Rectangle 93" o:spid="_x0000_s1081" alt="5%" style="position:absolute;left:23388;top:32273;width:1339;height:49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" stroked="f">
                    <v:fill r:id="rId26" o:title="5%" recolor="t" type="tile"/>
                    <o:lock v:ext="edit" aspectratio="t"/>
                  </v:rect>
                </v:group>
                <v:group id="Gruppieren 39" o:spid="_x0000_s1082" style="position:absolute;left:63404;top:31242;width:3524;height:6731;flip:x" coordorigin="63404,31242" coordsize="2668,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">
                  <v:oval id="Oval 4" o:spid="_x0000_s1083" alt="5%" style="position:absolute;left:63406;top:31242;width:2667;height:26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" stroked="f">
                    <v:fill r:id="rId26" o:title="5%" recolor="t" type="tile"/>
                    <o:lock v:ext="edit" aspectratio="t"/>
                  </v:oval>
                  <v:rect id="Rectangle 93" o:spid="_x0000_s1084" alt="5%" style="position:absolute;left:63404;top:32305;width:1340;height:49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" stroked="f">
                    <v:fill r:id="rId26" o:title="5%" recolor="t" type="tile"/>
                    <o:lock v:ext="edit" aspectratio="t"/>
                  </v:rect>
                </v:group>
                <v:group id="Gruppieren 40" o:spid="_x0000_s1085" style="position:absolute;left:34218;top:21567;width:21757;height:10532" coordorigin="34218,21567" coordsize="21625,1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">
                  <v:oval id="Oval 16" o:spid="_x0000_s1086" alt="5%" style="position:absolute;left:44852;top:21573;width:10992;height:976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" stroked="f">
                    <v:fill r:id="rId26" o:title="5%" recolor="t" type="tile"/>
                    <o:lock v:ext="edit" aspectratio="t"/>
                  </v:oval>
                  <v:oval id="Oval 17" o:spid="_x0000_s1087" alt="5%" style="position:absolute;left:34218;top:21567;width:10984;height:97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" stroked="f">
                    <v:fill r:id="rId26" o:title="5%" recolor="t" type="tile"/>
                    <o:lock v:ext="edit" aspectratio="t"/>
                  </v:oval>
                  <v:rect id="Rectangle 18" o:spid="_x0000_s1088" alt="5%" style="position:absolute;left:39270;top:21626;width:11393;height:501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" stroked="f">
                    <v:fill r:id="rId26" o:title="5%" recolor="t" type="tile"/>
                    <o:lock v:ext="edit" aspectratio="t"/>
                  </v:rect>
                  <v:rect id="Rectangle 19" o:spid="_x0000_s1089" alt="5%" style="position:absolute;left:34343;top:25772;width:21468;height:63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" stroked="f">
                    <v:fill r:id="rId26" o:title="5%" recolor="t" type="tile"/>
                    <o:lock v:ext="edit" aspectratio="t"/>
                  </v:rect>
                </v:group>
                <v:group id="Gruppieren 41" o:spid="_x0000_s1090" style="position:absolute;left:22418;top:21605;width:44472;height:16669" coordorigin="22417,21605" coordsize="44472,1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">
                  <v:line id="Gerade Verbindung 212" o:spid="_x0000_s1091" style="position:absolute;visibility:visible;mso-wrap-style:square" from="66858,32496" to="66889,36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" strokecolor="#604a7b"/>
                  <v:line id="Gerade Verbindung 214" o:spid="_x0000_s1092" style="position:absolute;flip:y;visibility:visible;mso-wrap-style:square" from="39088,21605" to="51123,2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" strokecolor="#604a7b"/>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Form 217" o:spid="_x0000_s1093" type="#_x0000_t34" style="position:absolute;left:31690;top:28670;width:5334;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" strokecolor="#604a7b"/>
                  <v:shape id="Form 218" o:spid="_x0000_s1094" type="#_x0000_t34" style="position:absolute;left:53339;top:28789;width:5032;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" strokecolor="#604a7b"/>
                  <v:line id="Gerade Verbindung 219" o:spid="_x0000_s1095" style="position:absolute;flip:y;visibility:visible;mso-wrap-style:square" from="55839,31337" to="65826,3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" strokecolor="#604a7b"/>
                  <v:line id="Gerade Verbindung 222" o:spid="_x0000_s1096" style="position:absolute;flip:y;visibility:visible;mso-wrap-style:square" from="24783,31289" to="34341,3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" strokecolor="#604a7b"/>
                  <v:shape id="Bogen 193" o:spid="_x0000_s1097" style="position:absolute;left:34325;top:21605;width:10082;height:9128;flip:x;visibility:visible;mso-wrap-style:square;v-text-anchor:middle" coordsize="1008208,91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" path="m510031,32nsc788406,2995,1011426,209702,1008174,461737l504104,456405c506080,304281,508055,152156,510031,32xem510031,32nfc788406,2995,1011426,209702,1008174,461737e" filled="f" strokecolor="#604a7b">
                    <v:path arrowok="t" o:connecttype="custom" o:connectlocs="510031,32;1008174,461737" o:connectangles="0,0"/>
                  </v:shape>
                  <v:shape id="Bogen 194" o:spid="_x0000_s1098" style="position:absolute;left:45773;top:21605;width:10082;height:9128;visibility:visible;mso-wrap-style:square;v-text-anchor:middle" coordsize="1008207,91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" path="m510030,32nsc788405,2995,1011425,209702,1008173,461737l504104,456405c506079,304281,508055,152156,510030,32xem510030,32nfc788405,2995,1011425,209702,1008173,461737e" filled="f" strokecolor="#604a7b">
                    <v:path arrowok="t" o:connecttype="custom" o:connectlocs="510030,32;1008173,461737" o:connectangles="0,0"/>
                  </v:shape>
                  <v:shape id="Bogen 195" o:spid="_x0000_s1099" style="position:absolute;left:23433;top:31257;width:2874;height:2572;flip:x;visibility:visible;mso-wrap-style:square;v-text-anchor:middle" coordsize="287379,25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" path="m145359,9nsc224722,834,288307,59085,287369,130107l143690,128587c144246,85728,144803,42868,145359,9xem145359,9nfc224722,834,288307,59085,287369,130107e" filled="f" strokecolor="#604a7b">
                    <v:path arrowok="t" o:connecttype="custom" o:connectlocs="145359,9;287369,130107" o:connectangles="0,0"/>
                  </v:shape>
                  <v:shape id="Bogen 196" o:spid="_x0000_s1100" style="position:absolute;left:63984;top:31305;width:2874;height:2572;visibility:visible;mso-wrap-style:square;v-text-anchor:middle" coordsize="287379,25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" path="m145359,9nsc224722,834,288307,59085,287369,130107l143690,128587c144246,85728,144803,42868,145359,9xem145359,9nfc224722,834,288307,59085,287369,130107e" filled="f" strokecolor="#604a7b">
                    <v:path arrowok="t" o:connecttype="custom" o:connectlocs="145359,9;287369,130107" o:connectangles="0,0"/>
                  </v:shape>
                  <v:group id="Gruppieren 197" o:spid="_x0000_s1101" style="position:absolute;left:22417;top:35655;width:990;height:2619" coordorigin="22418,35655" coordsize="1233,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">
                    <v:rect id="Rectangle 3" o:spid="_x0000_s1102" alt="5%" style="position:absolute;left:22469;top:35713;width:1182;height:14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" stroked="f">
                      <v:fill r:id="rId26" o:title="5%" recolor="t" type="tile"/>
                      <o:lock v:ext="edit" aspectratio="t"/>
                    </v:rect>
                    <v:line id="Gerade Verbindung 238" o:spid="_x0000_s1103" style="position:absolute;visibility:visible;mso-wrap-style:square" from="22418,35655" to="22418,3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" strokecolor="#604a7b"/>
                  </v:group>
                </v:group>
                <v:group id="Gruppieren 42" o:spid="_x0000_s1104" style="position:absolute;left:66531;top:35829;width:1657;height:2366" coordorigin="66532,35829" coordsize="1470,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O8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iejuD5JjwBuXgAAAD//wMAUEsBAi0AFAAGAAgAAAAhANvh9svuAAAAhQEAABMAAAAAAAAA&#10;AAAAAAAAAAAAAFtDb250ZW50X1R5cGVzXS54bWxQSwECLQAUAAYACAAAACEAWvQsW78AAAAVAQAA&#10;CwAAAAAAAAAAAAAAAAAfAQAAX3JlbHMvLnJlbHNQSwECLQAUAAYACAAAACEAIHLDvMYAAADdAAAA&#10;DwAAAAAAAAAAAAAAAAAHAgAAZHJzL2Rvd25yZXYueG1sUEsFBgAAAAADAAMAtwAAAPoCAAAAAA==&#10;">
                  <v:rect id="Rectangle 3" o:spid="_x0000_s1105" alt="5%" style="position:absolute;left:66532;top:35886;width:1326;height:1486;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" stroked="f">
                    <v:fill r:id="rId26" o:title="5%" recolor="t" type="tile"/>
                    <o:lock v:ext="edit" aspectratio="t"/>
                  </v:rect>
                  <v:line id="Gerade Verbindung 245" o:spid="_x0000_s1106" style="position:absolute;flip:x;visibility:visible;mso-wrap-style:square" from="67917,35829" to="67917,37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" strokecolor="#604a7b"/>
                  <v:line id="Gerade Verbindung 246" o:spid="_x0000_s1107" style="position:absolute;flip:x;visibility:visible;mso-wrap-style:square" from="66833,35829" to="68002,35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" strokecolor="#604a7b"/>
                </v:group>
                <v:group id="Gruppieren 43" o:spid="_x0000_s1108" style="position:absolute;left:22496;top:27019;width:45629;height:16097" coordorigin="22496,27019" coordsize="45625,1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">
                  <v:group id="Gruppieren 167" o:spid="_x0000_s1109" style="position:absolute;left:22496;top:27019;width:45625;height:16106" coordorigin="22496,27019" coordsize="45625,1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">
                    <v:group id="Gruppieren 170" o:spid="_x0000_s1110" style="position:absolute;left:22496;top:27023;width:45625;height:16102" coordorigin="22496,27023" coordsize="45625,1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">
                      <v:rect id="Rectangle 23" o:spid="_x0000_s1111" alt="25%" style="position:absolute;left:22496;top:37454;width:45625;height:56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" fillcolor="#943634" strokecolor="#953735">
                        <v:fill r:id="rId10" o:title="" type="pattern"/>
                        <o:lock v:ext="edit" aspectratio="t"/>
                      </v:rect>
                      <v:rect id="Rectangle 23" o:spid="_x0000_s1112" alt="25%" style="position:absolute;left:24990;top:32998;width:40500;height:45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" stroked="f">
                        <v:fill r:id="rId28" o:title="25%" recolor="t" type="tile"/>
                        <o:lock v:ext="edit" aspectratio="t"/>
                      </v:rect>
                      <v:rect id="Rectangle 23" o:spid="_x0000_s1113" alt="25%" style="position:absolute;left:39963;top:27023;width:10757;height:593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" stroked="f">
                        <v:fill r:id="rId28" o:title="25%" recolor="t" type="tile"/>
                        <o:lock v:ext="edit" aspectratio="t"/>
                      </v:rect>
                    </v:group>
                    <v:group id="Gruppieren 171" o:spid="_x0000_s1114" style="position:absolute;left:23576;top:27019;width:43371;height:10149" coordorigin="23576,27019" coordsize="43370,1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">
                      <v:line id="Gerade Verbindung 185" o:spid="_x0000_s1115" style="position:absolute;flip:y;visibility:visible;mso-wrap-style:square" from="24941,33007" to="39769,3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" strokecolor="#953735"/>
                      <v:line id="Gerade Verbindung 187" o:spid="_x0000_s1116" style="position:absolute;visibility:visible;mso-wrap-style:square" from="50452,32959" to="65566,3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" strokecolor="#953735"/>
                      <v:line id="Gerade Verbindung 189" o:spid="_x0000_s1117" style="position:absolute;flip:y;visibility:visible;mso-wrap-style:square" from="39737,27019" to="50468,27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" strokecolor="#953735"/>
                      <v:line id="Gerade Verbindung 191" o:spid="_x0000_s1118" style="position:absolute;flip:x;visibility:visible;mso-wrap-style:square" from="39737,27019" to="39753,3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" strokecolor="#953735"/>
                      <v:line id="Gerade Verbindung 192" o:spid="_x0000_s1119" style="position:absolute;flip:x;visibility:visible;mso-wrap-style:square" from="50452,27019" to="50500,3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" strokecolor="#953735"/>
                      <v:line id="Gerade Verbindung 194" o:spid="_x0000_s1120" style="position:absolute;visibility:visible;mso-wrap-style:square" from="25005,33039" to="25036,37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" strokecolor="#953735"/>
                      <v:line id="Gerade Verbindung 196" o:spid="_x0000_s1121" style="position:absolute;visibility:visible;mso-wrap-style:square" from="65518,32991" to="65534,37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" strokecolor="#953735"/>
                      <v:line id="Gerade Verbindung 202" o:spid="_x0000_s1122" style="position:absolute;visibility:visible;mso-wrap-style:square" from="23576,37152" to="25021,3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" strokecolor="#953735"/>
                      <v:line id="Gerade Verbindung 203" o:spid="_x0000_s1123" style="position:absolute;visibility:visible;mso-wrap-style:square" from="65502,37121" to="66947,37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" strokecolor="#953735"/>
                    </v:group>
                  </v:group>
                  <v:rect id="Rectangle 27" o:spid="_x0000_s1124" alt="25%" style="position:absolute;left:65289;top:37187;width:1615;height:4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" stroked="f">
                    <v:fill r:id="rId28" o:title="25%" recolor="t" type="tile"/>
                    <o:lock v:ext="edit" aspectratio="t"/>
                  </v:rect>
                  <v:rect id="Rectangle 27" o:spid="_x0000_s1125" alt="25%" style="position:absolute;left:23520;top:37185;width:1615;height:4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" stroked="f">
                    <v:fill r:id="rId28" o:title="25%" recolor="t" type="tile"/>
                    <o:lock v:ext="edit" aspectratio="t"/>
                  </v:rect>
                </v:group>
                <v:group id="Gruppieren 44" o:spid="_x0000_s1126" style="position:absolute;left:26370;top:21558;width:41927;height:13018" coordorigin="26370,21558" coordsize="41926,13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">
                  <v:shapetype id="_x0000_t32" coordsize="21600,21600" o:spt="32" o:oned="t" path="m,l21600,21600e" filled="f">
                    <v:path arrowok="t" fillok="f" o:connecttype="none"/>
                    <o:lock v:ext="edit" shapetype="t"/>
                  </v:shapetype>
                  <v:shape id="Gerade Verbindung mit Pfeil 153" o:spid="_x0000_s1127" type="#_x0000_t32" style="position:absolute;left:45136;top:21558;width:16;height:53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" strokecolor="#604a7b">
                    <v:stroke startarrow="block" endarrow="block"/>
                  </v:shape>
                  <v:shape id="Gerade Verbindung mit Pfeil 154" o:spid="_x0000_s1128" type="#_x0000_t32" style="position:absolute;left:37031;top:24867;width:16;height:5398;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" strokecolor="#604a7b">
                    <v:stroke startarrow="block" endarrow="block"/>
                  </v:shape>
                  <v:group id="Gruppieren 155" o:spid="_x0000_s1129" style="position:absolute;left:26370;top:30050;width:80;height:4254" coordorigin="26370,30050" coordsize="79,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">
                    <v:shape id="Gerade Verbindung mit Pfeil 165" o:spid="_x0000_s1130" type="#_x0000_t32" style="position:absolute;left:25783;top:33638;width:1317;height:16;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" strokecolor="#604a7b">
                      <v:stroke startarrow="block"/>
                    </v:shape>
                    <v:shape id="Gerade Verbindung mit Pfeil 166" o:spid="_x0000_s1131" type="#_x0000_t32" style="position:absolute;left:25727;top:30693;width:1365;height:8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" strokecolor="#604a7b">
                      <v:stroke startarrow="block"/>
                    </v:shape>
                  </v:group>
                  <v:shape id="_x0000_s1132" type="#_x0000_t202" style="position:absolute;left:44928;top:22763;width:5969;height: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" filled="f" stroked="f">
                    <o:lock v:ext="edit" aspectratio="t"/>
                    <v:textbox style="mso-fit-shape-to-text:t" inset="2.108mm,1.054mm,2.108mm,1.054mm">
                      <w:txbxContent>
                        <w:p w:rsidR="00AA4416" w:rsidRDefault="00AA4416" w:rsidP="00A21536">
                          <w:pPr>
                            <w:pStyle w:val="NormalWeb"/>
                            <w:spacing w:after="200"/>
                            <w:textAlignment w:val="baseline"/>
                          </w:pPr>
                          <w:r w:rsidRPr="00C1504E">
                            <w:rPr>
                              <w:rFonts w:ascii="Arial" w:hAnsi="Arial" w:cstheme="minorBidi"/>
                              <w:color w:val="5F497A" w:themeColor="accent4" w:themeShade="BF"/>
                              <w:kern w:val="24"/>
                              <w:sz w:val="18"/>
                              <w:szCs w:val="18"/>
                            </w:rPr>
                            <w:t>3,00 m</w:t>
                          </w:r>
                        </w:p>
                      </w:txbxContent>
                    </v:textbox>
                  </v:shape>
                  <v:shape id="_x0000_s1133" type="#_x0000_t202" style="position:absolute;left:34561;top:27207;width:5969;height: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" filled="f" stroked="f">
                    <o:lock v:ext="edit" aspectratio="t"/>
                    <v:textbox style="mso-fit-shape-to-text:t" inset="2.108mm,1.054mm,2.108mm,1.054mm">
                      <w:txbxContent>
                        <w:p w:rsidR="00AA4416" w:rsidRDefault="00AA4416" w:rsidP="00A21536">
                          <w:pPr>
                            <w:pStyle w:val="NormalWeb"/>
                            <w:spacing w:after="200"/>
                            <w:textAlignment w:val="baseline"/>
                          </w:pPr>
                          <w:r w:rsidRPr="00C1504E">
                            <w:rPr>
                              <w:rFonts w:ascii="Arial" w:hAnsi="Arial" w:cstheme="minorBidi"/>
                              <w:color w:val="5F497A" w:themeColor="accent4" w:themeShade="BF"/>
                              <w:kern w:val="24"/>
                              <w:sz w:val="18"/>
                              <w:szCs w:val="18"/>
                            </w:rPr>
                            <w:t>3,00 m</w:t>
                          </w:r>
                        </w:p>
                      </w:txbxContent>
                    </v:textbox>
                  </v:shape>
                  <v:shape id="_x0000_s1134" type="#_x0000_t202" style="position:absolute;left:62328;top:30921;width:5969;height: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" filled="f" stroked="f">
                    <o:lock v:ext="edit" aspectratio="t"/>
                    <v:textbox style="mso-fit-shape-to-text:t" inset="2.108mm,1.054mm,2.108mm,1.054mm">
                      <w:txbxContent>
                        <w:p w:rsidR="00AA4416" w:rsidRDefault="00AA4416" w:rsidP="00A21536">
                          <w:pPr>
                            <w:pStyle w:val="NormalWeb"/>
                            <w:spacing w:after="200"/>
                            <w:textAlignment w:val="baseline"/>
                          </w:pPr>
                          <w:r w:rsidRPr="00C1504E">
                            <w:rPr>
                              <w:rFonts w:ascii="Arial" w:hAnsi="Arial" w:cstheme="minorBidi"/>
                              <w:color w:val="5F497A" w:themeColor="accent4" w:themeShade="BF"/>
                              <w:kern w:val="24"/>
                              <w:sz w:val="18"/>
                              <w:szCs w:val="18"/>
                            </w:rPr>
                            <w:t>1,00 m</w:t>
                          </w:r>
                        </w:p>
                      </w:txbxContent>
                    </v:textbox>
                  </v:shape>
                  <v:group id="Gruppieren 159" o:spid="_x0000_s1135" style="position:absolute;left:64220;top:34130;width:4016;height:31" coordorigin="64220,34130" coordsize="40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">
                    <v:shape id="Gerade Verbindung mit Pfeil 163" o:spid="_x0000_s1136" type="#_x0000_t32" style="position:absolute;left:66919;top:34130;width:1317;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" strokecolor="#604a7b">
                      <v:stroke startarrow="block"/>
                    </v:shape>
                    <v:shape id="Gerade Verbindung mit Pfeil 164" o:spid="_x0000_s1137" type="#_x0000_t32" style="position:absolute;left:64220;top:34145;width:1301;height: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" strokecolor="#604a7b">
                      <v:stroke startarrow="block"/>
                    </v:shape>
                  </v:group>
                  <v:group id="Gruppieren 160" o:spid="_x0000_s1138" style="position:absolute;left:64108;top:30082;width:80;height:4111" coordorigin="64108,30082" coordsize="79,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">
                    <v:shape id="Gerade Verbindung mit Pfeil 161" o:spid="_x0000_s1139" type="#_x0000_t32" style="position:absolute;left:63521;top:33526;width:1318;height:16;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" strokecolor="#604a7b">
                      <v:stroke startarrow="block"/>
                    </v:shape>
                    <v:shape id="Gerade Verbindung mit Pfeil 162" o:spid="_x0000_s1140" type="#_x0000_t32" style="position:absolute;left:63465;top:30725;width:1365;height:8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" strokecolor="#604a7b">
                      <v:stroke startarrow="block"/>
                    </v:shape>
                  </v:group>
                </v:group>
                <v:shape id="Gerade Verbindung mit Pfeil 45" o:spid="_x0000_s1141" type="#_x0000_t32" style="position:absolute;left:53162;top:25137;width:16;height:5398;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" strokecolor="#604a7b">
                  <v:stroke startarrow="block" endarrow="block"/>
                </v:shape>
                <v:group id="Gruppieren 46" o:spid="_x0000_s1142" style="position:absolute;left:23463;top:35655;width:43466;height:6429" coordorigin="23463,35655" coordsize="43474,6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">
                  <v:rect id="Rectangle 25" o:spid="_x0000_s1143" alt="Kugeln" style="position:absolute;left:23463;top:37531;width:43474;height:45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">
                    <v:fill r:id="rId29" o:title="Kugeln" recolor="t" type="tile"/>
                    <o:lock v:ext="edit" aspectratio="t"/>
                  </v:rect>
                  <v:rect id="Rectangle 47" o:spid="_x0000_s1144" alt="Kugeln" style="position:absolute;left:29528;top:35655;width:31320;height:7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">
                    <v:fill r:id="rId29" o:title="Kugeln" recolor="t" type="tile"/>
                    <o:lock v:ext="edit" aspectratio="t"/>
                  </v:rect>
                  <v:rect id="Rectangle 47" o:spid="_x0000_s1145" alt="Kugeln" style="position:absolute;left:33776;top:36370;width:649;height:131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" stroked="f">
                    <v:fill r:id="rId29" o:title="Kugeln" recolor="t" type="tile"/>
                    <o:lock v:ext="edit" aspectratio="t"/>
                  </v:rect>
                  <v:rect id="Rectangle 47" o:spid="_x0000_s1146" alt="Kugeln" style="position:absolute;left:58574;top:36375;width:649;height:134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" stroked="f">
                    <v:fill r:id="rId29" o:title="Kugeln" recolor="t" type="tile"/>
                    <o:lock v:ext="edit" aspectratio="t"/>
                  </v:rect>
                  <v:rect id="Rectangle 47" o:spid="_x0000_s1147" alt="Kugeln" style="position:absolute;left:45889;top:36376;width:649;height:13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" stroked="f">
                    <v:fill r:id="rId29" o:title="Kugeln" recolor="t" type="tile"/>
                    <o:lock v:ext="edit" aspectratio="t"/>
                  </v:rect>
                  <v:line id="Gerade Verbindung 253" o:spid="_x0000_s1148" style="position:absolute;visibility:visible;mso-wrap-style:square" from="33739,36433" to="33739,37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" strokecolor="windowText"/>
                  <v:line id="Gerade Verbindung 254" o:spid="_x0000_s1149" style="position:absolute;visibility:visible;mso-wrap-style:square" from="34438,36401" to="34438,37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" strokecolor="windowText"/>
                  <v:line id="Gerade Verbindung 255" o:spid="_x0000_s1150" style="position:absolute;visibility:visible;mso-wrap-style:square" from="45903,36433" to="45903,37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" strokecolor="windowText"/>
                  <v:line id="Gerade Verbindung 256" o:spid="_x0000_s1151" style="position:absolute;visibility:visible;mso-wrap-style:square" from="46522,36417" to="46522,37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" strokecolor="windowText"/>
                  <v:line id="Gerade Verbindung 257" o:spid="_x0000_s1152" style="position:absolute;visibility:visible;mso-wrap-style:square" from="58574,36449" to="58574,37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" strokecolor="windowText"/>
                  <v:line id="Gerade Verbindung 258" o:spid="_x0000_s1153" style="position:absolute;visibility:visible;mso-wrap-style:square" from="59257,36433" to="59257,37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" filled="t" fillcolor="black" strokecolor="windowText">
                    <v:fill r:id="rId30" o:title="" type="pattern"/>
                  </v:line>
                  <v:rect id="Rectangle 47" o:spid="_x0000_s1154" alt="Kugeln" style="position:absolute;left:29815;top:36612;width:643;height:1184;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" strokecolor="windowText">
                    <v:fill r:id="rId29" o:title="Kugeln" recolor="t" type="tile"/>
                    <o:lock v:ext="edit" aspectratio="t"/>
                  </v:rect>
                  <v:rect id="Rectangle 47" o:spid="_x0000_s1155" alt="Kugeln" style="position:absolute;left:59973;top:36622;width:643;height:1184;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" strokecolor="windowText">
                    <v:fill r:id="rId29" o:title="Kugeln" recolor="t" type="tile"/>
                    <o:lock v:ext="edit" aspectratio="t"/>
                  </v:rect>
                </v:group>
                <v:group id="Gruppieren 47" o:spid="_x0000_s1156" style="position:absolute;left:44465;top:34305;width:1175;height:1524" coordorigin="44465,34305" coordsize="1183,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">
                  <v:rect id="Rectangle 47" o:spid="_x0000_s1157" alt="Kugeln" style="position:absolute;left:44776;top:34699;width:558;height:112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" stroked="f">
                    <v:fill r:id="rId29" o:title="Kugeln" recolor="t" type="tile"/>
                    <o:lock v:ext="edit" aspectratio="t"/>
                  </v:rect>
                  <v:rect id="Rectangle 47" o:spid="_x0000_s1158" alt="Kugeln" style="position:absolute;left:44800;top:33970;width:513;height:1184;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" strokecolor="windowText">
                    <v:fill r:id="rId29" o:title="Kugeln" recolor="t" type="tile"/>
                    <o:lock v:ext="edit" aspectratio="t"/>
                  </v:rect>
                </v:group>
                <v:group id="Gruppieren 48" o:spid="_x0000_s1159" style="position:absolute;left:23481;top:34845;width:43342;height:7255" coordorigin="23481,34845" coordsize="43339,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">
                  <v:group id="Gruppieren 131" o:spid="_x0000_s1160" style="position:absolute;left:37213;top:34845;width:15288;height:7256" coordorigin="37213,34845" coordsize="15287,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">
                    <v:line id="Gerade Verbindung 206" o:spid="_x0000_s1161" style="position:absolute;visibility:visible;mso-wrap-style:square" from="44785,34861" to="44785,35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" strokecolor="windowText"/>
                    <v:line id="Gerade Verbindung 207" o:spid="_x0000_s1162" style="position:absolute;visibility:visible;mso-wrap-style:square" from="45341,34845" to="45341,3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" strokecolor="windowText"/>
                    <v:line id="Gerade Verbindung 396" o:spid="_x0000_s1163" style="position:absolute;visibility:visible;mso-wrap-style:square" from="37213,37465" to="37213,4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" strokecolor="windowText"/>
                    <v:line id="Gerade Verbindung 397" o:spid="_x0000_s1164" style="position:absolute;visibility:visible;mso-wrap-style:square" from="52501,37465" to="52501,4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" strokecolor="windowText"/>
                  </v:group>
                  <v:line id="Gerade Verbindung 269" o:spid="_x0000_s1165" style="position:absolute;visibility:visible;mso-wrap-style:square" from="66820,37068" to="66820,37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" strokecolor="windowText" strokeweight="3pt"/>
                  <v:line id="Gerade Verbindung 268" o:spid="_x0000_s1166" style="position:absolute;visibility:visible;mso-wrap-style:square" from="23481,37100" to="23481,37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" strokecolor="windowText" strokeweight="3pt"/>
                </v:group>
                <v:group id="Gruppieren 49" o:spid="_x0000_s1167" style="position:absolute;left:24496;top:26987;width:41832;height:12208" coordorigin="24496,26987" coordsize="41829,1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">
                  <v:group id="Gruppieren 118" o:spid="_x0000_s1168" style="position:absolute;left:25005;top:26987;width:41320;height:12215" coordorigin="25005,26987" coordsize="41320,1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">
                    <v:shape id="Gerade Verbindung mit Pfeil 122" o:spid="_x0000_s1169" type="#_x0000_t32" style="position:absolute;left:41465;top:30625;width:727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" strokecolor="#953735">
                      <v:stroke startarrow="block" endarrow="block"/>
                    </v:shape>
                    <v:shape id="Gerade Verbindung mit Pfeil 123" o:spid="_x0000_s1170" type="#_x0000_t32" style="position:absolute;left:42444;top:27981;width:16;height:5398;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" strokecolor="#953735">
                      <v:stroke startarrow="block" endarrow="block"/>
                    </v:shape>
                    <v:shape id="Gerade Verbindung mit Pfeil 124" o:spid="_x0000_s1171" type="#_x0000_t32" style="position:absolute;left:25005;top:35771;width:46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" strokecolor="#953735">
                      <v:stroke startarrow="block" endarrow="block"/>
                    </v:shape>
                    <v:shape id="_x0000_s1172" type="#_x0000_t202" style="position:absolute;left:60356;top:35546;width:5969;height:3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" filled="f" stroked="f">
                      <o:lock v:ext="edit" aspectratio="t"/>
                      <v:textbox style="mso-fit-shape-to-text:t" inset="2.108mm,1.054mm,2.108mm,1.054mm">
                        <w:txbxContent>
                          <w:p w:rsidR="00AA4416" w:rsidRDefault="00AA4416" w:rsidP="00A21536">
                            <w:pPr>
                              <w:pStyle w:val="NormalWeb"/>
                              <w:spacing w:after="200"/>
                              <w:textAlignment w:val="baseline"/>
                            </w:pPr>
                            <w:r w:rsidRPr="00C1504E">
                              <w:rPr>
                                <w:rFonts w:ascii="Arial" w:hAnsi="Arial" w:cstheme="minorBidi"/>
                                <w:color w:val="943634" w:themeColor="accent2" w:themeShade="BF"/>
                                <w:kern w:val="24"/>
                                <w:sz w:val="18"/>
                                <w:szCs w:val="18"/>
                                <w:u w:val="single"/>
                              </w:rPr>
                              <w:t>&gt;</w:t>
                            </w:r>
                            <w:r w:rsidRPr="00C1504E">
                              <w:rPr>
                                <w:rFonts w:ascii="Arial" w:hAnsi="Arial" w:cstheme="minorBidi"/>
                                <w:color w:val="943634" w:themeColor="accent2" w:themeShade="BF"/>
                                <w:kern w:val="24"/>
                                <w:sz w:val="18"/>
                                <w:szCs w:val="18"/>
                              </w:rPr>
                              <w:t>2,50 m</w:t>
                            </w:r>
                          </w:p>
                        </w:txbxContent>
                      </v:textbox>
                    </v:shape>
                    <v:shape id="_x0000_s1173" type="#_x0000_t202" style="position:absolute;left:45414;top:33227;width:6477;height:3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" filled="f" stroked="f">
                      <o:lock v:ext="edit" aspectratio="t"/>
                      <v:textbox style="mso-fit-shape-to-text:t" inset="2.108mm,1.054mm,2.108mm,1.054mm">
                        <w:txbxContent>
                          <w:p w:rsidR="00AA4416" w:rsidRDefault="00AA4416" w:rsidP="00A21536">
                            <w:pPr>
                              <w:pStyle w:val="NormalWeb"/>
                              <w:spacing w:after="200"/>
                              <w:textAlignment w:val="baseline"/>
                            </w:pPr>
                            <w:r w:rsidRPr="00C1504E">
                              <w:rPr>
                                <w:rFonts w:ascii="Arial" w:hAnsi="Arial" w:cs="Arial"/>
                                <w:color w:val="943634" w:themeColor="accent2" w:themeShade="BF"/>
                                <w:kern w:val="24"/>
                                <w:sz w:val="18"/>
                                <w:szCs w:val="18"/>
                                <w:u w:val="single"/>
                              </w:rPr>
                              <w:t>&gt;</w:t>
                            </w:r>
                            <w:r w:rsidRPr="00C1504E">
                              <w:rPr>
                                <w:rFonts w:ascii="Arial" w:hAnsi="Arial" w:cs="Arial"/>
                                <w:color w:val="943634" w:themeColor="accent2" w:themeShade="BF"/>
                                <w:kern w:val="24"/>
                                <w:sz w:val="18"/>
                                <w:szCs w:val="18"/>
                              </w:rPr>
                              <w:t xml:space="preserve"> </w:t>
                            </w:r>
                            <w:r w:rsidRPr="00C1504E">
                              <w:rPr>
                                <w:rFonts w:ascii="Arial" w:hAnsi="Arial" w:cstheme="minorBidi"/>
                                <w:color w:val="943634" w:themeColor="accent2" w:themeShade="BF"/>
                                <w:kern w:val="24"/>
                                <w:sz w:val="18"/>
                                <w:szCs w:val="18"/>
                              </w:rPr>
                              <w:t>2,50 m</w:t>
                            </w:r>
                          </w:p>
                        </w:txbxContent>
                      </v:textbox>
                    </v:shape>
                    <v:shape id="_x0000_s1174" type="#_x0000_t202" style="position:absolute;left:51197;top:33218;width:7162;height:3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" filled="f" stroked="f">
                      <o:lock v:ext="edit" aspectratio="t"/>
                      <v:textbox style="mso-fit-shape-to-text:t" inset="2.108mm,1.054mm,2.108mm,1.054mm">
                        <w:txbxContent>
                          <w:p w:rsidR="00AA4416" w:rsidRDefault="00AA4416" w:rsidP="00A21536">
                            <w:pPr>
                              <w:pStyle w:val="NormalWeb"/>
                              <w:spacing w:after="200"/>
                              <w:textAlignment w:val="baseline"/>
                            </w:pPr>
                            <w:r w:rsidRPr="00C1504E">
                              <w:rPr>
                                <w:rFonts w:ascii="Arial" w:hAnsi="Arial" w:cstheme="minorBidi"/>
                                <w:color w:val="943634" w:themeColor="accent2" w:themeShade="BF"/>
                                <w:kern w:val="24"/>
                                <w:sz w:val="18"/>
                                <w:szCs w:val="18"/>
                                <w:u w:val="single"/>
                              </w:rPr>
                              <w:t>&gt;</w:t>
                            </w:r>
                            <w:r w:rsidRPr="00C1504E">
                              <w:rPr>
                                <w:rFonts w:ascii="Arial" w:hAnsi="Arial" w:cstheme="minorBidi"/>
                                <w:color w:val="943634" w:themeColor="accent2" w:themeShade="BF"/>
                                <w:kern w:val="24"/>
                                <w:sz w:val="18"/>
                                <w:szCs w:val="18"/>
                              </w:rPr>
                              <w:t>1,50 m</w:t>
                            </w:r>
                          </w:p>
                        </w:txbxContent>
                      </v:textbox>
                    </v:shape>
                    <v:shape id="_x0000_s1175" type="#_x0000_t202" style="position:absolute;left:44666;top:28150;width:5969;height:3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" filled="f" stroked="f">
                      <o:lock v:ext="edit" aspectratio="t"/>
                      <v:textbox style="mso-fit-shape-to-text:t" inset="2.108mm,1.054mm,2.108mm,1.054mm">
                        <w:txbxContent>
                          <w:p w:rsidR="00AA4416" w:rsidRDefault="00AA4416" w:rsidP="00A21536">
                            <w:pPr>
                              <w:pStyle w:val="NormalWeb"/>
                              <w:spacing w:after="200"/>
                              <w:textAlignment w:val="baseline"/>
                            </w:pPr>
                            <w:r w:rsidRPr="00C1504E">
                              <w:rPr>
                                <w:rFonts w:ascii="Arial" w:hAnsi="Arial" w:cstheme="minorBidi"/>
                                <w:color w:val="943634" w:themeColor="accent2" w:themeShade="BF"/>
                                <w:kern w:val="24"/>
                                <w:sz w:val="18"/>
                                <w:szCs w:val="18"/>
                              </w:rPr>
                              <w:t>4,00 m</w:t>
                            </w:r>
                          </w:p>
                        </w:txbxContent>
                      </v:textbox>
                    </v:shape>
                    <v:shape id="_x0000_s1176" type="#_x0000_t202" style="position:absolute;left:40037;top:30464;width:5969;height:3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" filled="f" stroked="f">
                      <o:lock v:ext="edit" aspectratio="t"/>
                      <v:textbox style="mso-fit-shape-to-text:t" inset="2.108mm,1.054mm,2.108mm,1.054mm">
                        <w:txbxContent>
                          <w:p w:rsidR="00AA4416" w:rsidRDefault="00AA4416" w:rsidP="00A21536">
                            <w:pPr>
                              <w:pStyle w:val="NormalWeb"/>
                              <w:spacing w:after="200"/>
                              <w:textAlignment w:val="baseline"/>
                            </w:pPr>
                            <w:r w:rsidRPr="00C1504E">
                              <w:rPr>
                                <w:rFonts w:ascii="Arial" w:hAnsi="Arial" w:cstheme="minorBidi"/>
                                <w:color w:val="943634" w:themeColor="accent2" w:themeShade="BF"/>
                                <w:kern w:val="24"/>
                                <w:sz w:val="18"/>
                                <w:szCs w:val="18"/>
                              </w:rPr>
                              <w:t>3,00 m</w:t>
                            </w:r>
                          </w:p>
                        </w:txbxContent>
                      </v:textbox>
                    </v:shape>
                    <v:shape id="Gerade Verbindung mit Pfeil 130" o:spid="_x0000_s1177" type="#_x0000_t32" style="position:absolute;left:48363;top:35144;width:4639;height:16;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" strokecolor="#953735">
                      <v:stroke startarrow="block" endarrow="block"/>
                    </v:shape>
                  </v:group>
                  <v:shape id="Gerade Verbindung mit Pfeil 119" o:spid="_x0000_s1178" type="#_x0000_t32" style="position:absolute;left:54953;top:34302;width:2764;height:16;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" strokecolor="#953735">
                    <v:stroke startarrow="block" endarrow="block"/>
                  </v:shape>
                  <v:shape id="Gerade Verbindung mit Pfeil 120" o:spid="_x0000_s1179" type="#_x0000_t32" style="position:absolute;left:60819;top:35787;width:4636;height: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" strokecolor="#953735">
                    <v:stroke startarrow="block" endarrow="block"/>
                  </v:shape>
                  <v:shape id="_x0000_s1180" type="#_x0000_t202" style="position:absolute;left:24496;top:35499;width:6604;height:3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" filled="f" stroked="f">
                    <o:lock v:ext="edit" aspectratio="t"/>
                    <v:textbox style="mso-fit-shape-to-text:t" inset="2.108mm,1.054mm,2.108mm,1.054mm">
                      <w:txbxContent>
                        <w:p w:rsidR="00AA4416" w:rsidRDefault="00AA4416" w:rsidP="00A21536">
                          <w:pPr>
                            <w:pStyle w:val="NormalWeb"/>
                            <w:spacing w:after="200"/>
                            <w:textAlignment w:val="baseline"/>
                          </w:pPr>
                          <w:r w:rsidRPr="00C1504E">
                            <w:rPr>
                              <w:rFonts w:ascii="Arial" w:hAnsi="Arial" w:cstheme="minorBidi"/>
                              <w:color w:val="943634" w:themeColor="accent2" w:themeShade="BF"/>
                              <w:kern w:val="24"/>
                              <w:sz w:val="18"/>
                              <w:szCs w:val="18"/>
                              <w:u w:val="single"/>
                            </w:rPr>
                            <w:t>&gt;</w:t>
                          </w:r>
                          <w:r w:rsidRPr="00C1504E">
                            <w:rPr>
                              <w:rFonts w:ascii="Arial" w:hAnsi="Arial" w:cstheme="minorBidi"/>
                              <w:color w:val="943634" w:themeColor="accent2" w:themeShade="BF"/>
                              <w:kern w:val="24"/>
                              <w:sz w:val="18"/>
                              <w:szCs w:val="18"/>
                            </w:rPr>
                            <w:t>2,50 m</w:t>
                          </w:r>
                        </w:p>
                      </w:txbxContent>
                    </v:textbox>
                  </v:shape>
                </v:group>
                <v:shape id="_x0000_s1181" type="#_x0000_t202" style="position:absolute;left:50707;top:27445;width:5969;height:3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" filled="f" stroked="f">
                  <o:lock v:ext="edit" aspectratio="t"/>
                  <v:textbox style="mso-fit-shape-to-text:t" inset="2.108mm,1.054mm,2.108mm,1.054mm">
                    <w:txbxContent>
                      <w:p w:rsidR="00AA4416" w:rsidRDefault="00AA4416" w:rsidP="00A21536">
                        <w:pPr>
                          <w:pStyle w:val="NormalWeb"/>
                          <w:spacing w:after="200"/>
                          <w:textAlignment w:val="baseline"/>
                        </w:pPr>
                        <w:r w:rsidRPr="00C1504E">
                          <w:rPr>
                            <w:rFonts w:ascii="Arial" w:hAnsi="Arial" w:cstheme="minorBidi"/>
                            <w:color w:val="5F497A" w:themeColor="accent4" w:themeShade="BF"/>
                            <w:kern w:val="24"/>
                            <w:sz w:val="18"/>
                            <w:szCs w:val="18"/>
                          </w:rPr>
                          <w:t>3,00 m</w:t>
                        </w:r>
                      </w:p>
                    </w:txbxContent>
                  </v:textbox>
                </v:shape>
                <v:shape id="Gerade Verbindung mit Pfeil 51" o:spid="_x0000_s1182" type="#_x0000_t32" style="position:absolute;left:23624;top:34353;width:21734;height: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" strokecolor="windowText">
                  <v:stroke startarrow="open" endarrow="open"/>
                </v:shape>
                <v:shape id="_x0000_s1183" type="#_x0000_t202" style="position:absolute;left:32780;top:32565;width:815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" filled="f" stroked="f">
                  <o:lock v:ext="edit" aspectratio="t"/>
                  <v:textbox style="mso-fit-shape-to-text:t" inset="2.108mm,1.054mm,2.108mm,1.054mm">
                    <w:txbxContent>
                      <w:p w:rsidR="00AA4416" w:rsidRDefault="00AA4416" w:rsidP="00A21536">
                        <w:pPr>
                          <w:pStyle w:val="NormalWeb"/>
                          <w:spacing w:after="200"/>
                          <w:textAlignment w:val="baseline"/>
                        </w:pPr>
                        <w:r w:rsidRPr="00C1504E">
                          <w:rPr>
                            <w:rFonts w:ascii="Arial" w:hAnsi="Arial" w:cs="Arial"/>
                            <w:color w:val="000000" w:themeColor="text1"/>
                            <w:kern w:val="24"/>
                            <w:sz w:val="18"/>
                            <w:szCs w:val="18"/>
                            <w:u w:val="single"/>
                          </w:rPr>
                          <w:t>&gt;</w:t>
                        </w:r>
                        <w:r w:rsidRPr="00C1504E">
                          <w:rPr>
                            <w:rFonts w:ascii="Arial" w:hAnsi="Arial" w:cs="Arial"/>
                            <w:color w:val="000000" w:themeColor="text1"/>
                            <w:kern w:val="24"/>
                            <w:sz w:val="18"/>
                            <w:szCs w:val="18"/>
                          </w:rPr>
                          <w:t xml:space="preserve"> 6,00 m</w:t>
                        </w:r>
                      </w:p>
                    </w:txbxContent>
                  </v:textbox>
                </v:shape>
                <v:line id="Line 16" o:spid="_x0000_s1184" alt="Große Konfetti" style="position:absolute;rotation:2416306fd;visibility:visible;mso-wrap-style:square" from="23225,36576" to="23606,37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" strokecolor="#943634">
                  <v:stroke endarrow="block"/>
                </v:line>
                <v:line id="Line 17" o:spid="_x0000_s1185" alt="Große Konfetti" style="position:absolute;rotation:2416306fd;flip:y;visibility:visible;mso-wrap-style:square" from="23209,37639" to="23606,38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" strokecolor="#943634">
                  <v:stroke endarrow="block"/>
                </v:line>
                <v:line id="Line 16" o:spid="_x0000_s1186" alt="Große Konfetti" style="position:absolute;rotation:2416306fd;visibility:visible;mso-wrap-style:square" from="66675,36464" to="67056,3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" strokecolor="#943634">
                  <v:stroke endarrow="block"/>
                </v:line>
                <v:line id="Line 17" o:spid="_x0000_s1187" alt="Große Konfetti" style="position:absolute;rotation:2416306fd;flip:y;visibility:visible;mso-wrap-style:square" from="66659,37623" to="67056,38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" strokecolor="#943634">
                  <v:stroke endarrow="block"/>
                </v:line>
                <v:group id="Group 20" o:spid="_x0000_s1188" style="position:absolute;top:14097;width:25215;height:7461" coordorigin=",14097" coordsize="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">
                  <v:rect id="Rectangle 21" o:spid="_x0000_s1189" style="position:absolute;left:14;top:14098;width:2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"/>
                  <v:shape id="Arc 22" o:spid="_x0000_s1190" style="position:absolute;top:14099;width:14;height:2;rotation:-11655833fd;flip:y;visibility:visible;mso-wrap-style:square;v-text-anchor:top" coordsize="2268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" path="m,27nfc362,9,724,-1,1087,,13016,,22687,9670,22687,21600em,27nsc362,9,724,-1,1087,,13016,,22687,9670,22687,21600r-21600,l,27xe" filled="f">
                    <v:path arrowok="t" o:extrusionok="f" o:connecttype="custom" o:connectlocs="0,0;0,0;0,0" o:connectangles="0,0,0" textboxrect="0,0,22687,21600"/>
                  </v:shape>
                  <v:shape id="Arc 23" o:spid="_x0000_s1191" style="position:absolute;top:14106;width:13;height:2;rotation:-11655833fd;visibility:visible;mso-wrap-style:square;v-text-anchor:top" coordsize="2268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" path="m,27nfc362,9,724,-1,1087,,13016,,22687,9670,22687,21600em,27nsc362,9,724,-1,1087,,13016,,22687,9670,22687,21600r-21600,l,27xe" filled="f">
                    <v:path arrowok="t" o:extrusionok="f" o:connecttype="custom" o:connectlocs="0,0;0,0;0,0" o:connectangles="0,0,0" textboxrect="0,0,22687,21600"/>
                  </v:shape>
                  <v:shape id="AutoShape 24" o:spid="_x0000_s1192" type="#_x0000_t32" style="position:absolute;top:14101;width:0;height: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"/>
                  <v:rect id="Rectangle 25" o:spid="_x0000_s1193" alt="5%" style="position:absolute;left:19;top:14099;width:17;height: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" stroked="f">
                    <v:fill r:id="rId31" o:title="5%" recolor="t" type="tile"/>
                  </v:rect>
                  <v:rect id="Rectangle 26" o:spid="_x0000_s1194" style="position:absolute;left:12;top:14100;width:22;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"/>
                  <v:rect id="Rectangle 27" o:spid="_x0000_s1195" style="position:absolute;left:32;top:14099;width: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" strokecolor="#5a5a5a" strokeweight="3pt"/>
                  <v:rect id="Rectangle 28" o:spid="_x0000_s1196" style="position:absolute;left:27;top:14100;width: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" fillcolor="#d8d8d8"/>
                  <v:shape id="AutoShape 29" o:spid="_x0000_s1197" style="position:absolute;left:5;top:14100;width:7;height:8;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" path="m,l5400,21600r10800,l21600,,,xe">
                    <v:stroke joinstyle="miter"/>
                    <v:path o:connecttype="custom" o:connectlocs="0,0;0,0;0,0;0,0" o:connectangles="0,0,0,0" textboxrect="4490,4495,17110,17105"/>
                  </v:shape>
                  <v:rect id="Rectangle 30" o:spid="_x0000_s1198" style="position:absolute;left:13;top:14100;width:0;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" stroked="f">
                    <o:lock v:ext="edit" aspectratio="t"/>
                  </v:rect>
                  <v:rect id="Rectangle 31" o:spid="_x0000_s1199" style="position:absolute;left:13;top:14099;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" stroked="f"/>
                  <v:shape id="Text Box 32" o:spid="_x0000_s1200" type="#_x0000_t202" style="position:absolute;left:25;top:14100;width:1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" filled="f" stroked="f">
                    <v:textbox>
                      <w:txbxContent>
                        <w:p w:rsidR="00AA4416" w:rsidRDefault="00AA4416" w:rsidP="00A21536">
                          <w:pPr>
                            <w:pStyle w:val="NormalWeb"/>
                            <w:spacing w:after="200"/>
                            <w:textAlignment w:val="baseline"/>
                          </w:pPr>
                          <w:r w:rsidRPr="00C1504E">
                            <w:rPr>
                              <w:rFonts w:ascii="Arial" w:hAnsi="Arial" w:cs="Arial"/>
                              <w:color w:val="000000" w:themeColor="text1"/>
                              <w:kern w:val="24"/>
                              <w:sz w:val="12"/>
                              <w:szCs w:val="12"/>
                            </w:rPr>
                            <w:t>Bewegliches</w:t>
                          </w:r>
                          <w:r w:rsidRPr="00C1504E">
                            <w:rPr>
                              <w:rFonts w:ascii="Arial" w:hAnsi="Arial" w:cs="Arial"/>
                              <w:color w:val="000000" w:themeColor="text1"/>
                              <w:kern w:val="24"/>
                              <w:sz w:val="12"/>
                              <w:szCs w:val="12"/>
                            </w:rPr>
                            <w:br/>
                            <w:t>Steuerhaus</w:t>
                          </w:r>
                        </w:p>
                      </w:txbxContent>
                    </v:textbox>
                  </v:shape>
                  <v:group id="Group 33" o:spid="_x0000_s1201" style="position:absolute;left:32;top:14097;width:2;height:1" coordorigin="32,14097"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">
                    <v:line id="Line 34" o:spid="_x0000_s1202" style="position:absolute;rotation:8314546fd;visibility:visible;mso-wrap-style:square" from="32,14097" to="33,14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" strokecolor="#595959">
                      <v:stroke startarrow="block" endarrow="block"/>
                    </v:line>
                  </v:group>
                  <v:rect id="Rectangle 35" o:spid="_x0000_s1203" style="position:absolute;left:13;top:14107;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" stroked="f"/>
                </v:group>
                <v:shape id="Text Box 36" o:spid="_x0000_s1204" type="#_x0000_t202" style="position:absolute;left:590;top:23975;width:27798;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" filled="f" stroked="f">
                  <o:lock v:ext="edit" aspectratio="t"/>
                  <v:textbox inset="2.108mm,1.054mm,2.108mm,1.054mm">
                    <w:txbxContent>
                      <w:p w:rsidR="00AA4416" w:rsidRPr="00DD6C7A" w:rsidRDefault="00AA4416" w:rsidP="00A21536">
                        <w:pPr>
                          <w:pStyle w:val="NormalWeb"/>
                          <w:spacing w:after="200"/>
                          <w:textAlignment w:val="baseline"/>
                          <w:rPr>
                            <w:lang w:val="de-DE"/>
                          </w:rPr>
                        </w:pPr>
                        <w:r w:rsidRPr="00BA6439">
                          <w:rPr>
                            <w:rFonts w:ascii="Verdana" w:hAnsi="Verdana" w:cs="Arial"/>
                            <w:color w:val="000000"/>
                            <w:kern w:val="24"/>
                            <w:sz w:val="16"/>
                            <w:szCs w:val="16"/>
                            <w:lang w:val="de-DE"/>
                          </w:rPr>
                          <w:t>Schutzwand;  gas- und flüssigkeitsdicht,</w:t>
                        </w:r>
                        <w:r>
                          <w:rPr>
                            <w:rFonts w:ascii="Verdana" w:hAnsi="Verdana" w:cs="Arial"/>
                            <w:color w:val="000000"/>
                            <w:kern w:val="24"/>
                            <w:sz w:val="16"/>
                            <w:szCs w:val="16"/>
                            <w:lang w:val="de-DE"/>
                          </w:rPr>
                          <w:br/>
                        </w:r>
                        <w:r w:rsidRPr="00BA6439">
                          <w:rPr>
                            <w:rFonts w:ascii="Verdana" w:hAnsi="Verdana" w:cs="Arial"/>
                            <w:color w:val="000000"/>
                            <w:kern w:val="24"/>
                            <w:sz w:val="16"/>
                            <w:szCs w:val="16"/>
                            <w:lang w:val="de-DE"/>
                          </w:rPr>
                          <w:t xml:space="preserve">h: </w:t>
                        </w:r>
                        <w:r w:rsidRPr="00597467">
                          <w:rPr>
                            <w:rFonts w:ascii="Verdana" w:hAnsi="Verdana" w:cstheme="minorBidi"/>
                            <w:color w:val="000000"/>
                            <w:kern w:val="24"/>
                            <w:sz w:val="18"/>
                            <w:szCs w:val="18"/>
                            <w:u w:val="single"/>
                            <w:lang w:val="de-DE"/>
                          </w:rPr>
                          <w:t>&gt;</w:t>
                        </w:r>
                        <w:r w:rsidRPr="00BA6439">
                          <w:rPr>
                            <w:rFonts w:ascii="Verdana" w:hAnsi="Verdana" w:cs="Arial"/>
                            <w:color w:val="000000"/>
                            <w:kern w:val="24"/>
                            <w:sz w:val="16"/>
                            <w:szCs w:val="16"/>
                            <w:lang w:val="de-DE"/>
                          </w:rPr>
                          <w:t xml:space="preserve"> 1,0</w:t>
                        </w:r>
                        <w:r>
                          <w:rPr>
                            <w:rFonts w:ascii="Verdana" w:hAnsi="Verdana" w:cs="Arial"/>
                            <w:color w:val="000000"/>
                            <w:kern w:val="24"/>
                            <w:sz w:val="16"/>
                            <w:szCs w:val="16"/>
                            <w:lang w:val="de-DE"/>
                          </w:rPr>
                          <w:t>0</w:t>
                        </w:r>
                        <w:r w:rsidRPr="00BA6439">
                          <w:rPr>
                            <w:rFonts w:ascii="Verdana" w:hAnsi="Verdana" w:cs="Arial"/>
                            <w:color w:val="000000"/>
                            <w:kern w:val="24"/>
                            <w:sz w:val="16"/>
                            <w:szCs w:val="16"/>
                            <w:lang w:val="de-DE"/>
                          </w:rPr>
                          <w:t xml:space="preserve"> m über anschließendem Ladetankdeck</w:t>
                        </w:r>
                        <w:r w:rsidRPr="00DD6C7A">
                          <w:rPr>
                            <w:rFonts w:ascii="Verdana" w:hAnsi="Verdana" w:cs="Arial"/>
                            <w:color w:val="000000"/>
                            <w:kern w:val="24"/>
                            <w:sz w:val="16"/>
                            <w:szCs w:val="16"/>
                            <w:lang w:val="de-DE"/>
                          </w:rPr>
                          <w:t xml:space="preserve"> </w:t>
                        </w:r>
                      </w:p>
                    </w:txbxContent>
                  </v:textbox>
                </v:shape>
                <v:line id="Line 100" o:spid="_x0000_s1205" style="position:absolute;visibility:visible;mso-wrap-style:square" from="15414,26781" to="22113,3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">
                  <v:stroke dashstyle="dashDot"/>
                </v:line>
                <v:line id="Gerade Verbindung 503" o:spid="_x0000_s1206" style="position:absolute;visibility:visible;mso-wrap-style:square" from="22338,10064" to="22465,46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" strokecolor="#1f497d">
                  <v:stroke dashstyle="dash"/>
                </v:line>
                <v:line id="Gerade Verbindung 505" o:spid="_x0000_s1207" style="position:absolute;visibility:visible;mso-wrap-style:square" from="67982,26797" to="68221,46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" strokecolor="#1f497d">
                  <v:stroke dashstyle="dash"/>
                </v:line>
                <v:line id="Line 100" o:spid="_x0000_s1208" style="position:absolute;visibility:visible;mso-wrap-style:square" from="23812,37719" to="37814,46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">
                  <v:stroke dashstyle="dashDot"/>
                </v:line>
                <v:line id="Line 100" o:spid="_x0000_s1209" style="position:absolute;flip:x;visibility:visible;mso-wrap-style:square" from="53625,37385" to="66516,46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">
                  <v:stroke dashstyle="dashDot"/>
                </v:line>
                <v:shape id="_x0000_s1210" type="#_x0000_t202" style="position:absolute;left:24258;top:31001;width:5969;height:3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" filled="f" stroked="f">
                  <o:lock v:ext="edit" aspectratio="t"/>
                  <v:textbox style="mso-fit-shape-to-text:t" inset="2.108mm,1.054mm,2.108mm,1.054mm">
                    <w:txbxContent>
                      <w:p w:rsidR="00AA4416" w:rsidRDefault="00AA4416" w:rsidP="00A21536">
                        <w:pPr>
                          <w:pStyle w:val="NormalWeb"/>
                          <w:spacing w:after="200"/>
                          <w:textAlignment w:val="baseline"/>
                        </w:pPr>
                        <w:r w:rsidRPr="00C1504E">
                          <w:rPr>
                            <w:rFonts w:ascii="Arial" w:hAnsi="Arial" w:cstheme="minorBidi"/>
                            <w:color w:val="5F497A" w:themeColor="accent4" w:themeShade="BF"/>
                            <w:kern w:val="24"/>
                            <w:sz w:val="18"/>
                            <w:szCs w:val="18"/>
                          </w:rPr>
                          <w:t>1,00 m</w:t>
                        </w:r>
                      </w:p>
                    </w:txbxContent>
                  </v:textbox>
                </v:shape>
                <v:shape id="Gerade Verbindung mit Pfeil 65" o:spid="_x0000_s1211" type="#_x0000_t32" style="position:absolute;left:24973;top:33464;width:1318;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" strokecolor="#604a7b">
                  <v:stroke startarrow="block"/>
                </v:shape>
                <v:shape id="Gerade Verbindung mit Pfeil 66" o:spid="_x0000_s1212" type="#_x0000_t32" style="position:absolute;left:22131;top:33432;width:1302;height: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" strokecolor="#604a7b">
                  <v:stroke startarrow="block"/>
                </v:shape>
                <v:line id="Line 100" o:spid="_x0000_s1213" style="position:absolute;flip:y;visibility:visible;mso-wrap-style:square" from="45005,18494" to="56642,35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">
                  <v:stroke dashstyle="dashDot"/>
                </v:line>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68" o:spid="_x0000_s1214" type="#_x0000_t64" style="position:absolute;left:51554;top:36298;width:12446;height:1762;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">
                  <v:stroke dashstyle="1 1"/>
                  <o:lock v:ext="edit" aspectratio="t"/>
                </v:shape>
                <v:line id="Line 10" o:spid="_x0000_s1215" style="position:absolute;flip:x;visibility:visible;mso-wrap-style:square" from="81724,38433" to="83264,38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">
                  <v:stroke dashstyle="1 1" endcap="round"/>
                </v:line>
                <v:line id="Gerade Verbindung 221" o:spid="_x0000_s1216" style="position:absolute;visibility:visible;mso-wrap-style:square" from="17845,34782" to="22512,3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" strokecolor="windowText">
                  <v:stroke dashstyle="longDash"/>
                </v:line>
                <v:rect id="Rectangle 15" o:spid="_x0000_s1217" alt="5%" style="position:absolute;left:20796;top:35591;width:1587;height:176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" strokecolor="#7f7f7f">
                  <v:fill r:id="rId32" o:title="5%" recolor="t" type="tile"/>
                  <o:lock v:ext="edit" aspectratio="t"/>
                </v:rect>
                <v:group id="Gruppieren 72" o:spid="_x0000_s1218" style="position:absolute;left:17478;top:32083;width:5667;height:4112" coordorigin="17478,32083" coordsize="5657,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">
                  <v:group id="Gruppieren 94" o:spid="_x0000_s1219" style="position:absolute;left:17478;top:32083;width:5658;height:4074" coordorigin="17478,32083" coordsize="5657,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">
                    <v:line id="Line 84" o:spid="_x0000_s1220" style="position:absolute;flip:y;visibility:visible;mso-wrap-style:square" from="17478,32083" to="23136,3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" strokecolor="windowText"/>
                    <v:line id="Line 85" o:spid="_x0000_s1221" style="position:absolute;visibility:visible;mso-wrap-style:square" from="17478,32083" to="17506,33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" strokecolor="windowText"/>
                    <v:line id="Line 86" o:spid="_x0000_s1222" style="position:absolute;rotation:-2;flip:x;visibility:visible;mso-wrap-style:square" from="22439,32112" to="23077,3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" strokecolor="windowText"/>
                    <v:line id="Line 88" o:spid="_x0000_s1223" style="position:absolute;visibility:visible;mso-wrap-style:square" from="17827,34092" to="17827,3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" strokecolor="windowText"/>
                  </v:group>
                  <v:group id="Gruppieren 95" o:spid="_x0000_s1224" style="position:absolute;left:17553;top:33934;width:4997;height:2266" coordorigin="17553,33934" coordsize="4996,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">
                    <v:line id="Line 83" o:spid="_x0000_s1225" style="position:absolute;rotation:8;flip:x;visibility:visible;mso-wrap-style:square" from="22262,34058" to="22550,3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" strokecolor="windowText"/>
                    <v:line id="Line 89" o:spid="_x0000_s1226" style="position:absolute;visibility:visible;mso-wrap-style:square" from="17553,33934" to="17775,33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" strokecolor="windowText"/>
                  </v:group>
                  <v:rect id="Rectangle 24" o:spid="_x0000_s1227" alt="Horizontal hell" style="position:absolute;left:18334;top:32733;width:3257;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" strokecolor="windowText">
                    <v:fill r:id="rId27" o:title="Horizontal hell" recolor="t" type="tile"/>
                    <o:lock v:ext="edit" aspectratio="t"/>
                  </v:rect>
                </v:group>
                <v:group id="Gruppieren 73" o:spid="_x0000_s1228" style="position:absolute;left:18479;top:33970;width:5950;height:3654" coordorigin="18479,33970" coordsize="5956,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">
                  <v:shape id="_x0000_s1229" type="#_x0000_t202" style="position:absolute;left:18479;top:33970;width:5956;height: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" filled="f" stroked="f">
                    <o:lock v:ext="edit" aspectratio="t"/>
                    <v:textbox style="mso-fit-shape-to-text:t" inset="2.108mm,1.054mm,2.108mm,1.054mm">
                      <w:txbxContent>
                        <w:p w:rsidR="00AA4416" w:rsidRDefault="00AA4416" w:rsidP="00A21536">
                          <w:pPr>
                            <w:pStyle w:val="NormalWeb"/>
                            <w:spacing w:after="200"/>
                            <w:textAlignment w:val="baseline"/>
                          </w:pPr>
                          <w:r w:rsidRPr="00C1504E">
                            <w:rPr>
                              <w:rFonts w:ascii="Arial" w:hAnsi="Arial" w:cstheme="minorBidi"/>
                              <w:color w:val="595959" w:themeColor="text1" w:themeTint="A6"/>
                              <w:kern w:val="24"/>
                              <w:sz w:val="18"/>
                              <w:szCs w:val="18"/>
                              <w:u w:val="single"/>
                            </w:rPr>
                            <w:t>&gt;</w:t>
                          </w:r>
                          <w:r w:rsidRPr="00C1504E">
                            <w:rPr>
                              <w:rFonts w:ascii="Arial" w:hAnsi="Arial" w:cstheme="minorBidi"/>
                              <w:color w:val="595959" w:themeColor="text1" w:themeTint="A6"/>
                              <w:kern w:val="24"/>
                              <w:sz w:val="18"/>
                              <w:szCs w:val="18"/>
                            </w:rPr>
                            <w:t>1,00 m</w:t>
                          </w:r>
                        </w:p>
                      </w:txbxContent>
                    </v:textbox>
                  </v:shape>
                  <v:shape id="Gerade Verbindung mit Pfeil 93" o:spid="_x0000_s1230" type="#_x0000_t32" style="position:absolute;left:19624;top:36028;width:1303;height:1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" strokecolor="#595959">
                    <v:stroke startarrow="block"/>
                  </v:shape>
                </v:group>
                <v:shape id="Textfeld 2" o:spid="_x0000_s1231" type="#_x0000_t202" style="position:absolute;left:38280;top:50216;width:14035;height:2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" filled="f" stroked="f">
                  <v:textbox style="mso-fit-shape-to-text:t">
                    <w:txbxContent>
                      <w:p w:rsidR="00AA4416" w:rsidRDefault="00AA4416" w:rsidP="00A21536">
                        <w:pPr>
                          <w:pStyle w:val="NormalWeb"/>
                          <w:kinsoku w:val="0"/>
                          <w:overflowPunct w:val="0"/>
                          <w:textAlignment w:val="baseline"/>
                        </w:pPr>
                        <w:r w:rsidRPr="00C1504E">
                          <w:rPr>
                            <w:rFonts w:ascii="Verdana" w:hAnsi="Verdana" w:cs="Arial"/>
                            <w:color w:val="000000" w:themeColor="text1"/>
                            <w:kern w:val="24"/>
                            <w:sz w:val="16"/>
                            <w:szCs w:val="16"/>
                          </w:rPr>
                          <w:t>äußeres Ladetankschott</w:t>
                        </w:r>
                      </w:p>
                    </w:txbxContent>
                  </v:textbox>
                </v:shape>
                <v:line id="Line 100" o:spid="_x0000_s1232" style="position:absolute;flip:x;visibility:visible;mso-wrap-style:square" from="51117,40147" to="66897,5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">
                  <v:stroke dashstyle="dashDot"/>
                </v:line>
                <v:line id="Line 100" o:spid="_x0000_s1233" style="position:absolute;flip:x;visibility:visible;mso-wrap-style:square" from="51054,41957" to="68135,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">
                  <v:stroke dashstyle="dashDot"/>
                </v:line>
                <v:line id="Line 100" o:spid="_x0000_s1234" style="position:absolute;visibility:visible;mso-wrap-style:square" from="22479,41862" to="39560,53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">
                  <v:stroke dashstyle="dashDot"/>
                </v:line>
                <v:line id="Line 100" o:spid="_x0000_s1235" style="position:absolute;visibility:visible;mso-wrap-style:square" from="23415,40052" to="39100,50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">
                  <v:stroke dashstyle="dashDot"/>
                </v:line>
                <v:line id="Gerader Verbinder 79" o:spid="_x0000_s1236" style="position:absolute;flip:x;visibility:visible;mso-wrap-style:square" from="16908,34147" to="16940,37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"/>
                <v:rect id="Rectangle 15" o:spid="_x0000_s1237" alt="5%" style="position:absolute;left:68122;top:35869;width:1587;height:176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" strokecolor="#7f7f7f">
                  <v:fill r:id="rId32" o:title="5%" recolor="t" type="tile"/>
                  <o:lock v:ext="edit" aspectratio="t"/>
                </v:rect>
                <v:shape id="Gerade Verbindung mit Pfeil 82" o:spid="_x0000_s1238" type="#_x0000_t32" style="position:absolute;left:22401;top:35941;width:1429;height:1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" strokecolor="#595959">
                  <v:stroke startarrow="block"/>
                </v:shape>
                <v:group id="Gruppieren 83" o:spid="_x0000_s1239" style="position:absolute;left:72818;top:55530;width:11014;height:2671" coordorigin="72818,55530" coordsize="11010,2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">
                  <v:rect id="Rectangle 220" o:spid="_x0000_s1240" alt="Kugeln" style="position:absolute;left:72818;top:56127;width:2699;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" strokecolor="#548dd4">
                    <v:fill r:id="rId33" o:title="Kugeln" recolor="t" type="tile"/>
                  </v:rect>
                  <v:shape id="Textfeld 5" o:spid="_x0000_s1241" type="#_x0000_t202" style="position:absolute;left:77131;top:55530;width:6698;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" filled="f" stroked="f">
                    <v:textbox style="mso-fit-shape-to-text:t">
                      <w:txbxContent>
                        <w:p w:rsidR="00AA4416" w:rsidRDefault="00AA4416" w:rsidP="00A21536">
                          <w:pPr>
                            <w:pStyle w:val="NormalWeb"/>
                            <w:kinsoku w:val="0"/>
                            <w:overflowPunct w:val="0"/>
                            <w:textAlignment w:val="baseline"/>
                          </w:pPr>
                          <w:r w:rsidRPr="00C1504E">
                            <w:rPr>
                              <w:rFonts w:ascii="Arial" w:hAnsi="Arial" w:cs="Arial"/>
                              <w:color w:val="000000" w:themeColor="text1"/>
                              <w:kern w:val="24"/>
                            </w:rPr>
                            <w:t>Zone 0</w:t>
                          </w:r>
                        </w:p>
                      </w:txbxContent>
                    </v:textbox>
                  </v:shape>
                </v:group>
                <v:group id="Gruppieren 84" o:spid="_x0000_s1242" style="position:absolute;left:72961;top:58229;width:10697;height:2671" coordorigin="72961,58229" coordsize="10693,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">
                  <v:rect id="Rectangle 221" o:spid="_x0000_s1243" alt="50%" style="position:absolute;left:72961;top:58761;width:269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" strokecolor="#943634">
                    <v:fill r:id="rId34" o:title="50%" recolor="t" type="tile"/>
                  </v:rect>
                  <v:shape id="_x0000_s1244" type="#_x0000_t202" style="position:absolute;left:77078;top:58229;width:6576;height:26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" filled="f" stroked="f">
                    <v:textbox style="mso-fit-shape-to-text:t">
                      <w:txbxContent>
                        <w:p w:rsidR="00AA4416" w:rsidRDefault="00AA4416" w:rsidP="00A21536">
                          <w:pPr>
                            <w:pStyle w:val="NormalWeb"/>
                            <w:kinsoku w:val="0"/>
                            <w:overflowPunct w:val="0"/>
                            <w:textAlignment w:val="baseline"/>
                          </w:pPr>
                          <w:r w:rsidRPr="00C1504E">
                            <w:rPr>
                              <w:rFonts w:ascii="Arial" w:hAnsi="Arial" w:cs="Arial"/>
                              <w:color w:val="000000" w:themeColor="text1"/>
                              <w:kern w:val="24"/>
                            </w:rPr>
                            <w:t>Zone 1</w:t>
                          </w:r>
                        </w:p>
                      </w:txbxContent>
                    </v:textbox>
                  </v:shape>
                </v:group>
                <v:group id="Gruppieren 85" o:spid="_x0000_s1245" style="position:absolute;left:72993;top:60753;width:10532;height:2671" coordorigin="72993,60753" coordsize="10518,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">
                  <v:rect id="Rectangle 219" o:spid="_x0000_s1246" alt="5%" style="position:absolute;left:72993;top:61319;width:2699;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" strokecolor="#5f497a">
                    <v:fill r:id="rId35" o:title="5%" recolor="t" type="tile"/>
                  </v:rect>
                  <v:shape id="Textfeld 224" o:spid="_x0000_s1247" type="#_x0000_t202" style="position:absolute;left:76941;top:60753;width:6570;height:26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" filled="f" stroked="f">
                    <v:textbox style="mso-fit-shape-to-text:t">
                      <w:txbxContent>
                        <w:p w:rsidR="00AA4416" w:rsidRDefault="00AA4416" w:rsidP="00A21536">
                          <w:pPr>
                            <w:pStyle w:val="NormalWeb"/>
                            <w:kinsoku w:val="0"/>
                            <w:overflowPunct w:val="0"/>
                            <w:textAlignment w:val="baseline"/>
                          </w:pPr>
                          <w:r w:rsidRPr="00C1504E">
                            <w:rPr>
                              <w:rFonts w:ascii="Arial" w:hAnsi="Arial" w:cs="Arial"/>
                              <w:color w:val="000000" w:themeColor="text1"/>
                              <w:kern w:val="24"/>
                            </w:rPr>
                            <w:t>Zone 2</w:t>
                          </w:r>
                        </w:p>
                      </w:txbxContent>
                    </v:textbox>
                  </v:shape>
                </v:group>
              </v:group>
            </w:pict>
          </mc:Fallback>
        </mc:AlternateContent>
      </w:r>
      <w:r w:rsidRPr="00DD2A86">
        <w:rPr>
          <w:noProof/>
          <w:lang w:val="fr-FR" w:eastAsia="fr-FR"/>
        </w:rPr>
        <mc:AlternateContent>
          <mc:Choice Requires="wps">
            <w:drawing>
              <wp:anchor distT="0" distB="0" distL="114300" distR="114300" simplePos="0" relativeHeight="251711488" behindDoc="0" locked="0" layoutInCell="1" allowOverlap="1" wp14:anchorId="3AE94512" wp14:editId="220BA9E5">
                <wp:simplePos x="0" y="0"/>
                <wp:positionH relativeFrom="column">
                  <wp:posOffset>3293082</wp:posOffset>
                </wp:positionH>
                <wp:positionV relativeFrom="paragraph">
                  <wp:posOffset>179125</wp:posOffset>
                </wp:positionV>
                <wp:extent cx="3947954" cy="277495"/>
                <wp:effectExtent l="0" t="0" r="0" b="5715"/>
                <wp:wrapNone/>
                <wp:docPr id="2607" name="Textfeld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7954"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Pr="002678D4" w:rsidRDefault="00AA4416" w:rsidP="00A21536">
                            <w:pPr>
                              <w:pStyle w:val="NormalWeb"/>
                              <w:rPr>
                                <w:rFonts w:ascii="Arial" w:hAnsi="Arial" w:cs="Arial"/>
                                <w:b/>
                                <w:sz w:val="28"/>
                                <w:szCs w:val="28"/>
                              </w:rPr>
                            </w:pPr>
                            <w:r w:rsidRPr="002678D4">
                              <w:rPr>
                                <w:rFonts w:ascii="Arial" w:hAnsi="Arial" w:cs="Arial"/>
                                <w:b/>
                                <w:bCs/>
                                <w:color w:val="000000" w:themeColor="text1"/>
                                <w:kern w:val="24"/>
                                <w:sz w:val="28"/>
                                <w:szCs w:val="28"/>
                                <w:lang w:val="de-DE"/>
                              </w:rPr>
                              <w:t>Zoneneinteilung bei Tankschiffen</w:t>
                            </w:r>
                          </w:p>
                        </w:txbxContent>
                      </wps:txbx>
                      <wps:bodyPr rot="0" vert="horz" wrap="square" lIns="91440" tIns="45720" rIns="91440" bIns="45720" anchor="t" anchorCtr="0" upright="1">
                        <a:spAutoFit/>
                      </wps:bodyPr>
                    </wps:wsp>
                  </a:graphicData>
                </a:graphic>
                <wp14:sizeRelH relativeFrom="margin">
                  <wp14:pctWidth>0</wp14:pctWidth>
                </wp14:sizeRelH>
              </wp:anchor>
            </w:drawing>
          </mc:Choice>
          <mc:Fallback>
            <w:pict>
              <v:shape w14:anchorId="3AE94512" id="Textfeld 223" o:spid="_x0000_s1248" type="#_x0000_t202" style="position:absolute;margin-left:259.3pt;margin-top:14.1pt;width:310.85pt;height:21.8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AeXvAIAAMY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" filled="f" stroked="f">
                <v:textbox style="mso-fit-shape-to-text:t">
                  <w:txbxContent>
                    <w:p w:rsidR="00AA4416" w:rsidRPr="002678D4" w:rsidRDefault="00AA4416" w:rsidP="00A21536">
                      <w:pPr>
                        <w:pStyle w:val="NormalWeb"/>
                        <w:rPr>
                          <w:rFonts w:ascii="Arial" w:hAnsi="Arial" w:cs="Arial"/>
                          <w:b/>
                          <w:sz w:val="28"/>
                          <w:szCs w:val="28"/>
                        </w:rPr>
                      </w:pPr>
                      <w:r w:rsidRPr="002678D4">
                        <w:rPr>
                          <w:rFonts w:ascii="Arial" w:hAnsi="Arial" w:cs="Arial"/>
                          <w:b/>
                          <w:bCs/>
                          <w:color w:val="000000" w:themeColor="text1"/>
                          <w:kern w:val="24"/>
                          <w:sz w:val="28"/>
                          <w:szCs w:val="28"/>
                          <w:lang w:val="de-DE"/>
                        </w:rPr>
                        <w:t>Zoneneinteilung bei Tankschiffen</w:t>
                      </w:r>
                    </w:p>
                  </w:txbxContent>
                </v:textbox>
              </v:shape>
            </w:pict>
          </mc:Fallback>
        </mc:AlternateContent>
      </w:r>
      <w:r w:rsidRPr="00DD2A86">
        <w:rPr>
          <w:rFonts w:eastAsia="Calibri"/>
          <w:b/>
          <w:sz w:val="28"/>
          <w:szCs w:val="28"/>
          <w:lang w:val="de-DE"/>
        </w:rPr>
        <w:br w:type="page"/>
      </w:r>
    </w:p>
    <w:p w:rsidR="00A21536" w:rsidRPr="00DD2A86" w:rsidRDefault="00A21536" w:rsidP="00A21536">
      <w:pPr>
        <w:suppressAutoHyphens w:val="0"/>
        <w:spacing w:line="240" w:lineRule="auto"/>
        <w:rPr>
          <w:rFonts w:eastAsia="Calibri"/>
          <w:b/>
          <w:sz w:val="28"/>
          <w:szCs w:val="28"/>
          <w:lang w:val="de-DE"/>
        </w:rPr>
      </w:pPr>
      <w:r w:rsidRPr="00DD2A86">
        <w:rPr>
          <w:rFonts w:ascii="Arial" w:eastAsia="Calibri" w:hAnsi="Arial"/>
          <w:noProof/>
          <w:szCs w:val="24"/>
          <w:lang w:val="fr-FR" w:eastAsia="fr-FR"/>
        </w:rPr>
        <mc:AlternateContent>
          <mc:Choice Requires="wpg">
            <w:drawing>
              <wp:anchor distT="0" distB="0" distL="114300" distR="114300" simplePos="0" relativeHeight="251712512" behindDoc="0" locked="0" layoutInCell="1" allowOverlap="1" wp14:anchorId="34816E50" wp14:editId="6471CEC6">
                <wp:simplePos x="0" y="0"/>
                <wp:positionH relativeFrom="margin">
                  <wp:posOffset>-203835</wp:posOffset>
                </wp:positionH>
                <wp:positionV relativeFrom="paragraph">
                  <wp:posOffset>93980</wp:posOffset>
                </wp:positionV>
                <wp:extent cx="9364019" cy="6400800"/>
                <wp:effectExtent l="0" t="0" r="0" b="0"/>
                <wp:wrapNone/>
                <wp:docPr id="2608" name="Gruppieren 212"/>
                <wp:cNvGraphicFramePr/>
                <a:graphic xmlns:a="http://schemas.openxmlformats.org/drawingml/2006/main">
                  <a:graphicData uri="http://schemas.microsoft.com/office/word/2010/wordprocessingGroup">
                    <wpg:wgp>
                      <wpg:cNvGrpSpPr/>
                      <wpg:grpSpPr bwMode="auto">
                        <a:xfrm>
                          <a:off x="0" y="0"/>
                          <a:ext cx="9364019" cy="6400800"/>
                          <a:chOff x="0" y="0"/>
                          <a:chExt cx="8579984" cy="6400800"/>
                        </a:xfrm>
                      </wpg:grpSpPr>
                      <wps:wsp>
                        <wps:cNvPr id="2609" name="Textfeld 466"/>
                        <wps:cNvSpPr txBox="1">
                          <a:spLocks noChangeArrowheads="1"/>
                        </wps:cNvSpPr>
                        <wps:spPr bwMode="auto">
                          <a:xfrm>
                            <a:off x="3532057" y="887413"/>
                            <a:ext cx="3105153"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Pr="002678D4" w:rsidRDefault="00AA4416" w:rsidP="00A21536">
                              <w:pPr>
                                <w:pStyle w:val="NormalWeb"/>
                                <w:textAlignment w:val="baseline"/>
                                <w:rPr>
                                  <w:b/>
                                  <w:sz w:val="28"/>
                                  <w:szCs w:val="28"/>
                                </w:rPr>
                              </w:pPr>
                              <w:r w:rsidRPr="002678D4">
                                <w:rPr>
                                  <w:rFonts w:ascii="Arial" w:hAnsi="Arial" w:cs="Arial"/>
                                  <w:b/>
                                  <w:color w:val="000000" w:themeColor="text1"/>
                                  <w:kern w:val="24"/>
                                  <w:sz w:val="28"/>
                                  <w:szCs w:val="28"/>
                                </w:rPr>
                                <w:t>Kofferdamm kein Betriebsraum</w:t>
                              </w:r>
                            </w:p>
                          </w:txbxContent>
                        </wps:txbx>
                        <wps:bodyPr wrap="square">
                          <a:noAutofit/>
                        </wps:bodyPr>
                      </wps:wsp>
                      <wps:wsp>
                        <wps:cNvPr id="2610" name="Rectangle 20" descr="5%"/>
                        <wps:cNvSpPr>
                          <a:spLocks noChangeAspect="1" noChangeArrowheads="1"/>
                        </wps:cNvSpPr>
                        <wps:spPr bwMode="auto">
                          <a:xfrm>
                            <a:off x="2490787" y="3698875"/>
                            <a:ext cx="109538" cy="173038"/>
                          </a:xfrm>
                          <a:prstGeom prst="rect">
                            <a:avLst/>
                          </a:prstGeom>
                          <a:blipFill dpi="0" rotWithShape="0">
                            <a:blip r:embed="rId17"/>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611" name="Line 6"/>
                        <wps:cNvCnPr/>
                        <wps:spPr bwMode="auto">
                          <a:xfrm>
                            <a:off x="153987"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2" name="Line 100"/>
                        <wps:cNvCnPr/>
                        <wps:spPr bwMode="auto">
                          <a:xfrm flipH="1">
                            <a:off x="1900237" y="2063750"/>
                            <a:ext cx="508000" cy="280988"/>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613" name="Text Box 63"/>
                        <wps:cNvSpPr txBox="1">
                          <a:spLocks noChangeAspect="1" noChangeArrowheads="1"/>
                        </wps:cNvSpPr>
                        <wps:spPr bwMode="auto">
                          <a:xfrm>
                            <a:off x="1850957" y="1093787"/>
                            <a:ext cx="775981" cy="373067"/>
                          </a:xfrm>
                          <a:prstGeom prst="rect">
                            <a:avLst/>
                          </a:prstGeom>
                          <a:noFill/>
                          <a:ln w="9525">
                            <a:noFill/>
                            <a:miter lim="800000"/>
                            <a:headEnd/>
                            <a:tailEnd/>
                          </a:ln>
                        </wps:spPr>
                        <wps:txbx>
                          <w:txbxContent>
                            <w:p w:rsidR="00AA4416" w:rsidRDefault="00AA4416" w:rsidP="00A21536">
                              <w:pPr>
                                <w:pStyle w:val="NormalWeb"/>
                                <w:spacing w:after="200"/>
                                <w:textAlignment w:val="baseline"/>
                              </w:pPr>
                              <w:r>
                                <w:rPr>
                                  <w:rFonts w:ascii="Arial" w:hAnsi="Arial" w:cstheme="minorBidi"/>
                                  <w:color w:val="7F7F7F" w:themeColor="text1" w:themeTint="80"/>
                                  <w:kern w:val="24"/>
                                  <w:sz w:val="22"/>
                                  <w:szCs w:val="22"/>
                                  <w:u w:val="single"/>
                                </w:rPr>
                                <w:t>&gt;</w:t>
                              </w:r>
                              <w:r>
                                <w:rPr>
                                  <w:rFonts w:ascii="Arial" w:hAnsi="Arial" w:cstheme="minorBidi"/>
                                  <w:color w:val="7F7F7F" w:themeColor="text1" w:themeTint="80"/>
                                  <w:kern w:val="24"/>
                                  <w:sz w:val="22"/>
                                  <w:szCs w:val="22"/>
                                </w:rPr>
                                <w:t>1,00 m</w:t>
                              </w:r>
                            </w:p>
                          </w:txbxContent>
                        </wps:txbx>
                        <wps:bodyPr wrap="square" lIns="75888" tIns="37944" rIns="75888" bIns="37944">
                          <a:noAutofit/>
                        </wps:bodyPr>
                      </wps:wsp>
                      <wpg:grpSp>
                        <wpg:cNvPr id="2614" name="Group 20"/>
                        <wpg:cNvGrpSpPr>
                          <a:grpSpLocks/>
                        </wpg:cNvGrpSpPr>
                        <wpg:grpSpPr bwMode="auto">
                          <a:xfrm>
                            <a:off x="246130" y="1352550"/>
                            <a:ext cx="2311401" cy="746125"/>
                            <a:chOff x="246062" y="1352550"/>
                            <a:chExt cx="3641" cy="1175"/>
                          </a:xfrm>
                        </wpg:grpSpPr>
                        <wps:wsp>
                          <wps:cNvPr id="2615" name="Rectangle 21"/>
                          <wps:cNvSpPr>
                            <a:spLocks noChangeArrowheads="1"/>
                          </wps:cNvSpPr>
                          <wps:spPr bwMode="auto">
                            <a:xfrm>
                              <a:off x="247477" y="1352738"/>
                              <a:ext cx="2112" cy="987"/>
                            </a:xfrm>
                            <a:prstGeom prst="rect">
                              <a:avLst/>
                            </a:prstGeom>
                            <a:solidFill>
                              <a:srgbClr val="FFFFFF"/>
                            </a:solidFill>
                            <a:ln w="9525">
                              <a:solidFill>
                                <a:srgbClr val="000000"/>
                              </a:solidFill>
                              <a:miter lim="800000"/>
                              <a:headEnd/>
                              <a:tailEnd/>
                            </a:ln>
                          </wps:spPr>
                          <wps:bodyPr/>
                        </wps:wsp>
                        <wps:wsp>
                          <wps:cNvPr id="2616" name="Arc 22"/>
                          <wps:cNvSpPr>
                            <a:spLocks/>
                          </wps:cNvSpPr>
                          <wps:spPr bwMode="auto">
                            <a:xfrm rot="10671234" flipV="1">
                              <a:off x="246070" y="1352760"/>
                              <a:ext cx="1398" cy="241"/>
                            </a:xfrm>
                            <a:custGeom>
                              <a:avLst/>
                              <a:gdLst>
                                <a:gd name="T0" fmla="*/ 0 w 22687"/>
                                <a:gd name="T1" fmla="*/ 0 h 21600"/>
                                <a:gd name="T2" fmla="*/ 0 w 22687"/>
                                <a:gd name="T3" fmla="*/ 0 h 21600"/>
                                <a:gd name="T4" fmla="*/ 0 w 22687"/>
                                <a:gd name="T5" fmla="*/ 0 h 21600"/>
                                <a:gd name="T6" fmla="*/ 0 60000 65536"/>
                                <a:gd name="T7" fmla="*/ 0 60000 65536"/>
                                <a:gd name="T8" fmla="*/ 0 60000 65536"/>
                                <a:gd name="T9" fmla="*/ 0 w 22687"/>
                                <a:gd name="T10" fmla="*/ 0 h 21600"/>
                                <a:gd name="T11" fmla="*/ 22687 w 22687"/>
                                <a:gd name="T12" fmla="*/ 21600 h 21600"/>
                              </a:gdLst>
                              <a:ahLst/>
                              <a:cxnLst>
                                <a:cxn ang="T6">
                                  <a:pos x="T0" y="T1"/>
                                </a:cxn>
                                <a:cxn ang="T7">
                                  <a:pos x="T2" y="T3"/>
                                </a:cxn>
                                <a:cxn ang="T8">
                                  <a:pos x="T4" y="T5"/>
                                </a:cxn>
                              </a:cxnLst>
                              <a:rect l="T9" t="T10" r="T11" b="T12"/>
                              <a:pathLst>
                                <a:path w="22687" h="21600" fill="none" extrusionOk="0">
                                  <a:moveTo>
                                    <a:pt x="0" y="27"/>
                                  </a:moveTo>
                                  <a:cubicBezTo>
                                    <a:pt x="362" y="9"/>
                                    <a:pt x="724" y="-1"/>
                                    <a:pt x="1087" y="0"/>
                                  </a:cubicBezTo>
                                  <a:cubicBezTo>
                                    <a:pt x="13016" y="0"/>
                                    <a:pt x="22687" y="9670"/>
                                    <a:pt x="22687" y="21600"/>
                                  </a:cubicBezTo>
                                </a:path>
                                <a:path w="22687" h="21600" stroke="0" extrusionOk="0">
                                  <a:moveTo>
                                    <a:pt x="0" y="27"/>
                                  </a:moveTo>
                                  <a:cubicBezTo>
                                    <a:pt x="362" y="9"/>
                                    <a:pt x="724" y="-1"/>
                                    <a:pt x="1087" y="0"/>
                                  </a:cubicBezTo>
                                  <a:cubicBezTo>
                                    <a:pt x="13016" y="0"/>
                                    <a:pt x="22687" y="9670"/>
                                    <a:pt x="22687" y="21600"/>
                                  </a:cubicBezTo>
                                  <a:lnTo>
                                    <a:pt x="1087" y="21600"/>
                                  </a:lnTo>
                                  <a:lnTo>
                                    <a:pt x="0" y="2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2617" name="Arc 23"/>
                          <wps:cNvSpPr>
                            <a:spLocks/>
                          </wps:cNvSpPr>
                          <wps:spPr bwMode="auto">
                            <a:xfrm rot="-10671234">
                              <a:off x="246062" y="1353457"/>
                              <a:ext cx="1398" cy="241"/>
                            </a:xfrm>
                            <a:custGeom>
                              <a:avLst/>
                              <a:gdLst>
                                <a:gd name="T0" fmla="*/ 0 w 22687"/>
                                <a:gd name="T1" fmla="*/ 0 h 21600"/>
                                <a:gd name="T2" fmla="*/ 0 w 22687"/>
                                <a:gd name="T3" fmla="*/ 0 h 21600"/>
                                <a:gd name="T4" fmla="*/ 0 w 22687"/>
                                <a:gd name="T5" fmla="*/ 0 h 21600"/>
                                <a:gd name="T6" fmla="*/ 0 60000 65536"/>
                                <a:gd name="T7" fmla="*/ 0 60000 65536"/>
                                <a:gd name="T8" fmla="*/ 0 60000 65536"/>
                                <a:gd name="T9" fmla="*/ 0 w 22687"/>
                                <a:gd name="T10" fmla="*/ 0 h 21600"/>
                                <a:gd name="T11" fmla="*/ 22687 w 22687"/>
                                <a:gd name="T12" fmla="*/ 21600 h 21600"/>
                              </a:gdLst>
                              <a:ahLst/>
                              <a:cxnLst>
                                <a:cxn ang="T6">
                                  <a:pos x="T0" y="T1"/>
                                </a:cxn>
                                <a:cxn ang="T7">
                                  <a:pos x="T2" y="T3"/>
                                </a:cxn>
                                <a:cxn ang="T8">
                                  <a:pos x="T4" y="T5"/>
                                </a:cxn>
                              </a:cxnLst>
                              <a:rect l="T9" t="T10" r="T11" b="T12"/>
                              <a:pathLst>
                                <a:path w="22687" h="21600" fill="none" extrusionOk="0">
                                  <a:moveTo>
                                    <a:pt x="0" y="27"/>
                                  </a:moveTo>
                                  <a:cubicBezTo>
                                    <a:pt x="362" y="9"/>
                                    <a:pt x="724" y="-1"/>
                                    <a:pt x="1087" y="0"/>
                                  </a:cubicBezTo>
                                  <a:cubicBezTo>
                                    <a:pt x="13016" y="0"/>
                                    <a:pt x="22687" y="9670"/>
                                    <a:pt x="22687" y="21600"/>
                                  </a:cubicBezTo>
                                </a:path>
                                <a:path w="22687" h="21600" stroke="0" extrusionOk="0">
                                  <a:moveTo>
                                    <a:pt x="0" y="27"/>
                                  </a:moveTo>
                                  <a:cubicBezTo>
                                    <a:pt x="362" y="9"/>
                                    <a:pt x="724" y="-1"/>
                                    <a:pt x="1087" y="0"/>
                                  </a:cubicBezTo>
                                  <a:cubicBezTo>
                                    <a:pt x="13016" y="0"/>
                                    <a:pt x="22687" y="9670"/>
                                    <a:pt x="22687" y="21600"/>
                                  </a:cubicBezTo>
                                  <a:lnTo>
                                    <a:pt x="1087" y="21600"/>
                                  </a:lnTo>
                                  <a:lnTo>
                                    <a:pt x="0" y="2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2618" name="AutoShape 24"/>
                          <wps:cNvCnPr>
                            <a:cxnSpLocks noChangeShapeType="1"/>
                            <a:stCxn id="2616" idx="1"/>
                            <a:endCxn id="2617" idx="1"/>
                          </wps:cNvCnPr>
                          <wps:spPr bwMode="auto">
                            <a:xfrm flipH="1">
                              <a:off x="246066" y="1353027"/>
                              <a:ext cx="8" cy="4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9" name="Rectangle 25" descr="5%"/>
                          <wps:cNvSpPr>
                            <a:spLocks noChangeArrowheads="1"/>
                          </wps:cNvSpPr>
                          <wps:spPr bwMode="auto">
                            <a:xfrm>
                              <a:off x="248029" y="1352767"/>
                              <a:ext cx="1674" cy="935"/>
                            </a:xfrm>
                            <a:prstGeom prst="rect">
                              <a:avLst/>
                            </a:prstGeom>
                            <a:blipFill dpi="0" rotWithShape="0">
                              <a:blip r:embed="rId2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620" name="Rectangle 26"/>
                          <wps:cNvSpPr>
                            <a:spLocks noChangeArrowheads="1"/>
                          </wps:cNvSpPr>
                          <wps:spPr bwMode="auto">
                            <a:xfrm>
                              <a:off x="247350" y="1352868"/>
                              <a:ext cx="2148" cy="734"/>
                            </a:xfrm>
                            <a:prstGeom prst="rect">
                              <a:avLst/>
                            </a:prstGeom>
                            <a:solidFill>
                              <a:srgbClr val="FFFFFF"/>
                            </a:solidFill>
                            <a:ln w="9525">
                              <a:solidFill>
                                <a:srgbClr val="000000"/>
                              </a:solidFill>
                              <a:miter lim="800000"/>
                              <a:headEnd/>
                              <a:tailEnd/>
                            </a:ln>
                          </wps:spPr>
                          <wps:bodyPr/>
                        </wps:wsp>
                        <wps:wsp>
                          <wps:cNvPr id="2621" name="Rectangle 27"/>
                          <wps:cNvSpPr>
                            <a:spLocks noChangeArrowheads="1"/>
                          </wps:cNvSpPr>
                          <wps:spPr bwMode="auto">
                            <a:xfrm>
                              <a:off x="249347" y="1352836"/>
                              <a:ext cx="231" cy="797"/>
                            </a:xfrm>
                            <a:prstGeom prst="rect">
                              <a:avLst/>
                            </a:prstGeom>
                            <a:solidFill>
                              <a:srgbClr val="FFFFFF"/>
                            </a:solidFill>
                            <a:ln w="38100">
                              <a:solidFill>
                                <a:srgbClr val="5A5A5A"/>
                              </a:solidFill>
                              <a:miter lim="800000"/>
                              <a:headEnd/>
                              <a:tailEnd/>
                            </a:ln>
                          </wps:spPr>
                          <wps:bodyPr/>
                        </wps:wsp>
                        <wps:wsp>
                          <wps:cNvPr id="2622" name="Rectangle 28"/>
                          <wps:cNvSpPr>
                            <a:spLocks noChangeArrowheads="1"/>
                          </wps:cNvSpPr>
                          <wps:spPr bwMode="auto">
                            <a:xfrm>
                              <a:off x="248855" y="1352868"/>
                              <a:ext cx="680" cy="734"/>
                            </a:xfrm>
                            <a:prstGeom prst="rect">
                              <a:avLst/>
                            </a:prstGeom>
                            <a:solidFill>
                              <a:srgbClr val="D8D8D8"/>
                            </a:solidFill>
                            <a:ln w="9525">
                              <a:solidFill>
                                <a:srgbClr val="000000"/>
                              </a:solidFill>
                              <a:miter lim="800000"/>
                              <a:headEnd/>
                              <a:tailEnd/>
                            </a:ln>
                          </wps:spPr>
                          <wps:bodyPr/>
                        </wps:wsp>
                        <wps:wsp>
                          <wps:cNvPr id="2623" name="AutoShape 29"/>
                          <wps:cNvSpPr>
                            <a:spLocks noChangeArrowheads="1"/>
                          </wps:cNvSpPr>
                          <wps:spPr bwMode="auto">
                            <a:xfrm rot="5400000">
                              <a:off x="246647" y="1352853"/>
                              <a:ext cx="736" cy="764"/>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4490 w 21600"/>
                                <a:gd name="T13" fmla="*/ 4495 h 21600"/>
                                <a:gd name="T14" fmla="*/ 17110 w 21600"/>
                                <a:gd name="T15" fmla="*/ 17105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wps:wsp>
                        <wps:wsp>
                          <wps:cNvPr id="2624" name="Rectangle 30"/>
                          <wps:cNvSpPr>
                            <a:spLocks noChangeAspect="1" noChangeArrowheads="1"/>
                          </wps:cNvSpPr>
                          <wps:spPr bwMode="auto">
                            <a:xfrm>
                              <a:off x="247385" y="1352884"/>
                              <a:ext cx="75" cy="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wps:wsp>
                        <wps:wsp>
                          <wps:cNvPr id="2625" name="Rectangle 31"/>
                          <wps:cNvSpPr>
                            <a:spLocks noChangeArrowheads="1"/>
                          </wps:cNvSpPr>
                          <wps:spPr bwMode="auto">
                            <a:xfrm>
                              <a:off x="247368" y="1352752"/>
                              <a:ext cx="257" cy="1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wps:wsp>
                        <wps:wsp>
                          <wps:cNvPr id="2626" name="Text Box 32"/>
                          <wps:cNvSpPr txBox="1">
                            <a:spLocks noChangeArrowheads="1"/>
                          </wps:cNvSpPr>
                          <wps:spPr bwMode="auto">
                            <a:xfrm>
                              <a:off x="248756" y="1352914"/>
                              <a:ext cx="912"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Default="00AA4416" w:rsidP="00D959F6">
                                <w:pPr>
                                  <w:pStyle w:val="NormalWeb"/>
                                  <w:textAlignment w:val="baseline"/>
                                </w:pPr>
                                <w:r>
                                  <w:rPr>
                                    <w:rFonts w:ascii="Arial" w:hAnsi="Arial" w:cs="Arial"/>
                                    <w:color w:val="000000" w:themeColor="text1"/>
                                    <w:kern w:val="24"/>
                                    <w:sz w:val="12"/>
                                    <w:szCs w:val="12"/>
                                  </w:rPr>
                                  <w:t xml:space="preserve">Bewegliches </w:t>
                                </w:r>
                              </w:p>
                              <w:p w:rsidR="00AA4416" w:rsidRDefault="00AA4416" w:rsidP="00A21536">
                                <w:pPr>
                                  <w:pStyle w:val="NormalWeb"/>
                                  <w:spacing w:after="200"/>
                                  <w:textAlignment w:val="baseline"/>
                                </w:pPr>
                                <w:r w:rsidRPr="00993052">
                                  <w:rPr>
                                    <w:rFonts w:ascii="Arial" w:hAnsi="Arial" w:cs="Arial"/>
                                    <w:color w:val="000000" w:themeColor="text1"/>
                                    <w:kern w:val="24"/>
                                    <w:sz w:val="12"/>
                                    <w:szCs w:val="12"/>
                                  </w:rPr>
                                  <w:t>Steuerhaus</w:t>
                                </w:r>
                              </w:p>
                            </w:txbxContent>
                          </wps:txbx>
                          <wps:bodyPr/>
                        </wps:wsp>
                        <wpg:grpSp>
                          <wpg:cNvPr id="2627" name="Group 33"/>
                          <wpg:cNvGrpSpPr>
                            <a:grpSpLocks/>
                          </wpg:cNvGrpSpPr>
                          <wpg:grpSpPr bwMode="auto">
                            <a:xfrm>
                              <a:off x="249315" y="1352550"/>
                              <a:ext cx="183" cy="135"/>
                              <a:chOff x="249315" y="1352550"/>
                              <a:chExt cx="183" cy="135"/>
                            </a:xfrm>
                          </wpg:grpSpPr>
                          <wps:wsp>
                            <wps:cNvPr id="2628" name="Line 34"/>
                            <wps:cNvCnPr/>
                            <wps:spPr bwMode="auto">
                              <a:xfrm rot="7612194">
                                <a:off x="249339" y="1352526"/>
                                <a:ext cx="135" cy="183"/>
                              </a:xfrm>
                              <a:prstGeom prst="line">
                                <a:avLst/>
                              </a:prstGeom>
                              <a:noFill/>
                              <a:ln w="9525">
                                <a:solidFill>
                                  <a:sysClr val="windowText" lastClr="000000">
                                    <a:lumMod val="65000"/>
                                    <a:lumOff val="35000"/>
                                  </a:sysClr>
                                </a:solidFill>
                                <a:round/>
                                <a:headEnd type="triangle" w="med" len="med"/>
                                <a:tailEnd type="triangle" w="med" len="med"/>
                              </a:ln>
                            </wps:spPr>
                            <wps:bodyPr/>
                          </wps:wsp>
                        </wpg:grpSp>
                        <wps:wsp>
                          <wps:cNvPr id="2629" name="Rectangle 35"/>
                          <wps:cNvSpPr>
                            <a:spLocks noChangeArrowheads="1"/>
                          </wps:cNvSpPr>
                          <wps:spPr bwMode="auto">
                            <a:xfrm>
                              <a:off x="247368" y="1353644"/>
                              <a:ext cx="291"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wps:wsp>
                      </wpg:grpSp>
                      <wps:wsp>
                        <wps:cNvPr id="2630" name="Text Box 36"/>
                        <wps:cNvSpPr txBox="1">
                          <a:spLocks noChangeAspect="1" noChangeArrowheads="1"/>
                        </wps:cNvSpPr>
                        <wps:spPr bwMode="auto">
                          <a:xfrm>
                            <a:off x="93093" y="2305050"/>
                            <a:ext cx="2464275" cy="468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Pr="00787FF8" w:rsidRDefault="00AA4416" w:rsidP="00A21536">
                              <w:pPr>
                                <w:pStyle w:val="NormalWeb"/>
                                <w:spacing w:after="200"/>
                                <w:textAlignment w:val="baseline"/>
                                <w:rPr>
                                  <w:lang w:val="de-DE"/>
                                </w:rPr>
                              </w:pPr>
                              <w:r w:rsidRPr="00BA6439">
                                <w:rPr>
                                  <w:rFonts w:ascii="Verdana" w:hAnsi="Verdana" w:cs="Arial"/>
                                  <w:color w:val="000000"/>
                                  <w:kern w:val="24"/>
                                  <w:sz w:val="16"/>
                                  <w:szCs w:val="16"/>
                                  <w:lang w:val="de-DE"/>
                                </w:rPr>
                                <w:t>Schutzwand;  gas- und flüssigkeitsdicht,</w:t>
                              </w:r>
                              <w:r>
                                <w:rPr>
                                  <w:rFonts w:ascii="Verdana" w:hAnsi="Verdana" w:cs="Arial"/>
                                  <w:color w:val="000000"/>
                                  <w:kern w:val="24"/>
                                  <w:sz w:val="16"/>
                                  <w:szCs w:val="16"/>
                                  <w:lang w:val="de-DE"/>
                                </w:rPr>
                                <w:br/>
                              </w:r>
                              <w:r w:rsidRPr="00BA6439">
                                <w:rPr>
                                  <w:rFonts w:ascii="Verdana" w:hAnsi="Verdana" w:cs="Arial"/>
                                  <w:color w:val="000000"/>
                                  <w:kern w:val="24"/>
                                  <w:sz w:val="16"/>
                                  <w:szCs w:val="16"/>
                                  <w:lang w:val="de-DE"/>
                                </w:rPr>
                                <w:t xml:space="preserve">h: </w:t>
                              </w:r>
                              <w:r w:rsidRPr="00597467">
                                <w:rPr>
                                  <w:rFonts w:ascii="Verdana" w:hAnsi="Verdana" w:cs="Arial"/>
                                  <w:color w:val="000000"/>
                                  <w:kern w:val="24"/>
                                  <w:sz w:val="16"/>
                                  <w:szCs w:val="16"/>
                                  <w:u w:val="single"/>
                                  <w:lang w:val="de-DE"/>
                                </w:rPr>
                                <w:t>&gt;</w:t>
                              </w:r>
                              <w:r w:rsidRPr="00BA6439">
                                <w:rPr>
                                  <w:rFonts w:ascii="Verdana" w:hAnsi="Verdana" w:cs="Arial"/>
                                  <w:color w:val="000000"/>
                                  <w:kern w:val="24"/>
                                  <w:sz w:val="16"/>
                                  <w:szCs w:val="16"/>
                                  <w:lang w:val="de-DE"/>
                                </w:rPr>
                                <w:t xml:space="preserve"> 1,0</w:t>
                              </w:r>
                              <w:r>
                                <w:rPr>
                                  <w:rFonts w:ascii="Verdana" w:hAnsi="Verdana" w:cs="Arial"/>
                                  <w:color w:val="000000"/>
                                  <w:kern w:val="24"/>
                                  <w:sz w:val="16"/>
                                  <w:szCs w:val="16"/>
                                  <w:lang w:val="de-DE"/>
                                </w:rPr>
                                <w:t>0</w:t>
                              </w:r>
                              <w:r w:rsidRPr="00BA6439">
                                <w:rPr>
                                  <w:rFonts w:ascii="Verdana" w:hAnsi="Verdana" w:cs="Arial"/>
                                  <w:color w:val="000000"/>
                                  <w:kern w:val="24"/>
                                  <w:sz w:val="16"/>
                                  <w:szCs w:val="16"/>
                                  <w:lang w:val="de-DE"/>
                                </w:rPr>
                                <w:t xml:space="preserve"> m über anschließendem Ladetankdeck</w:t>
                              </w:r>
                            </w:p>
                          </w:txbxContent>
                        </wps:txbx>
                        <wps:bodyPr lIns="75888" tIns="37944" rIns="75888" bIns="37944"/>
                      </wps:wsp>
                      <wpg:grpSp>
                        <wpg:cNvPr id="2631" name="Gruppieren 9"/>
                        <wpg:cNvGrpSpPr>
                          <a:grpSpLocks/>
                        </wpg:cNvGrpSpPr>
                        <wpg:grpSpPr bwMode="auto">
                          <a:xfrm>
                            <a:off x="252411" y="3127372"/>
                            <a:ext cx="2312988" cy="1322387"/>
                            <a:chOff x="252412" y="3127375"/>
                            <a:chExt cx="2311907" cy="1321747"/>
                          </a:xfrm>
                        </wpg:grpSpPr>
                        <wpg:grpSp>
                          <wpg:cNvPr id="2632" name="Gruppieren 165"/>
                          <wpg:cNvGrpSpPr>
                            <a:grpSpLocks/>
                          </wpg:cNvGrpSpPr>
                          <wpg:grpSpPr bwMode="auto">
                            <a:xfrm>
                              <a:off x="958629" y="3655780"/>
                              <a:ext cx="1539434" cy="620945"/>
                              <a:chOff x="958629" y="3655780"/>
                              <a:chExt cx="1539434" cy="620945"/>
                            </a:xfrm>
                          </wpg:grpSpPr>
                          <wps:wsp>
                            <wps:cNvPr id="2633" name="Rectangle 20" descr="5%"/>
                            <wps:cNvSpPr>
                              <a:spLocks noChangeAspect="1" noChangeArrowheads="1"/>
                            </wps:cNvSpPr>
                            <wps:spPr bwMode="auto">
                              <a:xfrm>
                                <a:off x="1125655" y="3875805"/>
                                <a:ext cx="1361665" cy="70133"/>
                              </a:xfrm>
                              <a:prstGeom prst="rect">
                                <a:avLst/>
                              </a:prstGeom>
                              <a:blipFill dpi="0" rotWithShape="0">
                                <a:blip r:embed="rId17"/>
                                <a:srcRect/>
                                <a:tile tx="0" ty="0" sx="100000" sy="100000" flip="none" algn="tl"/>
                              </a:blipFill>
                              <a:ln w="9525">
                                <a:solidFill>
                                  <a:srgbClr val="3F3151"/>
                                </a:solidFill>
                                <a:miter lim="800000"/>
                                <a:headEnd/>
                                <a:tailEnd/>
                              </a:ln>
                            </wps:spPr>
                            <wps:bodyPr wrap="none" anchor="ctr"/>
                          </wps:wsp>
                          <wps:wsp>
                            <wps:cNvPr id="2634" name="Line 11"/>
                            <wps:cNvCnPr/>
                            <wps:spPr bwMode="auto">
                              <a:xfrm flipV="1">
                                <a:off x="962335" y="3946683"/>
                                <a:ext cx="0" cy="89535"/>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2635" name="Line 12"/>
                            <wps:cNvCnPr/>
                            <wps:spPr bwMode="auto">
                              <a:xfrm>
                                <a:off x="970588" y="3761263"/>
                                <a:ext cx="0" cy="89535"/>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2636" name="Text Box 13"/>
                            <wps:cNvSpPr txBox="1">
                              <a:spLocks noChangeAspect="1" noChangeArrowheads="1"/>
                            </wps:cNvSpPr>
                            <wps:spPr bwMode="auto">
                              <a:xfrm>
                                <a:off x="958629" y="3655780"/>
                                <a:ext cx="540144" cy="334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Default="00AA4416" w:rsidP="00A21536">
                                  <w:pPr>
                                    <w:pStyle w:val="NormalWeb"/>
                                    <w:spacing w:after="200"/>
                                    <w:textAlignment w:val="baseline"/>
                                  </w:pPr>
                                  <w:r>
                                    <w:rPr>
                                      <w:rFonts w:ascii="Arial" w:hAnsi="Arial" w:cs="Arial"/>
                                      <w:color w:val="5F497A"/>
                                      <w:kern w:val="24"/>
                                      <w:sz w:val="18"/>
                                      <w:szCs w:val="18"/>
                                    </w:rPr>
                                    <w:t>0,50 m</w:t>
                                  </w:r>
                                </w:p>
                              </w:txbxContent>
                            </wps:txbx>
                            <wps:bodyPr wrap="square" lIns="75888" tIns="37944" rIns="75888" bIns="37944">
                              <a:noAutofit/>
                            </wps:bodyPr>
                          </wps:wsp>
                          <wps:wsp>
                            <wps:cNvPr id="2637" name="Text Box 14"/>
                            <wps:cNvSpPr txBox="1">
                              <a:spLocks noChangeAspect="1" noChangeArrowheads="1"/>
                            </wps:cNvSpPr>
                            <wps:spPr bwMode="auto">
                              <a:xfrm>
                                <a:off x="1204053" y="3942554"/>
                                <a:ext cx="539509" cy="334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Default="00AA4416" w:rsidP="00A21536">
                                  <w:pPr>
                                    <w:pStyle w:val="NormalWeb"/>
                                    <w:spacing w:after="200"/>
                                    <w:textAlignment w:val="baseline"/>
                                  </w:pPr>
                                  <w:r>
                                    <w:rPr>
                                      <w:rFonts w:ascii="Arial" w:hAnsi="Arial" w:cs="Arial"/>
                                      <w:color w:val="5F497A"/>
                                      <w:kern w:val="24"/>
                                      <w:sz w:val="18"/>
                                      <w:szCs w:val="18"/>
                                    </w:rPr>
                                    <w:t>7,50 m</w:t>
                                  </w:r>
                                </w:p>
                              </w:txbxContent>
                            </wps:txbx>
                            <wps:bodyPr wrap="square" lIns="75888" tIns="37944" rIns="75888" bIns="37944">
                              <a:noAutofit/>
                            </wps:bodyPr>
                          </wps:wsp>
                          <wps:wsp>
                            <wps:cNvPr id="2638" name="Line 15"/>
                            <wps:cNvCnPr/>
                            <wps:spPr bwMode="auto">
                              <a:xfrm flipH="1">
                                <a:off x="1121523" y="3984903"/>
                                <a:ext cx="1376540" cy="0"/>
                              </a:xfrm>
                              <a:prstGeom prst="line">
                                <a:avLst/>
                              </a:prstGeom>
                              <a:noFill/>
                              <a:ln w="9525">
                                <a:solidFill>
                                  <a:srgbClr val="5F497A"/>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639" name="Line 10"/>
                            <wps:cNvCnPr/>
                            <wps:spPr bwMode="auto">
                              <a:xfrm flipH="1">
                                <a:off x="970174" y="3863989"/>
                                <a:ext cx="15347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2640" name="Gruppieren 166"/>
                          <wpg:cNvGrpSpPr>
                            <a:grpSpLocks/>
                          </wpg:cNvGrpSpPr>
                          <wpg:grpSpPr bwMode="auto">
                            <a:xfrm>
                              <a:off x="252412" y="3127375"/>
                              <a:ext cx="2311907" cy="1321747"/>
                              <a:chOff x="252412" y="3127375"/>
                              <a:chExt cx="2311907" cy="1321747"/>
                            </a:xfrm>
                          </wpg:grpSpPr>
                          <wpg:grpSp>
                            <wpg:cNvPr id="2641" name="Gruppieren 167"/>
                            <wpg:cNvGrpSpPr>
                              <a:grpSpLocks/>
                            </wpg:cNvGrpSpPr>
                            <wpg:grpSpPr bwMode="auto">
                              <a:xfrm>
                                <a:off x="252412" y="3127375"/>
                                <a:ext cx="2311907" cy="1321747"/>
                                <a:chOff x="252412" y="3127375"/>
                                <a:chExt cx="2311907" cy="1321747"/>
                              </a:xfrm>
                            </wpg:grpSpPr>
                            <wpg:grpSp>
                              <wpg:cNvPr id="2642" name="Gruppieren 171"/>
                              <wpg:cNvGrpSpPr>
                                <a:grpSpLocks/>
                              </wpg:cNvGrpSpPr>
                              <wpg:grpSpPr bwMode="auto">
                                <a:xfrm>
                                  <a:off x="1999433" y="3316196"/>
                                  <a:ext cx="517284" cy="1130441"/>
                                  <a:chOff x="1999433" y="3316196"/>
                                  <a:chExt cx="517284" cy="1130441"/>
                                </a:xfrm>
                              </wpg:grpSpPr>
                              <wps:wsp>
                                <wps:cNvPr id="2643" name="Line 83"/>
                                <wps:cNvCnPr/>
                                <wps:spPr bwMode="auto">
                                  <a:xfrm rot="21120000" flipH="1">
                                    <a:off x="2480221" y="3347930"/>
                                    <a:ext cx="36496" cy="269744"/>
                                  </a:xfrm>
                                  <a:prstGeom prst="line">
                                    <a:avLst/>
                                  </a:prstGeom>
                                  <a:noFill/>
                                  <a:ln w="9525">
                                    <a:solidFill>
                                      <a:sysClr val="windowText" lastClr="000000">
                                        <a:lumMod val="65000"/>
                                        <a:lumOff val="35000"/>
                                      </a:sysClr>
                                    </a:solidFill>
                                    <a:prstDash val="lgDash"/>
                                    <a:round/>
                                    <a:headEnd/>
                                    <a:tailEnd/>
                                  </a:ln>
                                </wps:spPr>
                                <wps:bodyPr/>
                              </wps:wsp>
                              <wps:wsp>
                                <wps:cNvPr id="2644" name="Line 89"/>
                                <wps:cNvCnPr/>
                                <wps:spPr bwMode="auto">
                                  <a:xfrm>
                                    <a:off x="1999433" y="3316196"/>
                                    <a:ext cx="22215" cy="0"/>
                                  </a:xfrm>
                                  <a:prstGeom prst="line">
                                    <a:avLst/>
                                  </a:prstGeom>
                                  <a:noFill/>
                                  <a:ln w="9525">
                                    <a:solidFill>
                                      <a:sysClr val="windowText" lastClr="000000">
                                        <a:lumMod val="65000"/>
                                        <a:lumOff val="35000"/>
                                      </a:sysClr>
                                    </a:solidFill>
                                    <a:round/>
                                    <a:headEnd/>
                                    <a:tailEnd/>
                                  </a:ln>
                                </wps:spPr>
                                <wps:bodyPr/>
                              </wps:wsp>
                              <wps:wsp>
                                <wps:cNvPr id="2645" name="Line 91"/>
                                <wps:cNvCnPr/>
                                <wps:spPr bwMode="auto">
                                  <a:xfrm>
                                    <a:off x="2487821" y="3906887"/>
                                    <a:ext cx="0" cy="53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646" name="Gruppieren 172"/>
                              <wpg:cNvGrpSpPr>
                                <a:grpSpLocks/>
                              </wpg:cNvGrpSpPr>
                              <wpg:grpSpPr bwMode="auto">
                                <a:xfrm>
                                  <a:off x="252412" y="3603085"/>
                                  <a:ext cx="2250830" cy="846037"/>
                                  <a:chOff x="252412" y="3603085"/>
                                  <a:chExt cx="2250830" cy="846037"/>
                                </a:xfrm>
                              </wpg:grpSpPr>
                              <wps:wsp>
                                <wps:cNvPr id="2647" name="Line 76"/>
                                <wps:cNvCnPr/>
                                <wps:spPr bwMode="auto">
                                  <a:xfrm>
                                    <a:off x="543701" y="4192571"/>
                                    <a:ext cx="279608" cy="2565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8" name="Line 77"/>
                                <wps:cNvCnPr/>
                                <wps:spPr bwMode="auto">
                                  <a:xfrm>
                                    <a:off x="298889" y="4187809"/>
                                    <a:ext cx="251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9" name="Line 78"/>
                                <wps:cNvCnPr/>
                                <wps:spPr bwMode="auto">
                                  <a:xfrm>
                                    <a:off x="252412" y="3939166"/>
                                    <a:ext cx="46477" cy="2513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0" name="Line 79"/>
                                <wps:cNvCnPr/>
                                <wps:spPr bwMode="auto">
                                  <a:xfrm>
                                    <a:off x="254858" y="3944630"/>
                                    <a:ext cx="22483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1" name="Line 81"/>
                                <wps:cNvCnPr/>
                                <wps:spPr bwMode="auto">
                                  <a:xfrm flipH="1">
                                    <a:off x="527958" y="3603085"/>
                                    <a:ext cx="14677" cy="3388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652" name="Gruppieren 173"/>
                              <wpg:cNvGrpSpPr>
                                <a:grpSpLocks/>
                              </wpg:cNvGrpSpPr>
                              <wpg:grpSpPr bwMode="auto">
                                <a:xfrm>
                                  <a:off x="820928" y="3127375"/>
                                  <a:ext cx="1743391" cy="1321687"/>
                                  <a:chOff x="820928" y="3127375"/>
                                  <a:chExt cx="1743391" cy="1321687"/>
                                </a:xfrm>
                              </wpg:grpSpPr>
                              <wps:wsp>
                                <wps:cNvPr id="2653" name="Line 84"/>
                                <wps:cNvCnPr/>
                                <wps:spPr bwMode="auto">
                                  <a:xfrm flipV="1">
                                    <a:off x="1997846" y="3127375"/>
                                    <a:ext cx="566473" cy="3173"/>
                                  </a:xfrm>
                                  <a:prstGeom prst="line">
                                    <a:avLst/>
                                  </a:prstGeom>
                                  <a:noFill/>
                                  <a:ln w="9525">
                                    <a:solidFill>
                                      <a:sysClr val="windowText" lastClr="000000">
                                        <a:lumMod val="65000"/>
                                        <a:lumOff val="35000"/>
                                      </a:sysClr>
                                    </a:solidFill>
                                    <a:prstDash val="lgDash"/>
                                    <a:round/>
                                    <a:headEnd/>
                                    <a:tailEnd/>
                                  </a:ln>
                                </wps:spPr>
                                <wps:bodyPr/>
                              </wps:wsp>
                              <wps:wsp>
                                <wps:cNvPr id="2654" name="Line 85"/>
                                <wps:cNvCnPr/>
                                <wps:spPr bwMode="auto">
                                  <a:xfrm>
                                    <a:off x="1997846" y="3127375"/>
                                    <a:ext cx="1587" cy="185647"/>
                                  </a:xfrm>
                                  <a:prstGeom prst="line">
                                    <a:avLst/>
                                  </a:prstGeom>
                                  <a:noFill/>
                                  <a:ln w="9525">
                                    <a:solidFill>
                                      <a:sysClr val="windowText" lastClr="000000">
                                        <a:lumMod val="65000"/>
                                        <a:lumOff val="35000"/>
                                      </a:sysClr>
                                    </a:solidFill>
                                    <a:prstDash val="lgDash"/>
                                    <a:round/>
                                    <a:headEnd/>
                                    <a:tailEnd/>
                                  </a:ln>
                                </wps:spPr>
                                <wps:bodyPr/>
                              </wps:wsp>
                              <wps:wsp>
                                <wps:cNvPr id="2655" name="Line 86"/>
                                <wps:cNvCnPr/>
                                <wps:spPr bwMode="auto">
                                  <a:xfrm rot="120000" flipH="1">
                                    <a:off x="2492914" y="3130548"/>
                                    <a:ext cx="65058" cy="209448"/>
                                  </a:xfrm>
                                  <a:prstGeom prst="line">
                                    <a:avLst/>
                                  </a:prstGeom>
                                  <a:noFill/>
                                  <a:ln w="9525">
                                    <a:solidFill>
                                      <a:sysClr val="windowText" lastClr="000000">
                                        <a:lumMod val="65000"/>
                                        <a:lumOff val="35000"/>
                                      </a:sysClr>
                                    </a:solidFill>
                                    <a:prstDash val="lgDash"/>
                                    <a:round/>
                                    <a:headEnd/>
                                    <a:tailEnd/>
                                  </a:ln>
                                </wps:spPr>
                                <wps:bodyPr/>
                              </wps:wsp>
                              <wps:wsp>
                                <wps:cNvPr id="2656" name="Line 88"/>
                                <wps:cNvCnPr/>
                                <wps:spPr bwMode="auto">
                                  <a:xfrm>
                                    <a:off x="2027995" y="3313022"/>
                                    <a:ext cx="0" cy="561703"/>
                                  </a:xfrm>
                                  <a:prstGeom prst="line">
                                    <a:avLst/>
                                  </a:prstGeom>
                                  <a:noFill/>
                                  <a:ln w="9525">
                                    <a:solidFill>
                                      <a:sysClr val="windowText" lastClr="000000">
                                        <a:lumMod val="65000"/>
                                        <a:lumOff val="35000"/>
                                      </a:sysClr>
                                    </a:solidFill>
                                    <a:prstDash val="lgDash"/>
                                    <a:round/>
                                    <a:headEnd/>
                                    <a:tailEnd/>
                                  </a:ln>
                                </wps:spPr>
                                <wps:bodyPr/>
                              </wps:wsp>
                              <wps:wsp>
                                <wps:cNvPr id="2657" name="Line 90"/>
                                <wps:cNvCnPr/>
                                <wps:spPr bwMode="auto">
                                  <a:xfrm>
                                    <a:off x="820928" y="4449062"/>
                                    <a:ext cx="16740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658" name="Gruppieren 168"/>
                            <wpg:cNvGrpSpPr>
                              <a:grpSpLocks/>
                            </wpg:cNvGrpSpPr>
                            <wpg:grpSpPr bwMode="auto">
                              <a:xfrm>
                                <a:off x="593097" y="3194017"/>
                                <a:ext cx="1806199" cy="518989"/>
                                <a:chOff x="593097" y="3194017"/>
                                <a:chExt cx="1806199" cy="518989"/>
                              </a:xfrm>
                            </wpg:grpSpPr>
                            <wps:wsp>
                              <wps:cNvPr id="2659" name="Rectangle 24" descr="Horizontal hell"/>
                              <wps:cNvSpPr>
                                <a:spLocks noChangeAspect="1" noChangeArrowheads="1"/>
                              </wps:cNvSpPr>
                              <wps:spPr bwMode="auto">
                                <a:xfrm>
                                  <a:off x="2078771" y="3194017"/>
                                  <a:ext cx="320525" cy="66643"/>
                                </a:xfrm>
                                <a:prstGeom prst="rect">
                                  <a:avLst/>
                                </a:prstGeom>
                                <a:noFill/>
                                <a:ln w="9525">
                                  <a:solidFill>
                                    <a:sysClr val="windowText" lastClr="000000">
                                      <a:lumMod val="65000"/>
                                      <a:lumOff val="35000"/>
                                    </a:sysClr>
                                  </a:solidFill>
                                  <a:prstDash val="lgDash"/>
                                  <a:miter lim="800000"/>
                                  <a:headEnd/>
                                  <a:tailEnd/>
                                </a:ln>
                              </wps:spPr>
                              <wps:bodyPr wrap="none" anchor="ctr"/>
                            </wps:wsp>
                            <wps:wsp>
                              <wps:cNvPr id="2660" name="Rectangle 92" descr="Horizontal hell"/>
                              <wps:cNvSpPr>
                                <a:spLocks noChangeAspect="1" noChangeArrowheads="1"/>
                              </wps:cNvSpPr>
                              <wps:spPr bwMode="auto">
                                <a:xfrm>
                                  <a:off x="593097" y="3646966"/>
                                  <a:ext cx="324228" cy="66040"/>
                                </a:xfrm>
                                <a:prstGeom prst="rect">
                                  <a:avLst/>
                                </a:prstGeom>
                                <a:blipFill dpi="0" rotWithShape="0">
                                  <a:blip r:embed="rId18"/>
                                  <a:srcRect/>
                                  <a:tile tx="0" ty="0" sx="100000" sy="100000" flip="none" algn="tl"/>
                                </a:blipFill>
                                <a:ln w="9525">
                                  <a:solidFill>
                                    <a:srgbClr val="000000"/>
                                  </a:solidFill>
                                  <a:miter lim="800000"/>
                                  <a:headEnd/>
                                  <a:tailEnd/>
                                </a:ln>
                              </wps:spPr>
                              <wps:bodyPr wrap="none" anchor="ctr"/>
                            </wps:wsp>
                          </wpg:grpSp>
                        </wpg:grpSp>
                      </wpg:grpSp>
                      <wps:wsp>
                        <wps:cNvPr id="2661" name="Text Box 7"/>
                        <wps:cNvSpPr txBox="1">
                          <a:spLocks noChangeArrowheads="1"/>
                        </wps:cNvSpPr>
                        <wps:spPr bwMode="auto">
                          <a:xfrm>
                            <a:off x="2914868" y="5882535"/>
                            <a:ext cx="2635263" cy="442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Default="00AA4416" w:rsidP="00A21536">
                              <w:pPr>
                                <w:pStyle w:val="NormalWeb"/>
                                <w:spacing w:after="200"/>
                                <w:jc w:val="center"/>
                                <w:textAlignment w:val="baseline"/>
                              </w:pPr>
                              <w:r>
                                <w:rPr>
                                  <w:rFonts w:ascii="Verdana" w:hAnsi="Verdana" w:cs="Arial"/>
                                  <w:color w:val="000000" w:themeColor="text1"/>
                                  <w:kern w:val="24"/>
                                  <w:sz w:val="16"/>
                                  <w:szCs w:val="16"/>
                                </w:rPr>
                                <w:t xml:space="preserve">äußeres Kofferdammschott / </w:t>
                              </w:r>
                              <w:r>
                                <w:rPr>
                                  <w:rFonts w:ascii="Verdana" w:hAnsi="Verdana" w:cs="Arial"/>
                                  <w:color w:val="000000" w:themeColor="text1"/>
                                  <w:kern w:val="24"/>
                                  <w:sz w:val="16"/>
                                  <w:szCs w:val="16"/>
                                </w:rPr>
                                <w:br/>
                              </w:r>
                              <w:r>
                                <w:rPr>
                                  <w:rFonts w:ascii="Arial" w:hAnsi="Arial" w:cs="Arial"/>
                                  <w:color w:val="000000" w:themeColor="text1"/>
                                  <w:kern w:val="24"/>
                                  <w:sz w:val="16"/>
                                  <w:szCs w:val="16"/>
                                </w:rPr>
                                <w:t>Begrenzungsschott der Aufstellungsräume</w:t>
                              </w:r>
                            </w:p>
                          </w:txbxContent>
                        </wps:txbx>
                        <wps:bodyPr wrap="square" lIns="75888" tIns="37944" rIns="75888" bIns="37944">
                          <a:noAutofit/>
                        </wps:bodyPr>
                      </wps:wsp>
                      <wpg:grpSp>
                        <wpg:cNvPr id="2662" name="Gruppieren 11"/>
                        <wpg:cNvGrpSpPr>
                          <a:grpSpLocks/>
                        </wpg:cNvGrpSpPr>
                        <wpg:grpSpPr bwMode="auto">
                          <a:xfrm>
                            <a:off x="2598737" y="3257550"/>
                            <a:ext cx="366713" cy="674688"/>
                            <a:chOff x="2598737" y="3257550"/>
                            <a:chExt cx="270457" cy="597507"/>
                          </a:xfrm>
                        </wpg:grpSpPr>
                        <wps:wsp>
                          <wps:cNvPr id="2663" name="Oval 4" descr="5%"/>
                          <wps:cNvSpPr>
                            <a:spLocks noChangeAspect="1" noChangeArrowheads="1"/>
                          </wps:cNvSpPr>
                          <wps:spPr bwMode="auto">
                            <a:xfrm>
                              <a:off x="2602547" y="3257550"/>
                              <a:ext cx="266647" cy="266065"/>
                            </a:xfrm>
                            <a:prstGeom prst="ellipse">
                              <a:avLst/>
                            </a:prstGeom>
                            <a:blipFill dpi="0" rotWithShape="0">
                              <a:blip r:embed="rId1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wrap="none" anchor="ctr"/>
                        </wps:wsp>
                        <wps:wsp>
                          <wps:cNvPr id="2664" name="Rectangle 93" descr="5%"/>
                          <wps:cNvSpPr>
                            <a:spLocks noChangeAspect="1" noChangeArrowheads="1"/>
                          </wps:cNvSpPr>
                          <wps:spPr bwMode="auto">
                            <a:xfrm>
                              <a:off x="2598737" y="3363907"/>
                              <a:ext cx="133958" cy="491150"/>
                            </a:xfrm>
                            <a:prstGeom prst="rect">
                              <a:avLst/>
                            </a:prstGeom>
                            <a:blipFill dpi="0" rotWithShape="0">
                              <a:blip r:embed="rId17"/>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s:wsp>
                        <wps:cNvPr id="2665" name="Line 16" descr="Große Konfetti"/>
                        <wps:cNvCnPr/>
                        <wps:spPr bwMode="auto">
                          <a:xfrm rot="2212194">
                            <a:off x="2593975" y="3765550"/>
                            <a:ext cx="38100" cy="50800"/>
                          </a:xfrm>
                          <a:prstGeom prst="line">
                            <a:avLst/>
                          </a:prstGeom>
                          <a:noFill/>
                          <a:ln w="9525">
                            <a:solidFill>
                              <a:srgbClr val="943634"/>
                            </a:solidFill>
                            <a:round/>
                            <a:headEnd/>
                            <a:tailEnd type="triangle" w="med" len="med"/>
                          </a:ln>
                          <a:extLst>
                            <a:ext uri="{909E8E84-426E-40DD-AFC4-6F175D3DCCD1}">
                              <a14:hiddenFill xmlns:a14="http://schemas.microsoft.com/office/drawing/2010/main">
                                <a:noFill/>
                              </a14:hiddenFill>
                            </a:ext>
                          </a:extLst>
                        </wps:spPr>
                        <wps:bodyPr/>
                      </wps:wsp>
                      <wps:wsp>
                        <wps:cNvPr id="2666" name="Line 100"/>
                        <wps:cNvCnPr/>
                        <wps:spPr bwMode="auto">
                          <a:xfrm>
                            <a:off x="1787525" y="2814638"/>
                            <a:ext cx="669925" cy="877887"/>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667" name="Gerade Verbindung 401"/>
                        <wps:cNvCnPr/>
                        <wps:spPr bwMode="auto">
                          <a:xfrm>
                            <a:off x="2030412" y="3614737"/>
                            <a:ext cx="466725" cy="0"/>
                          </a:xfrm>
                          <a:prstGeom prst="line">
                            <a:avLst/>
                          </a:prstGeom>
                          <a:noFill/>
                          <a:ln w="9525" cap="flat" cmpd="sng" algn="ctr">
                            <a:solidFill>
                              <a:sysClr val="windowText" lastClr="000000"/>
                            </a:solidFill>
                            <a:prstDash val="lgDash"/>
                          </a:ln>
                          <a:effectLst/>
                        </wps:spPr>
                        <wps:bodyPr/>
                      </wps:wsp>
                      <wps:wsp>
                        <wps:cNvPr id="2668" name="Rectangle 2668" descr="5%"/>
                        <wps:cNvSpPr>
                          <a:spLocks noChangeAspect="1" noChangeArrowheads="1"/>
                        </wps:cNvSpPr>
                        <wps:spPr bwMode="auto">
                          <a:xfrm>
                            <a:off x="2325687" y="3697288"/>
                            <a:ext cx="158750" cy="176212"/>
                          </a:xfrm>
                          <a:prstGeom prst="rect">
                            <a:avLst/>
                          </a:prstGeom>
                          <a:blipFill dpi="0" rotWithShape="0">
                            <a:blip r:embed="rId22"/>
                            <a:srcRect/>
                            <a:tile tx="0" ty="0" sx="100000" sy="100000" flip="none" algn="tl"/>
                          </a:blipFill>
                          <a:ln w="9525">
                            <a:solidFill>
                              <a:srgbClr val="7F7F7F"/>
                            </a:solidFill>
                            <a:miter lim="800000"/>
                            <a:headEnd/>
                            <a:tailEnd/>
                          </a:ln>
                        </wps:spPr>
                        <wps:bodyPr wrap="none" anchor="ctr"/>
                      </wps:wsp>
                      <wpg:grpSp>
                        <wpg:cNvPr id="2669" name="Gruppieren 16"/>
                        <wpg:cNvGrpSpPr>
                          <a:grpSpLocks/>
                        </wpg:cNvGrpSpPr>
                        <wpg:grpSpPr bwMode="auto">
                          <a:xfrm>
                            <a:off x="1995487" y="3344863"/>
                            <a:ext cx="565150" cy="412750"/>
                            <a:chOff x="1995487" y="3344863"/>
                            <a:chExt cx="565789" cy="411730"/>
                          </a:xfrm>
                        </wpg:grpSpPr>
                        <wpg:grpSp>
                          <wpg:cNvPr id="2670" name="Gruppieren 154"/>
                          <wpg:cNvGrpSpPr>
                            <a:grpSpLocks/>
                          </wpg:cNvGrpSpPr>
                          <wpg:grpSpPr bwMode="auto">
                            <a:xfrm>
                              <a:off x="1995487" y="3344863"/>
                              <a:ext cx="565789" cy="407409"/>
                              <a:chOff x="1995487" y="3344863"/>
                              <a:chExt cx="565789" cy="407409"/>
                            </a:xfrm>
                          </wpg:grpSpPr>
                          <wps:wsp>
                            <wps:cNvPr id="2671" name="Line 84"/>
                            <wps:cNvCnPr/>
                            <wps:spPr bwMode="auto">
                              <a:xfrm flipV="1">
                                <a:off x="1995487" y="3344863"/>
                                <a:ext cx="565789" cy="2733"/>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2672" name="Line 85"/>
                            <wps:cNvCnPr/>
                            <wps:spPr bwMode="auto">
                              <a:xfrm>
                                <a:off x="1995487" y="3344863"/>
                                <a:ext cx="2773" cy="18580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2673" name="Line 86"/>
                            <wps:cNvCnPr/>
                            <wps:spPr bwMode="auto">
                              <a:xfrm rot="120000" flipH="1">
                                <a:off x="2491605" y="3347748"/>
                                <a:ext cx="63789" cy="210392"/>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2674" name="Line 88"/>
                            <wps:cNvCnPr/>
                            <wps:spPr bwMode="auto">
                              <a:xfrm>
                                <a:off x="2025602" y="3545810"/>
                                <a:ext cx="0" cy="206462"/>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g:grpSp>
                        <wpg:grpSp>
                          <wpg:cNvPr id="2675" name="Gruppieren 155"/>
                          <wpg:cNvGrpSpPr>
                            <a:grpSpLocks/>
                          </wpg:cNvGrpSpPr>
                          <wpg:grpSpPr bwMode="auto">
                            <a:xfrm>
                              <a:off x="2003004" y="3529963"/>
                              <a:ext cx="499699" cy="226630"/>
                              <a:chOff x="2003004" y="3529963"/>
                              <a:chExt cx="499699" cy="226630"/>
                            </a:xfrm>
                          </wpg:grpSpPr>
                          <wps:wsp>
                            <wps:cNvPr id="2676" name="Line 83"/>
                            <wps:cNvCnPr/>
                            <wps:spPr bwMode="auto">
                              <a:xfrm rot="21120000" flipH="1">
                                <a:off x="2473865" y="3542356"/>
                                <a:ext cx="28838" cy="214237"/>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2677" name="Line 89"/>
                            <wps:cNvCnPr/>
                            <wps:spPr bwMode="auto">
                              <a:xfrm>
                                <a:off x="2003004" y="3529963"/>
                                <a:ext cx="22188"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g:grpSp>
                        <wps:wsp>
                          <wps:cNvPr id="2678" name="Rectangle 24" descr="Horizontal hell"/>
                          <wps:cNvSpPr>
                            <a:spLocks noChangeAspect="1" noChangeArrowheads="1"/>
                          </wps:cNvSpPr>
                          <wps:spPr bwMode="auto">
                            <a:xfrm>
                              <a:off x="2081066" y="3409914"/>
                              <a:ext cx="325735" cy="64770"/>
                            </a:xfrm>
                            <a:prstGeom prst="rect">
                              <a:avLst/>
                            </a:prstGeom>
                            <a:blipFill dpi="0" rotWithShape="0">
                              <a:blip r:embed="rId18"/>
                              <a:srcRect/>
                              <a:tile tx="0" ty="0" sx="100000" sy="100000" flip="none" algn="tl"/>
                            </a:blipFill>
                            <a:ln w="9525">
                              <a:solidFill>
                                <a:sysClr val="windowText" lastClr="000000"/>
                              </a:solidFill>
                              <a:miter lim="800000"/>
                              <a:headEnd/>
                              <a:tailEnd/>
                            </a:ln>
                          </wps:spPr>
                          <wps:bodyPr wrap="none" anchor="ctr"/>
                        </wps:wsp>
                      </wpg:grpSp>
                      <wpg:grpSp>
                        <wpg:cNvPr id="2679" name="Gruppieren 17"/>
                        <wpg:cNvGrpSpPr>
                          <a:grpSpLocks/>
                        </wpg:cNvGrpSpPr>
                        <wpg:grpSpPr bwMode="auto">
                          <a:xfrm>
                            <a:off x="1874765" y="3629780"/>
                            <a:ext cx="596910" cy="343857"/>
                            <a:chOff x="1874768" y="3629028"/>
                            <a:chExt cx="596850" cy="342558"/>
                          </a:xfrm>
                        </wpg:grpSpPr>
                        <wps:wsp>
                          <wps:cNvPr id="2680" name="Gerade Verbindung mit Pfeil 152"/>
                          <wps:cNvCnPr/>
                          <wps:spPr bwMode="auto">
                            <a:xfrm flipH="1" flipV="1">
                              <a:off x="2206591" y="3825175"/>
                              <a:ext cx="130162" cy="1581"/>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s:wsp>
                          <wps:cNvPr id="2681" name="Text Box 63"/>
                          <wps:cNvSpPr txBox="1">
                            <a:spLocks noChangeAspect="1" noChangeArrowheads="1"/>
                          </wps:cNvSpPr>
                          <wps:spPr bwMode="auto">
                            <a:xfrm>
                              <a:off x="1874768" y="3629028"/>
                              <a:ext cx="596850" cy="342558"/>
                            </a:xfrm>
                            <a:prstGeom prst="rect">
                              <a:avLst/>
                            </a:prstGeom>
                            <a:noFill/>
                            <a:ln w="9525">
                              <a:noFill/>
                              <a:miter lim="800000"/>
                              <a:headEnd/>
                              <a:tailEnd/>
                            </a:ln>
                          </wps:spPr>
                          <wps:txbx>
                            <w:txbxContent>
                              <w:p w:rsidR="00AA4416" w:rsidRDefault="00AA4416" w:rsidP="00A21536">
                                <w:pPr>
                                  <w:pStyle w:val="NormalWeb"/>
                                  <w:spacing w:after="200"/>
                                  <w:textAlignment w:val="baseline"/>
                                </w:pPr>
                                <w:r>
                                  <w:rPr>
                                    <w:rFonts w:ascii="Arial" w:hAnsi="Arial" w:cstheme="minorBidi"/>
                                    <w:color w:val="595959" w:themeColor="text1" w:themeTint="A6"/>
                                    <w:kern w:val="24"/>
                                    <w:sz w:val="18"/>
                                    <w:szCs w:val="18"/>
                                    <w:u w:val="single"/>
                                  </w:rPr>
                                  <w:t>&gt;</w:t>
                                </w:r>
                                <w:r>
                                  <w:rPr>
                                    <w:rFonts w:ascii="Arial" w:hAnsi="Arial" w:cstheme="minorBidi"/>
                                    <w:color w:val="595959" w:themeColor="text1" w:themeTint="A6"/>
                                    <w:kern w:val="24"/>
                                    <w:sz w:val="18"/>
                                    <w:szCs w:val="18"/>
                                  </w:rPr>
                                  <w:t>1,00 m</w:t>
                                </w:r>
                              </w:p>
                            </w:txbxContent>
                          </wps:txbx>
                          <wps:bodyPr wrap="square" lIns="75888" tIns="37944" rIns="75888" bIns="37944">
                            <a:noAutofit/>
                          </wps:bodyPr>
                        </wps:wsp>
                      </wpg:grpSp>
                      <wps:wsp>
                        <wps:cNvPr id="2682" name="Gerade Verbindung 418"/>
                        <wps:cNvCnPr>
                          <a:endCxn id="2664" idx="1"/>
                        </wps:cNvCnPr>
                        <wps:spPr bwMode="auto">
                          <a:xfrm flipH="1">
                            <a:off x="2597150" y="3384550"/>
                            <a:ext cx="1587" cy="323850"/>
                          </a:xfrm>
                          <a:prstGeom prst="line">
                            <a:avLst/>
                          </a:prstGeom>
                          <a:noFill/>
                          <a:ln w="9525" cap="flat" cmpd="sng" algn="ctr">
                            <a:solidFill>
                              <a:srgbClr val="8064A2">
                                <a:lumMod val="75000"/>
                              </a:srgbClr>
                            </a:solidFill>
                            <a:prstDash val="solid"/>
                          </a:ln>
                          <a:effectLst/>
                        </wps:spPr>
                        <wps:bodyPr/>
                      </wps:wsp>
                      <wps:wsp>
                        <wps:cNvPr id="2683" name="Gerade Verbindung 419"/>
                        <wps:cNvCnPr/>
                        <wps:spPr bwMode="auto">
                          <a:xfrm>
                            <a:off x="2716212" y="3263900"/>
                            <a:ext cx="1169988" cy="0"/>
                          </a:xfrm>
                          <a:prstGeom prst="line">
                            <a:avLst/>
                          </a:prstGeom>
                          <a:noFill/>
                          <a:ln w="9525" cap="flat" cmpd="sng" algn="ctr">
                            <a:solidFill>
                              <a:srgbClr val="8064A2">
                                <a:lumMod val="75000"/>
                              </a:srgbClr>
                            </a:solidFill>
                            <a:prstDash val="solid"/>
                          </a:ln>
                          <a:effectLst/>
                        </wps:spPr>
                        <wps:bodyPr/>
                      </wps:wsp>
                      <wps:wsp>
                        <wps:cNvPr id="2684" name="Bogen 20"/>
                        <wps:cNvSpPr/>
                        <wps:spPr bwMode="auto">
                          <a:xfrm flipH="1">
                            <a:off x="2598737" y="3262312"/>
                            <a:ext cx="287338" cy="257175"/>
                          </a:xfrm>
                          <a:prstGeom prst="arc">
                            <a:avLst>
                              <a:gd name="adj1" fmla="val 16244643"/>
                              <a:gd name="adj2" fmla="val 36358"/>
                            </a:avLst>
                          </a:prstGeom>
                          <a:noFill/>
                          <a:ln w="9525" cap="flat" cmpd="sng" algn="ctr">
                            <a:solidFill>
                              <a:srgbClr val="8064A2">
                                <a:lumMod val="75000"/>
                              </a:srgbClr>
                            </a:solidFill>
                            <a:prstDash val="solid"/>
                          </a:ln>
                          <a:effectLst/>
                        </wps:spPr>
                        <wps:bodyPr anchor="ctr"/>
                      </wps:wsp>
                      <wps:wsp>
                        <wps:cNvPr id="2685" name="Rectangle 23" descr="25%"/>
                        <wps:cNvSpPr>
                          <a:spLocks noChangeAspect="1" noChangeArrowheads="1"/>
                        </wps:cNvSpPr>
                        <wps:spPr bwMode="auto">
                          <a:xfrm>
                            <a:off x="2487612" y="3876675"/>
                            <a:ext cx="1404938" cy="574675"/>
                          </a:xfrm>
                          <a:prstGeom prst="rect">
                            <a:avLst/>
                          </a:prstGeom>
                          <a:pattFill prst="openDmnd">
                            <a:fgClr>
                              <a:srgbClr val="943634"/>
                            </a:fgClr>
                            <a:bgClr>
                              <a:srgbClr val="FFFFFF"/>
                            </a:bgClr>
                          </a:pattFill>
                          <a:ln w="9525">
                            <a:solidFill>
                              <a:srgbClr val="C0504D">
                                <a:lumMod val="75000"/>
                              </a:srgbClr>
                            </a:solidFill>
                            <a:miter lim="800000"/>
                            <a:headEnd/>
                            <a:tailEnd/>
                          </a:ln>
                        </wps:spPr>
                        <wps:bodyPr wrap="none" anchor="ctr"/>
                      </wps:wsp>
                      <wps:wsp>
                        <wps:cNvPr id="2686" name="Rectangle 20" descr="5%"/>
                        <wps:cNvSpPr>
                          <a:spLocks noChangeAspect="1" noChangeArrowheads="1"/>
                        </wps:cNvSpPr>
                        <wps:spPr bwMode="auto">
                          <a:xfrm>
                            <a:off x="2833687" y="3275013"/>
                            <a:ext cx="1057275" cy="153987"/>
                          </a:xfrm>
                          <a:prstGeom prst="rect">
                            <a:avLst/>
                          </a:prstGeom>
                          <a:blipFill dpi="0" rotWithShape="0">
                            <a:blip r:embed="rId17"/>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687" name="Text Box 63"/>
                        <wps:cNvSpPr txBox="1">
                          <a:spLocks noChangeAspect="1" noChangeArrowheads="1"/>
                        </wps:cNvSpPr>
                        <wps:spPr bwMode="auto">
                          <a:xfrm>
                            <a:off x="2844695" y="3228975"/>
                            <a:ext cx="596910" cy="343857"/>
                          </a:xfrm>
                          <a:prstGeom prst="rect">
                            <a:avLst/>
                          </a:prstGeom>
                          <a:noFill/>
                          <a:ln w="9525">
                            <a:noFill/>
                            <a:miter lim="800000"/>
                            <a:headEnd/>
                            <a:tailEnd/>
                          </a:ln>
                        </wps:spPr>
                        <wps:txbx>
                          <w:txbxContent>
                            <w:p w:rsidR="00AA4416" w:rsidRDefault="00AA4416" w:rsidP="00A21536">
                              <w:pPr>
                                <w:pStyle w:val="NormalWeb"/>
                                <w:spacing w:after="200"/>
                                <w:textAlignment w:val="baseline"/>
                              </w:pPr>
                              <w:r>
                                <w:rPr>
                                  <w:rFonts w:ascii="Arial" w:hAnsi="Arial" w:cstheme="minorBidi"/>
                                  <w:color w:val="5F497A" w:themeColor="accent4" w:themeShade="BF"/>
                                  <w:kern w:val="24"/>
                                  <w:sz w:val="18"/>
                                  <w:szCs w:val="18"/>
                                </w:rPr>
                                <w:t>1,00 m</w:t>
                              </w:r>
                            </w:p>
                          </w:txbxContent>
                        </wps:txbx>
                        <wps:bodyPr wrap="square" lIns="75888" tIns="37944" rIns="75888" bIns="37944">
                          <a:noAutofit/>
                        </wps:bodyPr>
                      </wps:wsp>
                      <wps:wsp>
                        <wps:cNvPr id="2688" name="Gerade Verbindung 432"/>
                        <wps:cNvCnPr/>
                        <wps:spPr bwMode="auto">
                          <a:xfrm>
                            <a:off x="2751137" y="3432175"/>
                            <a:ext cx="1157288" cy="6350"/>
                          </a:xfrm>
                          <a:prstGeom prst="line">
                            <a:avLst/>
                          </a:prstGeom>
                          <a:noFill/>
                          <a:ln w="9525" cap="flat" cmpd="sng" algn="ctr">
                            <a:solidFill>
                              <a:srgbClr val="C0504D">
                                <a:lumMod val="75000"/>
                              </a:srgbClr>
                            </a:solidFill>
                            <a:prstDash val="solid"/>
                          </a:ln>
                          <a:effectLst/>
                        </wps:spPr>
                        <wps:bodyPr/>
                      </wps:wsp>
                      <wps:wsp>
                        <wps:cNvPr id="2689" name="Gerade Verbindung 436"/>
                        <wps:cNvCnPr/>
                        <wps:spPr bwMode="auto">
                          <a:xfrm flipH="1">
                            <a:off x="2746375" y="3436937"/>
                            <a:ext cx="3175" cy="377825"/>
                          </a:xfrm>
                          <a:prstGeom prst="line">
                            <a:avLst/>
                          </a:prstGeom>
                          <a:noFill/>
                          <a:ln w="9525" cap="flat" cmpd="sng" algn="ctr">
                            <a:solidFill>
                              <a:srgbClr val="C0504D">
                                <a:lumMod val="75000"/>
                              </a:srgbClr>
                            </a:solidFill>
                            <a:prstDash val="solid"/>
                          </a:ln>
                          <a:effectLst/>
                        </wps:spPr>
                        <wps:bodyPr/>
                      </wps:wsp>
                      <wps:wsp>
                        <wps:cNvPr id="2690" name="Gerade Verbindung 442"/>
                        <wps:cNvCnPr>
                          <a:endCxn id="2610" idx="0"/>
                        </wps:cNvCnPr>
                        <wps:spPr bwMode="auto">
                          <a:xfrm>
                            <a:off x="2495550" y="3698875"/>
                            <a:ext cx="96837" cy="1587"/>
                          </a:xfrm>
                          <a:prstGeom prst="line">
                            <a:avLst/>
                          </a:prstGeom>
                          <a:noFill/>
                          <a:ln w="9525" cap="flat" cmpd="sng" algn="ctr">
                            <a:solidFill>
                              <a:srgbClr val="8064A2">
                                <a:lumMod val="75000"/>
                              </a:srgbClr>
                            </a:solidFill>
                            <a:prstDash val="solid"/>
                          </a:ln>
                          <a:effectLst/>
                        </wps:spPr>
                        <wps:bodyPr/>
                      </wps:wsp>
                      <wps:wsp>
                        <wps:cNvPr id="2691" name="Rectangle 23" descr="25%"/>
                        <wps:cNvSpPr>
                          <a:spLocks noChangeAspect="1" noChangeArrowheads="1"/>
                        </wps:cNvSpPr>
                        <wps:spPr bwMode="auto">
                          <a:xfrm flipV="1">
                            <a:off x="2611437" y="3819525"/>
                            <a:ext cx="180975" cy="80962"/>
                          </a:xfrm>
                          <a:prstGeom prst="rect">
                            <a:avLst/>
                          </a:prstGeom>
                          <a:pattFill prst="openDmnd">
                            <a:fgClr>
                              <a:srgbClr val="943634"/>
                            </a:fgClr>
                            <a:bgClr>
                              <a:srgbClr val="FFFFFF"/>
                            </a:bgClr>
                          </a:pattFill>
                          <a:ln w="9525">
                            <a:solidFill>
                              <a:srgbClr val="C0504D">
                                <a:lumMod val="75000"/>
                              </a:srgbClr>
                            </a:solidFill>
                            <a:miter lim="800000"/>
                            <a:headEnd/>
                            <a:tailEnd/>
                          </a:ln>
                        </wps:spPr>
                        <wps:bodyPr wrap="none" anchor="ctr"/>
                      </wps:wsp>
                      <wps:wsp>
                        <wps:cNvPr id="2692" name="Gerade Verbindung 446"/>
                        <wps:cNvCnPr/>
                        <wps:spPr bwMode="auto">
                          <a:xfrm flipH="1">
                            <a:off x="2617787" y="3843337"/>
                            <a:ext cx="3175" cy="34925"/>
                          </a:xfrm>
                          <a:prstGeom prst="line">
                            <a:avLst/>
                          </a:prstGeom>
                          <a:noFill/>
                          <a:ln w="38100" cap="flat" cmpd="sng" algn="ctr">
                            <a:solidFill>
                              <a:sysClr val="windowText" lastClr="000000"/>
                            </a:solidFill>
                            <a:prstDash val="solid"/>
                          </a:ln>
                          <a:effectLst/>
                        </wps:spPr>
                        <wps:bodyPr/>
                      </wps:wsp>
                      <wps:wsp>
                        <wps:cNvPr id="2693" name="Rectangle 23" descr="25%"/>
                        <wps:cNvSpPr>
                          <a:spLocks noChangeAspect="1" noChangeArrowheads="1"/>
                        </wps:cNvSpPr>
                        <wps:spPr bwMode="auto">
                          <a:xfrm>
                            <a:off x="2754312" y="3440113"/>
                            <a:ext cx="1165225" cy="485775"/>
                          </a:xfrm>
                          <a:prstGeom prst="rect">
                            <a:avLst/>
                          </a:prstGeom>
                          <a:blipFill dpi="0" rotWithShape="0">
                            <a:blip r:embed="rId1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cNvPr id="2694" name="Gruppieren 30"/>
                        <wpg:cNvGrpSpPr>
                          <a:grpSpLocks/>
                        </wpg:cNvGrpSpPr>
                        <wpg:grpSpPr bwMode="auto">
                          <a:xfrm>
                            <a:off x="2611437" y="3695700"/>
                            <a:ext cx="1381125" cy="642938"/>
                            <a:chOff x="2611437" y="3695700"/>
                            <a:chExt cx="1294662" cy="643432"/>
                          </a:xfrm>
                        </wpg:grpSpPr>
                        <wps:wsp>
                          <wps:cNvPr id="2695" name="Rectangle 25" descr="Kugeln"/>
                          <wps:cNvSpPr>
                            <a:spLocks noChangeAspect="1" noChangeArrowheads="1"/>
                          </wps:cNvSpPr>
                          <wps:spPr bwMode="auto">
                            <a:xfrm>
                              <a:off x="2611437" y="3883318"/>
                              <a:ext cx="1195366" cy="455814"/>
                            </a:xfrm>
                            <a:prstGeom prst="rect">
                              <a:avLst/>
                            </a:prstGeom>
                            <a:blipFill dpi="0" rotWithShape="0">
                              <a:blip r:embed="rId20"/>
                              <a:srcRect/>
                              <a:tile tx="0" ty="0" sx="100000" sy="100000" flip="none" algn="tl"/>
                            </a:blipFill>
                            <a:ln w="9525">
                              <a:solidFill>
                                <a:srgbClr val="000000"/>
                              </a:solidFill>
                              <a:miter lim="800000"/>
                              <a:headEnd/>
                              <a:tailEnd/>
                            </a:ln>
                          </wps:spPr>
                          <wps:bodyPr wrap="none" anchor="ctr"/>
                        </wps:wsp>
                        <wps:wsp>
                          <wps:cNvPr id="2696" name="Rectangle 47" descr="Kugeln"/>
                          <wps:cNvSpPr>
                            <a:spLocks noChangeAspect="1" noChangeArrowheads="1"/>
                          </wps:cNvSpPr>
                          <wps:spPr bwMode="auto">
                            <a:xfrm>
                              <a:off x="3170536" y="3695700"/>
                              <a:ext cx="735563" cy="77887"/>
                            </a:xfrm>
                            <a:prstGeom prst="rect">
                              <a:avLst/>
                            </a:prstGeom>
                            <a:blipFill dpi="0" rotWithShape="0">
                              <a:blip r:embed="rId20"/>
                              <a:srcRect/>
                              <a:tile tx="0" ty="0" sx="100000" sy="100000" flip="none" algn="tl"/>
                            </a:blipFill>
                            <a:ln w="9525">
                              <a:solidFill>
                                <a:srgbClr val="000000"/>
                              </a:solidFill>
                              <a:miter lim="800000"/>
                              <a:headEnd/>
                              <a:tailEnd/>
                            </a:ln>
                          </wps:spPr>
                          <wps:bodyPr wrap="none" anchor="ctr"/>
                        </wps:wsp>
                        <wps:wsp>
                          <wps:cNvPr id="2697" name="Rectangle 47" descr="Kugeln"/>
                          <wps:cNvSpPr>
                            <a:spLocks noChangeAspect="1" noChangeArrowheads="1"/>
                          </wps:cNvSpPr>
                          <wps:spPr bwMode="auto">
                            <a:xfrm>
                              <a:off x="3567034" y="3774395"/>
                              <a:ext cx="64892" cy="117342"/>
                            </a:xfrm>
                            <a:prstGeom prst="rect">
                              <a:avLst/>
                            </a:pr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698" name="Gerade Verbindung 426"/>
                          <wps:cNvCnPr/>
                          <wps:spPr>
                            <a:xfrm>
                              <a:off x="3562344" y="3771959"/>
                              <a:ext cx="0" cy="123920"/>
                            </a:xfrm>
                            <a:prstGeom prst="line">
                              <a:avLst/>
                            </a:prstGeom>
                            <a:noFill/>
                            <a:ln w="9525" cap="flat" cmpd="sng" algn="ctr">
                              <a:solidFill>
                                <a:sysClr val="windowText" lastClr="000000"/>
                              </a:solidFill>
                              <a:prstDash val="solid"/>
                            </a:ln>
                            <a:effectLst/>
                          </wps:spPr>
                          <wps:bodyPr/>
                        </wps:wsp>
                        <wps:wsp>
                          <wps:cNvPr id="2699" name="Gerade Verbindung 427"/>
                          <wps:cNvCnPr/>
                          <wps:spPr>
                            <a:xfrm>
                              <a:off x="3630798" y="3775136"/>
                              <a:ext cx="0" cy="123920"/>
                            </a:xfrm>
                            <a:prstGeom prst="line">
                              <a:avLst/>
                            </a:prstGeom>
                            <a:noFill/>
                            <a:ln w="9525" cap="flat" cmpd="sng" algn="ctr">
                              <a:solidFill>
                                <a:sysClr val="windowText" lastClr="000000"/>
                              </a:solidFill>
                              <a:prstDash val="solid"/>
                            </a:ln>
                            <a:effectLst/>
                          </wps:spPr>
                          <wps:bodyPr/>
                        </wps:wsp>
                        <wps:wsp>
                          <wps:cNvPr id="2700" name="Rectangle 47" descr="Kugeln"/>
                          <wps:cNvSpPr>
                            <a:spLocks noChangeAspect="1" noChangeArrowheads="1"/>
                          </wps:cNvSpPr>
                          <wps:spPr bwMode="auto">
                            <a:xfrm rot="-5400000">
                              <a:off x="3266955" y="3794264"/>
                              <a:ext cx="64327" cy="118374"/>
                            </a:xfrm>
                            <a:prstGeom prst="rect">
                              <a:avLst/>
                            </a:prstGeom>
                            <a:blipFill dpi="0" rotWithShape="0">
                              <a:blip r:embed="rId20"/>
                              <a:srcRect/>
                              <a:tile tx="0" ty="0" sx="100000" sy="100000" flip="none" algn="tl"/>
                            </a:blipFill>
                            <a:ln w="9525">
                              <a:solidFill>
                                <a:sysClr val="windowText" lastClr="000000"/>
                              </a:solidFill>
                              <a:miter lim="800000"/>
                              <a:headEnd/>
                              <a:tailEnd/>
                            </a:ln>
                          </wps:spPr>
                          <wps:bodyPr wrap="none" anchor="ctr"/>
                        </wps:wsp>
                      </wpg:grpSp>
                      <wps:wsp>
                        <wps:cNvPr id="2701" name="AutoShape 68"/>
                        <wps:cNvSpPr>
                          <a:spLocks noChangeAspect="1" noChangeArrowheads="1"/>
                        </wps:cNvSpPr>
                        <wps:spPr bwMode="auto">
                          <a:xfrm rot="5400000">
                            <a:off x="3260725" y="3763963"/>
                            <a:ext cx="1343025" cy="231775"/>
                          </a:xfrm>
                          <a:prstGeom prst="wave">
                            <a:avLst>
                              <a:gd name="adj1" fmla="val 13005"/>
                              <a:gd name="adj2" fmla="val 0"/>
                            </a:avLst>
                          </a:prstGeom>
                          <a:solidFill>
                            <a:srgbClr val="FFFFFF"/>
                          </a:solidFill>
                          <a:ln w="9525">
                            <a:solidFill>
                              <a:srgbClr val="000000"/>
                            </a:solidFill>
                            <a:prstDash val="sysDot"/>
                            <a:round/>
                            <a:headEnd/>
                            <a:tailEnd/>
                          </a:ln>
                        </wps:spPr>
                        <wps:bodyPr wrap="none" anchor="ctr"/>
                      </wps:wsp>
                      <wps:wsp>
                        <wps:cNvPr id="2702" name="Line 17" descr="Große Konfetti"/>
                        <wps:cNvCnPr/>
                        <wps:spPr bwMode="auto">
                          <a:xfrm rot="19387806" flipV="1">
                            <a:off x="2589212" y="3902075"/>
                            <a:ext cx="39688" cy="53975"/>
                          </a:xfrm>
                          <a:prstGeom prst="line">
                            <a:avLst/>
                          </a:prstGeom>
                          <a:noFill/>
                          <a:ln w="9525">
                            <a:solidFill>
                              <a:srgbClr val="943634"/>
                            </a:solidFill>
                            <a:round/>
                            <a:headEnd/>
                            <a:tailEnd type="triangle" w="med" len="med"/>
                          </a:ln>
                          <a:extLst>
                            <a:ext uri="{909E8E84-426E-40DD-AFC4-6F175D3DCCD1}">
                              <a14:hiddenFill xmlns:a14="http://schemas.microsoft.com/office/drawing/2010/main">
                                <a:noFill/>
                              </a14:hiddenFill>
                            </a:ext>
                          </a:extLst>
                        </wps:spPr>
                        <wps:bodyPr/>
                      </wps:wsp>
                      <wpg:grpSp>
                        <wpg:cNvPr id="2703" name="Gruppieren 33"/>
                        <wpg:cNvGrpSpPr>
                          <a:grpSpLocks/>
                        </wpg:cNvGrpSpPr>
                        <wpg:grpSpPr bwMode="auto">
                          <a:xfrm rot="-5400000">
                            <a:off x="2850360" y="3329786"/>
                            <a:ext cx="411162" cy="12699"/>
                            <a:chOff x="2863027" y="3340952"/>
                            <a:chExt cx="410656" cy="12243"/>
                          </a:xfrm>
                        </wpg:grpSpPr>
                        <wps:wsp>
                          <wps:cNvPr id="2704" name="Gerade Verbindung mit Pfeil 144"/>
                          <wps:cNvCnPr/>
                          <wps:spPr>
                            <a:xfrm flipH="1" flipV="1">
                              <a:off x="2863027" y="3340952"/>
                              <a:ext cx="131600" cy="1531"/>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s:wsp>
                          <wps:cNvPr id="2705" name="Gerade Verbindung mit Pfeil 145"/>
                          <wps:cNvCnPr/>
                          <wps:spPr>
                            <a:xfrm flipV="1">
                              <a:off x="3143668" y="3351665"/>
                              <a:ext cx="130015" cy="1530"/>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g:grpSp>
                      <wps:wsp>
                        <wps:cNvPr id="2706" name="Gerade Verbindung mit Pfeil 34"/>
                        <wps:cNvCnPr/>
                        <wps:spPr bwMode="auto">
                          <a:xfrm flipH="1">
                            <a:off x="2749550" y="3746500"/>
                            <a:ext cx="461962" cy="0"/>
                          </a:xfrm>
                          <a:prstGeom prst="straightConnector1">
                            <a:avLst/>
                          </a:prstGeom>
                          <a:noFill/>
                          <a:ln w="9525" cap="flat" cmpd="sng" algn="ctr">
                            <a:solidFill>
                              <a:srgbClr val="C0504D">
                                <a:lumMod val="75000"/>
                              </a:srgbClr>
                            </a:solidFill>
                            <a:prstDash val="solid"/>
                            <a:headEnd type="triangle" w="med" len="med"/>
                            <a:tailEnd type="triangle" w="med" len="med"/>
                          </a:ln>
                          <a:effectLst/>
                        </wps:spPr>
                        <wps:bodyPr/>
                      </wps:wsp>
                      <wps:wsp>
                        <wps:cNvPr id="2707" name="Text Box 63"/>
                        <wps:cNvSpPr txBox="1">
                          <a:spLocks noChangeAspect="1" noChangeArrowheads="1"/>
                        </wps:cNvSpPr>
                        <wps:spPr bwMode="auto">
                          <a:xfrm>
                            <a:off x="2693887" y="3706812"/>
                            <a:ext cx="596910" cy="343857"/>
                          </a:xfrm>
                          <a:prstGeom prst="rect">
                            <a:avLst/>
                          </a:prstGeom>
                          <a:noFill/>
                          <a:ln w="9525">
                            <a:noFill/>
                            <a:miter lim="800000"/>
                            <a:headEnd/>
                            <a:tailEnd/>
                          </a:ln>
                        </wps:spPr>
                        <wps:txbx>
                          <w:txbxContent>
                            <w:p w:rsidR="00AA4416" w:rsidRDefault="00AA4416" w:rsidP="00A21536">
                              <w:pPr>
                                <w:pStyle w:val="NormalWeb"/>
                                <w:spacing w:after="200"/>
                                <w:textAlignment w:val="baseline"/>
                              </w:pPr>
                              <w:r>
                                <w:rPr>
                                  <w:rFonts w:ascii="Arial" w:hAnsi="Arial" w:cstheme="minorBidi"/>
                                  <w:color w:val="943634" w:themeColor="accent2" w:themeShade="BF"/>
                                  <w:kern w:val="24"/>
                                  <w:sz w:val="18"/>
                                  <w:szCs w:val="18"/>
                                  <w:u w:val="single"/>
                                </w:rPr>
                                <w:t>&gt;</w:t>
                              </w:r>
                              <w:r>
                                <w:rPr>
                                  <w:rFonts w:ascii="Arial" w:hAnsi="Arial" w:cstheme="minorBidi"/>
                                  <w:color w:val="943634" w:themeColor="accent2" w:themeShade="BF"/>
                                  <w:kern w:val="24"/>
                                  <w:sz w:val="18"/>
                                  <w:szCs w:val="18"/>
                                </w:rPr>
                                <w:t>2,50 m</w:t>
                              </w:r>
                            </w:p>
                          </w:txbxContent>
                        </wps:txbx>
                        <wps:bodyPr wrap="square" lIns="75888" tIns="37944" rIns="75888" bIns="37944">
                          <a:noAutofit/>
                        </wps:bodyPr>
                      </wps:wsp>
                      <wps:wsp>
                        <wps:cNvPr id="2708" name="Line 100"/>
                        <wps:cNvCnPr/>
                        <wps:spPr bwMode="auto">
                          <a:xfrm>
                            <a:off x="2611437" y="4095750"/>
                            <a:ext cx="1073150" cy="14605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709" name="Line 100"/>
                        <wps:cNvCnPr/>
                        <wps:spPr bwMode="auto">
                          <a:xfrm>
                            <a:off x="2500312" y="4170363"/>
                            <a:ext cx="1012825" cy="1709737"/>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2710" name="Gruppieren 38"/>
                        <wpg:cNvGrpSpPr>
                          <a:grpSpLocks/>
                        </wpg:cNvGrpSpPr>
                        <wpg:grpSpPr bwMode="auto">
                          <a:xfrm>
                            <a:off x="2370137" y="3433762"/>
                            <a:ext cx="665084" cy="343857"/>
                            <a:chOff x="2370137" y="3433762"/>
                            <a:chExt cx="665082" cy="343857"/>
                          </a:xfrm>
                        </wpg:grpSpPr>
                        <wps:wsp>
                          <wps:cNvPr id="2711" name="Text Box 63"/>
                          <wps:cNvSpPr txBox="1">
                            <a:spLocks noChangeAspect="1" noChangeArrowheads="1"/>
                          </wps:cNvSpPr>
                          <wps:spPr bwMode="auto">
                            <a:xfrm>
                              <a:off x="2438310" y="3433762"/>
                              <a:ext cx="596909" cy="343857"/>
                            </a:xfrm>
                            <a:prstGeom prst="rect">
                              <a:avLst/>
                            </a:prstGeom>
                            <a:noFill/>
                            <a:ln w="9525">
                              <a:noFill/>
                              <a:miter lim="800000"/>
                              <a:headEnd/>
                              <a:tailEnd/>
                            </a:ln>
                          </wps:spPr>
                          <wps:txbx>
                            <w:txbxContent>
                              <w:p w:rsidR="00AA4416" w:rsidRDefault="00AA4416" w:rsidP="00A21536">
                                <w:pPr>
                                  <w:pStyle w:val="NormalWeb"/>
                                  <w:spacing w:after="200"/>
                                  <w:textAlignment w:val="baseline"/>
                                </w:pPr>
                                <w:r>
                                  <w:rPr>
                                    <w:rFonts w:ascii="Arial" w:hAnsi="Arial" w:cstheme="minorBidi"/>
                                    <w:color w:val="595959" w:themeColor="text1" w:themeTint="A6"/>
                                    <w:kern w:val="24"/>
                                    <w:sz w:val="18"/>
                                    <w:szCs w:val="18"/>
                                    <w:u w:val="single"/>
                                  </w:rPr>
                                  <w:t>&gt;</w:t>
                                </w:r>
                                <w:r>
                                  <w:rPr>
                                    <w:rFonts w:ascii="Arial" w:hAnsi="Arial" w:cstheme="minorBidi"/>
                                    <w:color w:val="595959" w:themeColor="text1" w:themeTint="A6"/>
                                    <w:kern w:val="24"/>
                                    <w:sz w:val="18"/>
                                    <w:szCs w:val="18"/>
                                  </w:rPr>
                                  <w:t>0,60 m</w:t>
                                </w:r>
                              </w:p>
                            </w:txbxContent>
                          </wps:txbx>
                          <wps:bodyPr wrap="square" lIns="75888" tIns="37944" rIns="75888" bIns="37944">
                            <a:noAutofit/>
                          </wps:bodyPr>
                        </wps:wsp>
                        <wps:wsp>
                          <wps:cNvPr id="2712" name="Gerade Verbindung mit Pfeil 142"/>
                          <wps:cNvCnPr/>
                          <wps:spPr bwMode="auto">
                            <a:xfrm flipV="1">
                              <a:off x="2592386" y="3644900"/>
                              <a:ext cx="131763" cy="1587"/>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s:wsp>
                          <wps:cNvPr id="2713" name="Gerade Verbindung mit Pfeil 143"/>
                          <wps:cNvCnPr/>
                          <wps:spPr bwMode="auto">
                            <a:xfrm flipH="1" flipV="1">
                              <a:off x="2370137" y="3641725"/>
                              <a:ext cx="130175" cy="1587"/>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g:grpSp>
                      <wps:wsp>
                        <wps:cNvPr id="2714" name="Gerade Verbindung 198"/>
                        <wps:cNvCnPr/>
                        <wps:spPr bwMode="auto">
                          <a:xfrm>
                            <a:off x="1992312" y="3586162"/>
                            <a:ext cx="0" cy="292100"/>
                          </a:xfrm>
                          <a:prstGeom prst="line">
                            <a:avLst/>
                          </a:prstGeom>
                          <a:noFill/>
                          <a:ln w="9525" cap="flat" cmpd="sng" algn="ctr">
                            <a:solidFill>
                              <a:sysClr val="windowText" lastClr="000000"/>
                            </a:solidFill>
                            <a:prstDash val="solid"/>
                          </a:ln>
                          <a:effectLst/>
                        </wps:spPr>
                        <wps:bodyPr/>
                      </wps:wsp>
                      <wps:wsp>
                        <wps:cNvPr id="2715" name="Gerade Verbindung 200"/>
                        <wps:cNvCnPr/>
                        <wps:spPr bwMode="auto">
                          <a:xfrm flipV="1">
                            <a:off x="539750" y="3594100"/>
                            <a:ext cx="1452562" cy="11112"/>
                          </a:xfrm>
                          <a:prstGeom prst="line">
                            <a:avLst/>
                          </a:prstGeom>
                          <a:noFill/>
                          <a:ln w="9525" cap="flat" cmpd="sng" algn="ctr">
                            <a:solidFill>
                              <a:sysClr val="windowText" lastClr="000000"/>
                            </a:solidFill>
                            <a:prstDash val="solid"/>
                          </a:ln>
                          <a:effectLst/>
                        </wps:spPr>
                        <wps:bodyPr/>
                      </wps:wsp>
                      <wps:wsp>
                        <wps:cNvPr id="2716" name="Text Box 14"/>
                        <wps:cNvSpPr txBox="1">
                          <a:spLocks noChangeArrowheads="1"/>
                        </wps:cNvSpPr>
                        <wps:spPr bwMode="auto">
                          <a:xfrm>
                            <a:off x="3917950" y="1693862"/>
                            <a:ext cx="1370012" cy="476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Default="00AA4416" w:rsidP="00A21536">
                              <w:pPr>
                                <w:pStyle w:val="NormalWeb"/>
                                <w:textAlignment w:val="baseline"/>
                              </w:pPr>
                              <w:r>
                                <w:rPr>
                                  <w:rFonts w:ascii="Verdana" w:hAnsi="Verdana" w:cs="Arial"/>
                                  <w:color w:val="1F497D" w:themeColor="text2"/>
                                  <w:kern w:val="24"/>
                                  <w:sz w:val="16"/>
                                  <w:szCs w:val="16"/>
                                </w:rPr>
                                <w:t>Begrenzungsebene des</w:t>
                              </w:r>
                              <w:r>
                                <w:rPr>
                                  <w:rFonts w:ascii="Verdana" w:hAnsi="Verdana" w:cs="Arial"/>
                                  <w:color w:val="1F497D" w:themeColor="text2"/>
                                  <w:kern w:val="24"/>
                                  <w:sz w:val="16"/>
                                  <w:szCs w:val="16"/>
                                </w:rPr>
                                <w:br/>
                                <w:t>Bereichs der Ladung</w:t>
                              </w:r>
                            </w:p>
                          </w:txbxContent>
                        </wps:txbx>
                        <wps:bodyPr wrap="square" lIns="75888" tIns="37944" rIns="75888" bIns="37944">
                          <a:noAutofit/>
                        </wps:bodyPr>
                      </wps:wsp>
                      <wps:wsp>
                        <wps:cNvPr id="2717" name="Gerade Verbindung 503"/>
                        <wps:cNvCnPr/>
                        <wps:spPr bwMode="auto">
                          <a:xfrm>
                            <a:off x="2479675" y="266700"/>
                            <a:ext cx="22225" cy="6134100"/>
                          </a:xfrm>
                          <a:prstGeom prst="line">
                            <a:avLst/>
                          </a:prstGeom>
                          <a:noFill/>
                          <a:ln w="9525" cap="flat" cmpd="sng" algn="ctr">
                            <a:solidFill>
                              <a:srgbClr val="1F497D"/>
                            </a:solidFill>
                            <a:prstDash val="dash"/>
                          </a:ln>
                          <a:effectLst/>
                        </wps:spPr>
                        <wps:bodyPr/>
                      </wps:wsp>
                      <wps:wsp>
                        <wps:cNvPr id="2718" name="Gerade Verbindung mit Pfeil 43"/>
                        <wps:cNvCnPr>
                          <a:stCxn id="2716" idx="1"/>
                        </wps:cNvCnPr>
                        <wps:spPr>
                          <a:xfrm flipH="1">
                            <a:off x="2476501" y="1932284"/>
                            <a:ext cx="1441449" cy="575966"/>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719" name="Textfeld 467"/>
                        <wps:cNvSpPr txBox="1">
                          <a:spLocks noChangeArrowheads="1"/>
                        </wps:cNvSpPr>
                        <wps:spPr bwMode="auto">
                          <a:xfrm>
                            <a:off x="0" y="5770563"/>
                            <a:ext cx="2245997"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Pr="00787FF8" w:rsidRDefault="00AA4416" w:rsidP="00A21536">
                              <w:pPr>
                                <w:pStyle w:val="NormalWeb"/>
                                <w:textAlignment w:val="baseline"/>
                              </w:pPr>
                              <w:r>
                                <w:rPr>
                                  <w:rFonts w:ascii="Arial" w:hAnsi="Arial" w:cs="Arial"/>
                                  <w:color w:val="000000" w:themeColor="text1"/>
                                  <w:kern w:val="24"/>
                                </w:rPr>
                                <w:t>Schutzwand nicht</w:t>
                              </w:r>
                            </w:p>
                            <w:p w:rsidR="00AA4416" w:rsidRPr="00787FF8" w:rsidRDefault="00AA4416" w:rsidP="00A21536">
                              <w:pPr>
                                <w:pStyle w:val="NormalWeb"/>
                                <w:textAlignment w:val="baseline"/>
                              </w:pPr>
                              <w:r>
                                <w:rPr>
                                  <w:rFonts w:ascii="Arial" w:hAnsi="Arial" w:cs="Arial"/>
                                  <w:color w:val="000000" w:themeColor="text1"/>
                                  <w:kern w:val="24"/>
                                </w:rPr>
                                <w:t>Außenwand der Wohnung</w:t>
                              </w:r>
                            </w:p>
                          </w:txbxContent>
                        </wps:txbx>
                        <wps:bodyPr wrap="square">
                          <a:noAutofit/>
                        </wps:bodyPr>
                      </wps:wsp>
                      <wpg:grpSp>
                        <wpg:cNvPr id="2720" name="Gruppieren 45"/>
                        <wpg:cNvGrpSpPr>
                          <a:grpSpLocks/>
                        </wpg:cNvGrpSpPr>
                        <wpg:grpSpPr bwMode="auto">
                          <a:xfrm>
                            <a:off x="3622541" y="3124198"/>
                            <a:ext cx="4341533" cy="2863859"/>
                            <a:chOff x="3622541" y="3124194"/>
                            <a:chExt cx="4342212" cy="2864125"/>
                          </a:xfrm>
                        </wpg:grpSpPr>
                        <wpg:grpSp>
                          <wpg:cNvPr id="2721" name="Gruppieren 62"/>
                          <wpg:cNvGrpSpPr>
                            <a:grpSpLocks/>
                          </wpg:cNvGrpSpPr>
                          <wpg:grpSpPr bwMode="auto">
                            <a:xfrm>
                              <a:off x="3622541" y="3124194"/>
                              <a:ext cx="4342212" cy="2864125"/>
                              <a:chOff x="3622541" y="3124194"/>
                              <a:chExt cx="4342212" cy="2864125"/>
                            </a:xfrm>
                          </wpg:grpSpPr>
                          <wps:wsp>
                            <wps:cNvPr id="2722" name="Rectangle 93" descr="5%"/>
                            <wps:cNvSpPr>
                              <a:spLocks noChangeArrowheads="1"/>
                            </wps:cNvSpPr>
                            <wps:spPr bwMode="auto">
                              <a:xfrm>
                                <a:off x="6306026" y="3746060"/>
                                <a:ext cx="180000" cy="180000"/>
                              </a:xfrm>
                              <a:prstGeom prst="rect">
                                <a:avLst/>
                              </a:prstGeom>
                              <a:blipFill dpi="0" rotWithShape="0">
                                <a:blip r:embed="rId17"/>
                                <a:srcRect/>
                                <a:tile tx="0" ty="0" sx="100000" sy="100000" flip="none" algn="tl"/>
                              </a:blipFill>
                              <a:ln w="9525">
                                <a:solidFill>
                                  <a:srgbClr val="7030A0"/>
                                </a:solidFill>
                                <a:miter lim="800000"/>
                                <a:headEnd/>
                                <a:tailEnd/>
                              </a:ln>
                            </wps:spPr>
                            <wps:bodyPr wrap="none" anchor="ctr"/>
                          </wps:wsp>
                          <wps:wsp>
                            <wps:cNvPr id="2723" name="Text Box 14"/>
                            <wps:cNvSpPr txBox="1">
                              <a:spLocks noChangeArrowheads="1"/>
                            </wps:cNvSpPr>
                            <wps:spPr bwMode="auto">
                              <a:xfrm>
                                <a:off x="3622541" y="5421994"/>
                                <a:ext cx="1484239" cy="348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Default="00AA4416" w:rsidP="00A21536">
                                  <w:pPr>
                                    <w:pStyle w:val="NormalWeb"/>
                                    <w:textAlignment w:val="baseline"/>
                                  </w:pPr>
                                  <w:r>
                                    <w:rPr>
                                      <w:rFonts w:ascii="Verdana" w:hAnsi="Verdana" w:cs="Arial"/>
                                      <w:color w:val="000000" w:themeColor="text1"/>
                                      <w:kern w:val="24"/>
                                      <w:sz w:val="16"/>
                                      <w:szCs w:val="16"/>
                                    </w:rPr>
                                    <w:t>äußeres Ladetankschott</w:t>
                                  </w:r>
                                </w:p>
                              </w:txbxContent>
                            </wps:txbx>
                            <wps:bodyPr wrap="square" lIns="75888" tIns="37944" rIns="75888" bIns="37944">
                              <a:noAutofit/>
                            </wps:bodyPr>
                          </wps:wsp>
                          <wps:wsp>
                            <wps:cNvPr id="2724" name="Gerade Verbindung mit Pfeil 72"/>
                            <wps:cNvCnPr/>
                            <wps:spPr bwMode="auto">
                              <a:xfrm flipV="1">
                                <a:off x="6761652" y="3454431"/>
                                <a:ext cx="131784" cy="1587"/>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s:wsp>
                            <wps:cNvPr id="2725" name="Rectangle 20" descr="5%"/>
                            <wps:cNvSpPr>
                              <a:spLocks noChangeAspect="1" noChangeArrowheads="1"/>
                            </wps:cNvSpPr>
                            <wps:spPr bwMode="auto">
                              <a:xfrm>
                                <a:off x="6710678" y="3320841"/>
                                <a:ext cx="1057111" cy="153905"/>
                              </a:xfrm>
                              <a:prstGeom prst="rect">
                                <a:avLst/>
                              </a:prstGeom>
                              <a:blipFill dpi="0" rotWithShape="0">
                                <a:blip r:embed="rId17"/>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726" name="Gerade Verbindung 515"/>
                            <wps:cNvCnPr/>
                            <wps:spPr bwMode="auto">
                              <a:xfrm>
                                <a:off x="6721959" y="3487771"/>
                                <a:ext cx="395349" cy="6351"/>
                              </a:xfrm>
                              <a:prstGeom prst="line">
                                <a:avLst/>
                              </a:prstGeom>
                              <a:noFill/>
                              <a:ln w="9525" cap="flat" cmpd="sng" algn="ctr">
                                <a:solidFill>
                                  <a:srgbClr val="C0504D">
                                    <a:lumMod val="75000"/>
                                  </a:srgbClr>
                                </a:solidFill>
                                <a:prstDash val="solid"/>
                              </a:ln>
                              <a:effectLst/>
                            </wps:spPr>
                            <wps:bodyPr/>
                          </wps:wsp>
                          <wps:wsp>
                            <wps:cNvPr id="2727" name="Gerade Verbindung 516"/>
                            <wps:cNvCnPr/>
                            <wps:spPr bwMode="auto">
                              <a:xfrm>
                                <a:off x="6604466" y="3894209"/>
                                <a:ext cx="125432" cy="1588"/>
                              </a:xfrm>
                              <a:prstGeom prst="line">
                                <a:avLst/>
                              </a:prstGeom>
                              <a:noFill/>
                              <a:ln w="9525" cap="flat" cmpd="sng" algn="ctr">
                                <a:solidFill>
                                  <a:srgbClr val="C0504D">
                                    <a:lumMod val="75000"/>
                                  </a:srgbClr>
                                </a:solidFill>
                                <a:prstDash val="solid"/>
                              </a:ln>
                              <a:effectLst/>
                            </wps:spPr>
                            <wps:bodyPr/>
                          </wps:wsp>
                          <wps:wsp>
                            <wps:cNvPr id="2728" name="Rectangle 20" descr="5%"/>
                            <wps:cNvSpPr>
                              <a:spLocks noChangeArrowheads="1"/>
                            </wps:cNvSpPr>
                            <wps:spPr bwMode="auto">
                              <a:xfrm>
                                <a:off x="5134226" y="3923293"/>
                                <a:ext cx="1340381" cy="72007"/>
                              </a:xfrm>
                              <a:prstGeom prst="rect">
                                <a:avLst/>
                              </a:prstGeom>
                              <a:blipFill dpi="0" rotWithShape="0">
                                <a:blip r:embed="rId17"/>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729" name="Line 11"/>
                            <wps:cNvCnPr/>
                            <wps:spPr bwMode="auto">
                              <a:xfrm flipV="1">
                                <a:off x="4947827" y="3990506"/>
                                <a:ext cx="0" cy="89507"/>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2730" name="Line 12"/>
                            <wps:cNvCnPr/>
                            <wps:spPr bwMode="auto">
                              <a:xfrm>
                                <a:off x="4956080" y="3805144"/>
                                <a:ext cx="0" cy="89507"/>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2731" name="Text Box 13"/>
                            <wps:cNvSpPr txBox="1">
                              <a:spLocks noChangeAspect="1" noChangeArrowheads="1"/>
                            </wps:cNvSpPr>
                            <wps:spPr bwMode="auto">
                              <a:xfrm>
                                <a:off x="4943973" y="3699694"/>
                                <a:ext cx="540481" cy="334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Default="00AA4416" w:rsidP="00A21536">
                                  <w:pPr>
                                    <w:pStyle w:val="NormalWeb"/>
                                    <w:spacing w:after="200"/>
                                    <w:textAlignment w:val="baseline"/>
                                  </w:pPr>
                                  <w:r>
                                    <w:rPr>
                                      <w:rFonts w:ascii="Arial" w:hAnsi="Arial" w:cs="Arial"/>
                                      <w:color w:val="5F497A"/>
                                      <w:kern w:val="24"/>
                                      <w:sz w:val="18"/>
                                      <w:szCs w:val="18"/>
                                    </w:rPr>
                                    <w:t>0,50 m</w:t>
                                  </w:r>
                                </w:p>
                              </w:txbxContent>
                            </wps:txbx>
                            <wps:bodyPr wrap="square" lIns="75888" tIns="37944" rIns="75888" bIns="37944">
                              <a:noAutofit/>
                            </wps:bodyPr>
                          </wps:wsp>
                          <wps:wsp>
                            <wps:cNvPr id="2732" name="Text Box 14"/>
                            <wps:cNvSpPr txBox="1">
                              <a:spLocks noChangeAspect="1" noChangeArrowheads="1"/>
                            </wps:cNvSpPr>
                            <wps:spPr bwMode="auto">
                              <a:xfrm>
                                <a:off x="5637388" y="3991775"/>
                                <a:ext cx="538576" cy="334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Default="00AA4416" w:rsidP="00A21536">
                                  <w:pPr>
                                    <w:pStyle w:val="NormalWeb"/>
                                    <w:spacing w:after="200"/>
                                    <w:textAlignment w:val="baseline"/>
                                  </w:pPr>
                                  <w:r>
                                    <w:rPr>
                                      <w:rFonts w:ascii="Arial" w:hAnsi="Arial" w:cs="Arial"/>
                                      <w:color w:val="5F497A"/>
                                      <w:kern w:val="24"/>
                                      <w:sz w:val="18"/>
                                      <w:szCs w:val="18"/>
                                    </w:rPr>
                                    <w:t>7,50 m</w:t>
                                  </w:r>
                                </w:p>
                              </w:txbxContent>
                            </wps:txbx>
                            <wps:bodyPr wrap="square" lIns="75888" tIns="37944" rIns="75888" bIns="37944">
                              <a:noAutofit/>
                            </wps:bodyPr>
                          </wps:wsp>
                          <wps:wsp>
                            <wps:cNvPr id="2733" name="Line 10"/>
                            <wps:cNvCnPr/>
                            <wps:spPr bwMode="auto">
                              <a:xfrm flipH="1">
                                <a:off x="4955666" y="3907838"/>
                                <a:ext cx="153469"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2734" name="Gruppieren 82"/>
                            <wpg:cNvGrpSpPr>
                              <a:grpSpLocks/>
                            </wpg:cNvGrpSpPr>
                            <wpg:grpSpPr bwMode="auto">
                              <a:xfrm>
                                <a:off x="4186219" y="3586930"/>
                                <a:ext cx="2302201" cy="909249"/>
                                <a:chOff x="4186219" y="3586922"/>
                                <a:chExt cx="2302209" cy="909531"/>
                              </a:xfrm>
                            </wpg:grpSpPr>
                            <wps:wsp>
                              <wps:cNvPr id="2735" name="Line 76"/>
                              <wps:cNvCnPr/>
                              <wps:spPr bwMode="auto">
                                <a:xfrm>
                                  <a:off x="4477508" y="4232545"/>
                                  <a:ext cx="287626" cy="2639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6" name="Line 77"/>
                              <wps:cNvCnPr/>
                              <wps:spPr bwMode="auto">
                                <a:xfrm>
                                  <a:off x="4232696" y="4231758"/>
                                  <a:ext cx="251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7" name="Line 78"/>
                              <wps:cNvCnPr/>
                              <wps:spPr bwMode="auto">
                                <a:xfrm>
                                  <a:off x="4186219" y="3983115"/>
                                  <a:ext cx="46477" cy="2513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8" name="Line 81"/>
                              <wps:cNvCnPr/>
                              <wps:spPr bwMode="auto">
                                <a:xfrm flipH="1">
                                  <a:off x="4461765" y="3647034"/>
                                  <a:ext cx="14677" cy="3388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9" name="Line 82"/>
                              <wps:cNvCnPr/>
                              <wps:spPr bwMode="auto">
                                <a:xfrm flipV="1">
                                  <a:off x="4472421" y="3586922"/>
                                  <a:ext cx="2016007" cy="607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0" name="Line 79"/>
                              <wps:cNvCnPr/>
                              <wps:spPr bwMode="auto">
                                <a:xfrm>
                                  <a:off x="4188664" y="3991992"/>
                                  <a:ext cx="22724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741" name="Gruppieren 83"/>
                            <wpg:cNvGrpSpPr>
                              <a:grpSpLocks/>
                            </wpg:cNvGrpSpPr>
                            <wpg:grpSpPr bwMode="auto">
                              <a:xfrm>
                                <a:off x="4764532" y="3328239"/>
                                <a:ext cx="1793683" cy="1165890"/>
                                <a:chOff x="4764527" y="3327203"/>
                                <a:chExt cx="1773014" cy="1165890"/>
                              </a:xfrm>
                            </wpg:grpSpPr>
                            <wps:wsp>
                              <wps:cNvPr id="2742" name="Line 84"/>
                              <wps:cNvCnPr/>
                              <wps:spPr bwMode="auto">
                                <a:xfrm flipV="1">
                                  <a:off x="5991792" y="3329935"/>
                                  <a:ext cx="5436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3" name="Line 85"/>
                              <wps:cNvCnPr/>
                              <wps:spPr bwMode="auto">
                                <a:xfrm>
                                  <a:off x="5991792" y="3327203"/>
                                  <a:ext cx="2773" cy="1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4" name="Line 86"/>
                              <wps:cNvCnPr/>
                              <wps:spPr bwMode="auto">
                                <a:xfrm flipH="1">
                                  <a:off x="6473752" y="3327203"/>
                                  <a:ext cx="63789" cy="2103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5" name="Line 87"/>
                              <wps:cNvCnPr/>
                              <wps:spPr bwMode="auto">
                                <a:xfrm>
                                  <a:off x="6475738" y="3544664"/>
                                  <a:ext cx="0" cy="456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6" name="Line 88"/>
                              <wps:cNvCnPr/>
                              <wps:spPr bwMode="auto">
                                <a:xfrm>
                                  <a:off x="6021907" y="3520071"/>
                                  <a:ext cx="0" cy="879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7" name="Line 90"/>
                              <wps:cNvCnPr/>
                              <wps:spPr bwMode="auto">
                                <a:xfrm>
                                  <a:off x="4764527" y="4493093"/>
                                  <a:ext cx="17049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748" name="Gruppieren 84"/>
                            <wpg:cNvGrpSpPr>
                              <a:grpSpLocks/>
                            </wpg:cNvGrpSpPr>
                            <wpg:grpSpPr bwMode="auto">
                              <a:xfrm>
                                <a:off x="4495095" y="3401719"/>
                                <a:ext cx="1908016" cy="355190"/>
                                <a:chOff x="4495095" y="3401719"/>
                                <a:chExt cx="1908022" cy="355300"/>
                              </a:xfrm>
                            </wpg:grpSpPr>
                            <wps:wsp>
                              <wps:cNvPr id="2749" name="Rectangle 24" descr="Horizontal hell"/>
                              <wps:cNvSpPr>
                                <a:spLocks noChangeAspect="1" noChangeArrowheads="1"/>
                              </wps:cNvSpPr>
                              <wps:spPr bwMode="auto">
                                <a:xfrm>
                                  <a:off x="6077382" y="3401719"/>
                                  <a:ext cx="325735" cy="64770"/>
                                </a:xfrm>
                                <a:prstGeom prst="rect">
                                  <a:avLst/>
                                </a:prstGeom>
                                <a:blipFill dpi="0" rotWithShape="0">
                                  <a:blip r:embed="rId18"/>
                                  <a:srcRect/>
                                  <a:tile tx="0" ty="0" sx="100000" sy="100000" flip="none" algn="tl"/>
                                </a:blipFill>
                                <a:ln w="9525">
                                  <a:solidFill>
                                    <a:srgbClr val="000000"/>
                                  </a:solidFill>
                                  <a:miter lim="800000"/>
                                  <a:headEnd/>
                                  <a:tailEnd/>
                                </a:ln>
                              </wps:spPr>
                              <wps:bodyPr wrap="none" anchor="ctr"/>
                            </wps:wsp>
                            <wps:wsp>
                              <wps:cNvPr id="2750" name="Rectangle 92" descr="Horizontal hell"/>
                              <wps:cNvSpPr>
                                <a:spLocks noChangeAspect="1" noChangeArrowheads="1"/>
                              </wps:cNvSpPr>
                              <wps:spPr bwMode="auto">
                                <a:xfrm>
                                  <a:off x="4495095" y="3690979"/>
                                  <a:ext cx="324228" cy="66040"/>
                                </a:xfrm>
                                <a:prstGeom prst="rect">
                                  <a:avLst/>
                                </a:prstGeom>
                                <a:blipFill dpi="0" rotWithShape="0">
                                  <a:blip r:embed="rId18"/>
                                  <a:srcRect/>
                                  <a:tile tx="0" ty="0" sx="100000" sy="100000" flip="none" algn="tl"/>
                                </a:blipFill>
                                <a:ln w="9525">
                                  <a:solidFill>
                                    <a:srgbClr val="000000"/>
                                  </a:solidFill>
                                  <a:miter lim="800000"/>
                                  <a:headEnd/>
                                  <a:tailEnd/>
                                </a:ln>
                              </wps:spPr>
                              <wps:bodyPr wrap="none" anchor="ctr"/>
                            </wps:wsp>
                          </wpg:grpSp>
                          <wpg:grpSp>
                            <wpg:cNvPr id="2751" name="Gruppieren 85"/>
                            <wpg:cNvGrpSpPr>
                              <a:grpSpLocks/>
                            </wpg:cNvGrpSpPr>
                            <wpg:grpSpPr bwMode="auto">
                              <a:xfrm>
                                <a:off x="6604624" y="3301734"/>
                                <a:ext cx="362036" cy="673662"/>
                                <a:chOff x="6604624" y="3301734"/>
                                <a:chExt cx="266647" cy="597507"/>
                              </a:xfrm>
                            </wpg:grpSpPr>
                            <wps:wsp>
                              <wps:cNvPr id="2752" name="Oval 4" descr="5%"/>
                              <wps:cNvSpPr>
                                <a:spLocks noChangeAspect="1" noChangeArrowheads="1"/>
                              </wps:cNvSpPr>
                              <wps:spPr bwMode="auto">
                                <a:xfrm>
                                  <a:off x="6604624" y="3301734"/>
                                  <a:ext cx="266647" cy="266065"/>
                                </a:xfrm>
                                <a:prstGeom prst="ellipse">
                                  <a:avLst/>
                                </a:prstGeom>
                                <a:blipFill dpi="0" rotWithShape="0">
                                  <a:blip r:embed="rId1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wrap="none" anchor="ctr"/>
                            </wps:wsp>
                            <wps:wsp>
                              <wps:cNvPr id="2753" name="Rectangle 93" descr="5%"/>
                              <wps:cNvSpPr>
                                <a:spLocks noChangeAspect="1" noChangeArrowheads="1"/>
                              </wps:cNvSpPr>
                              <wps:spPr bwMode="auto">
                                <a:xfrm>
                                  <a:off x="6611443" y="3408091"/>
                                  <a:ext cx="133958" cy="491150"/>
                                </a:xfrm>
                                <a:prstGeom prst="rect">
                                  <a:avLst/>
                                </a:prstGeom>
                                <a:blipFill dpi="0" rotWithShape="0">
                                  <a:blip r:embed="rId17"/>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s:wsp>
                            <wps:cNvPr id="2754" name="Gerade Verbindung 527"/>
                            <wps:cNvCnPr/>
                            <wps:spPr bwMode="auto">
                              <a:xfrm flipH="1">
                                <a:off x="6615579" y="3435379"/>
                                <a:ext cx="4764" cy="306416"/>
                              </a:xfrm>
                              <a:prstGeom prst="line">
                                <a:avLst/>
                              </a:prstGeom>
                              <a:noFill/>
                              <a:ln w="9525" cap="flat" cmpd="sng" algn="ctr">
                                <a:solidFill>
                                  <a:srgbClr val="8064A2">
                                    <a:lumMod val="75000"/>
                                  </a:srgbClr>
                                </a:solidFill>
                                <a:prstDash val="solid"/>
                              </a:ln>
                              <a:effectLst/>
                            </wps:spPr>
                            <wps:bodyPr/>
                          </wps:wsp>
                          <wps:wsp>
                            <wps:cNvPr id="2755" name="Gerade Verbindung 528"/>
                            <wps:cNvCnPr/>
                            <wps:spPr bwMode="auto">
                              <a:xfrm>
                                <a:off x="6737836" y="3311543"/>
                                <a:ext cx="1079669" cy="1587"/>
                              </a:xfrm>
                              <a:prstGeom prst="line">
                                <a:avLst/>
                              </a:prstGeom>
                              <a:noFill/>
                              <a:ln w="9525" cap="flat" cmpd="sng" algn="ctr">
                                <a:solidFill>
                                  <a:srgbClr val="8064A2">
                                    <a:lumMod val="75000"/>
                                  </a:srgbClr>
                                </a:solidFill>
                                <a:prstDash val="solid"/>
                              </a:ln>
                              <a:effectLst/>
                            </wps:spPr>
                            <wps:bodyPr/>
                          </wps:wsp>
                          <wps:wsp>
                            <wps:cNvPr id="2756" name="Bogen 88"/>
                            <wps:cNvSpPr/>
                            <wps:spPr bwMode="auto">
                              <a:xfrm flipH="1">
                                <a:off x="6620343" y="3309954"/>
                                <a:ext cx="287382" cy="257199"/>
                              </a:xfrm>
                              <a:prstGeom prst="arc">
                                <a:avLst>
                                  <a:gd name="adj1" fmla="val 16244643"/>
                                  <a:gd name="adj2" fmla="val 36358"/>
                                </a:avLst>
                              </a:prstGeom>
                              <a:noFill/>
                              <a:ln w="9525" cap="flat" cmpd="sng" algn="ctr">
                                <a:solidFill>
                                  <a:srgbClr val="8064A2">
                                    <a:lumMod val="75000"/>
                                  </a:srgbClr>
                                </a:solidFill>
                                <a:prstDash val="solid"/>
                              </a:ln>
                              <a:effectLst/>
                            </wps:spPr>
                            <wps:bodyPr anchor="ctr"/>
                          </wps:wsp>
                          <wps:wsp>
                            <wps:cNvPr id="2757" name="Text Box 63"/>
                            <wps:cNvSpPr txBox="1">
                              <a:spLocks noChangeAspect="1" noChangeArrowheads="1"/>
                            </wps:cNvSpPr>
                            <wps:spPr bwMode="auto">
                              <a:xfrm>
                                <a:off x="6731236" y="3292491"/>
                                <a:ext cx="597004" cy="343889"/>
                              </a:xfrm>
                              <a:prstGeom prst="rect">
                                <a:avLst/>
                              </a:prstGeom>
                              <a:noFill/>
                              <a:ln w="9525">
                                <a:noFill/>
                                <a:miter lim="800000"/>
                                <a:headEnd/>
                                <a:tailEnd/>
                              </a:ln>
                            </wps:spPr>
                            <wps:txbx>
                              <w:txbxContent>
                                <w:p w:rsidR="00AA4416" w:rsidRDefault="00AA4416" w:rsidP="00A21536">
                                  <w:pPr>
                                    <w:pStyle w:val="NormalWeb"/>
                                    <w:spacing w:after="200"/>
                                    <w:textAlignment w:val="baseline"/>
                                  </w:pPr>
                                  <w:r>
                                    <w:rPr>
                                      <w:rFonts w:ascii="Arial" w:hAnsi="Arial" w:cstheme="minorBidi"/>
                                      <w:color w:val="5F497A" w:themeColor="accent4" w:themeShade="BF"/>
                                      <w:kern w:val="24"/>
                                      <w:sz w:val="18"/>
                                      <w:szCs w:val="18"/>
                                    </w:rPr>
                                    <w:t>1,00 m</w:t>
                                  </w:r>
                                </w:p>
                              </w:txbxContent>
                            </wps:txbx>
                            <wps:bodyPr wrap="square" lIns="75888" tIns="37944" rIns="75888" bIns="37944">
                              <a:noAutofit/>
                            </wps:bodyPr>
                          </wps:wsp>
                          <wps:wsp>
                            <wps:cNvPr id="2758" name="Rectangle 23" descr="25%"/>
                            <wps:cNvSpPr>
                              <a:spLocks noChangeAspect="1" noChangeArrowheads="1"/>
                            </wps:cNvSpPr>
                            <wps:spPr bwMode="auto">
                              <a:xfrm>
                                <a:off x="6485384" y="3924375"/>
                                <a:ext cx="1274962" cy="568378"/>
                              </a:xfrm>
                              <a:prstGeom prst="rect">
                                <a:avLst/>
                              </a:prstGeom>
                              <a:pattFill prst="openDmnd">
                                <a:fgClr>
                                  <a:srgbClr val="943634"/>
                                </a:fgClr>
                                <a:bgClr>
                                  <a:srgbClr val="FFFFFF"/>
                                </a:bgClr>
                              </a:pattFill>
                              <a:ln w="9525">
                                <a:solidFill>
                                  <a:srgbClr val="C0504D">
                                    <a:lumMod val="75000"/>
                                  </a:srgbClr>
                                </a:solidFill>
                                <a:miter lim="800000"/>
                                <a:headEnd/>
                                <a:tailEnd/>
                              </a:ln>
                            </wps:spPr>
                            <wps:bodyPr wrap="none" anchor="ctr"/>
                          </wps:wsp>
                          <wps:wsp>
                            <wps:cNvPr id="2759" name="Gerade Verbindung 532"/>
                            <wps:cNvCnPr/>
                            <wps:spPr bwMode="auto">
                              <a:xfrm flipV="1">
                                <a:off x="6777530" y="3479833"/>
                                <a:ext cx="1152705" cy="1587"/>
                              </a:xfrm>
                              <a:prstGeom prst="line">
                                <a:avLst/>
                              </a:prstGeom>
                              <a:noFill/>
                              <a:ln w="9525" cap="flat" cmpd="sng" algn="ctr">
                                <a:solidFill>
                                  <a:srgbClr val="C0504D">
                                    <a:lumMod val="75000"/>
                                  </a:srgbClr>
                                </a:solidFill>
                                <a:prstDash val="solid"/>
                              </a:ln>
                              <a:effectLst/>
                            </wps:spPr>
                            <wps:bodyPr/>
                          </wps:wsp>
                          <wps:wsp>
                            <wps:cNvPr id="2760" name="Line 15"/>
                            <wps:cNvCnPr/>
                            <wps:spPr bwMode="auto">
                              <a:xfrm flipH="1">
                                <a:off x="5107015" y="4028714"/>
                                <a:ext cx="1367995" cy="0"/>
                              </a:xfrm>
                              <a:prstGeom prst="line">
                                <a:avLst/>
                              </a:prstGeom>
                              <a:noFill/>
                              <a:ln w="9525">
                                <a:solidFill>
                                  <a:srgbClr val="5F497A"/>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61" name="Gerade Verbindung 534"/>
                            <wps:cNvCnPr/>
                            <wps:spPr bwMode="auto">
                              <a:xfrm rot="60000" flipH="1">
                                <a:off x="5137387" y="3911674"/>
                                <a:ext cx="1170170" cy="23814"/>
                              </a:xfrm>
                              <a:prstGeom prst="line">
                                <a:avLst/>
                              </a:prstGeom>
                              <a:noFill/>
                              <a:ln w="9525" cap="flat" cmpd="sng" algn="ctr">
                                <a:solidFill>
                                  <a:srgbClr val="8064A2">
                                    <a:lumMod val="75000"/>
                                  </a:srgbClr>
                                </a:solidFill>
                                <a:prstDash val="solid"/>
                              </a:ln>
                              <a:effectLst/>
                            </wps:spPr>
                            <wps:bodyPr/>
                          </wps:wsp>
                          <wps:wsp>
                            <wps:cNvPr id="2762" name="Gerade Verbindung 535"/>
                            <wps:cNvCnPr/>
                            <wps:spPr bwMode="auto">
                              <a:xfrm flipH="1">
                                <a:off x="5131036" y="3913261"/>
                                <a:ext cx="3175" cy="71445"/>
                              </a:xfrm>
                              <a:prstGeom prst="line">
                                <a:avLst/>
                              </a:prstGeom>
                              <a:noFill/>
                              <a:ln w="9525" cap="flat" cmpd="sng" algn="ctr">
                                <a:solidFill>
                                  <a:srgbClr val="8064A2">
                                    <a:lumMod val="75000"/>
                                  </a:srgbClr>
                                </a:solidFill>
                                <a:prstDash val="solid"/>
                              </a:ln>
                              <a:effectLst/>
                            </wps:spPr>
                            <wps:bodyPr/>
                          </wps:wsp>
                          <wps:wsp>
                            <wps:cNvPr id="2763" name="Rectangle 23" descr="25%"/>
                            <wps:cNvSpPr>
                              <a:spLocks noChangeAspect="1" noChangeArrowheads="1"/>
                            </wps:cNvSpPr>
                            <wps:spPr bwMode="auto">
                              <a:xfrm>
                                <a:off x="6780667" y="3487557"/>
                                <a:ext cx="1119712" cy="505259"/>
                              </a:xfrm>
                              <a:prstGeom prst="rect">
                                <a:avLst/>
                              </a:prstGeom>
                              <a:blipFill dpi="0" rotWithShape="0">
                                <a:blip r:embed="rId1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cNvPr id="2764" name="Gruppieren 96"/>
                            <wpg:cNvGrpSpPr>
                              <a:grpSpLocks/>
                            </wpg:cNvGrpSpPr>
                            <wpg:grpSpPr bwMode="auto">
                              <a:xfrm>
                                <a:off x="6600258" y="3736485"/>
                                <a:ext cx="1322373" cy="664908"/>
                                <a:chOff x="6600253" y="3736485"/>
                                <a:chExt cx="1322376" cy="665114"/>
                              </a:xfrm>
                            </wpg:grpSpPr>
                            <wps:wsp>
                              <wps:cNvPr id="2765" name="Rectangle 25" descr="Kugeln"/>
                              <wps:cNvSpPr>
                                <a:spLocks noChangeAspect="1" noChangeArrowheads="1"/>
                              </wps:cNvSpPr>
                              <wps:spPr bwMode="auto">
                                <a:xfrm>
                                  <a:off x="6600253" y="3926149"/>
                                  <a:ext cx="1138697" cy="475450"/>
                                </a:xfrm>
                                <a:prstGeom prst="rect">
                                  <a:avLst/>
                                </a:prstGeom>
                                <a:blipFill dpi="0" rotWithShape="0">
                                  <a:blip r:embed="rId20"/>
                                  <a:srcRect/>
                                  <a:tile tx="0" ty="0" sx="100000" sy="100000" flip="none" algn="tl"/>
                                </a:blipFill>
                                <a:ln w="9525">
                                  <a:solidFill>
                                    <a:srgbClr val="000000"/>
                                  </a:solidFill>
                                  <a:miter lim="800000"/>
                                  <a:headEnd/>
                                  <a:tailEnd/>
                                </a:ln>
                              </wps:spPr>
                              <wps:bodyPr wrap="none" anchor="ctr"/>
                            </wps:wsp>
                            <wps:wsp>
                              <wps:cNvPr id="2766" name="Rectangle 47" descr="Kugeln"/>
                              <wps:cNvSpPr>
                                <a:spLocks noChangeAspect="1" noChangeArrowheads="1"/>
                              </wps:cNvSpPr>
                              <wps:spPr bwMode="auto">
                                <a:xfrm>
                                  <a:off x="7238627" y="3736485"/>
                                  <a:ext cx="684002" cy="72427"/>
                                </a:xfrm>
                                <a:prstGeom prst="rect">
                                  <a:avLst/>
                                </a:prstGeom>
                                <a:blipFill dpi="0" rotWithShape="0">
                                  <a:blip r:embed="rId20"/>
                                  <a:srcRect/>
                                  <a:tile tx="0" ty="0" sx="100000" sy="100000" flip="none" algn="tl"/>
                                </a:blipFill>
                                <a:ln w="9525">
                                  <a:solidFill>
                                    <a:srgbClr val="000000"/>
                                  </a:solidFill>
                                  <a:miter lim="800000"/>
                                  <a:headEnd/>
                                  <a:tailEnd/>
                                </a:ln>
                              </wps:spPr>
                              <wps:bodyPr wrap="none" anchor="ctr"/>
                            </wps:wsp>
                            <wps:wsp>
                              <wps:cNvPr id="2767" name="Rectangle 47" descr="Kugeln"/>
                              <wps:cNvSpPr>
                                <a:spLocks noChangeAspect="1" noChangeArrowheads="1"/>
                              </wps:cNvSpPr>
                              <wps:spPr bwMode="auto">
                                <a:xfrm>
                                  <a:off x="7628678" y="3806506"/>
                                  <a:ext cx="64892" cy="117341"/>
                                </a:xfrm>
                                <a:prstGeom prst="rect">
                                  <a:avLst/>
                                </a:pr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768" name="Gerade Verbindung 563"/>
                              <wps:cNvCnPr/>
                              <wps:spPr>
                                <a:xfrm>
                                  <a:off x="7625390" y="3805322"/>
                                  <a:ext cx="0" cy="122287"/>
                                </a:xfrm>
                                <a:prstGeom prst="line">
                                  <a:avLst/>
                                </a:prstGeom>
                                <a:noFill/>
                                <a:ln w="9525" cap="flat" cmpd="sng" algn="ctr">
                                  <a:solidFill>
                                    <a:sysClr val="windowText" lastClr="000000"/>
                                  </a:solidFill>
                                  <a:prstDash val="solid"/>
                                </a:ln>
                                <a:effectLst/>
                              </wps:spPr>
                              <wps:bodyPr/>
                            </wps:wsp>
                            <wps:wsp>
                              <wps:cNvPr id="2769" name="Gerade Verbindung 564"/>
                              <wps:cNvCnPr/>
                              <wps:spPr>
                                <a:xfrm>
                                  <a:off x="7693664" y="3808498"/>
                                  <a:ext cx="0" cy="122287"/>
                                </a:xfrm>
                                <a:prstGeom prst="line">
                                  <a:avLst/>
                                </a:prstGeom>
                                <a:noFill/>
                                <a:ln w="9525" cap="flat" cmpd="sng" algn="ctr">
                                  <a:solidFill>
                                    <a:sysClr val="windowText" lastClr="000000"/>
                                  </a:solidFill>
                                  <a:prstDash val="solid"/>
                                </a:ln>
                                <a:effectLst/>
                              </wps:spPr>
                              <wps:bodyPr/>
                            </wps:wsp>
                            <wps:wsp>
                              <wps:cNvPr id="2770" name="Rectangle 47" descr="Kugeln"/>
                              <wps:cNvSpPr>
                                <a:spLocks noChangeAspect="1" noChangeArrowheads="1"/>
                              </wps:cNvSpPr>
                              <wps:spPr bwMode="auto">
                                <a:xfrm rot="-5400000">
                                  <a:off x="7388624" y="3836897"/>
                                  <a:ext cx="64327" cy="118374"/>
                                </a:xfrm>
                                <a:prstGeom prst="rect">
                                  <a:avLst/>
                                </a:prstGeom>
                                <a:blipFill dpi="0" rotWithShape="0">
                                  <a:blip r:embed="rId20"/>
                                  <a:srcRect/>
                                  <a:tile tx="0" ty="0" sx="100000" sy="100000" flip="none" algn="tl"/>
                                </a:blipFill>
                                <a:ln w="9525">
                                  <a:solidFill>
                                    <a:sysClr val="windowText" lastClr="000000"/>
                                  </a:solidFill>
                                  <a:miter lim="800000"/>
                                  <a:headEnd/>
                                  <a:tailEnd/>
                                </a:ln>
                              </wps:spPr>
                              <wps:bodyPr wrap="none" anchor="ctr"/>
                            </wps:wsp>
                          </wpg:grpSp>
                          <wpg:grpSp>
                            <wpg:cNvPr id="2771" name="Gruppieren 97"/>
                            <wpg:cNvGrpSpPr>
                              <a:grpSpLocks/>
                            </wpg:cNvGrpSpPr>
                            <wpg:grpSpPr bwMode="auto">
                              <a:xfrm rot="-5400000">
                                <a:off x="6625914" y="3382172"/>
                                <a:ext cx="444542" cy="11114"/>
                                <a:chOff x="6641001" y="3398315"/>
                                <a:chExt cx="444680" cy="11114"/>
                              </a:xfrm>
                            </wpg:grpSpPr>
                            <wps:wsp>
                              <wps:cNvPr id="2772" name="Gerade Verbindung mit Pfeil 117"/>
                              <wps:cNvCnPr/>
                              <wps:spPr>
                                <a:xfrm flipH="1" flipV="1">
                                  <a:off x="6641001" y="3398315"/>
                                  <a:ext cx="131816" cy="1587"/>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s:wsp>
                              <wps:cNvPr id="2773" name="Gerade Verbindung mit Pfeil 118"/>
                              <wps:cNvCnPr/>
                              <wps:spPr>
                                <a:xfrm flipV="1">
                                  <a:off x="6953866" y="3407842"/>
                                  <a:ext cx="131815" cy="1587"/>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g:grpSp>
                          <wps:wsp>
                            <wps:cNvPr id="2774" name="Gerade Verbindung mit Pfeil 98"/>
                            <wps:cNvCnPr/>
                            <wps:spPr bwMode="auto">
                              <a:xfrm flipH="1">
                                <a:off x="6783881" y="3748145"/>
                                <a:ext cx="463622" cy="1588"/>
                              </a:xfrm>
                              <a:prstGeom prst="straightConnector1">
                                <a:avLst/>
                              </a:prstGeom>
                              <a:noFill/>
                              <a:ln w="9525" cap="flat" cmpd="sng" algn="ctr">
                                <a:solidFill>
                                  <a:srgbClr val="C0504D">
                                    <a:lumMod val="75000"/>
                                  </a:srgbClr>
                                </a:solidFill>
                                <a:prstDash val="solid"/>
                                <a:headEnd type="triangle" w="med" len="med"/>
                                <a:tailEnd type="triangle" w="med" len="med"/>
                              </a:ln>
                              <a:effectLst/>
                            </wps:spPr>
                            <wps:bodyPr/>
                          </wps:wsp>
                          <wps:wsp>
                            <wps:cNvPr id="2775" name="Text Box 63"/>
                            <wps:cNvSpPr txBox="1">
                              <a:spLocks noChangeAspect="1" noChangeArrowheads="1"/>
                            </wps:cNvSpPr>
                            <wps:spPr bwMode="auto">
                              <a:xfrm>
                                <a:off x="6743938" y="3741795"/>
                                <a:ext cx="597004" cy="343889"/>
                              </a:xfrm>
                              <a:prstGeom prst="rect">
                                <a:avLst/>
                              </a:prstGeom>
                              <a:noFill/>
                              <a:ln w="9525">
                                <a:noFill/>
                                <a:miter lim="800000"/>
                                <a:headEnd/>
                                <a:tailEnd/>
                              </a:ln>
                            </wps:spPr>
                            <wps:txbx>
                              <w:txbxContent>
                                <w:p w:rsidR="00AA4416" w:rsidRDefault="00AA4416" w:rsidP="00A21536">
                                  <w:pPr>
                                    <w:pStyle w:val="NormalWeb"/>
                                    <w:spacing w:after="200"/>
                                    <w:textAlignment w:val="baseline"/>
                                  </w:pPr>
                                  <w:r>
                                    <w:rPr>
                                      <w:rFonts w:ascii="Arial" w:hAnsi="Arial" w:cstheme="minorBidi"/>
                                      <w:color w:val="943634" w:themeColor="accent2" w:themeShade="BF"/>
                                      <w:kern w:val="24"/>
                                      <w:sz w:val="18"/>
                                      <w:szCs w:val="18"/>
                                      <w:u w:val="single"/>
                                    </w:rPr>
                                    <w:t>&gt;</w:t>
                                  </w:r>
                                  <w:r>
                                    <w:rPr>
                                      <w:rFonts w:ascii="Arial" w:hAnsi="Arial" w:cstheme="minorBidi"/>
                                      <w:color w:val="943634" w:themeColor="accent2" w:themeShade="BF"/>
                                      <w:kern w:val="24"/>
                                      <w:sz w:val="18"/>
                                      <w:szCs w:val="18"/>
                                    </w:rPr>
                                    <w:t>2,50 m</w:t>
                                  </w:r>
                                </w:p>
                              </w:txbxContent>
                            </wps:txbx>
                            <wps:bodyPr wrap="square" lIns="75888" tIns="37944" rIns="75888" bIns="37944">
                              <a:noAutofit/>
                            </wps:bodyPr>
                          </wps:wsp>
                          <wps:wsp>
                            <wps:cNvPr id="2776" name="AutoShape 68"/>
                            <wps:cNvSpPr>
                              <a:spLocks noChangeAspect="1" noChangeArrowheads="1"/>
                            </wps:cNvSpPr>
                            <wps:spPr bwMode="auto">
                              <a:xfrm rot="5400000">
                                <a:off x="7166685" y="3814672"/>
                                <a:ext cx="1343598" cy="252539"/>
                              </a:xfrm>
                              <a:prstGeom prst="wave">
                                <a:avLst>
                                  <a:gd name="adj1" fmla="val 13005"/>
                                  <a:gd name="adj2" fmla="val 0"/>
                                </a:avLst>
                              </a:prstGeom>
                              <a:solidFill>
                                <a:srgbClr val="FFFFFF"/>
                              </a:solidFill>
                              <a:ln w="9525">
                                <a:solidFill>
                                  <a:srgbClr val="000000"/>
                                </a:solidFill>
                                <a:prstDash val="sysDot"/>
                                <a:round/>
                                <a:headEnd/>
                                <a:tailEnd/>
                              </a:ln>
                            </wps:spPr>
                            <wps:bodyPr wrap="none" anchor="ctr"/>
                          </wps:wsp>
                          <wps:wsp>
                            <wps:cNvPr id="2777" name="Gerade Verbindung 542"/>
                            <wps:cNvCnPr/>
                            <wps:spPr bwMode="auto">
                              <a:xfrm rot="21420000" flipH="1">
                                <a:off x="6774354" y="3489359"/>
                                <a:ext cx="9526" cy="377860"/>
                              </a:xfrm>
                              <a:prstGeom prst="line">
                                <a:avLst/>
                              </a:prstGeom>
                              <a:noFill/>
                              <a:ln w="9525" cap="flat" cmpd="sng" algn="ctr">
                                <a:solidFill>
                                  <a:srgbClr val="C0504D">
                                    <a:lumMod val="75000"/>
                                  </a:srgbClr>
                                </a:solidFill>
                                <a:prstDash val="solid"/>
                              </a:ln>
                              <a:effectLst/>
                            </wps:spPr>
                            <wps:bodyPr/>
                          </wps:wsp>
                          <wps:wsp>
                            <wps:cNvPr id="2778" name="Line 100"/>
                            <wps:cNvCnPr/>
                            <wps:spPr bwMode="auto">
                              <a:xfrm flipH="1">
                                <a:off x="4948219" y="4070439"/>
                                <a:ext cx="1644650" cy="1517791"/>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2779" name="Gruppieren 103"/>
                            <wpg:cNvGrpSpPr>
                              <a:grpSpLocks/>
                            </wpg:cNvGrpSpPr>
                            <wpg:grpSpPr bwMode="auto">
                              <a:xfrm>
                                <a:off x="6007472" y="3124194"/>
                                <a:ext cx="566825" cy="482644"/>
                                <a:chOff x="6007472" y="3124200"/>
                                <a:chExt cx="566827" cy="482796"/>
                              </a:xfrm>
                            </wpg:grpSpPr>
                            <wps:wsp>
                              <wps:cNvPr id="2780" name="Line 84"/>
                              <wps:cNvCnPr/>
                              <wps:spPr bwMode="auto">
                                <a:xfrm flipV="1">
                                  <a:off x="6007472" y="3124200"/>
                                  <a:ext cx="566827" cy="3176"/>
                                </a:xfrm>
                                <a:prstGeom prst="line">
                                  <a:avLst/>
                                </a:prstGeom>
                                <a:noFill/>
                                <a:ln w="9525">
                                  <a:solidFill>
                                    <a:sysClr val="windowText" lastClr="000000">
                                      <a:lumMod val="65000"/>
                                      <a:lumOff val="35000"/>
                                    </a:sysClr>
                                  </a:solidFill>
                                  <a:prstDash val="lgDash"/>
                                  <a:round/>
                                  <a:headEnd/>
                                  <a:tailEnd/>
                                </a:ln>
                              </wps:spPr>
                              <wps:bodyPr/>
                            </wps:wsp>
                            <wps:wsp>
                              <wps:cNvPr id="2781" name="Line 85"/>
                              <wps:cNvCnPr/>
                              <wps:spPr bwMode="auto">
                                <a:xfrm>
                                  <a:off x="6007472" y="3128964"/>
                                  <a:ext cx="3176" cy="185813"/>
                                </a:xfrm>
                                <a:prstGeom prst="line">
                                  <a:avLst/>
                                </a:prstGeom>
                                <a:noFill/>
                                <a:ln w="9525">
                                  <a:solidFill>
                                    <a:sysClr val="windowText" lastClr="000000">
                                      <a:lumMod val="65000"/>
                                      <a:lumOff val="35000"/>
                                    </a:sysClr>
                                  </a:solidFill>
                                  <a:prstDash val="lgDash"/>
                                  <a:round/>
                                  <a:headEnd/>
                                  <a:tailEnd/>
                                </a:ln>
                              </wps:spPr>
                              <wps:bodyPr/>
                            </wps:wsp>
                            <wps:wsp>
                              <wps:cNvPr id="2782" name="Line 86"/>
                              <wps:cNvCnPr/>
                              <wps:spPr bwMode="auto">
                                <a:xfrm rot="120000" flipH="1">
                                  <a:off x="6491736" y="3127376"/>
                                  <a:ext cx="63510" cy="209635"/>
                                </a:xfrm>
                                <a:prstGeom prst="line">
                                  <a:avLst/>
                                </a:prstGeom>
                                <a:noFill/>
                                <a:ln w="9525">
                                  <a:solidFill>
                                    <a:sysClr val="windowText" lastClr="000000">
                                      <a:lumMod val="65000"/>
                                      <a:lumOff val="35000"/>
                                    </a:sysClr>
                                  </a:solidFill>
                                  <a:prstDash val="lgDash"/>
                                  <a:round/>
                                  <a:headEnd/>
                                  <a:tailEnd/>
                                </a:ln>
                              </wps:spPr>
                              <wps:bodyPr/>
                            </wps:wsp>
                            <wps:wsp>
                              <wps:cNvPr id="2783" name="Line 88"/>
                              <wps:cNvCnPr/>
                              <wps:spPr bwMode="auto">
                                <a:xfrm>
                                  <a:off x="6037639" y="3310012"/>
                                  <a:ext cx="0" cy="296984"/>
                                </a:xfrm>
                                <a:prstGeom prst="line">
                                  <a:avLst/>
                                </a:prstGeom>
                                <a:noFill/>
                                <a:ln w="9525">
                                  <a:solidFill>
                                    <a:sysClr val="windowText" lastClr="000000">
                                      <a:lumMod val="65000"/>
                                      <a:lumOff val="35000"/>
                                    </a:sysClr>
                                  </a:solidFill>
                                  <a:prstDash val="lgDash"/>
                                  <a:round/>
                                  <a:headEnd/>
                                  <a:tailEnd/>
                                </a:ln>
                              </wps:spPr>
                              <wps:bodyPr/>
                            </wps:wsp>
                            <wps:wsp>
                              <wps:cNvPr id="2784" name="Rectangle 24" descr="Horizontal hell"/>
                              <wps:cNvSpPr>
                                <a:spLocks noChangeAspect="1" noChangeArrowheads="1"/>
                              </wps:cNvSpPr>
                              <wps:spPr bwMode="auto">
                                <a:xfrm>
                                  <a:off x="6088447" y="3205195"/>
                                  <a:ext cx="327077" cy="65114"/>
                                </a:xfrm>
                                <a:prstGeom prst="rect">
                                  <a:avLst/>
                                </a:prstGeom>
                                <a:noFill/>
                                <a:ln w="9525">
                                  <a:solidFill>
                                    <a:sysClr val="windowText" lastClr="000000">
                                      <a:lumMod val="65000"/>
                                      <a:lumOff val="35000"/>
                                    </a:sysClr>
                                  </a:solidFill>
                                  <a:prstDash val="lgDash"/>
                                  <a:miter lim="800000"/>
                                  <a:headEnd/>
                                  <a:tailEnd/>
                                </a:ln>
                              </wps:spPr>
                              <wps:bodyPr wrap="none" anchor="ctr"/>
                            </wps:wsp>
                            <wps:wsp>
                              <wps:cNvPr id="2785" name="Line 83"/>
                              <wps:cNvCnPr/>
                              <wps:spPr bwMode="auto">
                                <a:xfrm rot="21120000" flipH="1">
                                  <a:off x="6472683" y="3337011"/>
                                  <a:ext cx="36519" cy="269985"/>
                                </a:xfrm>
                                <a:prstGeom prst="line">
                                  <a:avLst/>
                                </a:prstGeom>
                                <a:noFill/>
                                <a:ln w="9525">
                                  <a:solidFill>
                                    <a:sysClr val="windowText" lastClr="000000">
                                      <a:lumMod val="65000"/>
                                      <a:lumOff val="35000"/>
                                    </a:sysClr>
                                  </a:solidFill>
                                  <a:prstDash val="lgDash"/>
                                  <a:round/>
                                  <a:headEnd/>
                                  <a:tailEnd/>
                                </a:ln>
                              </wps:spPr>
                              <wps:bodyPr/>
                            </wps:wsp>
                          </wpg:grpSp>
                          <wps:wsp>
                            <wps:cNvPr id="2786" name="Gerade Verbindung 545"/>
                            <wps:cNvCnPr/>
                            <wps:spPr bwMode="auto">
                              <a:xfrm>
                                <a:off x="6009060" y="3517937"/>
                                <a:ext cx="28579" cy="0"/>
                              </a:xfrm>
                              <a:prstGeom prst="line">
                                <a:avLst/>
                              </a:prstGeom>
                              <a:noFill/>
                              <a:ln w="9525" cap="flat" cmpd="sng" algn="ctr">
                                <a:solidFill>
                                  <a:sysClr val="windowText" lastClr="000000"/>
                                </a:solidFill>
                                <a:prstDash val="solid"/>
                              </a:ln>
                              <a:effectLst/>
                            </wps:spPr>
                            <wps:bodyPr/>
                          </wps:wsp>
                          <wps:wsp>
                            <wps:cNvPr id="2787" name="Line 100"/>
                            <wps:cNvCnPr/>
                            <wps:spPr bwMode="auto">
                              <a:xfrm flipH="1">
                                <a:off x="5043469" y="4394319"/>
                                <a:ext cx="1447800" cy="15940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2788" name="Gruppieren 106"/>
                            <wpg:cNvGrpSpPr>
                              <a:grpSpLocks/>
                            </wpg:cNvGrpSpPr>
                            <wpg:grpSpPr bwMode="auto">
                              <a:xfrm>
                                <a:off x="6285096" y="3552861"/>
                                <a:ext cx="597004" cy="348650"/>
                                <a:chOff x="6285096" y="3552865"/>
                                <a:chExt cx="597004" cy="348652"/>
                              </a:xfrm>
                            </wpg:grpSpPr>
                            <wps:wsp>
                              <wps:cNvPr id="2789" name="Text Box 63"/>
                              <wps:cNvSpPr txBox="1">
                                <a:spLocks noChangeAspect="1" noChangeArrowheads="1"/>
                              </wps:cNvSpPr>
                              <wps:spPr bwMode="auto">
                                <a:xfrm>
                                  <a:off x="6285096" y="3557627"/>
                                  <a:ext cx="597004" cy="343890"/>
                                </a:xfrm>
                                <a:prstGeom prst="rect">
                                  <a:avLst/>
                                </a:prstGeom>
                                <a:noFill/>
                                <a:ln w="9525">
                                  <a:noFill/>
                                  <a:miter lim="800000"/>
                                  <a:headEnd/>
                                  <a:tailEnd/>
                                </a:ln>
                              </wps:spPr>
                              <wps:txbx>
                                <w:txbxContent>
                                  <w:p w:rsidR="00AA4416" w:rsidRDefault="00AA4416" w:rsidP="00A21536">
                                    <w:pPr>
                                      <w:pStyle w:val="NormalWeb"/>
                                      <w:spacing w:after="200"/>
                                      <w:textAlignment w:val="baseline"/>
                                    </w:pPr>
                                    <w:r>
                                      <w:rPr>
                                        <w:rFonts w:ascii="Arial" w:hAnsi="Arial" w:cstheme="minorBidi"/>
                                        <w:color w:val="595959" w:themeColor="text1" w:themeTint="A6"/>
                                        <w:kern w:val="24"/>
                                        <w:sz w:val="18"/>
                                        <w:szCs w:val="18"/>
                                        <w:u w:val="single"/>
                                      </w:rPr>
                                      <w:t>&gt;</w:t>
                                    </w:r>
                                    <w:r>
                                      <w:rPr>
                                        <w:rFonts w:ascii="Arial" w:hAnsi="Arial" w:cstheme="minorBidi"/>
                                        <w:color w:val="595959" w:themeColor="text1" w:themeTint="A6"/>
                                        <w:kern w:val="24"/>
                                        <w:sz w:val="18"/>
                                        <w:szCs w:val="18"/>
                                      </w:rPr>
                                      <w:t>0,60 m</w:t>
                                    </w:r>
                                  </w:p>
                                </w:txbxContent>
                              </wps:txbx>
                              <wps:bodyPr wrap="square" lIns="75888" tIns="37944" rIns="75888" bIns="37944">
                                <a:noAutofit/>
                              </wps:bodyPr>
                            </wps:wsp>
                            <wps:wsp>
                              <wps:cNvPr id="2790" name="Gerade Verbindung mit Pfeil 109"/>
                              <wps:cNvCnPr/>
                              <wps:spPr bwMode="auto">
                                <a:xfrm flipV="1">
                                  <a:off x="6607641" y="3556040"/>
                                  <a:ext cx="131783" cy="1587"/>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s:wsp>
                              <wps:cNvPr id="2791" name="Gerade Verbindung mit Pfeil 110"/>
                              <wps:cNvCnPr/>
                              <wps:spPr bwMode="auto">
                                <a:xfrm flipH="1" flipV="1">
                                  <a:off x="6385357" y="3552865"/>
                                  <a:ext cx="130195" cy="1587"/>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g:grpSp>
                          <wps:wsp>
                            <wps:cNvPr id="2792" name="Gerade Verbindung 548"/>
                            <wps:cNvCnPr/>
                            <wps:spPr>
                              <a:xfrm rot="16200000">
                                <a:off x="6549688" y="3672728"/>
                                <a:ext cx="0" cy="144485"/>
                              </a:xfrm>
                              <a:prstGeom prst="line">
                                <a:avLst/>
                              </a:prstGeom>
                              <a:noFill/>
                              <a:ln w="9525" cap="flat" cmpd="sng" algn="ctr">
                                <a:solidFill>
                                  <a:srgbClr val="7030A0"/>
                                </a:solidFill>
                                <a:prstDash val="solid"/>
                              </a:ln>
                              <a:effectLst/>
                            </wps:spPr>
                            <wps:bodyPr/>
                          </wps:wsp>
                        </wpg:grpSp>
                        <wps:wsp>
                          <wps:cNvPr id="2793" name="Rectangle 93" descr="5%"/>
                          <wps:cNvSpPr>
                            <a:spLocks noChangeArrowheads="1"/>
                          </wps:cNvSpPr>
                          <wps:spPr bwMode="auto">
                            <a:xfrm>
                              <a:off x="6480111" y="3752722"/>
                              <a:ext cx="180000" cy="172800"/>
                            </a:xfrm>
                            <a:prstGeom prst="rect">
                              <a:avLst/>
                            </a:prstGeom>
                            <a:blipFill dpi="0" rotWithShape="0">
                              <a:blip r:embed="rId17"/>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cNvPr id="2794" name="Gruppieren 64"/>
                          <wpg:cNvGrpSpPr>
                            <a:grpSpLocks/>
                          </wpg:cNvGrpSpPr>
                          <wpg:grpSpPr bwMode="auto">
                            <a:xfrm>
                              <a:off x="6607641" y="3875157"/>
                              <a:ext cx="223872" cy="71445"/>
                              <a:chOff x="6607641" y="3875157"/>
                              <a:chExt cx="223872" cy="71445"/>
                            </a:xfrm>
                          </wpg:grpSpPr>
                          <wps:wsp>
                            <wps:cNvPr id="2795" name="Rectangle 23" descr="25%"/>
                            <wps:cNvSpPr>
                              <a:spLocks noChangeArrowheads="1"/>
                            </wps:cNvSpPr>
                            <wps:spPr bwMode="auto">
                              <a:xfrm>
                                <a:off x="6615579" y="3883096"/>
                                <a:ext cx="215934" cy="42866"/>
                              </a:xfrm>
                              <a:prstGeom prst="rect">
                                <a:avLst/>
                              </a:prstGeom>
                              <a:pattFill prst="openDmnd">
                                <a:fgClr>
                                  <a:srgbClr val="943634"/>
                                </a:fgClr>
                                <a:bgClr>
                                  <a:srgbClr val="FFFFFF"/>
                                </a:bgClr>
                              </a:pattFill>
                              <a:ln w="9525">
                                <a:noFill/>
                                <a:miter lim="800000"/>
                                <a:headEnd/>
                                <a:tailEnd/>
                              </a:ln>
                            </wps:spPr>
                            <wps:bodyPr wrap="none" anchor="ctr"/>
                          </wps:wsp>
                          <wps:wsp>
                            <wps:cNvPr id="2796" name="Gerade Verbindung 509"/>
                            <wps:cNvCnPr/>
                            <wps:spPr bwMode="auto">
                              <a:xfrm rot="21060000" flipH="1">
                                <a:off x="6607641" y="3875157"/>
                                <a:ext cx="9526" cy="71445"/>
                              </a:xfrm>
                              <a:prstGeom prst="line">
                                <a:avLst/>
                              </a:prstGeom>
                              <a:noFill/>
                              <a:ln w="9525" cap="flat" cmpd="sng" algn="ctr">
                                <a:solidFill>
                                  <a:srgbClr val="C0504D">
                                    <a:lumMod val="75000"/>
                                  </a:srgbClr>
                                </a:solidFill>
                                <a:prstDash val="solid"/>
                              </a:ln>
                              <a:effectLst/>
                            </wps:spPr>
                            <wps:bodyPr/>
                          </wps:wsp>
                          <wps:wsp>
                            <wps:cNvPr id="2797" name="Gerade Verbindung 510"/>
                            <wps:cNvCnPr/>
                            <wps:spPr bwMode="auto">
                              <a:xfrm flipV="1">
                                <a:off x="6609228" y="3875157"/>
                                <a:ext cx="181003" cy="0"/>
                              </a:xfrm>
                              <a:prstGeom prst="line">
                                <a:avLst/>
                              </a:prstGeom>
                              <a:noFill/>
                              <a:ln w="9525" cap="flat" cmpd="sng" algn="ctr">
                                <a:solidFill>
                                  <a:srgbClr val="C0504D">
                                    <a:lumMod val="75000"/>
                                  </a:srgbClr>
                                </a:solidFill>
                                <a:prstDash val="solid"/>
                              </a:ln>
                              <a:effectLst/>
                            </wps:spPr>
                            <wps:bodyPr/>
                          </wps:wsp>
                        </wpg:grpSp>
                        <wps:wsp>
                          <wps:cNvPr id="2798" name="Gerade Verbindung 506"/>
                          <wps:cNvCnPr/>
                          <wps:spPr bwMode="auto">
                            <a:xfrm flipH="1">
                              <a:off x="6609228" y="3892622"/>
                              <a:ext cx="4764" cy="34928"/>
                            </a:xfrm>
                            <a:prstGeom prst="line">
                              <a:avLst/>
                            </a:prstGeom>
                            <a:noFill/>
                            <a:ln w="38100" cap="flat" cmpd="sng" algn="ctr">
                              <a:solidFill>
                                <a:sysClr val="windowText" lastClr="000000"/>
                              </a:solidFill>
                              <a:prstDash val="solid"/>
                            </a:ln>
                            <a:effectLst/>
                          </wps:spPr>
                          <wps:bodyPr/>
                        </wps:wsp>
                        <wps:wsp>
                          <wps:cNvPr id="2799" name="Gerade Verbindung 507"/>
                          <wps:cNvCnPr/>
                          <wps:spPr>
                            <a:xfrm flipH="1">
                              <a:off x="6483797" y="3592556"/>
                              <a:ext cx="4763" cy="144477"/>
                            </a:xfrm>
                            <a:prstGeom prst="line">
                              <a:avLst/>
                            </a:prstGeom>
                            <a:noFill/>
                            <a:ln w="9525" cap="flat" cmpd="sng" algn="ctr">
                              <a:solidFill>
                                <a:sysClr val="windowText" lastClr="000000"/>
                              </a:solidFill>
                              <a:prstDash val="solid"/>
                            </a:ln>
                            <a:effectLst/>
                          </wps:spPr>
                          <wps:bodyPr/>
                        </wps:wsp>
                      </wpg:grpSp>
                      <wps:wsp>
                        <wps:cNvPr id="2800" name="Gerade Verbindung mit Pfeil 46"/>
                        <wps:cNvCnPr/>
                        <wps:spPr>
                          <a:xfrm>
                            <a:off x="5322887" y="1930400"/>
                            <a:ext cx="1166813" cy="58420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801" name="Textfeld 467"/>
                        <wps:cNvSpPr txBox="1">
                          <a:spLocks noChangeArrowheads="1"/>
                        </wps:cNvSpPr>
                        <wps:spPr bwMode="auto">
                          <a:xfrm>
                            <a:off x="6333987" y="5764213"/>
                            <a:ext cx="2245997"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Pr="00787FF8" w:rsidRDefault="00AA4416" w:rsidP="00A21536">
                              <w:pPr>
                                <w:pStyle w:val="NormalWeb"/>
                                <w:textAlignment w:val="baseline"/>
                              </w:pPr>
                              <w:r>
                                <w:rPr>
                                  <w:rFonts w:ascii="Arial" w:hAnsi="Arial" w:cs="Arial"/>
                                  <w:color w:val="000000" w:themeColor="text1"/>
                                  <w:kern w:val="24"/>
                                </w:rPr>
                                <w:t>Schutzwand</w:t>
                              </w:r>
                            </w:p>
                            <w:p w:rsidR="00AA4416" w:rsidRPr="00787FF8" w:rsidRDefault="00AA4416" w:rsidP="00A21536">
                              <w:pPr>
                                <w:pStyle w:val="NormalWeb"/>
                                <w:textAlignment w:val="baseline"/>
                              </w:pPr>
                              <w:r>
                                <w:rPr>
                                  <w:rFonts w:ascii="Arial" w:hAnsi="Arial" w:cs="Arial"/>
                                  <w:color w:val="000000" w:themeColor="text1"/>
                                  <w:kern w:val="24"/>
                                </w:rPr>
                                <w:t>Außenwand der Wohnung</w:t>
                              </w:r>
                            </w:p>
                          </w:txbxContent>
                        </wps:txbx>
                        <wps:bodyPr wrap="square">
                          <a:noAutofit/>
                        </wps:bodyPr>
                      </wps:wsp>
                      <wps:wsp>
                        <wps:cNvPr id="2802" name="Gerade Verbindung 503"/>
                        <wps:cNvCnPr/>
                        <wps:spPr bwMode="auto">
                          <a:xfrm flipH="1">
                            <a:off x="6478587" y="1951037"/>
                            <a:ext cx="14288" cy="3240088"/>
                          </a:xfrm>
                          <a:prstGeom prst="line">
                            <a:avLst/>
                          </a:prstGeom>
                          <a:noFill/>
                          <a:ln w="9525" cap="flat" cmpd="sng" algn="ctr">
                            <a:solidFill>
                              <a:srgbClr val="1F497D"/>
                            </a:solidFill>
                            <a:prstDash val="dash"/>
                          </a:ln>
                          <a:effectLst/>
                        </wps:spPr>
                        <wps:bodyPr/>
                      </wps:wsp>
                      <wps:wsp>
                        <wps:cNvPr id="2803" name="Text Box 99"/>
                        <wps:cNvSpPr txBox="1">
                          <a:spLocks noChangeArrowheads="1"/>
                        </wps:cNvSpPr>
                        <wps:spPr bwMode="auto">
                          <a:xfrm>
                            <a:off x="3408077" y="4808537"/>
                            <a:ext cx="1842923" cy="573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Pr="00880157" w:rsidRDefault="00AA4416" w:rsidP="00A21536">
                              <w:pPr>
                                <w:pStyle w:val="NormalWeb"/>
                                <w:spacing w:after="200"/>
                                <w:jc w:val="center"/>
                                <w:textAlignment w:val="baseline"/>
                                <w:rPr>
                                  <w:lang w:val="de-DE"/>
                                </w:rPr>
                              </w:pPr>
                              <w:r w:rsidRPr="00BA6439">
                                <w:rPr>
                                  <w:rFonts w:ascii="Verdana" w:hAnsi="Verdana" w:cs="Arial"/>
                                  <w:color w:val="000000"/>
                                  <w:kern w:val="24"/>
                                  <w:sz w:val="16"/>
                                  <w:szCs w:val="16"/>
                                  <w:lang w:val="de-DE"/>
                                </w:rPr>
                                <w:t>Schutzsüll; gas- und flüssigkeitsdicht </w:t>
                              </w:r>
                              <w:r>
                                <w:rPr>
                                  <w:rFonts w:ascii="Verdana" w:hAnsi="Verdana" w:cs="Arial"/>
                                  <w:color w:val="000000"/>
                                  <w:kern w:val="24"/>
                                  <w:sz w:val="16"/>
                                  <w:szCs w:val="16"/>
                                  <w:lang w:val="de-DE"/>
                                </w:rPr>
                                <w:br/>
                              </w:r>
                              <w:r w:rsidRPr="00BA6439">
                                <w:rPr>
                                  <w:rFonts w:ascii="Verdana" w:hAnsi="Verdana" w:cs="Arial"/>
                                  <w:color w:val="000000"/>
                                  <w:kern w:val="24"/>
                                  <w:sz w:val="16"/>
                                  <w:szCs w:val="16"/>
                                  <w:lang w:val="de-DE"/>
                                </w:rPr>
                                <w:t xml:space="preserve">h: </w:t>
                              </w:r>
                              <w:r w:rsidRPr="00597467">
                                <w:rPr>
                                  <w:rFonts w:ascii="Verdana" w:hAnsi="Verdana" w:cs="Arial"/>
                                  <w:color w:val="000000"/>
                                  <w:kern w:val="24"/>
                                  <w:sz w:val="16"/>
                                  <w:szCs w:val="16"/>
                                  <w:u w:val="single"/>
                                  <w:lang w:val="de-DE"/>
                                </w:rPr>
                                <w:t>&gt;</w:t>
                              </w:r>
                              <w:r w:rsidRPr="00BA6439">
                                <w:rPr>
                                  <w:rFonts w:ascii="Verdana" w:hAnsi="Verdana" w:cs="Arial"/>
                                  <w:color w:val="000000"/>
                                  <w:kern w:val="24"/>
                                  <w:sz w:val="16"/>
                                  <w:szCs w:val="16"/>
                                  <w:lang w:val="de-DE"/>
                                </w:rPr>
                                <w:t xml:space="preserve"> 0,075 m</w:t>
                              </w:r>
                            </w:p>
                            <w:p w:rsidR="00AA4416" w:rsidRPr="00787FF8" w:rsidRDefault="00AA4416" w:rsidP="00A21536">
                              <w:pPr>
                                <w:pStyle w:val="NormalWeb"/>
                                <w:spacing w:after="200"/>
                                <w:jc w:val="center"/>
                                <w:textAlignment w:val="baseline"/>
                                <w:rPr>
                                  <w:lang w:val="de-DE"/>
                                </w:rPr>
                              </w:pPr>
                            </w:p>
                          </w:txbxContent>
                        </wps:txbx>
                        <wps:bodyPr wrap="square" lIns="75888" tIns="37944" rIns="75888" bIns="37944">
                          <a:noAutofit/>
                        </wps:bodyPr>
                      </wps:wsp>
                      <wps:wsp>
                        <wps:cNvPr id="2804" name="Line 100"/>
                        <wps:cNvCnPr/>
                        <wps:spPr bwMode="auto">
                          <a:xfrm flipH="1">
                            <a:off x="5062537" y="3917950"/>
                            <a:ext cx="1530350" cy="11303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805" name="Line 100"/>
                        <wps:cNvCnPr/>
                        <wps:spPr bwMode="auto">
                          <a:xfrm>
                            <a:off x="2617787" y="3867150"/>
                            <a:ext cx="1054100" cy="11176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2806" name="Gruppieren 53"/>
                        <wpg:cNvGrpSpPr>
                          <a:grpSpLocks/>
                        </wpg:cNvGrpSpPr>
                        <wpg:grpSpPr bwMode="auto">
                          <a:xfrm>
                            <a:off x="7478719" y="422275"/>
                            <a:ext cx="1101265" cy="266700"/>
                            <a:chOff x="7478712" y="422275"/>
                            <a:chExt cx="1100996" cy="267447"/>
                          </a:xfrm>
                        </wpg:grpSpPr>
                        <wps:wsp>
                          <wps:cNvPr id="2807" name="Rectangle 220" descr="Kugeln"/>
                          <wps:cNvSpPr>
                            <a:spLocks noChangeArrowheads="1"/>
                          </wps:cNvSpPr>
                          <wps:spPr bwMode="auto">
                            <a:xfrm>
                              <a:off x="7478712" y="481984"/>
                              <a:ext cx="269875" cy="166687"/>
                            </a:xfrm>
                            <a:prstGeom prst="rect">
                              <a:avLst/>
                            </a:prstGeom>
                            <a:blipFill dpi="0" rotWithShape="0">
                              <a:blip r:embed="rId23"/>
                              <a:srcRect/>
                              <a:tile tx="0" ty="0" sx="100000" sy="100000" flip="none" algn="tl"/>
                            </a:blipFill>
                            <a:ln w="9525">
                              <a:solidFill>
                                <a:srgbClr val="548DD4"/>
                              </a:solidFill>
                              <a:miter lim="800000"/>
                              <a:headEnd/>
                              <a:tailEnd/>
                            </a:ln>
                          </wps:spPr>
                          <wps:bodyPr/>
                        </wps:wsp>
                        <wps:wsp>
                          <wps:cNvPr id="2808" name="Textfeld 205"/>
                          <wps:cNvSpPr txBox="1">
                            <a:spLocks noChangeArrowheads="1"/>
                          </wps:cNvSpPr>
                          <wps:spPr bwMode="auto">
                            <a:xfrm>
                              <a:off x="7909946" y="422275"/>
                              <a:ext cx="669762" cy="267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Default="00AA4416" w:rsidP="00A21536">
                                <w:pPr>
                                  <w:pStyle w:val="NormalWeb"/>
                                  <w:kinsoku w:val="0"/>
                                  <w:overflowPunct w:val="0"/>
                                  <w:textAlignment w:val="baseline"/>
                                </w:pPr>
                                <w:r>
                                  <w:rPr>
                                    <w:rFonts w:ascii="Arial" w:hAnsi="Arial" w:cs="Arial"/>
                                    <w:color w:val="000000" w:themeColor="text1"/>
                                    <w:kern w:val="24"/>
                                  </w:rPr>
                                  <w:t>Zone 0</w:t>
                                </w:r>
                              </w:p>
                            </w:txbxContent>
                          </wps:txbx>
                          <wps:bodyPr wrap="square">
                            <a:noAutofit/>
                          </wps:bodyPr>
                        </wps:wsp>
                      </wpg:grpSp>
                      <wpg:grpSp>
                        <wpg:cNvPr id="2809" name="Gruppieren 54"/>
                        <wpg:cNvGrpSpPr>
                          <a:grpSpLocks/>
                        </wpg:cNvGrpSpPr>
                        <wpg:grpSpPr bwMode="auto">
                          <a:xfrm>
                            <a:off x="7494586" y="690565"/>
                            <a:ext cx="1069636" cy="266700"/>
                            <a:chOff x="7494587" y="690563"/>
                            <a:chExt cx="1069248" cy="265919"/>
                          </a:xfrm>
                        </wpg:grpSpPr>
                        <wps:wsp>
                          <wps:cNvPr id="2810" name="Rectangle 221" descr="50%"/>
                          <wps:cNvSpPr>
                            <a:spLocks noChangeArrowheads="1"/>
                          </wps:cNvSpPr>
                          <wps:spPr bwMode="auto">
                            <a:xfrm>
                              <a:off x="7494587" y="743716"/>
                              <a:ext cx="269875" cy="165100"/>
                            </a:xfrm>
                            <a:prstGeom prst="rect">
                              <a:avLst/>
                            </a:prstGeom>
                            <a:blipFill dpi="0" rotWithShape="0">
                              <a:blip r:embed="rId24"/>
                              <a:srcRect/>
                              <a:tile tx="0" ty="0" sx="100000" sy="100000" flip="none" algn="tl"/>
                            </a:blipFill>
                            <a:ln w="9525">
                              <a:solidFill>
                                <a:srgbClr val="943634"/>
                              </a:solidFill>
                              <a:miter lim="800000"/>
                              <a:headEnd/>
                              <a:tailEnd/>
                            </a:ln>
                          </wps:spPr>
                          <wps:bodyPr/>
                        </wps:wsp>
                        <wps:wsp>
                          <wps:cNvPr id="2811" name="Textfeld 208"/>
                          <wps:cNvSpPr txBox="1">
                            <a:spLocks noChangeArrowheads="1"/>
                          </wps:cNvSpPr>
                          <wps:spPr bwMode="auto">
                            <a:xfrm>
                              <a:off x="7906213" y="690563"/>
                              <a:ext cx="657622" cy="265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Default="00AA4416" w:rsidP="00A21536">
                                <w:pPr>
                                  <w:pStyle w:val="NormalWeb"/>
                                  <w:kinsoku w:val="0"/>
                                  <w:overflowPunct w:val="0"/>
                                  <w:textAlignment w:val="baseline"/>
                                </w:pPr>
                                <w:r>
                                  <w:rPr>
                                    <w:rFonts w:ascii="Arial" w:hAnsi="Arial" w:cs="Arial"/>
                                    <w:color w:val="000000" w:themeColor="text1"/>
                                    <w:kern w:val="24"/>
                                  </w:rPr>
                                  <w:t>Zone 1</w:t>
                                </w:r>
                              </w:p>
                            </w:txbxContent>
                          </wps:txbx>
                          <wps:bodyPr wrap="square">
                            <a:noAutofit/>
                          </wps:bodyPr>
                        </wps:wsp>
                      </wpg:grpSp>
                      <wpg:grpSp>
                        <wpg:cNvPr id="2812" name="Gruppieren 55"/>
                        <wpg:cNvGrpSpPr>
                          <a:grpSpLocks/>
                        </wpg:cNvGrpSpPr>
                        <wpg:grpSpPr bwMode="auto">
                          <a:xfrm>
                            <a:off x="7497770" y="942973"/>
                            <a:ext cx="1052531" cy="266700"/>
                            <a:chOff x="7497762" y="942975"/>
                            <a:chExt cx="1052714" cy="265919"/>
                          </a:xfrm>
                        </wpg:grpSpPr>
                        <wps:wsp>
                          <wps:cNvPr id="2813" name="Rectangle 219" descr="5%"/>
                          <wps:cNvSpPr>
                            <a:spLocks noChangeArrowheads="1"/>
                          </wps:cNvSpPr>
                          <wps:spPr bwMode="auto">
                            <a:xfrm>
                              <a:off x="7497762" y="999611"/>
                              <a:ext cx="269875" cy="166688"/>
                            </a:xfrm>
                            <a:prstGeom prst="rect">
                              <a:avLst/>
                            </a:prstGeom>
                            <a:blipFill dpi="0" rotWithShape="0">
                              <a:blip r:embed="rId25"/>
                              <a:srcRect/>
                              <a:tile tx="0" ty="0" sx="100000" sy="100000" flip="none" algn="tl"/>
                            </a:blipFill>
                            <a:ln w="9525">
                              <a:solidFill>
                                <a:srgbClr val="5F497A"/>
                              </a:solidFill>
                              <a:miter lim="800000"/>
                              <a:headEnd/>
                              <a:tailEnd/>
                            </a:ln>
                          </wps:spPr>
                          <wps:bodyPr/>
                        </wps:wsp>
                        <wps:wsp>
                          <wps:cNvPr id="2814" name="Textfeld 211"/>
                          <wps:cNvSpPr txBox="1">
                            <a:spLocks noChangeArrowheads="1"/>
                          </wps:cNvSpPr>
                          <wps:spPr bwMode="auto">
                            <a:xfrm>
                              <a:off x="7892501" y="942975"/>
                              <a:ext cx="657975" cy="265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Default="00AA4416" w:rsidP="00A21536">
                                <w:pPr>
                                  <w:pStyle w:val="NormalWeb"/>
                                  <w:kinsoku w:val="0"/>
                                  <w:overflowPunct w:val="0"/>
                                  <w:textAlignment w:val="baseline"/>
                                </w:pPr>
                                <w:r>
                                  <w:rPr>
                                    <w:rFonts w:ascii="Arial" w:hAnsi="Arial" w:cs="Arial"/>
                                    <w:color w:val="000000" w:themeColor="text1"/>
                                    <w:kern w:val="24"/>
                                  </w:rPr>
                                  <w:t>Zone 2</w:t>
                                </w:r>
                              </w:p>
                            </w:txbxContent>
                          </wps:txbx>
                          <wps:bodyPr wrap="square">
                            <a:noAutofit/>
                          </wps:bodyPr>
                        </wps:wsp>
                      </wpg:grpSp>
                    </wpg:wgp>
                  </a:graphicData>
                </a:graphic>
                <wp14:sizeRelH relativeFrom="margin">
                  <wp14:pctWidth>0</wp14:pctWidth>
                </wp14:sizeRelH>
              </wp:anchor>
            </w:drawing>
          </mc:Choice>
          <mc:Fallback>
            <w:pict>
              <v:group w14:anchorId="34816E50" id="_x0000_s1249" style="position:absolute;margin-left:-16.05pt;margin-top:7.4pt;width:737.3pt;height:7in;z-index:251712512;mso-position-horizontal-relative:margin;mso-width-relative:margin" coordsize="85799,64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">
                <v:shape id="Textfeld 466" o:spid="_x0000_s1250" type="#_x0000_t202" style="position:absolute;left:35320;top:8874;width:31052;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" filled="f" stroked="f">
                  <v:textbox>
                    <w:txbxContent>
                      <w:p w:rsidR="00AA4416" w:rsidRPr="002678D4" w:rsidRDefault="00AA4416" w:rsidP="00A21536">
                        <w:pPr>
                          <w:pStyle w:val="NormalWeb"/>
                          <w:textAlignment w:val="baseline"/>
                          <w:rPr>
                            <w:b/>
                            <w:sz w:val="28"/>
                            <w:szCs w:val="28"/>
                          </w:rPr>
                        </w:pPr>
                        <w:r w:rsidRPr="002678D4">
                          <w:rPr>
                            <w:rFonts w:ascii="Arial" w:hAnsi="Arial" w:cs="Arial"/>
                            <w:b/>
                            <w:color w:val="000000" w:themeColor="text1"/>
                            <w:kern w:val="24"/>
                            <w:sz w:val="28"/>
                            <w:szCs w:val="28"/>
                          </w:rPr>
                          <w:t>Kofferdamm kein Betriebsraum</w:t>
                        </w:r>
                      </w:p>
                    </w:txbxContent>
                  </v:textbox>
                </v:shape>
                <v:rect id="Rectangle 20" o:spid="_x0000_s1251" alt="5%" style="position:absolute;left:24907;top:36988;width:1096;height:17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" stroked="f">
                  <v:fill r:id="rId26" o:title="5%" recolor="t" type="tile"/>
                  <o:lock v:ext="edit" aspectratio="t"/>
                </v:rect>
                <v:line id="Line 6" o:spid="_x0000_s1252" style="position:absolute;visibility:visible;mso-wrap-style:square" from="1539,0" to="1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"/>
                <v:line id="Line 100" o:spid="_x0000_s1253" style="position:absolute;flip:x;visibility:visible;mso-wrap-style:square" from="19002,20637" to="24082,2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">
                  <v:stroke dashstyle="dashDot"/>
                </v:line>
                <v:shape id="_x0000_s1254" type="#_x0000_t202" style="position:absolute;left:18509;top:10937;width:7760;height:3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" filled="f" stroked="f">
                  <o:lock v:ext="edit" aspectratio="t"/>
                  <v:textbox inset="2.108mm,1.054mm,2.108mm,1.054mm">
                    <w:txbxContent>
                      <w:p w:rsidR="00AA4416" w:rsidRDefault="00AA4416" w:rsidP="00A21536">
                        <w:pPr>
                          <w:pStyle w:val="NormalWeb"/>
                          <w:spacing w:after="200"/>
                          <w:textAlignment w:val="baseline"/>
                        </w:pPr>
                        <w:r>
                          <w:rPr>
                            <w:rFonts w:ascii="Arial" w:hAnsi="Arial" w:cstheme="minorBidi"/>
                            <w:color w:val="7F7F7F" w:themeColor="text1" w:themeTint="80"/>
                            <w:kern w:val="24"/>
                            <w:sz w:val="22"/>
                            <w:szCs w:val="22"/>
                            <w:u w:val="single"/>
                          </w:rPr>
                          <w:t>&gt;</w:t>
                        </w:r>
                        <w:r>
                          <w:rPr>
                            <w:rFonts w:ascii="Arial" w:hAnsi="Arial" w:cstheme="minorBidi"/>
                            <w:color w:val="7F7F7F" w:themeColor="text1" w:themeTint="80"/>
                            <w:kern w:val="24"/>
                            <w:sz w:val="22"/>
                            <w:szCs w:val="22"/>
                          </w:rPr>
                          <w:t>1,00 m</w:t>
                        </w:r>
                      </w:p>
                    </w:txbxContent>
                  </v:textbox>
                </v:shape>
                <v:group id="Group 20" o:spid="_x0000_s1255" style="position:absolute;left:2461;top:13525;width:23114;height:7461" coordorigin="2460,13525" coordsize="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">
                  <v:rect id="Rectangle 21" o:spid="_x0000_s1256" style="position:absolute;left:2474;top:13527;width:2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"/>
                  <v:shape id="Arc 22" o:spid="_x0000_s1257" style="position:absolute;left:2460;top:13527;width:14;height:3;rotation:-11655833fd;flip:y;visibility:visible;mso-wrap-style:square;v-text-anchor:top" coordsize="2268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" path="m,27nfc362,9,724,-1,1087,,13016,,22687,9670,22687,21600em,27nsc362,9,724,-1,1087,,13016,,22687,9670,22687,21600r-21600,l,27xe" filled="f">
                    <v:path arrowok="t" o:extrusionok="f" o:connecttype="custom" o:connectlocs="0,0;0,0;0,0" o:connectangles="0,0,0" textboxrect="0,0,22687,21600"/>
                  </v:shape>
                  <v:shape id="Arc 23" o:spid="_x0000_s1258" style="position:absolute;left:2460;top:13534;width:14;height:2;rotation:-11655833fd;visibility:visible;mso-wrap-style:square;v-text-anchor:top" coordsize="2268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" path="m,27nfc362,9,724,-1,1087,,13016,,22687,9670,22687,21600em,27nsc362,9,724,-1,1087,,13016,,22687,9670,22687,21600r-21600,l,27xe" filled="f">
                    <v:path arrowok="t" o:extrusionok="f" o:connecttype="custom" o:connectlocs="0,0;0,0;0,0" o:connectangles="0,0,0" textboxrect="0,0,22687,21600"/>
                  </v:shape>
                  <v:shape id="AutoShape 24" o:spid="_x0000_s1259" type="#_x0000_t32" style="position:absolute;left:2460;top:13530;width:0;height: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"/>
                  <v:rect id="Rectangle 25" o:spid="_x0000_s1260" alt="5%" style="position:absolute;left:2480;top:13527;width:17;height:1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" stroked="f">
                    <v:fill r:id="rId31" o:title="5%" recolor="t" type="tile"/>
                  </v:rect>
                  <v:rect id="Rectangle 26" o:spid="_x0000_s1261" style="position:absolute;left:2473;top:13528;width:21;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"/>
                  <v:rect id="Rectangle 27" o:spid="_x0000_s1262" style="position:absolute;left:2493;top:13528;width: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" strokecolor="#5a5a5a" strokeweight="3pt"/>
                  <v:rect id="Rectangle 28" o:spid="_x0000_s1263" style="position:absolute;left:2488;top:13528;width: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" fillcolor="#d8d8d8"/>
                  <v:shape id="AutoShape 29" o:spid="_x0000_s1264" style="position:absolute;left:2466;top:13528;width:8;height:7;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" path="m,l5400,21600r10800,l21600,,,xe">
                    <v:stroke joinstyle="miter"/>
                    <v:path o:connecttype="custom" o:connectlocs="0,0;0,0;0,0;0,0" o:connectangles="0,0,0,0" textboxrect="4490,4495,17110,17105"/>
                  </v:shape>
                  <v:rect id="Rectangle 30" o:spid="_x0000_s1265" style="position:absolute;left:2473;top:13528;width: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" stroked="f">
                    <o:lock v:ext="edit" aspectratio="t"/>
                  </v:rect>
                  <v:rect id="Rectangle 31" o:spid="_x0000_s1266" style="position:absolute;left:2473;top:13527;width: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" stroked="f"/>
                  <v:shape id="Text Box 32" o:spid="_x0000_s1267" type="#_x0000_t202" style="position:absolute;left:2487;top:13529;width: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" filled="f" stroked="f">
                    <v:textbox>
                      <w:txbxContent>
                        <w:p w:rsidR="00AA4416" w:rsidRDefault="00AA4416" w:rsidP="00D959F6">
                          <w:pPr>
                            <w:pStyle w:val="NormalWeb"/>
                            <w:textAlignment w:val="baseline"/>
                          </w:pPr>
                          <w:r>
                            <w:rPr>
                              <w:rFonts w:ascii="Arial" w:hAnsi="Arial" w:cs="Arial"/>
                              <w:color w:val="000000" w:themeColor="text1"/>
                              <w:kern w:val="24"/>
                              <w:sz w:val="12"/>
                              <w:szCs w:val="12"/>
                            </w:rPr>
                            <w:t xml:space="preserve">Bewegliches </w:t>
                          </w:r>
                        </w:p>
                        <w:p w:rsidR="00AA4416" w:rsidRDefault="00AA4416" w:rsidP="00A21536">
                          <w:pPr>
                            <w:pStyle w:val="NormalWeb"/>
                            <w:spacing w:after="200"/>
                            <w:textAlignment w:val="baseline"/>
                          </w:pPr>
                          <w:r w:rsidRPr="00993052">
                            <w:rPr>
                              <w:rFonts w:ascii="Arial" w:hAnsi="Arial" w:cs="Arial"/>
                              <w:color w:val="000000" w:themeColor="text1"/>
                              <w:kern w:val="24"/>
                              <w:sz w:val="12"/>
                              <w:szCs w:val="12"/>
                            </w:rPr>
                            <w:t>Steuerhaus</w:t>
                          </w:r>
                        </w:p>
                      </w:txbxContent>
                    </v:textbox>
                  </v:shape>
                  <v:group id="Group 33" o:spid="_x0000_s1268" style="position:absolute;left:2493;top:13525;width:1;height:1" coordorigin="2493,13525"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">
                    <v:line id="Line 34" o:spid="_x0000_s1269" style="position:absolute;rotation:8314546fd;visibility:visible;mso-wrap-style:square" from="2493,13525" to="2494,1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" strokecolor="#595959">
                      <v:stroke startarrow="block" endarrow="block"/>
                    </v:line>
                  </v:group>
                  <v:rect id="Rectangle 35" o:spid="_x0000_s1270" style="position:absolute;left:2473;top:13536;width: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" stroked="f"/>
                </v:group>
                <v:shape id="Text Box 36" o:spid="_x0000_s1271" type="#_x0000_t202" style="position:absolute;left:930;top:23050;width:24643;height:4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" filled="f" stroked="f">
                  <o:lock v:ext="edit" aspectratio="t"/>
                  <v:textbox inset="2.108mm,1.054mm,2.108mm,1.054mm">
                    <w:txbxContent>
                      <w:p w:rsidR="00AA4416" w:rsidRPr="00787FF8" w:rsidRDefault="00AA4416" w:rsidP="00A21536">
                        <w:pPr>
                          <w:pStyle w:val="NormalWeb"/>
                          <w:spacing w:after="200"/>
                          <w:textAlignment w:val="baseline"/>
                          <w:rPr>
                            <w:lang w:val="de-DE"/>
                          </w:rPr>
                        </w:pPr>
                        <w:r w:rsidRPr="00BA6439">
                          <w:rPr>
                            <w:rFonts w:ascii="Verdana" w:hAnsi="Verdana" w:cs="Arial"/>
                            <w:color w:val="000000"/>
                            <w:kern w:val="24"/>
                            <w:sz w:val="16"/>
                            <w:szCs w:val="16"/>
                            <w:lang w:val="de-DE"/>
                          </w:rPr>
                          <w:t>Schutzwand;  gas- und flüssigkeitsdicht,</w:t>
                        </w:r>
                        <w:r>
                          <w:rPr>
                            <w:rFonts w:ascii="Verdana" w:hAnsi="Verdana" w:cs="Arial"/>
                            <w:color w:val="000000"/>
                            <w:kern w:val="24"/>
                            <w:sz w:val="16"/>
                            <w:szCs w:val="16"/>
                            <w:lang w:val="de-DE"/>
                          </w:rPr>
                          <w:br/>
                        </w:r>
                        <w:r w:rsidRPr="00BA6439">
                          <w:rPr>
                            <w:rFonts w:ascii="Verdana" w:hAnsi="Verdana" w:cs="Arial"/>
                            <w:color w:val="000000"/>
                            <w:kern w:val="24"/>
                            <w:sz w:val="16"/>
                            <w:szCs w:val="16"/>
                            <w:lang w:val="de-DE"/>
                          </w:rPr>
                          <w:t xml:space="preserve">h: </w:t>
                        </w:r>
                        <w:r w:rsidRPr="00597467">
                          <w:rPr>
                            <w:rFonts w:ascii="Verdana" w:hAnsi="Verdana" w:cs="Arial"/>
                            <w:color w:val="000000"/>
                            <w:kern w:val="24"/>
                            <w:sz w:val="16"/>
                            <w:szCs w:val="16"/>
                            <w:u w:val="single"/>
                            <w:lang w:val="de-DE"/>
                          </w:rPr>
                          <w:t>&gt;</w:t>
                        </w:r>
                        <w:r w:rsidRPr="00BA6439">
                          <w:rPr>
                            <w:rFonts w:ascii="Verdana" w:hAnsi="Verdana" w:cs="Arial"/>
                            <w:color w:val="000000"/>
                            <w:kern w:val="24"/>
                            <w:sz w:val="16"/>
                            <w:szCs w:val="16"/>
                            <w:lang w:val="de-DE"/>
                          </w:rPr>
                          <w:t xml:space="preserve"> 1,0</w:t>
                        </w:r>
                        <w:r>
                          <w:rPr>
                            <w:rFonts w:ascii="Verdana" w:hAnsi="Verdana" w:cs="Arial"/>
                            <w:color w:val="000000"/>
                            <w:kern w:val="24"/>
                            <w:sz w:val="16"/>
                            <w:szCs w:val="16"/>
                            <w:lang w:val="de-DE"/>
                          </w:rPr>
                          <w:t>0</w:t>
                        </w:r>
                        <w:r w:rsidRPr="00BA6439">
                          <w:rPr>
                            <w:rFonts w:ascii="Verdana" w:hAnsi="Verdana" w:cs="Arial"/>
                            <w:color w:val="000000"/>
                            <w:kern w:val="24"/>
                            <w:sz w:val="16"/>
                            <w:szCs w:val="16"/>
                            <w:lang w:val="de-DE"/>
                          </w:rPr>
                          <w:t xml:space="preserve"> m über anschließendem Ladetankdeck</w:t>
                        </w:r>
                      </w:p>
                    </w:txbxContent>
                  </v:textbox>
                </v:shape>
                <v:group id="Gruppieren 9" o:spid="_x0000_s1272" style="position:absolute;left:2524;top:31273;width:23129;height:13224" coordorigin="2524,31273" coordsize="23119,1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">
                  <v:group id="Gruppieren 165" o:spid="_x0000_s1273" style="position:absolute;left:9586;top:36557;width:15394;height:6210" coordorigin="9586,36557" coordsize="15394,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">
                    <v:rect id="Rectangle 20" o:spid="_x0000_s1274" alt="5%" style="position:absolute;left:11256;top:38758;width:13617;height:70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" strokecolor="#3f3151">
                      <v:fill r:id="rId26" o:title="5%" recolor="t" type="tile"/>
                      <o:lock v:ext="edit" aspectratio="t"/>
                    </v:rect>
                    <v:line id="Line 11" o:spid="_x0000_s1275" style="position:absolute;flip:y;visibility:visible;mso-wrap-style:square" from="9623,39466" to="9623,40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" strokecolor="#5f497a">
                      <v:stroke endarrow="block"/>
                    </v:line>
                    <v:line id="Line 12" o:spid="_x0000_s1276" style="position:absolute;visibility:visible;mso-wrap-style:square" from="9705,37612" to="9705,38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" strokecolor="#5f497a">
                      <v:stroke endarrow="block"/>
                    </v:line>
                    <v:shape id="Text Box 13" o:spid="_x0000_s1277" type="#_x0000_t202" style="position:absolute;left:9586;top:36557;width:5401;height: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" filled="f" stroked="f">
                      <o:lock v:ext="edit" aspectratio="t"/>
                      <v:textbox inset="2.108mm,1.054mm,2.108mm,1.054mm">
                        <w:txbxContent>
                          <w:p w:rsidR="00AA4416" w:rsidRDefault="00AA4416" w:rsidP="00A21536">
                            <w:pPr>
                              <w:pStyle w:val="NormalWeb"/>
                              <w:spacing w:after="200"/>
                              <w:textAlignment w:val="baseline"/>
                            </w:pPr>
                            <w:r>
                              <w:rPr>
                                <w:rFonts w:ascii="Arial" w:hAnsi="Arial" w:cs="Arial"/>
                                <w:color w:val="5F497A"/>
                                <w:kern w:val="24"/>
                                <w:sz w:val="18"/>
                                <w:szCs w:val="18"/>
                              </w:rPr>
                              <w:t>0,50 m</w:t>
                            </w:r>
                          </w:p>
                        </w:txbxContent>
                      </v:textbox>
                    </v:shape>
                    <v:shape id="Text Box 14" o:spid="_x0000_s1278" type="#_x0000_t202" style="position:absolute;left:12040;top:39425;width:5395;height: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" filled="f" stroked="f">
                      <o:lock v:ext="edit" aspectratio="t"/>
                      <v:textbox inset="2.108mm,1.054mm,2.108mm,1.054mm">
                        <w:txbxContent>
                          <w:p w:rsidR="00AA4416" w:rsidRDefault="00AA4416" w:rsidP="00A21536">
                            <w:pPr>
                              <w:pStyle w:val="NormalWeb"/>
                              <w:spacing w:after="200"/>
                              <w:textAlignment w:val="baseline"/>
                            </w:pPr>
                            <w:r>
                              <w:rPr>
                                <w:rFonts w:ascii="Arial" w:hAnsi="Arial" w:cs="Arial"/>
                                <w:color w:val="5F497A"/>
                                <w:kern w:val="24"/>
                                <w:sz w:val="18"/>
                                <w:szCs w:val="18"/>
                              </w:rPr>
                              <w:t>7,50 m</w:t>
                            </w:r>
                          </w:p>
                        </w:txbxContent>
                      </v:textbox>
                    </v:shape>
                    <v:line id="Line 15" o:spid="_x0000_s1279" style="position:absolute;flip:x;visibility:visible;mso-wrap-style:square" from="11215,39849" to="24980,39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" strokecolor="#5f497a">
                      <v:stroke startarrow="block" endarrow="block"/>
                    </v:line>
                    <v:line id="Line 10" o:spid="_x0000_s1280" style="position:absolute;flip:x;visibility:visible;mso-wrap-style:square" from="9701,38639" to="11236,3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">
                      <v:stroke dashstyle="1 1" endcap="round"/>
                    </v:line>
                  </v:group>
                  <v:group id="Gruppieren 166" o:spid="_x0000_s1281" style="position:absolute;left:2524;top:31273;width:23119;height:13218" coordorigin="2524,31273" coordsize="23119,1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">
                    <v:group id="Gruppieren 167" o:spid="_x0000_s1282" style="position:absolute;left:2524;top:31273;width:23119;height:13218" coordorigin="2524,31273" coordsize="23119,1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">
                      <v:group id="Gruppieren 171" o:spid="_x0000_s1283" style="position:absolute;left:19994;top:33161;width:5173;height:11305" coordorigin="19994,33161" coordsize="5172,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">
                        <v:line id="Line 83" o:spid="_x0000_s1284" style="position:absolute;rotation:8;flip:x;visibility:visible;mso-wrap-style:square" from="24802,33479" to="25167,36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" strokecolor="#595959">
                          <v:stroke dashstyle="longDash"/>
                        </v:line>
                        <v:line id="Line 89" o:spid="_x0000_s1285" style="position:absolute;visibility:visible;mso-wrap-style:square" from="19994,33161" to="20216,33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" strokecolor="#595959"/>
                        <v:line id="Line 91" o:spid="_x0000_s1286" style="position:absolute;visibility:visible;mso-wrap-style:square" from="24878,39068" to="24878,44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"/>
                      </v:group>
                      <v:group id="Gruppieren 172" o:spid="_x0000_s1287" style="position:absolute;left:2524;top:36030;width:22508;height:8461" coordorigin="2524,36030" coordsize="22508,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">
                        <v:line id="Line 76" o:spid="_x0000_s1288" style="position:absolute;visibility:visible;mso-wrap-style:square" from="5437,41925" to="8233,44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"/>
                        <v:line id="Line 77" o:spid="_x0000_s1289" style="position:absolute;visibility:visible;mso-wrap-style:square" from="2988,41878" to="5508,4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"/>
                        <v:line id="Line 78" o:spid="_x0000_s1290" style="position:absolute;visibility:visible;mso-wrap-style:square" from="2524,39391" to="2988,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"/>
                        <v:line id="Line 79" o:spid="_x0000_s1291" style="position:absolute;visibility:visible;mso-wrap-style:square" from="2548,39446" to="25032,3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"/>
                        <v:line id="Line 81" o:spid="_x0000_s1292" style="position:absolute;flip:x;visibility:visible;mso-wrap-style:square" from="5279,36030" to="5426,39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"/>
                      </v:group>
                      <v:group id="Gruppieren 173" o:spid="_x0000_s1293" style="position:absolute;left:8209;top:31273;width:17434;height:13217" coordorigin="8209,31273" coordsize="17433,1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">
                        <v:line id="Line 84" o:spid="_x0000_s1294" style="position:absolute;flip:y;visibility:visible;mso-wrap-style:square" from="19978,31273" to="25643,3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" strokecolor="#595959">
                          <v:stroke dashstyle="longDash"/>
                        </v:line>
                        <v:line id="Line 85" o:spid="_x0000_s1295" style="position:absolute;visibility:visible;mso-wrap-style:square" from="19978,31273" to="19994,3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" strokecolor="#595959">
                          <v:stroke dashstyle="longDash"/>
                        </v:line>
                        <v:line id="Line 86" o:spid="_x0000_s1296" style="position:absolute;rotation:-2;flip:x;visibility:visible;mso-wrap-style:square" from="24929,31305" to="25579,3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" strokecolor="#595959">
                          <v:stroke dashstyle="longDash"/>
                        </v:line>
                        <v:line id="Line 88" o:spid="_x0000_s1297" style="position:absolute;visibility:visible;mso-wrap-style:square" from="20279,33130" to="20279,38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" strokecolor="#595959">
                          <v:stroke dashstyle="longDash"/>
                        </v:line>
                        <v:line id="Line 90" o:spid="_x0000_s1298" style="position:absolute;visibility:visible;mso-wrap-style:square" from="8209,44490" to="24949,44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"/>
                      </v:group>
                    </v:group>
                    <v:group id="Gruppieren 168" o:spid="_x0000_s1299" style="position:absolute;left:5930;top:31940;width:18062;height:5190" coordorigin="5930,31940" coordsize="18061,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">
                      <v:rect id="Rectangle 24" o:spid="_x0000_s1300" alt="Horizontal hell" style="position:absolute;left:20787;top:31940;width:3205;height:66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" filled="f" strokecolor="#595959">
                        <v:stroke dashstyle="longDash"/>
                        <o:lock v:ext="edit" aspectratio="t"/>
                      </v:rect>
                      <v:rect id="Rectangle 92" o:spid="_x0000_s1301" alt="Horizontal hell" style="position:absolute;left:5930;top:36469;width:3243;height:6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">
                        <v:fill r:id="rId27" o:title="Horizontal hell" recolor="t" type="tile"/>
                        <o:lock v:ext="edit" aspectratio="t"/>
                      </v:rect>
                    </v:group>
                  </v:group>
                </v:group>
                <v:shape id="Text Box 7" o:spid="_x0000_s1302" type="#_x0000_t202" style="position:absolute;left:29148;top:58825;width:26353;height:4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" filled="f" stroked="f">
                  <v:textbox inset="2.108mm,1.054mm,2.108mm,1.054mm">
                    <w:txbxContent>
                      <w:p w:rsidR="00AA4416" w:rsidRDefault="00AA4416" w:rsidP="00A21536">
                        <w:pPr>
                          <w:pStyle w:val="NormalWeb"/>
                          <w:spacing w:after="200"/>
                          <w:jc w:val="center"/>
                          <w:textAlignment w:val="baseline"/>
                        </w:pPr>
                        <w:r>
                          <w:rPr>
                            <w:rFonts w:ascii="Verdana" w:hAnsi="Verdana" w:cs="Arial"/>
                            <w:color w:val="000000" w:themeColor="text1"/>
                            <w:kern w:val="24"/>
                            <w:sz w:val="16"/>
                            <w:szCs w:val="16"/>
                          </w:rPr>
                          <w:t xml:space="preserve">äußeres Kofferdammschott / </w:t>
                        </w:r>
                        <w:r>
                          <w:rPr>
                            <w:rFonts w:ascii="Verdana" w:hAnsi="Verdana" w:cs="Arial"/>
                            <w:color w:val="000000" w:themeColor="text1"/>
                            <w:kern w:val="24"/>
                            <w:sz w:val="16"/>
                            <w:szCs w:val="16"/>
                          </w:rPr>
                          <w:br/>
                        </w:r>
                        <w:r>
                          <w:rPr>
                            <w:rFonts w:ascii="Arial" w:hAnsi="Arial" w:cs="Arial"/>
                            <w:color w:val="000000" w:themeColor="text1"/>
                            <w:kern w:val="24"/>
                            <w:sz w:val="16"/>
                            <w:szCs w:val="16"/>
                          </w:rPr>
                          <w:t>Begrenzungsschott der Aufstellungsräume</w:t>
                        </w:r>
                      </w:p>
                    </w:txbxContent>
                  </v:textbox>
                </v:shape>
                <v:group id="Gruppieren 11" o:spid="_x0000_s1303" style="position:absolute;left:25987;top:32575;width:3667;height:6747" coordorigin="25987,32575" coordsize="2704,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">
                  <v:oval id="Oval 4" o:spid="_x0000_s1304" alt="5%" style="position:absolute;left:26025;top:32575;width:2666;height:26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" stroked="f">
                    <v:fill r:id="rId26" o:title="5%" recolor="t" type="tile"/>
                    <o:lock v:ext="edit" aspectratio="t"/>
                  </v:oval>
                  <v:rect id="Rectangle 93" o:spid="_x0000_s1305" alt="5%" style="position:absolute;left:25987;top:33639;width:1339;height:491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" stroked="f">
                    <v:fill r:id="rId26" o:title="5%" recolor="t" type="tile"/>
                    <o:lock v:ext="edit" aspectratio="t"/>
                  </v:rect>
                </v:group>
                <v:line id="Line 16" o:spid="_x0000_s1306" alt="Große Konfetti" style="position:absolute;rotation:2416306fd;visibility:visible;mso-wrap-style:square" from="25939,37655" to="26320,38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" strokecolor="#943634">
                  <v:stroke endarrow="block"/>
                </v:line>
                <v:line id="Line 100" o:spid="_x0000_s1307" style="position:absolute;visibility:visible;mso-wrap-style:square" from="17875,28146" to="24574,36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">
                  <v:stroke dashstyle="dashDot"/>
                </v:line>
                <v:line id="Gerade Verbindung 401" o:spid="_x0000_s1308" style="position:absolute;visibility:visible;mso-wrap-style:square" from="20304,36147" to="24971,36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" strokecolor="windowText">
                  <v:stroke dashstyle="longDash"/>
                </v:line>
                <v:rect id="Rectangle 2668" o:spid="_x0000_s1309" alt="5%" style="position:absolute;left:23256;top:36972;width:1588;height:176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" strokecolor="#7f7f7f">
                  <v:fill r:id="rId32" o:title="5%" recolor="t" type="tile"/>
                  <o:lock v:ext="edit" aspectratio="t"/>
                </v:rect>
                <v:group id="Gruppieren 16" o:spid="_x0000_s1310" style="position:absolute;left:19954;top:33448;width:5652;height:4128" coordorigin="19954,33448" coordsize="5657,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">
                  <v:group id="Gruppieren 154" o:spid="_x0000_s1311" style="position:absolute;left:19954;top:33448;width:5658;height:4074" coordorigin="19954,33448" coordsize="5657,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">
                    <v:line id="Line 84" o:spid="_x0000_s1312" style="position:absolute;flip:y;visibility:visible;mso-wrap-style:square" from="19954,33448" to="25612,33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" strokecolor="windowText"/>
                    <v:line id="Line 85" o:spid="_x0000_s1313" style="position:absolute;visibility:visible;mso-wrap-style:square" from="19954,33448" to="19982,35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" strokecolor="windowText"/>
                    <v:line id="Line 86" o:spid="_x0000_s1314" style="position:absolute;rotation:-2;flip:x;visibility:visible;mso-wrap-style:square" from="24916,33477" to="25553,3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" strokecolor="windowText"/>
                    <v:line id="Line 88" o:spid="_x0000_s1315" style="position:absolute;visibility:visible;mso-wrap-style:square" from="20256,35458" to="20256,37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" strokecolor="windowText"/>
                  </v:group>
                  <v:group id="Gruppieren 155" o:spid="_x0000_s1316" style="position:absolute;left:20030;top:35299;width:4997;height:2266" coordorigin="20030,35299" coordsize="4996,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">
                    <v:line id="Line 83" o:spid="_x0000_s1317" style="position:absolute;rotation:8;flip:x;visibility:visible;mso-wrap-style:square" from="24738,35423" to="25027,37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" strokecolor="windowText"/>
                    <v:line id="Line 89" o:spid="_x0000_s1318" style="position:absolute;visibility:visible;mso-wrap-style:square" from="20030,35299" to="20251,3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" strokecolor="windowText"/>
                  </v:group>
                  <v:rect id="Rectangle 24" o:spid="_x0000_s1319" alt="Horizontal hell" style="position:absolute;left:20810;top:34099;width:3258;height:6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" strokecolor="windowText">
                    <v:fill r:id="rId27" o:title="Horizontal hell" recolor="t" type="tile"/>
                    <o:lock v:ext="edit" aspectratio="t"/>
                  </v:rect>
                </v:group>
                <v:group id="Gruppieren 17" o:spid="_x0000_s1320" style="position:absolute;left:18747;top:36297;width:5969;height:3439" coordorigin="18747,36290" coordsize="5968,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">
                  <v:shape id="Gerade Verbindung mit Pfeil 152" o:spid="_x0000_s1321" type="#_x0000_t32" style="position:absolute;left:22065;top:38251;width:1302;height: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" strokecolor="#595959">
                    <v:stroke startarrow="block"/>
                  </v:shape>
                  <v:shape id="_x0000_s1322" type="#_x0000_t202" style="position:absolute;left:18747;top:36290;width:5969;height:3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" filled="f" stroked="f">
                    <o:lock v:ext="edit" aspectratio="t"/>
                    <v:textbox inset="2.108mm,1.054mm,2.108mm,1.054mm">
                      <w:txbxContent>
                        <w:p w:rsidR="00AA4416" w:rsidRDefault="00AA4416" w:rsidP="00A21536">
                          <w:pPr>
                            <w:pStyle w:val="NormalWeb"/>
                            <w:spacing w:after="200"/>
                            <w:textAlignment w:val="baseline"/>
                          </w:pPr>
                          <w:r>
                            <w:rPr>
                              <w:rFonts w:ascii="Arial" w:hAnsi="Arial" w:cstheme="minorBidi"/>
                              <w:color w:val="595959" w:themeColor="text1" w:themeTint="A6"/>
                              <w:kern w:val="24"/>
                              <w:sz w:val="18"/>
                              <w:szCs w:val="18"/>
                              <w:u w:val="single"/>
                            </w:rPr>
                            <w:t>&gt;</w:t>
                          </w:r>
                          <w:r>
                            <w:rPr>
                              <w:rFonts w:ascii="Arial" w:hAnsi="Arial" w:cstheme="minorBidi"/>
                              <w:color w:val="595959" w:themeColor="text1" w:themeTint="A6"/>
                              <w:kern w:val="24"/>
                              <w:sz w:val="18"/>
                              <w:szCs w:val="18"/>
                            </w:rPr>
                            <w:t>1,00 m</w:t>
                          </w:r>
                        </w:p>
                      </w:txbxContent>
                    </v:textbox>
                  </v:shape>
                </v:group>
                <v:line id="Gerade Verbindung 418" o:spid="_x0000_s1323" style="position:absolute;flip:x;visibility:visible;mso-wrap-style:square" from="25971,33845" to="25987,37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" strokecolor="#604a7b"/>
                <v:line id="Gerade Verbindung 419" o:spid="_x0000_s1324" style="position:absolute;visibility:visible;mso-wrap-style:square" from="27162,32639" to="38862,3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" strokecolor="#604a7b"/>
                <v:shape id="Bogen 20" o:spid="_x0000_s1325" style="position:absolute;left:25987;top:32623;width:2873;height:2571;flip:x;visibility:visible;mso-wrap-style:square;v-text-anchor:middle" coordsize="287338,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" path="m145339,9nsc224691,835,288266,59086,287328,130108l143669,128588c144226,85728,144782,42869,145339,9xem145339,9nfc224691,835,288266,59086,287328,130108e" filled="f" strokecolor="#604a7b">
                  <v:path arrowok="t" o:connecttype="custom" o:connectlocs="145339,9;287328,130108" o:connectangles="0,0"/>
                </v:shape>
                <v:rect id="Rectangle 23" o:spid="_x0000_s1326" alt="25%" style="position:absolute;left:24876;top:38766;width:14049;height:57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" fillcolor="#943634" strokecolor="#953735">
                  <v:fill r:id="rId10" o:title="" type="pattern"/>
                  <o:lock v:ext="edit" aspectratio="t"/>
                </v:rect>
                <v:rect id="Rectangle 20" o:spid="_x0000_s1327" alt="5%" style="position:absolute;left:28336;top:32750;width:10573;height:15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" stroked="f">
                  <v:fill r:id="rId26" o:title="5%" recolor="t" type="tile"/>
                  <o:lock v:ext="edit" aspectratio="t"/>
                </v:rect>
                <v:shape id="_x0000_s1328" type="#_x0000_t202" style="position:absolute;left:28446;top:32289;width:5970;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" filled="f" stroked="f">
                  <o:lock v:ext="edit" aspectratio="t"/>
                  <v:textbox inset="2.108mm,1.054mm,2.108mm,1.054mm">
                    <w:txbxContent>
                      <w:p w:rsidR="00AA4416" w:rsidRDefault="00AA4416" w:rsidP="00A21536">
                        <w:pPr>
                          <w:pStyle w:val="NormalWeb"/>
                          <w:spacing w:after="200"/>
                          <w:textAlignment w:val="baseline"/>
                        </w:pPr>
                        <w:r>
                          <w:rPr>
                            <w:rFonts w:ascii="Arial" w:hAnsi="Arial" w:cstheme="minorBidi"/>
                            <w:color w:val="5F497A" w:themeColor="accent4" w:themeShade="BF"/>
                            <w:kern w:val="24"/>
                            <w:sz w:val="18"/>
                            <w:szCs w:val="18"/>
                          </w:rPr>
                          <w:t>1,00 m</w:t>
                        </w:r>
                      </w:p>
                    </w:txbxContent>
                  </v:textbox>
                </v:shape>
                <v:line id="Gerade Verbindung 432" o:spid="_x0000_s1329" style="position:absolute;visibility:visible;mso-wrap-style:square" from="27511,34321" to="39084,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" strokecolor="#953735"/>
                <v:line id="Gerade Verbindung 436" o:spid="_x0000_s1330" style="position:absolute;flip:x;visibility:visible;mso-wrap-style:square" from="27463,34369" to="27495,38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" strokecolor="#953735"/>
                <v:line id="Gerade Verbindung 442" o:spid="_x0000_s1331" style="position:absolute;visibility:visible;mso-wrap-style:square" from="24955,36988" to="25923,37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" strokecolor="#604a7b"/>
                <v:rect id="Rectangle 23" o:spid="_x0000_s1332" alt="25%" style="position:absolute;left:26114;top:38195;width:1810;height:809;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" fillcolor="#943634" strokecolor="#953735">
                  <v:fill r:id="rId10" o:title="" type="pattern"/>
                  <o:lock v:ext="edit" aspectratio="t"/>
                </v:rect>
                <v:line id="Gerade Verbindung 446" o:spid="_x0000_s1333" style="position:absolute;flip:x;visibility:visible;mso-wrap-style:square" from="26177,38433" to="26209,38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" strokecolor="windowText" strokeweight="3pt"/>
                <v:rect id="Rectangle 23" o:spid="_x0000_s1334" alt="25%" style="position:absolute;left:27543;top:34401;width:11652;height:48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" stroked="f">
                  <v:fill r:id="rId28" o:title="25%" recolor="t" type="tile"/>
                  <o:lock v:ext="edit" aspectratio="t"/>
                </v:rect>
                <v:group id="Gruppieren 30" o:spid="_x0000_s1335" style="position:absolute;left:26114;top:36957;width:13811;height:6429" coordorigin="26114,36957" coordsize="12946,6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">
                  <v:rect id="Rectangle 25" o:spid="_x0000_s1336" alt="Kugeln" style="position:absolute;left:26114;top:38833;width:11954;height:45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">
                    <v:fill r:id="rId29" o:title="Kugeln" recolor="t" type="tile"/>
                    <o:lock v:ext="edit" aspectratio="t"/>
                  </v:rect>
                  <v:rect id="Rectangle 47" o:spid="_x0000_s1337" alt="Kugeln" style="position:absolute;left:31705;top:36957;width:7355;height:7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">
                    <v:fill r:id="rId29" o:title="Kugeln" recolor="t" type="tile"/>
                    <o:lock v:ext="edit" aspectratio="t"/>
                  </v:rect>
                  <v:rect id="Rectangle 47" o:spid="_x0000_s1338" alt="Kugeln" style="position:absolute;left:35670;top:37743;width:649;height:11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" stroked="f">
                    <v:fill r:id="rId29" o:title="Kugeln" recolor="t" type="tile"/>
                    <o:lock v:ext="edit" aspectratio="t"/>
                  </v:rect>
                  <v:line id="Gerade Verbindung 426" o:spid="_x0000_s1339" style="position:absolute;visibility:visible;mso-wrap-style:square" from="35623,37719" to="35623,38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" strokecolor="windowText"/>
                  <v:line id="Gerade Verbindung 427" o:spid="_x0000_s1340" style="position:absolute;visibility:visible;mso-wrap-style:square" from="36307,37751" to="36307,38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" strokecolor="windowText"/>
                  <v:rect id="Rectangle 47" o:spid="_x0000_s1341" alt="Kugeln" style="position:absolute;left:32669;top:37942;width:644;height:1184;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" strokecolor="windowText">
                    <v:fill r:id="rId29" o:title="Kugeln" recolor="t" type="tile"/>
                    <o:lock v:ext="edit" aspectratio="t"/>
                  </v:rect>
                </v:group>
                <v:shape id="AutoShape 68" o:spid="_x0000_s1342" type="#_x0000_t64" style="position:absolute;left:32607;top:37639;width:13430;height:2318;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">
                  <v:stroke dashstyle="1 1"/>
                  <o:lock v:ext="edit" aspectratio="t"/>
                </v:shape>
                <v:line id="Line 17" o:spid="_x0000_s1343" alt="Große Konfetti" style="position:absolute;rotation:2416306fd;flip:y;visibility:visible;mso-wrap-style:square" from="25892,39020" to="26289,39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" strokecolor="#943634">
                  <v:stroke endarrow="block"/>
                </v:line>
                <v:group id="Gruppieren 33" o:spid="_x0000_s1344" style="position:absolute;left:28503;top:33297;width:4112;height:127;rotation:-90" coordorigin="28630,33409" coordsize="410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">
                  <v:shape id="Gerade Verbindung mit Pfeil 144" o:spid="_x0000_s1345" type="#_x0000_t32" style="position:absolute;left:28630;top:33409;width:1316;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" strokecolor="#604a7b">
                    <v:stroke startarrow="block"/>
                  </v:shape>
                  <v:shape id="Gerade Verbindung mit Pfeil 145" o:spid="_x0000_s1346" type="#_x0000_t32" style="position:absolute;left:31436;top:33516;width:1300;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" strokecolor="#604a7b">
                    <v:stroke startarrow="block"/>
                  </v:shape>
                </v:group>
                <v:shape id="Gerade Verbindung mit Pfeil 34" o:spid="_x0000_s1347" type="#_x0000_t32" style="position:absolute;left:27495;top:37465;width:46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" strokecolor="#953735">
                  <v:stroke startarrow="block" endarrow="block"/>
                </v:shape>
                <v:shape id="_x0000_s1348" type="#_x0000_t202" style="position:absolute;left:26938;top:37068;width:5969;height:3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" filled="f" stroked="f">
                  <o:lock v:ext="edit" aspectratio="t"/>
                  <v:textbox inset="2.108mm,1.054mm,2.108mm,1.054mm">
                    <w:txbxContent>
                      <w:p w:rsidR="00AA4416" w:rsidRDefault="00AA4416" w:rsidP="00A21536">
                        <w:pPr>
                          <w:pStyle w:val="NormalWeb"/>
                          <w:spacing w:after="200"/>
                          <w:textAlignment w:val="baseline"/>
                        </w:pPr>
                        <w:r>
                          <w:rPr>
                            <w:rFonts w:ascii="Arial" w:hAnsi="Arial" w:cstheme="minorBidi"/>
                            <w:color w:val="943634" w:themeColor="accent2" w:themeShade="BF"/>
                            <w:kern w:val="24"/>
                            <w:sz w:val="18"/>
                            <w:szCs w:val="18"/>
                            <w:u w:val="single"/>
                          </w:rPr>
                          <w:t>&gt;</w:t>
                        </w:r>
                        <w:r>
                          <w:rPr>
                            <w:rFonts w:ascii="Arial" w:hAnsi="Arial" w:cstheme="minorBidi"/>
                            <w:color w:val="943634" w:themeColor="accent2" w:themeShade="BF"/>
                            <w:kern w:val="24"/>
                            <w:sz w:val="18"/>
                            <w:szCs w:val="18"/>
                          </w:rPr>
                          <w:t>2,50 m</w:t>
                        </w:r>
                      </w:p>
                    </w:txbxContent>
                  </v:textbox>
                </v:shape>
                <v:line id="Line 100" o:spid="_x0000_s1349" style="position:absolute;visibility:visible;mso-wrap-style:square" from="26114,40957" to="36845,5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">
                  <v:stroke dashstyle="dashDot"/>
                </v:line>
                <v:line id="Line 100" o:spid="_x0000_s1350" style="position:absolute;visibility:visible;mso-wrap-style:square" from="25003,41703" to="35131,5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">
                  <v:stroke dashstyle="dashDot"/>
                </v:line>
                <v:group id="Gruppieren 38" o:spid="_x0000_s1351" style="position:absolute;left:23701;top:34337;width:6651;height:3439" coordorigin="23701,34337" coordsize="6650,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">
                  <v:shape id="_x0000_s1352" type="#_x0000_t202" style="position:absolute;left:24383;top:34337;width:5969;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" filled="f" stroked="f">
                    <o:lock v:ext="edit" aspectratio="t"/>
                    <v:textbox inset="2.108mm,1.054mm,2.108mm,1.054mm">
                      <w:txbxContent>
                        <w:p w:rsidR="00AA4416" w:rsidRDefault="00AA4416" w:rsidP="00A21536">
                          <w:pPr>
                            <w:pStyle w:val="NormalWeb"/>
                            <w:spacing w:after="200"/>
                            <w:textAlignment w:val="baseline"/>
                          </w:pPr>
                          <w:r>
                            <w:rPr>
                              <w:rFonts w:ascii="Arial" w:hAnsi="Arial" w:cstheme="minorBidi"/>
                              <w:color w:val="595959" w:themeColor="text1" w:themeTint="A6"/>
                              <w:kern w:val="24"/>
                              <w:sz w:val="18"/>
                              <w:szCs w:val="18"/>
                              <w:u w:val="single"/>
                            </w:rPr>
                            <w:t>&gt;</w:t>
                          </w:r>
                          <w:r>
                            <w:rPr>
                              <w:rFonts w:ascii="Arial" w:hAnsi="Arial" w:cstheme="minorBidi"/>
                              <w:color w:val="595959" w:themeColor="text1" w:themeTint="A6"/>
                              <w:kern w:val="24"/>
                              <w:sz w:val="18"/>
                              <w:szCs w:val="18"/>
                            </w:rPr>
                            <w:t>0,60 m</w:t>
                          </w:r>
                        </w:p>
                      </w:txbxContent>
                    </v:textbox>
                  </v:shape>
                  <v:shape id="Gerade Verbindung mit Pfeil 142" o:spid="_x0000_s1353" type="#_x0000_t32" style="position:absolute;left:25923;top:36449;width:1318;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" strokecolor="#595959">
                    <v:stroke startarrow="block"/>
                  </v:shape>
                  <v:shape id="Gerade Verbindung mit Pfeil 143" o:spid="_x0000_s1354" type="#_x0000_t32" style="position:absolute;left:23701;top:36417;width:1302;height: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" strokecolor="#595959">
                    <v:stroke startarrow="block"/>
                  </v:shape>
                </v:group>
                <v:line id="Gerade Verbindung 198" o:spid="_x0000_s1355" style="position:absolute;visibility:visible;mso-wrap-style:square" from="19923,35861" to="19923,38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" strokecolor="windowText"/>
                <v:line id="Gerade Verbindung 200" o:spid="_x0000_s1356" style="position:absolute;flip:y;visibility:visible;mso-wrap-style:square" from="5397,35941" to="19923,36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" strokecolor="windowText"/>
                <v:shape id="Text Box 14" o:spid="_x0000_s1357" type="#_x0000_t202" style="position:absolute;left:39179;top:16938;width:13700;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" filled="f" stroked="f">
                  <v:textbox inset="2.108mm,1.054mm,2.108mm,1.054mm">
                    <w:txbxContent>
                      <w:p w:rsidR="00AA4416" w:rsidRDefault="00AA4416" w:rsidP="00A21536">
                        <w:pPr>
                          <w:pStyle w:val="NormalWeb"/>
                          <w:textAlignment w:val="baseline"/>
                        </w:pPr>
                        <w:r>
                          <w:rPr>
                            <w:rFonts w:ascii="Verdana" w:hAnsi="Verdana" w:cs="Arial"/>
                            <w:color w:val="1F497D" w:themeColor="text2"/>
                            <w:kern w:val="24"/>
                            <w:sz w:val="16"/>
                            <w:szCs w:val="16"/>
                          </w:rPr>
                          <w:t>Begrenzungsebene des</w:t>
                        </w:r>
                        <w:r>
                          <w:rPr>
                            <w:rFonts w:ascii="Verdana" w:hAnsi="Verdana" w:cs="Arial"/>
                            <w:color w:val="1F497D" w:themeColor="text2"/>
                            <w:kern w:val="24"/>
                            <w:sz w:val="16"/>
                            <w:szCs w:val="16"/>
                          </w:rPr>
                          <w:br/>
                          <w:t>Bereichs der Ladung</w:t>
                        </w:r>
                      </w:p>
                    </w:txbxContent>
                  </v:textbox>
                </v:shape>
                <v:line id="Gerade Verbindung 503" o:spid="_x0000_s1358" style="position:absolute;visibility:visible;mso-wrap-style:square" from="24796,2667" to="25019,6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" strokecolor="#1f497d">
                  <v:stroke dashstyle="dash"/>
                </v:line>
                <v:shape id="Gerade Verbindung mit Pfeil 43" o:spid="_x0000_s1359" type="#_x0000_t32" style="position:absolute;left:24765;top:19322;width:14414;height:57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" strokecolor="#4a7ebb">
                  <v:stroke endarrow="open"/>
                </v:shape>
                <v:shape id="Textfeld 467" o:spid="_x0000_s1360" type="#_x0000_t202" style="position:absolute;top:57705;width:22459;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" filled="f" stroked="f">
                  <v:textbox>
                    <w:txbxContent>
                      <w:p w:rsidR="00AA4416" w:rsidRPr="00787FF8" w:rsidRDefault="00AA4416" w:rsidP="00A21536">
                        <w:pPr>
                          <w:pStyle w:val="NormalWeb"/>
                          <w:textAlignment w:val="baseline"/>
                        </w:pPr>
                        <w:r>
                          <w:rPr>
                            <w:rFonts w:ascii="Arial" w:hAnsi="Arial" w:cs="Arial"/>
                            <w:color w:val="000000" w:themeColor="text1"/>
                            <w:kern w:val="24"/>
                          </w:rPr>
                          <w:t>Schutzwand nicht</w:t>
                        </w:r>
                      </w:p>
                      <w:p w:rsidR="00AA4416" w:rsidRPr="00787FF8" w:rsidRDefault="00AA4416" w:rsidP="00A21536">
                        <w:pPr>
                          <w:pStyle w:val="NormalWeb"/>
                          <w:textAlignment w:val="baseline"/>
                        </w:pPr>
                        <w:r>
                          <w:rPr>
                            <w:rFonts w:ascii="Arial" w:hAnsi="Arial" w:cs="Arial"/>
                            <w:color w:val="000000" w:themeColor="text1"/>
                            <w:kern w:val="24"/>
                          </w:rPr>
                          <w:t>Außenwand der Wohnung</w:t>
                        </w:r>
                      </w:p>
                    </w:txbxContent>
                  </v:textbox>
                </v:shape>
                <v:group id="Gruppieren 45" o:spid="_x0000_s1361" style="position:absolute;left:36225;top:31241;width:43415;height:28639" coordorigin="36225,31241" coordsize="43422,2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">
                  <v:group id="Gruppieren 62" o:spid="_x0000_s1362" style="position:absolute;left:36225;top:31241;width:43422;height:28642" coordorigin="36225,31241" coordsize="43422,2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">
                    <v:rect id="Rectangle 93" o:spid="_x0000_s1363" alt="5%" style="position:absolute;left:63060;top:37460;width:1800;height:18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" strokecolor="#7030a0">
                      <v:fill r:id="rId26" o:title="5%" recolor="t" type="tile"/>
                    </v:rect>
                    <v:shape id="Text Box 14" o:spid="_x0000_s1364" type="#_x0000_t202" style="position:absolute;left:36225;top:54219;width:14842;height:3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" filled="f" stroked="f">
                      <v:textbox inset="2.108mm,1.054mm,2.108mm,1.054mm">
                        <w:txbxContent>
                          <w:p w:rsidR="00AA4416" w:rsidRDefault="00AA4416" w:rsidP="00A21536">
                            <w:pPr>
                              <w:pStyle w:val="NormalWeb"/>
                              <w:textAlignment w:val="baseline"/>
                            </w:pPr>
                            <w:r>
                              <w:rPr>
                                <w:rFonts w:ascii="Verdana" w:hAnsi="Verdana" w:cs="Arial"/>
                                <w:color w:val="000000" w:themeColor="text1"/>
                                <w:kern w:val="24"/>
                                <w:sz w:val="16"/>
                                <w:szCs w:val="16"/>
                              </w:rPr>
                              <w:t>äußeres Ladetankschott</w:t>
                            </w:r>
                          </w:p>
                        </w:txbxContent>
                      </v:textbox>
                    </v:shape>
                    <v:shape id="Gerade Verbindung mit Pfeil 72" o:spid="_x0000_s1365" type="#_x0000_t32" style="position:absolute;left:67616;top:34544;width:1318;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" strokecolor="#604a7b">
                      <v:stroke startarrow="block"/>
                    </v:shape>
                    <v:rect id="Rectangle 20" o:spid="_x0000_s1366" alt="5%" style="position:absolute;left:67106;top:33208;width:10571;height:1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" stroked="f">
                      <v:fill r:id="rId26" o:title="5%" recolor="t" type="tile"/>
                      <o:lock v:ext="edit" aspectratio="t"/>
                    </v:rect>
                    <v:line id="Gerade Verbindung 515" o:spid="_x0000_s1367" style="position:absolute;visibility:visible;mso-wrap-style:square" from="67219,34877" to="71173,34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" strokecolor="#953735"/>
                    <v:line id="Gerade Verbindung 516" o:spid="_x0000_s1368" style="position:absolute;visibility:visible;mso-wrap-style:square" from="66044,38942" to="67298,3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" strokecolor="#953735"/>
                    <v:rect id="Rectangle 20" o:spid="_x0000_s1369" alt="5%" style="position:absolute;left:51342;top:39232;width:13404;height:7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" stroked="f">
                      <v:fill r:id="rId26" o:title="5%" recolor="t" type="tile"/>
                    </v:rect>
                    <v:line id="Line 11" o:spid="_x0000_s1370" style="position:absolute;flip:y;visibility:visible;mso-wrap-style:square" from="49478,39905" to="49478,4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" strokecolor="#5f497a">
                      <v:stroke endarrow="block"/>
                    </v:line>
                    <v:line id="Line 12" o:spid="_x0000_s1371" style="position:absolute;visibility:visible;mso-wrap-style:square" from="49560,38051" to="49560,38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" strokecolor="#5f497a">
                      <v:stroke endarrow="block"/>
                    </v:line>
                    <v:shape id="Text Box 13" o:spid="_x0000_s1372" type="#_x0000_t202" style="position:absolute;left:49439;top:36996;width:5405;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" filled="f" stroked="f">
                      <o:lock v:ext="edit" aspectratio="t"/>
                      <v:textbox inset="2.108mm,1.054mm,2.108mm,1.054mm">
                        <w:txbxContent>
                          <w:p w:rsidR="00AA4416" w:rsidRDefault="00AA4416" w:rsidP="00A21536">
                            <w:pPr>
                              <w:pStyle w:val="NormalWeb"/>
                              <w:spacing w:after="200"/>
                              <w:textAlignment w:val="baseline"/>
                            </w:pPr>
                            <w:r>
                              <w:rPr>
                                <w:rFonts w:ascii="Arial" w:hAnsi="Arial" w:cs="Arial"/>
                                <w:color w:val="5F497A"/>
                                <w:kern w:val="24"/>
                                <w:sz w:val="18"/>
                                <w:szCs w:val="18"/>
                              </w:rPr>
                              <w:t>0,50 m</w:t>
                            </w:r>
                          </w:p>
                        </w:txbxContent>
                      </v:textbox>
                    </v:shape>
                    <v:shape id="Text Box 14" o:spid="_x0000_s1373" type="#_x0000_t202" style="position:absolute;left:56373;top:39917;width:5386;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" filled="f" stroked="f">
                      <o:lock v:ext="edit" aspectratio="t"/>
                      <v:textbox inset="2.108mm,1.054mm,2.108mm,1.054mm">
                        <w:txbxContent>
                          <w:p w:rsidR="00AA4416" w:rsidRDefault="00AA4416" w:rsidP="00A21536">
                            <w:pPr>
                              <w:pStyle w:val="NormalWeb"/>
                              <w:spacing w:after="200"/>
                              <w:textAlignment w:val="baseline"/>
                            </w:pPr>
                            <w:r>
                              <w:rPr>
                                <w:rFonts w:ascii="Arial" w:hAnsi="Arial" w:cs="Arial"/>
                                <w:color w:val="5F497A"/>
                                <w:kern w:val="24"/>
                                <w:sz w:val="18"/>
                                <w:szCs w:val="18"/>
                              </w:rPr>
                              <w:t>7,50 m</w:t>
                            </w:r>
                          </w:p>
                        </w:txbxContent>
                      </v:textbox>
                    </v:shape>
                    <v:line id="Line 10" o:spid="_x0000_s1374" style="position:absolute;flip:x;visibility:visible;mso-wrap-style:square" from="49556,39078" to="51091,3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">
                      <v:stroke dashstyle="1 1" endcap="round"/>
                    </v:line>
                    <v:group id="Gruppieren 82" o:spid="_x0000_s1375" style="position:absolute;left:41862;top:35869;width:23022;height:9092" coordorigin="41862,35869" coordsize="23022,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">
                      <v:line id="Line 76" o:spid="_x0000_s1376" style="position:absolute;visibility:visible;mso-wrap-style:square" from="44775,42325" to="47651,44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"/>
                      <v:line id="Line 77" o:spid="_x0000_s1377" style="position:absolute;visibility:visible;mso-wrap-style:square" from="42326,42317" to="44846,42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"/>
                      <v:line id="Line 78" o:spid="_x0000_s1378" style="position:absolute;visibility:visible;mso-wrap-style:square" from="41862,39831" to="42326,4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"/>
                      <v:line id="Line 81" o:spid="_x0000_s1379" style="position:absolute;flip:x;visibility:visible;mso-wrap-style:square" from="44617,36470" to="44764,3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"/>
                      <v:line id="Line 82" o:spid="_x0000_s1380" style="position:absolute;flip:y;visibility:visible;mso-wrap-style:square" from="44724,35869" to="64884,3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"/>
                      <v:line id="Line 79" o:spid="_x0000_s1381" style="position:absolute;visibility:visible;mso-wrap-style:square" from="41886,39919" to="64611,39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"/>
                    </v:group>
                    <v:group id="Gruppieren 83" o:spid="_x0000_s1382" style="position:absolute;left:47645;top:33282;width:17937;height:11659" coordorigin="47645,33272" coordsize="17730,1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">
                      <v:line id="Line 84" o:spid="_x0000_s1383" style="position:absolute;flip:y;visibility:visible;mso-wrap-style:square" from="59917,33299" to="65353,33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"/>
                      <v:line id="Line 85" o:spid="_x0000_s1384" style="position:absolute;visibility:visible;mso-wrap-style:square" from="59917,33272" to="59945,35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"/>
                      <v:line id="Line 86" o:spid="_x0000_s1385" style="position:absolute;flip:x;visibility:visible;mso-wrap-style:square" from="64737,33272" to="65375,35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"/>
                      <v:line id="Line 87" o:spid="_x0000_s1386" style="position:absolute;visibility:visible;mso-wrap-style:square" from="64757,35446" to="64757,35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"/>
                      <v:line id="Line 88" o:spid="_x0000_s1387" style="position:absolute;visibility:visible;mso-wrap-style:square" from="60219,35200" to="60219,36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"/>
                      <v:line id="Line 90" o:spid="_x0000_s1388" style="position:absolute;visibility:visible;mso-wrap-style:square" from="47645,44930" to="64694,4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"/>
                    </v:group>
                    <v:group id="Gruppieren 84" o:spid="_x0000_s1389" style="position:absolute;left:44950;top:34017;width:19081;height:3552" coordorigin="44950,34017" coordsize="19080,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">
                      <v:rect id="Rectangle 24" o:spid="_x0000_s1390" alt="Horizontal hell" style="position:absolute;left:60773;top:34017;width:3258;height:6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">
                        <v:fill r:id="rId27" o:title="Horizontal hell" recolor="t" type="tile"/>
                        <o:lock v:ext="edit" aspectratio="t"/>
                      </v:rect>
                      <v:rect id="Rectangle 92" o:spid="_x0000_s1391" alt="Horizontal hell" style="position:absolute;left:44950;top:36909;width:3243;height:6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">
                        <v:fill r:id="rId27" o:title="Horizontal hell" recolor="t" type="tile"/>
                        <o:lock v:ext="edit" aspectratio="t"/>
                      </v:rect>
                    </v:group>
                    <v:group id="Gruppieren 85" o:spid="_x0000_s1392" style="position:absolute;left:66046;top:33017;width:3620;height:6736" coordorigin="66046,33017" coordsize="2666,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">
                      <v:oval id="Oval 4" o:spid="_x0000_s1393" alt="5%" style="position:absolute;left:66046;top:33017;width:2666;height:26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" stroked="f">
                        <v:fill r:id="rId26" o:title="5%" recolor="t" type="tile"/>
                        <o:lock v:ext="edit" aspectratio="t"/>
                      </v:oval>
                      <v:rect id="Rectangle 93" o:spid="_x0000_s1394" alt="5%" style="position:absolute;left:66114;top:34080;width:1340;height:49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" stroked="f">
                        <v:fill r:id="rId26" o:title="5%" recolor="t" type="tile"/>
                        <o:lock v:ext="edit" aspectratio="t"/>
                      </v:rect>
                    </v:group>
                    <v:line id="Gerade Verbindung 527" o:spid="_x0000_s1395" style="position:absolute;flip:x;visibility:visible;mso-wrap-style:square" from="66155,34353" to="66203,37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" strokecolor="#604a7b"/>
                    <v:line id="Gerade Verbindung 528" o:spid="_x0000_s1396" style="position:absolute;visibility:visible;mso-wrap-style:square" from="67378,33115" to="78175,3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" strokecolor="#604a7b"/>
                    <v:shape id="Bogen 88" o:spid="_x0000_s1397" style="position:absolute;left:66203;top:33099;width:2874;height:2572;flip:x;visibility:visible;mso-wrap-style:square;v-text-anchor:middle" coordsize="287382,25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" path="m145361,9nsc224725,835,288310,59091,287372,130120l143691,128600c144248,85736,144804,42873,145361,9xem145361,9nfc224725,835,288310,59091,287372,130120e" filled="f" strokecolor="#604a7b">
                      <v:path arrowok="t" o:connecttype="custom" o:connectlocs="145361,9;287372,130120" o:connectangles="0,0"/>
                    </v:shape>
                    <v:shape id="_x0000_s1398" type="#_x0000_t202" style="position:absolute;left:67312;top:32924;width:5970;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" filled="f" stroked="f">
                      <o:lock v:ext="edit" aspectratio="t"/>
                      <v:textbox inset="2.108mm,1.054mm,2.108mm,1.054mm">
                        <w:txbxContent>
                          <w:p w:rsidR="00AA4416" w:rsidRDefault="00AA4416" w:rsidP="00A21536">
                            <w:pPr>
                              <w:pStyle w:val="NormalWeb"/>
                              <w:spacing w:after="200"/>
                              <w:textAlignment w:val="baseline"/>
                            </w:pPr>
                            <w:r>
                              <w:rPr>
                                <w:rFonts w:ascii="Arial" w:hAnsi="Arial" w:cstheme="minorBidi"/>
                                <w:color w:val="5F497A" w:themeColor="accent4" w:themeShade="BF"/>
                                <w:kern w:val="24"/>
                                <w:sz w:val="18"/>
                                <w:szCs w:val="18"/>
                              </w:rPr>
                              <w:t>1,00 m</w:t>
                            </w:r>
                          </w:p>
                        </w:txbxContent>
                      </v:textbox>
                    </v:shape>
                    <v:rect id="Rectangle 23" o:spid="_x0000_s1399" alt="25%" style="position:absolute;left:64853;top:39243;width:12750;height:56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" fillcolor="#943634" strokecolor="#953735">
                      <v:fill r:id="rId10" o:title="" type="pattern"/>
                      <o:lock v:ext="edit" aspectratio="t"/>
                    </v:rect>
                    <v:line id="Gerade Verbindung 532" o:spid="_x0000_s1400" style="position:absolute;flip:y;visibility:visible;mso-wrap-style:square" from="67775,34798" to="79302,3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" strokecolor="#953735"/>
                    <v:line id="Line 15" o:spid="_x0000_s1401" style="position:absolute;flip:x;visibility:visible;mso-wrap-style:square" from="51070,40287" to="64750,4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" strokecolor="#5f497a">
                      <v:stroke startarrow="block" endarrow="block"/>
                    </v:line>
                    <v:line id="Gerade Verbindung 534" o:spid="_x0000_s1402" style="position:absolute;rotation:-1;flip:x;visibility:visible;mso-wrap-style:square" from="51373,39116" to="63075,39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" strokecolor="#604a7b"/>
                    <v:line id="Gerade Verbindung 535" o:spid="_x0000_s1403" style="position:absolute;flip:x;visibility:visible;mso-wrap-style:square" from="51310,39132" to="51342,3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" strokecolor="#604a7b"/>
                    <v:rect id="Rectangle 23" o:spid="_x0000_s1404" alt="25%" style="position:absolute;left:67806;top:34875;width:11197;height:50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" stroked="f">
                      <v:fill r:id="rId28" o:title="25%" recolor="t" type="tile"/>
                      <o:lock v:ext="edit" aspectratio="t"/>
                    </v:rect>
                    <v:group id="Gruppieren 96" o:spid="_x0000_s1405" style="position:absolute;left:66002;top:37364;width:13224;height:6649" coordorigin="66002,37364" coordsize="13223,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">
                      <v:rect id="Rectangle 25" o:spid="_x0000_s1406" alt="Kugeln" style="position:absolute;left:66002;top:39261;width:11387;height:47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">
                        <v:fill r:id="rId29" o:title="Kugeln" recolor="t" type="tile"/>
                        <o:lock v:ext="edit" aspectratio="t"/>
                      </v:rect>
                      <v:rect id="Rectangle 47" o:spid="_x0000_s1407" alt="Kugeln" style="position:absolute;left:72386;top:37364;width:6840;height:7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">
                        <v:fill r:id="rId29" o:title="Kugeln" recolor="t" type="tile"/>
                        <o:lock v:ext="edit" aspectratio="t"/>
                      </v:rect>
                      <v:rect id="Rectangle 47" o:spid="_x0000_s1408" alt="Kugeln" style="position:absolute;left:76286;top:38065;width:649;height:11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" stroked="f">
                        <v:fill r:id="rId29" o:title="Kugeln" recolor="t" type="tile"/>
                        <o:lock v:ext="edit" aspectratio="t"/>
                      </v:rect>
                      <v:line id="Gerade Verbindung 563" o:spid="_x0000_s1409" style="position:absolute;visibility:visible;mso-wrap-style:square" from="76253,38053" to="76253,39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" strokecolor="windowText"/>
                      <v:line id="Gerade Verbindung 564" o:spid="_x0000_s1410" style="position:absolute;visibility:visible;mso-wrap-style:square" from="76936,38084" to="76936,39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" strokecolor="windowText"/>
                      <v:rect id="Rectangle 47" o:spid="_x0000_s1411" alt="Kugeln" style="position:absolute;left:73886;top:38369;width:643;height:1183;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" strokecolor="windowText">
                        <v:fill r:id="rId29" o:title="Kugeln" recolor="t" type="tile"/>
                        <o:lock v:ext="edit" aspectratio="t"/>
                      </v:rect>
                    </v:group>
                    <v:group id="Gruppieren 97" o:spid="_x0000_s1412" style="position:absolute;left:66259;top:33821;width:4446;height:111;rotation:-90" coordorigin="66410,33983" coordsize="444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">
                      <v:shape id="Gerade Verbindung mit Pfeil 117" o:spid="_x0000_s1413" type="#_x0000_t32" style="position:absolute;left:66410;top:33983;width:1318;height: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" strokecolor="#604a7b">
                        <v:stroke startarrow="block"/>
                      </v:shape>
                      <v:shape id="Gerade Verbindung mit Pfeil 118" o:spid="_x0000_s1414" type="#_x0000_t32" style="position:absolute;left:69538;top:34078;width:1318;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" strokecolor="#604a7b">
                        <v:stroke startarrow="block"/>
                      </v:shape>
                    </v:group>
                    <v:shape id="Gerade Verbindung mit Pfeil 98" o:spid="_x0000_s1415" type="#_x0000_t32" style="position:absolute;left:67838;top:37481;width:4637;height: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" strokecolor="#953735">
                      <v:stroke startarrow="block" endarrow="block"/>
                    </v:shape>
                    <v:shape id="_x0000_s1416" type="#_x0000_t202" style="position:absolute;left:67439;top:37417;width:5970;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" filled="f" stroked="f">
                      <o:lock v:ext="edit" aspectratio="t"/>
                      <v:textbox inset="2.108mm,1.054mm,2.108mm,1.054mm">
                        <w:txbxContent>
                          <w:p w:rsidR="00AA4416" w:rsidRDefault="00AA4416" w:rsidP="00A21536">
                            <w:pPr>
                              <w:pStyle w:val="NormalWeb"/>
                              <w:spacing w:after="200"/>
                              <w:textAlignment w:val="baseline"/>
                            </w:pPr>
                            <w:r>
                              <w:rPr>
                                <w:rFonts w:ascii="Arial" w:hAnsi="Arial" w:cstheme="minorBidi"/>
                                <w:color w:val="943634" w:themeColor="accent2" w:themeShade="BF"/>
                                <w:kern w:val="24"/>
                                <w:sz w:val="18"/>
                                <w:szCs w:val="18"/>
                                <w:u w:val="single"/>
                              </w:rPr>
                              <w:t>&gt;</w:t>
                            </w:r>
                            <w:r>
                              <w:rPr>
                                <w:rFonts w:ascii="Arial" w:hAnsi="Arial" w:cstheme="minorBidi"/>
                                <w:color w:val="943634" w:themeColor="accent2" w:themeShade="BF"/>
                                <w:kern w:val="24"/>
                                <w:sz w:val="18"/>
                                <w:szCs w:val="18"/>
                              </w:rPr>
                              <w:t>2,50 m</w:t>
                            </w:r>
                          </w:p>
                        </w:txbxContent>
                      </v:textbox>
                    </v:shape>
                    <v:shape id="AutoShape 68" o:spid="_x0000_s1417" type="#_x0000_t64" style="position:absolute;left:71667;top:38146;width:13436;height:2525;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">
                      <v:stroke dashstyle="1 1"/>
                      <o:lock v:ext="edit" aspectratio="t"/>
                    </v:shape>
                    <v:line id="Gerade Verbindung 542" o:spid="_x0000_s1418" style="position:absolute;rotation:3;flip:x;visibility:visible;mso-wrap-style:square" from="67743,34893" to="67838,3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" strokecolor="#953735"/>
                    <v:line id="Line 100" o:spid="_x0000_s1419" style="position:absolute;flip:x;visibility:visible;mso-wrap-style:square" from="49482,40704" to="65928,55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">
                      <v:stroke dashstyle="dashDot"/>
                    </v:line>
                    <v:group id="Gruppieren 103" o:spid="_x0000_s1420" style="position:absolute;left:60074;top:31241;width:5668;height:4827" coordorigin="60074,31242" coordsize="5668,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">
                      <v:line id="Line 84" o:spid="_x0000_s1421" style="position:absolute;flip:y;visibility:visible;mso-wrap-style:square" from="60074,31242" to="65742,3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" strokecolor="#595959">
                        <v:stroke dashstyle="longDash"/>
                      </v:line>
                      <v:line id="Line 85" o:spid="_x0000_s1422" style="position:absolute;visibility:visible;mso-wrap-style:square" from="60074,31289" to="60106,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" strokecolor="#595959">
                        <v:stroke dashstyle="longDash"/>
                      </v:line>
                      <v:line id="Line 86" o:spid="_x0000_s1423" style="position:absolute;rotation:-2;flip:x;visibility:visible;mso-wrap-style:square" from="64917,31273" to="65552,3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" strokecolor="#595959">
                        <v:stroke dashstyle="longDash"/>
                      </v:line>
                      <v:line id="Line 88" o:spid="_x0000_s1424" style="position:absolute;visibility:visible;mso-wrap-style:square" from="60376,33100" to="60376,3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" strokecolor="#595959">
                        <v:stroke dashstyle="longDash"/>
                      </v:line>
                      <v:rect id="Rectangle 24" o:spid="_x0000_s1425" alt="Horizontal hell" style="position:absolute;left:60884;top:32051;width:3271;height:6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" filled="f" strokecolor="#595959">
                        <v:stroke dashstyle="longDash"/>
                        <o:lock v:ext="edit" aspectratio="t"/>
                      </v:rect>
                      <v:line id="Line 83" o:spid="_x0000_s1426" style="position:absolute;rotation:8;flip:x;visibility:visible;mso-wrap-style:square" from="64726,33370" to="65092,3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" strokecolor="#595959">
                        <v:stroke dashstyle="longDash"/>
                      </v:line>
                    </v:group>
                    <v:line id="Gerade Verbindung 545" o:spid="_x0000_s1427" style="position:absolute;visibility:visible;mso-wrap-style:square" from="60090,35179" to="60376,3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" strokecolor="windowText"/>
                    <v:line id="Line 100" o:spid="_x0000_s1428" style="position:absolute;flip:x;visibility:visible;mso-wrap-style:square" from="50434,43943" to="64912,59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">
                      <v:stroke dashstyle="dashDot"/>
                    </v:line>
                    <v:group id="Gruppieren 106" o:spid="_x0000_s1429" style="position:absolute;left:62850;top:35528;width:5971;height:3487" coordorigin="62850,35528" coordsize="5970,3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">
                      <v:shape id="_x0000_s1430" type="#_x0000_t202" style="position:absolute;left:62850;top:35576;width:5971;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" filled="f" stroked="f">
                        <o:lock v:ext="edit" aspectratio="t"/>
                        <v:textbox inset="2.108mm,1.054mm,2.108mm,1.054mm">
                          <w:txbxContent>
                            <w:p w:rsidR="00AA4416" w:rsidRDefault="00AA4416" w:rsidP="00A21536">
                              <w:pPr>
                                <w:pStyle w:val="NormalWeb"/>
                                <w:spacing w:after="200"/>
                                <w:textAlignment w:val="baseline"/>
                              </w:pPr>
                              <w:r>
                                <w:rPr>
                                  <w:rFonts w:ascii="Arial" w:hAnsi="Arial" w:cstheme="minorBidi"/>
                                  <w:color w:val="595959" w:themeColor="text1" w:themeTint="A6"/>
                                  <w:kern w:val="24"/>
                                  <w:sz w:val="18"/>
                                  <w:szCs w:val="18"/>
                                  <w:u w:val="single"/>
                                </w:rPr>
                                <w:t>&gt;</w:t>
                              </w:r>
                              <w:r>
                                <w:rPr>
                                  <w:rFonts w:ascii="Arial" w:hAnsi="Arial" w:cstheme="minorBidi"/>
                                  <w:color w:val="595959" w:themeColor="text1" w:themeTint="A6"/>
                                  <w:kern w:val="24"/>
                                  <w:sz w:val="18"/>
                                  <w:szCs w:val="18"/>
                                </w:rPr>
                                <w:t>0,60 m</w:t>
                              </w:r>
                            </w:p>
                          </w:txbxContent>
                        </v:textbox>
                      </v:shape>
                      <v:shape id="Gerade Verbindung mit Pfeil 109" o:spid="_x0000_s1431" type="#_x0000_t32" style="position:absolute;left:66076;top:35560;width:1318;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" strokecolor="#595959">
                        <v:stroke startarrow="block"/>
                      </v:shape>
                      <v:shape id="Gerade Verbindung mit Pfeil 110" o:spid="_x0000_s1432" type="#_x0000_t32" style="position:absolute;left:63853;top:35528;width:1302;height: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" strokecolor="#595959">
                        <v:stroke startarrow="block"/>
                      </v:shape>
                    </v:group>
                    <v:line id="Gerade Verbindung 548" o:spid="_x0000_s1433" style="position:absolute;rotation:-90;visibility:visible;mso-wrap-style:square" from="65497,36726" to="65497,3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" strokecolor="#7030a0"/>
                  </v:group>
                  <v:rect id="Rectangle 93" o:spid="_x0000_s1434" alt="5%" style="position:absolute;left:64801;top:37527;width:1800;height:1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" stroked="f">
                    <v:fill r:id="rId26" o:title="5%" recolor="t" type="tile"/>
                  </v:rect>
                  <v:group id="Gruppieren 64" o:spid="_x0000_s1435" style="position:absolute;left:66076;top:38751;width:2239;height:715" coordorigin="66076,38751" coordsize="2238,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">
                    <v:rect id="Rectangle 23" o:spid="_x0000_s1436" alt="25%" style="position:absolute;left:66155;top:38830;width:2160;height:4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" fillcolor="#943634" stroked="f">
                      <v:fill r:id="rId10" o:title="" type="pattern"/>
                    </v:rect>
                    <v:line id="Gerade Verbindung 509" o:spid="_x0000_s1437" style="position:absolute;rotation:9;flip:x;visibility:visible;mso-wrap-style:square" from="66076,38751" to="66171,3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" strokecolor="#953735"/>
                    <v:line id="Gerade Verbindung 510" o:spid="_x0000_s1438" style="position:absolute;flip:y;visibility:visible;mso-wrap-style:square" from="66092,38751" to="67902,38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" strokecolor="#953735"/>
                  </v:group>
                  <v:line id="Gerade Verbindung 506" o:spid="_x0000_s1439" style="position:absolute;flip:x;visibility:visible;mso-wrap-style:square" from="66092,38926" to="66139,39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" strokecolor="windowText" strokeweight="3pt"/>
                  <v:line id="Gerade Verbindung 507" o:spid="_x0000_s1440" style="position:absolute;flip:x;visibility:visible;mso-wrap-style:square" from="64837,35925" to="64885,3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" strokecolor="windowText"/>
                </v:group>
                <v:shape id="Gerade Verbindung mit Pfeil 46" o:spid="_x0000_s1441" type="#_x0000_t32" style="position:absolute;left:53228;top:19304;width:11669;height:58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" strokecolor="#4a7ebb">
                  <v:stroke endarrow="open"/>
                </v:shape>
                <v:shape id="Textfeld 467" o:spid="_x0000_s1442" type="#_x0000_t202" style="position:absolute;left:63339;top:57642;width:22460;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" filled="f" stroked="f">
                  <v:textbox>
                    <w:txbxContent>
                      <w:p w:rsidR="00AA4416" w:rsidRPr="00787FF8" w:rsidRDefault="00AA4416" w:rsidP="00A21536">
                        <w:pPr>
                          <w:pStyle w:val="NormalWeb"/>
                          <w:textAlignment w:val="baseline"/>
                        </w:pPr>
                        <w:r>
                          <w:rPr>
                            <w:rFonts w:ascii="Arial" w:hAnsi="Arial" w:cs="Arial"/>
                            <w:color w:val="000000" w:themeColor="text1"/>
                            <w:kern w:val="24"/>
                          </w:rPr>
                          <w:t>Schutzwand</w:t>
                        </w:r>
                      </w:p>
                      <w:p w:rsidR="00AA4416" w:rsidRPr="00787FF8" w:rsidRDefault="00AA4416" w:rsidP="00A21536">
                        <w:pPr>
                          <w:pStyle w:val="NormalWeb"/>
                          <w:textAlignment w:val="baseline"/>
                        </w:pPr>
                        <w:r>
                          <w:rPr>
                            <w:rFonts w:ascii="Arial" w:hAnsi="Arial" w:cs="Arial"/>
                            <w:color w:val="000000" w:themeColor="text1"/>
                            <w:kern w:val="24"/>
                          </w:rPr>
                          <w:t>Außenwand der Wohnung</w:t>
                        </w:r>
                      </w:p>
                    </w:txbxContent>
                  </v:textbox>
                </v:shape>
                <v:line id="Gerade Verbindung 503" o:spid="_x0000_s1443" style="position:absolute;flip:x;visibility:visible;mso-wrap-style:square" from="64785,19510" to="64928,5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" strokecolor="#1f497d">
                  <v:stroke dashstyle="dash"/>
                </v:line>
                <v:shape id="Text Box 99" o:spid="_x0000_s1444" type="#_x0000_t202" style="position:absolute;left:34080;top:48085;width:18430;height:5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" filled="f" stroked="f">
                  <v:textbox inset="2.108mm,1.054mm,2.108mm,1.054mm">
                    <w:txbxContent>
                      <w:p w:rsidR="00AA4416" w:rsidRPr="00880157" w:rsidRDefault="00AA4416" w:rsidP="00A21536">
                        <w:pPr>
                          <w:pStyle w:val="NormalWeb"/>
                          <w:spacing w:after="200"/>
                          <w:jc w:val="center"/>
                          <w:textAlignment w:val="baseline"/>
                          <w:rPr>
                            <w:lang w:val="de-DE"/>
                          </w:rPr>
                        </w:pPr>
                        <w:r w:rsidRPr="00BA6439">
                          <w:rPr>
                            <w:rFonts w:ascii="Verdana" w:hAnsi="Verdana" w:cs="Arial"/>
                            <w:color w:val="000000"/>
                            <w:kern w:val="24"/>
                            <w:sz w:val="16"/>
                            <w:szCs w:val="16"/>
                            <w:lang w:val="de-DE"/>
                          </w:rPr>
                          <w:t>Schutzsüll; gas- und flüssigkeitsdicht </w:t>
                        </w:r>
                        <w:r>
                          <w:rPr>
                            <w:rFonts w:ascii="Verdana" w:hAnsi="Verdana" w:cs="Arial"/>
                            <w:color w:val="000000"/>
                            <w:kern w:val="24"/>
                            <w:sz w:val="16"/>
                            <w:szCs w:val="16"/>
                            <w:lang w:val="de-DE"/>
                          </w:rPr>
                          <w:br/>
                        </w:r>
                        <w:r w:rsidRPr="00BA6439">
                          <w:rPr>
                            <w:rFonts w:ascii="Verdana" w:hAnsi="Verdana" w:cs="Arial"/>
                            <w:color w:val="000000"/>
                            <w:kern w:val="24"/>
                            <w:sz w:val="16"/>
                            <w:szCs w:val="16"/>
                            <w:lang w:val="de-DE"/>
                          </w:rPr>
                          <w:t xml:space="preserve">h: </w:t>
                        </w:r>
                        <w:r w:rsidRPr="00597467">
                          <w:rPr>
                            <w:rFonts w:ascii="Verdana" w:hAnsi="Verdana" w:cs="Arial"/>
                            <w:color w:val="000000"/>
                            <w:kern w:val="24"/>
                            <w:sz w:val="16"/>
                            <w:szCs w:val="16"/>
                            <w:u w:val="single"/>
                            <w:lang w:val="de-DE"/>
                          </w:rPr>
                          <w:t>&gt;</w:t>
                        </w:r>
                        <w:r w:rsidRPr="00BA6439">
                          <w:rPr>
                            <w:rFonts w:ascii="Verdana" w:hAnsi="Verdana" w:cs="Arial"/>
                            <w:color w:val="000000"/>
                            <w:kern w:val="24"/>
                            <w:sz w:val="16"/>
                            <w:szCs w:val="16"/>
                            <w:lang w:val="de-DE"/>
                          </w:rPr>
                          <w:t xml:space="preserve"> 0,075 m</w:t>
                        </w:r>
                      </w:p>
                      <w:p w:rsidR="00AA4416" w:rsidRPr="00787FF8" w:rsidRDefault="00AA4416" w:rsidP="00A21536">
                        <w:pPr>
                          <w:pStyle w:val="NormalWeb"/>
                          <w:spacing w:after="200"/>
                          <w:jc w:val="center"/>
                          <w:textAlignment w:val="baseline"/>
                          <w:rPr>
                            <w:lang w:val="de-DE"/>
                          </w:rPr>
                        </w:pPr>
                      </w:p>
                    </w:txbxContent>
                  </v:textbox>
                </v:shape>
                <v:line id="Line 100" o:spid="_x0000_s1445" style="position:absolute;flip:x;visibility:visible;mso-wrap-style:square" from="50625,39179" to="65928,5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">
                  <v:stroke dashstyle="dashDot"/>
                </v:line>
                <v:line id="Line 100" o:spid="_x0000_s1446" style="position:absolute;visibility:visible;mso-wrap-style:square" from="26177,38671" to="36718,4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">
                  <v:stroke dashstyle="dashDot"/>
                </v:line>
                <v:group id="Gruppieren 53" o:spid="_x0000_s1447" style="position:absolute;left:74787;top:4222;width:11012;height:2667" coordorigin="74787,4222" coordsize="11009,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">
                  <v:rect id="Rectangle 220" o:spid="_x0000_s1448" alt="Kugeln" style="position:absolute;left:74787;top:4819;width:2698;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" strokecolor="#548dd4">
                    <v:fill r:id="rId33" o:title="Kugeln" recolor="t" type="tile"/>
                  </v:rect>
                  <v:shape id="Textfeld 205" o:spid="_x0000_s1449" type="#_x0000_t202" style="position:absolute;left:79099;top:4222;width:6698;height:2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" filled="f" stroked="f">
                    <v:textbox>
                      <w:txbxContent>
                        <w:p w:rsidR="00AA4416" w:rsidRDefault="00AA4416" w:rsidP="00A21536">
                          <w:pPr>
                            <w:pStyle w:val="NormalWeb"/>
                            <w:kinsoku w:val="0"/>
                            <w:overflowPunct w:val="0"/>
                            <w:textAlignment w:val="baseline"/>
                          </w:pPr>
                          <w:r>
                            <w:rPr>
                              <w:rFonts w:ascii="Arial" w:hAnsi="Arial" w:cs="Arial"/>
                              <w:color w:val="000000" w:themeColor="text1"/>
                              <w:kern w:val="24"/>
                            </w:rPr>
                            <w:t>Zone 0</w:t>
                          </w:r>
                        </w:p>
                      </w:txbxContent>
                    </v:textbox>
                  </v:shape>
                </v:group>
                <v:group id="Gruppieren 54" o:spid="_x0000_s1450" style="position:absolute;left:74945;top:6905;width:10697;height:2667" coordorigin="74945,6905" coordsize="10692,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">
                  <v:rect id="Rectangle 221" o:spid="_x0000_s1451" alt="50%" style="position:absolute;left:74945;top:7437;width:269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" strokecolor="#943634">
                    <v:fill r:id="rId34" o:title="50%" recolor="t" type="tile"/>
                  </v:rect>
                  <v:shape id="Textfeld 208" o:spid="_x0000_s1452" type="#_x0000_t202" style="position:absolute;left:79062;top:6905;width:6576;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" filled="f" stroked="f">
                    <v:textbox>
                      <w:txbxContent>
                        <w:p w:rsidR="00AA4416" w:rsidRDefault="00AA4416" w:rsidP="00A21536">
                          <w:pPr>
                            <w:pStyle w:val="NormalWeb"/>
                            <w:kinsoku w:val="0"/>
                            <w:overflowPunct w:val="0"/>
                            <w:textAlignment w:val="baseline"/>
                          </w:pPr>
                          <w:r>
                            <w:rPr>
                              <w:rFonts w:ascii="Arial" w:hAnsi="Arial" w:cs="Arial"/>
                              <w:color w:val="000000" w:themeColor="text1"/>
                              <w:kern w:val="24"/>
                            </w:rPr>
                            <w:t>Zone 1</w:t>
                          </w:r>
                        </w:p>
                      </w:txbxContent>
                    </v:textbox>
                  </v:shape>
                </v:group>
                <v:group id="Gruppieren 55" o:spid="_x0000_s1453" style="position:absolute;left:74977;top:9429;width:10526;height:2667" coordorigin="74977,9429" coordsize="10527,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">
                  <v:rect id="Rectangle 219" o:spid="_x0000_s1454" alt="5%" style="position:absolute;left:74977;top:9996;width:2699;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" strokecolor="#5f497a">
                    <v:fill r:id="rId35" o:title="5%" recolor="t" type="tile"/>
                  </v:rect>
                  <v:shape id="Textfeld 211" o:spid="_x0000_s1455" type="#_x0000_t202" style="position:absolute;left:78925;top:9429;width:6579;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" filled="f" stroked="f">
                    <v:textbox>
                      <w:txbxContent>
                        <w:p w:rsidR="00AA4416" w:rsidRDefault="00AA4416" w:rsidP="00A21536">
                          <w:pPr>
                            <w:pStyle w:val="NormalWeb"/>
                            <w:kinsoku w:val="0"/>
                            <w:overflowPunct w:val="0"/>
                            <w:textAlignment w:val="baseline"/>
                          </w:pPr>
                          <w:r>
                            <w:rPr>
                              <w:rFonts w:ascii="Arial" w:hAnsi="Arial" w:cs="Arial"/>
                              <w:color w:val="000000" w:themeColor="text1"/>
                              <w:kern w:val="24"/>
                            </w:rPr>
                            <w:t>Zone 2</w:t>
                          </w:r>
                        </w:p>
                      </w:txbxContent>
                    </v:textbox>
                  </v:shape>
                </v:group>
                <w10:wrap anchorx="margin"/>
              </v:group>
            </w:pict>
          </mc:Fallback>
        </mc:AlternateContent>
      </w:r>
      <w:r w:rsidRPr="00DD2A86">
        <w:rPr>
          <w:rFonts w:eastAsia="Calibri"/>
          <w:b/>
          <w:sz w:val="28"/>
          <w:szCs w:val="28"/>
          <w:lang w:val="de-DE"/>
        </w:rPr>
        <w:br w:type="page"/>
      </w:r>
    </w:p>
    <w:p w:rsidR="00A21536" w:rsidRPr="00DD2A86" w:rsidRDefault="00A21536" w:rsidP="00A21536">
      <w:pPr>
        <w:jc w:val="right"/>
      </w:pPr>
      <w:r w:rsidRPr="00DD2A86">
        <w:rPr>
          <w:noProof/>
          <w:lang w:val="fr-FR" w:eastAsia="fr-FR"/>
        </w:rPr>
        <mc:AlternateContent>
          <mc:Choice Requires="wps">
            <w:drawing>
              <wp:anchor distT="0" distB="0" distL="114300" distR="114300" simplePos="0" relativeHeight="251713536" behindDoc="0" locked="0" layoutInCell="1" allowOverlap="1" wp14:anchorId="7D16685A" wp14:editId="5FAE5083">
                <wp:simplePos x="0" y="0"/>
                <wp:positionH relativeFrom="column">
                  <wp:posOffset>3542854</wp:posOffset>
                </wp:positionH>
                <wp:positionV relativeFrom="paragraph">
                  <wp:posOffset>3206920</wp:posOffset>
                </wp:positionV>
                <wp:extent cx="666288" cy="299408"/>
                <wp:effectExtent l="0" t="0" r="0" b="5715"/>
                <wp:wrapNone/>
                <wp:docPr id="2815" name="Text Box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66288" cy="299408"/>
                        </a:xfrm>
                        <a:prstGeom prst="rect">
                          <a:avLst/>
                        </a:prstGeom>
                        <a:noFill/>
                        <a:ln w="9525">
                          <a:noFill/>
                          <a:miter lim="800000"/>
                          <a:headEnd/>
                          <a:tailEnd/>
                        </a:ln>
                      </wps:spPr>
                      <wps:txbx>
                        <w:txbxContent>
                          <w:p w:rsidR="00AA4416" w:rsidRDefault="00AA4416" w:rsidP="00A21536">
                            <w:pPr>
                              <w:spacing w:after="200"/>
                              <w:textAlignment w:val="baseline"/>
                            </w:pPr>
                            <w:r w:rsidRPr="00993052">
                              <w:t>&gt; 2,50 m</w:t>
                            </w:r>
                          </w:p>
                        </w:txbxContent>
                      </wps:txbx>
                      <wps:bodyPr wrap="square" lIns="75888" tIns="37944" rIns="75888" bIns="37944">
                        <a:noAutofit/>
                      </wps:bodyPr>
                    </wps:wsp>
                  </a:graphicData>
                </a:graphic>
                <wp14:sizeRelH relativeFrom="margin">
                  <wp14:pctWidth>0</wp14:pctWidth>
                </wp14:sizeRelH>
              </wp:anchor>
            </w:drawing>
          </mc:Choice>
          <mc:Fallback>
            <w:pict>
              <v:shape w14:anchorId="7D16685A" id="Text Box 63" o:spid="_x0000_s1456" type="#_x0000_t202" style="position:absolute;left:0;text-align:left;margin-left:278.95pt;margin-top:252.5pt;width:52.45pt;height:23.6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" filled="f" stroked="f">
                <o:lock v:ext="edit" aspectratio="t"/>
                <v:textbox inset="2.108mm,1.054mm,2.108mm,1.054mm">
                  <w:txbxContent>
                    <w:p w:rsidR="00AA4416" w:rsidRDefault="00AA4416" w:rsidP="00A21536">
                      <w:pPr>
                        <w:spacing w:after="200"/>
                        <w:textAlignment w:val="baseline"/>
                      </w:pPr>
                      <w:r w:rsidRPr="00993052">
                        <w:t>&gt; 2,50 m</w:t>
                      </w:r>
                    </w:p>
                  </w:txbxContent>
                </v:textbox>
              </v:shape>
            </w:pict>
          </mc:Fallback>
        </mc:AlternateContent>
      </w:r>
      <w:r w:rsidRPr="00DD2A86">
        <w:rPr>
          <w:noProof/>
          <w:lang w:val="fr-FR" w:eastAsia="fr-FR"/>
        </w:rPr>
        <mc:AlternateContent>
          <mc:Choice Requires="wpg">
            <w:drawing>
              <wp:inline distT="0" distB="0" distL="0" distR="0" wp14:anchorId="3D53892E" wp14:editId="48C29083">
                <wp:extent cx="8173085" cy="5573675"/>
                <wp:effectExtent l="0" t="0" r="0" b="0"/>
                <wp:docPr id="2816" name="Gruppieren 212"/>
                <wp:cNvGraphicFramePr/>
                <a:graphic xmlns:a="http://schemas.openxmlformats.org/drawingml/2006/main">
                  <a:graphicData uri="http://schemas.microsoft.com/office/word/2010/wordprocessingGroup">
                    <wpg:wgp>
                      <wpg:cNvGrpSpPr/>
                      <wpg:grpSpPr bwMode="auto">
                        <a:xfrm>
                          <a:off x="0" y="0"/>
                          <a:ext cx="8173085" cy="5573675"/>
                          <a:chOff x="0" y="0"/>
                          <a:chExt cx="8598155" cy="6400800"/>
                        </a:xfrm>
                      </wpg:grpSpPr>
                      <wps:wsp>
                        <wps:cNvPr id="2817" name="Textfeld 466"/>
                        <wps:cNvSpPr txBox="1">
                          <a:spLocks noChangeArrowheads="1"/>
                        </wps:cNvSpPr>
                        <wps:spPr bwMode="auto">
                          <a:xfrm>
                            <a:off x="3032705" y="481769"/>
                            <a:ext cx="4082079" cy="685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Pr="00050DB5" w:rsidRDefault="00AA4416" w:rsidP="00A00B82">
                              <w:pPr>
                                <w:pStyle w:val="NormalWeb"/>
                                <w:jc w:val="center"/>
                                <w:textAlignment w:val="baseline"/>
                                <w:rPr>
                                  <w:rFonts w:ascii="Arial" w:hAnsi="Arial" w:cs="Arial"/>
                                  <w:b/>
                                  <w:sz w:val="28"/>
                                  <w:szCs w:val="28"/>
                                  <w:lang w:val="de-DE"/>
                                </w:rPr>
                              </w:pPr>
                              <w:r w:rsidRPr="00A00B82">
                                <w:rPr>
                                  <w:rFonts w:ascii="Arial" w:hAnsi="Arial" w:cs="Arial"/>
                                  <w:b/>
                                  <w:lang w:val="de-DE"/>
                                </w:rPr>
                                <w:t xml:space="preserve">Tankschiff mit Aufstellungsraum </w:t>
                              </w:r>
                              <w:r w:rsidRPr="00A00B82">
                                <w:rPr>
                                  <w:rFonts w:ascii="Arial" w:hAnsi="Arial" w:cs="Arial"/>
                                  <w:b/>
                                  <w:color w:val="000000" w:themeColor="text1"/>
                                  <w:kern w:val="24"/>
                                  <w:lang w:val="de-DE"/>
                                </w:rPr>
                                <w:t>Betriebsraum im Kofferdamm</w:t>
                              </w:r>
                            </w:p>
                          </w:txbxContent>
                        </wps:txbx>
                        <wps:bodyPr wrap="square">
                          <a:noAutofit/>
                        </wps:bodyPr>
                      </wps:wsp>
                      <wps:wsp>
                        <wps:cNvPr id="2818" name="Rectangle 20" descr="5%"/>
                        <wps:cNvSpPr>
                          <a:spLocks noChangeAspect="1" noChangeArrowheads="1"/>
                        </wps:cNvSpPr>
                        <wps:spPr bwMode="auto">
                          <a:xfrm>
                            <a:off x="2490787" y="3698875"/>
                            <a:ext cx="109538" cy="173038"/>
                          </a:xfrm>
                          <a:prstGeom prst="rect">
                            <a:avLst/>
                          </a:prstGeom>
                          <a:blipFill dpi="0" rotWithShape="0">
                            <a:blip r:embed="rId17"/>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819" name="Line 6"/>
                        <wps:cNvCnPr/>
                        <wps:spPr bwMode="auto">
                          <a:xfrm>
                            <a:off x="153987"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0" name="Line 100"/>
                        <wps:cNvCnPr/>
                        <wps:spPr bwMode="auto">
                          <a:xfrm flipH="1">
                            <a:off x="1900237" y="2063750"/>
                            <a:ext cx="508000" cy="280988"/>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821" name="Text Box 63"/>
                        <wps:cNvSpPr txBox="1">
                          <a:spLocks noChangeAspect="1" noChangeArrowheads="1"/>
                        </wps:cNvSpPr>
                        <wps:spPr bwMode="auto">
                          <a:xfrm>
                            <a:off x="1499354" y="1087936"/>
                            <a:ext cx="1020885" cy="373066"/>
                          </a:xfrm>
                          <a:prstGeom prst="rect">
                            <a:avLst/>
                          </a:prstGeom>
                          <a:noFill/>
                          <a:ln w="9525">
                            <a:noFill/>
                            <a:miter lim="800000"/>
                            <a:headEnd/>
                            <a:tailEnd/>
                          </a:ln>
                        </wps:spPr>
                        <wps:txbx>
                          <w:txbxContent>
                            <w:p w:rsidR="00103305" w:rsidRPr="00103305" w:rsidRDefault="00103305" w:rsidP="00103305">
                              <w:pPr>
                                <w:pStyle w:val="NormalWeb"/>
                                <w:jc w:val="right"/>
                                <w:rPr>
                                  <w:rFonts w:ascii="Arial" w:hAnsi="Arial" w:cstheme="minorBidi"/>
                                  <w:color w:val="7F7F7F" w:themeColor="text1" w:themeTint="80"/>
                                  <w:kern w:val="24"/>
                                  <w:sz w:val="22"/>
                                  <w:szCs w:val="22"/>
                                </w:rPr>
                              </w:pPr>
                              <w:r w:rsidRPr="00103305">
                                <w:rPr>
                                  <w:rFonts w:ascii="Arial" w:hAnsi="Arial" w:cstheme="minorBidi"/>
                                  <w:color w:val="7F7F7F" w:themeColor="text1" w:themeTint="80"/>
                                  <w:kern w:val="24"/>
                                  <w:sz w:val="22"/>
                                  <w:szCs w:val="22"/>
                                  <w:u w:val="single"/>
                                </w:rPr>
                                <w:t>&gt;</w:t>
                              </w:r>
                              <w:r w:rsidRPr="00103305">
                                <w:rPr>
                                  <w:rFonts w:ascii="Arial" w:hAnsi="Arial" w:cstheme="minorBidi"/>
                                  <w:color w:val="7F7F7F" w:themeColor="text1" w:themeTint="80"/>
                                  <w:kern w:val="24"/>
                                  <w:sz w:val="22"/>
                                  <w:szCs w:val="22"/>
                                </w:rPr>
                                <w:t>1,00 m</w:t>
                              </w:r>
                            </w:p>
                            <w:p w:rsidR="00AA4416" w:rsidRPr="00BA1F0F" w:rsidRDefault="00AA4416" w:rsidP="00FB6473">
                              <w:pPr>
                                <w:pStyle w:val="NormalWeb"/>
                                <w:spacing w:after="200"/>
                                <w:jc w:val="right"/>
                                <w:textAlignment w:val="baseline"/>
                                <w:rPr>
                                  <w:rFonts w:ascii="Arial" w:hAnsi="Arial" w:cstheme="minorBidi"/>
                                  <w:color w:val="7F7F7F" w:themeColor="text1" w:themeTint="80"/>
                                  <w:kern w:val="24"/>
                                  <w:sz w:val="22"/>
                                  <w:szCs w:val="22"/>
                                </w:rPr>
                              </w:pPr>
                            </w:p>
                          </w:txbxContent>
                        </wps:txbx>
                        <wps:bodyPr wrap="square" lIns="75888" tIns="37944" rIns="75888" bIns="37944">
                          <a:noAutofit/>
                        </wps:bodyPr>
                      </wps:wsp>
                      <wpg:grpSp>
                        <wpg:cNvPr id="2822" name="Group 20"/>
                        <wpg:cNvGrpSpPr>
                          <a:grpSpLocks/>
                        </wpg:cNvGrpSpPr>
                        <wpg:grpSpPr bwMode="auto">
                          <a:xfrm>
                            <a:off x="246157" y="1352550"/>
                            <a:ext cx="2374884" cy="746125"/>
                            <a:chOff x="246062" y="1352550"/>
                            <a:chExt cx="3741" cy="1175"/>
                          </a:xfrm>
                        </wpg:grpSpPr>
                        <wps:wsp>
                          <wps:cNvPr id="2823" name="Rectangle 21"/>
                          <wps:cNvSpPr>
                            <a:spLocks noChangeArrowheads="1"/>
                          </wps:cNvSpPr>
                          <wps:spPr bwMode="auto">
                            <a:xfrm>
                              <a:off x="247477" y="1352738"/>
                              <a:ext cx="2112" cy="987"/>
                            </a:xfrm>
                            <a:prstGeom prst="rect">
                              <a:avLst/>
                            </a:prstGeom>
                            <a:solidFill>
                              <a:srgbClr val="FFFFFF"/>
                            </a:solidFill>
                            <a:ln w="9525">
                              <a:solidFill>
                                <a:srgbClr val="000000"/>
                              </a:solidFill>
                              <a:miter lim="800000"/>
                              <a:headEnd/>
                              <a:tailEnd/>
                            </a:ln>
                          </wps:spPr>
                          <wps:bodyPr/>
                        </wps:wsp>
                        <wps:wsp>
                          <wps:cNvPr id="2824" name="Arc 22"/>
                          <wps:cNvSpPr>
                            <a:spLocks/>
                          </wps:cNvSpPr>
                          <wps:spPr bwMode="auto">
                            <a:xfrm rot="10671234" flipV="1">
                              <a:off x="246070" y="1352760"/>
                              <a:ext cx="1398" cy="241"/>
                            </a:xfrm>
                            <a:custGeom>
                              <a:avLst/>
                              <a:gdLst>
                                <a:gd name="T0" fmla="*/ 0 w 22687"/>
                                <a:gd name="T1" fmla="*/ 0 h 21600"/>
                                <a:gd name="T2" fmla="*/ 0 w 22687"/>
                                <a:gd name="T3" fmla="*/ 0 h 21600"/>
                                <a:gd name="T4" fmla="*/ 0 w 22687"/>
                                <a:gd name="T5" fmla="*/ 0 h 21600"/>
                                <a:gd name="T6" fmla="*/ 0 60000 65536"/>
                                <a:gd name="T7" fmla="*/ 0 60000 65536"/>
                                <a:gd name="T8" fmla="*/ 0 60000 65536"/>
                                <a:gd name="T9" fmla="*/ 0 w 22687"/>
                                <a:gd name="T10" fmla="*/ 0 h 21600"/>
                                <a:gd name="T11" fmla="*/ 22687 w 22687"/>
                                <a:gd name="T12" fmla="*/ 21600 h 21600"/>
                              </a:gdLst>
                              <a:ahLst/>
                              <a:cxnLst>
                                <a:cxn ang="T6">
                                  <a:pos x="T0" y="T1"/>
                                </a:cxn>
                                <a:cxn ang="T7">
                                  <a:pos x="T2" y="T3"/>
                                </a:cxn>
                                <a:cxn ang="T8">
                                  <a:pos x="T4" y="T5"/>
                                </a:cxn>
                              </a:cxnLst>
                              <a:rect l="T9" t="T10" r="T11" b="T12"/>
                              <a:pathLst>
                                <a:path w="22687" h="21600" fill="none" extrusionOk="0">
                                  <a:moveTo>
                                    <a:pt x="0" y="27"/>
                                  </a:moveTo>
                                  <a:cubicBezTo>
                                    <a:pt x="362" y="9"/>
                                    <a:pt x="724" y="-1"/>
                                    <a:pt x="1087" y="0"/>
                                  </a:cubicBezTo>
                                  <a:cubicBezTo>
                                    <a:pt x="13016" y="0"/>
                                    <a:pt x="22687" y="9670"/>
                                    <a:pt x="22687" y="21600"/>
                                  </a:cubicBezTo>
                                </a:path>
                                <a:path w="22687" h="21600" stroke="0" extrusionOk="0">
                                  <a:moveTo>
                                    <a:pt x="0" y="27"/>
                                  </a:moveTo>
                                  <a:cubicBezTo>
                                    <a:pt x="362" y="9"/>
                                    <a:pt x="724" y="-1"/>
                                    <a:pt x="1087" y="0"/>
                                  </a:cubicBezTo>
                                  <a:cubicBezTo>
                                    <a:pt x="13016" y="0"/>
                                    <a:pt x="22687" y="9670"/>
                                    <a:pt x="22687" y="21600"/>
                                  </a:cubicBezTo>
                                  <a:lnTo>
                                    <a:pt x="1087" y="21600"/>
                                  </a:lnTo>
                                  <a:lnTo>
                                    <a:pt x="0" y="2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2825" name="Arc 23"/>
                          <wps:cNvSpPr>
                            <a:spLocks/>
                          </wps:cNvSpPr>
                          <wps:spPr bwMode="auto">
                            <a:xfrm rot="-10671234">
                              <a:off x="246062" y="1353457"/>
                              <a:ext cx="1398" cy="241"/>
                            </a:xfrm>
                            <a:custGeom>
                              <a:avLst/>
                              <a:gdLst>
                                <a:gd name="T0" fmla="*/ 0 w 22687"/>
                                <a:gd name="T1" fmla="*/ 0 h 21600"/>
                                <a:gd name="T2" fmla="*/ 0 w 22687"/>
                                <a:gd name="T3" fmla="*/ 0 h 21600"/>
                                <a:gd name="T4" fmla="*/ 0 w 22687"/>
                                <a:gd name="T5" fmla="*/ 0 h 21600"/>
                                <a:gd name="T6" fmla="*/ 0 60000 65536"/>
                                <a:gd name="T7" fmla="*/ 0 60000 65536"/>
                                <a:gd name="T8" fmla="*/ 0 60000 65536"/>
                                <a:gd name="T9" fmla="*/ 0 w 22687"/>
                                <a:gd name="T10" fmla="*/ 0 h 21600"/>
                                <a:gd name="T11" fmla="*/ 22687 w 22687"/>
                                <a:gd name="T12" fmla="*/ 21600 h 21600"/>
                              </a:gdLst>
                              <a:ahLst/>
                              <a:cxnLst>
                                <a:cxn ang="T6">
                                  <a:pos x="T0" y="T1"/>
                                </a:cxn>
                                <a:cxn ang="T7">
                                  <a:pos x="T2" y="T3"/>
                                </a:cxn>
                                <a:cxn ang="T8">
                                  <a:pos x="T4" y="T5"/>
                                </a:cxn>
                              </a:cxnLst>
                              <a:rect l="T9" t="T10" r="T11" b="T12"/>
                              <a:pathLst>
                                <a:path w="22687" h="21600" fill="none" extrusionOk="0">
                                  <a:moveTo>
                                    <a:pt x="0" y="27"/>
                                  </a:moveTo>
                                  <a:cubicBezTo>
                                    <a:pt x="362" y="9"/>
                                    <a:pt x="724" y="-1"/>
                                    <a:pt x="1087" y="0"/>
                                  </a:cubicBezTo>
                                  <a:cubicBezTo>
                                    <a:pt x="13016" y="0"/>
                                    <a:pt x="22687" y="9670"/>
                                    <a:pt x="22687" y="21600"/>
                                  </a:cubicBezTo>
                                </a:path>
                                <a:path w="22687" h="21600" stroke="0" extrusionOk="0">
                                  <a:moveTo>
                                    <a:pt x="0" y="27"/>
                                  </a:moveTo>
                                  <a:cubicBezTo>
                                    <a:pt x="362" y="9"/>
                                    <a:pt x="724" y="-1"/>
                                    <a:pt x="1087" y="0"/>
                                  </a:cubicBezTo>
                                  <a:cubicBezTo>
                                    <a:pt x="13016" y="0"/>
                                    <a:pt x="22687" y="9670"/>
                                    <a:pt x="22687" y="21600"/>
                                  </a:cubicBezTo>
                                  <a:lnTo>
                                    <a:pt x="1087" y="21600"/>
                                  </a:lnTo>
                                  <a:lnTo>
                                    <a:pt x="0" y="2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2826" name="AutoShape 24"/>
                          <wps:cNvCnPr>
                            <a:cxnSpLocks noChangeShapeType="1"/>
                          </wps:cNvCnPr>
                          <wps:spPr bwMode="auto">
                            <a:xfrm flipH="1">
                              <a:off x="246066" y="1353027"/>
                              <a:ext cx="8" cy="4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7" name="Rectangle 25" descr="5%"/>
                          <wps:cNvSpPr>
                            <a:spLocks noChangeArrowheads="1"/>
                          </wps:cNvSpPr>
                          <wps:spPr bwMode="auto">
                            <a:xfrm>
                              <a:off x="248029" y="1352767"/>
                              <a:ext cx="1674" cy="935"/>
                            </a:xfrm>
                            <a:prstGeom prst="rect">
                              <a:avLst/>
                            </a:prstGeom>
                            <a:blipFill dpi="0" rotWithShape="0">
                              <a:blip r:embed="rId2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828" name="Rectangle 26"/>
                          <wps:cNvSpPr>
                            <a:spLocks noChangeArrowheads="1"/>
                          </wps:cNvSpPr>
                          <wps:spPr bwMode="auto">
                            <a:xfrm>
                              <a:off x="247350" y="1352868"/>
                              <a:ext cx="2148" cy="734"/>
                            </a:xfrm>
                            <a:prstGeom prst="rect">
                              <a:avLst/>
                            </a:prstGeom>
                            <a:solidFill>
                              <a:srgbClr val="FFFFFF"/>
                            </a:solidFill>
                            <a:ln w="9525">
                              <a:solidFill>
                                <a:srgbClr val="000000"/>
                              </a:solidFill>
                              <a:miter lim="800000"/>
                              <a:headEnd/>
                              <a:tailEnd/>
                            </a:ln>
                          </wps:spPr>
                          <wps:bodyPr/>
                        </wps:wsp>
                        <wps:wsp>
                          <wps:cNvPr id="2829" name="Rectangle 27"/>
                          <wps:cNvSpPr>
                            <a:spLocks noChangeArrowheads="1"/>
                          </wps:cNvSpPr>
                          <wps:spPr bwMode="auto">
                            <a:xfrm>
                              <a:off x="249347" y="1352836"/>
                              <a:ext cx="231" cy="797"/>
                            </a:xfrm>
                            <a:prstGeom prst="rect">
                              <a:avLst/>
                            </a:prstGeom>
                            <a:solidFill>
                              <a:srgbClr val="FFFFFF"/>
                            </a:solidFill>
                            <a:ln w="38100">
                              <a:solidFill>
                                <a:srgbClr val="5A5A5A"/>
                              </a:solidFill>
                              <a:miter lim="800000"/>
                              <a:headEnd/>
                              <a:tailEnd/>
                            </a:ln>
                          </wps:spPr>
                          <wps:bodyPr/>
                        </wps:wsp>
                        <wps:wsp>
                          <wps:cNvPr id="2830" name="Rectangle 28"/>
                          <wps:cNvSpPr>
                            <a:spLocks noChangeArrowheads="1"/>
                          </wps:cNvSpPr>
                          <wps:spPr bwMode="auto">
                            <a:xfrm>
                              <a:off x="248855" y="1352868"/>
                              <a:ext cx="680" cy="734"/>
                            </a:xfrm>
                            <a:prstGeom prst="rect">
                              <a:avLst/>
                            </a:prstGeom>
                            <a:solidFill>
                              <a:srgbClr val="D8D8D8"/>
                            </a:solidFill>
                            <a:ln w="9525">
                              <a:solidFill>
                                <a:srgbClr val="000000"/>
                              </a:solidFill>
                              <a:miter lim="800000"/>
                              <a:headEnd/>
                              <a:tailEnd/>
                            </a:ln>
                          </wps:spPr>
                          <wps:bodyPr/>
                        </wps:wsp>
                        <wps:wsp>
                          <wps:cNvPr id="2831" name="AutoShape 29"/>
                          <wps:cNvSpPr>
                            <a:spLocks noChangeArrowheads="1"/>
                          </wps:cNvSpPr>
                          <wps:spPr bwMode="auto">
                            <a:xfrm rot="5400000">
                              <a:off x="246647" y="1352853"/>
                              <a:ext cx="736" cy="764"/>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4490 w 21600"/>
                                <a:gd name="T13" fmla="*/ 4495 h 21600"/>
                                <a:gd name="T14" fmla="*/ 17110 w 21600"/>
                                <a:gd name="T15" fmla="*/ 17105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wps:wsp>
                        <wps:wsp>
                          <wps:cNvPr id="2832" name="Rectangle 30"/>
                          <wps:cNvSpPr>
                            <a:spLocks noChangeAspect="1" noChangeArrowheads="1"/>
                          </wps:cNvSpPr>
                          <wps:spPr bwMode="auto">
                            <a:xfrm>
                              <a:off x="247385" y="1352884"/>
                              <a:ext cx="75" cy="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wps:wsp>
                        <wps:wsp>
                          <wps:cNvPr id="2833" name="Rectangle 31"/>
                          <wps:cNvSpPr>
                            <a:spLocks noChangeArrowheads="1"/>
                          </wps:cNvSpPr>
                          <wps:spPr bwMode="auto">
                            <a:xfrm>
                              <a:off x="247368" y="1352752"/>
                              <a:ext cx="257" cy="1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wps:wsp>
                        <wps:wsp>
                          <wps:cNvPr id="2834" name="Text Box 32"/>
                          <wps:cNvSpPr txBox="1">
                            <a:spLocks noChangeArrowheads="1"/>
                          </wps:cNvSpPr>
                          <wps:spPr bwMode="auto">
                            <a:xfrm>
                              <a:off x="248725" y="1352914"/>
                              <a:ext cx="1078"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Pr="00464CCC" w:rsidRDefault="00AA4416" w:rsidP="00A21536">
                                <w:pPr>
                                  <w:rPr>
                                    <w:rFonts w:ascii="Arial" w:hAnsi="Arial" w:cs="Arial"/>
                                    <w:b/>
                                    <w:sz w:val="10"/>
                                    <w:szCs w:val="10"/>
                                  </w:rPr>
                                </w:pPr>
                                <w:r w:rsidRPr="00464CCC">
                                  <w:rPr>
                                    <w:rFonts w:ascii="Arial" w:hAnsi="Arial" w:cs="Arial"/>
                                    <w:b/>
                                    <w:sz w:val="10"/>
                                    <w:szCs w:val="10"/>
                                  </w:rPr>
                                  <w:t xml:space="preserve">Bewegliches </w:t>
                                </w:r>
                              </w:p>
                              <w:p w:rsidR="00AA4416" w:rsidRPr="0003534E" w:rsidRDefault="00AA4416" w:rsidP="00A21536">
                                <w:pPr>
                                  <w:rPr>
                                    <w:rFonts w:asciiTheme="minorHAnsi" w:hAnsiTheme="minorHAnsi" w:cstheme="minorBidi"/>
                                    <w:color w:val="000000" w:themeColor="text1"/>
                                    <w:sz w:val="10"/>
                                    <w:szCs w:val="10"/>
                                  </w:rPr>
                                </w:pPr>
                                <w:r w:rsidRPr="00464CCC">
                                  <w:rPr>
                                    <w:rFonts w:ascii="Arial" w:hAnsi="Arial" w:cs="Arial"/>
                                    <w:b/>
                                    <w:sz w:val="10"/>
                                    <w:szCs w:val="10"/>
                                  </w:rPr>
                                  <w:t>Steuerhaus</w:t>
                                </w:r>
                                <w:r w:rsidRPr="00050DB5">
                                  <w:rPr>
                                    <w:rFonts w:asciiTheme="minorHAnsi" w:hAnsiTheme="minorHAnsi"/>
                                    <w:sz w:val="10"/>
                                    <w:szCs w:val="10"/>
                                  </w:rPr>
                                  <w:t xml:space="preserve"> teuerhaus</w:t>
                                </w:r>
                                <w:r w:rsidRPr="0003534E">
                                  <w:rPr>
                                    <w:rFonts w:asciiTheme="minorHAnsi" w:hAnsiTheme="minorHAnsi"/>
                                    <w:sz w:val="10"/>
                                    <w:szCs w:val="10"/>
                                  </w:rPr>
                                  <w:t xml:space="preserve">wheelhouse </w:t>
                                </w:r>
                              </w:p>
                              <w:p w:rsidR="00AA4416" w:rsidRPr="007E2EA8" w:rsidRDefault="00AA4416" w:rsidP="00A21536">
                                <w:pPr>
                                  <w:rPr>
                                    <w:rFonts w:ascii="Calibri" w:hAnsi="Calibri" w:cstheme="minorBidi"/>
                                    <w:color w:val="000000" w:themeColor="text1"/>
                                    <w:sz w:val="10"/>
                                    <w:szCs w:val="10"/>
                                  </w:rPr>
                                </w:pPr>
                              </w:p>
                            </w:txbxContent>
                          </wps:txbx>
                          <wps:bodyPr/>
                        </wps:wsp>
                        <wpg:grpSp>
                          <wpg:cNvPr id="2835" name="Group 33"/>
                          <wpg:cNvGrpSpPr>
                            <a:grpSpLocks/>
                          </wpg:cNvGrpSpPr>
                          <wpg:grpSpPr bwMode="auto">
                            <a:xfrm>
                              <a:off x="249315" y="1352550"/>
                              <a:ext cx="183" cy="135"/>
                              <a:chOff x="249315" y="1352550"/>
                              <a:chExt cx="183" cy="135"/>
                            </a:xfrm>
                          </wpg:grpSpPr>
                          <wps:wsp>
                            <wps:cNvPr id="2836" name="Line 34"/>
                            <wps:cNvCnPr/>
                            <wps:spPr bwMode="auto">
                              <a:xfrm rot="7612194">
                                <a:off x="249339" y="1352526"/>
                                <a:ext cx="135" cy="183"/>
                              </a:xfrm>
                              <a:prstGeom prst="line">
                                <a:avLst/>
                              </a:prstGeom>
                              <a:noFill/>
                              <a:ln w="9525">
                                <a:solidFill>
                                  <a:sysClr val="windowText" lastClr="000000">
                                    <a:lumMod val="65000"/>
                                    <a:lumOff val="35000"/>
                                  </a:sysClr>
                                </a:solidFill>
                                <a:round/>
                                <a:headEnd type="triangle" w="med" len="med"/>
                                <a:tailEnd type="triangle" w="med" len="med"/>
                              </a:ln>
                            </wps:spPr>
                            <wps:bodyPr/>
                          </wps:wsp>
                        </wpg:grpSp>
                        <wps:wsp>
                          <wps:cNvPr id="2837" name="Rectangle 35"/>
                          <wps:cNvSpPr>
                            <a:spLocks noChangeArrowheads="1"/>
                          </wps:cNvSpPr>
                          <wps:spPr bwMode="auto">
                            <a:xfrm>
                              <a:off x="247368" y="1353644"/>
                              <a:ext cx="291"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wps:wsp>
                      </wpg:grpSp>
                      <wps:wsp>
                        <wps:cNvPr id="2838" name="Text Box 36"/>
                        <wps:cNvSpPr txBox="1">
                          <a:spLocks noChangeAspect="1" noChangeArrowheads="1"/>
                        </wps:cNvSpPr>
                        <wps:spPr bwMode="auto">
                          <a:xfrm>
                            <a:off x="243494" y="2384305"/>
                            <a:ext cx="2313955" cy="643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Pr="00A00B82" w:rsidRDefault="00AA4416" w:rsidP="00A21536">
                              <w:pPr>
                                <w:rPr>
                                  <w:rFonts w:ascii="Verdana" w:hAnsi="Verdana" w:cstheme="minorBidi"/>
                                  <w:color w:val="000000"/>
                                  <w:sz w:val="16"/>
                                  <w:szCs w:val="16"/>
                                  <w:lang w:val="de-DE"/>
                                </w:rPr>
                              </w:pPr>
                              <w:r w:rsidRPr="00A00B82">
                                <w:rPr>
                                  <w:rFonts w:ascii="Verdana" w:hAnsi="Verdana"/>
                                  <w:sz w:val="16"/>
                                  <w:szCs w:val="16"/>
                                  <w:lang w:val="de-DE"/>
                                </w:rPr>
                                <w:t xml:space="preserve">Schutzwand; gas- und flüssigkeitsdicht, h: </w:t>
                              </w:r>
                              <w:r w:rsidRPr="00BA1F0F">
                                <w:rPr>
                                  <w:rFonts w:ascii="Verdana" w:hAnsi="Verdana"/>
                                  <w:sz w:val="16"/>
                                  <w:szCs w:val="16"/>
                                  <w:u w:val="single"/>
                                  <w:lang w:val="de-DE"/>
                                </w:rPr>
                                <w:t>&gt;</w:t>
                              </w:r>
                              <w:r w:rsidRPr="00A00B82">
                                <w:rPr>
                                  <w:rFonts w:ascii="Verdana" w:hAnsi="Verdana"/>
                                  <w:sz w:val="16"/>
                                  <w:szCs w:val="16"/>
                                  <w:lang w:val="de-DE"/>
                                </w:rPr>
                                <w:t xml:space="preserve"> 1,00 m über anschließendem Ladetankdeck</w:t>
                              </w:r>
                            </w:p>
                            <w:p w:rsidR="00AA4416" w:rsidRPr="00050DB5" w:rsidRDefault="00AA4416" w:rsidP="00A21536">
                              <w:pPr>
                                <w:spacing w:after="200"/>
                                <w:textAlignment w:val="baseline"/>
                                <w:rPr>
                                  <w:lang w:val="de-DE"/>
                                </w:rPr>
                              </w:pPr>
                            </w:p>
                          </w:txbxContent>
                        </wps:txbx>
                        <wps:bodyPr lIns="75888" tIns="37944" rIns="75888" bIns="37944"/>
                      </wps:wsp>
                      <wpg:grpSp>
                        <wpg:cNvPr id="2839" name="Gruppieren 9"/>
                        <wpg:cNvGrpSpPr>
                          <a:grpSpLocks/>
                        </wpg:cNvGrpSpPr>
                        <wpg:grpSpPr bwMode="auto">
                          <a:xfrm>
                            <a:off x="252411" y="3127372"/>
                            <a:ext cx="2312988" cy="1322387"/>
                            <a:chOff x="252412" y="3127375"/>
                            <a:chExt cx="2311907" cy="1321747"/>
                          </a:xfrm>
                        </wpg:grpSpPr>
                        <wpg:grpSp>
                          <wpg:cNvPr id="2840" name="Gruppieren 165"/>
                          <wpg:cNvGrpSpPr>
                            <a:grpSpLocks/>
                          </wpg:cNvGrpSpPr>
                          <wpg:grpSpPr bwMode="auto">
                            <a:xfrm>
                              <a:off x="958629" y="3655596"/>
                              <a:ext cx="1539434" cy="620931"/>
                              <a:chOff x="958629" y="3655596"/>
                              <a:chExt cx="1539434" cy="620931"/>
                            </a:xfrm>
                          </wpg:grpSpPr>
                          <wps:wsp>
                            <wps:cNvPr id="2841" name="Rectangle 20" descr="5%"/>
                            <wps:cNvSpPr>
                              <a:spLocks noChangeAspect="1" noChangeArrowheads="1"/>
                            </wps:cNvSpPr>
                            <wps:spPr bwMode="auto">
                              <a:xfrm>
                                <a:off x="1125655" y="3875805"/>
                                <a:ext cx="1361665" cy="70133"/>
                              </a:xfrm>
                              <a:prstGeom prst="rect">
                                <a:avLst/>
                              </a:prstGeom>
                              <a:blipFill dpi="0" rotWithShape="0">
                                <a:blip r:embed="rId17"/>
                                <a:srcRect/>
                                <a:tile tx="0" ty="0" sx="100000" sy="100000" flip="none" algn="tl"/>
                              </a:blipFill>
                              <a:ln w="9525">
                                <a:solidFill>
                                  <a:srgbClr val="3F3151"/>
                                </a:solidFill>
                                <a:miter lim="800000"/>
                                <a:headEnd/>
                                <a:tailEnd/>
                              </a:ln>
                            </wps:spPr>
                            <wps:bodyPr wrap="none" anchor="ctr"/>
                          </wps:wsp>
                          <wps:wsp>
                            <wps:cNvPr id="2842" name="Line 11"/>
                            <wps:cNvCnPr/>
                            <wps:spPr bwMode="auto">
                              <a:xfrm flipV="1">
                                <a:off x="962335" y="3946683"/>
                                <a:ext cx="0" cy="89535"/>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2843" name="Line 12"/>
                            <wps:cNvCnPr/>
                            <wps:spPr bwMode="auto">
                              <a:xfrm>
                                <a:off x="970588" y="3761263"/>
                                <a:ext cx="0" cy="89535"/>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2844" name="Text Box 13"/>
                            <wps:cNvSpPr txBox="1">
                              <a:spLocks noChangeAspect="1" noChangeArrowheads="1"/>
                            </wps:cNvSpPr>
                            <wps:spPr bwMode="auto">
                              <a:xfrm>
                                <a:off x="958629" y="3655596"/>
                                <a:ext cx="642811" cy="334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Default="00AA4416" w:rsidP="00A21536">
                                  <w:pPr>
                                    <w:spacing w:after="200"/>
                                    <w:textAlignment w:val="baseline"/>
                                  </w:pPr>
                                  <w:r w:rsidRPr="00993052">
                                    <w:t>0,50 m</w:t>
                                  </w:r>
                                </w:p>
                              </w:txbxContent>
                            </wps:txbx>
                            <wps:bodyPr wrap="square" lIns="75888" tIns="37944" rIns="75888" bIns="37944">
                              <a:noAutofit/>
                            </wps:bodyPr>
                          </wps:wsp>
                          <wps:wsp>
                            <wps:cNvPr id="2845" name="Text Box 14"/>
                            <wps:cNvSpPr txBox="1">
                              <a:spLocks noChangeAspect="1" noChangeArrowheads="1"/>
                            </wps:cNvSpPr>
                            <wps:spPr bwMode="auto">
                              <a:xfrm>
                                <a:off x="1204053" y="3942356"/>
                                <a:ext cx="644018" cy="334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Default="00AA4416" w:rsidP="00A21536">
                                  <w:pPr>
                                    <w:spacing w:after="200"/>
                                    <w:textAlignment w:val="baseline"/>
                                  </w:pPr>
                                  <w:r w:rsidRPr="00993052">
                                    <w:t>7,50 m</w:t>
                                  </w:r>
                                </w:p>
                              </w:txbxContent>
                            </wps:txbx>
                            <wps:bodyPr wrap="square" lIns="75888" tIns="37944" rIns="75888" bIns="37944">
                              <a:noAutofit/>
                            </wps:bodyPr>
                          </wps:wsp>
                          <wps:wsp>
                            <wps:cNvPr id="2846" name="Line 15"/>
                            <wps:cNvCnPr/>
                            <wps:spPr bwMode="auto">
                              <a:xfrm flipH="1">
                                <a:off x="1121523" y="3984903"/>
                                <a:ext cx="1376540" cy="0"/>
                              </a:xfrm>
                              <a:prstGeom prst="line">
                                <a:avLst/>
                              </a:prstGeom>
                              <a:noFill/>
                              <a:ln w="9525">
                                <a:solidFill>
                                  <a:srgbClr val="5F497A"/>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847" name="Line 10"/>
                            <wps:cNvCnPr/>
                            <wps:spPr bwMode="auto">
                              <a:xfrm flipH="1">
                                <a:off x="970174" y="3863989"/>
                                <a:ext cx="15347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2848" name="Gruppieren 166"/>
                          <wpg:cNvGrpSpPr>
                            <a:grpSpLocks/>
                          </wpg:cNvGrpSpPr>
                          <wpg:grpSpPr bwMode="auto">
                            <a:xfrm>
                              <a:off x="252412" y="3127375"/>
                              <a:ext cx="2311907" cy="1321747"/>
                              <a:chOff x="252412" y="3127375"/>
                              <a:chExt cx="2311907" cy="1321747"/>
                            </a:xfrm>
                          </wpg:grpSpPr>
                          <wpg:grpSp>
                            <wpg:cNvPr id="2849" name="Gruppieren 167"/>
                            <wpg:cNvGrpSpPr>
                              <a:grpSpLocks/>
                            </wpg:cNvGrpSpPr>
                            <wpg:grpSpPr bwMode="auto">
                              <a:xfrm>
                                <a:off x="252412" y="3127375"/>
                                <a:ext cx="2311907" cy="1321747"/>
                                <a:chOff x="252412" y="3127375"/>
                                <a:chExt cx="2311907" cy="1321747"/>
                              </a:xfrm>
                            </wpg:grpSpPr>
                            <wpg:grpSp>
                              <wpg:cNvPr id="2850" name="Gruppieren 171"/>
                              <wpg:cNvGrpSpPr>
                                <a:grpSpLocks/>
                              </wpg:cNvGrpSpPr>
                              <wpg:grpSpPr bwMode="auto">
                                <a:xfrm>
                                  <a:off x="1999433" y="3316196"/>
                                  <a:ext cx="517284" cy="1130441"/>
                                  <a:chOff x="1999433" y="3316196"/>
                                  <a:chExt cx="517284" cy="1130441"/>
                                </a:xfrm>
                              </wpg:grpSpPr>
                              <wps:wsp>
                                <wps:cNvPr id="2851" name="Line 83"/>
                                <wps:cNvCnPr/>
                                <wps:spPr bwMode="auto">
                                  <a:xfrm rot="21120000" flipH="1">
                                    <a:off x="2480221" y="3347930"/>
                                    <a:ext cx="36496" cy="269744"/>
                                  </a:xfrm>
                                  <a:prstGeom prst="line">
                                    <a:avLst/>
                                  </a:prstGeom>
                                  <a:noFill/>
                                  <a:ln w="9525">
                                    <a:solidFill>
                                      <a:sysClr val="windowText" lastClr="000000">
                                        <a:lumMod val="65000"/>
                                        <a:lumOff val="35000"/>
                                      </a:sysClr>
                                    </a:solidFill>
                                    <a:prstDash val="lgDash"/>
                                    <a:round/>
                                    <a:headEnd/>
                                    <a:tailEnd/>
                                  </a:ln>
                                </wps:spPr>
                                <wps:bodyPr/>
                              </wps:wsp>
                              <wps:wsp>
                                <wps:cNvPr id="2852" name="Line 89"/>
                                <wps:cNvCnPr/>
                                <wps:spPr bwMode="auto">
                                  <a:xfrm>
                                    <a:off x="1999433" y="3316196"/>
                                    <a:ext cx="22215" cy="0"/>
                                  </a:xfrm>
                                  <a:prstGeom prst="line">
                                    <a:avLst/>
                                  </a:prstGeom>
                                  <a:noFill/>
                                  <a:ln w="9525">
                                    <a:solidFill>
                                      <a:sysClr val="windowText" lastClr="000000">
                                        <a:lumMod val="65000"/>
                                        <a:lumOff val="35000"/>
                                      </a:sysClr>
                                    </a:solidFill>
                                    <a:round/>
                                    <a:headEnd/>
                                    <a:tailEnd/>
                                  </a:ln>
                                </wps:spPr>
                                <wps:bodyPr/>
                              </wps:wsp>
                              <wps:wsp>
                                <wps:cNvPr id="2853" name="Line 91"/>
                                <wps:cNvCnPr/>
                                <wps:spPr bwMode="auto">
                                  <a:xfrm>
                                    <a:off x="2487821" y="3906887"/>
                                    <a:ext cx="0" cy="53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854" name="Gruppieren 172"/>
                              <wpg:cNvGrpSpPr>
                                <a:grpSpLocks/>
                              </wpg:cNvGrpSpPr>
                              <wpg:grpSpPr bwMode="auto">
                                <a:xfrm>
                                  <a:off x="252412" y="3603085"/>
                                  <a:ext cx="2250830" cy="846037"/>
                                  <a:chOff x="252412" y="3603085"/>
                                  <a:chExt cx="2250830" cy="846037"/>
                                </a:xfrm>
                              </wpg:grpSpPr>
                              <wps:wsp>
                                <wps:cNvPr id="2855" name="Line 76"/>
                                <wps:cNvCnPr/>
                                <wps:spPr bwMode="auto">
                                  <a:xfrm>
                                    <a:off x="543701" y="4192571"/>
                                    <a:ext cx="279608" cy="2565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6" name="Line 77"/>
                                <wps:cNvCnPr/>
                                <wps:spPr bwMode="auto">
                                  <a:xfrm>
                                    <a:off x="298889" y="4187809"/>
                                    <a:ext cx="251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7" name="Line 78"/>
                                <wps:cNvCnPr/>
                                <wps:spPr bwMode="auto">
                                  <a:xfrm>
                                    <a:off x="252412" y="3939166"/>
                                    <a:ext cx="46477" cy="2513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8" name="Line 79"/>
                                <wps:cNvCnPr/>
                                <wps:spPr bwMode="auto">
                                  <a:xfrm>
                                    <a:off x="254858" y="3944630"/>
                                    <a:ext cx="22483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9" name="Line 81"/>
                                <wps:cNvCnPr/>
                                <wps:spPr bwMode="auto">
                                  <a:xfrm flipH="1">
                                    <a:off x="527958" y="3603085"/>
                                    <a:ext cx="14677" cy="3388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860" name="Gruppieren 173"/>
                              <wpg:cNvGrpSpPr>
                                <a:grpSpLocks/>
                              </wpg:cNvGrpSpPr>
                              <wpg:grpSpPr bwMode="auto">
                                <a:xfrm>
                                  <a:off x="820928" y="3127375"/>
                                  <a:ext cx="1743391" cy="1321687"/>
                                  <a:chOff x="820928" y="3127375"/>
                                  <a:chExt cx="1743391" cy="1321687"/>
                                </a:xfrm>
                              </wpg:grpSpPr>
                              <wps:wsp>
                                <wps:cNvPr id="2861" name="Line 84"/>
                                <wps:cNvCnPr/>
                                <wps:spPr bwMode="auto">
                                  <a:xfrm flipV="1">
                                    <a:off x="1997846" y="3127375"/>
                                    <a:ext cx="566473" cy="3173"/>
                                  </a:xfrm>
                                  <a:prstGeom prst="line">
                                    <a:avLst/>
                                  </a:prstGeom>
                                  <a:noFill/>
                                  <a:ln w="9525">
                                    <a:solidFill>
                                      <a:sysClr val="windowText" lastClr="000000">
                                        <a:lumMod val="65000"/>
                                        <a:lumOff val="35000"/>
                                      </a:sysClr>
                                    </a:solidFill>
                                    <a:prstDash val="lgDash"/>
                                    <a:round/>
                                    <a:headEnd/>
                                    <a:tailEnd/>
                                  </a:ln>
                                </wps:spPr>
                                <wps:bodyPr/>
                              </wps:wsp>
                              <wps:wsp>
                                <wps:cNvPr id="2862" name="Line 85"/>
                                <wps:cNvCnPr/>
                                <wps:spPr bwMode="auto">
                                  <a:xfrm>
                                    <a:off x="1997846" y="3127375"/>
                                    <a:ext cx="1587" cy="185647"/>
                                  </a:xfrm>
                                  <a:prstGeom prst="line">
                                    <a:avLst/>
                                  </a:prstGeom>
                                  <a:noFill/>
                                  <a:ln w="9525">
                                    <a:solidFill>
                                      <a:sysClr val="windowText" lastClr="000000">
                                        <a:lumMod val="65000"/>
                                        <a:lumOff val="35000"/>
                                      </a:sysClr>
                                    </a:solidFill>
                                    <a:prstDash val="lgDash"/>
                                    <a:round/>
                                    <a:headEnd/>
                                    <a:tailEnd/>
                                  </a:ln>
                                </wps:spPr>
                                <wps:bodyPr/>
                              </wps:wsp>
                              <wps:wsp>
                                <wps:cNvPr id="2863" name="Line 86"/>
                                <wps:cNvCnPr/>
                                <wps:spPr bwMode="auto">
                                  <a:xfrm rot="120000" flipH="1">
                                    <a:off x="2492914" y="3130548"/>
                                    <a:ext cx="65058" cy="209448"/>
                                  </a:xfrm>
                                  <a:prstGeom prst="line">
                                    <a:avLst/>
                                  </a:prstGeom>
                                  <a:noFill/>
                                  <a:ln w="9525">
                                    <a:solidFill>
                                      <a:sysClr val="windowText" lastClr="000000">
                                        <a:lumMod val="65000"/>
                                        <a:lumOff val="35000"/>
                                      </a:sysClr>
                                    </a:solidFill>
                                    <a:prstDash val="lgDash"/>
                                    <a:round/>
                                    <a:headEnd/>
                                    <a:tailEnd/>
                                  </a:ln>
                                </wps:spPr>
                                <wps:bodyPr/>
                              </wps:wsp>
                              <wps:wsp>
                                <wps:cNvPr id="2864" name="Line 88"/>
                                <wps:cNvCnPr/>
                                <wps:spPr bwMode="auto">
                                  <a:xfrm>
                                    <a:off x="2027995" y="3313022"/>
                                    <a:ext cx="0" cy="561703"/>
                                  </a:xfrm>
                                  <a:prstGeom prst="line">
                                    <a:avLst/>
                                  </a:prstGeom>
                                  <a:noFill/>
                                  <a:ln w="9525">
                                    <a:solidFill>
                                      <a:sysClr val="windowText" lastClr="000000">
                                        <a:lumMod val="65000"/>
                                        <a:lumOff val="35000"/>
                                      </a:sysClr>
                                    </a:solidFill>
                                    <a:prstDash val="lgDash"/>
                                    <a:round/>
                                    <a:headEnd/>
                                    <a:tailEnd/>
                                  </a:ln>
                                </wps:spPr>
                                <wps:bodyPr/>
                              </wps:wsp>
                              <wps:wsp>
                                <wps:cNvPr id="2865" name="Line 90"/>
                                <wps:cNvCnPr/>
                                <wps:spPr bwMode="auto">
                                  <a:xfrm>
                                    <a:off x="820928" y="4449062"/>
                                    <a:ext cx="16740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866" name="Gruppieren 168"/>
                            <wpg:cNvGrpSpPr>
                              <a:grpSpLocks/>
                            </wpg:cNvGrpSpPr>
                            <wpg:grpSpPr bwMode="auto">
                              <a:xfrm>
                                <a:off x="593097" y="3194017"/>
                                <a:ext cx="1806199" cy="518989"/>
                                <a:chOff x="593097" y="3194017"/>
                                <a:chExt cx="1806199" cy="518989"/>
                              </a:xfrm>
                            </wpg:grpSpPr>
                            <wps:wsp>
                              <wps:cNvPr id="2867" name="Rectangle 24" descr="Horizontal hell"/>
                              <wps:cNvSpPr>
                                <a:spLocks noChangeAspect="1" noChangeArrowheads="1"/>
                              </wps:cNvSpPr>
                              <wps:spPr bwMode="auto">
                                <a:xfrm>
                                  <a:off x="2078771" y="3194017"/>
                                  <a:ext cx="320525" cy="66643"/>
                                </a:xfrm>
                                <a:prstGeom prst="rect">
                                  <a:avLst/>
                                </a:prstGeom>
                                <a:noFill/>
                                <a:ln w="9525">
                                  <a:solidFill>
                                    <a:sysClr val="windowText" lastClr="000000">
                                      <a:lumMod val="65000"/>
                                      <a:lumOff val="35000"/>
                                    </a:sysClr>
                                  </a:solidFill>
                                  <a:prstDash val="lgDash"/>
                                  <a:miter lim="800000"/>
                                  <a:headEnd/>
                                  <a:tailEnd/>
                                </a:ln>
                              </wps:spPr>
                              <wps:bodyPr wrap="none" anchor="ctr"/>
                            </wps:wsp>
                            <wps:wsp>
                              <wps:cNvPr id="2868" name="Rectangle 92" descr="Horizontal hell"/>
                              <wps:cNvSpPr>
                                <a:spLocks noChangeAspect="1" noChangeArrowheads="1"/>
                              </wps:cNvSpPr>
                              <wps:spPr bwMode="auto">
                                <a:xfrm>
                                  <a:off x="593097" y="3646966"/>
                                  <a:ext cx="324228" cy="66040"/>
                                </a:xfrm>
                                <a:prstGeom prst="rect">
                                  <a:avLst/>
                                </a:prstGeom>
                                <a:blipFill dpi="0" rotWithShape="0">
                                  <a:blip r:embed="rId18"/>
                                  <a:srcRect/>
                                  <a:tile tx="0" ty="0" sx="100000" sy="100000" flip="none" algn="tl"/>
                                </a:blipFill>
                                <a:ln w="9525">
                                  <a:solidFill>
                                    <a:srgbClr val="000000"/>
                                  </a:solidFill>
                                  <a:miter lim="800000"/>
                                  <a:headEnd/>
                                  <a:tailEnd/>
                                </a:ln>
                              </wps:spPr>
                              <wps:bodyPr wrap="none" anchor="ctr"/>
                            </wps:wsp>
                          </wpg:grpSp>
                        </wpg:grpSp>
                      </wpg:grpSp>
                      <wps:wsp>
                        <wps:cNvPr id="2869" name="Text Box 7"/>
                        <wps:cNvSpPr txBox="1">
                          <a:spLocks noChangeArrowheads="1"/>
                        </wps:cNvSpPr>
                        <wps:spPr bwMode="auto">
                          <a:xfrm>
                            <a:off x="3001806" y="5758175"/>
                            <a:ext cx="2635263" cy="442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Pr="00A00B82" w:rsidRDefault="00AA4416" w:rsidP="00A00B82">
                              <w:pPr>
                                <w:jc w:val="center"/>
                                <w:rPr>
                                  <w:rFonts w:ascii="Verdana" w:hAnsi="Verdana"/>
                                  <w:sz w:val="16"/>
                                  <w:szCs w:val="16"/>
                                  <w:lang w:val="de-DE"/>
                                </w:rPr>
                              </w:pPr>
                              <w:r w:rsidRPr="00A00B82">
                                <w:rPr>
                                  <w:rFonts w:ascii="Verdana" w:hAnsi="Verdana"/>
                                  <w:sz w:val="16"/>
                                  <w:szCs w:val="16"/>
                                  <w:lang w:val="de-DE"/>
                                </w:rPr>
                                <w:t>äußeres Kofferdammschott / Begrenzungsschott der Aufstellungsräume</w:t>
                              </w:r>
                            </w:p>
                            <w:p w:rsidR="00AA4416" w:rsidRPr="00050DB5" w:rsidRDefault="00AA4416" w:rsidP="00A21536">
                              <w:pPr>
                                <w:spacing w:after="200"/>
                                <w:jc w:val="center"/>
                                <w:textAlignment w:val="baseline"/>
                                <w:rPr>
                                  <w:lang w:val="de-DE"/>
                                </w:rPr>
                              </w:pPr>
                            </w:p>
                          </w:txbxContent>
                        </wps:txbx>
                        <wps:bodyPr wrap="square" lIns="75888" tIns="37944" rIns="75888" bIns="37944">
                          <a:noAutofit/>
                        </wps:bodyPr>
                      </wps:wsp>
                      <wpg:grpSp>
                        <wpg:cNvPr id="2870" name="Gruppieren 11"/>
                        <wpg:cNvGrpSpPr>
                          <a:grpSpLocks/>
                        </wpg:cNvGrpSpPr>
                        <wpg:grpSpPr bwMode="auto">
                          <a:xfrm>
                            <a:off x="2598737" y="3257550"/>
                            <a:ext cx="366713" cy="674688"/>
                            <a:chOff x="2598737" y="3257550"/>
                            <a:chExt cx="270457" cy="597507"/>
                          </a:xfrm>
                        </wpg:grpSpPr>
                        <wps:wsp>
                          <wps:cNvPr id="2871" name="Oval 4" descr="5%"/>
                          <wps:cNvSpPr>
                            <a:spLocks noChangeAspect="1" noChangeArrowheads="1"/>
                          </wps:cNvSpPr>
                          <wps:spPr bwMode="auto">
                            <a:xfrm>
                              <a:off x="2602547" y="3257550"/>
                              <a:ext cx="266647" cy="266065"/>
                            </a:xfrm>
                            <a:prstGeom prst="ellipse">
                              <a:avLst/>
                            </a:prstGeom>
                            <a:blipFill dpi="0" rotWithShape="0">
                              <a:blip r:embed="rId1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wrap="none" anchor="ctr"/>
                        </wps:wsp>
                        <wps:wsp>
                          <wps:cNvPr id="2872" name="Rectangle 93" descr="5%"/>
                          <wps:cNvSpPr>
                            <a:spLocks noChangeAspect="1" noChangeArrowheads="1"/>
                          </wps:cNvSpPr>
                          <wps:spPr bwMode="auto">
                            <a:xfrm>
                              <a:off x="2598737" y="3363907"/>
                              <a:ext cx="133958" cy="491150"/>
                            </a:xfrm>
                            <a:prstGeom prst="rect">
                              <a:avLst/>
                            </a:prstGeom>
                            <a:blipFill dpi="0" rotWithShape="0">
                              <a:blip r:embed="rId17"/>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s:wsp>
                        <wps:cNvPr id="2873" name="Line 16" descr="Große Konfetti"/>
                        <wps:cNvCnPr/>
                        <wps:spPr bwMode="auto">
                          <a:xfrm rot="2212194">
                            <a:off x="2593975" y="3765550"/>
                            <a:ext cx="38100" cy="50800"/>
                          </a:xfrm>
                          <a:prstGeom prst="line">
                            <a:avLst/>
                          </a:prstGeom>
                          <a:noFill/>
                          <a:ln w="9525">
                            <a:solidFill>
                              <a:srgbClr val="943634"/>
                            </a:solidFill>
                            <a:round/>
                            <a:headEnd/>
                            <a:tailEnd type="triangle" w="med" len="med"/>
                          </a:ln>
                          <a:extLst>
                            <a:ext uri="{909E8E84-426E-40DD-AFC4-6F175D3DCCD1}">
                              <a14:hiddenFill xmlns:a14="http://schemas.microsoft.com/office/drawing/2010/main">
                                <a:noFill/>
                              </a14:hiddenFill>
                            </a:ext>
                          </a:extLst>
                        </wps:spPr>
                        <wps:bodyPr/>
                      </wps:wsp>
                      <wps:wsp>
                        <wps:cNvPr id="2874" name="Line 100"/>
                        <wps:cNvCnPr/>
                        <wps:spPr bwMode="auto">
                          <a:xfrm>
                            <a:off x="1787525" y="2814638"/>
                            <a:ext cx="669925" cy="877887"/>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875" name="Gerade Verbindung 401"/>
                        <wps:cNvCnPr/>
                        <wps:spPr bwMode="auto">
                          <a:xfrm>
                            <a:off x="2030412" y="3614737"/>
                            <a:ext cx="466725" cy="0"/>
                          </a:xfrm>
                          <a:prstGeom prst="line">
                            <a:avLst/>
                          </a:prstGeom>
                          <a:noFill/>
                          <a:ln w="9525" cap="flat" cmpd="sng" algn="ctr">
                            <a:solidFill>
                              <a:sysClr val="windowText" lastClr="000000"/>
                            </a:solidFill>
                            <a:prstDash val="lgDash"/>
                          </a:ln>
                          <a:effectLst/>
                        </wps:spPr>
                        <wps:bodyPr/>
                      </wps:wsp>
                      <wps:wsp>
                        <wps:cNvPr id="2876" name="Rectangle 2876" descr="5%"/>
                        <wps:cNvSpPr>
                          <a:spLocks noChangeAspect="1" noChangeArrowheads="1"/>
                        </wps:cNvSpPr>
                        <wps:spPr bwMode="auto">
                          <a:xfrm>
                            <a:off x="2325687" y="3697288"/>
                            <a:ext cx="158750" cy="176212"/>
                          </a:xfrm>
                          <a:prstGeom prst="rect">
                            <a:avLst/>
                          </a:prstGeom>
                          <a:blipFill dpi="0" rotWithShape="0">
                            <a:blip r:embed="rId22"/>
                            <a:srcRect/>
                            <a:tile tx="0" ty="0" sx="100000" sy="100000" flip="none" algn="tl"/>
                          </a:blipFill>
                          <a:ln w="9525">
                            <a:solidFill>
                              <a:srgbClr val="7F7F7F"/>
                            </a:solidFill>
                            <a:miter lim="800000"/>
                            <a:headEnd/>
                            <a:tailEnd/>
                          </a:ln>
                        </wps:spPr>
                        <wps:bodyPr wrap="none" anchor="ctr"/>
                      </wps:wsp>
                      <wpg:grpSp>
                        <wpg:cNvPr id="2877" name="Gruppieren 16"/>
                        <wpg:cNvGrpSpPr>
                          <a:grpSpLocks/>
                        </wpg:cNvGrpSpPr>
                        <wpg:grpSpPr bwMode="auto">
                          <a:xfrm>
                            <a:off x="1995487" y="3344863"/>
                            <a:ext cx="565150" cy="412750"/>
                            <a:chOff x="1995487" y="3344863"/>
                            <a:chExt cx="565789" cy="411730"/>
                          </a:xfrm>
                        </wpg:grpSpPr>
                        <wpg:grpSp>
                          <wpg:cNvPr id="2878" name="Gruppieren 154"/>
                          <wpg:cNvGrpSpPr>
                            <a:grpSpLocks/>
                          </wpg:cNvGrpSpPr>
                          <wpg:grpSpPr bwMode="auto">
                            <a:xfrm>
                              <a:off x="1995487" y="3344863"/>
                              <a:ext cx="565789" cy="407409"/>
                              <a:chOff x="1995487" y="3344863"/>
                              <a:chExt cx="565789" cy="407409"/>
                            </a:xfrm>
                          </wpg:grpSpPr>
                          <wps:wsp>
                            <wps:cNvPr id="2879" name="Line 84"/>
                            <wps:cNvCnPr/>
                            <wps:spPr bwMode="auto">
                              <a:xfrm flipV="1">
                                <a:off x="1995487" y="3344863"/>
                                <a:ext cx="565789" cy="2733"/>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2880" name="Line 85"/>
                            <wps:cNvCnPr/>
                            <wps:spPr bwMode="auto">
                              <a:xfrm>
                                <a:off x="1995487" y="3344863"/>
                                <a:ext cx="2773" cy="18580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2881" name="Line 86"/>
                            <wps:cNvCnPr/>
                            <wps:spPr bwMode="auto">
                              <a:xfrm rot="120000" flipH="1">
                                <a:off x="2491605" y="3347748"/>
                                <a:ext cx="63789" cy="210392"/>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2882" name="Line 88"/>
                            <wps:cNvCnPr/>
                            <wps:spPr bwMode="auto">
                              <a:xfrm>
                                <a:off x="2025602" y="3545810"/>
                                <a:ext cx="0" cy="206462"/>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g:grpSp>
                        <wpg:grpSp>
                          <wpg:cNvPr id="2883" name="Gruppieren 155"/>
                          <wpg:cNvGrpSpPr>
                            <a:grpSpLocks/>
                          </wpg:cNvGrpSpPr>
                          <wpg:grpSpPr bwMode="auto">
                            <a:xfrm>
                              <a:off x="2003004" y="3529963"/>
                              <a:ext cx="499699" cy="226630"/>
                              <a:chOff x="2003004" y="3529963"/>
                              <a:chExt cx="499699" cy="226630"/>
                            </a:xfrm>
                          </wpg:grpSpPr>
                          <wps:wsp>
                            <wps:cNvPr id="2884" name="Line 83"/>
                            <wps:cNvCnPr/>
                            <wps:spPr bwMode="auto">
                              <a:xfrm rot="21120000" flipH="1">
                                <a:off x="2473865" y="3542356"/>
                                <a:ext cx="28838" cy="214237"/>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2885" name="Line 89"/>
                            <wps:cNvCnPr/>
                            <wps:spPr bwMode="auto">
                              <a:xfrm>
                                <a:off x="2003004" y="3529963"/>
                                <a:ext cx="22188"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g:grpSp>
                        <wps:wsp>
                          <wps:cNvPr id="2886" name="Rectangle 24" descr="Horizontal hell"/>
                          <wps:cNvSpPr>
                            <a:spLocks noChangeAspect="1" noChangeArrowheads="1"/>
                          </wps:cNvSpPr>
                          <wps:spPr bwMode="auto">
                            <a:xfrm>
                              <a:off x="2081066" y="3409914"/>
                              <a:ext cx="325735" cy="64770"/>
                            </a:xfrm>
                            <a:prstGeom prst="rect">
                              <a:avLst/>
                            </a:prstGeom>
                            <a:blipFill dpi="0" rotWithShape="0">
                              <a:blip r:embed="rId18"/>
                              <a:srcRect/>
                              <a:tile tx="0" ty="0" sx="100000" sy="100000" flip="none" algn="tl"/>
                            </a:blipFill>
                            <a:ln w="9525">
                              <a:solidFill>
                                <a:sysClr val="windowText" lastClr="000000"/>
                              </a:solidFill>
                              <a:miter lim="800000"/>
                              <a:headEnd/>
                              <a:tailEnd/>
                            </a:ln>
                          </wps:spPr>
                          <wps:bodyPr wrap="none" anchor="ctr"/>
                        </wps:wsp>
                      </wpg:grpSp>
                      <wpg:grpSp>
                        <wpg:cNvPr id="2887" name="Gruppieren 17"/>
                        <wpg:cNvGrpSpPr>
                          <a:grpSpLocks/>
                        </wpg:cNvGrpSpPr>
                        <wpg:grpSpPr bwMode="auto">
                          <a:xfrm>
                            <a:off x="1739218" y="3629597"/>
                            <a:ext cx="732458" cy="343857"/>
                            <a:chOff x="1739234" y="3628846"/>
                            <a:chExt cx="732384" cy="342558"/>
                          </a:xfrm>
                        </wpg:grpSpPr>
                        <wps:wsp>
                          <wps:cNvPr id="2888" name="Gerade Verbindung mit Pfeil 152"/>
                          <wps:cNvCnPr/>
                          <wps:spPr bwMode="auto">
                            <a:xfrm flipH="1" flipV="1">
                              <a:off x="2206591" y="3825175"/>
                              <a:ext cx="130162" cy="1581"/>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s:wsp>
                          <wps:cNvPr id="2889" name="Text Box 63"/>
                          <wps:cNvSpPr txBox="1">
                            <a:spLocks noChangeAspect="1" noChangeArrowheads="1"/>
                          </wps:cNvSpPr>
                          <wps:spPr bwMode="auto">
                            <a:xfrm>
                              <a:off x="1739234" y="3628846"/>
                              <a:ext cx="732384" cy="342558"/>
                            </a:xfrm>
                            <a:prstGeom prst="rect">
                              <a:avLst/>
                            </a:prstGeom>
                            <a:noFill/>
                            <a:ln w="9525">
                              <a:noFill/>
                              <a:miter lim="800000"/>
                              <a:headEnd/>
                              <a:tailEnd/>
                            </a:ln>
                          </wps:spPr>
                          <wps:txbx>
                            <w:txbxContent>
                              <w:p w:rsidR="00AA4416" w:rsidRDefault="00AA4416" w:rsidP="00A21536">
                                <w:pPr>
                                  <w:spacing w:after="200"/>
                                  <w:textAlignment w:val="baseline"/>
                                </w:pPr>
                                <w:r w:rsidRPr="00993052">
                                  <w:rPr>
                                    <w:rFonts w:ascii="Arial" w:hAnsi="Arial" w:cstheme="minorBidi"/>
                                    <w:color w:val="7F7F7F" w:themeColor="text1" w:themeTint="80"/>
                                    <w:kern w:val="24"/>
                                    <w:sz w:val="22"/>
                                    <w:szCs w:val="22"/>
                                    <w:u w:val="single"/>
                                  </w:rPr>
                                  <w:t>&gt;</w:t>
                                </w:r>
                                <w:r w:rsidRPr="00993052">
                                  <w:t xml:space="preserve"> 1,00 m</w:t>
                                </w:r>
                              </w:p>
                            </w:txbxContent>
                          </wps:txbx>
                          <wps:bodyPr wrap="square" lIns="75888" tIns="37944" rIns="75888" bIns="37944">
                            <a:noAutofit/>
                          </wps:bodyPr>
                        </wps:wsp>
                      </wpg:grpSp>
                      <wps:wsp>
                        <wps:cNvPr id="2890" name="Gerade Verbindung 418"/>
                        <wps:cNvCnPr/>
                        <wps:spPr bwMode="auto">
                          <a:xfrm flipH="1">
                            <a:off x="2597150" y="3384550"/>
                            <a:ext cx="1587" cy="323850"/>
                          </a:xfrm>
                          <a:prstGeom prst="line">
                            <a:avLst/>
                          </a:prstGeom>
                          <a:noFill/>
                          <a:ln w="9525" cap="flat" cmpd="sng" algn="ctr">
                            <a:solidFill>
                              <a:srgbClr val="8064A2">
                                <a:lumMod val="75000"/>
                              </a:srgbClr>
                            </a:solidFill>
                            <a:prstDash val="solid"/>
                          </a:ln>
                          <a:effectLst/>
                        </wps:spPr>
                        <wps:bodyPr/>
                      </wps:wsp>
                      <wps:wsp>
                        <wps:cNvPr id="2891" name="Gerade Verbindung 419"/>
                        <wps:cNvCnPr/>
                        <wps:spPr bwMode="auto">
                          <a:xfrm>
                            <a:off x="2716212" y="3263900"/>
                            <a:ext cx="1169988" cy="0"/>
                          </a:xfrm>
                          <a:prstGeom prst="line">
                            <a:avLst/>
                          </a:prstGeom>
                          <a:noFill/>
                          <a:ln w="9525" cap="flat" cmpd="sng" algn="ctr">
                            <a:solidFill>
                              <a:srgbClr val="8064A2">
                                <a:lumMod val="75000"/>
                              </a:srgbClr>
                            </a:solidFill>
                            <a:prstDash val="solid"/>
                          </a:ln>
                          <a:effectLst/>
                        </wps:spPr>
                        <wps:bodyPr/>
                      </wps:wsp>
                      <wps:wsp>
                        <wps:cNvPr id="2892" name="Bogen 20"/>
                        <wps:cNvSpPr/>
                        <wps:spPr bwMode="auto">
                          <a:xfrm flipH="1">
                            <a:off x="2598737" y="3262312"/>
                            <a:ext cx="287338" cy="257175"/>
                          </a:xfrm>
                          <a:prstGeom prst="arc">
                            <a:avLst>
                              <a:gd name="adj1" fmla="val 16244643"/>
                              <a:gd name="adj2" fmla="val 36358"/>
                            </a:avLst>
                          </a:prstGeom>
                          <a:noFill/>
                          <a:ln w="9525" cap="flat" cmpd="sng" algn="ctr">
                            <a:solidFill>
                              <a:srgbClr val="8064A2">
                                <a:lumMod val="75000"/>
                              </a:srgbClr>
                            </a:solidFill>
                            <a:prstDash val="solid"/>
                          </a:ln>
                          <a:effectLst/>
                        </wps:spPr>
                        <wps:bodyPr anchor="ctr"/>
                      </wps:wsp>
                      <wps:wsp>
                        <wps:cNvPr id="2893" name="Rectangle 23" descr="25%"/>
                        <wps:cNvSpPr>
                          <a:spLocks noChangeAspect="1" noChangeArrowheads="1"/>
                        </wps:cNvSpPr>
                        <wps:spPr bwMode="auto">
                          <a:xfrm>
                            <a:off x="2487612" y="3804893"/>
                            <a:ext cx="1404938" cy="646011"/>
                          </a:xfrm>
                          <a:prstGeom prst="rect">
                            <a:avLst/>
                          </a:prstGeom>
                          <a:pattFill prst="openDmnd">
                            <a:fgClr>
                              <a:srgbClr val="943634"/>
                            </a:fgClr>
                            <a:bgClr>
                              <a:srgbClr val="FFFFFF"/>
                            </a:bgClr>
                          </a:pattFill>
                          <a:ln w="9525">
                            <a:solidFill>
                              <a:srgbClr val="C0504D">
                                <a:lumMod val="75000"/>
                              </a:srgbClr>
                            </a:solidFill>
                            <a:miter lim="800000"/>
                            <a:headEnd/>
                            <a:tailEnd/>
                          </a:ln>
                        </wps:spPr>
                        <wps:bodyPr wrap="none" anchor="ctr"/>
                      </wps:wsp>
                      <wps:wsp>
                        <wps:cNvPr id="2894" name="Rectangle 20" descr="5%"/>
                        <wps:cNvSpPr>
                          <a:spLocks noChangeAspect="1" noChangeArrowheads="1"/>
                        </wps:cNvSpPr>
                        <wps:spPr bwMode="auto">
                          <a:xfrm>
                            <a:off x="2833687" y="3275013"/>
                            <a:ext cx="1057275" cy="153987"/>
                          </a:xfrm>
                          <a:prstGeom prst="rect">
                            <a:avLst/>
                          </a:prstGeom>
                          <a:blipFill dpi="0" rotWithShape="0">
                            <a:blip r:embed="rId17"/>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895" name="Text Box 63"/>
                        <wps:cNvSpPr txBox="1">
                          <a:spLocks noChangeAspect="1" noChangeArrowheads="1"/>
                        </wps:cNvSpPr>
                        <wps:spPr bwMode="auto">
                          <a:xfrm>
                            <a:off x="2844695" y="3228975"/>
                            <a:ext cx="596910" cy="343857"/>
                          </a:xfrm>
                          <a:prstGeom prst="rect">
                            <a:avLst/>
                          </a:prstGeom>
                          <a:noFill/>
                          <a:ln w="9525">
                            <a:noFill/>
                            <a:miter lim="800000"/>
                            <a:headEnd/>
                            <a:tailEnd/>
                          </a:ln>
                        </wps:spPr>
                        <wps:txbx>
                          <w:txbxContent>
                            <w:p w:rsidR="00AA4416" w:rsidRDefault="00AA4416" w:rsidP="00A21536">
                              <w:pPr>
                                <w:spacing w:after="200"/>
                                <w:textAlignment w:val="baseline"/>
                              </w:pPr>
                              <w:r w:rsidRPr="00993052">
                                <w:t>1,00 m</w:t>
                              </w:r>
                            </w:p>
                          </w:txbxContent>
                        </wps:txbx>
                        <wps:bodyPr wrap="square" lIns="75888" tIns="37944" rIns="75888" bIns="37944">
                          <a:noAutofit/>
                        </wps:bodyPr>
                      </wps:wsp>
                      <wps:wsp>
                        <wps:cNvPr id="2896" name="Gerade Verbindung 432"/>
                        <wps:cNvCnPr/>
                        <wps:spPr bwMode="auto">
                          <a:xfrm>
                            <a:off x="2751137" y="3432175"/>
                            <a:ext cx="1157288" cy="6350"/>
                          </a:xfrm>
                          <a:prstGeom prst="line">
                            <a:avLst/>
                          </a:prstGeom>
                          <a:noFill/>
                          <a:ln w="9525" cap="flat" cmpd="sng" algn="ctr">
                            <a:solidFill>
                              <a:srgbClr val="C0504D">
                                <a:lumMod val="75000"/>
                              </a:srgbClr>
                            </a:solidFill>
                            <a:prstDash val="solid"/>
                          </a:ln>
                          <a:effectLst/>
                        </wps:spPr>
                        <wps:bodyPr/>
                      </wps:wsp>
                      <wps:wsp>
                        <wps:cNvPr id="2897" name="Gerade Verbindung 436"/>
                        <wps:cNvCnPr/>
                        <wps:spPr bwMode="auto">
                          <a:xfrm flipH="1">
                            <a:off x="2746374" y="3436593"/>
                            <a:ext cx="3175" cy="368110"/>
                          </a:xfrm>
                          <a:prstGeom prst="line">
                            <a:avLst/>
                          </a:prstGeom>
                          <a:noFill/>
                          <a:ln w="9525" cap="flat" cmpd="sng" algn="ctr">
                            <a:solidFill>
                              <a:srgbClr val="C0504D">
                                <a:lumMod val="75000"/>
                              </a:srgbClr>
                            </a:solidFill>
                            <a:prstDash val="solid"/>
                          </a:ln>
                          <a:effectLst/>
                        </wps:spPr>
                        <wps:bodyPr/>
                      </wps:wsp>
                      <wps:wsp>
                        <wps:cNvPr id="2898" name="Gerade Verbindung 442"/>
                        <wps:cNvCnPr/>
                        <wps:spPr bwMode="auto">
                          <a:xfrm>
                            <a:off x="2495550" y="3698875"/>
                            <a:ext cx="96837" cy="1587"/>
                          </a:xfrm>
                          <a:prstGeom prst="line">
                            <a:avLst/>
                          </a:prstGeom>
                          <a:noFill/>
                          <a:ln w="9525" cap="flat" cmpd="sng" algn="ctr">
                            <a:solidFill>
                              <a:srgbClr val="8064A2">
                                <a:lumMod val="75000"/>
                              </a:srgbClr>
                            </a:solidFill>
                            <a:prstDash val="solid"/>
                          </a:ln>
                          <a:effectLst/>
                        </wps:spPr>
                        <wps:bodyPr/>
                      </wps:wsp>
                      <wps:wsp>
                        <wps:cNvPr id="2899" name="Gerade Verbindung 446"/>
                        <wps:cNvCnPr/>
                        <wps:spPr bwMode="auto">
                          <a:xfrm flipH="1">
                            <a:off x="2617787" y="3843337"/>
                            <a:ext cx="3175" cy="34925"/>
                          </a:xfrm>
                          <a:prstGeom prst="line">
                            <a:avLst/>
                          </a:prstGeom>
                          <a:noFill/>
                          <a:ln w="38100" cap="flat" cmpd="sng" algn="ctr">
                            <a:solidFill>
                              <a:sysClr val="windowText" lastClr="000000"/>
                            </a:solidFill>
                            <a:prstDash val="solid"/>
                          </a:ln>
                          <a:effectLst/>
                        </wps:spPr>
                        <wps:bodyPr/>
                      </wps:wsp>
                      <wps:wsp>
                        <wps:cNvPr id="2900" name="Rectangle 23" descr="25%"/>
                        <wps:cNvSpPr>
                          <a:spLocks noChangeAspect="1" noChangeArrowheads="1"/>
                        </wps:cNvSpPr>
                        <wps:spPr bwMode="auto">
                          <a:xfrm>
                            <a:off x="2754312" y="3440113"/>
                            <a:ext cx="1165225" cy="485775"/>
                          </a:xfrm>
                          <a:prstGeom prst="rect">
                            <a:avLst/>
                          </a:prstGeom>
                          <a:blipFill dpi="0" rotWithShape="0">
                            <a:blip r:embed="rId1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cNvPr id="2901" name="Gruppieren 30"/>
                        <wpg:cNvGrpSpPr>
                          <a:grpSpLocks/>
                        </wpg:cNvGrpSpPr>
                        <wpg:grpSpPr bwMode="auto">
                          <a:xfrm>
                            <a:off x="2611437" y="3695700"/>
                            <a:ext cx="1381125" cy="642938"/>
                            <a:chOff x="2611437" y="3695700"/>
                            <a:chExt cx="1294662" cy="643432"/>
                          </a:xfrm>
                        </wpg:grpSpPr>
                        <wps:wsp>
                          <wps:cNvPr id="2902" name="Rectangle 25" descr="Kugeln"/>
                          <wps:cNvSpPr>
                            <a:spLocks noChangeAspect="1" noChangeArrowheads="1"/>
                          </wps:cNvSpPr>
                          <wps:spPr bwMode="auto">
                            <a:xfrm>
                              <a:off x="2611437" y="3883318"/>
                              <a:ext cx="1195366" cy="455814"/>
                            </a:xfrm>
                            <a:prstGeom prst="rect">
                              <a:avLst/>
                            </a:prstGeom>
                            <a:blipFill dpi="0" rotWithShape="0">
                              <a:blip r:embed="rId20"/>
                              <a:srcRect/>
                              <a:tile tx="0" ty="0" sx="100000" sy="100000" flip="none" algn="tl"/>
                            </a:blipFill>
                            <a:ln w="9525">
                              <a:solidFill>
                                <a:srgbClr val="000000"/>
                              </a:solidFill>
                              <a:miter lim="800000"/>
                              <a:headEnd/>
                              <a:tailEnd/>
                            </a:ln>
                          </wps:spPr>
                          <wps:bodyPr wrap="none" anchor="ctr"/>
                        </wps:wsp>
                        <wps:wsp>
                          <wps:cNvPr id="2903" name="Rectangle 47" descr="Kugeln"/>
                          <wps:cNvSpPr>
                            <a:spLocks noChangeAspect="1" noChangeArrowheads="1"/>
                          </wps:cNvSpPr>
                          <wps:spPr bwMode="auto">
                            <a:xfrm>
                              <a:off x="3170536" y="3695700"/>
                              <a:ext cx="735563" cy="77887"/>
                            </a:xfrm>
                            <a:prstGeom prst="rect">
                              <a:avLst/>
                            </a:prstGeom>
                            <a:blipFill dpi="0" rotWithShape="0">
                              <a:blip r:embed="rId20"/>
                              <a:srcRect/>
                              <a:tile tx="0" ty="0" sx="100000" sy="100000" flip="none" algn="tl"/>
                            </a:blipFill>
                            <a:ln w="9525">
                              <a:solidFill>
                                <a:srgbClr val="000000"/>
                              </a:solidFill>
                              <a:miter lim="800000"/>
                              <a:headEnd/>
                              <a:tailEnd/>
                            </a:ln>
                          </wps:spPr>
                          <wps:bodyPr wrap="none" anchor="ctr"/>
                        </wps:wsp>
                        <wps:wsp>
                          <wps:cNvPr id="2904" name="Rectangle 47" descr="Kugeln"/>
                          <wps:cNvSpPr>
                            <a:spLocks noChangeAspect="1" noChangeArrowheads="1"/>
                          </wps:cNvSpPr>
                          <wps:spPr bwMode="auto">
                            <a:xfrm>
                              <a:off x="3567034" y="3774395"/>
                              <a:ext cx="64892" cy="117342"/>
                            </a:xfrm>
                            <a:prstGeom prst="rect">
                              <a:avLst/>
                            </a:pr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905" name="Gerade Verbindung 426"/>
                          <wps:cNvCnPr/>
                          <wps:spPr>
                            <a:xfrm>
                              <a:off x="3562344" y="3771959"/>
                              <a:ext cx="0" cy="123920"/>
                            </a:xfrm>
                            <a:prstGeom prst="line">
                              <a:avLst/>
                            </a:prstGeom>
                            <a:noFill/>
                            <a:ln w="9525" cap="flat" cmpd="sng" algn="ctr">
                              <a:solidFill>
                                <a:sysClr val="windowText" lastClr="000000"/>
                              </a:solidFill>
                              <a:prstDash val="solid"/>
                            </a:ln>
                            <a:effectLst/>
                          </wps:spPr>
                          <wps:bodyPr/>
                        </wps:wsp>
                        <wps:wsp>
                          <wps:cNvPr id="2906" name="Gerade Verbindung 427"/>
                          <wps:cNvCnPr/>
                          <wps:spPr>
                            <a:xfrm>
                              <a:off x="3630798" y="3775136"/>
                              <a:ext cx="0" cy="123920"/>
                            </a:xfrm>
                            <a:prstGeom prst="line">
                              <a:avLst/>
                            </a:prstGeom>
                            <a:noFill/>
                            <a:ln w="9525" cap="flat" cmpd="sng" algn="ctr">
                              <a:solidFill>
                                <a:sysClr val="windowText" lastClr="000000"/>
                              </a:solidFill>
                              <a:prstDash val="solid"/>
                            </a:ln>
                            <a:effectLst/>
                          </wps:spPr>
                          <wps:bodyPr/>
                        </wps:wsp>
                        <wps:wsp>
                          <wps:cNvPr id="2907" name="Rectangle 47" descr="Kugeln"/>
                          <wps:cNvSpPr>
                            <a:spLocks noChangeAspect="1" noChangeArrowheads="1"/>
                          </wps:cNvSpPr>
                          <wps:spPr bwMode="auto">
                            <a:xfrm rot="-5400000">
                              <a:off x="3266955" y="3794264"/>
                              <a:ext cx="64327" cy="118374"/>
                            </a:xfrm>
                            <a:prstGeom prst="rect">
                              <a:avLst/>
                            </a:prstGeom>
                            <a:blipFill dpi="0" rotWithShape="0">
                              <a:blip r:embed="rId20"/>
                              <a:srcRect/>
                              <a:tile tx="0" ty="0" sx="100000" sy="100000" flip="none" algn="tl"/>
                            </a:blipFill>
                            <a:ln w="9525">
                              <a:solidFill>
                                <a:sysClr val="windowText" lastClr="000000"/>
                              </a:solidFill>
                              <a:miter lim="800000"/>
                              <a:headEnd/>
                              <a:tailEnd/>
                            </a:ln>
                          </wps:spPr>
                          <wps:bodyPr wrap="none" anchor="ctr"/>
                        </wps:wsp>
                      </wpg:grpSp>
                      <wps:wsp>
                        <wps:cNvPr id="2908" name="AutoShape 68"/>
                        <wps:cNvSpPr>
                          <a:spLocks noChangeAspect="1" noChangeArrowheads="1"/>
                        </wps:cNvSpPr>
                        <wps:spPr bwMode="auto">
                          <a:xfrm rot="5400000">
                            <a:off x="3260725" y="3763963"/>
                            <a:ext cx="1343025" cy="231775"/>
                          </a:xfrm>
                          <a:prstGeom prst="wave">
                            <a:avLst>
                              <a:gd name="adj1" fmla="val 13005"/>
                              <a:gd name="adj2" fmla="val 0"/>
                            </a:avLst>
                          </a:prstGeom>
                          <a:solidFill>
                            <a:srgbClr val="FFFFFF"/>
                          </a:solidFill>
                          <a:ln w="9525">
                            <a:solidFill>
                              <a:srgbClr val="000000"/>
                            </a:solidFill>
                            <a:prstDash val="sysDot"/>
                            <a:round/>
                            <a:headEnd/>
                            <a:tailEnd/>
                          </a:ln>
                        </wps:spPr>
                        <wps:bodyPr wrap="none" anchor="ctr"/>
                      </wps:wsp>
                      <wps:wsp>
                        <wps:cNvPr id="2909" name="Line 17" descr="Große Konfetti"/>
                        <wps:cNvCnPr/>
                        <wps:spPr bwMode="auto">
                          <a:xfrm rot="19387806" flipV="1">
                            <a:off x="2589212" y="3902075"/>
                            <a:ext cx="39688" cy="53975"/>
                          </a:xfrm>
                          <a:prstGeom prst="line">
                            <a:avLst/>
                          </a:prstGeom>
                          <a:noFill/>
                          <a:ln w="9525">
                            <a:solidFill>
                              <a:srgbClr val="943634"/>
                            </a:solidFill>
                            <a:round/>
                            <a:headEnd/>
                            <a:tailEnd type="triangle" w="med" len="med"/>
                          </a:ln>
                          <a:extLst>
                            <a:ext uri="{909E8E84-426E-40DD-AFC4-6F175D3DCCD1}">
                              <a14:hiddenFill xmlns:a14="http://schemas.microsoft.com/office/drawing/2010/main">
                                <a:noFill/>
                              </a14:hiddenFill>
                            </a:ext>
                          </a:extLst>
                        </wps:spPr>
                        <wps:bodyPr/>
                      </wps:wsp>
                      <wpg:grpSp>
                        <wpg:cNvPr id="2910" name="Gruppieren 33"/>
                        <wpg:cNvGrpSpPr>
                          <a:grpSpLocks/>
                        </wpg:cNvGrpSpPr>
                        <wpg:grpSpPr bwMode="auto">
                          <a:xfrm rot="-5400000">
                            <a:off x="2850360" y="3329786"/>
                            <a:ext cx="411162" cy="12699"/>
                            <a:chOff x="2863027" y="3340952"/>
                            <a:chExt cx="410656" cy="12243"/>
                          </a:xfrm>
                        </wpg:grpSpPr>
                        <wps:wsp>
                          <wps:cNvPr id="2911" name="Gerade Verbindung mit Pfeil 144"/>
                          <wps:cNvCnPr/>
                          <wps:spPr>
                            <a:xfrm flipH="1" flipV="1">
                              <a:off x="2863027" y="3340952"/>
                              <a:ext cx="131600" cy="1531"/>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s:wsp>
                          <wps:cNvPr id="2912" name="Gerade Verbindung mit Pfeil 145"/>
                          <wps:cNvCnPr/>
                          <wps:spPr>
                            <a:xfrm flipV="1">
                              <a:off x="3143668" y="3351665"/>
                              <a:ext cx="130015" cy="1530"/>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g:grpSp>
                      <wps:wsp>
                        <wps:cNvPr id="2913" name="Gerade Verbindung mit Pfeil 34"/>
                        <wps:cNvCnPr/>
                        <wps:spPr bwMode="auto">
                          <a:xfrm flipH="1">
                            <a:off x="2749550" y="3746500"/>
                            <a:ext cx="461962" cy="0"/>
                          </a:xfrm>
                          <a:prstGeom prst="straightConnector1">
                            <a:avLst/>
                          </a:prstGeom>
                          <a:noFill/>
                          <a:ln w="9525" cap="flat" cmpd="sng" algn="ctr">
                            <a:solidFill>
                              <a:srgbClr val="C0504D">
                                <a:lumMod val="75000"/>
                              </a:srgbClr>
                            </a:solidFill>
                            <a:prstDash val="solid"/>
                            <a:headEnd type="triangle" w="med" len="med"/>
                            <a:tailEnd type="triangle" w="med" len="med"/>
                          </a:ln>
                          <a:effectLst/>
                        </wps:spPr>
                        <wps:bodyPr/>
                      </wps:wsp>
                      <wps:wsp>
                        <wps:cNvPr id="2914" name="Line 100"/>
                        <wps:cNvCnPr/>
                        <wps:spPr bwMode="auto">
                          <a:xfrm>
                            <a:off x="2611437" y="4095750"/>
                            <a:ext cx="1073150" cy="14605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915" name="Line 100"/>
                        <wps:cNvCnPr/>
                        <wps:spPr bwMode="auto">
                          <a:xfrm>
                            <a:off x="2500312" y="4170363"/>
                            <a:ext cx="1012825" cy="1709737"/>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2916" name="Gruppieren 38"/>
                        <wpg:cNvGrpSpPr>
                          <a:grpSpLocks/>
                        </wpg:cNvGrpSpPr>
                        <wpg:grpSpPr bwMode="auto">
                          <a:xfrm>
                            <a:off x="2370136" y="3433418"/>
                            <a:ext cx="773207" cy="250496"/>
                            <a:chOff x="2370137" y="3433418"/>
                            <a:chExt cx="773205" cy="250496"/>
                          </a:xfrm>
                        </wpg:grpSpPr>
                        <wps:wsp>
                          <wps:cNvPr id="2917" name="Text Box 63"/>
                          <wps:cNvSpPr txBox="1">
                            <a:spLocks noChangeAspect="1" noChangeArrowheads="1"/>
                          </wps:cNvSpPr>
                          <wps:spPr bwMode="auto">
                            <a:xfrm>
                              <a:off x="2438310" y="3433418"/>
                              <a:ext cx="705032" cy="250496"/>
                            </a:xfrm>
                            <a:prstGeom prst="rect">
                              <a:avLst/>
                            </a:prstGeom>
                            <a:noFill/>
                            <a:ln w="9525">
                              <a:noFill/>
                              <a:miter lim="800000"/>
                              <a:headEnd/>
                              <a:tailEnd/>
                            </a:ln>
                          </wps:spPr>
                          <wps:txbx>
                            <w:txbxContent>
                              <w:p w:rsidR="00AA4416" w:rsidRDefault="00AA4416" w:rsidP="00A21536">
                                <w:pPr>
                                  <w:spacing w:after="200"/>
                                  <w:textAlignment w:val="baseline"/>
                                </w:pPr>
                                <w:r w:rsidRPr="00993052">
                                  <w:t>&gt; 0,60 m</w:t>
                                </w:r>
                              </w:p>
                            </w:txbxContent>
                          </wps:txbx>
                          <wps:bodyPr wrap="square" lIns="75888" tIns="37944" rIns="75888" bIns="37944">
                            <a:noAutofit/>
                          </wps:bodyPr>
                        </wps:wsp>
                        <wps:wsp>
                          <wps:cNvPr id="2918" name="Gerade Verbindung mit Pfeil 142"/>
                          <wps:cNvCnPr/>
                          <wps:spPr bwMode="auto">
                            <a:xfrm flipV="1">
                              <a:off x="2592386" y="3644900"/>
                              <a:ext cx="131763" cy="1587"/>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s:wsp>
                          <wps:cNvPr id="2919" name="Gerade Verbindung mit Pfeil 143"/>
                          <wps:cNvCnPr/>
                          <wps:spPr bwMode="auto">
                            <a:xfrm flipH="1" flipV="1">
                              <a:off x="2370137" y="3641725"/>
                              <a:ext cx="130175" cy="1587"/>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g:grpSp>
                      <wps:wsp>
                        <wps:cNvPr id="2920" name="Gerade Verbindung 198"/>
                        <wps:cNvCnPr/>
                        <wps:spPr bwMode="auto">
                          <a:xfrm>
                            <a:off x="1992312" y="3586162"/>
                            <a:ext cx="0" cy="292100"/>
                          </a:xfrm>
                          <a:prstGeom prst="line">
                            <a:avLst/>
                          </a:prstGeom>
                          <a:noFill/>
                          <a:ln w="9525" cap="flat" cmpd="sng" algn="ctr">
                            <a:solidFill>
                              <a:sysClr val="windowText" lastClr="000000"/>
                            </a:solidFill>
                            <a:prstDash val="solid"/>
                          </a:ln>
                          <a:effectLst/>
                        </wps:spPr>
                        <wps:bodyPr/>
                      </wps:wsp>
                      <wps:wsp>
                        <wps:cNvPr id="2921" name="Gerade Verbindung 200"/>
                        <wps:cNvCnPr/>
                        <wps:spPr bwMode="auto">
                          <a:xfrm flipV="1">
                            <a:off x="539750" y="3594100"/>
                            <a:ext cx="1452562" cy="11112"/>
                          </a:xfrm>
                          <a:prstGeom prst="line">
                            <a:avLst/>
                          </a:prstGeom>
                          <a:noFill/>
                          <a:ln w="9525" cap="flat" cmpd="sng" algn="ctr">
                            <a:solidFill>
                              <a:sysClr val="windowText" lastClr="000000"/>
                            </a:solidFill>
                            <a:prstDash val="solid"/>
                          </a:ln>
                          <a:effectLst/>
                        </wps:spPr>
                        <wps:bodyPr/>
                      </wps:wsp>
                      <wps:wsp>
                        <wps:cNvPr id="2922" name="Text Box 14"/>
                        <wps:cNvSpPr txBox="1">
                          <a:spLocks noChangeArrowheads="1"/>
                        </wps:cNvSpPr>
                        <wps:spPr bwMode="auto">
                          <a:xfrm>
                            <a:off x="3917950" y="1693778"/>
                            <a:ext cx="1370012" cy="650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Pr="004362CA" w:rsidRDefault="00AA4416" w:rsidP="00A21536">
                              <w:pPr>
                                <w:textAlignment w:val="baseline"/>
                              </w:pPr>
                              <w:r w:rsidRPr="00A00B82">
                                <w:rPr>
                                  <w:rFonts w:ascii="Verdana" w:hAnsi="Verdana" w:cs="Arial"/>
                                  <w:color w:val="1F497D" w:themeColor="text2"/>
                                  <w:kern w:val="24"/>
                                  <w:sz w:val="16"/>
                                  <w:szCs w:val="16"/>
                                </w:rPr>
                                <w:t>Begrenzungsebene des Bereichs der Ladung</w:t>
                              </w:r>
                            </w:p>
                          </w:txbxContent>
                        </wps:txbx>
                        <wps:bodyPr wrap="square" lIns="75888" tIns="37944" rIns="75888" bIns="37944">
                          <a:noAutofit/>
                        </wps:bodyPr>
                      </wps:wsp>
                      <wps:wsp>
                        <wps:cNvPr id="2923" name="Gerade Verbindung 503"/>
                        <wps:cNvCnPr/>
                        <wps:spPr bwMode="auto">
                          <a:xfrm>
                            <a:off x="2479675" y="266700"/>
                            <a:ext cx="22225" cy="6134100"/>
                          </a:xfrm>
                          <a:prstGeom prst="line">
                            <a:avLst/>
                          </a:prstGeom>
                          <a:noFill/>
                          <a:ln w="9525" cap="flat" cmpd="sng" algn="ctr">
                            <a:solidFill>
                              <a:srgbClr val="1F497D"/>
                            </a:solidFill>
                            <a:prstDash val="dash"/>
                          </a:ln>
                          <a:effectLst/>
                        </wps:spPr>
                        <wps:bodyPr/>
                      </wps:wsp>
                      <wps:wsp>
                        <wps:cNvPr id="2924" name="Gerade Verbindung mit Pfeil 43"/>
                        <wps:cNvCnPr/>
                        <wps:spPr>
                          <a:xfrm flipH="1">
                            <a:off x="2476501" y="1932284"/>
                            <a:ext cx="1441449" cy="575966"/>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925" name="Textfeld 467"/>
                        <wps:cNvSpPr txBox="1">
                          <a:spLocks noChangeArrowheads="1"/>
                        </wps:cNvSpPr>
                        <wps:spPr bwMode="auto">
                          <a:xfrm>
                            <a:off x="0" y="5637213"/>
                            <a:ext cx="2245997"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Pr="00A00B82" w:rsidRDefault="00AA4416" w:rsidP="00A21536">
                              <w:pPr>
                                <w:rPr>
                                  <w:rFonts w:ascii="Arial" w:hAnsi="Arial" w:cs="Arial"/>
                                  <w:color w:val="000000" w:themeColor="text1"/>
                                  <w:kern w:val="24"/>
                                  <w:sz w:val="24"/>
                                  <w:szCs w:val="24"/>
                                </w:rPr>
                              </w:pPr>
                              <w:r w:rsidRPr="00A00B82">
                                <w:rPr>
                                  <w:rFonts w:ascii="Arial" w:hAnsi="Arial" w:cs="Arial"/>
                                  <w:color w:val="000000" w:themeColor="text1"/>
                                  <w:kern w:val="24"/>
                                  <w:sz w:val="24"/>
                                  <w:szCs w:val="24"/>
                                </w:rPr>
                                <w:t>Schutzwand nicht Außenwand der Wohnung</w:t>
                              </w:r>
                            </w:p>
                            <w:p w:rsidR="00AA4416" w:rsidRPr="00050DB5" w:rsidRDefault="00AA4416" w:rsidP="00A21536">
                              <w:pPr>
                                <w:textAlignment w:val="baseline"/>
                                <w:rPr>
                                  <w:lang w:val="de-DE"/>
                                </w:rPr>
                              </w:pPr>
                            </w:p>
                          </w:txbxContent>
                        </wps:txbx>
                        <wps:bodyPr wrap="square">
                          <a:noAutofit/>
                        </wps:bodyPr>
                      </wps:wsp>
                      <wpg:grpSp>
                        <wpg:cNvPr id="2926" name="Gruppieren 45"/>
                        <wpg:cNvGrpSpPr>
                          <a:grpSpLocks/>
                        </wpg:cNvGrpSpPr>
                        <wpg:grpSpPr bwMode="auto">
                          <a:xfrm>
                            <a:off x="3699895" y="3124198"/>
                            <a:ext cx="4264179" cy="2863859"/>
                            <a:chOff x="3699907" y="3124194"/>
                            <a:chExt cx="4264846" cy="2864125"/>
                          </a:xfrm>
                        </wpg:grpSpPr>
                        <wps:wsp>
                          <wps:cNvPr id="2927" name="Rectangle 93" descr="5%"/>
                          <wps:cNvSpPr>
                            <a:spLocks noChangeArrowheads="1"/>
                          </wps:cNvSpPr>
                          <wps:spPr bwMode="auto">
                            <a:xfrm>
                              <a:off x="6480111" y="3752722"/>
                              <a:ext cx="180000" cy="172800"/>
                            </a:xfrm>
                            <a:prstGeom prst="rect">
                              <a:avLst/>
                            </a:prstGeom>
                            <a:blipFill dpi="0" rotWithShape="0">
                              <a:blip r:embed="rId17"/>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cNvPr id="2928" name="Gruppieren 62"/>
                          <wpg:cNvGrpSpPr>
                            <a:grpSpLocks/>
                          </wpg:cNvGrpSpPr>
                          <wpg:grpSpPr bwMode="auto">
                            <a:xfrm>
                              <a:off x="3699907" y="3124194"/>
                              <a:ext cx="4264846" cy="2864125"/>
                              <a:chOff x="3699907" y="3124194"/>
                              <a:chExt cx="4264846" cy="2864125"/>
                            </a:xfrm>
                          </wpg:grpSpPr>
                          <wps:wsp>
                            <wps:cNvPr id="2929" name="Rectangle 93" descr="5%"/>
                            <wps:cNvSpPr>
                              <a:spLocks noChangeArrowheads="1"/>
                            </wps:cNvSpPr>
                            <wps:spPr bwMode="auto">
                              <a:xfrm>
                                <a:off x="6306026" y="3746060"/>
                                <a:ext cx="180000" cy="180000"/>
                              </a:xfrm>
                              <a:prstGeom prst="rect">
                                <a:avLst/>
                              </a:prstGeom>
                              <a:blipFill dpi="0" rotWithShape="0">
                                <a:blip r:embed="rId17"/>
                                <a:srcRect/>
                                <a:tile tx="0" ty="0" sx="100000" sy="100000" flip="none" algn="tl"/>
                              </a:blipFill>
                              <a:ln w="9525">
                                <a:solidFill>
                                  <a:srgbClr val="7030A0"/>
                                </a:solidFill>
                                <a:miter lim="800000"/>
                                <a:headEnd/>
                                <a:tailEnd/>
                              </a:ln>
                            </wps:spPr>
                            <wps:bodyPr wrap="none" anchor="ctr"/>
                          </wps:wsp>
                          <wps:wsp>
                            <wps:cNvPr id="2930" name="Text Box 14"/>
                            <wps:cNvSpPr txBox="1">
                              <a:spLocks noChangeArrowheads="1"/>
                            </wps:cNvSpPr>
                            <wps:spPr bwMode="auto">
                              <a:xfrm>
                                <a:off x="3699907" y="5306097"/>
                                <a:ext cx="1484239" cy="394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Pr="00A00B82" w:rsidRDefault="00AA4416" w:rsidP="00A00B82">
                                  <w:pPr>
                                    <w:jc w:val="center"/>
                                    <w:rPr>
                                      <w:rFonts w:ascii="Verdana" w:hAnsi="Verdana"/>
                                      <w:sz w:val="16"/>
                                      <w:szCs w:val="16"/>
                                      <w:lang w:val="de-DE"/>
                                    </w:rPr>
                                  </w:pPr>
                                  <w:r w:rsidRPr="00A00B82">
                                    <w:rPr>
                                      <w:rFonts w:ascii="Verdana" w:hAnsi="Verdana"/>
                                      <w:sz w:val="16"/>
                                      <w:szCs w:val="16"/>
                                      <w:lang w:val="de-DE"/>
                                    </w:rPr>
                                    <w:t>äußeres Ladetankschott</w:t>
                                  </w:r>
                                </w:p>
                              </w:txbxContent>
                            </wps:txbx>
                            <wps:bodyPr wrap="square" lIns="75888" tIns="37944" rIns="75888" bIns="37944">
                              <a:noAutofit/>
                            </wps:bodyPr>
                          </wps:wsp>
                          <wps:wsp>
                            <wps:cNvPr id="2931" name="Gerade Verbindung mit Pfeil 72"/>
                            <wps:cNvCnPr/>
                            <wps:spPr bwMode="auto">
                              <a:xfrm flipV="1">
                                <a:off x="6761652" y="3454431"/>
                                <a:ext cx="131784" cy="1587"/>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s:wsp>
                            <wps:cNvPr id="2932" name="Rectangle 20" descr="5%"/>
                            <wps:cNvSpPr>
                              <a:spLocks noChangeAspect="1" noChangeArrowheads="1"/>
                            </wps:cNvSpPr>
                            <wps:spPr bwMode="auto">
                              <a:xfrm>
                                <a:off x="6710678" y="3320841"/>
                                <a:ext cx="1057111" cy="153905"/>
                              </a:xfrm>
                              <a:prstGeom prst="rect">
                                <a:avLst/>
                              </a:prstGeom>
                              <a:blipFill dpi="0" rotWithShape="0">
                                <a:blip r:embed="rId17"/>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933" name="Gerade Verbindung 515"/>
                            <wps:cNvCnPr/>
                            <wps:spPr bwMode="auto">
                              <a:xfrm>
                                <a:off x="6721959" y="3487771"/>
                                <a:ext cx="395349" cy="6351"/>
                              </a:xfrm>
                              <a:prstGeom prst="line">
                                <a:avLst/>
                              </a:prstGeom>
                              <a:noFill/>
                              <a:ln w="9525" cap="flat" cmpd="sng" algn="ctr">
                                <a:solidFill>
                                  <a:srgbClr val="C0504D">
                                    <a:lumMod val="75000"/>
                                  </a:srgbClr>
                                </a:solidFill>
                                <a:prstDash val="solid"/>
                              </a:ln>
                              <a:effectLst/>
                            </wps:spPr>
                            <wps:bodyPr/>
                          </wps:wsp>
                          <wps:wsp>
                            <wps:cNvPr id="2934" name="Gerade Verbindung 516"/>
                            <wps:cNvCnPr/>
                            <wps:spPr bwMode="auto">
                              <a:xfrm>
                                <a:off x="6604466" y="3894209"/>
                                <a:ext cx="125432" cy="1588"/>
                              </a:xfrm>
                              <a:prstGeom prst="line">
                                <a:avLst/>
                              </a:prstGeom>
                              <a:noFill/>
                              <a:ln w="9525" cap="flat" cmpd="sng" algn="ctr">
                                <a:solidFill>
                                  <a:srgbClr val="C0504D">
                                    <a:lumMod val="75000"/>
                                  </a:srgbClr>
                                </a:solidFill>
                                <a:prstDash val="solid"/>
                              </a:ln>
                              <a:effectLst/>
                            </wps:spPr>
                            <wps:bodyPr/>
                          </wps:wsp>
                          <wps:wsp>
                            <wps:cNvPr id="2935" name="Rectangle 20" descr="5%"/>
                            <wps:cNvSpPr>
                              <a:spLocks noChangeArrowheads="1"/>
                            </wps:cNvSpPr>
                            <wps:spPr bwMode="auto">
                              <a:xfrm>
                                <a:off x="5134226" y="3923293"/>
                                <a:ext cx="1340381" cy="72007"/>
                              </a:xfrm>
                              <a:prstGeom prst="rect">
                                <a:avLst/>
                              </a:prstGeom>
                              <a:blipFill dpi="0" rotWithShape="0">
                                <a:blip r:embed="rId17"/>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936" name="Line 11"/>
                            <wps:cNvCnPr/>
                            <wps:spPr bwMode="auto">
                              <a:xfrm flipV="1">
                                <a:off x="4947827" y="3990506"/>
                                <a:ext cx="0" cy="89507"/>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2937" name="Line 12"/>
                            <wps:cNvCnPr/>
                            <wps:spPr bwMode="auto">
                              <a:xfrm>
                                <a:off x="4956080" y="3805144"/>
                                <a:ext cx="0" cy="89507"/>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2938" name="Text Box 13"/>
                            <wps:cNvSpPr txBox="1">
                              <a:spLocks noChangeAspect="1" noChangeArrowheads="1"/>
                            </wps:cNvSpPr>
                            <wps:spPr bwMode="auto">
                              <a:xfrm>
                                <a:off x="4943973" y="3699508"/>
                                <a:ext cx="660002" cy="334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Default="00AA4416" w:rsidP="00A21536">
                                  <w:pPr>
                                    <w:spacing w:after="200"/>
                                    <w:textAlignment w:val="baseline"/>
                                  </w:pPr>
                                  <w:r w:rsidRPr="00993052">
                                    <w:t>0,50 m</w:t>
                                  </w:r>
                                </w:p>
                              </w:txbxContent>
                            </wps:txbx>
                            <wps:bodyPr wrap="square" lIns="75888" tIns="37944" rIns="75888" bIns="37944">
                              <a:noAutofit/>
                            </wps:bodyPr>
                          </wps:wsp>
                          <wps:wsp>
                            <wps:cNvPr id="2939" name="Text Box 14"/>
                            <wps:cNvSpPr txBox="1">
                              <a:spLocks noChangeAspect="1" noChangeArrowheads="1"/>
                            </wps:cNvSpPr>
                            <wps:spPr bwMode="auto">
                              <a:xfrm>
                                <a:off x="5637388" y="3991775"/>
                                <a:ext cx="538576" cy="334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Default="00AA4416" w:rsidP="00A21536">
                                  <w:pPr>
                                    <w:spacing w:after="200"/>
                                    <w:textAlignment w:val="baseline"/>
                                  </w:pPr>
                                  <w:r w:rsidRPr="00993052">
                                    <w:t>7,5 m</w:t>
                                  </w:r>
                                </w:p>
                              </w:txbxContent>
                            </wps:txbx>
                            <wps:bodyPr wrap="square" lIns="75888" tIns="37944" rIns="75888" bIns="37944">
                              <a:noAutofit/>
                            </wps:bodyPr>
                          </wps:wsp>
                          <wps:wsp>
                            <wps:cNvPr id="2940" name="Line 10"/>
                            <wps:cNvCnPr/>
                            <wps:spPr bwMode="auto">
                              <a:xfrm flipH="1">
                                <a:off x="4955666" y="3907838"/>
                                <a:ext cx="153469"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2941" name="Gruppieren 82"/>
                            <wpg:cNvGrpSpPr>
                              <a:grpSpLocks/>
                            </wpg:cNvGrpSpPr>
                            <wpg:grpSpPr bwMode="auto">
                              <a:xfrm>
                                <a:off x="4186219" y="3586930"/>
                                <a:ext cx="2302201" cy="909249"/>
                                <a:chOff x="4186219" y="3586922"/>
                                <a:chExt cx="2302209" cy="909531"/>
                              </a:xfrm>
                            </wpg:grpSpPr>
                            <wps:wsp>
                              <wps:cNvPr id="2942" name="Line 76"/>
                              <wps:cNvCnPr/>
                              <wps:spPr bwMode="auto">
                                <a:xfrm>
                                  <a:off x="4477508" y="4232545"/>
                                  <a:ext cx="287626" cy="2639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3" name="Line 77"/>
                              <wps:cNvCnPr/>
                              <wps:spPr bwMode="auto">
                                <a:xfrm>
                                  <a:off x="4232696" y="4231758"/>
                                  <a:ext cx="251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4" name="Line 78"/>
                              <wps:cNvCnPr/>
                              <wps:spPr bwMode="auto">
                                <a:xfrm>
                                  <a:off x="4186219" y="3983115"/>
                                  <a:ext cx="46477" cy="2513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5" name="Line 81"/>
                              <wps:cNvCnPr/>
                              <wps:spPr bwMode="auto">
                                <a:xfrm flipH="1">
                                  <a:off x="4461765" y="3647034"/>
                                  <a:ext cx="14677" cy="3388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6" name="Line 82"/>
                              <wps:cNvCnPr/>
                              <wps:spPr bwMode="auto">
                                <a:xfrm flipV="1">
                                  <a:off x="4472421" y="3586922"/>
                                  <a:ext cx="2016007" cy="607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7" name="Line 79"/>
                              <wps:cNvCnPr/>
                              <wps:spPr bwMode="auto">
                                <a:xfrm>
                                  <a:off x="4188664" y="3991992"/>
                                  <a:ext cx="22724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948" name="Gruppieren 83"/>
                            <wpg:cNvGrpSpPr>
                              <a:grpSpLocks/>
                            </wpg:cNvGrpSpPr>
                            <wpg:grpSpPr bwMode="auto">
                              <a:xfrm>
                                <a:off x="4764532" y="3328239"/>
                                <a:ext cx="1793683" cy="1165890"/>
                                <a:chOff x="4764527" y="3327203"/>
                                <a:chExt cx="1773014" cy="1165890"/>
                              </a:xfrm>
                            </wpg:grpSpPr>
                            <wps:wsp>
                              <wps:cNvPr id="2949" name="Line 84"/>
                              <wps:cNvCnPr/>
                              <wps:spPr bwMode="auto">
                                <a:xfrm flipV="1">
                                  <a:off x="5991792" y="3329935"/>
                                  <a:ext cx="5436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0" name="Line 85"/>
                              <wps:cNvCnPr/>
                              <wps:spPr bwMode="auto">
                                <a:xfrm>
                                  <a:off x="5991792" y="3327203"/>
                                  <a:ext cx="2773" cy="1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1" name="Line 86"/>
                              <wps:cNvCnPr/>
                              <wps:spPr bwMode="auto">
                                <a:xfrm flipH="1">
                                  <a:off x="6473752" y="3327203"/>
                                  <a:ext cx="63789" cy="2103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2" name="Line 87"/>
                              <wps:cNvCnPr/>
                              <wps:spPr bwMode="auto">
                                <a:xfrm>
                                  <a:off x="6475738" y="3544664"/>
                                  <a:ext cx="0" cy="456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3" name="Line 88"/>
                              <wps:cNvCnPr/>
                              <wps:spPr bwMode="auto">
                                <a:xfrm>
                                  <a:off x="6021907" y="3520071"/>
                                  <a:ext cx="0" cy="879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4" name="Line 90"/>
                              <wps:cNvCnPr/>
                              <wps:spPr bwMode="auto">
                                <a:xfrm>
                                  <a:off x="4764527" y="4493093"/>
                                  <a:ext cx="17049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955" name="Gruppieren 84"/>
                            <wpg:cNvGrpSpPr>
                              <a:grpSpLocks/>
                            </wpg:cNvGrpSpPr>
                            <wpg:grpSpPr bwMode="auto">
                              <a:xfrm>
                                <a:off x="4495095" y="3401719"/>
                                <a:ext cx="1908016" cy="355190"/>
                                <a:chOff x="4495095" y="3401719"/>
                                <a:chExt cx="1908022" cy="355300"/>
                              </a:xfrm>
                            </wpg:grpSpPr>
                            <wps:wsp>
                              <wps:cNvPr id="2956" name="Rectangle 24" descr="Horizontal hell"/>
                              <wps:cNvSpPr>
                                <a:spLocks noChangeAspect="1" noChangeArrowheads="1"/>
                              </wps:cNvSpPr>
                              <wps:spPr bwMode="auto">
                                <a:xfrm>
                                  <a:off x="6077382" y="3401719"/>
                                  <a:ext cx="325735" cy="64770"/>
                                </a:xfrm>
                                <a:prstGeom prst="rect">
                                  <a:avLst/>
                                </a:prstGeom>
                                <a:blipFill dpi="0" rotWithShape="0">
                                  <a:blip r:embed="rId18"/>
                                  <a:srcRect/>
                                  <a:tile tx="0" ty="0" sx="100000" sy="100000" flip="none" algn="tl"/>
                                </a:blipFill>
                                <a:ln w="9525">
                                  <a:solidFill>
                                    <a:srgbClr val="000000"/>
                                  </a:solidFill>
                                  <a:miter lim="800000"/>
                                  <a:headEnd/>
                                  <a:tailEnd/>
                                </a:ln>
                              </wps:spPr>
                              <wps:bodyPr wrap="none" anchor="ctr"/>
                            </wps:wsp>
                            <wps:wsp>
                              <wps:cNvPr id="2957" name="Rectangle 92" descr="Horizontal hell"/>
                              <wps:cNvSpPr>
                                <a:spLocks noChangeAspect="1" noChangeArrowheads="1"/>
                              </wps:cNvSpPr>
                              <wps:spPr bwMode="auto">
                                <a:xfrm>
                                  <a:off x="4495095" y="3690979"/>
                                  <a:ext cx="324228" cy="66040"/>
                                </a:xfrm>
                                <a:prstGeom prst="rect">
                                  <a:avLst/>
                                </a:prstGeom>
                                <a:blipFill dpi="0" rotWithShape="0">
                                  <a:blip r:embed="rId18"/>
                                  <a:srcRect/>
                                  <a:tile tx="0" ty="0" sx="100000" sy="100000" flip="none" algn="tl"/>
                                </a:blipFill>
                                <a:ln w="9525">
                                  <a:solidFill>
                                    <a:srgbClr val="000000"/>
                                  </a:solidFill>
                                  <a:miter lim="800000"/>
                                  <a:headEnd/>
                                  <a:tailEnd/>
                                </a:ln>
                              </wps:spPr>
                              <wps:bodyPr wrap="none" anchor="ctr"/>
                            </wps:wsp>
                          </wpg:grpSp>
                          <wpg:grpSp>
                            <wpg:cNvPr id="2958" name="Gruppieren 85"/>
                            <wpg:cNvGrpSpPr>
                              <a:grpSpLocks/>
                            </wpg:cNvGrpSpPr>
                            <wpg:grpSpPr bwMode="auto">
                              <a:xfrm>
                                <a:off x="6604624" y="3301734"/>
                                <a:ext cx="362036" cy="673662"/>
                                <a:chOff x="6604624" y="3301734"/>
                                <a:chExt cx="266647" cy="597507"/>
                              </a:xfrm>
                            </wpg:grpSpPr>
                            <wps:wsp>
                              <wps:cNvPr id="2959" name="Oval 4" descr="5%"/>
                              <wps:cNvSpPr>
                                <a:spLocks noChangeAspect="1" noChangeArrowheads="1"/>
                              </wps:cNvSpPr>
                              <wps:spPr bwMode="auto">
                                <a:xfrm>
                                  <a:off x="6604624" y="3301734"/>
                                  <a:ext cx="266647" cy="266065"/>
                                </a:xfrm>
                                <a:prstGeom prst="ellipse">
                                  <a:avLst/>
                                </a:prstGeom>
                                <a:blipFill dpi="0" rotWithShape="0">
                                  <a:blip r:embed="rId1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wrap="none" anchor="ctr"/>
                            </wps:wsp>
                            <wps:wsp>
                              <wps:cNvPr id="2960" name="Rectangle 93" descr="5%"/>
                              <wps:cNvSpPr>
                                <a:spLocks noChangeAspect="1" noChangeArrowheads="1"/>
                              </wps:cNvSpPr>
                              <wps:spPr bwMode="auto">
                                <a:xfrm>
                                  <a:off x="6611443" y="3408091"/>
                                  <a:ext cx="133958" cy="491150"/>
                                </a:xfrm>
                                <a:prstGeom prst="rect">
                                  <a:avLst/>
                                </a:prstGeom>
                                <a:blipFill dpi="0" rotWithShape="0">
                                  <a:blip r:embed="rId17"/>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s:wsp>
                            <wps:cNvPr id="2961" name="Gerade Verbindung 527"/>
                            <wps:cNvCnPr/>
                            <wps:spPr bwMode="auto">
                              <a:xfrm flipH="1">
                                <a:off x="6615579" y="3435379"/>
                                <a:ext cx="4764" cy="306416"/>
                              </a:xfrm>
                              <a:prstGeom prst="line">
                                <a:avLst/>
                              </a:prstGeom>
                              <a:noFill/>
                              <a:ln w="9525" cap="flat" cmpd="sng" algn="ctr">
                                <a:solidFill>
                                  <a:srgbClr val="8064A2">
                                    <a:lumMod val="75000"/>
                                  </a:srgbClr>
                                </a:solidFill>
                                <a:prstDash val="solid"/>
                              </a:ln>
                              <a:effectLst/>
                            </wps:spPr>
                            <wps:bodyPr/>
                          </wps:wsp>
                          <wps:wsp>
                            <wps:cNvPr id="2962" name="Gerade Verbindung 528"/>
                            <wps:cNvCnPr/>
                            <wps:spPr bwMode="auto">
                              <a:xfrm>
                                <a:off x="6737836" y="3311543"/>
                                <a:ext cx="1079669" cy="1587"/>
                              </a:xfrm>
                              <a:prstGeom prst="line">
                                <a:avLst/>
                              </a:prstGeom>
                              <a:noFill/>
                              <a:ln w="9525" cap="flat" cmpd="sng" algn="ctr">
                                <a:solidFill>
                                  <a:srgbClr val="8064A2">
                                    <a:lumMod val="75000"/>
                                  </a:srgbClr>
                                </a:solidFill>
                                <a:prstDash val="solid"/>
                              </a:ln>
                              <a:effectLst/>
                            </wps:spPr>
                            <wps:bodyPr/>
                          </wps:wsp>
                          <wps:wsp>
                            <wps:cNvPr id="2963" name="Bogen 88"/>
                            <wps:cNvSpPr/>
                            <wps:spPr bwMode="auto">
                              <a:xfrm flipH="1">
                                <a:off x="6620343" y="3309954"/>
                                <a:ext cx="287382" cy="257199"/>
                              </a:xfrm>
                              <a:prstGeom prst="arc">
                                <a:avLst>
                                  <a:gd name="adj1" fmla="val 16244643"/>
                                  <a:gd name="adj2" fmla="val 36358"/>
                                </a:avLst>
                              </a:prstGeom>
                              <a:noFill/>
                              <a:ln w="9525" cap="flat" cmpd="sng" algn="ctr">
                                <a:solidFill>
                                  <a:srgbClr val="8064A2">
                                    <a:lumMod val="75000"/>
                                  </a:srgbClr>
                                </a:solidFill>
                                <a:prstDash val="solid"/>
                              </a:ln>
                              <a:effectLst/>
                            </wps:spPr>
                            <wps:bodyPr anchor="ctr"/>
                          </wps:wsp>
                          <wps:wsp>
                            <wps:cNvPr id="2964" name="Text Box 63"/>
                            <wps:cNvSpPr txBox="1">
                              <a:spLocks noChangeAspect="1" noChangeArrowheads="1"/>
                            </wps:cNvSpPr>
                            <wps:spPr bwMode="auto">
                              <a:xfrm>
                                <a:off x="6731236" y="3292491"/>
                                <a:ext cx="597004" cy="343889"/>
                              </a:xfrm>
                              <a:prstGeom prst="rect">
                                <a:avLst/>
                              </a:prstGeom>
                              <a:noFill/>
                              <a:ln w="9525">
                                <a:noFill/>
                                <a:miter lim="800000"/>
                                <a:headEnd/>
                                <a:tailEnd/>
                              </a:ln>
                            </wps:spPr>
                            <wps:txbx>
                              <w:txbxContent>
                                <w:p w:rsidR="00AA4416" w:rsidRDefault="00AA4416" w:rsidP="00A21536">
                                  <w:pPr>
                                    <w:spacing w:after="200"/>
                                    <w:textAlignment w:val="baseline"/>
                                  </w:pPr>
                                  <w:r w:rsidRPr="00993052">
                                    <w:t>1,00 m</w:t>
                                  </w:r>
                                </w:p>
                              </w:txbxContent>
                            </wps:txbx>
                            <wps:bodyPr wrap="square" lIns="75888" tIns="37944" rIns="75888" bIns="37944">
                              <a:noAutofit/>
                            </wps:bodyPr>
                          </wps:wsp>
                          <wps:wsp>
                            <wps:cNvPr id="2965" name="Rectangle 23" descr="25%"/>
                            <wps:cNvSpPr>
                              <a:spLocks noChangeAspect="1" noChangeArrowheads="1"/>
                            </wps:cNvSpPr>
                            <wps:spPr bwMode="auto">
                              <a:xfrm>
                                <a:off x="6485384" y="3851015"/>
                                <a:ext cx="1274962" cy="641511"/>
                              </a:xfrm>
                              <a:prstGeom prst="rect">
                                <a:avLst/>
                              </a:prstGeom>
                              <a:pattFill prst="openDmnd">
                                <a:fgClr>
                                  <a:srgbClr val="943634"/>
                                </a:fgClr>
                                <a:bgClr>
                                  <a:srgbClr val="FFFFFF"/>
                                </a:bgClr>
                              </a:pattFill>
                              <a:ln w="9525">
                                <a:solidFill>
                                  <a:srgbClr val="C0504D">
                                    <a:lumMod val="75000"/>
                                  </a:srgbClr>
                                </a:solidFill>
                                <a:miter lim="800000"/>
                                <a:headEnd/>
                                <a:tailEnd/>
                              </a:ln>
                            </wps:spPr>
                            <wps:bodyPr wrap="none" anchor="ctr"/>
                          </wps:wsp>
                          <wps:wsp>
                            <wps:cNvPr id="2966" name="Gerade Verbindung 532"/>
                            <wps:cNvCnPr/>
                            <wps:spPr bwMode="auto">
                              <a:xfrm flipV="1">
                                <a:off x="6777530" y="3479833"/>
                                <a:ext cx="1152705" cy="1587"/>
                              </a:xfrm>
                              <a:prstGeom prst="line">
                                <a:avLst/>
                              </a:prstGeom>
                              <a:noFill/>
                              <a:ln w="9525" cap="flat" cmpd="sng" algn="ctr">
                                <a:solidFill>
                                  <a:srgbClr val="C0504D">
                                    <a:lumMod val="75000"/>
                                  </a:srgbClr>
                                </a:solidFill>
                                <a:prstDash val="solid"/>
                              </a:ln>
                              <a:effectLst/>
                            </wps:spPr>
                            <wps:bodyPr/>
                          </wps:wsp>
                          <wps:wsp>
                            <wps:cNvPr id="2967" name="Line 15"/>
                            <wps:cNvCnPr/>
                            <wps:spPr bwMode="auto">
                              <a:xfrm flipH="1">
                                <a:off x="5107015" y="4028714"/>
                                <a:ext cx="1367995" cy="0"/>
                              </a:xfrm>
                              <a:prstGeom prst="line">
                                <a:avLst/>
                              </a:prstGeom>
                              <a:noFill/>
                              <a:ln w="9525">
                                <a:solidFill>
                                  <a:srgbClr val="5F497A"/>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968" name="Gerade Verbindung 534"/>
                            <wps:cNvCnPr/>
                            <wps:spPr bwMode="auto">
                              <a:xfrm rot="60000" flipH="1">
                                <a:off x="5137387" y="3911674"/>
                                <a:ext cx="1170170" cy="23814"/>
                              </a:xfrm>
                              <a:prstGeom prst="line">
                                <a:avLst/>
                              </a:prstGeom>
                              <a:noFill/>
                              <a:ln w="9525" cap="flat" cmpd="sng" algn="ctr">
                                <a:solidFill>
                                  <a:srgbClr val="8064A2">
                                    <a:lumMod val="75000"/>
                                  </a:srgbClr>
                                </a:solidFill>
                                <a:prstDash val="solid"/>
                              </a:ln>
                              <a:effectLst/>
                            </wps:spPr>
                            <wps:bodyPr/>
                          </wps:wsp>
                          <wps:wsp>
                            <wps:cNvPr id="2969" name="Gerade Verbindung 535"/>
                            <wps:cNvCnPr/>
                            <wps:spPr bwMode="auto">
                              <a:xfrm flipH="1">
                                <a:off x="5131036" y="3913261"/>
                                <a:ext cx="3175" cy="71445"/>
                              </a:xfrm>
                              <a:prstGeom prst="line">
                                <a:avLst/>
                              </a:prstGeom>
                              <a:noFill/>
                              <a:ln w="9525" cap="flat" cmpd="sng" algn="ctr">
                                <a:solidFill>
                                  <a:srgbClr val="8064A2">
                                    <a:lumMod val="75000"/>
                                  </a:srgbClr>
                                </a:solidFill>
                                <a:prstDash val="solid"/>
                              </a:ln>
                              <a:effectLst/>
                            </wps:spPr>
                            <wps:bodyPr/>
                          </wps:wsp>
                          <wps:wsp>
                            <wps:cNvPr id="2970" name="Rectangle 23" descr="25%"/>
                            <wps:cNvSpPr>
                              <a:spLocks noChangeAspect="1" noChangeArrowheads="1"/>
                            </wps:cNvSpPr>
                            <wps:spPr bwMode="auto">
                              <a:xfrm>
                                <a:off x="6780667" y="3487557"/>
                                <a:ext cx="1119712" cy="505259"/>
                              </a:xfrm>
                              <a:prstGeom prst="rect">
                                <a:avLst/>
                              </a:prstGeom>
                              <a:blipFill dpi="0" rotWithShape="0">
                                <a:blip r:embed="rId1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cNvPr id="2971" name="Gruppieren 96"/>
                            <wpg:cNvGrpSpPr>
                              <a:grpSpLocks/>
                            </wpg:cNvGrpSpPr>
                            <wpg:grpSpPr bwMode="auto">
                              <a:xfrm>
                                <a:off x="6600258" y="3736485"/>
                                <a:ext cx="1322373" cy="664908"/>
                                <a:chOff x="6600253" y="3736485"/>
                                <a:chExt cx="1322376" cy="665114"/>
                              </a:xfrm>
                            </wpg:grpSpPr>
                            <wps:wsp>
                              <wps:cNvPr id="2972" name="Rectangle 25" descr="Kugeln"/>
                              <wps:cNvSpPr>
                                <a:spLocks noChangeAspect="1" noChangeArrowheads="1"/>
                              </wps:cNvSpPr>
                              <wps:spPr bwMode="auto">
                                <a:xfrm>
                                  <a:off x="6600253" y="3926149"/>
                                  <a:ext cx="1138697" cy="475450"/>
                                </a:xfrm>
                                <a:prstGeom prst="rect">
                                  <a:avLst/>
                                </a:prstGeom>
                                <a:blipFill dpi="0" rotWithShape="0">
                                  <a:blip r:embed="rId20"/>
                                  <a:srcRect/>
                                  <a:tile tx="0" ty="0" sx="100000" sy="100000" flip="none" algn="tl"/>
                                </a:blipFill>
                                <a:ln w="9525">
                                  <a:solidFill>
                                    <a:srgbClr val="000000"/>
                                  </a:solidFill>
                                  <a:miter lim="800000"/>
                                  <a:headEnd/>
                                  <a:tailEnd/>
                                </a:ln>
                              </wps:spPr>
                              <wps:bodyPr wrap="none" anchor="ctr"/>
                            </wps:wsp>
                            <wps:wsp>
                              <wps:cNvPr id="2973" name="Rectangle 47" descr="Kugeln"/>
                              <wps:cNvSpPr>
                                <a:spLocks noChangeAspect="1" noChangeArrowheads="1"/>
                              </wps:cNvSpPr>
                              <wps:spPr bwMode="auto">
                                <a:xfrm>
                                  <a:off x="7238627" y="3736485"/>
                                  <a:ext cx="684002" cy="72427"/>
                                </a:xfrm>
                                <a:prstGeom prst="rect">
                                  <a:avLst/>
                                </a:prstGeom>
                                <a:blipFill dpi="0" rotWithShape="0">
                                  <a:blip r:embed="rId20"/>
                                  <a:srcRect/>
                                  <a:tile tx="0" ty="0" sx="100000" sy="100000" flip="none" algn="tl"/>
                                </a:blipFill>
                                <a:ln w="9525">
                                  <a:solidFill>
                                    <a:srgbClr val="000000"/>
                                  </a:solidFill>
                                  <a:miter lim="800000"/>
                                  <a:headEnd/>
                                  <a:tailEnd/>
                                </a:ln>
                              </wps:spPr>
                              <wps:bodyPr wrap="none" anchor="ctr"/>
                            </wps:wsp>
                            <wps:wsp>
                              <wps:cNvPr id="2974" name="Rectangle 47" descr="Kugeln"/>
                              <wps:cNvSpPr>
                                <a:spLocks noChangeAspect="1" noChangeArrowheads="1"/>
                              </wps:cNvSpPr>
                              <wps:spPr bwMode="auto">
                                <a:xfrm>
                                  <a:off x="7628678" y="3806506"/>
                                  <a:ext cx="64892" cy="117341"/>
                                </a:xfrm>
                                <a:prstGeom prst="rect">
                                  <a:avLst/>
                                </a:pr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975" name="Gerade Verbindung 563"/>
                              <wps:cNvCnPr/>
                              <wps:spPr>
                                <a:xfrm>
                                  <a:off x="7625390" y="3805322"/>
                                  <a:ext cx="0" cy="122287"/>
                                </a:xfrm>
                                <a:prstGeom prst="line">
                                  <a:avLst/>
                                </a:prstGeom>
                                <a:noFill/>
                                <a:ln w="9525" cap="flat" cmpd="sng" algn="ctr">
                                  <a:solidFill>
                                    <a:sysClr val="windowText" lastClr="000000"/>
                                  </a:solidFill>
                                  <a:prstDash val="solid"/>
                                </a:ln>
                                <a:effectLst/>
                              </wps:spPr>
                              <wps:bodyPr/>
                            </wps:wsp>
                            <wps:wsp>
                              <wps:cNvPr id="2976" name="Gerade Verbindung 564"/>
                              <wps:cNvCnPr/>
                              <wps:spPr>
                                <a:xfrm>
                                  <a:off x="7693664" y="3808498"/>
                                  <a:ext cx="0" cy="122287"/>
                                </a:xfrm>
                                <a:prstGeom prst="line">
                                  <a:avLst/>
                                </a:prstGeom>
                                <a:noFill/>
                                <a:ln w="9525" cap="flat" cmpd="sng" algn="ctr">
                                  <a:solidFill>
                                    <a:sysClr val="windowText" lastClr="000000"/>
                                  </a:solidFill>
                                  <a:prstDash val="solid"/>
                                </a:ln>
                                <a:effectLst/>
                              </wps:spPr>
                              <wps:bodyPr/>
                            </wps:wsp>
                            <wps:wsp>
                              <wps:cNvPr id="2977" name="Rectangle 47" descr="Kugeln"/>
                              <wps:cNvSpPr>
                                <a:spLocks noChangeAspect="1" noChangeArrowheads="1"/>
                              </wps:cNvSpPr>
                              <wps:spPr bwMode="auto">
                                <a:xfrm rot="-5400000">
                                  <a:off x="7388624" y="3836897"/>
                                  <a:ext cx="64327" cy="118374"/>
                                </a:xfrm>
                                <a:prstGeom prst="rect">
                                  <a:avLst/>
                                </a:prstGeom>
                                <a:blipFill dpi="0" rotWithShape="0">
                                  <a:blip r:embed="rId20"/>
                                  <a:srcRect/>
                                  <a:tile tx="0" ty="0" sx="100000" sy="100000" flip="none" algn="tl"/>
                                </a:blipFill>
                                <a:ln w="9525">
                                  <a:solidFill>
                                    <a:sysClr val="windowText" lastClr="000000"/>
                                  </a:solidFill>
                                  <a:miter lim="800000"/>
                                  <a:headEnd/>
                                  <a:tailEnd/>
                                </a:ln>
                              </wps:spPr>
                              <wps:bodyPr wrap="none" anchor="ctr"/>
                            </wps:wsp>
                          </wpg:grpSp>
                          <wpg:grpSp>
                            <wpg:cNvPr id="2978" name="Gruppieren 97"/>
                            <wpg:cNvGrpSpPr>
                              <a:grpSpLocks/>
                            </wpg:cNvGrpSpPr>
                            <wpg:grpSpPr bwMode="auto">
                              <a:xfrm rot="-5400000">
                                <a:off x="6625914" y="3382172"/>
                                <a:ext cx="444542" cy="11114"/>
                                <a:chOff x="6641001" y="3398315"/>
                                <a:chExt cx="444680" cy="11114"/>
                              </a:xfrm>
                            </wpg:grpSpPr>
                            <wps:wsp>
                              <wps:cNvPr id="2979" name="Gerade Verbindung mit Pfeil 117"/>
                              <wps:cNvCnPr/>
                              <wps:spPr>
                                <a:xfrm flipH="1" flipV="1">
                                  <a:off x="6641001" y="3398315"/>
                                  <a:ext cx="131816" cy="1587"/>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s:wsp>
                              <wps:cNvPr id="2980" name="Gerade Verbindung mit Pfeil 118"/>
                              <wps:cNvCnPr/>
                              <wps:spPr>
                                <a:xfrm flipV="1">
                                  <a:off x="6953866" y="3407842"/>
                                  <a:ext cx="131815" cy="1587"/>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g:grpSp>
                          <wps:wsp>
                            <wps:cNvPr id="2981" name="Gerade Verbindung mit Pfeil 98"/>
                            <wps:cNvCnPr/>
                            <wps:spPr bwMode="auto">
                              <a:xfrm flipH="1">
                                <a:off x="6783881" y="3748145"/>
                                <a:ext cx="463622" cy="1588"/>
                              </a:xfrm>
                              <a:prstGeom prst="straightConnector1">
                                <a:avLst/>
                              </a:prstGeom>
                              <a:noFill/>
                              <a:ln w="9525" cap="flat" cmpd="sng" algn="ctr">
                                <a:solidFill>
                                  <a:srgbClr val="C0504D">
                                    <a:lumMod val="75000"/>
                                  </a:srgbClr>
                                </a:solidFill>
                                <a:prstDash val="solid"/>
                                <a:headEnd type="triangle" w="med" len="med"/>
                                <a:tailEnd type="triangle" w="med" len="med"/>
                              </a:ln>
                              <a:effectLst/>
                            </wps:spPr>
                            <wps:bodyPr/>
                          </wps:wsp>
                          <wps:wsp>
                            <wps:cNvPr id="2982" name="Text Box 63"/>
                            <wps:cNvSpPr txBox="1">
                              <a:spLocks noChangeAspect="1" noChangeArrowheads="1"/>
                            </wps:cNvSpPr>
                            <wps:spPr bwMode="auto">
                              <a:xfrm>
                                <a:off x="6743938" y="3712964"/>
                                <a:ext cx="735386" cy="372328"/>
                              </a:xfrm>
                              <a:prstGeom prst="rect">
                                <a:avLst/>
                              </a:prstGeom>
                              <a:noFill/>
                              <a:ln w="9525">
                                <a:noFill/>
                                <a:miter lim="800000"/>
                                <a:headEnd/>
                                <a:tailEnd/>
                              </a:ln>
                            </wps:spPr>
                            <wps:txbx>
                              <w:txbxContent>
                                <w:p w:rsidR="00AA4416" w:rsidRDefault="00AA4416" w:rsidP="00A21536">
                                  <w:pPr>
                                    <w:spacing w:after="200"/>
                                    <w:textAlignment w:val="baseline"/>
                                  </w:pPr>
                                  <w:r w:rsidRPr="00993052">
                                    <w:t>&gt; 2,50 m</w:t>
                                  </w:r>
                                </w:p>
                              </w:txbxContent>
                            </wps:txbx>
                            <wps:bodyPr wrap="square" lIns="75888" tIns="37944" rIns="75888" bIns="37944">
                              <a:noAutofit/>
                            </wps:bodyPr>
                          </wps:wsp>
                          <wps:wsp>
                            <wps:cNvPr id="2983" name="AutoShape 68"/>
                            <wps:cNvSpPr>
                              <a:spLocks noChangeAspect="1" noChangeArrowheads="1"/>
                            </wps:cNvSpPr>
                            <wps:spPr bwMode="auto">
                              <a:xfrm rot="5400000">
                                <a:off x="7166685" y="3814672"/>
                                <a:ext cx="1343598" cy="252539"/>
                              </a:xfrm>
                              <a:prstGeom prst="wave">
                                <a:avLst>
                                  <a:gd name="adj1" fmla="val 13005"/>
                                  <a:gd name="adj2" fmla="val 0"/>
                                </a:avLst>
                              </a:prstGeom>
                              <a:solidFill>
                                <a:srgbClr val="FFFFFF"/>
                              </a:solidFill>
                              <a:ln w="9525">
                                <a:solidFill>
                                  <a:srgbClr val="000000"/>
                                </a:solidFill>
                                <a:prstDash val="sysDot"/>
                                <a:round/>
                                <a:headEnd/>
                                <a:tailEnd/>
                              </a:ln>
                            </wps:spPr>
                            <wps:bodyPr wrap="none" anchor="ctr"/>
                          </wps:wsp>
                          <wps:wsp>
                            <wps:cNvPr id="2984" name="Gerade Verbindung 542"/>
                            <wps:cNvCnPr/>
                            <wps:spPr bwMode="auto">
                              <a:xfrm rot="21420000" flipH="1">
                                <a:off x="6774354" y="3489359"/>
                                <a:ext cx="9526" cy="377860"/>
                              </a:xfrm>
                              <a:prstGeom prst="line">
                                <a:avLst/>
                              </a:prstGeom>
                              <a:noFill/>
                              <a:ln w="9525" cap="flat" cmpd="sng" algn="ctr">
                                <a:solidFill>
                                  <a:srgbClr val="C0504D">
                                    <a:lumMod val="75000"/>
                                  </a:srgbClr>
                                </a:solidFill>
                                <a:prstDash val="solid"/>
                              </a:ln>
                              <a:effectLst/>
                            </wps:spPr>
                            <wps:bodyPr/>
                          </wps:wsp>
                          <wps:wsp>
                            <wps:cNvPr id="2985" name="Line 100"/>
                            <wps:cNvCnPr/>
                            <wps:spPr bwMode="auto">
                              <a:xfrm flipH="1">
                                <a:off x="4948219" y="4070439"/>
                                <a:ext cx="1644650" cy="1517791"/>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2986" name="Gruppieren 103"/>
                            <wpg:cNvGrpSpPr>
                              <a:grpSpLocks/>
                            </wpg:cNvGrpSpPr>
                            <wpg:grpSpPr bwMode="auto">
                              <a:xfrm>
                                <a:off x="6007472" y="3124194"/>
                                <a:ext cx="566825" cy="482644"/>
                                <a:chOff x="6007472" y="3124200"/>
                                <a:chExt cx="566827" cy="482796"/>
                              </a:xfrm>
                            </wpg:grpSpPr>
                            <wps:wsp>
                              <wps:cNvPr id="2987" name="Line 84"/>
                              <wps:cNvCnPr/>
                              <wps:spPr bwMode="auto">
                                <a:xfrm flipV="1">
                                  <a:off x="6007472" y="3124200"/>
                                  <a:ext cx="566827" cy="3176"/>
                                </a:xfrm>
                                <a:prstGeom prst="line">
                                  <a:avLst/>
                                </a:prstGeom>
                                <a:noFill/>
                                <a:ln w="9525">
                                  <a:solidFill>
                                    <a:sysClr val="windowText" lastClr="000000">
                                      <a:lumMod val="65000"/>
                                      <a:lumOff val="35000"/>
                                    </a:sysClr>
                                  </a:solidFill>
                                  <a:prstDash val="lgDash"/>
                                  <a:round/>
                                  <a:headEnd/>
                                  <a:tailEnd/>
                                </a:ln>
                              </wps:spPr>
                              <wps:bodyPr/>
                            </wps:wsp>
                            <wps:wsp>
                              <wps:cNvPr id="2988" name="Line 85"/>
                              <wps:cNvCnPr/>
                              <wps:spPr bwMode="auto">
                                <a:xfrm>
                                  <a:off x="6007472" y="3128964"/>
                                  <a:ext cx="3176" cy="185813"/>
                                </a:xfrm>
                                <a:prstGeom prst="line">
                                  <a:avLst/>
                                </a:prstGeom>
                                <a:noFill/>
                                <a:ln w="9525">
                                  <a:solidFill>
                                    <a:sysClr val="windowText" lastClr="000000">
                                      <a:lumMod val="65000"/>
                                      <a:lumOff val="35000"/>
                                    </a:sysClr>
                                  </a:solidFill>
                                  <a:prstDash val="lgDash"/>
                                  <a:round/>
                                  <a:headEnd/>
                                  <a:tailEnd/>
                                </a:ln>
                              </wps:spPr>
                              <wps:bodyPr/>
                            </wps:wsp>
                            <wps:wsp>
                              <wps:cNvPr id="2989" name="Line 86"/>
                              <wps:cNvCnPr/>
                              <wps:spPr bwMode="auto">
                                <a:xfrm rot="120000" flipH="1">
                                  <a:off x="6491736" y="3127376"/>
                                  <a:ext cx="63510" cy="209635"/>
                                </a:xfrm>
                                <a:prstGeom prst="line">
                                  <a:avLst/>
                                </a:prstGeom>
                                <a:noFill/>
                                <a:ln w="9525">
                                  <a:solidFill>
                                    <a:sysClr val="windowText" lastClr="000000">
                                      <a:lumMod val="65000"/>
                                      <a:lumOff val="35000"/>
                                    </a:sysClr>
                                  </a:solidFill>
                                  <a:prstDash val="lgDash"/>
                                  <a:round/>
                                  <a:headEnd/>
                                  <a:tailEnd/>
                                </a:ln>
                              </wps:spPr>
                              <wps:bodyPr/>
                            </wps:wsp>
                            <wps:wsp>
                              <wps:cNvPr id="2990" name="Line 88"/>
                              <wps:cNvCnPr/>
                              <wps:spPr bwMode="auto">
                                <a:xfrm>
                                  <a:off x="6037639" y="3310012"/>
                                  <a:ext cx="0" cy="296984"/>
                                </a:xfrm>
                                <a:prstGeom prst="line">
                                  <a:avLst/>
                                </a:prstGeom>
                                <a:noFill/>
                                <a:ln w="9525">
                                  <a:solidFill>
                                    <a:sysClr val="windowText" lastClr="000000">
                                      <a:lumMod val="65000"/>
                                      <a:lumOff val="35000"/>
                                    </a:sysClr>
                                  </a:solidFill>
                                  <a:prstDash val="lgDash"/>
                                  <a:round/>
                                  <a:headEnd/>
                                  <a:tailEnd/>
                                </a:ln>
                              </wps:spPr>
                              <wps:bodyPr/>
                            </wps:wsp>
                            <wps:wsp>
                              <wps:cNvPr id="2991" name="Rectangle 24" descr="Horizontal hell"/>
                              <wps:cNvSpPr>
                                <a:spLocks noChangeAspect="1" noChangeArrowheads="1"/>
                              </wps:cNvSpPr>
                              <wps:spPr bwMode="auto">
                                <a:xfrm>
                                  <a:off x="6088447" y="3205195"/>
                                  <a:ext cx="327077" cy="65114"/>
                                </a:xfrm>
                                <a:prstGeom prst="rect">
                                  <a:avLst/>
                                </a:prstGeom>
                                <a:noFill/>
                                <a:ln w="9525">
                                  <a:solidFill>
                                    <a:sysClr val="windowText" lastClr="000000">
                                      <a:lumMod val="65000"/>
                                      <a:lumOff val="35000"/>
                                    </a:sysClr>
                                  </a:solidFill>
                                  <a:prstDash val="lgDash"/>
                                  <a:miter lim="800000"/>
                                  <a:headEnd/>
                                  <a:tailEnd/>
                                </a:ln>
                              </wps:spPr>
                              <wps:bodyPr wrap="none" anchor="ctr"/>
                            </wps:wsp>
                            <wps:wsp>
                              <wps:cNvPr id="2992" name="Line 83"/>
                              <wps:cNvCnPr/>
                              <wps:spPr bwMode="auto">
                                <a:xfrm rot="21120000" flipH="1">
                                  <a:off x="6472683" y="3337011"/>
                                  <a:ext cx="36519" cy="269985"/>
                                </a:xfrm>
                                <a:prstGeom prst="line">
                                  <a:avLst/>
                                </a:prstGeom>
                                <a:noFill/>
                                <a:ln w="9525">
                                  <a:solidFill>
                                    <a:sysClr val="windowText" lastClr="000000">
                                      <a:lumMod val="65000"/>
                                      <a:lumOff val="35000"/>
                                    </a:sysClr>
                                  </a:solidFill>
                                  <a:prstDash val="lgDash"/>
                                  <a:round/>
                                  <a:headEnd/>
                                  <a:tailEnd/>
                                </a:ln>
                              </wps:spPr>
                              <wps:bodyPr/>
                            </wps:wsp>
                          </wpg:grpSp>
                          <wps:wsp>
                            <wps:cNvPr id="2993" name="Gerade Verbindung 545"/>
                            <wps:cNvCnPr/>
                            <wps:spPr bwMode="auto">
                              <a:xfrm>
                                <a:off x="6009060" y="3517937"/>
                                <a:ext cx="28579" cy="0"/>
                              </a:xfrm>
                              <a:prstGeom prst="line">
                                <a:avLst/>
                              </a:prstGeom>
                              <a:noFill/>
                              <a:ln w="9525" cap="flat" cmpd="sng" algn="ctr">
                                <a:solidFill>
                                  <a:sysClr val="windowText" lastClr="000000"/>
                                </a:solidFill>
                                <a:prstDash val="solid"/>
                              </a:ln>
                              <a:effectLst/>
                            </wps:spPr>
                            <wps:bodyPr/>
                          </wps:wsp>
                          <wps:wsp>
                            <wps:cNvPr id="2994" name="Line 100"/>
                            <wps:cNvCnPr/>
                            <wps:spPr bwMode="auto">
                              <a:xfrm flipH="1">
                                <a:off x="5043469" y="4394319"/>
                                <a:ext cx="1447800" cy="15940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2995" name="Gruppieren 106"/>
                            <wpg:cNvGrpSpPr>
                              <a:grpSpLocks/>
                            </wpg:cNvGrpSpPr>
                            <wpg:grpSpPr bwMode="auto">
                              <a:xfrm>
                                <a:off x="6285096" y="3552867"/>
                                <a:ext cx="742368" cy="251531"/>
                                <a:chOff x="6285096" y="3552865"/>
                                <a:chExt cx="742368" cy="251532"/>
                              </a:xfrm>
                            </wpg:grpSpPr>
                            <wps:wsp>
                              <wps:cNvPr id="2996" name="Text Box 63"/>
                              <wps:cNvSpPr txBox="1">
                                <a:spLocks noChangeAspect="1" noChangeArrowheads="1"/>
                              </wps:cNvSpPr>
                              <wps:spPr bwMode="auto">
                                <a:xfrm>
                                  <a:off x="6285096" y="3557268"/>
                                  <a:ext cx="742368" cy="247129"/>
                                </a:xfrm>
                                <a:prstGeom prst="rect">
                                  <a:avLst/>
                                </a:prstGeom>
                                <a:noFill/>
                                <a:ln w="9525">
                                  <a:noFill/>
                                  <a:miter lim="800000"/>
                                  <a:headEnd/>
                                  <a:tailEnd/>
                                </a:ln>
                              </wps:spPr>
                              <wps:txbx>
                                <w:txbxContent>
                                  <w:p w:rsidR="00AA4416" w:rsidRDefault="00AA4416" w:rsidP="00A21536">
                                    <w:pPr>
                                      <w:spacing w:after="200"/>
                                      <w:textAlignment w:val="baseline"/>
                                    </w:pPr>
                                    <w:r w:rsidRPr="00993052">
                                      <w:t>&gt; 0,60 m</w:t>
                                    </w:r>
                                  </w:p>
                                </w:txbxContent>
                              </wps:txbx>
                              <wps:bodyPr wrap="square" lIns="75888" tIns="37944" rIns="75888" bIns="37944">
                                <a:noAutofit/>
                              </wps:bodyPr>
                            </wps:wsp>
                            <wps:wsp>
                              <wps:cNvPr id="2997" name="Gerade Verbindung mit Pfeil 109"/>
                              <wps:cNvCnPr/>
                              <wps:spPr bwMode="auto">
                                <a:xfrm flipV="1">
                                  <a:off x="6607641" y="3556040"/>
                                  <a:ext cx="131783" cy="1587"/>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s:wsp>
                              <wps:cNvPr id="2998" name="Gerade Verbindung mit Pfeil 110"/>
                              <wps:cNvCnPr/>
                              <wps:spPr bwMode="auto">
                                <a:xfrm flipH="1" flipV="1">
                                  <a:off x="6385357" y="3552865"/>
                                  <a:ext cx="130195" cy="1587"/>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g:grpSp>
                          <wps:wsp>
                            <wps:cNvPr id="2999" name="Gerade Verbindung 548"/>
                            <wps:cNvCnPr/>
                            <wps:spPr>
                              <a:xfrm rot="16200000">
                                <a:off x="6549688" y="3672728"/>
                                <a:ext cx="0" cy="144485"/>
                              </a:xfrm>
                              <a:prstGeom prst="line">
                                <a:avLst/>
                              </a:prstGeom>
                              <a:noFill/>
                              <a:ln w="9525" cap="flat" cmpd="sng" algn="ctr">
                                <a:solidFill>
                                  <a:srgbClr val="7030A0"/>
                                </a:solidFill>
                                <a:prstDash val="solid"/>
                              </a:ln>
                              <a:effectLst/>
                            </wps:spPr>
                            <wps:bodyPr/>
                          </wps:wsp>
                        </wpg:grpSp>
                        <wps:wsp>
                          <wps:cNvPr id="3000" name="Gerade Verbindung 506"/>
                          <wps:cNvCnPr/>
                          <wps:spPr bwMode="auto">
                            <a:xfrm flipH="1">
                              <a:off x="6609228" y="3892622"/>
                              <a:ext cx="4764" cy="34928"/>
                            </a:xfrm>
                            <a:prstGeom prst="line">
                              <a:avLst/>
                            </a:prstGeom>
                            <a:noFill/>
                            <a:ln w="38100" cap="flat" cmpd="sng" algn="ctr">
                              <a:solidFill>
                                <a:sysClr val="windowText" lastClr="000000"/>
                              </a:solidFill>
                              <a:prstDash val="solid"/>
                            </a:ln>
                            <a:effectLst/>
                          </wps:spPr>
                          <wps:bodyPr/>
                        </wps:wsp>
                        <wps:wsp>
                          <wps:cNvPr id="3001" name="Gerade Verbindung 507"/>
                          <wps:cNvCnPr/>
                          <wps:spPr>
                            <a:xfrm flipH="1">
                              <a:off x="6483797" y="3592556"/>
                              <a:ext cx="4763" cy="144477"/>
                            </a:xfrm>
                            <a:prstGeom prst="line">
                              <a:avLst/>
                            </a:prstGeom>
                            <a:noFill/>
                            <a:ln w="9525" cap="flat" cmpd="sng" algn="ctr">
                              <a:solidFill>
                                <a:sysClr val="windowText" lastClr="000000"/>
                              </a:solidFill>
                              <a:prstDash val="solid"/>
                            </a:ln>
                            <a:effectLst/>
                          </wps:spPr>
                          <wps:bodyPr/>
                        </wps:wsp>
                      </wpg:grpSp>
                      <wps:wsp>
                        <wps:cNvPr id="3002" name="Gerade Verbindung mit Pfeil 46"/>
                        <wps:cNvCnPr/>
                        <wps:spPr>
                          <a:xfrm>
                            <a:off x="5322887" y="1930400"/>
                            <a:ext cx="1166813" cy="58420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003" name="Textfeld 467"/>
                        <wps:cNvSpPr txBox="1">
                          <a:spLocks noChangeArrowheads="1"/>
                        </wps:cNvSpPr>
                        <wps:spPr bwMode="auto">
                          <a:xfrm>
                            <a:off x="6352158" y="5700713"/>
                            <a:ext cx="2245997"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Pr="00A00B82" w:rsidRDefault="00AA4416" w:rsidP="00A21536">
                              <w:pPr>
                                <w:rPr>
                                  <w:rFonts w:ascii="Arial" w:hAnsi="Arial" w:cs="Arial"/>
                                  <w:color w:val="000000" w:themeColor="text1"/>
                                  <w:kern w:val="24"/>
                                  <w:sz w:val="24"/>
                                  <w:szCs w:val="24"/>
                                </w:rPr>
                              </w:pPr>
                              <w:r w:rsidRPr="00A00B82">
                                <w:rPr>
                                  <w:rFonts w:ascii="Arial" w:hAnsi="Arial" w:cs="Arial"/>
                                  <w:color w:val="000000" w:themeColor="text1"/>
                                  <w:kern w:val="24"/>
                                  <w:sz w:val="24"/>
                                  <w:szCs w:val="24"/>
                                </w:rPr>
                                <w:t xml:space="preserve">Schutzwand </w:t>
                              </w:r>
                            </w:p>
                            <w:p w:rsidR="00AA4416" w:rsidRPr="00A00B82" w:rsidRDefault="00AA4416" w:rsidP="00A21536">
                              <w:pPr>
                                <w:rPr>
                                  <w:rFonts w:ascii="Arial" w:hAnsi="Arial" w:cs="Arial"/>
                                  <w:color w:val="000000" w:themeColor="text1"/>
                                  <w:kern w:val="24"/>
                                  <w:sz w:val="24"/>
                                  <w:szCs w:val="24"/>
                                </w:rPr>
                              </w:pPr>
                              <w:r w:rsidRPr="00A00B82">
                                <w:rPr>
                                  <w:rFonts w:ascii="Arial" w:hAnsi="Arial" w:cs="Arial"/>
                                  <w:color w:val="000000" w:themeColor="text1"/>
                                  <w:kern w:val="24"/>
                                  <w:sz w:val="24"/>
                                  <w:szCs w:val="24"/>
                                </w:rPr>
                                <w:t>Außenwand der Wohnung</w:t>
                              </w:r>
                            </w:p>
                          </w:txbxContent>
                        </wps:txbx>
                        <wps:bodyPr wrap="square">
                          <a:noAutofit/>
                        </wps:bodyPr>
                      </wps:wsp>
                      <wps:wsp>
                        <wps:cNvPr id="3004" name="Gerade Verbindung 503"/>
                        <wps:cNvCnPr/>
                        <wps:spPr bwMode="auto">
                          <a:xfrm flipH="1">
                            <a:off x="6478587" y="1951037"/>
                            <a:ext cx="14288" cy="3240088"/>
                          </a:xfrm>
                          <a:prstGeom prst="line">
                            <a:avLst/>
                          </a:prstGeom>
                          <a:noFill/>
                          <a:ln w="9525" cap="flat" cmpd="sng" algn="ctr">
                            <a:solidFill>
                              <a:srgbClr val="1F497D"/>
                            </a:solidFill>
                            <a:prstDash val="dash"/>
                          </a:ln>
                          <a:effectLst/>
                        </wps:spPr>
                        <wps:bodyPr/>
                      </wps:wsp>
                      <wps:wsp>
                        <wps:cNvPr id="3005" name="Text Box 99"/>
                        <wps:cNvSpPr txBox="1">
                          <a:spLocks noChangeArrowheads="1"/>
                        </wps:cNvSpPr>
                        <wps:spPr bwMode="auto">
                          <a:xfrm>
                            <a:off x="3625847" y="4612408"/>
                            <a:ext cx="1679587" cy="661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Pr="00A00B82" w:rsidRDefault="00AA4416" w:rsidP="00A00B82">
                              <w:pPr>
                                <w:jc w:val="center"/>
                                <w:rPr>
                                  <w:rFonts w:ascii="Verdana" w:hAnsi="Verdana"/>
                                  <w:sz w:val="16"/>
                                  <w:szCs w:val="16"/>
                                  <w:lang w:val="de-DE"/>
                                </w:rPr>
                              </w:pPr>
                              <w:r w:rsidRPr="00A00B82">
                                <w:rPr>
                                  <w:rFonts w:ascii="Verdana" w:hAnsi="Verdana"/>
                                  <w:sz w:val="16"/>
                                  <w:szCs w:val="16"/>
                                  <w:lang w:val="de-DE"/>
                                </w:rPr>
                                <w:t>Schutzsüll; gas- und flüssigkeitsdicht </w:t>
                              </w:r>
                              <w:r w:rsidRPr="00A00B82">
                                <w:rPr>
                                  <w:rFonts w:ascii="Verdana" w:hAnsi="Verdana"/>
                                  <w:sz w:val="16"/>
                                  <w:szCs w:val="16"/>
                                  <w:lang w:val="de-DE"/>
                                </w:rPr>
                                <w:br/>
                                <w:t xml:space="preserve">h: </w:t>
                              </w:r>
                              <w:r w:rsidRPr="00BA1F0F">
                                <w:rPr>
                                  <w:rFonts w:ascii="Verdana" w:hAnsi="Verdana"/>
                                  <w:sz w:val="16"/>
                                  <w:szCs w:val="16"/>
                                  <w:u w:val="single"/>
                                  <w:lang w:val="de-DE"/>
                                </w:rPr>
                                <w:t>&gt;</w:t>
                              </w:r>
                              <w:r w:rsidRPr="00A00B82">
                                <w:rPr>
                                  <w:rFonts w:ascii="Verdana" w:hAnsi="Verdana"/>
                                  <w:sz w:val="16"/>
                                  <w:szCs w:val="16"/>
                                  <w:lang w:val="de-DE"/>
                                </w:rPr>
                                <w:t xml:space="preserve"> 0,075 m</w:t>
                              </w:r>
                            </w:p>
                            <w:p w:rsidR="00AA4416" w:rsidRPr="00050DB5" w:rsidRDefault="00AA4416" w:rsidP="00A21536">
                              <w:pPr>
                                <w:spacing w:after="200"/>
                                <w:jc w:val="center"/>
                                <w:textAlignment w:val="baseline"/>
                                <w:rPr>
                                  <w:lang w:val="de-DE"/>
                                </w:rPr>
                              </w:pPr>
                            </w:p>
                          </w:txbxContent>
                        </wps:txbx>
                        <wps:bodyPr wrap="square" lIns="75888" tIns="37944" rIns="75888" bIns="37944">
                          <a:noAutofit/>
                        </wps:bodyPr>
                      </wps:wsp>
                      <wps:wsp>
                        <wps:cNvPr id="3006" name="Line 100"/>
                        <wps:cNvCnPr/>
                        <wps:spPr bwMode="auto">
                          <a:xfrm flipH="1">
                            <a:off x="5062537" y="3917950"/>
                            <a:ext cx="1530350" cy="11303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007" name="Line 100"/>
                        <wps:cNvCnPr/>
                        <wps:spPr bwMode="auto">
                          <a:xfrm>
                            <a:off x="2617787" y="3867150"/>
                            <a:ext cx="1054100" cy="11176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3008" name="Gruppieren 53"/>
                        <wpg:cNvGrpSpPr>
                          <a:grpSpLocks/>
                        </wpg:cNvGrpSpPr>
                        <wpg:grpSpPr bwMode="auto">
                          <a:xfrm>
                            <a:off x="7478720" y="422254"/>
                            <a:ext cx="985921" cy="266700"/>
                            <a:chOff x="7478712" y="422254"/>
                            <a:chExt cx="985680" cy="267447"/>
                          </a:xfrm>
                        </wpg:grpSpPr>
                        <wps:wsp>
                          <wps:cNvPr id="3009" name="Rectangle 220" descr="Kugeln"/>
                          <wps:cNvSpPr>
                            <a:spLocks noChangeArrowheads="1"/>
                          </wps:cNvSpPr>
                          <wps:spPr bwMode="auto">
                            <a:xfrm>
                              <a:off x="7478712" y="481984"/>
                              <a:ext cx="269875" cy="166687"/>
                            </a:xfrm>
                            <a:prstGeom prst="rect">
                              <a:avLst/>
                            </a:prstGeom>
                            <a:blipFill dpi="0" rotWithShape="0">
                              <a:blip r:embed="rId23"/>
                              <a:srcRect/>
                              <a:tile tx="0" ty="0" sx="100000" sy="100000" flip="none" algn="tl"/>
                            </a:blipFill>
                            <a:ln w="9525">
                              <a:solidFill>
                                <a:srgbClr val="548DD4"/>
                              </a:solidFill>
                              <a:miter lim="800000"/>
                              <a:headEnd/>
                              <a:tailEnd/>
                            </a:ln>
                          </wps:spPr>
                          <wps:bodyPr/>
                        </wps:wsp>
                        <wps:wsp>
                          <wps:cNvPr id="3010" name="Textfeld 205"/>
                          <wps:cNvSpPr txBox="1">
                            <a:spLocks noChangeArrowheads="1"/>
                          </wps:cNvSpPr>
                          <wps:spPr bwMode="auto">
                            <a:xfrm>
                              <a:off x="7727041" y="422254"/>
                              <a:ext cx="737351" cy="267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Pr="00A00B82" w:rsidRDefault="00AA4416" w:rsidP="00A21536">
                                <w:pPr>
                                  <w:kinsoku w:val="0"/>
                                  <w:overflowPunct w:val="0"/>
                                  <w:textAlignment w:val="baseline"/>
                                  <w:rPr>
                                    <w:rFonts w:ascii="Arial" w:hAnsi="Arial" w:cs="Arial"/>
                                    <w:sz w:val="24"/>
                                    <w:szCs w:val="24"/>
                                  </w:rPr>
                                </w:pPr>
                                <w:r w:rsidRPr="00A00B82">
                                  <w:rPr>
                                    <w:rFonts w:ascii="Arial" w:hAnsi="Arial" w:cs="Arial"/>
                                    <w:sz w:val="24"/>
                                    <w:szCs w:val="24"/>
                                  </w:rPr>
                                  <w:t>Zone 0</w:t>
                                </w:r>
                              </w:p>
                            </w:txbxContent>
                          </wps:txbx>
                          <wps:bodyPr wrap="square">
                            <a:noAutofit/>
                          </wps:bodyPr>
                        </wps:wsp>
                      </wpg:grpSp>
                      <wpg:grpSp>
                        <wpg:cNvPr id="3011" name="Gruppieren 54"/>
                        <wpg:cNvGrpSpPr>
                          <a:grpSpLocks/>
                        </wpg:cNvGrpSpPr>
                        <wpg:grpSpPr bwMode="auto">
                          <a:xfrm>
                            <a:off x="7494590" y="664728"/>
                            <a:ext cx="963735" cy="359565"/>
                            <a:chOff x="7494587" y="664801"/>
                            <a:chExt cx="963385" cy="358512"/>
                          </a:xfrm>
                        </wpg:grpSpPr>
                        <wps:wsp>
                          <wps:cNvPr id="3012" name="Rectangle 221" descr="50%"/>
                          <wps:cNvSpPr>
                            <a:spLocks noChangeArrowheads="1"/>
                          </wps:cNvSpPr>
                          <wps:spPr bwMode="auto">
                            <a:xfrm>
                              <a:off x="7494587" y="743716"/>
                              <a:ext cx="269875" cy="165100"/>
                            </a:xfrm>
                            <a:prstGeom prst="rect">
                              <a:avLst/>
                            </a:prstGeom>
                            <a:blipFill dpi="0" rotWithShape="0">
                              <a:blip r:embed="rId24"/>
                              <a:srcRect/>
                              <a:tile tx="0" ty="0" sx="100000" sy="100000" flip="none" algn="tl"/>
                            </a:blipFill>
                            <a:ln w="9525">
                              <a:solidFill>
                                <a:srgbClr val="943634"/>
                              </a:solidFill>
                              <a:miter lim="800000"/>
                              <a:headEnd/>
                              <a:tailEnd/>
                            </a:ln>
                          </wps:spPr>
                          <wps:bodyPr/>
                        </wps:wsp>
                        <wps:wsp>
                          <wps:cNvPr id="3013" name="Textfeld 208"/>
                          <wps:cNvSpPr txBox="1">
                            <a:spLocks noChangeArrowheads="1"/>
                          </wps:cNvSpPr>
                          <wps:spPr bwMode="auto">
                            <a:xfrm>
                              <a:off x="7727024" y="664801"/>
                              <a:ext cx="730948" cy="358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Pr="00A00B82" w:rsidRDefault="00AA4416" w:rsidP="00A21536">
                                <w:pPr>
                                  <w:kinsoku w:val="0"/>
                                  <w:overflowPunct w:val="0"/>
                                  <w:textAlignment w:val="baseline"/>
                                  <w:rPr>
                                    <w:rFonts w:ascii="Arial" w:hAnsi="Arial" w:cs="Arial"/>
                                    <w:sz w:val="24"/>
                                    <w:szCs w:val="24"/>
                                  </w:rPr>
                                </w:pPr>
                                <w:r w:rsidRPr="00A00B82">
                                  <w:rPr>
                                    <w:rFonts w:ascii="Arial" w:hAnsi="Arial" w:cs="Arial"/>
                                    <w:sz w:val="24"/>
                                    <w:szCs w:val="24"/>
                                  </w:rPr>
                                  <w:t>Zone 1</w:t>
                                </w:r>
                              </w:p>
                            </w:txbxContent>
                          </wps:txbx>
                          <wps:bodyPr wrap="square">
                            <a:noAutofit/>
                          </wps:bodyPr>
                        </wps:wsp>
                      </wpg:grpSp>
                      <wpg:grpSp>
                        <wpg:cNvPr id="3014" name="Gruppieren 55"/>
                        <wpg:cNvGrpSpPr>
                          <a:grpSpLocks/>
                        </wpg:cNvGrpSpPr>
                        <wpg:grpSpPr bwMode="auto">
                          <a:xfrm>
                            <a:off x="7497774" y="936434"/>
                            <a:ext cx="935057" cy="326209"/>
                            <a:chOff x="7497762" y="936456"/>
                            <a:chExt cx="935219" cy="325254"/>
                          </a:xfrm>
                        </wpg:grpSpPr>
                        <wps:wsp>
                          <wps:cNvPr id="3015" name="Rectangle 219" descr="5%"/>
                          <wps:cNvSpPr>
                            <a:spLocks noChangeArrowheads="1"/>
                          </wps:cNvSpPr>
                          <wps:spPr bwMode="auto">
                            <a:xfrm>
                              <a:off x="7497762" y="999611"/>
                              <a:ext cx="269875" cy="166688"/>
                            </a:xfrm>
                            <a:prstGeom prst="rect">
                              <a:avLst/>
                            </a:prstGeom>
                            <a:blipFill dpi="0" rotWithShape="0">
                              <a:blip r:embed="rId25"/>
                              <a:srcRect/>
                              <a:tile tx="0" ty="0" sx="100000" sy="100000" flip="none" algn="tl"/>
                            </a:blipFill>
                            <a:ln w="9525">
                              <a:solidFill>
                                <a:srgbClr val="5F497A"/>
                              </a:solidFill>
                              <a:miter lim="800000"/>
                              <a:headEnd/>
                              <a:tailEnd/>
                            </a:ln>
                          </wps:spPr>
                          <wps:bodyPr/>
                        </wps:wsp>
                        <wps:wsp>
                          <wps:cNvPr id="3016" name="Textfeld 211"/>
                          <wps:cNvSpPr txBox="1">
                            <a:spLocks noChangeArrowheads="1"/>
                          </wps:cNvSpPr>
                          <wps:spPr bwMode="auto">
                            <a:xfrm>
                              <a:off x="7727141" y="936456"/>
                              <a:ext cx="705840" cy="325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Pr="00A00B82" w:rsidRDefault="00AA4416" w:rsidP="00A21536">
                                <w:pPr>
                                  <w:kinsoku w:val="0"/>
                                  <w:overflowPunct w:val="0"/>
                                  <w:textAlignment w:val="baseline"/>
                                  <w:rPr>
                                    <w:rFonts w:ascii="Arial" w:hAnsi="Arial" w:cs="Arial"/>
                                    <w:sz w:val="24"/>
                                    <w:szCs w:val="24"/>
                                  </w:rPr>
                                </w:pPr>
                                <w:r w:rsidRPr="00A00B82">
                                  <w:rPr>
                                    <w:rFonts w:ascii="Arial" w:hAnsi="Arial" w:cs="Arial"/>
                                    <w:sz w:val="24"/>
                                    <w:szCs w:val="24"/>
                                  </w:rPr>
                                  <w:t>Zone 2</w:t>
                                </w:r>
                              </w:p>
                            </w:txbxContent>
                          </wps:txbx>
                          <wps:bodyPr wrap="square">
                            <a:noAutofit/>
                          </wps:bodyPr>
                        </wps:wsp>
                      </wpg:grpSp>
                    </wpg:wgp>
                  </a:graphicData>
                </a:graphic>
              </wp:inline>
            </w:drawing>
          </mc:Choice>
          <mc:Fallback>
            <w:pict>
              <v:group w14:anchorId="3D53892E" id="Gruppieren 212" o:spid="_x0000_s1457" style="width:643.55pt;height:438.85pt;mso-position-horizontal-relative:char;mso-position-vertical-relative:line" coordsize="85981,64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">
                <v:shape id="Textfeld 466" o:spid="_x0000_s1458" type="#_x0000_t202" style="position:absolute;left:30327;top:4817;width:40820;height:6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" filled="f" stroked="f">
                  <v:textbox>
                    <w:txbxContent>
                      <w:p w:rsidR="00AA4416" w:rsidRPr="00050DB5" w:rsidRDefault="00AA4416" w:rsidP="00A00B82">
                        <w:pPr>
                          <w:pStyle w:val="NormalWeb"/>
                          <w:jc w:val="center"/>
                          <w:textAlignment w:val="baseline"/>
                          <w:rPr>
                            <w:rFonts w:ascii="Arial" w:hAnsi="Arial" w:cs="Arial"/>
                            <w:b/>
                            <w:sz w:val="28"/>
                            <w:szCs w:val="28"/>
                            <w:lang w:val="de-DE"/>
                          </w:rPr>
                        </w:pPr>
                        <w:r w:rsidRPr="00A00B82">
                          <w:rPr>
                            <w:rFonts w:ascii="Arial" w:hAnsi="Arial" w:cs="Arial"/>
                            <w:b/>
                            <w:lang w:val="de-DE"/>
                          </w:rPr>
                          <w:t xml:space="preserve">Tankschiff mit Aufstellungsraum </w:t>
                        </w:r>
                        <w:r w:rsidRPr="00A00B82">
                          <w:rPr>
                            <w:rFonts w:ascii="Arial" w:hAnsi="Arial" w:cs="Arial"/>
                            <w:b/>
                            <w:color w:val="000000" w:themeColor="text1"/>
                            <w:kern w:val="24"/>
                            <w:lang w:val="de-DE"/>
                          </w:rPr>
                          <w:t>Betriebsraum im Kofferdamm</w:t>
                        </w:r>
                      </w:p>
                    </w:txbxContent>
                  </v:textbox>
                </v:shape>
                <v:rect id="Rectangle 20" o:spid="_x0000_s1459" alt="5%" style="position:absolute;left:24907;top:36988;width:1096;height:17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" stroked="f">
                  <v:fill r:id="rId26" o:title="5%" recolor="t" type="tile"/>
                  <o:lock v:ext="edit" aspectratio="t"/>
                </v:rect>
                <v:line id="Line 6" o:spid="_x0000_s1460" style="position:absolute;visibility:visible;mso-wrap-style:square" from="1539,0" to="1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"/>
                <v:line id="Line 100" o:spid="_x0000_s1461" style="position:absolute;flip:x;visibility:visible;mso-wrap-style:square" from="19002,20637" to="24082,2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">
                  <v:stroke dashstyle="dashDot"/>
                </v:line>
                <v:shape id="_x0000_s1462" type="#_x0000_t202" style="position:absolute;left:14993;top:10879;width:10209;height:3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" filled="f" stroked="f">
                  <o:lock v:ext="edit" aspectratio="t"/>
                  <v:textbox inset="2.108mm,1.054mm,2.108mm,1.054mm">
                    <w:txbxContent>
                      <w:p w:rsidR="00103305" w:rsidRPr="00103305" w:rsidRDefault="00103305" w:rsidP="00103305">
                        <w:pPr>
                          <w:pStyle w:val="NormalWeb"/>
                          <w:jc w:val="right"/>
                          <w:rPr>
                            <w:rFonts w:ascii="Arial" w:hAnsi="Arial" w:cstheme="minorBidi"/>
                            <w:color w:val="7F7F7F" w:themeColor="text1" w:themeTint="80"/>
                            <w:kern w:val="24"/>
                            <w:sz w:val="22"/>
                            <w:szCs w:val="22"/>
                          </w:rPr>
                        </w:pPr>
                        <w:r w:rsidRPr="00103305">
                          <w:rPr>
                            <w:rFonts w:ascii="Arial" w:hAnsi="Arial" w:cstheme="minorBidi"/>
                            <w:color w:val="7F7F7F" w:themeColor="text1" w:themeTint="80"/>
                            <w:kern w:val="24"/>
                            <w:sz w:val="22"/>
                            <w:szCs w:val="22"/>
                            <w:u w:val="single"/>
                          </w:rPr>
                          <w:t>&gt;</w:t>
                        </w:r>
                        <w:r w:rsidRPr="00103305">
                          <w:rPr>
                            <w:rFonts w:ascii="Arial" w:hAnsi="Arial" w:cstheme="minorBidi"/>
                            <w:color w:val="7F7F7F" w:themeColor="text1" w:themeTint="80"/>
                            <w:kern w:val="24"/>
                            <w:sz w:val="22"/>
                            <w:szCs w:val="22"/>
                          </w:rPr>
                          <w:t>1,00 m</w:t>
                        </w:r>
                      </w:p>
                      <w:p w:rsidR="00AA4416" w:rsidRPr="00BA1F0F" w:rsidRDefault="00AA4416" w:rsidP="00FB6473">
                        <w:pPr>
                          <w:pStyle w:val="NormalWeb"/>
                          <w:spacing w:after="200"/>
                          <w:jc w:val="right"/>
                          <w:textAlignment w:val="baseline"/>
                          <w:rPr>
                            <w:rFonts w:ascii="Arial" w:hAnsi="Arial" w:cstheme="minorBidi"/>
                            <w:color w:val="7F7F7F" w:themeColor="text1" w:themeTint="80"/>
                            <w:kern w:val="24"/>
                            <w:sz w:val="22"/>
                            <w:szCs w:val="22"/>
                          </w:rPr>
                        </w:pPr>
                      </w:p>
                    </w:txbxContent>
                  </v:textbox>
                </v:shape>
                <v:group id="Group 20" o:spid="_x0000_s1463" style="position:absolute;left:2461;top:13525;width:23749;height:7461" coordorigin="2460,13525" coordsize="3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">
                  <v:rect id="Rectangle 21" o:spid="_x0000_s1464" style="position:absolute;left:2474;top:13527;width:2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"/>
                  <v:shape id="Arc 22" o:spid="_x0000_s1465" style="position:absolute;left:2460;top:13527;width:14;height:3;rotation:-11655833fd;flip:y;visibility:visible;mso-wrap-style:square;v-text-anchor:top" coordsize="2268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" path="m,27nfc362,9,724,-1,1087,,13016,,22687,9670,22687,21600em,27nsc362,9,724,-1,1087,,13016,,22687,9670,22687,21600r-21600,l,27xe" filled="f">
                    <v:path arrowok="t" o:extrusionok="f" o:connecttype="custom" o:connectlocs="0,0;0,0;0,0" o:connectangles="0,0,0" textboxrect="0,0,22687,21600"/>
                  </v:shape>
                  <v:shape id="Arc 23" o:spid="_x0000_s1466" style="position:absolute;left:2460;top:13534;width:14;height:2;rotation:-11655833fd;visibility:visible;mso-wrap-style:square;v-text-anchor:top" coordsize="2268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" path="m,27nfc362,9,724,-1,1087,,13016,,22687,9670,22687,21600em,27nsc362,9,724,-1,1087,,13016,,22687,9670,22687,21600r-21600,l,27xe" filled="f">
                    <v:path arrowok="t" o:extrusionok="f" o:connecttype="custom" o:connectlocs="0,0;0,0;0,0" o:connectangles="0,0,0" textboxrect="0,0,22687,21600"/>
                  </v:shape>
                  <v:shape id="AutoShape 24" o:spid="_x0000_s1467" type="#_x0000_t32" style="position:absolute;left:2460;top:13530;width:0;height: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"/>
                  <v:rect id="Rectangle 25" o:spid="_x0000_s1468" alt="5%" style="position:absolute;left:2480;top:13527;width:17;height:1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" stroked="f">
                    <v:fill r:id="rId31" o:title="5%" recolor="t" type="tile"/>
                  </v:rect>
                  <v:rect id="Rectangle 26" o:spid="_x0000_s1469" style="position:absolute;left:2473;top:13528;width:21;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"/>
                  <v:rect id="Rectangle 27" o:spid="_x0000_s1470" style="position:absolute;left:2493;top:13528;width: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" strokecolor="#5a5a5a" strokeweight="3pt"/>
                  <v:rect id="Rectangle 28" o:spid="_x0000_s1471" style="position:absolute;left:2488;top:13528;width: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" fillcolor="#d8d8d8"/>
                  <v:shape id="AutoShape 29" o:spid="_x0000_s1472" style="position:absolute;left:2466;top:13528;width:8;height:7;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" path="m,l5400,21600r10800,l21600,,,xe">
                    <v:stroke joinstyle="miter"/>
                    <v:path o:connecttype="custom" o:connectlocs="0,0;0,0;0,0;0,0" o:connectangles="0,0,0,0" textboxrect="4490,4495,17110,17105"/>
                  </v:shape>
                  <v:rect id="Rectangle 30" o:spid="_x0000_s1473" style="position:absolute;left:2473;top:13528;width: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" stroked="f">
                    <o:lock v:ext="edit" aspectratio="t"/>
                  </v:rect>
                  <v:rect id="Rectangle 31" o:spid="_x0000_s1474" style="position:absolute;left:2473;top:13527;width: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" stroked="f"/>
                  <v:shape id="Text Box 32" o:spid="_x0000_s1475" type="#_x0000_t202" style="position:absolute;left:2487;top:13529;width:1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" filled="f" stroked="f">
                    <v:textbox>
                      <w:txbxContent>
                        <w:p w:rsidR="00AA4416" w:rsidRPr="00464CCC" w:rsidRDefault="00AA4416" w:rsidP="00A21536">
                          <w:pPr>
                            <w:rPr>
                              <w:rFonts w:ascii="Arial" w:hAnsi="Arial" w:cs="Arial"/>
                              <w:b/>
                              <w:sz w:val="10"/>
                              <w:szCs w:val="10"/>
                            </w:rPr>
                          </w:pPr>
                          <w:r w:rsidRPr="00464CCC">
                            <w:rPr>
                              <w:rFonts w:ascii="Arial" w:hAnsi="Arial" w:cs="Arial"/>
                              <w:b/>
                              <w:sz w:val="10"/>
                              <w:szCs w:val="10"/>
                            </w:rPr>
                            <w:t xml:space="preserve">Bewegliches </w:t>
                          </w:r>
                        </w:p>
                        <w:p w:rsidR="00AA4416" w:rsidRPr="0003534E" w:rsidRDefault="00AA4416" w:rsidP="00A21536">
                          <w:pPr>
                            <w:rPr>
                              <w:rFonts w:asciiTheme="minorHAnsi" w:hAnsiTheme="minorHAnsi" w:cstheme="minorBidi"/>
                              <w:color w:val="000000" w:themeColor="text1"/>
                              <w:sz w:val="10"/>
                              <w:szCs w:val="10"/>
                            </w:rPr>
                          </w:pPr>
                          <w:r w:rsidRPr="00464CCC">
                            <w:rPr>
                              <w:rFonts w:ascii="Arial" w:hAnsi="Arial" w:cs="Arial"/>
                              <w:b/>
                              <w:sz w:val="10"/>
                              <w:szCs w:val="10"/>
                            </w:rPr>
                            <w:t>Steuerhaus</w:t>
                          </w:r>
                          <w:r w:rsidRPr="00050DB5">
                            <w:rPr>
                              <w:rFonts w:asciiTheme="minorHAnsi" w:hAnsiTheme="minorHAnsi"/>
                              <w:sz w:val="10"/>
                              <w:szCs w:val="10"/>
                            </w:rPr>
                            <w:t xml:space="preserve"> teuerhaus</w:t>
                          </w:r>
                          <w:r w:rsidRPr="0003534E">
                            <w:rPr>
                              <w:rFonts w:asciiTheme="minorHAnsi" w:hAnsiTheme="minorHAnsi"/>
                              <w:sz w:val="10"/>
                              <w:szCs w:val="10"/>
                            </w:rPr>
                            <w:t xml:space="preserve">wheelhouse </w:t>
                          </w:r>
                        </w:p>
                        <w:p w:rsidR="00AA4416" w:rsidRPr="007E2EA8" w:rsidRDefault="00AA4416" w:rsidP="00A21536">
                          <w:pPr>
                            <w:rPr>
                              <w:rFonts w:ascii="Calibri" w:hAnsi="Calibri" w:cstheme="minorBidi"/>
                              <w:color w:val="000000" w:themeColor="text1"/>
                              <w:sz w:val="10"/>
                              <w:szCs w:val="10"/>
                            </w:rPr>
                          </w:pPr>
                        </w:p>
                      </w:txbxContent>
                    </v:textbox>
                  </v:shape>
                  <v:group id="Group 33" o:spid="_x0000_s1476" style="position:absolute;left:2493;top:13525;width:1;height:1" coordorigin="2493,13525"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">
                    <v:line id="Line 34" o:spid="_x0000_s1477" style="position:absolute;rotation:8314546fd;visibility:visible;mso-wrap-style:square" from="2493,13525" to="2494,1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" strokecolor="#595959">
                      <v:stroke startarrow="block" endarrow="block"/>
                    </v:line>
                  </v:group>
                  <v:rect id="Rectangle 35" o:spid="_x0000_s1478" style="position:absolute;left:2473;top:13536;width: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" stroked="f"/>
                </v:group>
                <v:shape id="Text Box 36" o:spid="_x0000_s1479" type="#_x0000_t202" style="position:absolute;left:2434;top:23843;width:23140;height:6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" filled="f" stroked="f">
                  <o:lock v:ext="edit" aspectratio="t"/>
                  <v:textbox inset="2.108mm,1.054mm,2.108mm,1.054mm">
                    <w:txbxContent>
                      <w:p w:rsidR="00AA4416" w:rsidRPr="00A00B82" w:rsidRDefault="00AA4416" w:rsidP="00A21536">
                        <w:pPr>
                          <w:rPr>
                            <w:rFonts w:ascii="Verdana" w:hAnsi="Verdana" w:cstheme="minorBidi"/>
                            <w:color w:val="000000"/>
                            <w:sz w:val="16"/>
                            <w:szCs w:val="16"/>
                            <w:lang w:val="de-DE"/>
                          </w:rPr>
                        </w:pPr>
                        <w:r w:rsidRPr="00A00B82">
                          <w:rPr>
                            <w:rFonts w:ascii="Verdana" w:hAnsi="Verdana"/>
                            <w:sz w:val="16"/>
                            <w:szCs w:val="16"/>
                            <w:lang w:val="de-DE"/>
                          </w:rPr>
                          <w:t xml:space="preserve">Schutzwand; gas- und flüssigkeitsdicht, h: </w:t>
                        </w:r>
                        <w:r w:rsidRPr="00BA1F0F">
                          <w:rPr>
                            <w:rFonts w:ascii="Verdana" w:hAnsi="Verdana"/>
                            <w:sz w:val="16"/>
                            <w:szCs w:val="16"/>
                            <w:u w:val="single"/>
                            <w:lang w:val="de-DE"/>
                          </w:rPr>
                          <w:t>&gt;</w:t>
                        </w:r>
                        <w:r w:rsidRPr="00A00B82">
                          <w:rPr>
                            <w:rFonts w:ascii="Verdana" w:hAnsi="Verdana"/>
                            <w:sz w:val="16"/>
                            <w:szCs w:val="16"/>
                            <w:lang w:val="de-DE"/>
                          </w:rPr>
                          <w:t xml:space="preserve"> 1,00 m über anschließendem Ladetankdeck</w:t>
                        </w:r>
                      </w:p>
                      <w:p w:rsidR="00AA4416" w:rsidRPr="00050DB5" w:rsidRDefault="00AA4416" w:rsidP="00A21536">
                        <w:pPr>
                          <w:spacing w:after="200"/>
                          <w:textAlignment w:val="baseline"/>
                          <w:rPr>
                            <w:lang w:val="de-DE"/>
                          </w:rPr>
                        </w:pPr>
                      </w:p>
                    </w:txbxContent>
                  </v:textbox>
                </v:shape>
                <v:group id="Gruppieren 9" o:spid="_x0000_s1480" style="position:absolute;left:2524;top:31273;width:23129;height:13224" coordorigin="2524,31273" coordsize="23119,1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">
                  <v:group id="Gruppieren 165" o:spid="_x0000_s1481" style="position:absolute;left:9586;top:36555;width:15394;height:6210" coordorigin="9586,36555" coordsize="15394,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">
                    <v:rect id="Rectangle 20" o:spid="_x0000_s1482" alt="5%" style="position:absolute;left:11256;top:38758;width:13617;height:70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" strokecolor="#3f3151">
                      <v:fill r:id="rId26" o:title="5%" recolor="t" type="tile"/>
                      <o:lock v:ext="edit" aspectratio="t"/>
                    </v:rect>
                    <v:line id="Line 11" o:spid="_x0000_s1483" style="position:absolute;flip:y;visibility:visible;mso-wrap-style:square" from="9623,39466" to="9623,40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" strokecolor="#5f497a">
                      <v:stroke endarrow="block"/>
                    </v:line>
                    <v:line id="Line 12" o:spid="_x0000_s1484" style="position:absolute;visibility:visible;mso-wrap-style:square" from="9705,37612" to="9705,38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" strokecolor="#5f497a">
                      <v:stroke endarrow="block"/>
                    </v:line>
                    <v:shape id="Text Box 13" o:spid="_x0000_s1485" type="#_x0000_t202" style="position:absolute;left:9586;top:36555;width:6428;height: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" filled="f" stroked="f">
                      <o:lock v:ext="edit" aspectratio="t"/>
                      <v:textbox inset="2.108mm,1.054mm,2.108mm,1.054mm">
                        <w:txbxContent>
                          <w:p w:rsidR="00AA4416" w:rsidRDefault="00AA4416" w:rsidP="00A21536">
                            <w:pPr>
                              <w:spacing w:after="200"/>
                              <w:textAlignment w:val="baseline"/>
                            </w:pPr>
                            <w:r w:rsidRPr="00993052">
                              <w:t>0,50 m</w:t>
                            </w:r>
                          </w:p>
                        </w:txbxContent>
                      </v:textbox>
                    </v:shape>
                    <v:shape id="Text Box 14" o:spid="_x0000_s1486" type="#_x0000_t202" style="position:absolute;left:12040;top:39423;width:6440;height: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" filled="f" stroked="f">
                      <o:lock v:ext="edit" aspectratio="t"/>
                      <v:textbox inset="2.108mm,1.054mm,2.108mm,1.054mm">
                        <w:txbxContent>
                          <w:p w:rsidR="00AA4416" w:rsidRDefault="00AA4416" w:rsidP="00A21536">
                            <w:pPr>
                              <w:spacing w:after="200"/>
                              <w:textAlignment w:val="baseline"/>
                            </w:pPr>
                            <w:r w:rsidRPr="00993052">
                              <w:t>7,50 m</w:t>
                            </w:r>
                          </w:p>
                        </w:txbxContent>
                      </v:textbox>
                    </v:shape>
                    <v:line id="Line 15" o:spid="_x0000_s1487" style="position:absolute;flip:x;visibility:visible;mso-wrap-style:square" from="11215,39849" to="24980,39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" strokecolor="#5f497a">
                      <v:stroke startarrow="block" endarrow="block"/>
                    </v:line>
                    <v:line id="Line 10" o:spid="_x0000_s1488" style="position:absolute;flip:x;visibility:visible;mso-wrap-style:square" from="9701,38639" to="11236,3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">
                      <v:stroke dashstyle="1 1" endcap="round"/>
                    </v:line>
                  </v:group>
                  <v:group id="Gruppieren 166" o:spid="_x0000_s1489" style="position:absolute;left:2524;top:31273;width:23119;height:13218" coordorigin="2524,31273" coordsize="23119,1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">
                    <v:group id="Gruppieren 167" o:spid="_x0000_s1490" style="position:absolute;left:2524;top:31273;width:23119;height:13218" coordorigin="2524,31273" coordsize="23119,1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">
                      <v:group id="Gruppieren 171" o:spid="_x0000_s1491" style="position:absolute;left:19994;top:33161;width:5173;height:11305" coordorigin="19994,33161" coordsize="5172,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">
                        <v:line id="Line 83" o:spid="_x0000_s1492" style="position:absolute;rotation:8;flip:x;visibility:visible;mso-wrap-style:square" from="24802,33479" to="25167,36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" strokecolor="#595959">
                          <v:stroke dashstyle="longDash"/>
                        </v:line>
                        <v:line id="Line 89" o:spid="_x0000_s1493" style="position:absolute;visibility:visible;mso-wrap-style:square" from="19994,33161" to="20216,33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" strokecolor="#595959"/>
                        <v:line id="Line 91" o:spid="_x0000_s1494" style="position:absolute;visibility:visible;mso-wrap-style:square" from="24878,39068" to="24878,44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"/>
                      </v:group>
                      <v:group id="Gruppieren 172" o:spid="_x0000_s1495" style="position:absolute;left:2524;top:36030;width:22508;height:8461" coordorigin="2524,36030" coordsize="22508,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">
                        <v:line id="Line 76" o:spid="_x0000_s1496" style="position:absolute;visibility:visible;mso-wrap-style:square" from="5437,41925" to="8233,44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"/>
                        <v:line id="Line 77" o:spid="_x0000_s1497" style="position:absolute;visibility:visible;mso-wrap-style:square" from="2988,41878" to="5508,4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"/>
                        <v:line id="Line 78" o:spid="_x0000_s1498" style="position:absolute;visibility:visible;mso-wrap-style:square" from="2524,39391" to="2988,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"/>
                        <v:line id="Line 79" o:spid="_x0000_s1499" style="position:absolute;visibility:visible;mso-wrap-style:square" from="2548,39446" to="25032,3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"/>
                        <v:line id="Line 81" o:spid="_x0000_s1500" style="position:absolute;flip:x;visibility:visible;mso-wrap-style:square" from="5279,36030" to="5426,39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"/>
                      </v:group>
                      <v:group id="Gruppieren 173" o:spid="_x0000_s1501" style="position:absolute;left:8209;top:31273;width:17434;height:13217" coordorigin="8209,31273" coordsize="17433,1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">
                        <v:line id="Line 84" o:spid="_x0000_s1502" style="position:absolute;flip:y;visibility:visible;mso-wrap-style:square" from="19978,31273" to="25643,3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" strokecolor="#595959">
                          <v:stroke dashstyle="longDash"/>
                        </v:line>
                        <v:line id="Line 85" o:spid="_x0000_s1503" style="position:absolute;visibility:visible;mso-wrap-style:square" from="19978,31273" to="19994,3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" strokecolor="#595959">
                          <v:stroke dashstyle="longDash"/>
                        </v:line>
                        <v:line id="Line 86" o:spid="_x0000_s1504" style="position:absolute;rotation:-2;flip:x;visibility:visible;mso-wrap-style:square" from="24929,31305" to="25579,3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" strokecolor="#595959">
                          <v:stroke dashstyle="longDash"/>
                        </v:line>
                        <v:line id="Line 88" o:spid="_x0000_s1505" style="position:absolute;visibility:visible;mso-wrap-style:square" from="20279,33130" to="20279,38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" strokecolor="#595959">
                          <v:stroke dashstyle="longDash"/>
                        </v:line>
                        <v:line id="Line 90" o:spid="_x0000_s1506" style="position:absolute;visibility:visible;mso-wrap-style:square" from="8209,44490" to="24949,44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"/>
                      </v:group>
                    </v:group>
                    <v:group id="Gruppieren 168" o:spid="_x0000_s1507" style="position:absolute;left:5930;top:31940;width:18062;height:5190" coordorigin="5930,31940" coordsize="18061,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">
                      <v:rect id="Rectangle 24" o:spid="_x0000_s1508" alt="Horizontal hell" style="position:absolute;left:20787;top:31940;width:3205;height:66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" filled="f" strokecolor="#595959">
                        <v:stroke dashstyle="longDash"/>
                        <o:lock v:ext="edit" aspectratio="t"/>
                      </v:rect>
                      <v:rect id="Rectangle 92" o:spid="_x0000_s1509" alt="Horizontal hell" style="position:absolute;left:5930;top:36469;width:3243;height:6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">
                        <v:fill r:id="rId27" o:title="Horizontal hell" recolor="t" type="tile"/>
                        <o:lock v:ext="edit" aspectratio="t"/>
                      </v:rect>
                    </v:group>
                  </v:group>
                </v:group>
                <v:shape id="Text Box 7" o:spid="_x0000_s1510" type="#_x0000_t202" style="position:absolute;left:30018;top:57581;width:26352;height:4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" filled="f" stroked="f">
                  <v:textbox inset="2.108mm,1.054mm,2.108mm,1.054mm">
                    <w:txbxContent>
                      <w:p w:rsidR="00AA4416" w:rsidRPr="00A00B82" w:rsidRDefault="00AA4416" w:rsidP="00A00B82">
                        <w:pPr>
                          <w:jc w:val="center"/>
                          <w:rPr>
                            <w:rFonts w:ascii="Verdana" w:hAnsi="Verdana"/>
                            <w:sz w:val="16"/>
                            <w:szCs w:val="16"/>
                            <w:lang w:val="de-DE"/>
                          </w:rPr>
                        </w:pPr>
                        <w:r w:rsidRPr="00A00B82">
                          <w:rPr>
                            <w:rFonts w:ascii="Verdana" w:hAnsi="Verdana"/>
                            <w:sz w:val="16"/>
                            <w:szCs w:val="16"/>
                            <w:lang w:val="de-DE"/>
                          </w:rPr>
                          <w:t>äußeres Kofferdammschott / Begrenzungsschott der Aufstellungsräume</w:t>
                        </w:r>
                      </w:p>
                      <w:p w:rsidR="00AA4416" w:rsidRPr="00050DB5" w:rsidRDefault="00AA4416" w:rsidP="00A21536">
                        <w:pPr>
                          <w:spacing w:after="200"/>
                          <w:jc w:val="center"/>
                          <w:textAlignment w:val="baseline"/>
                          <w:rPr>
                            <w:lang w:val="de-DE"/>
                          </w:rPr>
                        </w:pPr>
                      </w:p>
                    </w:txbxContent>
                  </v:textbox>
                </v:shape>
                <v:group id="Gruppieren 11" o:spid="_x0000_s1511" style="position:absolute;left:25987;top:32575;width:3667;height:6747" coordorigin="25987,32575" coordsize="2704,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">
                  <v:oval id="Oval 4" o:spid="_x0000_s1512" alt="5%" style="position:absolute;left:26025;top:32575;width:2666;height:26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" stroked="f">
                    <v:fill r:id="rId26" o:title="5%" recolor="t" type="tile"/>
                    <o:lock v:ext="edit" aspectratio="t"/>
                  </v:oval>
                  <v:rect id="Rectangle 93" o:spid="_x0000_s1513" alt="5%" style="position:absolute;left:25987;top:33639;width:1339;height:491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" stroked="f">
                    <v:fill r:id="rId26" o:title="5%" recolor="t" type="tile"/>
                    <o:lock v:ext="edit" aspectratio="t"/>
                  </v:rect>
                </v:group>
                <v:line id="Line 16" o:spid="_x0000_s1514" alt="Große Konfetti" style="position:absolute;rotation:2416306fd;visibility:visible;mso-wrap-style:square" from="25939,37655" to="26320,38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" strokecolor="#943634">
                  <v:stroke endarrow="block"/>
                </v:line>
                <v:line id="Line 100" o:spid="_x0000_s1515" style="position:absolute;visibility:visible;mso-wrap-style:square" from="17875,28146" to="24574,36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">
                  <v:stroke dashstyle="dashDot"/>
                </v:line>
                <v:line id="Gerade Verbindung 401" o:spid="_x0000_s1516" style="position:absolute;visibility:visible;mso-wrap-style:square" from="20304,36147" to="24971,36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" strokecolor="windowText">
                  <v:stroke dashstyle="longDash"/>
                </v:line>
                <v:rect id="Rectangle 2876" o:spid="_x0000_s1517" alt="5%" style="position:absolute;left:23256;top:36972;width:1588;height:176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" strokecolor="#7f7f7f">
                  <v:fill r:id="rId32" o:title="5%" recolor="t" type="tile"/>
                  <o:lock v:ext="edit" aspectratio="t"/>
                </v:rect>
                <v:group id="Gruppieren 16" o:spid="_x0000_s1518" style="position:absolute;left:19954;top:33448;width:5652;height:4128" coordorigin="19954,33448" coordsize="5657,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">
                  <v:group id="Gruppieren 154" o:spid="_x0000_s1519" style="position:absolute;left:19954;top:33448;width:5658;height:4074" coordorigin="19954,33448" coordsize="5657,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">
                    <v:line id="Line 84" o:spid="_x0000_s1520" style="position:absolute;flip:y;visibility:visible;mso-wrap-style:square" from="19954,33448" to="25612,33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" strokecolor="windowText"/>
                    <v:line id="Line 85" o:spid="_x0000_s1521" style="position:absolute;visibility:visible;mso-wrap-style:square" from="19954,33448" to="19982,35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" strokecolor="windowText"/>
                    <v:line id="Line 86" o:spid="_x0000_s1522" style="position:absolute;rotation:-2;flip:x;visibility:visible;mso-wrap-style:square" from="24916,33477" to="25553,3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" strokecolor="windowText"/>
                    <v:line id="Line 88" o:spid="_x0000_s1523" style="position:absolute;visibility:visible;mso-wrap-style:square" from="20256,35458" to="20256,37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" strokecolor="windowText"/>
                  </v:group>
                  <v:group id="Gruppieren 155" o:spid="_x0000_s1524" style="position:absolute;left:20030;top:35299;width:4997;height:2266" coordorigin="20030,35299" coordsize="4996,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">
                    <v:line id="Line 83" o:spid="_x0000_s1525" style="position:absolute;rotation:8;flip:x;visibility:visible;mso-wrap-style:square" from="24738,35423" to="25027,37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" strokecolor="windowText"/>
                    <v:line id="Line 89" o:spid="_x0000_s1526" style="position:absolute;visibility:visible;mso-wrap-style:square" from="20030,35299" to="20251,3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" strokecolor="windowText"/>
                  </v:group>
                  <v:rect id="Rectangle 24" o:spid="_x0000_s1527" alt="Horizontal hell" style="position:absolute;left:20810;top:34099;width:3258;height:6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" strokecolor="windowText">
                    <v:fill r:id="rId27" o:title="Horizontal hell" recolor="t" type="tile"/>
                    <o:lock v:ext="edit" aspectratio="t"/>
                  </v:rect>
                </v:group>
                <v:group id="Gruppieren 17" o:spid="_x0000_s1528" style="position:absolute;left:17392;top:36295;width:7324;height:3439" coordorigin="17392,36288" coordsize="732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">
                  <v:shape id="Gerade Verbindung mit Pfeil 152" o:spid="_x0000_s1529" type="#_x0000_t32" style="position:absolute;left:22065;top:38251;width:1302;height: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" strokecolor="#595959">
                    <v:stroke startarrow="block"/>
                  </v:shape>
                  <v:shape id="_x0000_s1530" type="#_x0000_t202" style="position:absolute;left:17392;top:36288;width:7324;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" filled="f" stroked="f">
                    <o:lock v:ext="edit" aspectratio="t"/>
                    <v:textbox inset="2.108mm,1.054mm,2.108mm,1.054mm">
                      <w:txbxContent>
                        <w:p w:rsidR="00AA4416" w:rsidRDefault="00AA4416" w:rsidP="00A21536">
                          <w:pPr>
                            <w:spacing w:after="200"/>
                            <w:textAlignment w:val="baseline"/>
                          </w:pPr>
                          <w:r w:rsidRPr="00993052">
                            <w:rPr>
                              <w:rFonts w:ascii="Arial" w:hAnsi="Arial" w:cstheme="minorBidi"/>
                              <w:color w:val="7F7F7F" w:themeColor="text1" w:themeTint="80"/>
                              <w:kern w:val="24"/>
                              <w:sz w:val="22"/>
                              <w:szCs w:val="22"/>
                              <w:u w:val="single"/>
                            </w:rPr>
                            <w:t>&gt;</w:t>
                          </w:r>
                          <w:r w:rsidRPr="00993052">
                            <w:t xml:space="preserve"> 1,00 m</w:t>
                          </w:r>
                        </w:p>
                      </w:txbxContent>
                    </v:textbox>
                  </v:shape>
                </v:group>
                <v:line id="Gerade Verbindung 418" o:spid="_x0000_s1531" style="position:absolute;flip:x;visibility:visible;mso-wrap-style:square" from="25971,33845" to="25987,37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" strokecolor="#604a7b"/>
                <v:line id="Gerade Verbindung 419" o:spid="_x0000_s1532" style="position:absolute;visibility:visible;mso-wrap-style:square" from="27162,32639" to="38862,3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" strokecolor="#604a7b"/>
                <v:shape id="Bogen 20" o:spid="_x0000_s1533" style="position:absolute;left:25987;top:32623;width:2873;height:2571;flip:x;visibility:visible;mso-wrap-style:square;v-text-anchor:middle" coordsize="287338,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" path="m145339,9nsc224691,835,288266,59086,287328,130108l143669,128588c144226,85728,144782,42869,145339,9xem145339,9nfc224691,835,288266,59086,287328,130108e" filled="f" strokecolor="#604a7b">
                  <v:path arrowok="t" o:connecttype="custom" o:connectlocs="145339,9;287328,130108" o:connectangles="0,0"/>
                </v:shape>
                <v:rect id="Rectangle 23" o:spid="_x0000_s1534" alt="25%" style="position:absolute;left:24876;top:38048;width:14049;height:64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" fillcolor="#943634" strokecolor="#953735">
                  <v:fill r:id="rId10" o:title="" type="pattern"/>
                  <o:lock v:ext="edit" aspectratio="t"/>
                </v:rect>
                <v:rect id="Rectangle 20" o:spid="_x0000_s1535" alt="5%" style="position:absolute;left:28336;top:32750;width:10573;height:15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" stroked="f">
                  <v:fill r:id="rId26" o:title="5%" recolor="t" type="tile"/>
                  <o:lock v:ext="edit" aspectratio="t"/>
                </v:rect>
                <v:shape id="_x0000_s1536" type="#_x0000_t202" style="position:absolute;left:28446;top:32289;width:5970;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" filled="f" stroked="f">
                  <o:lock v:ext="edit" aspectratio="t"/>
                  <v:textbox inset="2.108mm,1.054mm,2.108mm,1.054mm">
                    <w:txbxContent>
                      <w:p w:rsidR="00AA4416" w:rsidRDefault="00AA4416" w:rsidP="00A21536">
                        <w:pPr>
                          <w:spacing w:after="200"/>
                          <w:textAlignment w:val="baseline"/>
                        </w:pPr>
                        <w:r w:rsidRPr="00993052">
                          <w:t>1,00 m</w:t>
                        </w:r>
                      </w:p>
                    </w:txbxContent>
                  </v:textbox>
                </v:shape>
                <v:line id="Gerade Verbindung 432" o:spid="_x0000_s1537" style="position:absolute;visibility:visible;mso-wrap-style:square" from="27511,34321" to="39084,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" strokecolor="#953735"/>
                <v:line id="Gerade Verbindung 436" o:spid="_x0000_s1538" style="position:absolute;flip:x;visibility:visible;mso-wrap-style:square" from="27463,34365" to="27495,38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" strokecolor="#953735"/>
                <v:line id="Gerade Verbindung 442" o:spid="_x0000_s1539" style="position:absolute;visibility:visible;mso-wrap-style:square" from="24955,36988" to="25923,37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" strokecolor="#604a7b"/>
                <v:line id="Gerade Verbindung 446" o:spid="_x0000_s1540" style="position:absolute;flip:x;visibility:visible;mso-wrap-style:square" from="26177,38433" to="26209,38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" strokecolor="windowText" strokeweight="3pt"/>
                <v:rect id="Rectangle 23" o:spid="_x0000_s1541" alt="25%" style="position:absolute;left:27543;top:34401;width:11652;height:48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" stroked="f">
                  <v:fill r:id="rId28" o:title="25%" recolor="t" type="tile"/>
                  <o:lock v:ext="edit" aspectratio="t"/>
                </v:rect>
                <v:group id="Gruppieren 30" o:spid="_x0000_s1542" style="position:absolute;left:26114;top:36957;width:13811;height:6429" coordorigin="26114,36957" coordsize="12946,6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">
                  <v:rect id="Rectangle 25" o:spid="_x0000_s1543" alt="Kugeln" style="position:absolute;left:26114;top:38833;width:11954;height:45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">
                    <v:fill r:id="rId29" o:title="Kugeln" recolor="t" type="tile"/>
                    <o:lock v:ext="edit" aspectratio="t"/>
                  </v:rect>
                  <v:rect id="Rectangle 47" o:spid="_x0000_s1544" alt="Kugeln" style="position:absolute;left:31705;top:36957;width:7355;height:7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">
                    <v:fill r:id="rId29" o:title="Kugeln" recolor="t" type="tile"/>
                    <o:lock v:ext="edit" aspectratio="t"/>
                  </v:rect>
                  <v:rect id="Rectangle 47" o:spid="_x0000_s1545" alt="Kugeln" style="position:absolute;left:35670;top:37743;width:649;height:11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" stroked="f">
                    <v:fill r:id="rId29" o:title="Kugeln" recolor="t" type="tile"/>
                    <o:lock v:ext="edit" aspectratio="t"/>
                  </v:rect>
                  <v:line id="Gerade Verbindung 426" o:spid="_x0000_s1546" style="position:absolute;visibility:visible;mso-wrap-style:square" from="35623,37719" to="35623,38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" strokecolor="windowText"/>
                  <v:line id="Gerade Verbindung 427" o:spid="_x0000_s1547" style="position:absolute;visibility:visible;mso-wrap-style:square" from="36307,37751" to="36307,38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" strokecolor="windowText"/>
                  <v:rect id="Rectangle 47" o:spid="_x0000_s1548" alt="Kugeln" style="position:absolute;left:32669;top:37942;width:644;height:1184;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" strokecolor="windowText">
                    <v:fill r:id="rId29" o:title="Kugeln" recolor="t" type="tile"/>
                    <o:lock v:ext="edit" aspectratio="t"/>
                  </v:rect>
                </v:group>
                <v:shape id="AutoShape 68" o:spid="_x0000_s1549" type="#_x0000_t64" style="position:absolute;left:32607;top:37639;width:13430;height:2318;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">
                  <v:stroke dashstyle="1 1"/>
                  <o:lock v:ext="edit" aspectratio="t"/>
                </v:shape>
                <v:line id="Line 17" o:spid="_x0000_s1550" alt="Große Konfetti" style="position:absolute;rotation:2416306fd;flip:y;visibility:visible;mso-wrap-style:square" from="25892,39020" to="26289,39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" strokecolor="#943634">
                  <v:stroke endarrow="block"/>
                </v:line>
                <v:group id="Gruppieren 33" o:spid="_x0000_s1551" style="position:absolute;left:28503;top:33297;width:4112;height:127;rotation:-90" coordorigin="28630,33409" coordsize="410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">
                  <v:shape id="Gerade Verbindung mit Pfeil 144" o:spid="_x0000_s1552" type="#_x0000_t32" style="position:absolute;left:28630;top:33409;width:1316;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" strokecolor="#604a7b">
                    <v:stroke startarrow="block"/>
                  </v:shape>
                  <v:shape id="Gerade Verbindung mit Pfeil 145" o:spid="_x0000_s1553" type="#_x0000_t32" style="position:absolute;left:31436;top:33516;width:1300;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" strokecolor="#604a7b">
                    <v:stroke startarrow="block"/>
                  </v:shape>
                </v:group>
                <v:shape id="Gerade Verbindung mit Pfeil 34" o:spid="_x0000_s1554" type="#_x0000_t32" style="position:absolute;left:27495;top:37465;width:46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" strokecolor="#953735">
                  <v:stroke startarrow="block" endarrow="block"/>
                </v:shape>
                <v:line id="Line 100" o:spid="_x0000_s1555" style="position:absolute;visibility:visible;mso-wrap-style:square" from="26114,40957" to="36845,5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">
                  <v:stroke dashstyle="dashDot"/>
                </v:line>
                <v:line id="Line 100" o:spid="_x0000_s1556" style="position:absolute;visibility:visible;mso-wrap-style:square" from="25003,41703" to="35131,5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">
                  <v:stroke dashstyle="dashDot"/>
                </v:line>
                <v:group id="Gruppieren 38" o:spid="_x0000_s1557" style="position:absolute;left:23701;top:34334;width:7732;height:2505" coordorigin="23701,34334" coordsize="7732,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">
                  <v:shape id="_x0000_s1558" type="#_x0000_t202" style="position:absolute;left:24383;top:34334;width:7050;height: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" filled="f" stroked="f">
                    <o:lock v:ext="edit" aspectratio="t"/>
                    <v:textbox inset="2.108mm,1.054mm,2.108mm,1.054mm">
                      <w:txbxContent>
                        <w:p w:rsidR="00AA4416" w:rsidRDefault="00AA4416" w:rsidP="00A21536">
                          <w:pPr>
                            <w:spacing w:after="200"/>
                            <w:textAlignment w:val="baseline"/>
                          </w:pPr>
                          <w:r w:rsidRPr="00993052">
                            <w:t>&gt; 0,60 m</w:t>
                          </w:r>
                        </w:p>
                      </w:txbxContent>
                    </v:textbox>
                  </v:shape>
                  <v:shape id="Gerade Verbindung mit Pfeil 142" o:spid="_x0000_s1559" type="#_x0000_t32" style="position:absolute;left:25923;top:36449;width:1318;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" strokecolor="#595959">
                    <v:stroke startarrow="block"/>
                  </v:shape>
                  <v:shape id="Gerade Verbindung mit Pfeil 143" o:spid="_x0000_s1560" type="#_x0000_t32" style="position:absolute;left:23701;top:36417;width:1302;height: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" strokecolor="#595959">
                    <v:stroke startarrow="block"/>
                  </v:shape>
                </v:group>
                <v:line id="Gerade Verbindung 198" o:spid="_x0000_s1561" style="position:absolute;visibility:visible;mso-wrap-style:square" from="19923,35861" to="19923,38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" strokecolor="windowText"/>
                <v:line id="Gerade Verbindung 200" o:spid="_x0000_s1562" style="position:absolute;flip:y;visibility:visible;mso-wrap-style:square" from="5397,35941" to="19923,36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" strokecolor="windowText"/>
                <v:shape id="Text Box 14" o:spid="_x0000_s1563" type="#_x0000_t202" style="position:absolute;left:39179;top:16937;width:13700;height: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" filled="f" stroked="f">
                  <v:textbox inset="2.108mm,1.054mm,2.108mm,1.054mm">
                    <w:txbxContent>
                      <w:p w:rsidR="00AA4416" w:rsidRPr="004362CA" w:rsidRDefault="00AA4416" w:rsidP="00A21536">
                        <w:pPr>
                          <w:textAlignment w:val="baseline"/>
                        </w:pPr>
                        <w:r w:rsidRPr="00A00B82">
                          <w:rPr>
                            <w:rFonts w:ascii="Verdana" w:hAnsi="Verdana" w:cs="Arial"/>
                            <w:color w:val="1F497D" w:themeColor="text2"/>
                            <w:kern w:val="24"/>
                            <w:sz w:val="16"/>
                            <w:szCs w:val="16"/>
                          </w:rPr>
                          <w:t>Begrenzungsebene des Bereichs der Ladung</w:t>
                        </w:r>
                      </w:p>
                    </w:txbxContent>
                  </v:textbox>
                </v:shape>
                <v:line id="Gerade Verbindung 503" o:spid="_x0000_s1564" style="position:absolute;visibility:visible;mso-wrap-style:square" from="24796,2667" to="25019,6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" strokecolor="#1f497d">
                  <v:stroke dashstyle="dash"/>
                </v:line>
                <v:shape id="Gerade Verbindung mit Pfeil 43" o:spid="_x0000_s1565" type="#_x0000_t32" style="position:absolute;left:24765;top:19322;width:14414;height:57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" strokecolor="#4a7ebb">
                  <v:stroke endarrow="open"/>
                </v:shape>
                <v:shape id="Textfeld 467" o:spid="_x0000_s1566" type="#_x0000_t202" style="position:absolute;top:56372;width:22459;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" filled="f" stroked="f">
                  <v:textbox>
                    <w:txbxContent>
                      <w:p w:rsidR="00AA4416" w:rsidRPr="00A00B82" w:rsidRDefault="00AA4416" w:rsidP="00A21536">
                        <w:pPr>
                          <w:rPr>
                            <w:rFonts w:ascii="Arial" w:hAnsi="Arial" w:cs="Arial"/>
                            <w:color w:val="000000" w:themeColor="text1"/>
                            <w:kern w:val="24"/>
                            <w:sz w:val="24"/>
                            <w:szCs w:val="24"/>
                          </w:rPr>
                        </w:pPr>
                        <w:r w:rsidRPr="00A00B82">
                          <w:rPr>
                            <w:rFonts w:ascii="Arial" w:hAnsi="Arial" w:cs="Arial"/>
                            <w:color w:val="000000" w:themeColor="text1"/>
                            <w:kern w:val="24"/>
                            <w:sz w:val="24"/>
                            <w:szCs w:val="24"/>
                          </w:rPr>
                          <w:t>Schutzwand nicht Außenwand der Wohnung</w:t>
                        </w:r>
                      </w:p>
                      <w:p w:rsidR="00AA4416" w:rsidRPr="00050DB5" w:rsidRDefault="00AA4416" w:rsidP="00A21536">
                        <w:pPr>
                          <w:textAlignment w:val="baseline"/>
                          <w:rPr>
                            <w:lang w:val="de-DE"/>
                          </w:rPr>
                        </w:pPr>
                      </w:p>
                    </w:txbxContent>
                  </v:textbox>
                </v:shape>
                <v:group id="Gruppieren 45" o:spid="_x0000_s1567" style="position:absolute;left:36998;top:31241;width:42642;height:28639" coordorigin="36999,31241" coordsize="42648,2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">
                  <v:rect id="Rectangle 93" o:spid="_x0000_s1568" alt="5%" style="position:absolute;left:64801;top:37527;width:1800;height:1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" stroked="f">
                    <v:fill r:id="rId26" o:title="5%" recolor="t" type="tile"/>
                  </v:rect>
                  <v:group id="Gruppieren 62" o:spid="_x0000_s1569" style="position:absolute;left:36999;top:31241;width:42648;height:28642" coordorigin="36999,31241" coordsize="42648,2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">
                    <v:rect id="Rectangle 93" o:spid="_x0000_s1570" alt="5%" style="position:absolute;left:63060;top:37460;width:1800;height:18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" strokecolor="#7030a0">
                      <v:fill r:id="rId26" o:title="5%" recolor="t" type="tile"/>
                    </v:rect>
                    <v:shape id="Text Box 14" o:spid="_x0000_s1571" type="#_x0000_t202" style="position:absolute;left:36999;top:53060;width:14842;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" filled="f" stroked="f">
                      <v:textbox inset="2.108mm,1.054mm,2.108mm,1.054mm">
                        <w:txbxContent>
                          <w:p w:rsidR="00AA4416" w:rsidRPr="00A00B82" w:rsidRDefault="00AA4416" w:rsidP="00A00B82">
                            <w:pPr>
                              <w:jc w:val="center"/>
                              <w:rPr>
                                <w:rFonts w:ascii="Verdana" w:hAnsi="Verdana"/>
                                <w:sz w:val="16"/>
                                <w:szCs w:val="16"/>
                                <w:lang w:val="de-DE"/>
                              </w:rPr>
                            </w:pPr>
                            <w:r w:rsidRPr="00A00B82">
                              <w:rPr>
                                <w:rFonts w:ascii="Verdana" w:hAnsi="Verdana"/>
                                <w:sz w:val="16"/>
                                <w:szCs w:val="16"/>
                                <w:lang w:val="de-DE"/>
                              </w:rPr>
                              <w:t>äußeres Ladetankschott</w:t>
                            </w:r>
                          </w:p>
                        </w:txbxContent>
                      </v:textbox>
                    </v:shape>
                    <v:shape id="Gerade Verbindung mit Pfeil 72" o:spid="_x0000_s1572" type="#_x0000_t32" style="position:absolute;left:67616;top:34544;width:1318;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" strokecolor="#604a7b">
                      <v:stroke startarrow="block"/>
                    </v:shape>
                    <v:rect id="Rectangle 20" o:spid="_x0000_s1573" alt="5%" style="position:absolute;left:67106;top:33208;width:10571;height:1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" stroked="f">
                      <v:fill r:id="rId26" o:title="5%" recolor="t" type="tile"/>
                      <o:lock v:ext="edit" aspectratio="t"/>
                    </v:rect>
                    <v:line id="Gerade Verbindung 515" o:spid="_x0000_s1574" style="position:absolute;visibility:visible;mso-wrap-style:square" from="67219,34877" to="71173,34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" strokecolor="#953735"/>
                    <v:line id="Gerade Verbindung 516" o:spid="_x0000_s1575" style="position:absolute;visibility:visible;mso-wrap-style:square" from="66044,38942" to="67298,3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" strokecolor="#953735"/>
                    <v:rect id="Rectangle 20" o:spid="_x0000_s1576" alt="5%" style="position:absolute;left:51342;top:39232;width:13404;height:7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" stroked="f">
                      <v:fill r:id="rId26" o:title="5%" recolor="t" type="tile"/>
                    </v:rect>
                    <v:line id="Line 11" o:spid="_x0000_s1577" style="position:absolute;flip:y;visibility:visible;mso-wrap-style:square" from="49478,39905" to="49478,4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" strokecolor="#5f497a">
                      <v:stroke endarrow="block"/>
                    </v:line>
                    <v:line id="Line 12" o:spid="_x0000_s1578" style="position:absolute;visibility:visible;mso-wrap-style:square" from="49560,38051" to="49560,38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" strokecolor="#5f497a">
                      <v:stroke endarrow="block"/>
                    </v:line>
                    <v:shape id="Text Box 13" o:spid="_x0000_s1579" type="#_x0000_t202" style="position:absolute;left:49439;top:36995;width:6600;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" filled="f" stroked="f">
                      <o:lock v:ext="edit" aspectratio="t"/>
                      <v:textbox inset="2.108mm,1.054mm,2.108mm,1.054mm">
                        <w:txbxContent>
                          <w:p w:rsidR="00AA4416" w:rsidRDefault="00AA4416" w:rsidP="00A21536">
                            <w:pPr>
                              <w:spacing w:after="200"/>
                              <w:textAlignment w:val="baseline"/>
                            </w:pPr>
                            <w:r w:rsidRPr="00993052">
                              <w:t>0,50 m</w:t>
                            </w:r>
                          </w:p>
                        </w:txbxContent>
                      </v:textbox>
                    </v:shape>
                    <v:shape id="Text Box 14" o:spid="_x0000_s1580" type="#_x0000_t202" style="position:absolute;left:56373;top:39917;width:5386;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" filled="f" stroked="f">
                      <o:lock v:ext="edit" aspectratio="t"/>
                      <v:textbox inset="2.108mm,1.054mm,2.108mm,1.054mm">
                        <w:txbxContent>
                          <w:p w:rsidR="00AA4416" w:rsidRDefault="00AA4416" w:rsidP="00A21536">
                            <w:pPr>
                              <w:spacing w:after="200"/>
                              <w:textAlignment w:val="baseline"/>
                            </w:pPr>
                            <w:r w:rsidRPr="00993052">
                              <w:t>7,5 m</w:t>
                            </w:r>
                          </w:p>
                        </w:txbxContent>
                      </v:textbox>
                    </v:shape>
                    <v:line id="Line 10" o:spid="_x0000_s1581" style="position:absolute;flip:x;visibility:visible;mso-wrap-style:square" from="49556,39078" to="51091,3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">
                      <v:stroke dashstyle="1 1" endcap="round"/>
                    </v:line>
                    <v:group id="Gruppieren 82" o:spid="_x0000_s1582" style="position:absolute;left:41862;top:35869;width:23022;height:9092" coordorigin="41862,35869" coordsize="23022,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V6H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w+jeH5JjwBuf4DAAD//wMAUEsBAi0AFAAGAAgAAAAhANvh9svuAAAAhQEAABMAAAAAAAAA&#10;AAAAAAAAAAAAAFtDb250ZW50X1R5cGVzXS54bWxQSwECLQAUAAYACAAAACEAWvQsW78AAAAVAQAA&#10;CwAAAAAAAAAAAAAAAAAfAQAAX3JlbHMvLnJlbHNQSwECLQAUAAYACAAAACEAryleh8YAAADdAAAA&#10;DwAAAAAAAAAAAAAAAAAHAgAAZHJzL2Rvd25yZXYueG1sUEsFBgAAAAADAAMAtwAAAPoCAAAAAA==&#10;">
                      <v:line id="Line 76" o:spid="_x0000_s1583" style="position:absolute;visibility:visible;mso-wrap-style:square" from="44775,42325" to="47651,44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"/>
                      <v:line id="Line 77" o:spid="_x0000_s1584" style="position:absolute;visibility:visible;mso-wrap-style:square" from="42326,42317" to="44846,42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"/>
                      <v:line id="Line 78" o:spid="_x0000_s1585" style="position:absolute;visibility:visible;mso-wrap-style:square" from="41862,39831" to="42326,4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"/>
                      <v:line id="Line 81" o:spid="_x0000_s1586" style="position:absolute;flip:x;visibility:visible;mso-wrap-style:square" from="44617,36470" to="44764,3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"/>
                      <v:line id="Line 82" o:spid="_x0000_s1587" style="position:absolute;flip:y;visibility:visible;mso-wrap-style:square" from="44724,35869" to="64884,3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"/>
                      <v:line id="Line 79" o:spid="_x0000_s1588" style="position:absolute;visibility:visible;mso-wrap-style:square" from="41886,39919" to="64611,39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"/>
                    </v:group>
                    <v:group id="Gruppieren 83" o:spid="_x0000_s1589" style="position:absolute;left:47645;top:33282;width:17937;height:11659" coordorigin="47645,33272" coordsize="17730,1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">
                      <v:line id="Line 84" o:spid="_x0000_s1590" style="position:absolute;flip:y;visibility:visible;mso-wrap-style:square" from="59917,33299" to="65353,33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"/>
                      <v:line id="Line 85" o:spid="_x0000_s1591" style="position:absolute;visibility:visible;mso-wrap-style:square" from="59917,33272" to="59945,35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"/>
                      <v:line id="Line 86" o:spid="_x0000_s1592" style="position:absolute;flip:x;visibility:visible;mso-wrap-style:square" from="64737,33272" to="65375,35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"/>
                      <v:line id="Line 87" o:spid="_x0000_s1593" style="position:absolute;visibility:visible;mso-wrap-style:square" from="64757,35446" to="64757,35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"/>
                      <v:line id="Line 88" o:spid="_x0000_s1594" style="position:absolute;visibility:visible;mso-wrap-style:square" from="60219,35200" to="60219,36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"/>
                      <v:line id="Line 90" o:spid="_x0000_s1595" style="position:absolute;visibility:visible;mso-wrap-style:square" from="47645,44930" to="64694,4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"/>
                    </v:group>
                    <v:group id="Gruppieren 84" o:spid="_x0000_s1596" style="position:absolute;left:44950;top:34017;width:19081;height:3552" coordorigin="44950,34017" coordsize="19080,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">
                      <v:rect id="Rectangle 24" o:spid="_x0000_s1597" alt="Horizontal hell" style="position:absolute;left:60773;top:34017;width:3258;height:6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">
                        <v:fill r:id="rId27" o:title="Horizontal hell" recolor="t" type="tile"/>
                        <o:lock v:ext="edit" aspectratio="t"/>
                      </v:rect>
                      <v:rect id="Rectangle 92" o:spid="_x0000_s1598" alt="Horizontal hell" style="position:absolute;left:44950;top:36909;width:3243;height:6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">
                        <v:fill r:id="rId27" o:title="Horizontal hell" recolor="t" type="tile"/>
                        <o:lock v:ext="edit" aspectratio="t"/>
                      </v:rect>
                    </v:group>
                    <v:group id="Gruppieren 85" o:spid="_x0000_s1599" style="position:absolute;left:66046;top:33017;width:3620;height:6736" coordorigin="66046,33017" coordsize="2666,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">
                      <v:oval id="Oval 4" o:spid="_x0000_s1600" alt="5%" style="position:absolute;left:66046;top:33017;width:2666;height:26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" stroked="f">
                        <v:fill r:id="rId26" o:title="5%" recolor="t" type="tile"/>
                        <o:lock v:ext="edit" aspectratio="t"/>
                      </v:oval>
                      <v:rect id="Rectangle 93" o:spid="_x0000_s1601" alt="5%" style="position:absolute;left:66114;top:34080;width:1340;height:49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" stroked="f">
                        <v:fill r:id="rId26" o:title="5%" recolor="t" type="tile"/>
                        <o:lock v:ext="edit" aspectratio="t"/>
                      </v:rect>
                    </v:group>
                    <v:line id="Gerade Verbindung 527" o:spid="_x0000_s1602" style="position:absolute;flip:x;visibility:visible;mso-wrap-style:square" from="66155,34353" to="66203,37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" strokecolor="#604a7b"/>
                    <v:line id="Gerade Verbindung 528" o:spid="_x0000_s1603" style="position:absolute;visibility:visible;mso-wrap-style:square" from="67378,33115" to="78175,3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" strokecolor="#604a7b"/>
                    <v:shape id="Bogen 88" o:spid="_x0000_s1604" style="position:absolute;left:66203;top:33099;width:2874;height:2572;flip:x;visibility:visible;mso-wrap-style:square;v-text-anchor:middle" coordsize="287382,25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" path="m145361,9nsc224725,835,288310,59091,287372,130120l143691,128600c144248,85736,144804,42873,145361,9xem145361,9nfc224725,835,288310,59091,287372,130120e" filled="f" strokecolor="#604a7b">
                      <v:path arrowok="t" o:connecttype="custom" o:connectlocs="145361,9;287372,130120" o:connectangles="0,0"/>
                    </v:shape>
                    <v:shape id="_x0000_s1605" type="#_x0000_t202" style="position:absolute;left:67312;top:32924;width:5970;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" filled="f" stroked="f">
                      <o:lock v:ext="edit" aspectratio="t"/>
                      <v:textbox inset="2.108mm,1.054mm,2.108mm,1.054mm">
                        <w:txbxContent>
                          <w:p w:rsidR="00AA4416" w:rsidRDefault="00AA4416" w:rsidP="00A21536">
                            <w:pPr>
                              <w:spacing w:after="200"/>
                              <w:textAlignment w:val="baseline"/>
                            </w:pPr>
                            <w:r w:rsidRPr="00993052">
                              <w:t>1,00 m</w:t>
                            </w:r>
                          </w:p>
                        </w:txbxContent>
                      </v:textbox>
                    </v:shape>
                    <v:rect id="Rectangle 23" o:spid="_x0000_s1606" alt="25%" style="position:absolute;left:64853;top:38510;width:12750;height:641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" fillcolor="#943634" strokecolor="#953735">
                      <v:fill r:id="rId10" o:title="" type="pattern"/>
                      <o:lock v:ext="edit" aspectratio="t"/>
                    </v:rect>
                    <v:line id="Gerade Verbindung 532" o:spid="_x0000_s1607" style="position:absolute;flip:y;visibility:visible;mso-wrap-style:square" from="67775,34798" to="79302,3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" strokecolor="#953735"/>
                    <v:line id="Line 15" o:spid="_x0000_s1608" style="position:absolute;flip:x;visibility:visible;mso-wrap-style:square" from="51070,40287" to="64750,4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" strokecolor="#5f497a">
                      <v:stroke startarrow="block" endarrow="block"/>
                    </v:line>
                    <v:line id="Gerade Verbindung 534" o:spid="_x0000_s1609" style="position:absolute;rotation:-1;flip:x;visibility:visible;mso-wrap-style:square" from="51373,39116" to="63075,39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" strokecolor="#604a7b"/>
                    <v:line id="Gerade Verbindung 535" o:spid="_x0000_s1610" style="position:absolute;flip:x;visibility:visible;mso-wrap-style:square" from="51310,39132" to="51342,3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" strokecolor="#604a7b"/>
                    <v:rect id="Rectangle 23" o:spid="_x0000_s1611" alt="25%" style="position:absolute;left:67806;top:34875;width:11197;height:50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" stroked="f">
                      <v:fill r:id="rId28" o:title="25%" recolor="t" type="tile"/>
                      <o:lock v:ext="edit" aspectratio="t"/>
                    </v:rect>
                    <v:group id="Gruppieren 96" o:spid="_x0000_s1612" style="position:absolute;left:66002;top:37364;width:13224;height:6649" coordorigin="66002,37364" coordsize="13223,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">
                      <v:rect id="Rectangle 25" o:spid="_x0000_s1613" alt="Kugeln" style="position:absolute;left:66002;top:39261;width:11387;height:47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">
                        <v:fill r:id="rId29" o:title="Kugeln" recolor="t" type="tile"/>
                        <o:lock v:ext="edit" aspectratio="t"/>
                      </v:rect>
                      <v:rect id="Rectangle 47" o:spid="_x0000_s1614" alt="Kugeln" style="position:absolute;left:72386;top:37364;width:6840;height:7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">
                        <v:fill r:id="rId29" o:title="Kugeln" recolor="t" type="tile"/>
                        <o:lock v:ext="edit" aspectratio="t"/>
                      </v:rect>
                      <v:rect id="Rectangle 47" o:spid="_x0000_s1615" alt="Kugeln" style="position:absolute;left:76286;top:38065;width:649;height:11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" stroked="f">
                        <v:fill r:id="rId29" o:title="Kugeln" recolor="t" type="tile"/>
                        <o:lock v:ext="edit" aspectratio="t"/>
                      </v:rect>
                      <v:line id="Gerade Verbindung 563" o:spid="_x0000_s1616" style="position:absolute;visibility:visible;mso-wrap-style:square" from="76253,38053" to="76253,39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" strokecolor="windowText"/>
                      <v:line id="Gerade Verbindung 564" o:spid="_x0000_s1617" style="position:absolute;visibility:visible;mso-wrap-style:square" from="76936,38084" to="76936,39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" strokecolor="windowText"/>
                      <v:rect id="Rectangle 47" o:spid="_x0000_s1618" alt="Kugeln" style="position:absolute;left:73886;top:38369;width:643;height:1183;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" strokecolor="windowText">
                        <v:fill r:id="rId29" o:title="Kugeln" recolor="t" type="tile"/>
                        <o:lock v:ext="edit" aspectratio="t"/>
                      </v:rect>
                    </v:group>
                    <v:group id="Gruppieren 97" o:spid="_x0000_s1619" style="position:absolute;left:66259;top:33821;width:4446;height:111;rotation:-90" coordorigin="66410,33983" coordsize="444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">
                      <v:shape id="Gerade Verbindung mit Pfeil 117" o:spid="_x0000_s1620" type="#_x0000_t32" style="position:absolute;left:66410;top:33983;width:1318;height: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" strokecolor="#604a7b">
                        <v:stroke startarrow="block"/>
                      </v:shape>
                      <v:shape id="Gerade Verbindung mit Pfeil 118" o:spid="_x0000_s1621" type="#_x0000_t32" style="position:absolute;left:69538;top:34078;width:1318;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" strokecolor="#604a7b">
                        <v:stroke startarrow="block"/>
                      </v:shape>
                    </v:group>
                    <v:shape id="Gerade Verbindung mit Pfeil 98" o:spid="_x0000_s1622" type="#_x0000_t32" style="position:absolute;left:67838;top:37481;width:4637;height: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" strokecolor="#953735">
                      <v:stroke startarrow="block" endarrow="block"/>
                    </v:shape>
                    <v:shape id="_x0000_s1623" type="#_x0000_t202" style="position:absolute;left:67439;top:37129;width:7354;height: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" filled="f" stroked="f">
                      <o:lock v:ext="edit" aspectratio="t"/>
                      <v:textbox inset="2.108mm,1.054mm,2.108mm,1.054mm">
                        <w:txbxContent>
                          <w:p w:rsidR="00AA4416" w:rsidRDefault="00AA4416" w:rsidP="00A21536">
                            <w:pPr>
                              <w:spacing w:after="200"/>
                              <w:textAlignment w:val="baseline"/>
                            </w:pPr>
                            <w:r w:rsidRPr="00993052">
                              <w:t>&gt; 2,50 m</w:t>
                            </w:r>
                          </w:p>
                        </w:txbxContent>
                      </v:textbox>
                    </v:shape>
                    <v:shape id="AutoShape 68" o:spid="_x0000_s1624" type="#_x0000_t64" style="position:absolute;left:71667;top:38146;width:13436;height:2525;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">
                      <v:stroke dashstyle="1 1"/>
                      <o:lock v:ext="edit" aspectratio="t"/>
                    </v:shape>
                    <v:line id="Gerade Verbindung 542" o:spid="_x0000_s1625" style="position:absolute;rotation:3;flip:x;visibility:visible;mso-wrap-style:square" from="67743,34893" to="67838,3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" strokecolor="#953735"/>
                    <v:line id="Line 100" o:spid="_x0000_s1626" style="position:absolute;flip:x;visibility:visible;mso-wrap-style:square" from="49482,40704" to="65928,55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">
                      <v:stroke dashstyle="dashDot"/>
                    </v:line>
                    <v:group id="Gruppieren 103" o:spid="_x0000_s1627" style="position:absolute;left:60074;top:31241;width:5668;height:4827" coordorigin="60074,31242" coordsize="5668,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">
                      <v:line id="Line 84" o:spid="_x0000_s1628" style="position:absolute;flip:y;visibility:visible;mso-wrap-style:square" from="60074,31242" to="65742,3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" strokecolor="#595959">
                        <v:stroke dashstyle="longDash"/>
                      </v:line>
                      <v:line id="Line 85" o:spid="_x0000_s1629" style="position:absolute;visibility:visible;mso-wrap-style:square" from="60074,31289" to="60106,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" strokecolor="#595959">
                        <v:stroke dashstyle="longDash"/>
                      </v:line>
                      <v:line id="Line 86" o:spid="_x0000_s1630" style="position:absolute;rotation:-2;flip:x;visibility:visible;mso-wrap-style:square" from="64917,31273" to="65552,3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" strokecolor="#595959">
                        <v:stroke dashstyle="longDash"/>
                      </v:line>
                      <v:line id="Line 88" o:spid="_x0000_s1631" style="position:absolute;visibility:visible;mso-wrap-style:square" from="60376,33100" to="60376,3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" strokecolor="#595959">
                        <v:stroke dashstyle="longDash"/>
                      </v:line>
                      <v:rect id="Rectangle 24" o:spid="_x0000_s1632" alt="Horizontal hell" style="position:absolute;left:60884;top:32051;width:3271;height:6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" filled="f" strokecolor="#595959">
                        <v:stroke dashstyle="longDash"/>
                        <o:lock v:ext="edit" aspectratio="t"/>
                      </v:rect>
                      <v:line id="Line 83" o:spid="_x0000_s1633" style="position:absolute;rotation:8;flip:x;visibility:visible;mso-wrap-style:square" from="64726,33370" to="65092,3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" strokecolor="#595959">
                        <v:stroke dashstyle="longDash"/>
                      </v:line>
                    </v:group>
                    <v:line id="Gerade Verbindung 545" o:spid="_x0000_s1634" style="position:absolute;visibility:visible;mso-wrap-style:square" from="60090,35179" to="60376,3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" strokecolor="windowText"/>
                    <v:line id="Line 100" o:spid="_x0000_s1635" style="position:absolute;flip:x;visibility:visible;mso-wrap-style:square" from="50434,43943" to="64912,59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">
                      <v:stroke dashstyle="dashDot"/>
                    </v:line>
                    <v:group id="Gruppieren 106" o:spid="_x0000_s1636" style="position:absolute;left:62850;top:35528;width:7424;height:2515" coordorigin="62850,35528" coordsize="7423,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">
                      <v:shape id="_x0000_s1637" type="#_x0000_t202" style="position:absolute;left:62850;top:35572;width:7424;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" filled="f" stroked="f">
                        <o:lock v:ext="edit" aspectratio="t"/>
                        <v:textbox inset="2.108mm,1.054mm,2.108mm,1.054mm">
                          <w:txbxContent>
                            <w:p w:rsidR="00AA4416" w:rsidRDefault="00AA4416" w:rsidP="00A21536">
                              <w:pPr>
                                <w:spacing w:after="200"/>
                                <w:textAlignment w:val="baseline"/>
                              </w:pPr>
                              <w:r w:rsidRPr="00993052">
                                <w:t>&gt; 0,60 m</w:t>
                              </w:r>
                            </w:p>
                          </w:txbxContent>
                        </v:textbox>
                      </v:shape>
                      <v:shape id="Gerade Verbindung mit Pfeil 109" o:spid="_x0000_s1638" type="#_x0000_t32" style="position:absolute;left:66076;top:35560;width:1318;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" strokecolor="#595959">
                        <v:stroke startarrow="block"/>
                      </v:shape>
                      <v:shape id="Gerade Verbindung mit Pfeil 110" o:spid="_x0000_s1639" type="#_x0000_t32" style="position:absolute;left:63853;top:35528;width:1302;height: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" strokecolor="#595959">
                        <v:stroke startarrow="block"/>
                      </v:shape>
                    </v:group>
                    <v:line id="Gerade Verbindung 548" o:spid="_x0000_s1640" style="position:absolute;rotation:-90;visibility:visible;mso-wrap-style:square" from="65497,36726" to="65497,3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" strokecolor="#7030a0"/>
                  </v:group>
                  <v:line id="Gerade Verbindung 506" o:spid="_x0000_s1641" style="position:absolute;flip:x;visibility:visible;mso-wrap-style:square" from="66092,38926" to="66139,39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" strokecolor="windowText" strokeweight="3pt"/>
                  <v:line id="Gerade Verbindung 507" o:spid="_x0000_s1642" style="position:absolute;flip:x;visibility:visible;mso-wrap-style:square" from="64837,35925" to="64885,3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" strokecolor="windowText"/>
                </v:group>
                <v:shape id="Gerade Verbindung mit Pfeil 46" o:spid="_x0000_s1643" type="#_x0000_t32" style="position:absolute;left:53228;top:19304;width:11669;height:58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" strokecolor="#4a7ebb">
                  <v:stroke endarrow="open"/>
                </v:shape>
                <v:shape id="Textfeld 467" o:spid="_x0000_s1644" type="#_x0000_t202" style="position:absolute;left:63521;top:57007;width:22460;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" filled="f" stroked="f">
                  <v:textbox>
                    <w:txbxContent>
                      <w:p w:rsidR="00AA4416" w:rsidRPr="00A00B82" w:rsidRDefault="00AA4416" w:rsidP="00A21536">
                        <w:pPr>
                          <w:rPr>
                            <w:rFonts w:ascii="Arial" w:hAnsi="Arial" w:cs="Arial"/>
                            <w:color w:val="000000" w:themeColor="text1"/>
                            <w:kern w:val="24"/>
                            <w:sz w:val="24"/>
                            <w:szCs w:val="24"/>
                          </w:rPr>
                        </w:pPr>
                        <w:r w:rsidRPr="00A00B82">
                          <w:rPr>
                            <w:rFonts w:ascii="Arial" w:hAnsi="Arial" w:cs="Arial"/>
                            <w:color w:val="000000" w:themeColor="text1"/>
                            <w:kern w:val="24"/>
                            <w:sz w:val="24"/>
                            <w:szCs w:val="24"/>
                          </w:rPr>
                          <w:t xml:space="preserve">Schutzwand </w:t>
                        </w:r>
                      </w:p>
                      <w:p w:rsidR="00AA4416" w:rsidRPr="00A00B82" w:rsidRDefault="00AA4416" w:rsidP="00A21536">
                        <w:pPr>
                          <w:rPr>
                            <w:rFonts w:ascii="Arial" w:hAnsi="Arial" w:cs="Arial"/>
                            <w:color w:val="000000" w:themeColor="text1"/>
                            <w:kern w:val="24"/>
                            <w:sz w:val="24"/>
                            <w:szCs w:val="24"/>
                          </w:rPr>
                        </w:pPr>
                        <w:r w:rsidRPr="00A00B82">
                          <w:rPr>
                            <w:rFonts w:ascii="Arial" w:hAnsi="Arial" w:cs="Arial"/>
                            <w:color w:val="000000" w:themeColor="text1"/>
                            <w:kern w:val="24"/>
                            <w:sz w:val="24"/>
                            <w:szCs w:val="24"/>
                          </w:rPr>
                          <w:t>Außenwand der Wohnung</w:t>
                        </w:r>
                      </w:p>
                    </w:txbxContent>
                  </v:textbox>
                </v:shape>
                <v:line id="Gerade Verbindung 503" o:spid="_x0000_s1645" style="position:absolute;flip:x;visibility:visible;mso-wrap-style:square" from="64785,19510" to="64928,5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" strokecolor="#1f497d">
                  <v:stroke dashstyle="dash"/>
                </v:line>
                <v:shape id="Text Box 99" o:spid="_x0000_s1646" type="#_x0000_t202" style="position:absolute;left:36258;top:46124;width:16796;height:6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" filled="f" stroked="f">
                  <v:textbox inset="2.108mm,1.054mm,2.108mm,1.054mm">
                    <w:txbxContent>
                      <w:p w:rsidR="00AA4416" w:rsidRPr="00A00B82" w:rsidRDefault="00AA4416" w:rsidP="00A00B82">
                        <w:pPr>
                          <w:jc w:val="center"/>
                          <w:rPr>
                            <w:rFonts w:ascii="Verdana" w:hAnsi="Verdana"/>
                            <w:sz w:val="16"/>
                            <w:szCs w:val="16"/>
                            <w:lang w:val="de-DE"/>
                          </w:rPr>
                        </w:pPr>
                        <w:r w:rsidRPr="00A00B82">
                          <w:rPr>
                            <w:rFonts w:ascii="Verdana" w:hAnsi="Verdana"/>
                            <w:sz w:val="16"/>
                            <w:szCs w:val="16"/>
                            <w:lang w:val="de-DE"/>
                          </w:rPr>
                          <w:t>Schutzsüll; gas- und flüssigkeitsdicht </w:t>
                        </w:r>
                        <w:r w:rsidRPr="00A00B82">
                          <w:rPr>
                            <w:rFonts w:ascii="Verdana" w:hAnsi="Verdana"/>
                            <w:sz w:val="16"/>
                            <w:szCs w:val="16"/>
                            <w:lang w:val="de-DE"/>
                          </w:rPr>
                          <w:br/>
                          <w:t xml:space="preserve">h: </w:t>
                        </w:r>
                        <w:r w:rsidRPr="00BA1F0F">
                          <w:rPr>
                            <w:rFonts w:ascii="Verdana" w:hAnsi="Verdana"/>
                            <w:sz w:val="16"/>
                            <w:szCs w:val="16"/>
                            <w:u w:val="single"/>
                            <w:lang w:val="de-DE"/>
                          </w:rPr>
                          <w:t>&gt;</w:t>
                        </w:r>
                        <w:r w:rsidRPr="00A00B82">
                          <w:rPr>
                            <w:rFonts w:ascii="Verdana" w:hAnsi="Verdana"/>
                            <w:sz w:val="16"/>
                            <w:szCs w:val="16"/>
                            <w:lang w:val="de-DE"/>
                          </w:rPr>
                          <w:t xml:space="preserve"> 0,075 m</w:t>
                        </w:r>
                      </w:p>
                      <w:p w:rsidR="00AA4416" w:rsidRPr="00050DB5" w:rsidRDefault="00AA4416" w:rsidP="00A21536">
                        <w:pPr>
                          <w:spacing w:after="200"/>
                          <w:jc w:val="center"/>
                          <w:textAlignment w:val="baseline"/>
                          <w:rPr>
                            <w:lang w:val="de-DE"/>
                          </w:rPr>
                        </w:pPr>
                      </w:p>
                    </w:txbxContent>
                  </v:textbox>
                </v:shape>
                <v:line id="Line 100" o:spid="_x0000_s1647" style="position:absolute;flip:x;visibility:visible;mso-wrap-style:square" from="50625,39179" to="65928,5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">
                  <v:stroke dashstyle="dashDot"/>
                </v:line>
                <v:line id="Line 100" o:spid="_x0000_s1648" style="position:absolute;visibility:visible;mso-wrap-style:square" from="26177,38671" to="36718,4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">
                  <v:stroke dashstyle="dashDot"/>
                </v:line>
                <v:group id="Gruppieren 53" o:spid="_x0000_s1649" style="position:absolute;left:74787;top:4222;width:9859;height:2667" coordorigin="74787,4222" coordsize="9856,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">
                  <v:rect id="Rectangle 220" o:spid="_x0000_s1650" alt="Kugeln" style="position:absolute;left:74787;top:4819;width:2698;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" strokecolor="#548dd4">
                    <v:fill r:id="rId33" o:title="Kugeln" recolor="t" type="tile"/>
                  </v:rect>
                  <v:shape id="Textfeld 205" o:spid="_x0000_s1651" type="#_x0000_t202" style="position:absolute;left:77270;top:4222;width:7373;height:2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" filled="f" stroked="f">
                    <v:textbox>
                      <w:txbxContent>
                        <w:p w:rsidR="00AA4416" w:rsidRPr="00A00B82" w:rsidRDefault="00AA4416" w:rsidP="00A21536">
                          <w:pPr>
                            <w:kinsoku w:val="0"/>
                            <w:overflowPunct w:val="0"/>
                            <w:textAlignment w:val="baseline"/>
                            <w:rPr>
                              <w:rFonts w:ascii="Arial" w:hAnsi="Arial" w:cs="Arial"/>
                              <w:sz w:val="24"/>
                              <w:szCs w:val="24"/>
                            </w:rPr>
                          </w:pPr>
                          <w:r w:rsidRPr="00A00B82">
                            <w:rPr>
                              <w:rFonts w:ascii="Arial" w:hAnsi="Arial" w:cs="Arial"/>
                              <w:sz w:val="24"/>
                              <w:szCs w:val="24"/>
                            </w:rPr>
                            <w:t>Zone 0</w:t>
                          </w:r>
                        </w:p>
                      </w:txbxContent>
                    </v:textbox>
                  </v:shape>
                </v:group>
                <v:group id="Gruppieren 54" o:spid="_x0000_s1652" style="position:absolute;left:74945;top:6647;width:9638;height:3595" coordorigin="74945,6648" coordsize="9633,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">
                  <v:rect id="Rectangle 221" o:spid="_x0000_s1653" alt="50%" style="position:absolute;left:74945;top:7437;width:269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" strokecolor="#943634">
                    <v:fill r:id="rId34" o:title="50%" recolor="t" type="tile"/>
                  </v:rect>
                  <v:shape id="Textfeld 208" o:spid="_x0000_s1654" type="#_x0000_t202" style="position:absolute;left:77270;top:6648;width:7309;height:3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" filled="f" stroked="f">
                    <v:textbox>
                      <w:txbxContent>
                        <w:p w:rsidR="00AA4416" w:rsidRPr="00A00B82" w:rsidRDefault="00AA4416" w:rsidP="00A21536">
                          <w:pPr>
                            <w:kinsoku w:val="0"/>
                            <w:overflowPunct w:val="0"/>
                            <w:textAlignment w:val="baseline"/>
                            <w:rPr>
                              <w:rFonts w:ascii="Arial" w:hAnsi="Arial" w:cs="Arial"/>
                              <w:sz w:val="24"/>
                              <w:szCs w:val="24"/>
                            </w:rPr>
                          </w:pPr>
                          <w:r w:rsidRPr="00A00B82">
                            <w:rPr>
                              <w:rFonts w:ascii="Arial" w:hAnsi="Arial" w:cs="Arial"/>
                              <w:sz w:val="24"/>
                              <w:szCs w:val="24"/>
                            </w:rPr>
                            <w:t>Zone 1</w:t>
                          </w:r>
                        </w:p>
                      </w:txbxContent>
                    </v:textbox>
                  </v:shape>
                </v:group>
                <v:group id="Gruppieren 55" o:spid="_x0000_s1655" style="position:absolute;left:74977;top:9364;width:9351;height:3262" coordorigin="74977,9364" coordsize="9352,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">
                  <v:rect id="Rectangle 219" o:spid="_x0000_s1656" alt="5%" style="position:absolute;left:74977;top:9996;width:2699;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" strokecolor="#5f497a">
                    <v:fill r:id="rId35" o:title="5%" recolor="t" type="tile"/>
                  </v:rect>
                  <v:shape id="Textfeld 211" o:spid="_x0000_s1657" type="#_x0000_t202" style="position:absolute;left:77271;top:9364;width:7058;height:3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" filled="f" stroked="f">
                    <v:textbox>
                      <w:txbxContent>
                        <w:p w:rsidR="00AA4416" w:rsidRPr="00A00B82" w:rsidRDefault="00AA4416" w:rsidP="00A21536">
                          <w:pPr>
                            <w:kinsoku w:val="0"/>
                            <w:overflowPunct w:val="0"/>
                            <w:textAlignment w:val="baseline"/>
                            <w:rPr>
                              <w:rFonts w:ascii="Arial" w:hAnsi="Arial" w:cs="Arial"/>
                              <w:sz w:val="24"/>
                              <w:szCs w:val="24"/>
                            </w:rPr>
                          </w:pPr>
                          <w:r w:rsidRPr="00A00B82">
                            <w:rPr>
                              <w:rFonts w:ascii="Arial" w:hAnsi="Arial" w:cs="Arial"/>
                              <w:sz w:val="24"/>
                              <w:szCs w:val="24"/>
                            </w:rPr>
                            <w:t>Zone 2</w:t>
                          </w:r>
                        </w:p>
                      </w:txbxContent>
                    </v:textbox>
                  </v:shape>
                </v:group>
                <w10:anchorlock/>
              </v:group>
            </w:pict>
          </mc:Fallback>
        </mc:AlternateContent>
      </w:r>
    </w:p>
    <w:p w:rsidR="00A21536" w:rsidRPr="00DD2A86" w:rsidRDefault="00A21536" w:rsidP="00A21536">
      <w:pPr>
        <w:suppressAutoHyphens w:val="0"/>
        <w:spacing w:after="200" w:line="240" w:lineRule="auto"/>
        <w:contextualSpacing/>
        <w:jc w:val="center"/>
        <w:rPr>
          <w:rFonts w:eastAsia="Calibri"/>
          <w:b/>
          <w:sz w:val="32"/>
          <w:szCs w:val="32"/>
          <w:lang w:val="de-DE"/>
        </w:rPr>
        <w:sectPr w:rsidR="00A21536" w:rsidRPr="00DD2A86" w:rsidSect="00C403A9">
          <w:headerReference w:type="first" r:id="rId36"/>
          <w:endnotePr>
            <w:numFmt w:val="decimal"/>
          </w:endnotePr>
          <w:pgSz w:w="16840" w:h="11907" w:orient="landscape" w:code="9"/>
          <w:pgMar w:top="1134" w:right="1701" w:bottom="1134" w:left="1701" w:header="1134" w:footer="1701" w:gutter="0"/>
          <w:cols w:space="720"/>
          <w:titlePg/>
          <w:docGrid w:linePitch="272"/>
        </w:sectPr>
      </w:pPr>
    </w:p>
    <w:p w:rsidR="00A21536" w:rsidRPr="00DD2A86" w:rsidRDefault="00A21536" w:rsidP="00A21536">
      <w:pPr>
        <w:suppressAutoHyphens w:val="0"/>
        <w:spacing w:after="200" w:line="240" w:lineRule="auto"/>
        <w:ind w:right="1134"/>
        <w:contextualSpacing/>
        <w:jc w:val="center"/>
        <w:rPr>
          <w:i/>
          <w:lang w:val="de-DE"/>
        </w:rPr>
        <w:sectPr w:rsidR="00A21536" w:rsidRPr="00DD2A86" w:rsidSect="00A21536">
          <w:endnotePr>
            <w:numFmt w:val="decimal"/>
          </w:endnotePr>
          <w:pgSz w:w="16840" w:h="11907" w:orient="landscape" w:code="9"/>
          <w:pgMar w:top="1134" w:right="2268" w:bottom="1134" w:left="1701" w:header="567" w:footer="567" w:gutter="0"/>
          <w:cols w:space="720"/>
          <w:titlePg/>
          <w:docGrid w:linePitch="272"/>
        </w:sectPr>
      </w:pPr>
    </w:p>
    <w:p w:rsidR="00973598" w:rsidRPr="00DD2A86" w:rsidRDefault="00973598">
      <w:pPr>
        <w:suppressAutoHyphens w:val="0"/>
        <w:spacing w:line="240" w:lineRule="auto"/>
        <w:rPr>
          <w:b/>
          <w:bCs/>
          <w:sz w:val="24"/>
          <w:szCs w:val="24"/>
          <w:lang w:val="de-DE" w:eastAsia="fr-FR"/>
        </w:rPr>
      </w:pPr>
    </w:p>
    <w:p w:rsidR="004F7853" w:rsidRPr="00DD2A86" w:rsidRDefault="004F7853" w:rsidP="00B61A90">
      <w:pPr>
        <w:suppressAutoHyphens w:val="0"/>
        <w:overflowPunct w:val="0"/>
        <w:autoSpaceDE w:val="0"/>
        <w:autoSpaceDN w:val="0"/>
        <w:spacing w:before="240" w:after="120"/>
        <w:ind w:left="1134" w:hanging="1134"/>
        <w:jc w:val="both"/>
        <w:rPr>
          <w:b/>
          <w:bCs/>
          <w:sz w:val="24"/>
          <w:szCs w:val="24"/>
          <w:lang w:val="de-DE" w:eastAsia="fr-FR"/>
        </w:rPr>
      </w:pPr>
      <w:r w:rsidRPr="00DD2A86">
        <w:rPr>
          <w:b/>
          <w:bCs/>
          <w:sz w:val="24"/>
          <w:szCs w:val="24"/>
          <w:lang w:val="de-DE" w:eastAsia="fr-FR"/>
        </w:rPr>
        <w:t>Kapitel 1.3</w:t>
      </w:r>
    </w:p>
    <w:p w:rsidR="004F7853" w:rsidRPr="00DD2A86" w:rsidRDefault="004F7853" w:rsidP="00B61A90">
      <w:pPr>
        <w:tabs>
          <w:tab w:val="left" w:pos="2268"/>
        </w:tabs>
        <w:spacing w:after="120"/>
        <w:ind w:left="1134" w:right="1134"/>
        <w:jc w:val="both"/>
        <w:rPr>
          <w:lang w:val="de-DE" w:eastAsia="en-GB"/>
        </w:rPr>
      </w:pPr>
      <w:r w:rsidRPr="00DD2A86">
        <w:rPr>
          <w:lang w:val="de-DE" w:eastAsia="en-GB"/>
        </w:rPr>
        <w:t>1.3.2.5</w:t>
      </w:r>
      <w:r w:rsidRPr="00DD2A86">
        <w:rPr>
          <w:lang w:val="de-DE" w:eastAsia="en-GB"/>
        </w:rPr>
        <w:tab/>
        <w:t xml:space="preserve">Folgenden neuen </w:t>
      </w:r>
      <w:r w:rsidR="009462B2" w:rsidRPr="00DD2A86">
        <w:rPr>
          <w:lang w:val="de-DE" w:eastAsia="en-GB"/>
        </w:rPr>
        <w:t xml:space="preserve">Unterabschnitt </w:t>
      </w:r>
      <w:r w:rsidRPr="00DD2A86">
        <w:rPr>
          <w:lang w:val="de-DE" w:eastAsia="en-GB"/>
        </w:rPr>
        <w:t>1.3.2.5 einfügen:</w:t>
      </w:r>
    </w:p>
    <w:p w:rsidR="004F7853" w:rsidRPr="00DD2A86" w:rsidRDefault="004F7853" w:rsidP="00B61A90">
      <w:pPr>
        <w:tabs>
          <w:tab w:val="left" w:pos="2268"/>
        </w:tabs>
        <w:spacing w:after="120"/>
        <w:ind w:left="1134" w:right="1134"/>
        <w:jc w:val="both"/>
        <w:rPr>
          <w:b/>
          <w:lang w:val="de-DE" w:eastAsia="en-GB"/>
        </w:rPr>
      </w:pPr>
      <w:r w:rsidRPr="00DD2A86">
        <w:rPr>
          <w:b/>
          <w:lang w:val="de-DE" w:eastAsia="en-GB"/>
        </w:rPr>
        <w:t>„1.3.2.5</w:t>
      </w:r>
      <w:r w:rsidRPr="00DD2A86">
        <w:rPr>
          <w:b/>
          <w:lang w:val="de-DE" w:eastAsia="en-GB"/>
        </w:rPr>
        <w:tab/>
        <w:t>Arbeitsanweisung zum Explosionsschutz</w:t>
      </w:r>
    </w:p>
    <w:p w:rsidR="004F7853" w:rsidRPr="00DD2A86" w:rsidRDefault="004F7853" w:rsidP="00B61A90">
      <w:pPr>
        <w:tabs>
          <w:tab w:val="left" w:pos="2268"/>
        </w:tabs>
        <w:spacing w:after="120"/>
        <w:ind w:left="1134" w:right="1134"/>
        <w:jc w:val="both"/>
        <w:rPr>
          <w:lang w:val="de-DE" w:eastAsia="en-GB"/>
        </w:rPr>
      </w:pPr>
      <w:r w:rsidRPr="00DD2A86">
        <w:rPr>
          <w:lang w:val="de-DE" w:eastAsia="en-GB"/>
        </w:rPr>
        <w:t>Die in Unterabschnitt 1.3.2.3 genannte Sicherheitsunterweisung muss durch Arbeitsanweisungen zum Explosionsschutz ergänzt werden.“.</w:t>
      </w:r>
    </w:p>
    <w:p w:rsidR="00973598" w:rsidRPr="00DD2A86" w:rsidRDefault="00973598" w:rsidP="00361186">
      <w:pPr>
        <w:tabs>
          <w:tab w:val="left" w:pos="7705"/>
        </w:tabs>
        <w:suppressAutoHyphens w:val="0"/>
        <w:overflowPunct w:val="0"/>
        <w:autoSpaceDE w:val="0"/>
        <w:autoSpaceDN w:val="0"/>
        <w:spacing w:before="240" w:after="240"/>
        <w:ind w:left="1134" w:hanging="1134"/>
        <w:jc w:val="both"/>
        <w:rPr>
          <w:b/>
          <w:bCs/>
          <w:sz w:val="24"/>
          <w:szCs w:val="24"/>
          <w:lang w:val="de-DE" w:eastAsia="fr-FR"/>
        </w:rPr>
      </w:pPr>
    </w:p>
    <w:p w:rsidR="004F7853" w:rsidRPr="00DD2A86" w:rsidRDefault="004F7853" w:rsidP="00B61A90">
      <w:pPr>
        <w:suppressAutoHyphens w:val="0"/>
        <w:overflowPunct w:val="0"/>
        <w:autoSpaceDE w:val="0"/>
        <w:autoSpaceDN w:val="0"/>
        <w:spacing w:before="240" w:after="240"/>
        <w:ind w:left="1134" w:hanging="1134"/>
        <w:jc w:val="both"/>
        <w:rPr>
          <w:b/>
          <w:bCs/>
          <w:sz w:val="24"/>
          <w:szCs w:val="24"/>
          <w:lang w:val="de-DE" w:eastAsia="fr-FR"/>
        </w:rPr>
      </w:pPr>
      <w:r w:rsidRPr="00DD2A86">
        <w:rPr>
          <w:b/>
          <w:bCs/>
          <w:sz w:val="24"/>
          <w:szCs w:val="24"/>
          <w:lang w:val="de-DE" w:eastAsia="fr-FR"/>
        </w:rPr>
        <w:t>Kapitel 1.4</w:t>
      </w:r>
    </w:p>
    <w:p w:rsidR="004F7853" w:rsidRPr="00DD2A86" w:rsidRDefault="004F7853" w:rsidP="00B61A90">
      <w:pPr>
        <w:ind w:left="1134" w:right="1134"/>
        <w:jc w:val="both"/>
        <w:rPr>
          <w:lang w:val="de-DE"/>
        </w:rPr>
      </w:pPr>
      <w:r w:rsidRPr="00DD2A86">
        <w:rPr>
          <w:lang w:val="de-DE"/>
        </w:rPr>
        <w:t>1.4.2.2.1</w:t>
      </w:r>
      <w:r w:rsidRPr="00DD2A86">
        <w:rPr>
          <w:lang w:val="de-DE"/>
        </w:rPr>
        <w:tab/>
        <w:t xml:space="preserve">Der </w:t>
      </w:r>
      <w:r w:rsidR="00B72557" w:rsidRPr="00DD2A86">
        <w:rPr>
          <w:lang w:val="de-DE"/>
        </w:rPr>
        <w:t xml:space="preserve">Buchstabe </w:t>
      </w:r>
      <w:r w:rsidRPr="00DD2A86">
        <w:rPr>
          <w:lang w:val="de-DE"/>
        </w:rPr>
        <w:t xml:space="preserve">f) erhält </w:t>
      </w:r>
      <w:r w:rsidR="00FA6A72" w:rsidRPr="00DD2A86">
        <w:rPr>
          <w:lang w:val="de-DE"/>
        </w:rPr>
        <w:t>folgenden Wortlaut:</w:t>
      </w:r>
    </w:p>
    <w:p w:rsidR="004F7853" w:rsidRPr="00DD2A86" w:rsidRDefault="004F7853" w:rsidP="00B61A90">
      <w:pPr>
        <w:spacing w:before="120"/>
        <w:ind w:left="2268" w:right="1134"/>
        <w:jc w:val="both"/>
        <w:rPr>
          <w:lang w:val="de-DE"/>
        </w:rPr>
      </w:pPr>
      <w:r w:rsidRPr="00DD2A86">
        <w:rPr>
          <w:lang w:val="de-DE"/>
        </w:rPr>
        <w:t xml:space="preserve">„f) </w:t>
      </w:r>
      <w:r w:rsidRPr="00DD2A86">
        <w:rPr>
          <w:rFonts w:eastAsia="Calibri"/>
          <w:lang w:val="de-DE"/>
        </w:rPr>
        <w:t>sicherzustellen, dass an Bord des Schiffes in den explosionsgefährdeten Bereichen nur elektrische und nicht-elektrische Anlagen und Geräte verwendet werden, die mindestens die Anforderungen für den Einsatz in der jeweiligen Zone erfüllen;</w:t>
      </w:r>
      <w:r w:rsidRPr="00DD2A86">
        <w:rPr>
          <w:lang w:val="de-DE"/>
        </w:rPr>
        <w:t>“.</w:t>
      </w:r>
    </w:p>
    <w:p w:rsidR="001801E1" w:rsidRPr="00DD2A86" w:rsidRDefault="001801E1" w:rsidP="001801E1">
      <w:pPr>
        <w:kinsoku w:val="0"/>
        <w:overflowPunct w:val="0"/>
        <w:autoSpaceDE w:val="0"/>
        <w:autoSpaceDN w:val="0"/>
        <w:adjustRightInd w:val="0"/>
        <w:snapToGrid w:val="0"/>
        <w:spacing w:before="120" w:after="120"/>
        <w:ind w:left="1134" w:right="1134"/>
        <w:jc w:val="both"/>
        <w:rPr>
          <w:lang w:val="de-DE" w:eastAsia="zh-CN"/>
        </w:rPr>
      </w:pPr>
      <w:r w:rsidRPr="00DD2A86">
        <w:rPr>
          <w:rFonts w:eastAsiaTheme="minorHAnsi"/>
          <w:lang w:val="de-DE"/>
        </w:rPr>
        <w:t>1.4.2.2.1</w:t>
      </w:r>
      <w:r w:rsidRPr="00DD2A86">
        <w:rPr>
          <w:rFonts w:eastAsiaTheme="minorHAnsi"/>
          <w:lang w:val="de-DE"/>
        </w:rPr>
        <w:tab/>
      </w:r>
      <w:r w:rsidRPr="00DD2A86">
        <w:rPr>
          <w:lang w:val="de-DE" w:eastAsia="zh-CN"/>
        </w:rPr>
        <w:t xml:space="preserve">Einen neuen </w:t>
      </w:r>
      <w:r w:rsidR="00273715" w:rsidRPr="00DD2A86">
        <w:rPr>
          <w:lang w:val="de-DE" w:eastAsia="zh-CN"/>
        </w:rPr>
        <w:t xml:space="preserve">Buchstaben </w:t>
      </w:r>
      <w:r w:rsidRPr="00DD2A86">
        <w:rPr>
          <w:lang w:val="de-DE" w:eastAsia="zh-CN"/>
        </w:rPr>
        <w:t>k) mit folgendem Wortlaut einfügen:</w:t>
      </w:r>
    </w:p>
    <w:p w:rsidR="001801E1" w:rsidRPr="00DD2A86" w:rsidRDefault="001801E1" w:rsidP="00051A00">
      <w:pPr>
        <w:kinsoku w:val="0"/>
        <w:overflowPunct w:val="0"/>
        <w:autoSpaceDE w:val="0"/>
        <w:autoSpaceDN w:val="0"/>
        <w:adjustRightInd w:val="0"/>
        <w:snapToGrid w:val="0"/>
        <w:spacing w:before="120" w:after="120"/>
        <w:ind w:left="2268" w:right="1134"/>
        <w:jc w:val="both"/>
        <w:rPr>
          <w:rFonts w:eastAsiaTheme="minorHAnsi"/>
          <w:lang w:val="de-DE"/>
        </w:rPr>
      </w:pPr>
      <w:r w:rsidRPr="00DD2A86">
        <w:rPr>
          <w:rFonts w:eastAsiaTheme="minorHAnsi"/>
          <w:lang w:val="de-DE"/>
        </w:rPr>
        <w:t>„k) vor dem Entgasen von leeren oder entladenen Ladetanks und Lade- und Löschleitungen eines Tankschiffs an einer Annahmestelle seinen Teil der Prüfliste nach Absatz 7.2.3.7.2.2 auszufüllen</w:t>
      </w:r>
      <w:r w:rsidR="001D7815" w:rsidRPr="00DD2A86">
        <w:rPr>
          <w:rFonts w:eastAsiaTheme="minorHAnsi"/>
          <w:lang w:val="de-DE"/>
        </w:rPr>
        <w:t>;</w:t>
      </w:r>
      <w:r w:rsidRPr="00DD2A86">
        <w:rPr>
          <w:rFonts w:eastAsiaTheme="minorHAnsi"/>
          <w:lang w:val="de-DE"/>
        </w:rPr>
        <w:t>“.</w:t>
      </w:r>
    </w:p>
    <w:p w:rsidR="000A7B35" w:rsidRPr="00DD2A86" w:rsidRDefault="000A7B35" w:rsidP="000A7B35">
      <w:pPr>
        <w:ind w:left="1134"/>
        <w:rPr>
          <w:lang w:val="de-DE"/>
        </w:rPr>
      </w:pPr>
      <w:r w:rsidRPr="00DD2A86">
        <w:rPr>
          <w:lang w:val="de-DE"/>
        </w:rPr>
        <w:t>1.4.2.2.1</w:t>
      </w:r>
      <w:r w:rsidRPr="00DD2A86">
        <w:rPr>
          <w:lang w:val="de-DE"/>
        </w:rPr>
        <w:tab/>
        <w:t>Einen neuen Buchstaben l) mit folgendem Wortlaut einfügen:</w:t>
      </w:r>
    </w:p>
    <w:p w:rsidR="000A7B35" w:rsidRPr="00DD2A86" w:rsidRDefault="000A7B35" w:rsidP="000A7B35">
      <w:pPr>
        <w:spacing w:before="120" w:after="120"/>
        <w:ind w:left="2268" w:right="1134"/>
        <w:jc w:val="both"/>
        <w:rPr>
          <w:lang w:val="de-AT" w:eastAsia="fr-FR"/>
        </w:rPr>
      </w:pPr>
      <w:r w:rsidRPr="00DD2A86">
        <w:rPr>
          <w:lang w:val="de-AT" w:eastAsia="fr-FR"/>
        </w:rPr>
        <w:t>“l) vor dem Beladen und Entladen der Ladetanks eines Tankschiffes seinen Teil der Prüfliste nach Unterabschnitt 7.2.4.10 auszufüllen</w:t>
      </w:r>
      <w:r w:rsidR="001D7815" w:rsidRPr="00DD2A86">
        <w:rPr>
          <w:lang w:val="de-AT" w:eastAsia="fr-FR"/>
        </w:rPr>
        <w:t>.</w:t>
      </w:r>
      <w:r w:rsidRPr="00DD2A86">
        <w:rPr>
          <w:lang w:val="de-AT" w:eastAsia="fr-FR"/>
        </w:rPr>
        <w:t>”</w:t>
      </w:r>
      <w:r w:rsidR="00E0195E" w:rsidRPr="00DD2A86">
        <w:rPr>
          <w:lang w:val="de-AT" w:eastAsia="fr-FR"/>
        </w:rPr>
        <w:t>.</w:t>
      </w:r>
    </w:p>
    <w:p w:rsidR="00671405" w:rsidRPr="00DD2A86" w:rsidRDefault="00671405" w:rsidP="00671405">
      <w:pPr>
        <w:spacing w:after="120"/>
        <w:ind w:left="1134" w:right="1134"/>
        <w:jc w:val="both"/>
        <w:rPr>
          <w:lang w:val="de-DE"/>
        </w:rPr>
      </w:pPr>
      <w:r w:rsidRPr="00DD2A86">
        <w:rPr>
          <w:lang w:val="de-DE"/>
        </w:rPr>
        <w:t>1.4.2.2.2</w:t>
      </w:r>
      <w:r w:rsidRPr="00DD2A86">
        <w:rPr>
          <w:lang w:val="de-DE"/>
        </w:rPr>
        <w:tab/>
        <w:t>Am Ende folgenden Satz hinzufügen:</w:t>
      </w:r>
    </w:p>
    <w:p w:rsidR="00671405" w:rsidRPr="00DD2A86" w:rsidRDefault="00671405" w:rsidP="00671405">
      <w:pPr>
        <w:spacing w:after="120"/>
        <w:ind w:left="1134" w:right="1134"/>
        <w:jc w:val="both"/>
        <w:rPr>
          <w:lang w:val="de-DE"/>
        </w:rPr>
      </w:pPr>
      <w:r w:rsidRPr="00DD2A86">
        <w:rPr>
          <w:lang w:val="de-DE"/>
        </w:rPr>
        <w:t>„Im Falle des Absatzes 1.4.2.2.1 c) kann er auf das vertrauen, was in dem gemäß Abschnitt 5.4.2 bereitgestellten Container-/Fahrzeug- oder Wagenpackzertifikat bescheinigt wird.“.</w:t>
      </w:r>
    </w:p>
    <w:p w:rsidR="004F7853" w:rsidRPr="00DD2A86" w:rsidRDefault="004F7853" w:rsidP="00B61A90">
      <w:pPr>
        <w:spacing w:before="240"/>
        <w:ind w:left="1134" w:right="1134"/>
        <w:jc w:val="both"/>
        <w:rPr>
          <w:lang w:val="de-DE"/>
        </w:rPr>
      </w:pPr>
      <w:r w:rsidRPr="00DD2A86">
        <w:rPr>
          <w:lang w:val="de-DE"/>
        </w:rPr>
        <w:t>1.4.3.3</w:t>
      </w:r>
      <w:r w:rsidRPr="00DD2A86">
        <w:rPr>
          <w:lang w:val="de-DE"/>
        </w:rPr>
        <w:tab/>
      </w:r>
      <w:r w:rsidRPr="00DD2A86">
        <w:rPr>
          <w:lang w:val="de-DE"/>
        </w:rPr>
        <w:tab/>
      </w:r>
      <w:r w:rsidR="007C571C" w:rsidRPr="00DD2A86">
        <w:rPr>
          <w:lang w:val="de-DE"/>
        </w:rPr>
        <w:t>In Buchstabe</w:t>
      </w:r>
      <w:r w:rsidRPr="00DD2A86">
        <w:rPr>
          <w:lang w:val="de-DE"/>
        </w:rPr>
        <w:t xml:space="preserve"> r) nach „</w:t>
      </w:r>
      <w:r w:rsidRPr="00DD2A86">
        <w:rPr>
          <w:rFonts w:eastAsia="Calibri"/>
          <w:lang w:val="de-DE"/>
        </w:rPr>
        <w:t>erforderlich ist</w:t>
      </w:r>
      <w:r w:rsidRPr="00DD2A86">
        <w:rPr>
          <w:lang w:val="de-DE"/>
        </w:rPr>
        <w:t>“ einfügen: „und nach Unterabschnitt 3.2.3.2 Tabelle C Spalte (17) Explosionsschutz erforderlich ist“.</w:t>
      </w:r>
    </w:p>
    <w:p w:rsidR="001801E1" w:rsidRPr="00DD2A86" w:rsidRDefault="001801E1" w:rsidP="00993052">
      <w:pPr>
        <w:kinsoku w:val="0"/>
        <w:overflowPunct w:val="0"/>
        <w:autoSpaceDE w:val="0"/>
        <w:autoSpaceDN w:val="0"/>
        <w:adjustRightInd w:val="0"/>
        <w:snapToGrid w:val="0"/>
        <w:spacing w:before="120" w:after="120"/>
        <w:ind w:left="2268" w:right="1134" w:hanging="1134"/>
        <w:jc w:val="both"/>
        <w:rPr>
          <w:rFonts w:eastAsiaTheme="minorHAnsi"/>
          <w:lang w:val="de-DE"/>
        </w:rPr>
      </w:pPr>
      <w:r w:rsidRPr="00DD2A86">
        <w:rPr>
          <w:rFonts w:eastAsiaTheme="minorHAnsi"/>
          <w:lang w:val="de-DE"/>
        </w:rPr>
        <w:t>1.4.3.3 s)</w:t>
      </w:r>
      <w:r w:rsidRPr="00DD2A86">
        <w:rPr>
          <w:rFonts w:eastAsiaTheme="minorHAnsi"/>
          <w:lang w:val="de-DE"/>
        </w:rPr>
        <w:tab/>
        <w:t>„an der Übergabestelle der Gasrückführ- oder Gasabfuhrleitung“ ändern in: „an der Übergabestelle der Gasabfuhr- und Gasrückfuhrleitung“.</w:t>
      </w:r>
    </w:p>
    <w:p w:rsidR="004F7853" w:rsidRPr="00DD2A86" w:rsidRDefault="004F7853" w:rsidP="00716ACA">
      <w:pPr>
        <w:tabs>
          <w:tab w:val="left" w:pos="1701"/>
          <w:tab w:val="left" w:pos="2268"/>
        </w:tabs>
        <w:spacing w:line="240" w:lineRule="auto"/>
        <w:ind w:left="2268" w:right="1134"/>
        <w:jc w:val="both"/>
        <w:rPr>
          <w:bCs/>
          <w:lang w:val="de-DE"/>
        </w:rPr>
      </w:pPr>
      <w:r w:rsidRPr="00DD2A86">
        <w:rPr>
          <w:bCs/>
          <w:lang w:val="de-DE"/>
        </w:rPr>
        <w:t>„den Öffnungsdruck des Hochgeschwindigkeitsventils“ ändern in: „den Öffnungsdruck des Überdruck-/ Hochgeschwindigkeitsventils“.</w:t>
      </w:r>
    </w:p>
    <w:p w:rsidR="00EF64FA" w:rsidRPr="00DD2A86" w:rsidRDefault="00EF64FA" w:rsidP="00B61A90">
      <w:pPr>
        <w:tabs>
          <w:tab w:val="left" w:pos="1196"/>
        </w:tabs>
        <w:spacing w:before="240" w:line="240" w:lineRule="auto"/>
        <w:ind w:left="1134" w:right="1134"/>
        <w:jc w:val="both"/>
        <w:rPr>
          <w:lang w:val="de-DE"/>
        </w:rPr>
      </w:pPr>
      <w:r w:rsidRPr="00DD2A86">
        <w:rPr>
          <w:lang w:val="de-DE"/>
        </w:rPr>
        <w:t>1.4.3.7.1</w:t>
      </w:r>
      <w:r w:rsidRPr="00DD2A86">
        <w:rPr>
          <w:lang w:val="de-DE"/>
        </w:rPr>
        <w:tab/>
        <w:t>Der Buchstabe i) erhält folgenden Wortlaut:</w:t>
      </w:r>
    </w:p>
    <w:p w:rsidR="00EF64FA" w:rsidRPr="00DD2A86" w:rsidRDefault="00EF64FA" w:rsidP="00051A00">
      <w:pPr>
        <w:tabs>
          <w:tab w:val="left" w:pos="2268"/>
        </w:tabs>
        <w:spacing w:before="120" w:line="240" w:lineRule="auto"/>
        <w:ind w:left="2268" w:right="1134"/>
        <w:jc w:val="both"/>
        <w:rPr>
          <w:rFonts w:eastAsia="Calibri"/>
          <w:bCs/>
          <w:lang w:val="de-DE"/>
        </w:rPr>
      </w:pPr>
      <w:r w:rsidRPr="00DD2A86">
        <w:rPr>
          <w:lang w:val="de-DE"/>
        </w:rPr>
        <w:t>„</w:t>
      </w:r>
      <w:r w:rsidR="00C56929" w:rsidRPr="00DD2A86">
        <w:rPr>
          <w:lang w:val="de-DE"/>
        </w:rPr>
        <w:t>i)</w:t>
      </w:r>
      <w:r w:rsidR="00C56929" w:rsidRPr="00DD2A86">
        <w:rPr>
          <w:lang w:val="de-DE"/>
        </w:rPr>
        <w:tab/>
      </w:r>
      <w:r w:rsidRPr="00DD2A86">
        <w:rPr>
          <w:iCs/>
          <w:lang w:val="de-DE"/>
        </w:rPr>
        <w:t>hat sicherzustellen, dass in der Gasrückfuhrleitung, wenn es erforderlich ist</w:t>
      </w:r>
      <w:r w:rsidRPr="00DD2A86">
        <w:rPr>
          <w:rFonts w:eastAsia="Calibri"/>
          <w:lang w:val="de-DE"/>
        </w:rPr>
        <w:t xml:space="preserve"> sie an die Gasabfuhrleitung anzuschließen und nach Unterabschnitt 3.2.3.2 Tabelle C Spalte (17) Explosionsschutz erforderlich ist</w:t>
      </w:r>
      <w:r w:rsidRPr="00DD2A86">
        <w:rPr>
          <w:rFonts w:eastAsia="Calibri"/>
          <w:bCs/>
          <w:lang w:val="de-DE"/>
        </w:rPr>
        <w:t>,</w:t>
      </w:r>
      <w:r w:rsidRPr="00DD2A86">
        <w:rPr>
          <w:iCs/>
          <w:lang w:val="de-DE"/>
        </w:rPr>
        <w:t xml:space="preserve"> eine Flammendurchschlagsicherung vorhanden ist, welche das Schiff gegen Detonation und Flammendurchschlag von Land aus schützt</w:t>
      </w:r>
      <w:r w:rsidR="001D7815" w:rsidRPr="00DD2A86">
        <w:rPr>
          <w:iCs/>
          <w:lang w:val="de-DE"/>
        </w:rPr>
        <w:t>;</w:t>
      </w:r>
      <w:r w:rsidRPr="00DD2A86">
        <w:rPr>
          <w:iCs/>
          <w:lang w:val="de-DE"/>
        </w:rPr>
        <w:t xml:space="preserve"> </w:t>
      </w:r>
      <w:r w:rsidRPr="00DD2A86">
        <w:rPr>
          <w:rFonts w:eastAsia="Calibri"/>
          <w:bCs/>
          <w:lang w:val="de-DE"/>
        </w:rPr>
        <w:t>“.</w:t>
      </w:r>
    </w:p>
    <w:p w:rsidR="001801E1" w:rsidRPr="00DD2A86" w:rsidRDefault="001801E1" w:rsidP="00716ACA">
      <w:pPr>
        <w:kinsoku w:val="0"/>
        <w:overflowPunct w:val="0"/>
        <w:autoSpaceDE w:val="0"/>
        <w:autoSpaceDN w:val="0"/>
        <w:adjustRightInd w:val="0"/>
        <w:snapToGrid w:val="0"/>
        <w:spacing w:before="120" w:after="120"/>
        <w:ind w:left="2268" w:right="1134" w:hanging="1134"/>
        <w:jc w:val="both"/>
        <w:rPr>
          <w:rFonts w:eastAsiaTheme="minorHAnsi"/>
          <w:lang w:val="de-DE"/>
        </w:rPr>
      </w:pPr>
      <w:r w:rsidRPr="00DD2A86">
        <w:rPr>
          <w:rFonts w:eastAsiaTheme="minorHAnsi"/>
          <w:lang w:val="de-DE"/>
        </w:rPr>
        <w:t>1.4.3.7.1 j)</w:t>
      </w:r>
      <w:r w:rsidRPr="00DD2A86">
        <w:rPr>
          <w:rFonts w:eastAsiaTheme="minorHAnsi"/>
          <w:lang w:val="de-DE"/>
        </w:rPr>
        <w:tab/>
        <w:t>„an der Übergabestelle der Gasrückführ- oder Gasabfuhrleitung“ ändern in: „an der Übergabestelle der Gasabfuhr- und Gasrückfuhrleitung“.</w:t>
      </w:r>
    </w:p>
    <w:p w:rsidR="004F7853" w:rsidRPr="00DD2A86" w:rsidRDefault="004F7853" w:rsidP="00716ACA">
      <w:pPr>
        <w:tabs>
          <w:tab w:val="left" w:pos="2268"/>
        </w:tabs>
        <w:spacing w:before="120" w:line="240" w:lineRule="auto"/>
        <w:ind w:left="2268" w:right="1134"/>
        <w:jc w:val="both"/>
        <w:rPr>
          <w:rFonts w:eastAsia="Calibri"/>
          <w:lang w:val="de-DE"/>
        </w:rPr>
      </w:pPr>
      <w:r w:rsidRPr="00DD2A86">
        <w:rPr>
          <w:lang w:val="de-DE"/>
        </w:rPr>
        <w:t>„</w:t>
      </w:r>
      <w:r w:rsidRPr="00DD2A86">
        <w:rPr>
          <w:rFonts w:eastAsia="Calibri"/>
          <w:lang w:val="de-DE"/>
        </w:rPr>
        <w:t>den Öffnungsdruck des Hochgeschwindigkeitsventils“ ändern in: „den Öffnungsdruck des Überdruck-/ Hochgeschwindigkeitsventils“.</w:t>
      </w:r>
    </w:p>
    <w:p w:rsidR="001801E1" w:rsidRPr="00DD2A86" w:rsidRDefault="001801E1" w:rsidP="001801E1">
      <w:pPr>
        <w:tabs>
          <w:tab w:val="left" w:pos="2268"/>
        </w:tabs>
        <w:kinsoku w:val="0"/>
        <w:overflowPunct w:val="0"/>
        <w:autoSpaceDE w:val="0"/>
        <w:autoSpaceDN w:val="0"/>
        <w:adjustRightInd w:val="0"/>
        <w:snapToGrid w:val="0"/>
        <w:spacing w:before="120" w:after="120"/>
        <w:ind w:left="1134" w:right="1134"/>
        <w:jc w:val="both"/>
        <w:rPr>
          <w:rFonts w:eastAsiaTheme="minorHAnsi"/>
          <w:lang w:val="de-DE"/>
        </w:rPr>
      </w:pPr>
      <w:r w:rsidRPr="00DD2A86">
        <w:rPr>
          <w:rFonts w:eastAsiaTheme="minorHAnsi"/>
          <w:lang w:val="de-DE"/>
        </w:rPr>
        <w:t>1.4.3.7.2</w:t>
      </w:r>
      <w:r w:rsidRPr="00DD2A86">
        <w:rPr>
          <w:rFonts w:eastAsiaTheme="minorHAnsi"/>
          <w:lang w:val="de-DE"/>
        </w:rPr>
        <w:tab/>
        <w:t>Erhält folgenden Wortlaut:</w:t>
      </w:r>
    </w:p>
    <w:p w:rsidR="001801E1" w:rsidRPr="00DD2A86" w:rsidRDefault="001801E1" w:rsidP="001801E1">
      <w:pPr>
        <w:kinsoku w:val="0"/>
        <w:overflowPunct w:val="0"/>
        <w:autoSpaceDE w:val="0"/>
        <w:autoSpaceDN w:val="0"/>
        <w:adjustRightInd w:val="0"/>
        <w:snapToGrid w:val="0"/>
        <w:spacing w:before="120" w:after="120"/>
        <w:ind w:left="1134" w:right="1134"/>
        <w:jc w:val="both"/>
        <w:rPr>
          <w:rFonts w:eastAsiaTheme="minorHAnsi"/>
          <w:bCs/>
          <w:lang w:val="de-DE"/>
        </w:rPr>
      </w:pPr>
      <w:r w:rsidRPr="00DD2A86">
        <w:rPr>
          <w:rFonts w:eastAsiaTheme="minorHAnsi"/>
          <w:bCs/>
          <w:lang w:val="de-DE"/>
        </w:rPr>
        <w:t>„1.4.3.7.2</w:t>
      </w:r>
      <w:r w:rsidRPr="00DD2A86">
        <w:rPr>
          <w:rFonts w:eastAsiaTheme="minorHAnsi"/>
          <w:bCs/>
          <w:lang w:val="de-DE"/>
        </w:rPr>
        <w:tab/>
        <w:t xml:space="preserve">Nimmt der Entlader die Dienste anderer Beteiligter (Reiniger, Entgiftungseinrichtung usw.) in Anspruch oder benutzt </w:t>
      </w:r>
      <w:r w:rsidR="005537B1" w:rsidRPr="00DD2A86">
        <w:rPr>
          <w:rFonts w:eastAsiaTheme="minorHAnsi"/>
          <w:bCs/>
          <w:lang w:val="de-DE"/>
        </w:rPr>
        <w:t xml:space="preserve">er </w:t>
      </w:r>
      <w:r w:rsidRPr="00DD2A86">
        <w:rPr>
          <w:rFonts w:eastAsiaTheme="minorHAnsi"/>
          <w:bCs/>
          <w:lang w:val="de-DE"/>
        </w:rPr>
        <w:t xml:space="preserve">die bordeigenen Pumpen, hat er geeignete Maßnahmen zu ergreifen um zu gewährleisten, dass den Vorschriften des ADN entsprochen </w:t>
      </w:r>
      <w:r w:rsidR="005537B1" w:rsidRPr="00DD2A86">
        <w:rPr>
          <w:rFonts w:eastAsiaTheme="minorHAnsi"/>
          <w:bCs/>
          <w:lang w:val="de-DE"/>
        </w:rPr>
        <w:t>wird</w:t>
      </w:r>
      <w:r w:rsidRPr="00DD2A86">
        <w:rPr>
          <w:rFonts w:eastAsiaTheme="minorHAnsi"/>
          <w:bCs/>
          <w:lang w:val="de-DE"/>
        </w:rPr>
        <w:t>.“.</w:t>
      </w:r>
    </w:p>
    <w:p w:rsidR="001801E1" w:rsidRPr="00DD2A86" w:rsidRDefault="001801E1" w:rsidP="001801E1">
      <w:pPr>
        <w:tabs>
          <w:tab w:val="left" w:pos="2268"/>
        </w:tabs>
        <w:spacing w:before="120" w:after="120"/>
        <w:ind w:left="1134" w:right="1134"/>
        <w:jc w:val="both"/>
        <w:rPr>
          <w:lang w:val="de-DE"/>
        </w:rPr>
      </w:pPr>
      <w:r w:rsidRPr="00DD2A86">
        <w:rPr>
          <w:rFonts w:eastAsiaTheme="minorHAnsi"/>
          <w:lang w:val="de-DE"/>
        </w:rPr>
        <w:t>1.4.3</w:t>
      </w:r>
      <w:r w:rsidRPr="00DD2A86">
        <w:rPr>
          <w:rFonts w:eastAsiaTheme="minorHAnsi"/>
          <w:lang w:val="de-DE"/>
        </w:rPr>
        <w:tab/>
      </w:r>
      <w:r w:rsidRPr="00DD2A86">
        <w:rPr>
          <w:lang w:val="de-DE"/>
        </w:rPr>
        <w:t xml:space="preserve">Einen neuen Unterabschnitt </w:t>
      </w:r>
      <w:r w:rsidRPr="00DD2A86">
        <w:rPr>
          <w:rFonts w:eastAsiaTheme="minorHAnsi"/>
          <w:lang w:val="de-DE"/>
        </w:rPr>
        <w:t xml:space="preserve">1.4.3.8 </w:t>
      </w:r>
      <w:r w:rsidRPr="00DD2A86">
        <w:rPr>
          <w:lang w:val="de-DE"/>
        </w:rPr>
        <w:t>mit folgendem Wortlaut einfügen:</w:t>
      </w:r>
    </w:p>
    <w:p w:rsidR="001801E1" w:rsidRPr="00DD2A86" w:rsidRDefault="001801E1" w:rsidP="001801E1">
      <w:pPr>
        <w:tabs>
          <w:tab w:val="left" w:pos="2268"/>
        </w:tabs>
        <w:spacing w:before="120" w:after="120"/>
        <w:ind w:left="1134" w:right="1134"/>
        <w:jc w:val="both"/>
        <w:rPr>
          <w:rFonts w:eastAsia="SimSun"/>
          <w:lang w:val="de-DE" w:eastAsia="zh-CN"/>
        </w:rPr>
      </w:pPr>
      <w:r w:rsidRPr="00DD2A86">
        <w:rPr>
          <w:rFonts w:eastAsia="SimSun"/>
          <w:lang w:val="de-DE" w:eastAsia="zh-CN"/>
        </w:rPr>
        <w:t>„</w:t>
      </w:r>
      <w:r w:rsidRPr="00DD2A86">
        <w:rPr>
          <w:rFonts w:eastAsia="SimSun"/>
          <w:b/>
          <w:lang w:val="de-DE" w:eastAsia="zh-CN"/>
        </w:rPr>
        <w:t>1.4.3.8</w:t>
      </w:r>
      <w:r w:rsidRPr="00DD2A86">
        <w:rPr>
          <w:rFonts w:eastAsia="SimSun"/>
          <w:b/>
          <w:lang w:val="de-DE" w:eastAsia="zh-CN"/>
        </w:rPr>
        <w:tab/>
      </w:r>
      <w:r w:rsidRPr="00DD2A86">
        <w:rPr>
          <w:rFonts w:eastAsia="SimSun"/>
          <w:b/>
          <w:lang w:val="de-DE" w:eastAsia="zh-CN"/>
        </w:rPr>
        <w:tab/>
      </w:r>
      <w:r w:rsidR="005537B1" w:rsidRPr="00DD2A86">
        <w:rPr>
          <w:rFonts w:eastAsia="SimSun"/>
          <w:b/>
          <w:lang w:val="de-DE" w:eastAsia="zh-CN"/>
        </w:rPr>
        <w:t xml:space="preserve">Betreiber einer </w:t>
      </w:r>
      <w:r w:rsidRPr="00DD2A86">
        <w:rPr>
          <w:rFonts w:eastAsia="SimSun"/>
          <w:b/>
          <w:lang w:val="de-DE" w:eastAsia="zh-CN"/>
        </w:rPr>
        <w:t>Annahmestelle</w:t>
      </w:r>
    </w:p>
    <w:p w:rsidR="001801E1" w:rsidRPr="00DD2A86" w:rsidRDefault="001801E1" w:rsidP="001801E1">
      <w:pPr>
        <w:tabs>
          <w:tab w:val="left" w:pos="2268"/>
        </w:tabs>
        <w:spacing w:before="120" w:after="120"/>
        <w:ind w:left="1134" w:right="1134"/>
        <w:jc w:val="both"/>
        <w:rPr>
          <w:rFonts w:eastAsia="SimSun"/>
          <w:lang w:val="de-DE" w:eastAsia="zh-CN"/>
        </w:rPr>
      </w:pPr>
      <w:r w:rsidRPr="00DD2A86">
        <w:rPr>
          <w:rFonts w:eastAsia="SimSun"/>
          <w:lang w:val="de-DE" w:eastAsia="zh-CN"/>
        </w:rPr>
        <w:t>1.4.3.8.1</w:t>
      </w:r>
      <w:r w:rsidRPr="00DD2A86">
        <w:rPr>
          <w:rFonts w:eastAsia="SimSun"/>
          <w:lang w:val="de-DE" w:eastAsia="zh-CN"/>
        </w:rPr>
        <w:tab/>
        <w:t xml:space="preserve">Der </w:t>
      </w:r>
      <w:r w:rsidR="005537B1" w:rsidRPr="00DD2A86">
        <w:rPr>
          <w:rFonts w:eastAsia="SimSun"/>
          <w:lang w:val="de-DE" w:eastAsia="zh-CN"/>
        </w:rPr>
        <w:t xml:space="preserve">Betreiber einer </w:t>
      </w:r>
      <w:r w:rsidRPr="00DD2A86">
        <w:rPr>
          <w:rFonts w:eastAsia="SimSun"/>
          <w:lang w:val="de-DE" w:eastAsia="zh-CN"/>
        </w:rPr>
        <w:t>Annahmestelle hat im Rahmen des Abschnitts 1.4.1 insbesondere</w:t>
      </w:r>
    </w:p>
    <w:p w:rsidR="001801E1" w:rsidRPr="00DD2A86" w:rsidRDefault="001801E1" w:rsidP="001801E1">
      <w:pPr>
        <w:tabs>
          <w:tab w:val="left" w:pos="1701"/>
          <w:tab w:val="left" w:pos="2268"/>
        </w:tabs>
        <w:spacing w:before="120" w:after="120"/>
        <w:ind w:left="1418" w:right="1134" w:hanging="284"/>
        <w:jc w:val="both"/>
        <w:rPr>
          <w:rFonts w:eastAsia="SimSun"/>
          <w:lang w:val="de-DE" w:eastAsia="zh-CN"/>
        </w:rPr>
      </w:pPr>
      <w:r w:rsidRPr="00DD2A86">
        <w:rPr>
          <w:rFonts w:eastAsia="SimSun"/>
          <w:lang w:val="de-DE" w:eastAsia="zh-CN"/>
        </w:rPr>
        <w:t>a)</w:t>
      </w:r>
      <w:r w:rsidRPr="00DD2A86">
        <w:rPr>
          <w:rFonts w:eastAsia="SimSun"/>
          <w:lang w:val="de-DE" w:eastAsia="zh-CN"/>
        </w:rPr>
        <w:tab/>
        <w:t>vor dem Entgasen von leeren oder entladenen Ladetanks und Lade- und Löschleitungen eines Tankschiffs an einer Annahmestelle seinen Teil der Prüfliste nach Absatz 7.2.3.7.2.2 auszufüllen</w:t>
      </w:r>
      <w:r w:rsidR="001D7815" w:rsidRPr="00DD2A86">
        <w:rPr>
          <w:rFonts w:eastAsia="SimSun"/>
          <w:lang w:val="de-DE" w:eastAsia="zh-CN"/>
        </w:rPr>
        <w:t>;</w:t>
      </w:r>
    </w:p>
    <w:p w:rsidR="001801E1" w:rsidRPr="00DD2A86" w:rsidRDefault="001801E1" w:rsidP="001801E1">
      <w:pPr>
        <w:tabs>
          <w:tab w:val="left" w:pos="1701"/>
          <w:tab w:val="left" w:pos="2268"/>
        </w:tabs>
        <w:spacing w:before="120" w:after="120"/>
        <w:ind w:left="1418" w:right="1134" w:hanging="284"/>
        <w:jc w:val="both"/>
        <w:rPr>
          <w:rFonts w:eastAsia="SimSun"/>
          <w:lang w:val="de-DE" w:eastAsia="zh-CN"/>
        </w:rPr>
      </w:pPr>
      <w:r w:rsidRPr="00DD2A86">
        <w:rPr>
          <w:rFonts w:eastAsia="SimSun"/>
          <w:lang w:val="de-DE" w:eastAsia="zh-CN"/>
        </w:rPr>
        <w:t>b)</w:t>
      </w:r>
      <w:r w:rsidRPr="00DD2A86">
        <w:rPr>
          <w:rFonts w:eastAsia="SimSun"/>
          <w:lang w:val="de-DE" w:eastAsia="zh-CN"/>
        </w:rPr>
        <w:tab/>
        <w:t>sicherzustellen, dass, soweit gemäß Absatz 7.2.3.7.2.3 erforderlich, in der Leitung der Annahmestelle, die an das zu entgasende Schiff angeschlossen ist, eine Flammendurchschlagsicherung vorhanden ist, welche das Schiff gegen Detonation und Flammendurchschlag von der Annahmestelle aus schützt</w:t>
      </w:r>
      <w:r w:rsidR="001D7815" w:rsidRPr="00DD2A86">
        <w:rPr>
          <w:rFonts w:eastAsia="SimSun"/>
          <w:lang w:val="de-DE" w:eastAsia="zh-CN"/>
        </w:rPr>
        <w:t>.</w:t>
      </w:r>
      <w:r w:rsidRPr="00DD2A86">
        <w:rPr>
          <w:rFonts w:eastAsia="SimSun"/>
          <w:lang w:val="de-DE" w:eastAsia="zh-CN"/>
        </w:rPr>
        <w:t>“.</w:t>
      </w:r>
    </w:p>
    <w:p w:rsidR="00973598" w:rsidRPr="00DD2A86" w:rsidRDefault="00973598">
      <w:pPr>
        <w:suppressAutoHyphens w:val="0"/>
        <w:spacing w:line="240" w:lineRule="auto"/>
        <w:rPr>
          <w:b/>
          <w:bCs/>
          <w:sz w:val="24"/>
          <w:szCs w:val="24"/>
          <w:lang w:val="de-DE" w:eastAsia="fr-FR"/>
        </w:rPr>
      </w:pPr>
    </w:p>
    <w:p w:rsidR="004F7853" w:rsidRPr="00DD2A86" w:rsidRDefault="004F7853" w:rsidP="00B61A90">
      <w:pPr>
        <w:suppressAutoHyphens w:val="0"/>
        <w:overflowPunct w:val="0"/>
        <w:autoSpaceDE w:val="0"/>
        <w:autoSpaceDN w:val="0"/>
        <w:spacing w:before="240" w:after="240"/>
        <w:ind w:left="1134" w:hanging="1134"/>
        <w:jc w:val="both"/>
        <w:rPr>
          <w:b/>
          <w:bCs/>
          <w:sz w:val="24"/>
          <w:szCs w:val="24"/>
          <w:lang w:val="de-DE" w:eastAsia="fr-FR"/>
        </w:rPr>
      </w:pPr>
      <w:r w:rsidRPr="00DD2A86">
        <w:rPr>
          <w:b/>
          <w:bCs/>
          <w:sz w:val="24"/>
          <w:szCs w:val="24"/>
          <w:lang w:val="de-DE" w:eastAsia="fr-FR"/>
        </w:rPr>
        <w:t>Kapitel 1.6</w:t>
      </w:r>
    </w:p>
    <w:p w:rsidR="00E56F68" w:rsidRPr="00DD2A86" w:rsidRDefault="00E56F68" w:rsidP="00E56F68">
      <w:pPr>
        <w:tabs>
          <w:tab w:val="left" w:pos="1985"/>
          <w:tab w:val="left" w:pos="2268"/>
        </w:tabs>
        <w:spacing w:after="60"/>
        <w:ind w:left="1134" w:right="1134"/>
        <w:jc w:val="both"/>
        <w:rPr>
          <w:iCs/>
          <w:lang w:val="de-DE"/>
        </w:rPr>
      </w:pPr>
      <w:r w:rsidRPr="00DD2A86">
        <w:rPr>
          <w:lang w:val="de-DE"/>
        </w:rPr>
        <w:t>1.6.1.1</w:t>
      </w:r>
      <w:r w:rsidRPr="00DD2A86">
        <w:rPr>
          <w:lang w:val="de-DE"/>
        </w:rPr>
        <w:tab/>
        <w:t>„</w:t>
      </w:r>
      <w:r w:rsidRPr="00DD2A86">
        <w:rPr>
          <w:iCs/>
          <w:lang w:val="de-DE"/>
        </w:rPr>
        <w:t>30. Juni 2017“ ändern in: „30. Juni 2019“.</w:t>
      </w:r>
    </w:p>
    <w:p w:rsidR="00E56F68" w:rsidRPr="00DD2A86" w:rsidRDefault="00E56F68" w:rsidP="00E56F68">
      <w:pPr>
        <w:tabs>
          <w:tab w:val="left" w:pos="1985"/>
          <w:tab w:val="left" w:pos="2268"/>
        </w:tabs>
        <w:spacing w:after="120"/>
        <w:ind w:left="1985" w:right="1134"/>
        <w:jc w:val="both"/>
        <w:rPr>
          <w:iCs/>
          <w:lang w:val="de-DE"/>
        </w:rPr>
      </w:pPr>
      <w:r w:rsidRPr="00DD2A86">
        <w:rPr>
          <w:iCs/>
          <w:lang w:val="de-DE"/>
        </w:rPr>
        <w:t>„31. Dezember 2016“ ändern in: „31. Dezember 2018“.</w:t>
      </w:r>
    </w:p>
    <w:p w:rsidR="00E56F68" w:rsidRPr="00DD2A86" w:rsidRDefault="00E56F68" w:rsidP="00E56F68">
      <w:pPr>
        <w:tabs>
          <w:tab w:val="left" w:pos="1985"/>
          <w:tab w:val="left" w:pos="2268"/>
        </w:tabs>
        <w:ind w:left="1134" w:right="1134"/>
        <w:jc w:val="both"/>
        <w:rPr>
          <w:lang w:val="de-DE"/>
        </w:rPr>
      </w:pPr>
      <w:r w:rsidRPr="00DD2A86">
        <w:rPr>
          <w:lang w:val="de-DE"/>
        </w:rPr>
        <w:t>1.6.1.25</w:t>
      </w:r>
      <w:r w:rsidRPr="00DD2A86">
        <w:rPr>
          <w:lang w:val="de-DE"/>
        </w:rPr>
        <w:tab/>
        <w:t>erhält folgenden Wortlaut: „1.6.1.25 (gestrichen)“.</w:t>
      </w:r>
    </w:p>
    <w:p w:rsidR="00E56F68" w:rsidRPr="00DD2A86" w:rsidRDefault="00E56F68" w:rsidP="00E56F68">
      <w:pPr>
        <w:tabs>
          <w:tab w:val="left" w:pos="1985"/>
          <w:tab w:val="left" w:pos="2268"/>
        </w:tabs>
        <w:ind w:left="1134" w:right="1134"/>
        <w:jc w:val="both"/>
        <w:rPr>
          <w:lang w:val="de-DE"/>
        </w:rPr>
      </w:pPr>
      <w:r w:rsidRPr="00DD2A86">
        <w:rPr>
          <w:lang w:val="de-DE"/>
        </w:rPr>
        <w:t>1.6.1.39</w:t>
      </w:r>
      <w:r w:rsidRPr="00DD2A86">
        <w:rPr>
          <w:lang w:val="de-DE"/>
        </w:rPr>
        <w:tab/>
        <w:t>erhält folgenden Wortlaut: „1.6.1.39 (gestrichen)“.</w:t>
      </w:r>
    </w:p>
    <w:p w:rsidR="00E56F68" w:rsidRPr="00DD2A86" w:rsidRDefault="00E56F68" w:rsidP="00E56F68">
      <w:pPr>
        <w:tabs>
          <w:tab w:val="left" w:pos="1985"/>
          <w:tab w:val="left" w:pos="2268"/>
        </w:tabs>
        <w:ind w:left="1134" w:right="1134"/>
        <w:jc w:val="both"/>
        <w:rPr>
          <w:lang w:val="de-DE"/>
        </w:rPr>
      </w:pPr>
      <w:r w:rsidRPr="00DD2A86">
        <w:rPr>
          <w:lang w:val="de-DE"/>
        </w:rPr>
        <w:t>1.6.1.40</w:t>
      </w:r>
      <w:r w:rsidRPr="00DD2A86">
        <w:rPr>
          <w:lang w:val="de-DE"/>
        </w:rPr>
        <w:tab/>
        <w:t>erhält folgenden Wortlaut: „1.6.1.40 (gestrichen)“.</w:t>
      </w:r>
    </w:p>
    <w:p w:rsidR="00E56F68" w:rsidRPr="00DD2A86" w:rsidRDefault="00E56F68" w:rsidP="00E56F68">
      <w:pPr>
        <w:tabs>
          <w:tab w:val="left" w:pos="1985"/>
          <w:tab w:val="left" w:pos="2268"/>
        </w:tabs>
        <w:ind w:left="1134" w:right="1134"/>
        <w:jc w:val="both"/>
        <w:rPr>
          <w:lang w:val="de-DE"/>
        </w:rPr>
      </w:pPr>
      <w:r w:rsidRPr="00DD2A86">
        <w:rPr>
          <w:lang w:val="de-DE"/>
        </w:rPr>
        <w:t>1.6.1.42</w:t>
      </w:r>
      <w:r w:rsidRPr="00DD2A86">
        <w:rPr>
          <w:lang w:val="de-DE"/>
        </w:rPr>
        <w:tab/>
        <w:t>erhält folgenden Wortlaut: „1.6.1.42 (gestrichen)“.</w:t>
      </w:r>
    </w:p>
    <w:p w:rsidR="001B6338" w:rsidRPr="00DD2A86" w:rsidRDefault="001B6338" w:rsidP="00993052">
      <w:pPr>
        <w:spacing w:before="120" w:after="120"/>
        <w:ind w:left="2268" w:right="1134" w:hanging="1134"/>
        <w:jc w:val="both"/>
        <w:rPr>
          <w:iCs/>
          <w:lang w:val="de-DE"/>
        </w:rPr>
      </w:pPr>
      <w:r w:rsidRPr="00DD2A86">
        <w:rPr>
          <w:iCs/>
          <w:lang w:val="de-DE"/>
        </w:rPr>
        <w:t>1.6.1.43</w:t>
      </w:r>
      <w:r w:rsidRPr="00DD2A86">
        <w:rPr>
          <w:iCs/>
          <w:lang w:val="de-DE"/>
        </w:rPr>
        <w:tab/>
        <w:t>„Sondervorschriften 240, 385 und 669“ ändern in: „Sondervorschriften 388 und 669“.</w:t>
      </w:r>
    </w:p>
    <w:p w:rsidR="001B6338" w:rsidRPr="00DD2A86" w:rsidRDefault="001B6338" w:rsidP="001B6338">
      <w:pPr>
        <w:spacing w:after="120"/>
        <w:ind w:left="2268" w:right="1134"/>
        <w:jc w:val="both"/>
        <w:rPr>
          <w:iCs/>
          <w:lang w:val="de-DE"/>
        </w:rPr>
      </w:pPr>
      <w:r w:rsidRPr="00DD2A86">
        <w:rPr>
          <w:lang w:val="de-DE"/>
        </w:rPr>
        <w:t>[Die zweite Änderung in der englischen und französischen Fassung hat keine Auswirkungen auf den deutschen Text.]</w:t>
      </w:r>
    </w:p>
    <w:p w:rsidR="00E56F68" w:rsidRPr="00DD2A86" w:rsidRDefault="00E56F68" w:rsidP="00E56F68">
      <w:pPr>
        <w:tabs>
          <w:tab w:val="left" w:pos="2268"/>
        </w:tabs>
        <w:spacing w:after="120"/>
        <w:ind w:left="1134" w:right="1134"/>
        <w:jc w:val="both"/>
        <w:rPr>
          <w:iCs/>
          <w:lang w:val="de-DE"/>
        </w:rPr>
      </w:pPr>
      <w:r w:rsidRPr="00DD2A86">
        <w:rPr>
          <w:lang w:val="de-DE"/>
        </w:rPr>
        <w:t>1.6.1</w:t>
      </w:r>
      <w:r w:rsidRPr="00DD2A86">
        <w:rPr>
          <w:lang w:val="de-DE"/>
        </w:rPr>
        <w:tab/>
      </w:r>
      <w:r w:rsidRPr="00DD2A86">
        <w:rPr>
          <w:iCs/>
          <w:lang w:val="de-DE"/>
        </w:rPr>
        <w:t>Folgende neue Übergangsvorschriften hinzufügen:</w:t>
      </w:r>
    </w:p>
    <w:p w:rsidR="00E56F68" w:rsidRPr="00DD2A86" w:rsidRDefault="00E56F68" w:rsidP="00E56F68">
      <w:pPr>
        <w:tabs>
          <w:tab w:val="left" w:pos="2268"/>
        </w:tabs>
        <w:spacing w:after="120"/>
        <w:ind w:left="1134" w:right="1134"/>
        <w:jc w:val="both"/>
        <w:rPr>
          <w:lang w:val="de-DE"/>
        </w:rPr>
      </w:pPr>
      <w:r w:rsidRPr="00DD2A86">
        <w:rPr>
          <w:lang w:val="de-DE"/>
        </w:rPr>
        <w:t>„1.6.1.44</w:t>
      </w:r>
      <w:r w:rsidRPr="00DD2A86">
        <w:rPr>
          <w:lang w:val="de-DE"/>
        </w:rPr>
        <w:tab/>
        <w:t>Unternehmen, die an der Beförderung gefährlicher Güter lediglich als Absender beteiligt sind und die auf Grund der bis zum 31. Dezember 2018 geltenden Vorschriften keinen Gefahrgutbeauftragten ernennen mussten, müssen abweichend von den ab dem 1. Januar 2019 geltenden Vorschriften des Unterabschnitts 1.8.3.1 spätestens bis zum 31. Dezember 2022 einen Gefahrgutbeauftragten benennen.“</w:t>
      </w:r>
    </w:p>
    <w:p w:rsidR="00E56F68" w:rsidRPr="00DD2A86" w:rsidRDefault="00E56F68" w:rsidP="00E56F68">
      <w:pPr>
        <w:spacing w:after="120"/>
        <w:ind w:left="1134" w:right="1134"/>
        <w:jc w:val="both"/>
        <w:rPr>
          <w:iCs/>
          <w:lang w:val="de-DE"/>
        </w:rPr>
      </w:pPr>
      <w:r w:rsidRPr="00DD2A86">
        <w:rPr>
          <w:iCs/>
          <w:lang w:val="de-DE"/>
        </w:rPr>
        <w:t>„1.6.1.45</w:t>
      </w:r>
      <w:r w:rsidRPr="00DD2A86">
        <w:rPr>
          <w:iCs/>
          <w:lang w:val="de-DE"/>
        </w:rPr>
        <w:tab/>
        <w:t>Die Vertragsparteien dürfen bis zum 31. Dezember 2020 weiterhin Schulungsnachweise für Gefahrgutbeauftragte gemäß dem bis zum 31. Dezember 2018 geltenden Muster anstelle des den ab 1. Januar 2019 geltenden Vorschriften des Unterabschnitts 1.8.3.18 entsprechenden Musters ausstellen. Diese Schulungsnachweise dürfen bis zum Ablauf ihrer fünfjährigen Geltungsdauer weiterverwendet werden.“.</w:t>
      </w:r>
    </w:p>
    <w:p w:rsidR="002B5060" w:rsidRPr="00DD2A86" w:rsidRDefault="002B5060">
      <w:pPr>
        <w:suppressAutoHyphens w:val="0"/>
        <w:spacing w:line="240" w:lineRule="auto"/>
        <w:rPr>
          <w:lang w:val="de-DE"/>
        </w:rPr>
      </w:pPr>
      <w:r w:rsidRPr="00DD2A86">
        <w:rPr>
          <w:lang w:val="de-DE"/>
        </w:rPr>
        <w:br w:type="page"/>
      </w:r>
    </w:p>
    <w:p w:rsidR="001B6338" w:rsidRPr="00DD2A86" w:rsidRDefault="001B6338" w:rsidP="001B6338">
      <w:pPr>
        <w:tabs>
          <w:tab w:val="left" w:pos="2268"/>
        </w:tabs>
        <w:suppressAutoHyphens w:val="0"/>
        <w:spacing w:line="240" w:lineRule="auto"/>
        <w:ind w:left="1134" w:right="1134"/>
        <w:jc w:val="both"/>
        <w:rPr>
          <w:lang w:val="de-DE"/>
        </w:rPr>
      </w:pPr>
      <w:r w:rsidRPr="00DD2A86">
        <w:rPr>
          <w:lang w:val="de-DE"/>
        </w:rPr>
        <w:t>„1.6.1.46</w:t>
      </w:r>
      <w:r w:rsidRPr="00DD2A86">
        <w:rPr>
          <w:lang w:val="de-DE"/>
        </w:rPr>
        <w:tab/>
        <w:t>Die Beförderung von in dieser Anlage nicht näher bezeichneten Maschinen oder Geräten, die in ihrem inneren Aufbau oder in ihren Funktionselementen gefährliche Güter enthalten und die deshalb der UN-Nummer 3363, 3537, 3538, 3539, 3540, 3541, 3542, 3543, 3544, 3545, 3546, 3547 oder 3548 zugeordnet sind, die gemäß dem bis zum 31. Dezember 2018 geltenden Unterabschnitt 1.1.3.1 b) von den Vorschriften des ADN freigestellt war, darf bis zum 31. Dezember 2022 weiterhin von den Vorschriften des ADN freigestellt werden, vorausgesetzt, es sind Maßnahmen getroffen worden, die unter normalen Beförderungsbedingungen ein Freiwerden des Inhalts verhindern.“.</w:t>
      </w:r>
    </w:p>
    <w:p w:rsidR="00EB6288" w:rsidRPr="00DD2A86" w:rsidRDefault="00EB6288" w:rsidP="00EB6288">
      <w:pPr>
        <w:suppressAutoHyphens w:val="0"/>
        <w:spacing w:line="240" w:lineRule="auto"/>
        <w:rPr>
          <w:lang w:val="de-DE"/>
        </w:rPr>
      </w:pPr>
    </w:p>
    <w:p w:rsidR="00EB6288" w:rsidRPr="00DD2A86" w:rsidRDefault="00EB6288" w:rsidP="00EB6288">
      <w:pPr>
        <w:tabs>
          <w:tab w:val="left" w:pos="1134"/>
        </w:tabs>
        <w:spacing w:before="120" w:after="240"/>
        <w:ind w:right="1134"/>
        <w:jc w:val="both"/>
        <w:rPr>
          <w:lang w:val="de-DE"/>
        </w:rPr>
      </w:pPr>
      <w:r w:rsidRPr="00DD2A86">
        <w:rPr>
          <w:lang w:val="de-DE"/>
        </w:rPr>
        <w:t>1.6.7.2.1.1</w:t>
      </w:r>
      <w:r w:rsidRPr="00DD2A86">
        <w:rPr>
          <w:lang w:val="de-DE"/>
        </w:rPr>
        <w:tab/>
        <w:t>Die Übergangsvorschrift für 9.1.0.32.2 erhält folgenden Wortlaut:</w:t>
      </w:r>
    </w:p>
    <w:tbl>
      <w:tblPr>
        <w:tblStyle w:val="Grilledutableau2"/>
        <w:tblW w:w="9214" w:type="dxa"/>
        <w:tblInd w:w="5" w:type="dxa"/>
        <w:tblLayout w:type="fixed"/>
        <w:tblLook w:val="04A0" w:firstRow="1" w:lastRow="0" w:firstColumn="1" w:lastColumn="0" w:noHBand="0" w:noVBand="1"/>
      </w:tblPr>
      <w:tblGrid>
        <w:gridCol w:w="1134"/>
        <w:gridCol w:w="3686"/>
        <w:gridCol w:w="4394"/>
      </w:tblGrid>
      <w:tr w:rsidR="00EB6288" w:rsidRPr="00DD2A86" w:rsidTr="00361186">
        <w:tc>
          <w:tcPr>
            <w:tcW w:w="1134" w:type="dxa"/>
          </w:tcPr>
          <w:p w:rsidR="00EB6288" w:rsidRPr="00DD2A86" w:rsidRDefault="00EB6288" w:rsidP="00361186">
            <w:pPr>
              <w:suppressAutoHyphens w:val="0"/>
              <w:spacing w:line="240" w:lineRule="auto"/>
              <w:rPr>
                <w:lang w:val="de-DE"/>
              </w:rPr>
            </w:pPr>
            <w:r w:rsidRPr="00DD2A86">
              <w:rPr>
                <w:lang w:val="de-DE"/>
              </w:rPr>
              <w:t>9.1.0.32.2</w:t>
            </w:r>
          </w:p>
        </w:tc>
        <w:tc>
          <w:tcPr>
            <w:tcW w:w="3686" w:type="dxa"/>
          </w:tcPr>
          <w:p w:rsidR="00EB6288" w:rsidRPr="00DD2A86" w:rsidRDefault="00EB6288" w:rsidP="00361186">
            <w:pPr>
              <w:suppressAutoHyphens w:val="0"/>
              <w:autoSpaceDE w:val="0"/>
              <w:autoSpaceDN w:val="0"/>
              <w:adjustRightInd w:val="0"/>
              <w:spacing w:line="240" w:lineRule="auto"/>
              <w:ind w:left="142"/>
              <w:rPr>
                <w:lang w:val="de-DE"/>
              </w:rPr>
            </w:pPr>
            <w:r w:rsidRPr="00DD2A86">
              <w:rPr>
                <w:lang w:val="de-DE"/>
              </w:rPr>
              <w:t>Öffnungen der Lüftungsrohre mindestens 0,50 m über das freie Deck</w:t>
            </w:r>
          </w:p>
        </w:tc>
        <w:tc>
          <w:tcPr>
            <w:tcW w:w="4394" w:type="dxa"/>
          </w:tcPr>
          <w:p w:rsidR="00EB6288" w:rsidRPr="00DD2A86" w:rsidRDefault="00EB6288" w:rsidP="00361186">
            <w:pPr>
              <w:suppressAutoHyphens w:val="0"/>
              <w:autoSpaceDE w:val="0"/>
              <w:autoSpaceDN w:val="0"/>
              <w:adjustRightInd w:val="0"/>
              <w:spacing w:line="240" w:lineRule="auto"/>
              <w:ind w:left="142"/>
              <w:jc w:val="center"/>
              <w:rPr>
                <w:lang w:val="de-DE"/>
              </w:rPr>
            </w:pPr>
            <w:r w:rsidRPr="00DD2A86">
              <w:rPr>
                <w:lang w:val="de-DE"/>
              </w:rPr>
              <w:t>N.E.U.</w:t>
            </w:r>
          </w:p>
          <w:p w:rsidR="00EB6288" w:rsidRPr="00DD2A86" w:rsidRDefault="00EB6288" w:rsidP="00361186">
            <w:pPr>
              <w:suppressAutoHyphens w:val="0"/>
              <w:autoSpaceDE w:val="0"/>
              <w:autoSpaceDN w:val="0"/>
              <w:adjustRightInd w:val="0"/>
              <w:spacing w:line="240" w:lineRule="auto"/>
              <w:ind w:left="142"/>
              <w:jc w:val="center"/>
              <w:rPr>
                <w:lang w:val="de-DE"/>
              </w:rPr>
            </w:pPr>
            <w:r w:rsidRPr="00DD2A86">
              <w:rPr>
                <w:lang w:val="de-DE"/>
              </w:rPr>
              <w:t>Erneuerung des Zulassungszeugnisses nach dem 31. Dezember 2018</w:t>
            </w:r>
          </w:p>
        </w:tc>
      </w:tr>
    </w:tbl>
    <w:p w:rsidR="004F7853" w:rsidRPr="00DD2A86" w:rsidRDefault="004F7853" w:rsidP="00EB6288">
      <w:pPr>
        <w:suppressAutoHyphens w:val="0"/>
        <w:spacing w:before="240"/>
        <w:rPr>
          <w:lang w:val="de-DE"/>
        </w:rPr>
      </w:pPr>
      <w:r w:rsidRPr="00DD2A86">
        <w:rPr>
          <w:lang w:val="de-DE"/>
        </w:rPr>
        <w:t>1.6.7.2.1.1</w:t>
      </w:r>
      <w:r w:rsidRPr="00DD2A86">
        <w:rPr>
          <w:lang w:val="de-DE"/>
        </w:rPr>
        <w:tab/>
        <w:t>Folgende neue Übergangsvorschriften hinzufügen:</w:t>
      </w:r>
    </w:p>
    <w:p w:rsidR="004F7853" w:rsidRPr="00DD2A86" w:rsidRDefault="004F7853" w:rsidP="00B61A90">
      <w:pPr>
        <w:suppressAutoHyphens w:val="0"/>
        <w:spacing w:line="240" w:lineRule="auto"/>
        <w:rPr>
          <w:lang w:val="de-DE"/>
        </w:rPr>
      </w:pPr>
      <w:r w:rsidRPr="00DD2A86">
        <w:rPr>
          <w:lang w:val="de-DE"/>
        </w:rPr>
        <w:t>„</w:t>
      </w:r>
    </w:p>
    <w:tbl>
      <w:tblPr>
        <w:tblStyle w:val="Grilledutableau5"/>
        <w:tblW w:w="9356" w:type="dxa"/>
        <w:tblInd w:w="-34" w:type="dxa"/>
        <w:tblLook w:val="04A0" w:firstRow="1" w:lastRow="0" w:firstColumn="1" w:lastColumn="0" w:noHBand="0" w:noVBand="1"/>
      </w:tblPr>
      <w:tblGrid>
        <w:gridCol w:w="1308"/>
        <w:gridCol w:w="3654"/>
        <w:gridCol w:w="4394"/>
      </w:tblGrid>
      <w:tr w:rsidR="004F7853" w:rsidRPr="00DD2A86" w:rsidTr="00D07A08">
        <w:trPr>
          <w:cantSplit/>
          <w:trHeight w:val="464"/>
          <w:tblHeader/>
        </w:trPr>
        <w:tc>
          <w:tcPr>
            <w:tcW w:w="1308" w:type="dxa"/>
            <w:tcBorders>
              <w:top w:val="single" w:sz="4" w:space="0" w:color="auto"/>
              <w:left w:val="single" w:sz="4" w:space="0" w:color="auto"/>
              <w:bottom w:val="single" w:sz="4" w:space="0" w:color="auto"/>
              <w:right w:val="single" w:sz="4" w:space="0" w:color="auto"/>
            </w:tcBorders>
            <w:vAlign w:val="center"/>
            <w:hideMark/>
          </w:tcPr>
          <w:p w:rsidR="004F7853" w:rsidRPr="00DD2A86" w:rsidRDefault="004F7853" w:rsidP="00B61A90">
            <w:pPr>
              <w:suppressAutoHyphens w:val="0"/>
              <w:autoSpaceDE w:val="0"/>
              <w:autoSpaceDN w:val="0"/>
              <w:adjustRightInd w:val="0"/>
              <w:spacing w:line="240" w:lineRule="auto"/>
              <w:jc w:val="center"/>
              <w:rPr>
                <w:rFonts w:ascii="Times New Roman" w:hAnsi="Times New Roman"/>
                <w:b/>
                <w:szCs w:val="20"/>
              </w:rPr>
            </w:pPr>
            <w:r w:rsidRPr="00DD2A86">
              <w:rPr>
                <w:rFonts w:ascii="Times New Roman" w:hAnsi="Times New Roman"/>
                <w:b/>
                <w:szCs w:val="20"/>
              </w:rPr>
              <w:t>Absatz</w:t>
            </w:r>
          </w:p>
        </w:tc>
        <w:tc>
          <w:tcPr>
            <w:tcW w:w="3654" w:type="dxa"/>
            <w:tcBorders>
              <w:top w:val="single" w:sz="4" w:space="0" w:color="auto"/>
              <w:left w:val="single" w:sz="4" w:space="0" w:color="auto"/>
              <w:bottom w:val="single" w:sz="4" w:space="0" w:color="auto"/>
              <w:right w:val="single" w:sz="4" w:space="0" w:color="auto"/>
            </w:tcBorders>
            <w:vAlign w:val="center"/>
            <w:hideMark/>
          </w:tcPr>
          <w:p w:rsidR="004F7853" w:rsidRPr="00DD2A86" w:rsidRDefault="004F7853" w:rsidP="00B61A90">
            <w:pPr>
              <w:suppressAutoHyphens w:val="0"/>
              <w:autoSpaceDE w:val="0"/>
              <w:autoSpaceDN w:val="0"/>
              <w:adjustRightInd w:val="0"/>
              <w:spacing w:line="240" w:lineRule="auto"/>
              <w:jc w:val="center"/>
              <w:rPr>
                <w:rFonts w:ascii="Times New Roman" w:hAnsi="Times New Roman"/>
                <w:b/>
                <w:szCs w:val="20"/>
              </w:rPr>
            </w:pPr>
            <w:r w:rsidRPr="00DD2A86">
              <w:rPr>
                <w:rFonts w:ascii="Times New Roman" w:hAnsi="Times New Roman"/>
                <w:b/>
                <w:szCs w:val="20"/>
              </w:rPr>
              <w:t>Inhalt</w:t>
            </w:r>
          </w:p>
        </w:tc>
        <w:tc>
          <w:tcPr>
            <w:tcW w:w="4394" w:type="dxa"/>
            <w:tcBorders>
              <w:top w:val="single" w:sz="4" w:space="0" w:color="auto"/>
              <w:left w:val="single" w:sz="4" w:space="0" w:color="auto"/>
              <w:bottom w:val="single" w:sz="4" w:space="0" w:color="auto"/>
              <w:right w:val="single" w:sz="4" w:space="0" w:color="auto"/>
            </w:tcBorders>
            <w:vAlign w:val="center"/>
            <w:hideMark/>
          </w:tcPr>
          <w:p w:rsidR="004F7853" w:rsidRPr="00DD2A86" w:rsidRDefault="004F7853" w:rsidP="00B61A90">
            <w:pPr>
              <w:suppressAutoHyphens w:val="0"/>
              <w:autoSpaceDE w:val="0"/>
              <w:autoSpaceDN w:val="0"/>
              <w:adjustRightInd w:val="0"/>
              <w:spacing w:line="240" w:lineRule="auto"/>
              <w:jc w:val="center"/>
              <w:rPr>
                <w:rFonts w:ascii="Times New Roman" w:hAnsi="Times New Roman"/>
                <w:b/>
                <w:szCs w:val="20"/>
              </w:rPr>
            </w:pPr>
            <w:r w:rsidRPr="00DD2A86">
              <w:rPr>
                <w:rFonts w:ascii="Times New Roman" w:hAnsi="Times New Roman"/>
                <w:b/>
                <w:szCs w:val="20"/>
              </w:rPr>
              <w:t>Frist und Nebenbestimmungen</w:t>
            </w:r>
          </w:p>
        </w:tc>
      </w:tr>
      <w:tr w:rsidR="004F7853" w:rsidRPr="00103305" w:rsidTr="00D07A08">
        <w:trPr>
          <w:cantSplit/>
          <w:trHeight w:val="464"/>
        </w:trPr>
        <w:tc>
          <w:tcPr>
            <w:tcW w:w="1308"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uppressAutoHyphens w:val="0"/>
              <w:spacing w:before="40" w:line="240" w:lineRule="auto"/>
              <w:jc w:val="center"/>
              <w:rPr>
                <w:rFonts w:ascii="Times New Roman" w:hAnsi="Times New Roman"/>
                <w:szCs w:val="20"/>
                <w:lang w:eastAsia="de-DE"/>
              </w:rPr>
            </w:pPr>
            <w:r w:rsidRPr="00DD2A86">
              <w:rPr>
                <w:rFonts w:ascii="Times New Roman" w:hAnsi="Times New Roman"/>
                <w:szCs w:val="20"/>
                <w:lang w:eastAsia="de-DE"/>
              </w:rPr>
              <w:t>7.1.2.19.1</w:t>
            </w:r>
          </w:p>
        </w:tc>
        <w:tc>
          <w:tcPr>
            <w:tcW w:w="3654"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uppressAutoHyphens w:val="0"/>
              <w:spacing w:before="40" w:line="240" w:lineRule="auto"/>
              <w:rPr>
                <w:rFonts w:ascii="Times New Roman" w:hAnsi="Times New Roman"/>
                <w:szCs w:val="20"/>
              </w:rPr>
            </w:pPr>
            <w:r w:rsidRPr="00DD2A86">
              <w:rPr>
                <w:rFonts w:ascii="Times New Roman" w:hAnsi="Times New Roman"/>
                <w:szCs w:val="20"/>
              </w:rPr>
              <w:t>Schiffe</w:t>
            </w:r>
            <w:r w:rsidR="00BB1FE7" w:rsidRPr="00DD2A86">
              <w:rPr>
                <w:rFonts w:ascii="Times New Roman" w:hAnsi="Times New Roman"/>
                <w:szCs w:val="20"/>
              </w:rPr>
              <w:t>,</w:t>
            </w:r>
            <w:r w:rsidRPr="00DD2A86">
              <w:rPr>
                <w:rFonts w:ascii="Times New Roman" w:hAnsi="Times New Roman"/>
                <w:szCs w:val="20"/>
              </w:rPr>
              <w:t xml:space="preserve"> die für die Fortbewegung gebraucht werden</w:t>
            </w:r>
          </w:p>
          <w:p w:rsidR="004F7853" w:rsidRPr="00DD2A86" w:rsidRDefault="004F7853" w:rsidP="00B61A90">
            <w:pPr>
              <w:suppressAutoHyphens w:val="0"/>
              <w:spacing w:before="40" w:line="240" w:lineRule="auto"/>
              <w:rPr>
                <w:rFonts w:ascii="Times New Roman" w:hAnsi="Times New Roman"/>
                <w:szCs w:val="20"/>
              </w:rPr>
            </w:pPr>
            <w:r w:rsidRPr="00DD2A86">
              <w:rPr>
                <w:rFonts w:ascii="Times New Roman" w:hAnsi="Times New Roman"/>
                <w:szCs w:val="20"/>
              </w:rPr>
              <w:t>Anpassung an die neuen Vorschriften in 9.1.0.12.4, 9.1.0.40.2, 9.1.0.51 und 9.1.0.52</w:t>
            </w:r>
          </w:p>
        </w:tc>
        <w:tc>
          <w:tcPr>
            <w:tcW w:w="4394"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uppressAutoHyphens w:val="0"/>
              <w:spacing w:before="40" w:line="240" w:lineRule="auto"/>
              <w:jc w:val="center"/>
              <w:rPr>
                <w:rFonts w:ascii="Times New Roman" w:hAnsi="Times New Roman"/>
                <w:szCs w:val="20"/>
              </w:rPr>
            </w:pPr>
            <w:r w:rsidRPr="00DD2A86">
              <w:rPr>
                <w:rFonts w:ascii="Times New Roman" w:hAnsi="Times New Roman"/>
                <w:szCs w:val="20"/>
              </w:rPr>
              <w:t>N.E.U. ab 1. Januar 2019</w:t>
            </w:r>
          </w:p>
          <w:p w:rsidR="004F7853" w:rsidRPr="00DD2A86" w:rsidRDefault="004F7853" w:rsidP="00B61A90">
            <w:pPr>
              <w:suppressAutoHyphens w:val="0"/>
              <w:spacing w:before="40" w:line="240" w:lineRule="auto"/>
              <w:jc w:val="center"/>
              <w:rPr>
                <w:rFonts w:ascii="Times New Roman" w:hAnsi="Times New Roman"/>
                <w:szCs w:val="20"/>
              </w:rPr>
            </w:pPr>
            <w:r w:rsidRPr="00DD2A86">
              <w:rPr>
                <w:rFonts w:ascii="Times New Roman" w:hAnsi="Times New Roman"/>
                <w:szCs w:val="20"/>
              </w:rPr>
              <w:t>Erneuerung des Zulassungszeugnisses nach dem 31. Dezember 2034</w:t>
            </w:r>
          </w:p>
          <w:p w:rsidR="00E459EF" w:rsidRPr="00DD2A86" w:rsidRDefault="00E459EF" w:rsidP="00B61A90">
            <w:pPr>
              <w:suppressAutoHyphens w:val="0"/>
              <w:spacing w:before="40" w:line="240" w:lineRule="auto"/>
              <w:jc w:val="center"/>
              <w:rPr>
                <w:rFonts w:ascii="Times New Roman" w:hAnsi="Times New Roman"/>
                <w:szCs w:val="20"/>
              </w:rPr>
            </w:pPr>
          </w:p>
          <w:p w:rsidR="00DA28C6" w:rsidRPr="00DD2A86" w:rsidRDefault="00DA28C6" w:rsidP="00B61A90">
            <w:pPr>
              <w:suppressAutoHyphens w:val="0"/>
              <w:spacing w:before="40" w:line="240" w:lineRule="auto"/>
              <w:jc w:val="center"/>
              <w:rPr>
                <w:rFonts w:ascii="Times New Roman" w:hAnsi="Times New Roman"/>
                <w:szCs w:val="20"/>
              </w:rPr>
            </w:pPr>
            <w:r w:rsidRPr="00DD2A86">
              <w:rPr>
                <w:rFonts w:ascii="Times New Roman" w:hAnsi="Times New Roman"/>
                <w:szCs w:val="20"/>
              </w:rPr>
              <w:t>An Bord von in Betrieb befindlichen Schiffen müssen bis dahin folgende Vorschriften eingehalten werden:</w:t>
            </w:r>
          </w:p>
          <w:p w:rsidR="00DA28C6" w:rsidRPr="00DD2A86" w:rsidRDefault="00DA28C6" w:rsidP="00B61A90">
            <w:pPr>
              <w:suppressAutoHyphens w:val="0"/>
              <w:spacing w:before="40" w:line="240" w:lineRule="auto"/>
              <w:jc w:val="center"/>
              <w:rPr>
                <w:rFonts w:ascii="Times New Roman" w:hAnsi="Times New Roman"/>
                <w:szCs w:val="20"/>
              </w:rPr>
            </w:pPr>
            <w:r w:rsidRPr="00DD2A86">
              <w:rPr>
                <w:rFonts w:ascii="Times New Roman" w:hAnsi="Times New Roman"/>
                <w:szCs w:val="20"/>
              </w:rPr>
              <w:t>In einem Schubverband oder bei gekuppelten Schiffen müssen alle Schiffe mit einem auf sie ausgestellten Zulassungszeugnis versehen sein</w:t>
            </w:r>
            <w:r w:rsidR="00BB1FE7" w:rsidRPr="00DD2A86">
              <w:rPr>
                <w:rFonts w:ascii="Times New Roman" w:hAnsi="Times New Roman"/>
                <w:szCs w:val="20"/>
              </w:rPr>
              <w:t>,</w:t>
            </w:r>
            <w:r w:rsidRPr="00DD2A86">
              <w:rPr>
                <w:rFonts w:ascii="Times New Roman" w:hAnsi="Times New Roman"/>
                <w:szCs w:val="20"/>
              </w:rPr>
              <w:t xml:space="preserve"> wenn mindestens ein Schiff der Zusammenstellung mit einem Zulassungszeugnis für die Beförderung von gefährlichen Gütern versehen sein muss.</w:t>
            </w:r>
          </w:p>
          <w:p w:rsidR="004F7853" w:rsidRPr="00DD2A86" w:rsidRDefault="00DA28C6" w:rsidP="00B61A90">
            <w:pPr>
              <w:suppressAutoHyphens w:val="0"/>
              <w:spacing w:before="40" w:line="240" w:lineRule="auto"/>
              <w:jc w:val="center"/>
              <w:rPr>
                <w:rFonts w:ascii="Times New Roman" w:hAnsi="Times New Roman"/>
                <w:szCs w:val="20"/>
              </w:rPr>
            </w:pPr>
            <w:r w:rsidRPr="00DD2A86">
              <w:rPr>
                <w:rFonts w:ascii="Times New Roman" w:hAnsi="Times New Roman"/>
                <w:szCs w:val="20"/>
              </w:rPr>
              <w:t xml:space="preserve">Schiffe, welche keine gefährlichen Güter befördern, müssen </w:t>
            </w:r>
            <w:r w:rsidR="008E0ACD" w:rsidRPr="00DD2A86">
              <w:rPr>
                <w:rFonts w:ascii="Times New Roman" w:hAnsi="Times New Roman"/>
                <w:szCs w:val="20"/>
              </w:rPr>
              <w:t xml:space="preserve">folgenden </w:t>
            </w:r>
            <w:r w:rsidRPr="00DD2A86">
              <w:rPr>
                <w:rFonts w:ascii="Times New Roman" w:hAnsi="Times New Roman"/>
                <w:szCs w:val="20"/>
              </w:rPr>
              <w:t>Abschnitten, Unterabschnitten und Absätzen entsprechen: 1.16.1.1, 1.16.1.2, 1.16.1.3, 7.1.2.5, 8.1.5, 8.1.6.1, 8.1.6.3, 8.1.7, 9.1.0.0, 9.1.0.12.3, 9.1.0.12.5, 9.1.0.17.2, 9.1.0.17.3, 9.1.0.31, 9.1.0.32, 9.1.0.34, 9.1.0.41, 9.1.0.52.7, 9.1.0.56, 9.1.0.71 und 9.1.0.74.</w:t>
            </w:r>
          </w:p>
        </w:tc>
      </w:tr>
      <w:tr w:rsidR="004F7853" w:rsidRPr="00DD2A86" w:rsidTr="00D07A08">
        <w:trPr>
          <w:cantSplit/>
          <w:trHeight w:val="464"/>
        </w:trPr>
        <w:tc>
          <w:tcPr>
            <w:tcW w:w="1308"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uppressAutoHyphens w:val="0"/>
              <w:autoSpaceDE w:val="0"/>
              <w:autoSpaceDN w:val="0"/>
              <w:adjustRightInd w:val="0"/>
              <w:spacing w:before="40" w:line="240" w:lineRule="auto"/>
              <w:jc w:val="center"/>
              <w:rPr>
                <w:rFonts w:ascii="Times New Roman" w:hAnsi="Times New Roman"/>
                <w:szCs w:val="20"/>
              </w:rPr>
            </w:pPr>
            <w:r w:rsidRPr="00DD2A86">
              <w:rPr>
                <w:rFonts w:ascii="Times New Roman" w:hAnsi="Times New Roman"/>
                <w:szCs w:val="20"/>
              </w:rPr>
              <w:t>7.1.3.41</w:t>
            </w:r>
          </w:p>
        </w:tc>
        <w:tc>
          <w:tcPr>
            <w:tcW w:w="3654"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uppressAutoHyphens w:val="0"/>
              <w:autoSpaceDE w:val="0"/>
              <w:autoSpaceDN w:val="0"/>
              <w:adjustRightInd w:val="0"/>
              <w:spacing w:before="40" w:line="240" w:lineRule="auto"/>
              <w:rPr>
                <w:rFonts w:ascii="Times New Roman" w:hAnsi="Times New Roman"/>
                <w:szCs w:val="20"/>
              </w:rPr>
            </w:pPr>
            <w:r w:rsidRPr="00DD2A86">
              <w:rPr>
                <w:rFonts w:ascii="Times New Roman" w:hAnsi="Times New Roman"/>
                <w:szCs w:val="20"/>
              </w:rPr>
              <w:t>Rauchen</w:t>
            </w:r>
          </w:p>
        </w:tc>
        <w:tc>
          <w:tcPr>
            <w:tcW w:w="4394"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uppressAutoHyphens w:val="0"/>
              <w:spacing w:before="40" w:line="240" w:lineRule="auto"/>
              <w:jc w:val="center"/>
              <w:rPr>
                <w:rFonts w:ascii="Times New Roman" w:hAnsi="Times New Roman"/>
                <w:szCs w:val="20"/>
              </w:rPr>
            </w:pPr>
            <w:r w:rsidRPr="00DD2A86">
              <w:rPr>
                <w:rFonts w:ascii="Times New Roman" w:hAnsi="Times New Roman"/>
                <w:szCs w:val="20"/>
              </w:rPr>
              <w:t>N.E.U. ab 1. Januar 2019</w:t>
            </w:r>
          </w:p>
          <w:p w:rsidR="004F7853" w:rsidRPr="00DD2A86" w:rsidRDefault="004F7853" w:rsidP="00B61A90">
            <w:pPr>
              <w:spacing w:before="40" w:line="240" w:lineRule="auto"/>
              <w:jc w:val="center"/>
              <w:rPr>
                <w:rFonts w:ascii="Times New Roman" w:hAnsi="Times New Roman"/>
                <w:snapToGrid w:val="0"/>
                <w:szCs w:val="20"/>
                <w:lang w:eastAsia="fr-FR"/>
              </w:rPr>
            </w:pPr>
            <w:r w:rsidRPr="00DD2A86">
              <w:rPr>
                <w:rFonts w:ascii="Times New Roman" w:hAnsi="Times New Roman"/>
                <w:snapToGrid w:val="0"/>
                <w:szCs w:val="20"/>
                <w:lang w:eastAsia="fr-FR"/>
              </w:rPr>
              <w:t>Erneuerung des Zulassungszeugnisses nach dem 31. Dezember 2020</w:t>
            </w:r>
          </w:p>
        </w:tc>
      </w:tr>
      <w:tr w:rsidR="004F7853" w:rsidRPr="00DD2A86" w:rsidTr="00D07A08">
        <w:trPr>
          <w:cantSplit/>
          <w:trHeight w:val="464"/>
        </w:trPr>
        <w:tc>
          <w:tcPr>
            <w:tcW w:w="1308"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uppressAutoHyphens w:val="0"/>
              <w:autoSpaceDE w:val="0"/>
              <w:autoSpaceDN w:val="0"/>
              <w:adjustRightInd w:val="0"/>
              <w:spacing w:before="40" w:line="240" w:lineRule="auto"/>
              <w:jc w:val="center"/>
              <w:rPr>
                <w:rFonts w:ascii="Times New Roman" w:hAnsi="Times New Roman"/>
                <w:szCs w:val="20"/>
              </w:rPr>
            </w:pPr>
            <w:r w:rsidRPr="00DD2A86">
              <w:rPr>
                <w:rFonts w:ascii="Times New Roman" w:hAnsi="Times New Roman"/>
                <w:szCs w:val="20"/>
              </w:rPr>
              <w:t>7.1.3.51.1</w:t>
            </w:r>
          </w:p>
        </w:tc>
        <w:tc>
          <w:tcPr>
            <w:tcW w:w="3654"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uppressAutoHyphens w:val="0"/>
              <w:autoSpaceDE w:val="0"/>
              <w:autoSpaceDN w:val="0"/>
              <w:adjustRightInd w:val="0"/>
              <w:spacing w:before="40" w:line="240" w:lineRule="auto"/>
              <w:rPr>
                <w:rFonts w:ascii="Times New Roman" w:hAnsi="Times New Roman"/>
                <w:szCs w:val="20"/>
              </w:rPr>
            </w:pPr>
            <w:r w:rsidRPr="00DD2A86">
              <w:rPr>
                <w:rFonts w:ascii="Times New Roman" w:hAnsi="Times New Roman"/>
                <w:szCs w:val="20"/>
              </w:rPr>
              <w:t>Nicht elektrische Anlagen und Geräte</w:t>
            </w:r>
          </w:p>
        </w:tc>
        <w:tc>
          <w:tcPr>
            <w:tcW w:w="4394"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uppressAutoHyphens w:val="0"/>
              <w:autoSpaceDE w:val="0"/>
              <w:autoSpaceDN w:val="0"/>
              <w:adjustRightInd w:val="0"/>
              <w:spacing w:before="40" w:line="240" w:lineRule="auto"/>
              <w:jc w:val="center"/>
              <w:rPr>
                <w:rFonts w:ascii="Times New Roman" w:hAnsi="Times New Roman"/>
                <w:szCs w:val="20"/>
              </w:rPr>
            </w:pPr>
            <w:r w:rsidRPr="00DD2A86">
              <w:rPr>
                <w:rFonts w:ascii="Times New Roman" w:hAnsi="Times New Roman"/>
                <w:szCs w:val="20"/>
              </w:rPr>
              <w:t>N.E.U. ab 1. Januar 2019</w:t>
            </w:r>
          </w:p>
          <w:p w:rsidR="004F7853" w:rsidRPr="00DD2A86" w:rsidRDefault="004F7853" w:rsidP="00B61A90">
            <w:pPr>
              <w:suppressAutoHyphens w:val="0"/>
              <w:autoSpaceDE w:val="0"/>
              <w:autoSpaceDN w:val="0"/>
              <w:adjustRightInd w:val="0"/>
              <w:spacing w:before="40" w:line="240" w:lineRule="auto"/>
              <w:jc w:val="center"/>
              <w:rPr>
                <w:rFonts w:ascii="Times New Roman" w:hAnsi="Times New Roman"/>
                <w:szCs w:val="20"/>
              </w:rPr>
            </w:pPr>
            <w:r w:rsidRPr="00DD2A86">
              <w:rPr>
                <w:rFonts w:ascii="Times New Roman" w:hAnsi="Times New Roman"/>
                <w:szCs w:val="20"/>
              </w:rPr>
              <w:t>Erneuerung des Zulassungszeugnisses nach dem 31. Dezember 2024</w:t>
            </w:r>
          </w:p>
        </w:tc>
      </w:tr>
      <w:tr w:rsidR="004F7853" w:rsidRPr="00DD2A86" w:rsidTr="00D07A08">
        <w:trPr>
          <w:cantSplit/>
          <w:trHeight w:val="464"/>
        </w:trPr>
        <w:tc>
          <w:tcPr>
            <w:tcW w:w="1308"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autoSpaceDE w:val="0"/>
              <w:autoSpaceDN w:val="0"/>
              <w:adjustRightInd w:val="0"/>
              <w:spacing w:before="40"/>
              <w:jc w:val="center"/>
              <w:rPr>
                <w:rFonts w:ascii="Times New Roman" w:hAnsi="Times New Roman"/>
                <w:bCs/>
                <w:szCs w:val="20"/>
                <w:lang w:eastAsia="de-DE"/>
              </w:rPr>
            </w:pPr>
            <w:r w:rsidRPr="00DD2A86">
              <w:rPr>
                <w:rFonts w:ascii="Times New Roman" w:hAnsi="Times New Roman"/>
                <w:bCs/>
                <w:szCs w:val="20"/>
                <w:lang w:eastAsia="de-DE"/>
              </w:rPr>
              <w:t>7.1.3.51.5</w:t>
            </w:r>
          </w:p>
        </w:tc>
        <w:tc>
          <w:tcPr>
            <w:tcW w:w="3654"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uppressAutoHyphens w:val="0"/>
              <w:autoSpaceDE w:val="0"/>
              <w:autoSpaceDN w:val="0"/>
              <w:adjustRightInd w:val="0"/>
              <w:spacing w:before="40" w:line="240" w:lineRule="auto"/>
              <w:rPr>
                <w:rFonts w:ascii="Times New Roman" w:hAnsi="Times New Roman"/>
                <w:szCs w:val="20"/>
              </w:rPr>
            </w:pPr>
            <w:r w:rsidRPr="00DD2A86">
              <w:rPr>
                <w:rFonts w:ascii="Times New Roman" w:hAnsi="Times New Roman"/>
                <w:szCs w:val="20"/>
              </w:rPr>
              <w:t>Abschalten rot gekennzeichneter Anlagen und Geräte</w:t>
            </w:r>
          </w:p>
        </w:tc>
        <w:tc>
          <w:tcPr>
            <w:tcW w:w="4394"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uppressAutoHyphens w:val="0"/>
              <w:autoSpaceDE w:val="0"/>
              <w:autoSpaceDN w:val="0"/>
              <w:adjustRightInd w:val="0"/>
              <w:spacing w:before="40" w:line="240" w:lineRule="auto"/>
              <w:jc w:val="center"/>
              <w:rPr>
                <w:rFonts w:ascii="Times New Roman" w:hAnsi="Times New Roman"/>
                <w:szCs w:val="20"/>
              </w:rPr>
            </w:pPr>
            <w:r w:rsidRPr="00DD2A86">
              <w:rPr>
                <w:rFonts w:ascii="Times New Roman" w:hAnsi="Times New Roman"/>
                <w:szCs w:val="20"/>
              </w:rPr>
              <w:t>N.E.U. ab 1. Januar 2019</w:t>
            </w:r>
          </w:p>
          <w:p w:rsidR="004F7853" w:rsidRPr="00DD2A86" w:rsidRDefault="004F7853" w:rsidP="00B61A90">
            <w:pPr>
              <w:suppressAutoHyphens w:val="0"/>
              <w:autoSpaceDE w:val="0"/>
              <w:autoSpaceDN w:val="0"/>
              <w:adjustRightInd w:val="0"/>
              <w:spacing w:before="40" w:line="240" w:lineRule="auto"/>
              <w:jc w:val="center"/>
              <w:rPr>
                <w:rFonts w:ascii="Times New Roman" w:hAnsi="Times New Roman"/>
                <w:szCs w:val="20"/>
              </w:rPr>
            </w:pPr>
            <w:r w:rsidRPr="00DD2A86">
              <w:rPr>
                <w:rFonts w:ascii="Times New Roman" w:hAnsi="Times New Roman"/>
                <w:szCs w:val="20"/>
              </w:rPr>
              <w:t>Erneuerung des Zulassungszeugnisses nach dem  31. Dezember 2034</w:t>
            </w:r>
          </w:p>
        </w:tc>
      </w:tr>
      <w:tr w:rsidR="004F7853" w:rsidRPr="00DD2A86" w:rsidTr="00D07A08">
        <w:trPr>
          <w:cantSplit/>
          <w:trHeight w:val="464"/>
        </w:trPr>
        <w:tc>
          <w:tcPr>
            <w:tcW w:w="1308"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pacing w:before="40"/>
              <w:jc w:val="center"/>
              <w:rPr>
                <w:rFonts w:ascii="Times New Roman" w:hAnsi="Times New Roman"/>
                <w:bCs/>
                <w:szCs w:val="20"/>
                <w:lang w:eastAsia="de-DE"/>
              </w:rPr>
            </w:pPr>
            <w:r w:rsidRPr="00DD2A86">
              <w:rPr>
                <w:rFonts w:ascii="Times New Roman" w:hAnsi="Times New Roman"/>
                <w:bCs/>
                <w:szCs w:val="20"/>
                <w:lang w:eastAsia="de-DE"/>
              </w:rPr>
              <w:t>7.1.3.51.5</w:t>
            </w:r>
          </w:p>
        </w:tc>
        <w:tc>
          <w:tcPr>
            <w:tcW w:w="3654"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uppressAutoHyphens w:val="0"/>
              <w:spacing w:before="40" w:line="240" w:lineRule="auto"/>
              <w:rPr>
                <w:rFonts w:ascii="Times New Roman" w:hAnsi="Times New Roman"/>
                <w:szCs w:val="20"/>
              </w:rPr>
            </w:pPr>
            <w:r w:rsidRPr="00DD2A86">
              <w:rPr>
                <w:rFonts w:ascii="Times New Roman" w:hAnsi="Times New Roman"/>
                <w:szCs w:val="20"/>
              </w:rPr>
              <w:t>Anlagen und Geräte mit Oberflächentemperaturen über 200 °C</w:t>
            </w:r>
          </w:p>
        </w:tc>
        <w:tc>
          <w:tcPr>
            <w:tcW w:w="4394"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uppressAutoHyphens w:val="0"/>
              <w:spacing w:before="40" w:line="240" w:lineRule="auto"/>
              <w:jc w:val="center"/>
              <w:rPr>
                <w:rFonts w:ascii="Times New Roman" w:hAnsi="Times New Roman"/>
                <w:szCs w:val="20"/>
              </w:rPr>
            </w:pPr>
            <w:r w:rsidRPr="00DD2A86">
              <w:rPr>
                <w:rFonts w:ascii="Times New Roman" w:hAnsi="Times New Roman"/>
                <w:szCs w:val="20"/>
              </w:rPr>
              <w:t>N.E.U. ab 1. Januar 2019</w:t>
            </w:r>
          </w:p>
          <w:p w:rsidR="004F7853" w:rsidRPr="00DD2A86" w:rsidRDefault="004F7853" w:rsidP="00B61A90">
            <w:pPr>
              <w:suppressAutoHyphens w:val="0"/>
              <w:spacing w:before="40" w:line="240" w:lineRule="auto"/>
              <w:jc w:val="center"/>
              <w:rPr>
                <w:rFonts w:ascii="Times New Roman" w:hAnsi="Times New Roman"/>
                <w:szCs w:val="20"/>
              </w:rPr>
            </w:pPr>
            <w:r w:rsidRPr="00DD2A86">
              <w:rPr>
                <w:rFonts w:ascii="Times New Roman" w:hAnsi="Times New Roman"/>
                <w:szCs w:val="20"/>
              </w:rPr>
              <w:t>Erneuerung des Zulassungszeugnisses nach dem 31. Dezember 2034</w:t>
            </w:r>
          </w:p>
        </w:tc>
      </w:tr>
      <w:tr w:rsidR="004F7853" w:rsidRPr="00DD2A86" w:rsidTr="00D07A08">
        <w:trPr>
          <w:cantSplit/>
          <w:trHeight w:val="274"/>
        </w:trPr>
        <w:tc>
          <w:tcPr>
            <w:tcW w:w="1308"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uppressAutoHyphens w:val="0"/>
              <w:autoSpaceDE w:val="0"/>
              <w:autoSpaceDN w:val="0"/>
              <w:adjustRightInd w:val="0"/>
              <w:spacing w:before="40" w:line="240" w:lineRule="auto"/>
              <w:jc w:val="center"/>
              <w:rPr>
                <w:rFonts w:ascii="Times New Roman" w:hAnsi="Times New Roman"/>
                <w:szCs w:val="20"/>
              </w:rPr>
            </w:pPr>
            <w:r w:rsidRPr="00DD2A86">
              <w:rPr>
                <w:rFonts w:ascii="Times New Roman" w:hAnsi="Times New Roman"/>
                <w:szCs w:val="20"/>
              </w:rPr>
              <w:t>7.1.4.53</w:t>
            </w:r>
          </w:p>
        </w:tc>
        <w:tc>
          <w:tcPr>
            <w:tcW w:w="3654"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uppressAutoHyphens w:val="0"/>
              <w:autoSpaceDE w:val="0"/>
              <w:autoSpaceDN w:val="0"/>
              <w:adjustRightInd w:val="0"/>
              <w:spacing w:before="40" w:line="240" w:lineRule="auto"/>
              <w:rPr>
                <w:rFonts w:ascii="Times New Roman" w:hAnsi="Times New Roman"/>
                <w:szCs w:val="20"/>
              </w:rPr>
            </w:pPr>
            <w:r w:rsidRPr="00DD2A86">
              <w:rPr>
                <w:rFonts w:ascii="Times New Roman" w:hAnsi="Times New Roman"/>
                <w:szCs w:val="20"/>
              </w:rPr>
              <w:t>Leuchten in explosionsgefährdeten Bereich der Zone 2</w:t>
            </w:r>
          </w:p>
        </w:tc>
        <w:tc>
          <w:tcPr>
            <w:tcW w:w="4394"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uppressAutoHyphens w:val="0"/>
              <w:autoSpaceDE w:val="0"/>
              <w:autoSpaceDN w:val="0"/>
              <w:adjustRightInd w:val="0"/>
              <w:spacing w:before="40" w:line="240" w:lineRule="auto"/>
              <w:jc w:val="center"/>
              <w:rPr>
                <w:rFonts w:ascii="Times New Roman" w:hAnsi="Times New Roman"/>
                <w:szCs w:val="20"/>
              </w:rPr>
            </w:pPr>
            <w:r w:rsidRPr="00DD2A86">
              <w:rPr>
                <w:rFonts w:ascii="Times New Roman" w:hAnsi="Times New Roman"/>
                <w:szCs w:val="20"/>
              </w:rPr>
              <w:t>N.E.U. ab 1. Januar 2019</w:t>
            </w:r>
          </w:p>
          <w:p w:rsidR="004F7853" w:rsidRPr="00DD2A86" w:rsidRDefault="004F7853" w:rsidP="00B61A90">
            <w:pPr>
              <w:suppressAutoHyphens w:val="0"/>
              <w:autoSpaceDE w:val="0"/>
              <w:autoSpaceDN w:val="0"/>
              <w:adjustRightInd w:val="0"/>
              <w:spacing w:before="40" w:line="240" w:lineRule="auto"/>
              <w:jc w:val="center"/>
              <w:rPr>
                <w:rFonts w:ascii="Times New Roman" w:hAnsi="Times New Roman"/>
                <w:szCs w:val="20"/>
              </w:rPr>
            </w:pPr>
            <w:r w:rsidRPr="00DD2A86">
              <w:rPr>
                <w:rFonts w:ascii="Times New Roman" w:hAnsi="Times New Roman"/>
                <w:szCs w:val="20"/>
              </w:rPr>
              <w:t>Erneuerung des Zulassungszeugnisses nach dem 31. Dezember 2022</w:t>
            </w:r>
          </w:p>
        </w:tc>
      </w:tr>
      <w:tr w:rsidR="004F7853" w:rsidRPr="00DD2A86" w:rsidTr="00D07A08">
        <w:trPr>
          <w:cantSplit/>
          <w:trHeight w:val="464"/>
        </w:trPr>
        <w:tc>
          <w:tcPr>
            <w:tcW w:w="1308"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uppressAutoHyphens w:val="0"/>
              <w:autoSpaceDE w:val="0"/>
              <w:autoSpaceDN w:val="0"/>
              <w:adjustRightInd w:val="0"/>
              <w:spacing w:before="40" w:line="240" w:lineRule="auto"/>
              <w:jc w:val="center"/>
              <w:rPr>
                <w:rFonts w:ascii="Times New Roman" w:hAnsi="Times New Roman"/>
                <w:szCs w:val="20"/>
              </w:rPr>
            </w:pPr>
            <w:r w:rsidRPr="00DD2A86">
              <w:rPr>
                <w:rFonts w:ascii="Times New Roman" w:hAnsi="Times New Roman"/>
                <w:szCs w:val="20"/>
              </w:rPr>
              <w:t>8.1.2.2</w:t>
            </w:r>
          </w:p>
          <w:p w:rsidR="004F7853" w:rsidRPr="00DD2A86" w:rsidRDefault="004F7853" w:rsidP="00B61A90">
            <w:pPr>
              <w:suppressAutoHyphens w:val="0"/>
              <w:autoSpaceDE w:val="0"/>
              <w:autoSpaceDN w:val="0"/>
              <w:adjustRightInd w:val="0"/>
              <w:spacing w:before="40" w:line="240" w:lineRule="auto"/>
              <w:jc w:val="center"/>
              <w:rPr>
                <w:rFonts w:ascii="Times New Roman" w:hAnsi="Times New Roman"/>
                <w:szCs w:val="20"/>
              </w:rPr>
            </w:pPr>
            <w:r w:rsidRPr="00DD2A86">
              <w:rPr>
                <w:rFonts w:ascii="Times New Roman" w:hAnsi="Times New Roman"/>
                <w:szCs w:val="20"/>
              </w:rPr>
              <w:t>e) – h)</w:t>
            </w:r>
          </w:p>
        </w:tc>
        <w:tc>
          <w:tcPr>
            <w:tcW w:w="3654"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widowControl w:val="0"/>
              <w:suppressAutoHyphens w:val="0"/>
              <w:overflowPunct w:val="0"/>
              <w:autoSpaceDE w:val="0"/>
              <w:autoSpaceDN w:val="0"/>
              <w:adjustRightInd w:val="0"/>
              <w:spacing w:before="40" w:line="240" w:lineRule="auto"/>
              <w:ind w:left="34"/>
              <w:textAlignment w:val="baseline"/>
              <w:rPr>
                <w:rFonts w:ascii="Times New Roman" w:hAnsi="Times New Roman"/>
                <w:szCs w:val="20"/>
                <w:lang w:eastAsia="fr-FR"/>
              </w:rPr>
            </w:pPr>
            <w:r w:rsidRPr="00DD2A86">
              <w:rPr>
                <w:rFonts w:ascii="Times New Roman" w:hAnsi="Times New Roman"/>
                <w:szCs w:val="20"/>
                <w:lang w:eastAsia="fr-FR"/>
              </w:rPr>
              <w:t xml:space="preserve">Unterlagen, die </w:t>
            </w:r>
            <w:r w:rsidR="002D4E23" w:rsidRPr="00DD2A86">
              <w:rPr>
                <w:rFonts w:ascii="Times New Roman" w:hAnsi="Times New Roman"/>
                <w:szCs w:val="20"/>
                <w:lang w:eastAsia="fr-FR"/>
              </w:rPr>
              <w:t>sich an Bord befinden</w:t>
            </w:r>
            <w:r w:rsidRPr="00DD2A86">
              <w:rPr>
                <w:rFonts w:ascii="Times New Roman" w:hAnsi="Times New Roman"/>
                <w:szCs w:val="20"/>
                <w:lang w:eastAsia="fr-FR"/>
              </w:rPr>
              <w:t xml:space="preserve"> müssen</w:t>
            </w:r>
          </w:p>
        </w:tc>
        <w:tc>
          <w:tcPr>
            <w:tcW w:w="4394"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widowControl w:val="0"/>
              <w:suppressAutoHyphens w:val="0"/>
              <w:overflowPunct w:val="0"/>
              <w:autoSpaceDE w:val="0"/>
              <w:autoSpaceDN w:val="0"/>
              <w:adjustRightInd w:val="0"/>
              <w:spacing w:before="40"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N.E.U. ab 1. Januar 2019</w:t>
            </w:r>
          </w:p>
          <w:p w:rsidR="004F7853" w:rsidRPr="00DD2A86" w:rsidRDefault="004F7853" w:rsidP="00B61A90">
            <w:pPr>
              <w:suppressAutoHyphens w:val="0"/>
              <w:autoSpaceDE w:val="0"/>
              <w:autoSpaceDN w:val="0"/>
              <w:adjustRightInd w:val="0"/>
              <w:spacing w:before="40" w:line="240" w:lineRule="auto"/>
              <w:jc w:val="center"/>
              <w:rPr>
                <w:rFonts w:ascii="Times New Roman" w:hAnsi="Times New Roman"/>
                <w:szCs w:val="20"/>
              </w:rPr>
            </w:pPr>
            <w:r w:rsidRPr="00DD2A86">
              <w:rPr>
                <w:rFonts w:ascii="Times New Roman" w:hAnsi="Times New Roman"/>
                <w:szCs w:val="20"/>
              </w:rPr>
              <w:t>Erneuerung des Zulassungszeugnisses nach dem 31. Dezember 2020</w:t>
            </w:r>
          </w:p>
        </w:tc>
      </w:tr>
      <w:tr w:rsidR="004F7853" w:rsidRPr="00DD2A86" w:rsidTr="00D07A08">
        <w:trPr>
          <w:cantSplit/>
          <w:trHeight w:val="464"/>
        </w:trPr>
        <w:tc>
          <w:tcPr>
            <w:tcW w:w="1308"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uppressAutoHyphens w:val="0"/>
              <w:autoSpaceDE w:val="0"/>
              <w:autoSpaceDN w:val="0"/>
              <w:adjustRightInd w:val="0"/>
              <w:spacing w:before="40" w:line="240" w:lineRule="auto"/>
              <w:jc w:val="center"/>
              <w:rPr>
                <w:rFonts w:ascii="Times New Roman" w:hAnsi="Times New Roman"/>
                <w:szCs w:val="20"/>
              </w:rPr>
            </w:pPr>
            <w:r w:rsidRPr="00DD2A86">
              <w:rPr>
                <w:rFonts w:ascii="Times New Roman" w:hAnsi="Times New Roman"/>
                <w:szCs w:val="20"/>
              </w:rPr>
              <w:t>8.6.1.1</w:t>
            </w:r>
          </w:p>
          <w:p w:rsidR="004F7853" w:rsidRPr="00DD2A86" w:rsidRDefault="004F7853" w:rsidP="00B61A90">
            <w:pPr>
              <w:suppressAutoHyphens w:val="0"/>
              <w:autoSpaceDE w:val="0"/>
              <w:autoSpaceDN w:val="0"/>
              <w:adjustRightInd w:val="0"/>
              <w:spacing w:before="40" w:line="240" w:lineRule="auto"/>
              <w:jc w:val="center"/>
              <w:rPr>
                <w:rFonts w:ascii="Times New Roman" w:hAnsi="Times New Roman"/>
                <w:szCs w:val="20"/>
              </w:rPr>
            </w:pPr>
            <w:r w:rsidRPr="00DD2A86">
              <w:rPr>
                <w:rFonts w:ascii="Times New Roman" w:hAnsi="Times New Roman"/>
                <w:szCs w:val="20"/>
              </w:rPr>
              <w:t>8.6.1.2</w:t>
            </w:r>
          </w:p>
        </w:tc>
        <w:tc>
          <w:tcPr>
            <w:tcW w:w="3654"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uppressAutoHyphens w:val="0"/>
              <w:autoSpaceDE w:val="0"/>
              <w:autoSpaceDN w:val="0"/>
              <w:adjustRightInd w:val="0"/>
              <w:spacing w:before="40" w:line="240" w:lineRule="auto"/>
              <w:rPr>
                <w:rFonts w:ascii="Times New Roman" w:hAnsi="Times New Roman"/>
                <w:szCs w:val="20"/>
              </w:rPr>
            </w:pPr>
            <w:r w:rsidRPr="00DD2A86">
              <w:rPr>
                <w:rFonts w:ascii="Times New Roman" w:hAnsi="Times New Roman"/>
                <w:szCs w:val="20"/>
              </w:rPr>
              <w:t>Änderung Zulassungszeugnis</w:t>
            </w:r>
          </w:p>
        </w:tc>
        <w:tc>
          <w:tcPr>
            <w:tcW w:w="4394"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uppressAutoHyphens w:val="0"/>
              <w:autoSpaceDE w:val="0"/>
              <w:autoSpaceDN w:val="0"/>
              <w:adjustRightInd w:val="0"/>
              <w:spacing w:before="40" w:line="240" w:lineRule="auto"/>
              <w:jc w:val="center"/>
              <w:rPr>
                <w:rFonts w:ascii="Times New Roman" w:hAnsi="Times New Roman"/>
                <w:szCs w:val="20"/>
              </w:rPr>
            </w:pPr>
            <w:r w:rsidRPr="00DD2A86">
              <w:rPr>
                <w:rFonts w:ascii="Times New Roman" w:hAnsi="Times New Roman"/>
                <w:szCs w:val="20"/>
              </w:rPr>
              <w:t>N.E.U. ab 1. Januar 2019</w:t>
            </w:r>
          </w:p>
          <w:p w:rsidR="004F7853" w:rsidRPr="00DD2A86" w:rsidRDefault="004F7853" w:rsidP="00B61A90">
            <w:pPr>
              <w:suppressAutoHyphens w:val="0"/>
              <w:autoSpaceDE w:val="0"/>
              <w:autoSpaceDN w:val="0"/>
              <w:adjustRightInd w:val="0"/>
              <w:spacing w:before="40" w:line="240" w:lineRule="auto"/>
              <w:jc w:val="center"/>
              <w:rPr>
                <w:rFonts w:ascii="Times New Roman" w:hAnsi="Times New Roman"/>
                <w:szCs w:val="20"/>
              </w:rPr>
            </w:pPr>
            <w:r w:rsidRPr="00DD2A86">
              <w:rPr>
                <w:rFonts w:ascii="Times New Roman" w:hAnsi="Times New Roman"/>
                <w:szCs w:val="20"/>
              </w:rPr>
              <w:t>Erneuerung des Zulassungszeugnisses nach dem 31. Dezember 2018</w:t>
            </w:r>
          </w:p>
        </w:tc>
      </w:tr>
      <w:tr w:rsidR="004F7853" w:rsidRPr="00DD2A86" w:rsidTr="00D07A08">
        <w:trPr>
          <w:cantSplit/>
          <w:trHeight w:val="464"/>
        </w:trPr>
        <w:tc>
          <w:tcPr>
            <w:tcW w:w="1308"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uppressAutoHyphens w:val="0"/>
              <w:autoSpaceDE w:val="0"/>
              <w:autoSpaceDN w:val="0"/>
              <w:adjustRightInd w:val="0"/>
              <w:spacing w:before="40" w:line="240" w:lineRule="auto"/>
              <w:jc w:val="center"/>
              <w:rPr>
                <w:rFonts w:ascii="Times New Roman" w:hAnsi="Times New Roman"/>
                <w:szCs w:val="20"/>
              </w:rPr>
            </w:pPr>
            <w:r w:rsidRPr="00DD2A86">
              <w:rPr>
                <w:rFonts w:ascii="Times New Roman" w:hAnsi="Times New Roman"/>
                <w:szCs w:val="20"/>
              </w:rPr>
              <w:t>9.1.0.12.3</w:t>
            </w:r>
          </w:p>
        </w:tc>
        <w:tc>
          <w:tcPr>
            <w:tcW w:w="3654"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uppressAutoHyphens w:val="0"/>
              <w:autoSpaceDE w:val="0"/>
              <w:autoSpaceDN w:val="0"/>
              <w:adjustRightInd w:val="0"/>
              <w:spacing w:before="40" w:line="240" w:lineRule="auto"/>
              <w:rPr>
                <w:rFonts w:ascii="Times New Roman" w:hAnsi="Times New Roman"/>
                <w:szCs w:val="20"/>
              </w:rPr>
            </w:pPr>
            <w:r w:rsidRPr="00DD2A86">
              <w:rPr>
                <w:rFonts w:ascii="Times New Roman" w:hAnsi="Times New Roman"/>
                <w:szCs w:val="20"/>
              </w:rPr>
              <w:t xml:space="preserve">Lüftung Wohnungen, Steuerhaus </w:t>
            </w:r>
          </w:p>
        </w:tc>
        <w:tc>
          <w:tcPr>
            <w:tcW w:w="4394"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uppressAutoHyphens w:val="0"/>
              <w:autoSpaceDE w:val="0"/>
              <w:autoSpaceDN w:val="0"/>
              <w:adjustRightInd w:val="0"/>
              <w:spacing w:before="40" w:line="240" w:lineRule="auto"/>
              <w:jc w:val="center"/>
              <w:rPr>
                <w:rFonts w:ascii="Times New Roman" w:hAnsi="Times New Roman"/>
                <w:szCs w:val="20"/>
              </w:rPr>
            </w:pPr>
            <w:r w:rsidRPr="00DD2A86">
              <w:rPr>
                <w:rFonts w:ascii="Times New Roman" w:hAnsi="Times New Roman"/>
                <w:szCs w:val="20"/>
              </w:rPr>
              <w:t>N.E.U. ab 1. Januar 2019</w:t>
            </w:r>
          </w:p>
          <w:p w:rsidR="004F7853" w:rsidRPr="00DD2A86" w:rsidRDefault="004F7853" w:rsidP="00B61A90">
            <w:pPr>
              <w:suppressAutoHyphens w:val="0"/>
              <w:autoSpaceDE w:val="0"/>
              <w:autoSpaceDN w:val="0"/>
              <w:adjustRightInd w:val="0"/>
              <w:spacing w:before="40" w:line="240" w:lineRule="auto"/>
              <w:jc w:val="center"/>
              <w:rPr>
                <w:rFonts w:ascii="Times New Roman" w:hAnsi="Times New Roman"/>
                <w:szCs w:val="20"/>
              </w:rPr>
            </w:pPr>
            <w:r w:rsidRPr="00DD2A86">
              <w:rPr>
                <w:rFonts w:ascii="Times New Roman" w:hAnsi="Times New Roman"/>
                <w:szCs w:val="20"/>
              </w:rPr>
              <w:t>Erneuerung des Zulassungszeugnisses nach dem 31. Dezember 2034</w:t>
            </w:r>
          </w:p>
        </w:tc>
      </w:tr>
      <w:tr w:rsidR="004F7853" w:rsidRPr="00DD2A86" w:rsidTr="00D07A08">
        <w:trPr>
          <w:cantSplit/>
          <w:trHeight w:val="464"/>
        </w:trPr>
        <w:tc>
          <w:tcPr>
            <w:tcW w:w="1308"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uppressAutoHyphens w:val="0"/>
              <w:autoSpaceDE w:val="0"/>
              <w:autoSpaceDN w:val="0"/>
              <w:adjustRightInd w:val="0"/>
              <w:spacing w:before="40" w:line="240" w:lineRule="auto"/>
              <w:jc w:val="center"/>
              <w:rPr>
                <w:rFonts w:ascii="Times New Roman" w:hAnsi="Times New Roman"/>
                <w:szCs w:val="20"/>
              </w:rPr>
            </w:pPr>
            <w:r w:rsidRPr="00DD2A86">
              <w:rPr>
                <w:rFonts w:ascii="Times New Roman" w:hAnsi="Times New Roman"/>
                <w:szCs w:val="20"/>
              </w:rPr>
              <w:t>9.1.0.12.3</w:t>
            </w:r>
          </w:p>
        </w:tc>
        <w:tc>
          <w:tcPr>
            <w:tcW w:w="3654"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B1FE7">
            <w:pPr>
              <w:suppressAutoHyphens w:val="0"/>
              <w:autoSpaceDE w:val="0"/>
              <w:autoSpaceDN w:val="0"/>
              <w:adjustRightInd w:val="0"/>
              <w:spacing w:before="40" w:after="120" w:line="240" w:lineRule="auto"/>
              <w:ind w:left="34" w:right="34"/>
              <w:rPr>
                <w:rFonts w:ascii="Times New Roman" w:hAnsi="Times New Roman"/>
                <w:szCs w:val="20"/>
              </w:rPr>
            </w:pPr>
            <w:r w:rsidRPr="00DD2A86">
              <w:rPr>
                <w:rFonts w:ascii="Times New Roman" w:hAnsi="Times New Roman"/>
                <w:szCs w:val="20"/>
              </w:rPr>
              <w:t>Ausstattung Wohnung, Steuerhaus, Betriebsräume</w:t>
            </w:r>
            <w:r w:rsidR="00BB1FE7" w:rsidRPr="00DD2A86">
              <w:rPr>
                <w:rFonts w:ascii="Times New Roman" w:hAnsi="Times New Roman"/>
                <w:szCs w:val="20"/>
              </w:rPr>
              <w:t>,</w:t>
            </w:r>
            <w:r w:rsidRPr="00DD2A86">
              <w:rPr>
                <w:rFonts w:ascii="Times New Roman" w:hAnsi="Times New Roman"/>
                <w:szCs w:val="20"/>
              </w:rPr>
              <w:t xml:space="preserve"> wenn höhere Oberflächentemperaturen als unter 9.1.0.51 angegeben auftreten können oder elektrische Anlagen und Geräte betrieben werden, die nicht die Anforderungen in 9.1.0.52.1 erfüllen </w:t>
            </w:r>
          </w:p>
        </w:tc>
        <w:tc>
          <w:tcPr>
            <w:tcW w:w="4394"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uppressAutoHyphens w:val="0"/>
              <w:autoSpaceDE w:val="0"/>
              <w:autoSpaceDN w:val="0"/>
              <w:adjustRightInd w:val="0"/>
              <w:spacing w:before="40" w:line="240" w:lineRule="auto"/>
              <w:jc w:val="center"/>
              <w:rPr>
                <w:rFonts w:ascii="Times New Roman" w:hAnsi="Times New Roman"/>
                <w:szCs w:val="20"/>
              </w:rPr>
            </w:pPr>
            <w:r w:rsidRPr="00DD2A86">
              <w:rPr>
                <w:rFonts w:ascii="Times New Roman" w:hAnsi="Times New Roman"/>
                <w:szCs w:val="20"/>
              </w:rPr>
              <w:t>N.E.U. ab 1. Januar 2019</w:t>
            </w:r>
          </w:p>
          <w:p w:rsidR="004F7853" w:rsidRPr="00DD2A86" w:rsidRDefault="004F7853" w:rsidP="00B61A90">
            <w:pPr>
              <w:suppressAutoHyphens w:val="0"/>
              <w:autoSpaceDE w:val="0"/>
              <w:autoSpaceDN w:val="0"/>
              <w:adjustRightInd w:val="0"/>
              <w:spacing w:before="40" w:line="240" w:lineRule="auto"/>
              <w:jc w:val="center"/>
              <w:rPr>
                <w:rFonts w:ascii="Times New Roman" w:hAnsi="Times New Roman"/>
                <w:szCs w:val="20"/>
              </w:rPr>
            </w:pPr>
            <w:r w:rsidRPr="00DD2A86">
              <w:rPr>
                <w:rFonts w:ascii="Times New Roman" w:hAnsi="Times New Roman"/>
                <w:szCs w:val="20"/>
              </w:rPr>
              <w:t>Erneuerung des Zulassungszeugnisses nach dem 31. Dezember 2034</w:t>
            </w:r>
          </w:p>
        </w:tc>
      </w:tr>
      <w:tr w:rsidR="004F7853" w:rsidRPr="00DD2A86" w:rsidTr="00D07A08">
        <w:trPr>
          <w:cantSplit/>
          <w:trHeight w:val="464"/>
        </w:trPr>
        <w:tc>
          <w:tcPr>
            <w:tcW w:w="1308"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9.1.0.12.4</w:t>
            </w:r>
          </w:p>
        </w:tc>
        <w:tc>
          <w:tcPr>
            <w:tcW w:w="3654"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szCs w:val="20"/>
              </w:rPr>
              <w:t>Lüftungsöffnungen</w:t>
            </w:r>
          </w:p>
        </w:tc>
        <w:tc>
          <w:tcPr>
            <w:tcW w:w="4394"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N.E.U. ab 1. Januar 2019</w:t>
            </w:r>
          </w:p>
          <w:p w:rsidR="004F7853" w:rsidRPr="00DD2A86" w:rsidRDefault="004F7853"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Erneuerung des Zulassungszeugnisses nach dem 31. Dezember 2034</w:t>
            </w:r>
          </w:p>
        </w:tc>
      </w:tr>
      <w:tr w:rsidR="004F7853" w:rsidRPr="00DD2A86" w:rsidTr="00D07A08">
        <w:trPr>
          <w:cantSplit/>
          <w:trHeight w:val="464"/>
        </w:trPr>
        <w:tc>
          <w:tcPr>
            <w:tcW w:w="1308"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9.1.0.12.5</w:t>
            </w:r>
          </w:p>
        </w:tc>
        <w:tc>
          <w:tcPr>
            <w:tcW w:w="3654"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szCs w:val="20"/>
              </w:rPr>
              <w:t>Ventilatoren im geschützten Bereich und Laderaumventilatoren, die im Luftstrom angeordnet sind:</w:t>
            </w:r>
          </w:p>
          <w:p w:rsidR="004F7853" w:rsidRPr="00DD2A86" w:rsidRDefault="004F7853" w:rsidP="00B61A90">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szCs w:val="20"/>
              </w:rPr>
              <w:t>Temperaturklasse, Explosionsgruppe</w:t>
            </w:r>
          </w:p>
        </w:tc>
        <w:tc>
          <w:tcPr>
            <w:tcW w:w="4394"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N.E.U. ab 1. Januar 2019</w:t>
            </w:r>
          </w:p>
          <w:p w:rsidR="004F7853" w:rsidRPr="00DD2A86" w:rsidRDefault="004F7853"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Erneuerung des Zulassungszeugnisses nach dem 31. Dezember 2034</w:t>
            </w:r>
          </w:p>
        </w:tc>
      </w:tr>
      <w:tr w:rsidR="004F7853" w:rsidRPr="00DD2A86" w:rsidTr="00D07A08">
        <w:trPr>
          <w:cantSplit/>
          <w:trHeight w:val="464"/>
        </w:trPr>
        <w:tc>
          <w:tcPr>
            <w:tcW w:w="1308"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9.1.0.51</w:t>
            </w:r>
          </w:p>
        </w:tc>
        <w:tc>
          <w:tcPr>
            <w:tcW w:w="3654"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szCs w:val="20"/>
              </w:rPr>
              <w:t>Oberflächentemperaturen einschließlich der äußeren Teile von Motoren sowie deren Luft- und Abgasschächten</w:t>
            </w:r>
          </w:p>
        </w:tc>
        <w:tc>
          <w:tcPr>
            <w:tcW w:w="4394"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N.E.U. ab 1. Januar 2019</w:t>
            </w:r>
          </w:p>
          <w:p w:rsidR="004F7853" w:rsidRPr="00DD2A86" w:rsidRDefault="004F7853"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Erneuerung des Zulassungszeugnisses nach dem 31. Dezember 2034</w:t>
            </w:r>
          </w:p>
        </w:tc>
      </w:tr>
      <w:tr w:rsidR="004F7853" w:rsidRPr="00DD2A86" w:rsidTr="00D07A08">
        <w:trPr>
          <w:cantSplit/>
          <w:trHeight w:val="464"/>
        </w:trPr>
        <w:tc>
          <w:tcPr>
            <w:tcW w:w="1308"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uppressAutoHyphens w:val="0"/>
              <w:autoSpaceDE w:val="0"/>
              <w:autoSpaceDN w:val="0"/>
              <w:adjustRightInd w:val="0"/>
              <w:spacing w:line="240" w:lineRule="auto"/>
              <w:jc w:val="center"/>
              <w:rPr>
                <w:rFonts w:ascii="Times New Roman" w:hAnsi="Times New Roman"/>
                <w:bCs/>
                <w:szCs w:val="20"/>
                <w:lang w:eastAsia="de-DE"/>
              </w:rPr>
            </w:pPr>
            <w:r w:rsidRPr="00DD2A86">
              <w:rPr>
                <w:rFonts w:ascii="Times New Roman" w:hAnsi="Times New Roman"/>
                <w:bCs/>
                <w:szCs w:val="20"/>
                <w:lang w:eastAsia="de-DE"/>
              </w:rPr>
              <w:t>9.1.0.52.1</w:t>
            </w:r>
          </w:p>
        </w:tc>
        <w:tc>
          <w:tcPr>
            <w:tcW w:w="3654"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B1FE7">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szCs w:val="20"/>
              </w:rPr>
              <w:t>Elektrische Einrichtungen, die während eines Aufenthalts in einer oder unmittelbar angrenzend an eine landseitig ausgewiesene Zone betrieben werden.</w:t>
            </w:r>
          </w:p>
        </w:tc>
        <w:tc>
          <w:tcPr>
            <w:tcW w:w="4394"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keepNext/>
              <w:keepLines/>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N.E.U ab dem 1. Januar 2019</w:t>
            </w:r>
          </w:p>
          <w:p w:rsidR="004F7853" w:rsidRPr="00DD2A86" w:rsidRDefault="004F7853"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Erneuerung des Zulassungszeugnisses nach dem 31. Dezember 2034</w:t>
            </w:r>
          </w:p>
        </w:tc>
      </w:tr>
      <w:tr w:rsidR="004F7853" w:rsidRPr="00103305" w:rsidTr="00D07A08">
        <w:trPr>
          <w:cantSplit/>
          <w:trHeight w:val="464"/>
        </w:trPr>
        <w:tc>
          <w:tcPr>
            <w:tcW w:w="1308"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9.1.0.52.1</w:t>
            </w:r>
          </w:p>
        </w:tc>
        <w:tc>
          <w:tcPr>
            <w:tcW w:w="3654"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szCs w:val="20"/>
              </w:rPr>
              <w:t>Elektrische Anlagen, Geräte und Installationsmaterial außerhalb des geschützten Bereichs</w:t>
            </w:r>
          </w:p>
        </w:tc>
        <w:tc>
          <w:tcPr>
            <w:tcW w:w="4394"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N.E.U. ab 1. Januar 2019</w:t>
            </w:r>
          </w:p>
          <w:p w:rsidR="004F7853" w:rsidRPr="00DD2A86" w:rsidRDefault="004F7853"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Erneuerung des Zulassungszeugnisses nach dem 31. Dezember 2034</w:t>
            </w:r>
          </w:p>
          <w:p w:rsidR="00E459EF" w:rsidRPr="00DD2A86" w:rsidRDefault="00E459EF" w:rsidP="00B61A90">
            <w:pPr>
              <w:suppressAutoHyphens w:val="0"/>
              <w:autoSpaceDE w:val="0"/>
              <w:autoSpaceDN w:val="0"/>
              <w:adjustRightInd w:val="0"/>
              <w:spacing w:line="240" w:lineRule="auto"/>
              <w:jc w:val="center"/>
              <w:rPr>
                <w:rFonts w:ascii="Times New Roman" w:hAnsi="Times New Roman"/>
                <w:szCs w:val="20"/>
              </w:rPr>
            </w:pPr>
          </w:p>
          <w:p w:rsidR="004F7853" w:rsidRPr="00DD2A86" w:rsidRDefault="004F7853" w:rsidP="00B61A90">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szCs w:val="20"/>
              </w:rPr>
              <w:t>An Bord von in Betrieb befindlichen Schiffen müssen bis dahin folgende Vorschriften eingehalten werden:</w:t>
            </w:r>
          </w:p>
          <w:p w:rsidR="004F7853" w:rsidRPr="00DD2A86" w:rsidRDefault="004F7853" w:rsidP="00B61A90">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szCs w:val="20"/>
              </w:rPr>
              <w:t>Elektrische Einrichtungen im geschützten Bereich müssen durch zentral angeordnete Schalter spannungslos gemacht werden können, es sei denn, sie entsprechen</w:t>
            </w:r>
          </w:p>
          <w:p w:rsidR="004F7853" w:rsidRPr="00DD2A86" w:rsidRDefault="004F7853" w:rsidP="00B61A90">
            <w:pPr>
              <w:suppressAutoHyphens w:val="0"/>
              <w:autoSpaceDE w:val="0"/>
              <w:autoSpaceDN w:val="0"/>
              <w:adjustRightInd w:val="0"/>
              <w:spacing w:line="240" w:lineRule="auto"/>
              <w:ind w:left="233" w:hanging="233"/>
              <w:rPr>
                <w:rFonts w:ascii="Times New Roman" w:hAnsi="Times New Roman"/>
                <w:szCs w:val="20"/>
              </w:rPr>
            </w:pPr>
            <w:r w:rsidRPr="00DD2A86">
              <w:rPr>
                <w:rFonts w:ascii="Times New Roman" w:hAnsi="Times New Roman"/>
                <w:szCs w:val="20"/>
              </w:rPr>
              <w:t>-</w:t>
            </w:r>
            <w:r w:rsidRPr="00DD2A86">
              <w:rPr>
                <w:rFonts w:ascii="Times New Roman" w:hAnsi="Times New Roman"/>
                <w:szCs w:val="20"/>
              </w:rPr>
              <w:tab/>
              <w:t xml:space="preserve">in den Laderäumen dem Typ </w:t>
            </w:r>
            <w:r w:rsidR="001D7815" w:rsidRPr="00DD2A86">
              <w:rPr>
                <w:rFonts w:ascii="Times New Roman" w:hAnsi="Times New Roman"/>
                <w:szCs w:val="20"/>
              </w:rPr>
              <w:t>„</w:t>
            </w:r>
            <w:r w:rsidRPr="00DD2A86">
              <w:rPr>
                <w:rFonts w:ascii="Times New Roman" w:hAnsi="Times New Roman"/>
                <w:szCs w:val="20"/>
              </w:rPr>
              <w:t>bescheinigte Sicherheit“ mindestens für die Temperaturklasse T4 und die Explosionsgruppe II B und</w:t>
            </w:r>
          </w:p>
          <w:p w:rsidR="004F7853" w:rsidRPr="00DD2A86" w:rsidRDefault="004F7853" w:rsidP="00B61A90">
            <w:pPr>
              <w:suppressAutoHyphens w:val="0"/>
              <w:autoSpaceDE w:val="0"/>
              <w:autoSpaceDN w:val="0"/>
              <w:adjustRightInd w:val="0"/>
              <w:spacing w:line="240" w:lineRule="auto"/>
              <w:ind w:left="233" w:hanging="233"/>
              <w:rPr>
                <w:rFonts w:ascii="Times New Roman" w:hAnsi="Times New Roman"/>
                <w:szCs w:val="20"/>
              </w:rPr>
            </w:pPr>
            <w:r w:rsidRPr="00DD2A86">
              <w:rPr>
                <w:rFonts w:ascii="Times New Roman" w:hAnsi="Times New Roman"/>
                <w:szCs w:val="20"/>
              </w:rPr>
              <w:t>-</w:t>
            </w:r>
            <w:r w:rsidRPr="00DD2A86">
              <w:rPr>
                <w:rFonts w:ascii="Times New Roman" w:hAnsi="Times New Roman"/>
                <w:szCs w:val="20"/>
              </w:rPr>
              <w:tab/>
              <w:t xml:space="preserve">im geschützten Bereich an Deck dem Typ </w:t>
            </w:r>
            <w:r w:rsidR="001D7815" w:rsidRPr="00DD2A86">
              <w:rPr>
                <w:rFonts w:ascii="Times New Roman" w:hAnsi="Times New Roman"/>
                <w:szCs w:val="20"/>
              </w:rPr>
              <w:t>„</w:t>
            </w:r>
            <w:r w:rsidRPr="00DD2A86">
              <w:rPr>
                <w:rFonts w:ascii="Times New Roman" w:hAnsi="Times New Roman"/>
                <w:szCs w:val="20"/>
              </w:rPr>
              <w:t>begrenzte Explosionsgefahr“.</w:t>
            </w:r>
          </w:p>
          <w:p w:rsidR="004F7853" w:rsidRPr="00DD2A86" w:rsidRDefault="004F7853" w:rsidP="00B61A90">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szCs w:val="20"/>
              </w:rPr>
              <w:t>Die entsprechenden Stromkreise müssen mit Kontrolllampen versehen sein, die anzeigen, ob der Stromkreis unter Spannung steht oder nicht.</w:t>
            </w:r>
          </w:p>
          <w:p w:rsidR="004F7853" w:rsidRPr="00DD2A86" w:rsidRDefault="004F7853" w:rsidP="00B61A90">
            <w:pPr>
              <w:widowControl w:val="0"/>
              <w:suppressAutoHyphens w:val="0"/>
              <w:overflowPunct w:val="0"/>
              <w:autoSpaceDE w:val="0"/>
              <w:autoSpaceDN w:val="0"/>
              <w:adjustRightInd w:val="0"/>
              <w:spacing w:before="60" w:after="60"/>
              <w:textAlignment w:val="baseline"/>
              <w:rPr>
                <w:rFonts w:ascii="Times New Roman" w:hAnsi="Times New Roman"/>
                <w:szCs w:val="20"/>
                <w:lang w:eastAsia="fr-FR"/>
              </w:rPr>
            </w:pPr>
            <w:r w:rsidRPr="00DD2A86">
              <w:rPr>
                <w:rFonts w:ascii="Times New Roman" w:hAnsi="Times New Roman"/>
                <w:szCs w:val="20"/>
                <w:lang w:eastAsia="fr-FR"/>
              </w:rPr>
              <w:t xml:space="preserve">Die Schalter müssen gegen unbeabsichtigtes Einschalten gesichert sein. Die in diesem Bereich verwendeten Steckdosen müssen so ausgeführt sein, dass das Herstellen und das </w:t>
            </w:r>
            <w:r w:rsidR="00961DA7" w:rsidRPr="00DD2A86">
              <w:rPr>
                <w:rFonts w:ascii="Times New Roman" w:hAnsi="Times New Roman"/>
                <w:szCs w:val="20"/>
                <w:lang w:eastAsia="fr-FR"/>
              </w:rPr>
              <w:t xml:space="preserve">Trennen </w:t>
            </w:r>
            <w:r w:rsidRPr="00DD2A86">
              <w:rPr>
                <w:rFonts w:ascii="Times New Roman" w:hAnsi="Times New Roman"/>
                <w:szCs w:val="20"/>
                <w:lang w:eastAsia="fr-FR"/>
              </w:rPr>
              <w:t xml:space="preserve">der Steckverbindung nur im spannungslosen Zustand möglich </w:t>
            </w:r>
            <w:r w:rsidR="00F465E9" w:rsidRPr="00DD2A86">
              <w:rPr>
                <w:rFonts w:ascii="Times New Roman" w:hAnsi="Times New Roman"/>
                <w:szCs w:val="20"/>
                <w:lang w:eastAsia="fr-FR"/>
              </w:rPr>
              <w:t>sind</w:t>
            </w:r>
            <w:r w:rsidRPr="00DD2A86">
              <w:rPr>
                <w:rFonts w:ascii="Times New Roman" w:hAnsi="Times New Roman"/>
                <w:szCs w:val="20"/>
                <w:lang w:eastAsia="fr-FR"/>
              </w:rPr>
              <w:t>. Tauchpumpen, welche in den Laderäumen eingebaut oder benutzt werden, müssen dem Typ „bescheinigte Sicherheit“ mindestens für Temperaturklasse T4 und Explosionsgruppe II B entsprechen.</w:t>
            </w:r>
          </w:p>
        </w:tc>
      </w:tr>
      <w:tr w:rsidR="004F7853" w:rsidRPr="00DD2A86" w:rsidTr="00D07A08">
        <w:trPr>
          <w:cantSplit/>
          <w:trHeight w:val="464"/>
        </w:trPr>
        <w:tc>
          <w:tcPr>
            <w:tcW w:w="1308"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9.1.0.52.2</w:t>
            </w:r>
          </w:p>
        </w:tc>
        <w:tc>
          <w:tcPr>
            <w:tcW w:w="3654"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szCs w:val="20"/>
              </w:rPr>
              <w:t>Rote Kennzeichnung Anlagen und Geräten</w:t>
            </w:r>
          </w:p>
        </w:tc>
        <w:tc>
          <w:tcPr>
            <w:tcW w:w="4394"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N.E.U. ab 1. Januar 2019</w:t>
            </w:r>
          </w:p>
          <w:p w:rsidR="004F7853" w:rsidRPr="00DD2A86" w:rsidRDefault="004F7853"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Erneuerung des Zulassungszeugnisses nach dem 31. Dezember 2034</w:t>
            </w:r>
          </w:p>
        </w:tc>
      </w:tr>
      <w:tr w:rsidR="004F7853" w:rsidRPr="00DD2A86" w:rsidTr="00D07A08">
        <w:trPr>
          <w:cantSplit/>
          <w:trHeight w:val="464"/>
        </w:trPr>
        <w:tc>
          <w:tcPr>
            <w:tcW w:w="1308"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9.1.0.52.5</w:t>
            </w:r>
          </w:p>
        </w:tc>
        <w:tc>
          <w:tcPr>
            <w:tcW w:w="3654"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szCs w:val="20"/>
              </w:rPr>
              <w:t>Ausfall der elektrischen Speisung von Sicherheits- und Kontrolleinrichtungen</w:t>
            </w:r>
          </w:p>
        </w:tc>
        <w:tc>
          <w:tcPr>
            <w:tcW w:w="4394"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N.E.U. ab 1. Januar 2019</w:t>
            </w:r>
          </w:p>
          <w:p w:rsidR="004F7853" w:rsidRPr="00DD2A86" w:rsidRDefault="004F7853"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Erneuerung des Zulassungszeugnisses nach dem 31. Dezember 2024</w:t>
            </w:r>
          </w:p>
        </w:tc>
      </w:tr>
      <w:tr w:rsidR="00D07A08" w:rsidRPr="00103305" w:rsidTr="00D07A08">
        <w:trPr>
          <w:trHeight w:val="464"/>
        </w:trPr>
        <w:tc>
          <w:tcPr>
            <w:tcW w:w="1308" w:type="dxa"/>
          </w:tcPr>
          <w:p w:rsidR="00D07A08" w:rsidRPr="00DD2A86" w:rsidRDefault="00D07A08" w:rsidP="00DF6A35">
            <w:pPr>
              <w:suppressAutoHyphens w:val="0"/>
              <w:autoSpaceDE w:val="0"/>
              <w:autoSpaceDN w:val="0"/>
              <w:adjustRightInd w:val="0"/>
              <w:spacing w:line="240" w:lineRule="auto"/>
              <w:jc w:val="center"/>
              <w:rPr>
                <w:rFonts w:ascii="Times New Roman" w:hAnsi="Times New Roman"/>
              </w:rPr>
            </w:pPr>
            <w:r w:rsidRPr="00DD2A86">
              <w:rPr>
                <w:rFonts w:ascii="Times New Roman" w:hAnsi="Times New Roman"/>
              </w:rPr>
              <w:t>9.1.0.53.5</w:t>
            </w:r>
          </w:p>
        </w:tc>
        <w:tc>
          <w:tcPr>
            <w:tcW w:w="3654" w:type="dxa"/>
          </w:tcPr>
          <w:p w:rsidR="00D07A08" w:rsidRPr="00DD2A86" w:rsidRDefault="00D07A08" w:rsidP="00DF6A35">
            <w:pPr>
              <w:suppressAutoHyphens w:val="0"/>
              <w:autoSpaceDE w:val="0"/>
              <w:autoSpaceDN w:val="0"/>
              <w:adjustRightInd w:val="0"/>
              <w:spacing w:line="240" w:lineRule="auto"/>
              <w:rPr>
                <w:rFonts w:ascii="Times New Roman" w:hAnsi="Times New Roman"/>
              </w:rPr>
            </w:pPr>
            <w:r w:rsidRPr="00DD2A86">
              <w:rPr>
                <w:rFonts w:ascii="Times New Roman" w:hAnsi="Times New Roman"/>
              </w:rPr>
              <w:t>Bewegliche elektrische Kabel (Schlauchleitungen des Typs H 07 RN-F)</w:t>
            </w:r>
          </w:p>
        </w:tc>
        <w:tc>
          <w:tcPr>
            <w:tcW w:w="4394" w:type="dxa"/>
          </w:tcPr>
          <w:p w:rsidR="00D07A08" w:rsidRPr="00DD2A86" w:rsidRDefault="00D07A08" w:rsidP="00DF6A35">
            <w:pPr>
              <w:widowControl w:val="0"/>
              <w:suppressAutoHyphens w:val="0"/>
              <w:overflowPunct w:val="0"/>
              <w:autoSpaceDE w:val="0"/>
              <w:autoSpaceDN w:val="0"/>
              <w:adjustRightInd w:val="0"/>
              <w:spacing w:line="240" w:lineRule="auto"/>
              <w:jc w:val="center"/>
              <w:textAlignment w:val="baseline"/>
              <w:rPr>
                <w:rFonts w:ascii="Times New Roman" w:hAnsi="Times New Roman"/>
                <w:lang w:eastAsia="fr-FR"/>
              </w:rPr>
            </w:pPr>
            <w:r w:rsidRPr="00DD2A86">
              <w:rPr>
                <w:rFonts w:ascii="Times New Roman" w:hAnsi="Times New Roman"/>
                <w:lang w:eastAsia="fr-FR"/>
              </w:rPr>
              <w:t>N.E.U. ab 1. Januar 2019</w:t>
            </w:r>
          </w:p>
          <w:p w:rsidR="00D07A08" w:rsidRPr="00DD2A86" w:rsidRDefault="00D07A08" w:rsidP="00DF6A35">
            <w:pPr>
              <w:widowControl w:val="0"/>
              <w:suppressAutoHyphens w:val="0"/>
              <w:overflowPunct w:val="0"/>
              <w:autoSpaceDE w:val="0"/>
              <w:autoSpaceDN w:val="0"/>
              <w:adjustRightInd w:val="0"/>
              <w:spacing w:line="240" w:lineRule="auto"/>
              <w:jc w:val="center"/>
              <w:textAlignment w:val="baseline"/>
              <w:rPr>
                <w:rFonts w:ascii="Times New Roman" w:hAnsi="Times New Roman"/>
                <w:lang w:eastAsia="fr-FR"/>
              </w:rPr>
            </w:pPr>
            <w:r w:rsidRPr="00DD2A86">
              <w:rPr>
                <w:rFonts w:ascii="Times New Roman" w:hAnsi="Times New Roman"/>
                <w:lang w:eastAsia="fr-FR"/>
              </w:rPr>
              <w:t>Erneuerung des Zulassungszeugnisses</w:t>
            </w:r>
          </w:p>
          <w:p w:rsidR="00D07A08" w:rsidRPr="00DD2A86" w:rsidRDefault="00D07A08" w:rsidP="00DF6A35">
            <w:pPr>
              <w:widowControl w:val="0"/>
              <w:suppressAutoHyphens w:val="0"/>
              <w:overflowPunct w:val="0"/>
              <w:autoSpaceDE w:val="0"/>
              <w:autoSpaceDN w:val="0"/>
              <w:adjustRightInd w:val="0"/>
              <w:spacing w:line="240" w:lineRule="auto"/>
              <w:jc w:val="center"/>
              <w:textAlignment w:val="baseline"/>
              <w:rPr>
                <w:rFonts w:ascii="Times New Roman" w:hAnsi="Times New Roman"/>
                <w:lang w:eastAsia="fr-FR"/>
              </w:rPr>
            </w:pPr>
            <w:r w:rsidRPr="00DD2A86">
              <w:rPr>
                <w:rFonts w:ascii="Times New Roman" w:hAnsi="Times New Roman"/>
                <w:lang w:eastAsia="fr-FR"/>
              </w:rPr>
              <w:t>nach dem 31. Dezember 2034</w:t>
            </w:r>
          </w:p>
          <w:p w:rsidR="00D07A08" w:rsidRPr="00DD2A86" w:rsidRDefault="00D07A08" w:rsidP="00DF6A35">
            <w:pPr>
              <w:widowControl w:val="0"/>
              <w:suppressAutoHyphens w:val="0"/>
              <w:overflowPunct w:val="0"/>
              <w:autoSpaceDE w:val="0"/>
              <w:autoSpaceDN w:val="0"/>
              <w:adjustRightInd w:val="0"/>
              <w:spacing w:line="240" w:lineRule="auto"/>
              <w:jc w:val="center"/>
              <w:textAlignment w:val="baseline"/>
              <w:rPr>
                <w:rFonts w:ascii="Times New Roman" w:hAnsi="Times New Roman"/>
                <w:lang w:eastAsia="fr-FR"/>
              </w:rPr>
            </w:pPr>
          </w:p>
          <w:p w:rsidR="00D07A08" w:rsidRPr="00DD2A86" w:rsidRDefault="00D07A08" w:rsidP="00DF6A35">
            <w:pPr>
              <w:widowControl w:val="0"/>
              <w:suppressAutoHyphens w:val="0"/>
              <w:overflowPunct w:val="0"/>
              <w:autoSpaceDE w:val="0"/>
              <w:autoSpaceDN w:val="0"/>
              <w:adjustRightInd w:val="0"/>
              <w:spacing w:line="240" w:lineRule="auto"/>
              <w:jc w:val="center"/>
              <w:textAlignment w:val="baseline"/>
              <w:rPr>
                <w:rFonts w:ascii="Times New Roman" w:hAnsi="Times New Roman"/>
                <w:lang w:eastAsia="fr-FR"/>
              </w:rPr>
            </w:pPr>
            <w:r w:rsidRPr="00DD2A86">
              <w:rPr>
                <w:rFonts w:ascii="Times New Roman" w:hAnsi="Times New Roman"/>
                <w:lang w:eastAsia="fr-FR"/>
              </w:rPr>
              <w:t>Bis dahin müssen an Bord von in Betrieb befindlichen Schiffen folgende Vorschriften eingehalten werden:</w:t>
            </w:r>
          </w:p>
          <w:p w:rsidR="00D07A08" w:rsidRPr="00DD2A86" w:rsidRDefault="00D07A08" w:rsidP="00DF6A35">
            <w:pPr>
              <w:widowControl w:val="0"/>
              <w:suppressAutoHyphens w:val="0"/>
              <w:overflowPunct w:val="0"/>
              <w:autoSpaceDE w:val="0"/>
              <w:autoSpaceDN w:val="0"/>
              <w:adjustRightInd w:val="0"/>
              <w:spacing w:line="240" w:lineRule="auto"/>
              <w:jc w:val="center"/>
              <w:textAlignment w:val="baseline"/>
              <w:rPr>
                <w:rFonts w:ascii="Times New Roman" w:hAnsi="Times New Roman"/>
                <w:lang w:eastAsia="fr-FR"/>
              </w:rPr>
            </w:pPr>
            <w:r w:rsidRPr="00DD2A86">
              <w:rPr>
                <w:rFonts w:ascii="Times New Roman" w:hAnsi="Times New Roman"/>
                <w:lang w:eastAsia="fr-FR"/>
              </w:rPr>
              <w:t>bewegliche elektrische Kabel (Schlauchleitungen des Typs H 07 RN-F) müssen bis dahin der Norm IEC 60245-4:1994 entsprechen</w:t>
            </w:r>
          </w:p>
        </w:tc>
      </w:tr>
      <w:tr w:rsidR="004F7853" w:rsidRPr="00DD2A86" w:rsidTr="00D07A08">
        <w:trPr>
          <w:cantSplit/>
          <w:trHeight w:val="464"/>
        </w:trPr>
        <w:tc>
          <w:tcPr>
            <w:tcW w:w="1308"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9.1.0.53.6</w:t>
            </w:r>
          </w:p>
        </w:tc>
        <w:tc>
          <w:tcPr>
            <w:tcW w:w="3654"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szCs w:val="20"/>
              </w:rPr>
              <w:t>Nicht-elektrische Anlagen und Geräte im geschützten Bereich</w:t>
            </w:r>
          </w:p>
        </w:tc>
        <w:tc>
          <w:tcPr>
            <w:tcW w:w="4394" w:type="dxa"/>
            <w:tcBorders>
              <w:top w:val="single" w:sz="4" w:space="0" w:color="auto"/>
              <w:left w:val="single" w:sz="4" w:space="0" w:color="auto"/>
              <w:bottom w:val="single" w:sz="4" w:space="0" w:color="auto"/>
              <w:right w:val="single" w:sz="4" w:space="0" w:color="auto"/>
            </w:tcBorders>
            <w:hideMark/>
          </w:tcPr>
          <w:p w:rsidR="004F7853" w:rsidRPr="00DD2A86" w:rsidRDefault="004F7853"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N.E.U. ab 1. Januar 2019</w:t>
            </w:r>
          </w:p>
          <w:p w:rsidR="004F7853" w:rsidRPr="00DD2A86" w:rsidRDefault="004F7853"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Erneuerung des Zulassungszeugnisses nach dem 31. Dezember 2034</w:t>
            </w:r>
          </w:p>
        </w:tc>
      </w:tr>
    </w:tbl>
    <w:p w:rsidR="00361186" w:rsidRPr="00DD2A86" w:rsidRDefault="006816E3" w:rsidP="00361186">
      <w:pPr>
        <w:suppressAutoHyphens w:val="0"/>
        <w:spacing w:line="240" w:lineRule="auto"/>
        <w:rPr>
          <w:lang w:val="de-DE"/>
        </w:rPr>
      </w:pPr>
      <w:r w:rsidRPr="00DD2A86">
        <w:rPr>
          <w:rFonts w:eastAsia="Calibri"/>
          <w:lang w:val="de-DE"/>
        </w:rPr>
        <w:t>“.</w:t>
      </w:r>
    </w:p>
    <w:p w:rsidR="002B5060" w:rsidRPr="00DD2A86" w:rsidRDefault="002B5060">
      <w:pPr>
        <w:suppressAutoHyphens w:val="0"/>
        <w:spacing w:line="240" w:lineRule="auto"/>
        <w:rPr>
          <w:lang w:val="de-DE"/>
        </w:rPr>
      </w:pPr>
      <w:r w:rsidRPr="00DD2A86">
        <w:rPr>
          <w:lang w:val="de-DE"/>
        </w:rPr>
        <w:br w:type="page"/>
      </w:r>
    </w:p>
    <w:p w:rsidR="00361186" w:rsidRPr="00DD2A86" w:rsidRDefault="00361186" w:rsidP="00361186">
      <w:pPr>
        <w:ind w:left="1134" w:right="1134"/>
        <w:jc w:val="both"/>
        <w:rPr>
          <w:lang w:val="de-DE"/>
        </w:rPr>
      </w:pPr>
      <w:r w:rsidRPr="00DD2A86">
        <w:rPr>
          <w:lang w:val="de-DE"/>
        </w:rPr>
        <w:t>1.6.7.2.2.2</w:t>
      </w:r>
      <w:r w:rsidRPr="00DD2A86">
        <w:rPr>
          <w:lang w:val="de-DE"/>
        </w:rPr>
        <w:tab/>
        <w:t>die nachstehenden Eintragungen erhalten folgenden Wortlaut:</w:t>
      </w:r>
    </w:p>
    <w:p w:rsidR="00361186" w:rsidRPr="00DD2A86" w:rsidRDefault="00361186" w:rsidP="00361186">
      <w:pPr>
        <w:tabs>
          <w:tab w:val="left" w:pos="3288"/>
        </w:tabs>
        <w:suppressAutoHyphens w:val="0"/>
        <w:spacing w:line="240" w:lineRule="auto"/>
        <w:rPr>
          <w:lang w:val="de-DE"/>
        </w:rPr>
      </w:pPr>
      <w:r w:rsidRPr="00DD2A86">
        <w:rPr>
          <w:lang w:val="de-DE"/>
        </w:rPr>
        <w:t>„</w:t>
      </w:r>
    </w:p>
    <w:tbl>
      <w:tblPr>
        <w:tblStyle w:val="Grilledutableau12"/>
        <w:tblW w:w="9356" w:type="dxa"/>
        <w:tblLayout w:type="fixed"/>
        <w:tblLook w:val="04A0" w:firstRow="1" w:lastRow="0" w:firstColumn="1" w:lastColumn="0" w:noHBand="0" w:noVBand="1"/>
      </w:tblPr>
      <w:tblGrid>
        <w:gridCol w:w="1276"/>
        <w:gridCol w:w="3686"/>
        <w:gridCol w:w="4394"/>
      </w:tblGrid>
      <w:tr w:rsidR="00361186" w:rsidRPr="00DD2A86" w:rsidTr="00361186">
        <w:trPr>
          <w:cantSplit/>
          <w:trHeight w:val="464"/>
          <w:tblHeader/>
        </w:trPr>
        <w:tc>
          <w:tcPr>
            <w:tcW w:w="1276" w:type="dxa"/>
          </w:tcPr>
          <w:p w:rsidR="00361186" w:rsidRPr="00DD2A86" w:rsidRDefault="00361186" w:rsidP="00361186">
            <w:pPr>
              <w:widowControl w:val="0"/>
              <w:suppressAutoHyphens w:val="0"/>
              <w:overflowPunct w:val="0"/>
              <w:autoSpaceDE w:val="0"/>
              <w:autoSpaceDN w:val="0"/>
              <w:adjustRightInd w:val="0"/>
              <w:spacing w:before="60" w:after="60"/>
              <w:textAlignment w:val="baseline"/>
              <w:rPr>
                <w:rFonts w:ascii="Times New Roman" w:hAnsi="Times New Roman"/>
                <w:b/>
                <w:szCs w:val="20"/>
              </w:rPr>
            </w:pPr>
            <w:r w:rsidRPr="00DD2A86">
              <w:rPr>
                <w:rFonts w:ascii="Times New Roman" w:hAnsi="Times New Roman"/>
                <w:b/>
                <w:szCs w:val="20"/>
              </w:rPr>
              <w:t>Absatz</w:t>
            </w:r>
          </w:p>
        </w:tc>
        <w:tc>
          <w:tcPr>
            <w:tcW w:w="3686" w:type="dxa"/>
            <w:vAlign w:val="center"/>
          </w:tcPr>
          <w:p w:rsidR="00361186" w:rsidRPr="00DD2A86" w:rsidRDefault="00361186" w:rsidP="00361186">
            <w:pPr>
              <w:suppressAutoHyphens w:val="0"/>
              <w:autoSpaceDE w:val="0"/>
              <w:autoSpaceDN w:val="0"/>
              <w:adjustRightInd w:val="0"/>
              <w:spacing w:line="240" w:lineRule="auto"/>
              <w:jc w:val="center"/>
              <w:rPr>
                <w:rFonts w:ascii="Times New Roman" w:hAnsi="Times New Roman"/>
                <w:b/>
                <w:szCs w:val="20"/>
              </w:rPr>
            </w:pPr>
            <w:r w:rsidRPr="00DD2A86">
              <w:rPr>
                <w:rFonts w:ascii="Times New Roman" w:hAnsi="Times New Roman"/>
                <w:b/>
                <w:szCs w:val="20"/>
              </w:rPr>
              <w:t>Inhalt</w:t>
            </w:r>
          </w:p>
        </w:tc>
        <w:tc>
          <w:tcPr>
            <w:tcW w:w="4394" w:type="dxa"/>
            <w:vAlign w:val="center"/>
          </w:tcPr>
          <w:p w:rsidR="00361186" w:rsidRPr="00DD2A86" w:rsidRDefault="00361186" w:rsidP="00361186">
            <w:pPr>
              <w:suppressAutoHyphens w:val="0"/>
              <w:autoSpaceDE w:val="0"/>
              <w:autoSpaceDN w:val="0"/>
              <w:adjustRightInd w:val="0"/>
              <w:spacing w:line="240" w:lineRule="auto"/>
              <w:jc w:val="center"/>
              <w:rPr>
                <w:rFonts w:ascii="Times New Roman" w:hAnsi="Times New Roman"/>
                <w:b/>
                <w:szCs w:val="20"/>
              </w:rPr>
            </w:pPr>
            <w:r w:rsidRPr="00DD2A86">
              <w:rPr>
                <w:rFonts w:ascii="Times New Roman" w:hAnsi="Times New Roman"/>
                <w:b/>
                <w:szCs w:val="20"/>
              </w:rPr>
              <w:t>Frist und Nebenbestimmungen</w:t>
            </w:r>
          </w:p>
        </w:tc>
      </w:tr>
      <w:tr w:rsidR="00361186" w:rsidRPr="00103305" w:rsidTr="00361186">
        <w:trPr>
          <w:cantSplit/>
          <w:trHeight w:val="464"/>
        </w:trPr>
        <w:tc>
          <w:tcPr>
            <w:tcW w:w="1276" w:type="dxa"/>
          </w:tcPr>
          <w:p w:rsidR="00361186" w:rsidRPr="00DD2A86" w:rsidRDefault="00361186" w:rsidP="00361186">
            <w:pPr>
              <w:widowControl w:val="0"/>
              <w:suppressAutoHyphens w:val="0"/>
              <w:overflowPunct w:val="0"/>
              <w:autoSpaceDE w:val="0"/>
              <w:autoSpaceDN w:val="0"/>
              <w:adjustRightInd w:val="0"/>
              <w:spacing w:before="60" w:after="60"/>
              <w:textAlignment w:val="baseline"/>
              <w:rPr>
                <w:rFonts w:ascii="Times New Roman" w:hAnsi="Times New Roman"/>
                <w:szCs w:val="20"/>
                <w:lang w:eastAsia="fr-FR"/>
              </w:rPr>
            </w:pPr>
            <w:r w:rsidRPr="00DD2A86">
              <w:rPr>
                <w:rFonts w:ascii="Times New Roman" w:hAnsi="Times New Roman"/>
                <w:szCs w:val="20"/>
                <w:lang w:eastAsia="fr-FR"/>
              </w:rPr>
              <w:t>1.2.1</w:t>
            </w:r>
          </w:p>
        </w:tc>
        <w:tc>
          <w:tcPr>
            <w:tcW w:w="3686" w:type="dxa"/>
          </w:tcPr>
          <w:p w:rsidR="00361186" w:rsidRPr="00DD2A86" w:rsidRDefault="00361186" w:rsidP="00361186">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r w:rsidRPr="00DD2A86">
              <w:rPr>
                <w:rFonts w:ascii="Times New Roman" w:hAnsi="Times New Roman"/>
                <w:szCs w:val="20"/>
                <w:lang w:eastAsia="fr-FR"/>
              </w:rPr>
              <w:t>Flammendurchschlagsicherung</w:t>
            </w:r>
          </w:p>
          <w:p w:rsidR="00361186" w:rsidRPr="00DD2A86" w:rsidRDefault="00361186" w:rsidP="00361186">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r w:rsidRPr="00DD2A86">
              <w:rPr>
                <w:rFonts w:ascii="Times New Roman" w:hAnsi="Times New Roman"/>
                <w:szCs w:val="20"/>
                <w:lang w:eastAsia="fr-FR"/>
              </w:rPr>
              <w:t>Prüfung nach der Norm ISO 16852:2016 bzw. EN ISO 16852:2016</w:t>
            </w:r>
          </w:p>
        </w:tc>
        <w:tc>
          <w:tcPr>
            <w:tcW w:w="4394" w:type="dxa"/>
          </w:tcPr>
          <w:p w:rsidR="00361186" w:rsidRPr="00DD2A86" w:rsidRDefault="00361186" w:rsidP="0036118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N.E.U. ab 1. Januar 2019</w:t>
            </w:r>
          </w:p>
          <w:p w:rsidR="00361186" w:rsidRPr="00DD2A86" w:rsidRDefault="00361186" w:rsidP="0036118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Erneuerung des Zulassungszeugnisses nach dem 31. Dezember 2034</w:t>
            </w:r>
          </w:p>
          <w:p w:rsidR="00361186" w:rsidRPr="00DD2A86" w:rsidRDefault="00361186" w:rsidP="00361186">
            <w:pPr>
              <w:suppressAutoHyphens w:val="0"/>
              <w:autoSpaceDE w:val="0"/>
              <w:autoSpaceDN w:val="0"/>
              <w:adjustRightInd w:val="0"/>
              <w:spacing w:line="240" w:lineRule="auto"/>
              <w:rPr>
                <w:rFonts w:ascii="Times New Roman" w:hAnsi="Times New Roman"/>
                <w:szCs w:val="20"/>
              </w:rPr>
            </w:pPr>
          </w:p>
          <w:p w:rsidR="00361186" w:rsidRPr="00DD2A86" w:rsidRDefault="00361186" w:rsidP="00361186">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szCs w:val="20"/>
              </w:rPr>
              <w:t>Bis dahin müssen an Bord von in Betrieb befindlichen Schiffen folgende Vorschriften eingehalten werden:</w:t>
            </w:r>
          </w:p>
          <w:p w:rsidR="00361186" w:rsidRPr="00DD2A86" w:rsidRDefault="00361186" w:rsidP="00361186">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szCs w:val="20"/>
              </w:rPr>
              <w:t xml:space="preserve">Die Flammendurchschlagsicherungen müssen: </w:t>
            </w:r>
          </w:p>
          <w:p w:rsidR="00361186" w:rsidRPr="00DD2A86" w:rsidRDefault="00361186" w:rsidP="00361186">
            <w:pPr>
              <w:pStyle w:val="ListParagraph"/>
              <w:numPr>
                <w:ilvl w:val="0"/>
                <w:numId w:val="34"/>
              </w:numPr>
              <w:suppressAutoHyphens w:val="0"/>
              <w:autoSpaceDE w:val="0"/>
              <w:autoSpaceDN w:val="0"/>
              <w:adjustRightInd w:val="0"/>
              <w:spacing w:line="240" w:lineRule="auto"/>
              <w:ind w:left="283" w:hanging="283"/>
              <w:rPr>
                <w:lang w:val="de-DE"/>
              </w:rPr>
            </w:pPr>
            <w:r w:rsidRPr="00DD2A86">
              <w:rPr>
                <w:rFonts w:ascii="Times New Roman" w:hAnsi="Times New Roman"/>
                <w:szCs w:val="20"/>
                <w:lang w:val="de-DE" w:eastAsia="en-US"/>
              </w:rPr>
              <w:t>nach der Norm ISO 16852:2010 bzw. EN ISO 16852:2010 geprüft sein, wenn sie ab dem 1.</w:t>
            </w:r>
            <w:r w:rsidR="00B307A1" w:rsidRPr="00DD2A86">
              <w:rPr>
                <w:rFonts w:ascii="Times New Roman" w:hAnsi="Times New Roman"/>
                <w:szCs w:val="20"/>
                <w:lang w:val="de-DE" w:eastAsia="en-US"/>
              </w:rPr>
              <w:t> </w:t>
            </w:r>
            <w:r w:rsidRPr="00DD2A86">
              <w:rPr>
                <w:rFonts w:ascii="Times New Roman" w:hAnsi="Times New Roman"/>
                <w:szCs w:val="20"/>
                <w:lang w:val="de-DE" w:eastAsia="en-US"/>
              </w:rPr>
              <w:t xml:space="preserve"> Januar 2015 ersetzt wurden oder die Schiffe ab dem 1. Januar 2015 neu gebaut oder umgebaut wurden. </w:t>
            </w:r>
          </w:p>
          <w:p w:rsidR="00361186" w:rsidRPr="00DD2A86" w:rsidRDefault="00361186" w:rsidP="00361186">
            <w:pPr>
              <w:pStyle w:val="ListParagraph"/>
              <w:numPr>
                <w:ilvl w:val="0"/>
                <w:numId w:val="34"/>
              </w:numPr>
              <w:suppressAutoHyphens w:val="0"/>
              <w:autoSpaceDE w:val="0"/>
              <w:autoSpaceDN w:val="0"/>
              <w:adjustRightInd w:val="0"/>
              <w:spacing w:line="240" w:lineRule="auto"/>
              <w:ind w:left="283" w:hanging="283"/>
              <w:rPr>
                <w:rFonts w:ascii="Times New Roman" w:hAnsi="Times New Roman"/>
                <w:szCs w:val="20"/>
                <w:lang w:val="de-DE" w:eastAsia="en-US"/>
              </w:rPr>
            </w:pPr>
            <w:r w:rsidRPr="00DD2A86">
              <w:rPr>
                <w:rFonts w:ascii="Times New Roman" w:hAnsi="Times New Roman"/>
                <w:szCs w:val="20"/>
                <w:lang w:val="de-DE" w:eastAsia="en-US"/>
              </w:rPr>
              <w:t xml:space="preserve">nach der Norm EN 12874:2001 geprüft sein, wenn sie ab dem 1. Januar 2001 ersetzt wurden oder die Schiffe ab dem 1. Januar 2001 neu gebaut oder umgebaut wurden. </w:t>
            </w:r>
          </w:p>
          <w:p w:rsidR="00361186" w:rsidRPr="00DD2A86" w:rsidRDefault="00361186" w:rsidP="00361186">
            <w:pPr>
              <w:pStyle w:val="ListParagraph"/>
              <w:numPr>
                <w:ilvl w:val="0"/>
                <w:numId w:val="34"/>
              </w:numPr>
              <w:suppressAutoHyphens w:val="0"/>
              <w:autoSpaceDE w:val="0"/>
              <w:autoSpaceDN w:val="0"/>
              <w:adjustRightInd w:val="0"/>
              <w:spacing w:line="240" w:lineRule="auto"/>
              <w:ind w:left="283" w:hanging="283"/>
              <w:rPr>
                <w:rFonts w:ascii="Times New Roman" w:hAnsi="Times New Roman"/>
                <w:szCs w:val="20"/>
                <w:lang w:val="de-DE" w:eastAsia="en-US"/>
              </w:rPr>
            </w:pPr>
            <w:r w:rsidRPr="00DD2A86">
              <w:rPr>
                <w:rFonts w:ascii="Times New Roman" w:hAnsi="Times New Roman"/>
                <w:szCs w:val="20"/>
                <w:lang w:val="de-DE" w:eastAsia="en-US"/>
              </w:rPr>
              <w:t>von einem von der zuständigen Behörde für den vorgesehenen Zweck zugelassenen Typ sein, wenn sie vor dem 1. Januar 2001 ersetzt wurden oder die Schiffe vor dem 1. Januar 2001 neu gebaut oder umgebaut wurden.</w:t>
            </w:r>
          </w:p>
          <w:p w:rsidR="00361186" w:rsidRPr="00DD2A86" w:rsidRDefault="00361186" w:rsidP="00361186">
            <w:pPr>
              <w:suppressAutoHyphens w:val="0"/>
              <w:autoSpaceDE w:val="0"/>
              <w:autoSpaceDN w:val="0"/>
              <w:adjustRightInd w:val="0"/>
              <w:spacing w:line="240" w:lineRule="auto"/>
              <w:rPr>
                <w:rFonts w:ascii="Times New Roman" w:hAnsi="Times New Roman"/>
                <w:szCs w:val="20"/>
              </w:rPr>
            </w:pPr>
          </w:p>
        </w:tc>
      </w:tr>
      <w:tr w:rsidR="00361186" w:rsidRPr="00103305" w:rsidTr="00361186">
        <w:trPr>
          <w:cantSplit/>
          <w:trHeight w:val="464"/>
        </w:trPr>
        <w:tc>
          <w:tcPr>
            <w:tcW w:w="1276" w:type="dxa"/>
          </w:tcPr>
          <w:p w:rsidR="00361186" w:rsidRPr="00DD2A86" w:rsidRDefault="00361186" w:rsidP="00361186">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szCs w:val="20"/>
              </w:rPr>
              <w:t>1.2.1</w:t>
            </w:r>
          </w:p>
        </w:tc>
        <w:tc>
          <w:tcPr>
            <w:tcW w:w="3686" w:type="dxa"/>
          </w:tcPr>
          <w:p w:rsidR="00361186" w:rsidRPr="00DD2A86" w:rsidRDefault="00361186" w:rsidP="00361186">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szCs w:val="20"/>
              </w:rPr>
              <w:t>Hochgeschwindigkeitsventil</w:t>
            </w:r>
          </w:p>
          <w:p w:rsidR="00361186" w:rsidRPr="00DD2A86" w:rsidRDefault="00361186" w:rsidP="00361186">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szCs w:val="20"/>
              </w:rPr>
              <w:t>Prüfung nach der Norm ISO 16852: 2016 bzw. EN ISO 16852: 2016 / Nachweis „entspricht anwendbaren Anforderungen“</w:t>
            </w:r>
          </w:p>
        </w:tc>
        <w:tc>
          <w:tcPr>
            <w:tcW w:w="4394" w:type="dxa"/>
          </w:tcPr>
          <w:p w:rsidR="00361186" w:rsidRPr="00DD2A86" w:rsidRDefault="00361186" w:rsidP="0036118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N.E.U. ab 1. Januar 2019</w:t>
            </w:r>
          </w:p>
          <w:p w:rsidR="00361186" w:rsidRPr="00DD2A86" w:rsidRDefault="00361186" w:rsidP="0036118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Erneuerung des Zulassungszeugnisses</w:t>
            </w:r>
          </w:p>
          <w:p w:rsidR="00361186" w:rsidRPr="00DD2A86" w:rsidRDefault="00361186" w:rsidP="0036118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nach dem 31. Dezember 2034</w:t>
            </w:r>
          </w:p>
          <w:p w:rsidR="00361186" w:rsidRPr="00DD2A86" w:rsidRDefault="00361186" w:rsidP="00361186">
            <w:pPr>
              <w:suppressAutoHyphens w:val="0"/>
              <w:autoSpaceDE w:val="0"/>
              <w:autoSpaceDN w:val="0"/>
              <w:adjustRightInd w:val="0"/>
              <w:spacing w:line="240" w:lineRule="auto"/>
              <w:rPr>
                <w:rFonts w:ascii="Times New Roman" w:hAnsi="Times New Roman"/>
                <w:szCs w:val="20"/>
              </w:rPr>
            </w:pPr>
          </w:p>
          <w:p w:rsidR="00361186" w:rsidRPr="00DD2A86" w:rsidRDefault="00361186" w:rsidP="00361186">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szCs w:val="20"/>
              </w:rPr>
              <w:t>Bis dahin müssen an Bord von in Betrieb befindlichen Schiffen folgende Vorschriften eingehalten werden:</w:t>
            </w:r>
          </w:p>
          <w:p w:rsidR="00361186" w:rsidRPr="00DD2A86" w:rsidRDefault="00361186" w:rsidP="00361186">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szCs w:val="20"/>
              </w:rPr>
              <w:t>Die Hochgeschwindigkeitsventile müssen:</w:t>
            </w:r>
          </w:p>
          <w:p w:rsidR="00361186" w:rsidRPr="00DD2A86" w:rsidRDefault="00361186" w:rsidP="00361186">
            <w:pPr>
              <w:pStyle w:val="ListParagraph"/>
              <w:numPr>
                <w:ilvl w:val="0"/>
                <w:numId w:val="34"/>
              </w:numPr>
              <w:suppressAutoHyphens w:val="0"/>
              <w:autoSpaceDE w:val="0"/>
              <w:autoSpaceDN w:val="0"/>
              <w:adjustRightInd w:val="0"/>
              <w:spacing w:line="240" w:lineRule="auto"/>
              <w:ind w:left="283" w:hanging="283"/>
              <w:rPr>
                <w:rFonts w:ascii="Times New Roman" w:hAnsi="Times New Roman"/>
                <w:szCs w:val="20"/>
                <w:lang w:val="de-DE" w:eastAsia="en-US"/>
              </w:rPr>
            </w:pPr>
            <w:r w:rsidRPr="00DD2A86">
              <w:rPr>
                <w:rFonts w:ascii="Times New Roman" w:hAnsi="Times New Roman"/>
                <w:szCs w:val="20"/>
                <w:lang w:val="de-DE" w:eastAsia="en-US"/>
              </w:rPr>
              <w:t>nach der Norm ISO 16852:2010 bzw. EN ISO 16852:2010, geprüft sein einschließlich des Nachweises des Herstellers nach Richtlinie 94/9/EG oder gleichwertig, wenn sie ab dem 1.</w:t>
            </w:r>
            <w:r w:rsidR="00B307A1" w:rsidRPr="00DD2A86">
              <w:rPr>
                <w:rFonts w:ascii="Times New Roman" w:hAnsi="Times New Roman"/>
                <w:szCs w:val="20"/>
                <w:lang w:val="de-DE" w:eastAsia="en-US"/>
              </w:rPr>
              <w:t> </w:t>
            </w:r>
            <w:r w:rsidRPr="00DD2A86">
              <w:rPr>
                <w:rFonts w:ascii="Times New Roman" w:hAnsi="Times New Roman"/>
                <w:szCs w:val="20"/>
                <w:lang w:val="de-DE" w:eastAsia="en-US"/>
              </w:rPr>
              <w:t>Januar 2015 ersetzt wurden oder die Schiffe ab dem 1. Januar 2015 neu gebaut oder umgebaut wurden.</w:t>
            </w:r>
          </w:p>
          <w:p w:rsidR="00361186" w:rsidRPr="00DD2A86" w:rsidRDefault="00361186" w:rsidP="00361186">
            <w:pPr>
              <w:pStyle w:val="ListParagraph"/>
              <w:numPr>
                <w:ilvl w:val="0"/>
                <w:numId w:val="34"/>
              </w:numPr>
              <w:suppressAutoHyphens w:val="0"/>
              <w:autoSpaceDE w:val="0"/>
              <w:autoSpaceDN w:val="0"/>
              <w:adjustRightInd w:val="0"/>
              <w:spacing w:line="240" w:lineRule="auto"/>
              <w:ind w:left="283" w:hanging="283"/>
              <w:rPr>
                <w:rFonts w:ascii="Times New Roman" w:hAnsi="Times New Roman"/>
                <w:szCs w:val="20"/>
                <w:lang w:val="de-DE" w:eastAsia="en-US"/>
              </w:rPr>
            </w:pPr>
            <w:r w:rsidRPr="00DD2A86">
              <w:rPr>
                <w:rFonts w:ascii="Times New Roman" w:hAnsi="Times New Roman"/>
                <w:szCs w:val="20"/>
                <w:lang w:val="de-DE" w:eastAsia="en-US"/>
              </w:rPr>
              <w:t>nach der Norm EN 12874:2001 geprüft sein einschließlich des Nachweises des Herstellers nach Richtlinie 94/9/EG oder gleichwertig, wenn sie ab dem 1. Januar 2001 ersetzt wurden oder die Schiffe ab dem 1. Januar 2001 neu gebaut oder umgebaut wurden.</w:t>
            </w:r>
          </w:p>
          <w:p w:rsidR="00361186" w:rsidRPr="00DD2A86" w:rsidRDefault="00361186" w:rsidP="00361186">
            <w:pPr>
              <w:pStyle w:val="ListParagraph"/>
              <w:numPr>
                <w:ilvl w:val="0"/>
                <w:numId w:val="34"/>
              </w:numPr>
              <w:suppressAutoHyphens w:val="0"/>
              <w:autoSpaceDE w:val="0"/>
              <w:autoSpaceDN w:val="0"/>
              <w:adjustRightInd w:val="0"/>
              <w:spacing w:after="120" w:line="240" w:lineRule="auto"/>
              <w:ind w:left="283" w:hanging="283"/>
              <w:rPr>
                <w:rFonts w:ascii="Times New Roman" w:hAnsi="Times New Roman"/>
                <w:szCs w:val="20"/>
                <w:lang w:val="de-DE"/>
              </w:rPr>
            </w:pPr>
            <w:r w:rsidRPr="00DD2A86">
              <w:rPr>
                <w:rFonts w:ascii="Times New Roman" w:hAnsi="Times New Roman"/>
                <w:szCs w:val="20"/>
                <w:lang w:val="de-DE" w:eastAsia="en-US"/>
              </w:rPr>
              <w:t>von einem von der zuständigen Behörde für den vorgesehenen Zweck zugelassenen Typ sein, wenn sie vor dem 1. Januar 2001 ersetzt wurden oder die Schiffe vor dem 1. Januar 2001 neu gebaut oder umgebaut wurden.</w:t>
            </w:r>
          </w:p>
        </w:tc>
      </w:tr>
      <w:tr w:rsidR="00361186" w:rsidRPr="00DD2A86" w:rsidTr="00361186">
        <w:trPr>
          <w:cantSplit/>
          <w:trHeight w:val="269"/>
        </w:trPr>
        <w:tc>
          <w:tcPr>
            <w:tcW w:w="1276" w:type="dxa"/>
          </w:tcPr>
          <w:p w:rsidR="00361186" w:rsidRPr="00DD2A86" w:rsidRDefault="00361186" w:rsidP="00361186">
            <w:pPr>
              <w:suppressAutoHyphens w:val="0"/>
              <w:spacing w:line="240" w:lineRule="auto"/>
              <w:jc w:val="center"/>
              <w:rPr>
                <w:rFonts w:ascii="Times New Roman" w:hAnsi="Times New Roman"/>
                <w:szCs w:val="20"/>
                <w:lang w:eastAsia="de-DE"/>
              </w:rPr>
            </w:pPr>
            <w:r w:rsidRPr="00DD2A86">
              <w:rPr>
                <w:rFonts w:ascii="Times New Roman" w:hAnsi="Times New Roman"/>
                <w:szCs w:val="20"/>
                <w:lang w:eastAsia="de-DE"/>
              </w:rPr>
              <w:t>7.2.2.19.3</w:t>
            </w:r>
          </w:p>
        </w:tc>
        <w:tc>
          <w:tcPr>
            <w:tcW w:w="3686" w:type="dxa"/>
          </w:tcPr>
          <w:p w:rsidR="00361186" w:rsidRPr="00DD2A86" w:rsidRDefault="00361186" w:rsidP="00361186">
            <w:pPr>
              <w:suppressAutoHyphens w:val="0"/>
              <w:spacing w:line="240" w:lineRule="auto"/>
              <w:rPr>
                <w:rFonts w:ascii="Times New Roman" w:hAnsi="Times New Roman"/>
                <w:szCs w:val="20"/>
              </w:rPr>
            </w:pPr>
            <w:r w:rsidRPr="00DD2A86">
              <w:rPr>
                <w:rFonts w:ascii="Times New Roman" w:hAnsi="Times New Roman"/>
                <w:szCs w:val="20"/>
              </w:rPr>
              <w:t>Schiffe die für die Fortbewegung verwendet werden</w:t>
            </w:r>
          </w:p>
          <w:p w:rsidR="00361186" w:rsidRPr="00DD2A86" w:rsidRDefault="00361186" w:rsidP="00361186">
            <w:pPr>
              <w:suppressAutoHyphens w:val="0"/>
              <w:spacing w:line="240" w:lineRule="auto"/>
              <w:rPr>
                <w:rFonts w:ascii="Times New Roman" w:hAnsi="Times New Roman"/>
                <w:szCs w:val="20"/>
              </w:rPr>
            </w:pPr>
            <w:r w:rsidRPr="00DD2A86">
              <w:rPr>
                <w:rFonts w:ascii="Times New Roman" w:hAnsi="Times New Roman"/>
                <w:szCs w:val="20"/>
              </w:rPr>
              <w:t>Anpassung an die neuen Vorschriften</w:t>
            </w:r>
          </w:p>
          <w:p w:rsidR="00361186" w:rsidRPr="00DD2A86" w:rsidRDefault="00361186" w:rsidP="00361186">
            <w:pPr>
              <w:suppressAutoHyphens w:val="0"/>
              <w:spacing w:line="240" w:lineRule="auto"/>
              <w:rPr>
                <w:rFonts w:ascii="Times New Roman" w:hAnsi="Times New Roman"/>
                <w:szCs w:val="20"/>
              </w:rPr>
            </w:pPr>
            <w:r w:rsidRPr="00DD2A86">
              <w:rPr>
                <w:rFonts w:ascii="Times New Roman" w:hAnsi="Times New Roman"/>
                <w:szCs w:val="20"/>
              </w:rPr>
              <w:t>Vorschriften in 9.3.3.12.4, 9.3.3.51 und 9.3.3.52.1 bis 9.3.3.52.8</w:t>
            </w:r>
          </w:p>
        </w:tc>
        <w:tc>
          <w:tcPr>
            <w:tcW w:w="4394" w:type="dxa"/>
          </w:tcPr>
          <w:p w:rsidR="00361186" w:rsidRPr="00DD2A86" w:rsidRDefault="00361186" w:rsidP="00361186">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N.E.U. ab 1. Januar 2019</w:t>
            </w:r>
          </w:p>
          <w:p w:rsidR="00361186" w:rsidRPr="00DD2A86" w:rsidRDefault="00361186" w:rsidP="00361186">
            <w:pPr>
              <w:suppressAutoHyphens w:val="0"/>
              <w:spacing w:line="240" w:lineRule="auto"/>
              <w:jc w:val="center"/>
              <w:rPr>
                <w:rFonts w:ascii="Times New Roman" w:hAnsi="Times New Roman"/>
                <w:szCs w:val="20"/>
              </w:rPr>
            </w:pPr>
            <w:r w:rsidRPr="00DD2A86">
              <w:rPr>
                <w:rFonts w:ascii="Times New Roman" w:hAnsi="Times New Roman"/>
                <w:szCs w:val="20"/>
              </w:rPr>
              <w:t>Erneuerung des Zulassungszeugnisses nach dem 31. Dezember 2034</w:t>
            </w:r>
          </w:p>
        </w:tc>
      </w:tr>
      <w:tr w:rsidR="00361186" w:rsidRPr="00DD2A86" w:rsidTr="00361186">
        <w:trPr>
          <w:cantSplit/>
          <w:trHeight w:val="464"/>
        </w:trPr>
        <w:tc>
          <w:tcPr>
            <w:tcW w:w="1276" w:type="dxa"/>
          </w:tcPr>
          <w:p w:rsidR="00361186" w:rsidRPr="00DD2A86" w:rsidRDefault="00361186" w:rsidP="0036118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9.3.1.10.2</w:t>
            </w:r>
          </w:p>
          <w:p w:rsidR="00361186" w:rsidRPr="00DD2A86" w:rsidRDefault="00361186" w:rsidP="0036118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9.3.2.10.2</w:t>
            </w:r>
          </w:p>
          <w:p w:rsidR="00361186" w:rsidRPr="00DD2A86" w:rsidRDefault="00361186" w:rsidP="0036118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9.3.3.10.2</w:t>
            </w:r>
          </w:p>
          <w:p w:rsidR="00361186" w:rsidRPr="00DD2A86" w:rsidRDefault="00361186" w:rsidP="00361186">
            <w:pPr>
              <w:suppressAutoHyphens w:val="0"/>
              <w:autoSpaceDE w:val="0"/>
              <w:autoSpaceDN w:val="0"/>
              <w:adjustRightInd w:val="0"/>
              <w:spacing w:line="240" w:lineRule="auto"/>
              <w:jc w:val="center"/>
              <w:rPr>
                <w:rFonts w:ascii="Times New Roman" w:hAnsi="Times New Roman"/>
                <w:i/>
                <w:sz w:val="18"/>
                <w:szCs w:val="18"/>
              </w:rPr>
            </w:pPr>
            <w:r w:rsidRPr="00DD2A86">
              <w:rPr>
                <w:rFonts w:ascii="Times New Roman" w:hAnsi="Times New Roman"/>
                <w:i/>
                <w:sz w:val="18"/>
                <w:szCs w:val="18"/>
              </w:rPr>
              <w:t>Wie folgt um-nummerieren:</w:t>
            </w:r>
          </w:p>
          <w:p w:rsidR="00361186" w:rsidRPr="00DD2A86" w:rsidRDefault="00361186" w:rsidP="00361186">
            <w:pPr>
              <w:suppressAutoHyphens w:val="0"/>
              <w:autoSpaceDE w:val="0"/>
              <w:autoSpaceDN w:val="0"/>
              <w:adjustRightInd w:val="0"/>
              <w:spacing w:line="240" w:lineRule="auto"/>
              <w:jc w:val="center"/>
              <w:rPr>
                <w:rFonts w:ascii="Times New Roman" w:hAnsi="Times New Roman"/>
                <w:b/>
                <w:i/>
                <w:szCs w:val="20"/>
              </w:rPr>
            </w:pPr>
            <w:r w:rsidRPr="00DD2A86">
              <w:rPr>
                <w:rFonts w:ascii="Times New Roman" w:hAnsi="Times New Roman"/>
                <w:b/>
                <w:i/>
                <w:szCs w:val="20"/>
              </w:rPr>
              <w:t>9.3.1.10.4</w:t>
            </w:r>
          </w:p>
          <w:p w:rsidR="00361186" w:rsidRPr="00DD2A86" w:rsidRDefault="00361186" w:rsidP="00361186">
            <w:pPr>
              <w:suppressAutoHyphens w:val="0"/>
              <w:autoSpaceDE w:val="0"/>
              <w:autoSpaceDN w:val="0"/>
              <w:adjustRightInd w:val="0"/>
              <w:spacing w:line="240" w:lineRule="auto"/>
              <w:jc w:val="center"/>
              <w:rPr>
                <w:rFonts w:ascii="Times New Roman" w:hAnsi="Times New Roman"/>
                <w:b/>
                <w:i/>
                <w:szCs w:val="20"/>
              </w:rPr>
            </w:pPr>
            <w:r w:rsidRPr="00DD2A86">
              <w:rPr>
                <w:rFonts w:ascii="Times New Roman" w:hAnsi="Times New Roman"/>
                <w:b/>
                <w:i/>
                <w:szCs w:val="20"/>
              </w:rPr>
              <w:t>9.3.2.10.4</w:t>
            </w:r>
          </w:p>
          <w:p w:rsidR="00361186" w:rsidRPr="00DD2A86" w:rsidRDefault="00361186" w:rsidP="00361186">
            <w:pPr>
              <w:suppressAutoHyphens w:val="0"/>
              <w:autoSpaceDE w:val="0"/>
              <w:autoSpaceDN w:val="0"/>
              <w:adjustRightInd w:val="0"/>
              <w:spacing w:line="240" w:lineRule="auto"/>
              <w:jc w:val="center"/>
              <w:rPr>
                <w:rFonts w:ascii="Times New Roman" w:hAnsi="Times New Roman"/>
                <w:i/>
                <w:szCs w:val="20"/>
              </w:rPr>
            </w:pPr>
            <w:r w:rsidRPr="00DD2A86">
              <w:rPr>
                <w:rFonts w:ascii="Times New Roman" w:hAnsi="Times New Roman"/>
                <w:b/>
                <w:i/>
                <w:szCs w:val="20"/>
              </w:rPr>
              <w:t>9.3.3.10.4</w:t>
            </w:r>
          </w:p>
        </w:tc>
        <w:tc>
          <w:tcPr>
            <w:tcW w:w="3686" w:type="dxa"/>
          </w:tcPr>
          <w:p w:rsidR="00361186" w:rsidRPr="00DD2A86" w:rsidRDefault="00361186" w:rsidP="00361186">
            <w:pPr>
              <w:suppressAutoHyphens w:val="0"/>
              <w:autoSpaceDE w:val="0"/>
              <w:autoSpaceDN w:val="0"/>
              <w:adjustRightInd w:val="0"/>
              <w:spacing w:line="240" w:lineRule="auto"/>
              <w:rPr>
                <w:rFonts w:ascii="Times New Roman" w:hAnsi="Times New Roman"/>
                <w:i/>
                <w:szCs w:val="20"/>
              </w:rPr>
            </w:pPr>
            <w:r w:rsidRPr="00DD2A86">
              <w:rPr>
                <w:rFonts w:ascii="Times New Roman" w:hAnsi="Times New Roman"/>
                <w:i/>
                <w:szCs w:val="20"/>
              </w:rPr>
              <w:t>Unverändert</w:t>
            </w:r>
          </w:p>
        </w:tc>
        <w:tc>
          <w:tcPr>
            <w:tcW w:w="4394" w:type="dxa"/>
          </w:tcPr>
          <w:p w:rsidR="00361186" w:rsidRPr="00DD2A86" w:rsidRDefault="00361186" w:rsidP="00361186">
            <w:pPr>
              <w:suppressAutoHyphens w:val="0"/>
              <w:autoSpaceDE w:val="0"/>
              <w:autoSpaceDN w:val="0"/>
              <w:adjustRightInd w:val="0"/>
              <w:spacing w:after="240" w:line="240" w:lineRule="auto"/>
              <w:rPr>
                <w:rFonts w:ascii="Times New Roman" w:hAnsi="Times New Roman"/>
                <w:i/>
                <w:szCs w:val="20"/>
              </w:rPr>
            </w:pPr>
            <w:r w:rsidRPr="00DD2A86">
              <w:rPr>
                <w:rFonts w:ascii="Times New Roman" w:hAnsi="Times New Roman"/>
                <w:i/>
                <w:szCs w:val="20"/>
              </w:rPr>
              <w:t>Unverändert</w:t>
            </w:r>
          </w:p>
        </w:tc>
      </w:tr>
      <w:tr w:rsidR="00AA4416" w:rsidRPr="00DD2A86" w:rsidTr="00AA4416">
        <w:trPr>
          <w:cantSplit/>
          <w:trHeight w:val="464"/>
        </w:trPr>
        <w:tc>
          <w:tcPr>
            <w:tcW w:w="1276" w:type="dxa"/>
          </w:tcPr>
          <w:p w:rsidR="00AA4416" w:rsidRPr="00DD2A86" w:rsidRDefault="00AA4416" w:rsidP="00AA4416">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9.3.1.10.3</w:t>
            </w:r>
          </w:p>
          <w:p w:rsidR="00AA4416" w:rsidRPr="00DD2A86" w:rsidRDefault="00AA4416" w:rsidP="00AA4416">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9.3.2.10.3</w:t>
            </w:r>
          </w:p>
          <w:p w:rsidR="00AA4416" w:rsidRPr="00DD2A86" w:rsidRDefault="00AA4416" w:rsidP="00AA4416">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9.3.3.10.3</w:t>
            </w:r>
          </w:p>
        </w:tc>
        <w:tc>
          <w:tcPr>
            <w:tcW w:w="3686" w:type="dxa"/>
          </w:tcPr>
          <w:p w:rsidR="00AA4416" w:rsidRPr="00DD2A86" w:rsidRDefault="00AA4416" w:rsidP="00AA4416">
            <w:pPr>
              <w:widowControl w:val="0"/>
              <w:tabs>
                <w:tab w:val="left" w:pos="708"/>
              </w:tabs>
              <w:suppressAutoHyphens w:val="0"/>
              <w:overflowPunct w:val="0"/>
              <w:autoSpaceDE w:val="0"/>
              <w:autoSpaceDN w:val="0"/>
              <w:adjustRightInd w:val="0"/>
              <w:spacing w:before="60" w:after="60" w:line="240" w:lineRule="exact"/>
              <w:textAlignment w:val="baseline"/>
              <w:rPr>
                <w:rFonts w:ascii="Times New Roman" w:hAnsi="Times New Roman"/>
                <w:szCs w:val="20"/>
                <w:lang w:eastAsia="fr-FR"/>
              </w:rPr>
            </w:pPr>
            <w:r w:rsidRPr="00DD2A86">
              <w:rPr>
                <w:rFonts w:ascii="Times New Roman" w:hAnsi="Times New Roman"/>
                <w:szCs w:val="20"/>
                <w:lang w:eastAsia="fr-FR"/>
              </w:rPr>
              <w:t>Schutzwand</w:t>
            </w:r>
          </w:p>
        </w:tc>
        <w:tc>
          <w:tcPr>
            <w:tcW w:w="4394" w:type="dxa"/>
          </w:tcPr>
          <w:p w:rsidR="00AA4416" w:rsidRPr="00DD2A86" w:rsidRDefault="00AA4416" w:rsidP="00AA4416">
            <w:pPr>
              <w:widowControl w:val="0"/>
              <w:suppressAutoHyphens w:val="0"/>
              <w:overflowPunct w:val="0"/>
              <w:autoSpaceDE w:val="0"/>
              <w:autoSpaceDN w:val="0"/>
              <w:adjustRightInd w:val="0"/>
              <w:spacing w:line="240" w:lineRule="auto"/>
              <w:ind w:left="34"/>
              <w:jc w:val="center"/>
              <w:textAlignment w:val="baseline"/>
              <w:rPr>
                <w:rFonts w:ascii="Times New Roman" w:hAnsi="Times New Roman"/>
                <w:szCs w:val="20"/>
                <w:lang w:eastAsia="fr-FR"/>
              </w:rPr>
            </w:pPr>
            <w:r w:rsidRPr="00DD2A86">
              <w:rPr>
                <w:rFonts w:ascii="Times New Roman" w:hAnsi="Times New Roman"/>
                <w:szCs w:val="20"/>
                <w:lang w:eastAsia="fr-FR"/>
              </w:rPr>
              <w:t>N.E.U. ab 1. Januar 2019</w:t>
            </w:r>
          </w:p>
          <w:p w:rsidR="00AA4416" w:rsidRPr="00DD2A86" w:rsidRDefault="00AA4416" w:rsidP="00AA4416">
            <w:pPr>
              <w:widowControl w:val="0"/>
              <w:suppressAutoHyphens w:val="0"/>
              <w:overflowPunct w:val="0"/>
              <w:autoSpaceDE w:val="0"/>
              <w:autoSpaceDN w:val="0"/>
              <w:adjustRightInd w:val="0"/>
              <w:spacing w:line="240" w:lineRule="auto"/>
              <w:ind w:left="34"/>
              <w:jc w:val="center"/>
              <w:textAlignment w:val="baseline"/>
              <w:rPr>
                <w:rFonts w:ascii="Times New Roman" w:hAnsi="Times New Roman"/>
                <w:szCs w:val="20"/>
                <w:lang w:eastAsia="fr-FR"/>
              </w:rPr>
            </w:pPr>
            <w:r w:rsidRPr="00DD2A86">
              <w:rPr>
                <w:rFonts w:ascii="Times New Roman" w:hAnsi="Times New Roman"/>
                <w:szCs w:val="20"/>
                <w:lang w:eastAsia="fr-FR"/>
              </w:rPr>
              <w:t>Erneuerung des Zulassungszeugnisses nach dem 31. Dezember 2024</w:t>
            </w:r>
          </w:p>
        </w:tc>
      </w:tr>
      <w:tr w:rsidR="00361186" w:rsidRPr="00103305" w:rsidTr="00361186">
        <w:trPr>
          <w:cantSplit/>
          <w:trHeight w:val="283"/>
        </w:trPr>
        <w:tc>
          <w:tcPr>
            <w:tcW w:w="1276" w:type="dxa"/>
          </w:tcPr>
          <w:p w:rsidR="00361186" w:rsidRPr="00DD2A86" w:rsidRDefault="00361186" w:rsidP="00361186">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9.3.1.12.6</w:t>
            </w:r>
          </w:p>
          <w:p w:rsidR="00361186" w:rsidRPr="00DD2A86" w:rsidRDefault="00361186" w:rsidP="00361186">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9.3.2.12.6</w:t>
            </w:r>
          </w:p>
          <w:p w:rsidR="00361186" w:rsidRPr="00DD2A86" w:rsidRDefault="00361186" w:rsidP="0036118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9.3.3.12.6</w:t>
            </w:r>
          </w:p>
        </w:tc>
        <w:tc>
          <w:tcPr>
            <w:tcW w:w="3686" w:type="dxa"/>
          </w:tcPr>
          <w:p w:rsidR="00361186" w:rsidRPr="00DD2A86" w:rsidRDefault="00361186" w:rsidP="00361186">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szCs w:val="20"/>
              </w:rPr>
              <w:t>Abstand der Lüftungsöffnungen von Wohnung und Betriebsräumen zum Bereich der Ladung</w:t>
            </w:r>
          </w:p>
        </w:tc>
        <w:tc>
          <w:tcPr>
            <w:tcW w:w="4394" w:type="dxa"/>
          </w:tcPr>
          <w:p w:rsidR="00361186" w:rsidRPr="00DD2A86" w:rsidRDefault="00361186" w:rsidP="00361186">
            <w:pPr>
              <w:widowControl w:val="0"/>
              <w:suppressAutoHyphens w:val="0"/>
              <w:overflowPunct w:val="0"/>
              <w:autoSpaceDE w:val="0"/>
              <w:autoSpaceDN w:val="0"/>
              <w:adjustRightInd w:val="0"/>
              <w:spacing w:line="240" w:lineRule="auto"/>
              <w:ind w:left="34"/>
              <w:jc w:val="center"/>
              <w:textAlignment w:val="baseline"/>
              <w:rPr>
                <w:rFonts w:ascii="Times New Roman" w:hAnsi="Times New Roman"/>
                <w:szCs w:val="20"/>
                <w:lang w:eastAsia="fr-FR"/>
              </w:rPr>
            </w:pPr>
            <w:r w:rsidRPr="00DD2A86">
              <w:rPr>
                <w:rFonts w:ascii="Times New Roman" w:hAnsi="Times New Roman"/>
                <w:szCs w:val="20"/>
                <w:lang w:eastAsia="fr-FR"/>
              </w:rPr>
              <w:t>N.E.U. ab 1. Januar 2003</w:t>
            </w:r>
          </w:p>
          <w:p w:rsidR="00361186" w:rsidRPr="00DD2A86" w:rsidRDefault="00361186" w:rsidP="00361186">
            <w:pPr>
              <w:widowControl w:val="0"/>
              <w:suppressAutoHyphens w:val="0"/>
              <w:overflowPunct w:val="0"/>
              <w:autoSpaceDE w:val="0"/>
              <w:autoSpaceDN w:val="0"/>
              <w:adjustRightInd w:val="0"/>
              <w:spacing w:line="240" w:lineRule="auto"/>
              <w:ind w:left="34"/>
              <w:jc w:val="center"/>
              <w:textAlignment w:val="baseline"/>
              <w:rPr>
                <w:rFonts w:ascii="Times New Roman" w:hAnsi="Times New Roman"/>
                <w:szCs w:val="20"/>
                <w:lang w:eastAsia="fr-FR"/>
              </w:rPr>
            </w:pPr>
            <w:r w:rsidRPr="00DD2A86">
              <w:rPr>
                <w:rFonts w:ascii="Times New Roman" w:hAnsi="Times New Roman"/>
                <w:szCs w:val="20"/>
                <w:lang w:eastAsia="fr-FR"/>
              </w:rPr>
              <w:t>Erneuerung des Zulassungszeugnisses nach dem</w:t>
            </w:r>
          </w:p>
          <w:p w:rsidR="00361186" w:rsidRPr="00DD2A86" w:rsidRDefault="00361186" w:rsidP="00361186">
            <w:pPr>
              <w:widowControl w:val="0"/>
              <w:suppressAutoHyphens w:val="0"/>
              <w:overflowPunct w:val="0"/>
              <w:autoSpaceDE w:val="0"/>
              <w:autoSpaceDN w:val="0"/>
              <w:adjustRightInd w:val="0"/>
              <w:spacing w:line="240" w:lineRule="auto"/>
              <w:ind w:left="34"/>
              <w:jc w:val="center"/>
              <w:textAlignment w:val="baseline"/>
              <w:rPr>
                <w:rFonts w:ascii="Times New Roman" w:hAnsi="Times New Roman"/>
                <w:szCs w:val="20"/>
                <w:lang w:eastAsia="fr-FR"/>
              </w:rPr>
            </w:pPr>
            <w:r w:rsidRPr="00DD2A86">
              <w:rPr>
                <w:rFonts w:ascii="Times New Roman" w:hAnsi="Times New Roman"/>
                <w:szCs w:val="20"/>
                <w:lang w:eastAsia="fr-FR"/>
              </w:rPr>
              <w:t>31. Dezember 2034</w:t>
            </w:r>
          </w:p>
        </w:tc>
      </w:tr>
      <w:tr w:rsidR="00361186" w:rsidRPr="00DD2A86" w:rsidTr="00361186">
        <w:trPr>
          <w:cantSplit/>
          <w:trHeight w:val="464"/>
        </w:trPr>
        <w:tc>
          <w:tcPr>
            <w:tcW w:w="1276" w:type="dxa"/>
          </w:tcPr>
          <w:p w:rsidR="00361186" w:rsidRPr="00DD2A86" w:rsidRDefault="00361186" w:rsidP="0036118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9.3.1.12.6</w:t>
            </w:r>
          </w:p>
          <w:p w:rsidR="00361186" w:rsidRPr="00DD2A86" w:rsidRDefault="00361186" w:rsidP="0036118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9.3.2.12.6</w:t>
            </w:r>
          </w:p>
          <w:p w:rsidR="00361186" w:rsidRPr="00DD2A86" w:rsidRDefault="00361186" w:rsidP="0036118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9.3.3.12.6</w:t>
            </w:r>
          </w:p>
        </w:tc>
        <w:tc>
          <w:tcPr>
            <w:tcW w:w="3686" w:type="dxa"/>
          </w:tcPr>
          <w:p w:rsidR="00361186" w:rsidRPr="00DD2A86" w:rsidRDefault="00361186" w:rsidP="00361186">
            <w:pPr>
              <w:widowControl w:val="0"/>
              <w:tabs>
                <w:tab w:val="left" w:pos="708"/>
              </w:tabs>
              <w:suppressAutoHyphens w:val="0"/>
              <w:overflowPunct w:val="0"/>
              <w:autoSpaceDE w:val="0"/>
              <w:autoSpaceDN w:val="0"/>
              <w:adjustRightInd w:val="0"/>
              <w:spacing w:before="60" w:after="60" w:line="240" w:lineRule="exact"/>
              <w:textAlignment w:val="baseline"/>
              <w:rPr>
                <w:rFonts w:ascii="Times New Roman" w:hAnsi="Times New Roman"/>
                <w:szCs w:val="20"/>
              </w:rPr>
            </w:pPr>
            <w:r w:rsidRPr="00DD2A86">
              <w:rPr>
                <w:rFonts w:ascii="Times New Roman" w:hAnsi="Times New Roman"/>
                <w:szCs w:val="20"/>
              </w:rPr>
              <w:t>Fest installierte Vorrichtungen nach 9.3.x.40.2.2c)</w:t>
            </w:r>
          </w:p>
        </w:tc>
        <w:tc>
          <w:tcPr>
            <w:tcW w:w="4394" w:type="dxa"/>
          </w:tcPr>
          <w:p w:rsidR="00361186" w:rsidRPr="00DD2A86" w:rsidRDefault="00361186" w:rsidP="0036118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N.E.U. ab 1. Januar 2003</w:t>
            </w:r>
          </w:p>
          <w:p w:rsidR="00361186" w:rsidRPr="00DD2A86" w:rsidRDefault="00361186" w:rsidP="0036118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Erneuerung des Zulassungszeugnisses</w:t>
            </w:r>
          </w:p>
          <w:p w:rsidR="00361186" w:rsidRPr="00DD2A86" w:rsidRDefault="00361186" w:rsidP="00361186">
            <w:pPr>
              <w:widowControl w:val="0"/>
              <w:suppressAutoHyphens w:val="0"/>
              <w:overflowPunct w:val="0"/>
              <w:autoSpaceDE w:val="0"/>
              <w:autoSpaceDN w:val="0"/>
              <w:adjustRightInd w:val="0"/>
              <w:spacing w:line="240" w:lineRule="auto"/>
              <w:ind w:left="34"/>
              <w:jc w:val="center"/>
              <w:textAlignment w:val="baseline"/>
              <w:rPr>
                <w:rFonts w:ascii="Times New Roman" w:hAnsi="Times New Roman"/>
                <w:szCs w:val="20"/>
                <w:lang w:eastAsia="fr-FR"/>
              </w:rPr>
            </w:pPr>
            <w:r w:rsidRPr="00DD2A86">
              <w:rPr>
                <w:rFonts w:ascii="Times New Roman" w:hAnsi="Times New Roman"/>
                <w:szCs w:val="20"/>
                <w:lang w:eastAsia="fr-FR"/>
              </w:rPr>
              <w:t>nach dem 31. Dezember 2018</w:t>
            </w:r>
          </w:p>
        </w:tc>
      </w:tr>
      <w:tr w:rsidR="00361186" w:rsidRPr="00DD2A86" w:rsidTr="00361186">
        <w:trPr>
          <w:cantSplit/>
          <w:trHeight w:val="464"/>
        </w:trPr>
        <w:tc>
          <w:tcPr>
            <w:tcW w:w="1276" w:type="dxa"/>
          </w:tcPr>
          <w:p w:rsidR="00361186" w:rsidRPr="00DD2A86" w:rsidRDefault="00361186" w:rsidP="0036118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9.3.3.12.7</w:t>
            </w:r>
          </w:p>
        </w:tc>
        <w:tc>
          <w:tcPr>
            <w:tcW w:w="3686" w:type="dxa"/>
          </w:tcPr>
          <w:p w:rsidR="00361186" w:rsidRPr="00DD2A86" w:rsidRDefault="00361186" w:rsidP="00361186">
            <w:pPr>
              <w:suppressAutoHyphens w:val="0"/>
              <w:autoSpaceDE w:val="0"/>
              <w:autoSpaceDN w:val="0"/>
              <w:adjustRightInd w:val="0"/>
              <w:spacing w:line="240" w:lineRule="auto"/>
              <w:rPr>
                <w:rFonts w:ascii="Times New Roman" w:hAnsi="Times New Roman"/>
                <w:i/>
                <w:szCs w:val="20"/>
              </w:rPr>
            </w:pPr>
            <w:r w:rsidRPr="00DD2A86">
              <w:rPr>
                <w:rFonts w:ascii="Times New Roman" w:hAnsi="Times New Roman"/>
                <w:i/>
                <w:szCs w:val="20"/>
              </w:rPr>
              <w:t>Streichen</w:t>
            </w:r>
          </w:p>
        </w:tc>
        <w:tc>
          <w:tcPr>
            <w:tcW w:w="4394" w:type="dxa"/>
          </w:tcPr>
          <w:p w:rsidR="00361186" w:rsidRPr="00DD2A86" w:rsidRDefault="00361186" w:rsidP="00361186">
            <w:pPr>
              <w:suppressAutoHyphens w:val="0"/>
              <w:autoSpaceDE w:val="0"/>
              <w:autoSpaceDN w:val="0"/>
              <w:adjustRightInd w:val="0"/>
              <w:spacing w:line="240" w:lineRule="auto"/>
              <w:rPr>
                <w:rFonts w:ascii="Times New Roman" w:hAnsi="Times New Roman"/>
                <w:strike/>
                <w:szCs w:val="20"/>
              </w:rPr>
            </w:pPr>
          </w:p>
        </w:tc>
      </w:tr>
      <w:tr w:rsidR="00361186" w:rsidRPr="00DD2A86" w:rsidTr="00361186">
        <w:trPr>
          <w:cantSplit/>
          <w:trHeight w:val="464"/>
        </w:trPr>
        <w:tc>
          <w:tcPr>
            <w:tcW w:w="1276" w:type="dxa"/>
          </w:tcPr>
          <w:p w:rsidR="00361186" w:rsidRPr="00DD2A86" w:rsidRDefault="00361186" w:rsidP="00361186">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9.3.1.22.3</w:t>
            </w:r>
          </w:p>
          <w:p w:rsidR="00361186" w:rsidRPr="00DD2A86" w:rsidRDefault="00361186" w:rsidP="00361186">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9.3.2.22.4 b) 9.3.3.22.4 b)</w:t>
            </w:r>
          </w:p>
          <w:p w:rsidR="00361186" w:rsidRPr="00DD2A86" w:rsidRDefault="00361186" w:rsidP="00361186">
            <w:pPr>
              <w:suppressAutoHyphens w:val="0"/>
              <w:autoSpaceDE w:val="0"/>
              <w:autoSpaceDN w:val="0"/>
              <w:adjustRightInd w:val="0"/>
              <w:spacing w:line="240" w:lineRule="auto"/>
              <w:jc w:val="center"/>
              <w:rPr>
                <w:rFonts w:ascii="Times New Roman" w:hAnsi="Times New Roman"/>
                <w:i/>
                <w:sz w:val="18"/>
                <w:szCs w:val="18"/>
              </w:rPr>
            </w:pPr>
            <w:r w:rsidRPr="00DD2A86">
              <w:rPr>
                <w:rFonts w:ascii="Times New Roman" w:hAnsi="Times New Roman"/>
                <w:i/>
                <w:sz w:val="18"/>
                <w:szCs w:val="18"/>
              </w:rPr>
              <w:t>Wie folgt um-nummerieren:</w:t>
            </w:r>
          </w:p>
          <w:p w:rsidR="00361186" w:rsidRPr="00DD2A86" w:rsidRDefault="00361186" w:rsidP="00361186">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b/>
                <w:i/>
                <w:szCs w:val="20"/>
                <w:lang w:eastAsia="fr-FR"/>
              </w:rPr>
            </w:pPr>
            <w:r w:rsidRPr="00DD2A86">
              <w:rPr>
                <w:rFonts w:ascii="Times New Roman" w:hAnsi="Times New Roman"/>
                <w:b/>
                <w:i/>
                <w:szCs w:val="20"/>
                <w:lang w:eastAsia="fr-FR"/>
              </w:rPr>
              <w:t>9.3.1.22.3</w:t>
            </w:r>
          </w:p>
          <w:p w:rsidR="00361186" w:rsidRPr="00DD2A86" w:rsidRDefault="00361186" w:rsidP="00361186">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b/>
                <w:i/>
                <w:szCs w:val="20"/>
                <w:lang w:eastAsia="fr-FR"/>
              </w:rPr>
            </w:pPr>
            <w:r w:rsidRPr="00DD2A86">
              <w:rPr>
                <w:rFonts w:ascii="Times New Roman" w:hAnsi="Times New Roman"/>
                <w:b/>
                <w:i/>
                <w:szCs w:val="20"/>
                <w:lang w:eastAsia="fr-FR"/>
              </w:rPr>
              <w:t>9.3.2.22.4 a)</w:t>
            </w:r>
          </w:p>
          <w:p w:rsidR="00361186" w:rsidRPr="00DD2A86" w:rsidRDefault="00361186" w:rsidP="00361186">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i/>
                <w:szCs w:val="20"/>
                <w:lang w:eastAsia="fr-FR"/>
              </w:rPr>
            </w:pPr>
            <w:r w:rsidRPr="00DD2A86">
              <w:rPr>
                <w:rFonts w:ascii="Times New Roman" w:hAnsi="Times New Roman"/>
                <w:b/>
                <w:i/>
                <w:szCs w:val="20"/>
                <w:lang w:eastAsia="fr-FR"/>
              </w:rPr>
              <w:t>9.3.3.22.4 a)</w:t>
            </w:r>
          </w:p>
        </w:tc>
        <w:tc>
          <w:tcPr>
            <w:tcW w:w="3686" w:type="dxa"/>
          </w:tcPr>
          <w:p w:rsidR="00361186" w:rsidRPr="00DD2A86" w:rsidRDefault="00361186" w:rsidP="00361186">
            <w:pPr>
              <w:suppressAutoHyphens w:val="0"/>
              <w:spacing w:line="240" w:lineRule="auto"/>
              <w:ind w:left="-1"/>
              <w:rPr>
                <w:rFonts w:ascii="Times New Roman" w:hAnsi="Times New Roman"/>
                <w:szCs w:val="20"/>
              </w:rPr>
            </w:pPr>
            <w:r w:rsidRPr="00DD2A86">
              <w:rPr>
                <w:rFonts w:ascii="Times New Roman" w:hAnsi="Times New Roman"/>
                <w:szCs w:val="20"/>
              </w:rPr>
              <w:t>Position der Austrittsöffnungen der Überdruck/Hochgeschwindigkeitsventile über Deck</w:t>
            </w:r>
          </w:p>
        </w:tc>
        <w:tc>
          <w:tcPr>
            <w:tcW w:w="4394" w:type="dxa"/>
          </w:tcPr>
          <w:p w:rsidR="00361186" w:rsidRPr="00DD2A86" w:rsidRDefault="00361186" w:rsidP="00361186">
            <w:pPr>
              <w:suppressAutoHyphens w:val="0"/>
              <w:spacing w:line="240" w:lineRule="auto"/>
              <w:jc w:val="center"/>
              <w:rPr>
                <w:rFonts w:ascii="Times New Roman" w:hAnsi="Times New Roman"/>
                <w:szCs w:val="20"/>
              </w:rPr>
            </w:pPr>
            <w:r w:rsidRPr="00DD2A86">
              <w:rPr>
                <w:rFonts w:ascii="Times New Roman" w:hAnsi="Times New Roman"/>
                <w:szCs w:val="20"/>
              </w:rPr>
              <w:t>N.E.U.</w:t>
            </w:r>
          </w:p>
          <w:p w:rsidR="00361186" w:rsidRPr="00DD2A86" w:rsidRDefault="00361186" w:rsidP="00361186">
            <w:pPr>
              <w:suppressAutoHyphens w:val="0"/>
              <w:spacing w:line="240" w:lineRule="auto"/>
              <w:jc w:val="center"/>
              <w:rPr>
                <w:rFonts w:ascii="Times New Roman" w:hAnsi="Times New Roman"/>
                <w:szCs w:val="20"/>
              </w:rPr>
            </w:pPr>
            <w:r w:rsidRPr="00DD2A86">
              <w:rPr>
                <w:rFonts w:ascii="Times New Roman" w:hAnsi="Times New Roman"/>
                <w:szCs w:val="20"/>
              </w:rPr>
              <w:t>Erneuerung des Zulassungszeugnisses nach dem 31. Dezember 2018</w:t>
            </w:r>
          </w:p>
          <w:p w:rsidR="00361186" w:rsidRPr="00DD2A86" w:rsidRDefault="00361186" w:rsidP="00361186">
            <w:pPr>
              <w:suppressAutoHyphens w:val="0"/>
              <w:spacing w:line="240" w:lineRule="auto"/>
              <w:jc w:val="center"/>
              <w:rPr>
                <w:rFonts w:ascii="Times New Roman" w:hAnsi="Times New Roman"/>
                <w:szCs w:val="20"/>
              </w:rPr>
            </w:pPr>
          </w:p>
          <w:p w:rsidR="00361186" w:rsidRPr="00DD2A86" w:rsidRDefault="00361186" w:rsidP="00361186">
            <w:pPr>
              <w:suppressAutoHyphens w:val="0"/>
              <w:spacing w:line="240" w:lineRule="auto"/>
              <w:rPr>
                <w:rFonts w:ascii="Times New Roman" w:hAnsi="Times New Roman"/>
                <w:i/>
                <w:szCs w:val="20"/>
              </w:rPr>
            </w:pPr>
            <w:r w:rsidRPr="00DD2A86">
              <w:rPr>
                <w:rFonts w:ascii="Times New Roman" w:hAnsi="Times New Roman"/>
                <w:i/>
                <w:szCs w:val="20"/>
              </w:rPr>
              <w:t>Unverändert</w:t>
            </w:r>
          </w:p>
        </w:tc>
      </w:tr>
      <w:tr w:rsidR="00AA4416" w:rsidRPr="00DD2A86" w:rsidTr="00AA4416">
        <w:trPr>
          <w:cantSplit/>
          <w:trHeight w:val="464"/>
        </w:trPr>
        <w:tc>
          <w:tcPr>
            <w:tcW w:w="1276" w:type="dxa"/>
          </w:tcPr>
          <w:p w:rsidR="00AA4416" w:rsidRPr="00DD2A86" w:rsidRDefault="00AA4416" w:rsidP="00AA4416">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9.3.2.22.4 b) 9.3.3.22.4 b)</w:t>
            </w:r>
          </w:p>
          <w:p w:rsidR="00AA4416" w:rsidRPr="00DD2A86" w:rsidRDefault="00AA4416" w:rsidP="00AA4416">
            <w:pPr>
              <w:suppressAutoHyphens w:val="0"/>
              <w:autoSpaceDE w:val="0"/>
              <w:autoSpaceDN w:val="0"/>
              <w:adjustRightInd w:val="0"/>
              <w:spacing w:line="240" w:lineRule="auto"/>
              <w:jc w:val="center"/>
              <w:rPr>
                <w:rFonts w:ascii="Times New Roman" w:hAnsi="Times New Roman"/>
                <w:i/>
                <w:sz w:val="18"/>
                <w:szCs w:val="18"/>
              </w:rPr>
            </w:pPr>
            <w:r w:rsidRPr="00DD2A86">
              <w:rPr>
                <w:rFonts w:ascii="Times New Roman" w:hAnsi="Times New Roman"/>
                <w:i/>
                <w:sz w:val="18"/>
                <w:szCs w:val="18"/>
              </w:rPr>
              <w:t>Wie folgt um-nummerieren:</w:t>
            </w:r>
          </w:p>
          <w:p w:rsidR="00AA4416" w:rsidRPr="00DD2A86" w:rsidRDefault="00AA4416" w:rsidP="00AA4416">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b/>
                <w:i/>
                <w:szCs w:val="20"/>
                <w:lang w:eastAsia="fr-FR"/>
              </w:rPr>
            </w:pPr>
            <w:r w:rsidRPr="00DD2A86">
              <w:rPr>
                <w:rFonts w:ascii="Times New Roman" w:hAnsi="Times New Roman"/>
                <w:b/>
                <w:i/>
                <w:szCs w:val="20"/>
                <w:lang w:eastAsia="fr-FR"/>
              </w:rPr>
              <w:t>9.3.2.22.4 a)</w:t>
            </w:r>
          </w:p>
          <w:p w:rsidR="00AA4416" w:rsidRPr="00DD2A86" w:rsidRDefault="00AA4416" w:rsidP="00AA4416">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b/>
                <w:i/>
                <w:szCs w:val="20"/>
                <w:lang w:eastAsia="fr-FR"/>
              </w:rPr>
              <w:t>9.3.3.22.4 e)</w:t>
            </w:r>
          </w:p>
        </w:tc>
        <w:tc>
          <w:tcPr>
            <w:tcW w:w="3686" w:type="dxa"/>
          </w:tcPr>
          <w:p w:rsidR="00AA4416" w:rsidRPr="00DD2A86" w:rsidRDefault="00AA4416" w:rsidP="00AA4416">
            <w:pPr>
              <w:suppressAutoHyphens w:val="0"/>
              <w:spacing w:line="240" w:lineRule="auto"/>
              <w:ind w:left="-1"/>
              <w:rPr>
                <w:rFonts w:ascii="Times New Roman" w:hAnsi="Times New Roman"/>
                <w:szCs w:val="20"/>
              </w:rPr>
            </w:pPr>
            <w:r w:rsidRPr="00DD2A86">
              <w:rPr>
                <w:rFonts w:ascii="Times New Roman" w:hAnsi="Times New Roman"/>
                <w:szCs w:val="20"/>
              </w:rPr>
              <w:t xml:space="preserve">Einstelldruck des Überdruck-/ Hochgeschwindigkeitsventils </w:t>
            </w:r>
          </w:p>
        </w:tc>
        <w:tc>
          <w:tcPr>
            <w:tcW w:w="4394" w:type="dxa"/>
          </w:tcPr>
          <w:p w:rsidR="00AA4416" w:rsidRPr="00DD2A86" w:rsidRDefault="00AA4416" w:rsidP="00AA4416">
            <w:pPr>
              <w:suppressAutoHyphens w:val="0"/>
              <w:spacing w:line="240" w:lineRule="auto"/>
              <w:jc w:val="center"/>
              <w:rPr>
                <w:rFonts w:ascii="Times New Roman" w:hAnsi="Times New Roman"/>
                <w:szCs w:val="20"/>
              </w:rPr>
            </w:pPr>
            <w:r w:rsidRPr="00DD2A86">
              <w:rPr>
                <w:rFonts w:ascii="Times New Roman" w:hAnsi="Times New Roman"/>
                <w:szCs w:val="20"/>
              </w:rPr>
              <w:t>N.E.U.</w:t>
            </w:r>
          </w:p>
          <w:p w:rsidR="00AA4416" w:rsidRPr="00DD2A86" w:rsidRDefault="00AA4416" w:rsidP="00AA4416">
            <w:pPr>
              <w:suppressAutoHyphens w:val="0"/>
              <w:spacing w:line="240" w:lineRule="auto"/>
              <w:jc w:val="center"/>
              <w:rPr>
                <w:rFonts w:ascii="Times New Roman" w:hAnsi="Times New Roman"/>
                <w:szCs w:val="20"/>
              </w:rPr>
            </w:pPr>
            <w:r w:rsidRPr="00DD2A86">
              <w:rPr>
                <w:rFonts w:ascii="Times New Roman" w:hAnsi="Times New Roman"/>
                <w:szCs w:val="20"/>
              </w:rPr>
              <w:t>Erneuerung des Zulassungszeugnisses nach dem 31. Dezember 2018</w:t>
            </w:r>
          </w:p>
          <w:p w:rsidR="00AA4416" w:rsidRPr="00DD2A86" w:rsidRDefault="00AA4416" w:rsidP="00AA4416">
            <w:pPr>
              <w:suppressAutoHyphens w:val="0"/>
              <w:spacing w:line="240" w:lineRule="auto"/>
              <w:jc w:val="center"/>
              <w:rPr>
                <w:rFonts w:ascii="Times New Roman" w:hAnsi="Times New Roman"/>
                <w:i/>
                <w:szCs w:val="20"/>
              </w:rPr>
            </w:pPr>
          </w:p>
          <w:p w:rsidR="00AA4416" w:rsidRPr="00DD2A86" w:rsidRDefault="00AA4416" w:rsidP="00AA4416">
            <w:pPr>
              <w:suppressAutoHyphens w:val="0"/>
              <w:spacing w:line="240" w:lineRule="auto"/>
              <w:rPr>
                <w:rFonts w:ascii="Times New Roman" w:hAnsi="Times New Roman"/>
                <w:i/>
                <w:szCs w:val="20"/>
              </w:rPr>
            </w:pPr>
            <w:r w:rsidRPr="00DD2A86">
              <w:rPr>
                <w:rFonts w:ascii="Times New Roman" w:hAnsi="Times New Roman"/>
                <w:i/>
                <w:szCs w:val="20"/>
              </w:rPr>
              <w:t>Unverändert</w:t>
            </w:r>
          </w:p>
        </w:tc>
      </w:tr>
      <w:tr w:rsidR="00361186" w:rsidRPr="00103305" w:rsidTr="00361186">
        <w:trPr>
          <w:cantSplit/>
          <w:trHeight w:val="464"/>
        </w:trPr>
        <w:tc>
          <w:tcPr>
            <w:tcW w:w="1276" w:type="dxa"/>
          </w:tcPr>
          <w:p w:rsidR="00361186" w:rsidRPr="00DD2A86" w:rsidRDefault="00361186" w:rsidP="0036118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9.3.1.31.4</w:t>
            </w:r>
          </w:p>
          <w:p w:rsidR="00361186" w:rsidRPr="00DD2A86" w:rsidRDefault="00361186" w:rsidP="0036118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9.3.2.31.4</w:t>
            </w:r>
          </w:p>
          <w:p w:rsidR="00361186" w:rsidRPr="00DD2A86" w:rsidRDefault="00361186" w:rsidP="0036118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9.3.3.31.4</w:t>
            </w:r>
          </w:p>
          <w:p w:rsidR="00361186" w:rsidRPr="00DD2A86" w:rsidRDefault="00361186" w:rsidP="00361186">
            <w:pPr>
              <w:suppressAutoHyphens w:val="0"/>
              <w:autoSpaceDE w:val="0"/>
              <w:autoSpaceDN w:val="0"/>
              <w:adjustRightInd w:val="0"/>
              <w:spacing w:line="240" w:lineRule="auto"/>
              <w:jc w:val="center"/>
              <w:rPr>
                <w:rFonts w:ascii="Times New Roman" w:hAnsi="Times New Roman"/>
                <w:i/>
                <w:sz w:val="18"/>
                <w:szCs w:val="18"/>
              </w:rPr>
            </w:pPr>
            <w:r w:rsidRPr="00DD2A86">
              <w:rPr>
                <w:rFonts w:ascii="Times New Roman" w:hAnsi="Times New Roman"/>
                <w:i/>
                <w:sz w:val="18"/>
                <w:szCs w:val="18"/>
              </w:rPr>
              <w:t>Wie folgt um-nummerieren:</w:t>
            </w:r>
          </w:p>
          <w:p w:rsidR="00361186" w:rsidRPr="00DD2A86" w:rsidRDefault="00361186" w:rsidP="00361186">
            <w:pPr>
              <w:suppressAutoHyphens w:val="0"/>
              <w:autoSpaceDE w:val="0"/>
              <w:autoSpaceDN w:val="0"/>
              <w:adjustRightInd w:val="0"/>
              <w:spacing w:line="240" w:lineRule="auto"/>
              <w:jc w:val="center"/>
              <w:rPr>
                <w:rFonts w:ascii="Times New Roman" w:hAnsi="Times New Roman"/>
                <w:b/>
                <w:i/>
                <w:szCs w:val="20"/>
              </w:rPr>
            </w:pPr>
            <w:r w:rsidRPr="00DD2A86">
              <w:rPr>
                <w:rFonts w:ascii="Times New Roman" w:hAnsi="Times New Roman"/>
                <w:b/>
                <w:i/>
                <w:szCs w:val="20"/>
              </w:rPr>
              <w:t>9.3.1.51 b)</w:t>
            </w:r>
          </w:p>
          <w:p w:rsidR="00361186" w:rsidRPr="00DD2A86" w:rsidRDefault="00361186" w:rsidP="00361186">
            <w:pPr>
              <w:suppressAutoHyphens w:val="0"/>
              <w:autoSpaceDE w:val="0"/>
              <w:autoSpaceDN w:val="0"/>
              <w:adjustRightInd w:val="0"/>
              <w:spacing w:line="240" w:lineRule="auto"/>
              <w:jc w:val="center"/>
              <w:rPr>
                <w:rFonts w:ascii="Times New Roman" w:hAnsi="Times New Roman"/>
                <w:b/>
                <w:i/>
                <w:szCs w:val="20"/>
              </w:rPr>
            </w:pPr>
            <w:r w:rsidRPr="00DD2A86">
              <w:rPr>
                <w:rFonts w:ascii="Times New Roman" w:hAnsi="Times New Roman"/>
                <w:b/>
                <w:i/>
                <w:szCs w:val="20"/>
              </w:rPr>
              <w:t>9.3.2.51 b)</w:t>
            </w:r>
          </w:p>
          <w:p w:rsidR="00361186" w:rsidRPr="00DD2A86" w:rsidRDefault="00361186" w:rsidP="0036118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b/>
                <w:i/>
                <w:szCs w:val="20"/>
              </w:rPr>
              <w:t>9.3.3.51 b)</w:t>
            </w:r>
          </w:p>
        </w:tc>
        <w:tc>
          <w:tcPr>
            <w:tcW w:w="3686" w:type="dxa"/>
          </w:tcPr>
          <w:p w:rsidR="00361186" w:rsidRPr="00DD2A86" w:rsidRDefault="00361186" w:rsidP="00361186">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szCs w:val="20"/>
              </w:rPr>
              <w:t>Oberflächentemperatur der äußeren Teile von Motoren sowie deren Luft- und Abgasschächten</w:t>
            </w:r>
          </w:p>
        </w:tc>
        <w:tc>
          <w:tcPr>
            <w:tcW w:w="4394" w:type="dxa"/>
          </w:tcPr>
          <w:p w:rsidR="00361186" w:rsidRPr="00DD2A86" w:rsidRDefault="00361186" w:rsidP="0036118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N.E.U.</w:t>
            </w:r>
          </w:p>
          <w:p w:rsidR="00361186" w:rsidRPr="00DD2A86" w:rsidRDefault="00361186" w:rsidP="0036118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Erneuerung des Zulassungszeugnisses nach dem 31. Dezember 2018</w:t>
            </w:r>
          </w:p>
          <w:p w:rsidR="00361186" w:rsidRPr="00DD2A86" w:rsidRDefault="00361186" w:rsidP="00361186">
            <w:pPr>
              <w:suppressAutoHyphens w:val="0"/>
              <w:autoSpaceDE w:val="0"/>
              <w:autoSpaceDN w:val="0"/>
              <w:adjustRightInd w:val="0"/>
              <w:spacing w:line="240" w:lineRule="auto"/>
              <w:rPr>
                <w:rFonts w:ascii="Times New Roman" w:hAnsi="Times New Roman"/>
                <w:szCs w:val="20"/>
              </w:rPr>
            </w:pPr>
          </w:p>
          <w:p w:rsidR="00361186" w:rsidRPr="00DD2A86" w:rsidRDefault="00361186" w:rsidP="00361186">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szCs w:val="20"/>
              </w:rPr>
              <w:t>An Bord von in Betrieb befindlichen Schiffen müssen bis dahin folgende Vorschriften eingehalten werden:</w:t>
            </w:r>
          </w:p>
          <w:p w:rsidR="002D1E78" w:rsidRPr="00DD2A86" w:rsidRDefault="00361186" w:rsidP="002D1E78">
            <w:pPr>
              <w:suppressAutoHyphens w:val="0"/>
              <w:autoSpaceDE w:val="0"/>
              <w:autoSpaceDN w:val="0"/>
              <w:adjustRightInd w:val="0"/>
              <w:spacing w:line="240" w:lineRule="auto"/>
              <w:rPr>
                <w:rFonts w:ascii="Times New Roman" w:hAnsi="Times New Roman"/>
                <w:i/>
                <w:szCs w:val="20"/>
              </w:rPr>
            </w:pPr>
            <w:r w:rsidRPr="00DD2A86">
              <w:rPr>
                <w:rFonts w:ascii="Times New Roman" w:hAnsi="Times New Roman"/>
                <w:szCs w:val="20"/>
              </w:rPr>
              <w:t>Die Oberflächentemperatur darf nicht höher als 300 °C sein.</w:t>
            </w:r>
          </w:p>
        </w:tc>
      </w:tr>
      <w:tr w:rsidR="00502730" w:rsidRPr="00DD2A86" w:rsidTr="00502730">
        <w:tc>
          <w:tcPr>
            <w:tcW w:w="1276" w:type="dxa"/>
          </w:tcPr>
          <w:p w:rsidR="00502730" w:rsidRPr="00DD2A86" w:rsidRDefault="00502730" w:rsidP="00AA441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9.3.1.32.2</w:t>
            </w:r>
          </w:p>
          <w:p w:rsidR="00502730" w:rsidRPr="00DD2A86" w:rsidRDefault="00502730" w:rsidP="00AA441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9.3.2.32.2</w:t>
            </w:r>
          </w:p>
          <w:p w:rsidR="00502730" w:rsidRPr="00DD2A86" w:rsidRDefault="00502730" w:rsidP="00AA441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9.3.3.32.2</w:t>
            </w:r>
          </w:p>
        </w:tc>
        <w:tc>
          <w:tcPr>
            <w:tcW w:w="3686" w:type="dxa"/>
          </w:tcPr>
          <w:p w:rsidR="00502730" w:rsidRPr="00DD2A86" w:rsidRDefault="00502730" w:rsidP="00502730">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i/>
                <w:szCs w:val="20"/>
              </w:rPr>
              <w:t>Streichen</w:t>
            </w:r>
          </w:p>
        </w:tc>
        <w:tc>
          <w:tcPr>
            <w:tcW w:w="4394" w:type="dxa"/>
          </w:tcPr>
          <w:p w:rsidR="00502730" w:rsidRPr="00DD2A86" w:rsidRDefault="00502730" w:rsidP="00502730">
            <w:pPr>
              <w:suppressAutoHyphens w:val="0"/>
              <w:autoSpaceDE w:val="0"/>
              <w:autoSpaceDN w:val="0"/>
              <w:adjustRightInd w:val="0"/>
              <w:spacing w:line="240" w:lineRule="auto"/>
              <w:jc w:val="center"/>
              <w:rPr>
                <w:rFonts w:ascii="Times New Roman" w:hAnsi="Times New Roman"/>
                <w:szCs w:val="20"/>
              </w:rPr>
            </w:pPr>
          </w:p>
        </w:tc>
      </w:tr>
      <w:tr w:rsidR="00361186" w:rsidRPr="00DD2A86" w:rsidTr="00361186">
        <w:trPr>
          <w:cantSplit/>
          <w:trHeight w:val="283"/>
        </w:trPr>
        <w:tc>
          <w:tcPr>
            <w:tcW w:w="1276" w:type="dxa"/>
          </w:tcPr>
          <w:p w:rsidR="00361186" w:rsidRPr="00DD2A86" w:rsidRDefault="00361186" w:rsidP="0036118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9.3.1.51.2</w:t>
            </w:r>
          </w:p>
          <w:p w:rsidR="00361186" w:rsidRPr="00DD2A86" w:rsidRDefault="00361186" w:rsidP="0036118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9.3.2.51.2</w:t>
            </w:r>
          </w:p>
          <w:p w:rsidR="00361186" w:rsidRPr="00DD2A86" w:rsidRDefault="00361186" w:rsidP="00361186">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9.3.3.51.2</w:t>
            </w:r>
          </w:p>
          <w:p w:rsidR="00361186" w:rsidRPr="00DD2A86" w:rsidRDefault="00361186" w:rsidP="00361186">
            <w:pPr>
              <w:suppressAutoHyphens w:val="0"/>
              <w:autoSpaceDE w:val="0"/>
              <w:autoSpaceDN w:val="0"/>
              <w:adjustRightInd w:val="0"/>
              <w:spacing w:line="240" w:lineRule="auto"/>
              <w:jc w:val="center"/>
              <w:rPr>
                <w:rFonts w:ascii="Times New Roman" w:hAnsi="Times New Roman"/>
                <w:i/>
                <w:sz w:val="18"/>
                <w:szCs w:val="18"/>
              </w:rPr>
            </w:pPr>
            <w:r w:rsidRPr="00DD2A86">
              <w:rPr>
                <w:rFonts w:ascii="Times New Roman" w:hAnsi="Times New Roman"/>
                <w:i/>
                <w:sz w:val="18"/>
                <w:szCs w:val="18"/>
              </w:rPr>
              <w:t>Wie folgt um-nummerieren:</w:t>
            </w:r>
          </w:p>
          <w:p w:rsidR="00361186" w:rsidRPr="00DD2A86" w:rsidRDefault="00361186" w:rsidP="00361186">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b/>
                <w:i/>
                <w:szCs w:val="20"/>
                <w:lang w:eastAsia="fr-FR"/>
              </w:rPr>
            </w:pPr>
            <w:r w:rsidRPr="00DD2A86">
              <w:rPr>
                <w:rFonts w:ascii="Times New Roman" w:hAnsi="Times New Roman"/>
                <w:b/>
                <w:i/>
                <w:szCs w:val="20"/>
                <w:lang w:eastAsia="fr-FR"/>
              </w:rPr>
              <w:t>9.3.1.52.4</w:t>
            </w:r>
          </w:p>
          <w:p w:rsidR="00361186" w:rsidRPr="00DD2A86" w:rsidRDefault="00361186" w:rsidP="00361186">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b/>
                <w:i/>
                <w:szCs w:val="20"/>
                <w:lang w:eastAsia="fr-FR"/>
              </w:rPr>
            </w:pPr>
            <w:r w:rsidRPr="00DD2A86">
              <w:rPr>
                <w:rFonts w:ascii="Times New Roman" w:hAnsi="Times New Roman"/>
                <w:b/>
                <w:i/>
                <w:szCs w:val="20"/>
                <w:lang w:eastAsia="fr-FR"/>
              </w:rPr>
              <w:t>9.3.2.52.4</w:t>
            </w:r>
          </w:p>
          <w:p w:rsidR="00361186" w:rsidRPr="00DD2A86" w:rsidRDefault="00361186" w:rsidP="00361186">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szCs w:val="20"/>
                <w:u w:val="single"/>
                <w:lang w:eastAsia="fr-FR"/>
              </w:rPr>
            </w:pPr>
            <w:r w:rsidRPr="00DD2A86">
              <w:rPr>
                <w:rFonts w:ascii="Times New Roman" w:hAnsi="Times New Roman"/>
                <w:b/>
                <w:i/>
                <w:szCs w:val="20"/>
                <w:lang w:eastAsia="fr-FR"/>
              </w:rPr>
              <w:t>9.3.3.52.4</w:t>
            </w:r>
          </w:p>
        </w:tc>
        <w:tc>
          <w:tcPr>
            <w:tcW w:w="3686" w:type="dxa"/>
          </w:tcPr>
          <w:p w:rsidR="00361186" w:rsidRPr="00DD2A86" w:rsidRDefault="00361186" w:rsidP="00361186">
            <w:pPr>
              <w:widowControl w:val="0"/>
              <w:tabs>
                <w:tab w:val="left" w:pos="708"/>
              </w:tabs>
              <w:suppressAutoHyphens w:val="0"/>
              <w:overflowPunct w:val="0"/>
              <w:autoSpaceDE w:val="0"/>
              <w:autoSpaceDN w:val="0"/>
              <w:adjustRightInd w:val="0"/>
              <w:spacing w:line="240" w:lineRule="auto"/>
              <w:rPr>
                <w:rFonts w:ascii="Times New Roman" w:hAnsi="Times New Roman"/>
                <w:lang w:eastAsia="fr-FR"/>
              </w:rPr>
            </w:pPr>
            <w:r w:rsidRPr="00DD2A86">
              <w:rPr>
                <w:rFonts w:ascii="Times New Roman" w:hAnsi="Times New Roman"/>
                <w:lang w:eastAsia="fr-FR"/>
              </w:rPr>
              <w:t>Optische und akustische Warnung</w:t>
            </w:r>
          </w:p>
          <w:p w:rsidR="00361186" w:rsidRPr="00DD2A86" w:rsidRDefault="00361186" w:rsidP="00361186">
            <w:pPr>
              <w:widowControl w:val="0"/>
              <w:tabs>
                <w:tab w:val="left" w:pos="708"/>
              </w:tabs>
              <w:suppressAutoHyphens w:val="0"/>
              <w:overflowPunct w:val="0"/>
              <w:autoSpaceDE w:val="0"/>
              <w:autoSpaceDN w:val="0"/>
              <w:adjustRightInd w:val="0"/>
              <w:spacing w:line="240" w:lineRule="auto"/>
              <w:rPr>
                <w:rFonts w:ascii="Times New Roman" w:hAnsi="Times New Roman"/>
                <w:lang w:eastAsia="fr-FR"/>
              </w:rPr>
            </w:pPr>
          </w:p>
          <w:p w:rsidR="00361186" w:rsidRPr="00DD2A86" w:rsidRDefault="00361186" w:rsidP="00361186">
            <w:pPr>
              <w:widowControl w:val="0"/>
              <w:tabs>
                <w:tab w:val="left" w:pos="708"/>
              </w:tabs>
              <w:suppressAutoHyphens w:val="0"/>
              <w:overflowPunct w:val="0"/>
              <w:autoSpaceDE w:val="0"/>
              <w:autoSpaceDN w:val="0"/>
              <w:adjustRightInd w:val="0"/>
              <w:spacing w:line="240" w:lineRule="auto"/>
              <w:rPr>
                <w:rFonts w:ascii="Times New Roman" w:hAnsi="Times New Roman"/>
                <w:lang w:eastAsia="fr-FR"/>
              </w:rPr>
            </w:pPr>
          </w:p>
          <w:p w:rsidR="00361186" w:rsidRPr="00DD2A86" w:rsidRDefault="00361186" w:rsidP="00361186">
            <w:pPr>
              <w:widowControl w:val="0"/>
              <w:tabs>
                <w:tab w:val="left" w:pos="708"/>
              </w:tabs>
              <w:suppressAutoHyphens w:val="0"/>
              <w:overflowPunct w:val="0"/>
              <w:autoSpaceDE w:val="0"/>
              <w:autoSpaceDN w:val="0"/>
              <w:adjustRightInd w:val="0"/>
              <w:spacing w:line="240" w:lineRule="auto"/>
              <w:rPr>
                <w:rFonts w:ascii="Times New Roman" w:hAnsi="Times New Roman"/>
                <w:lang w:eastAsia="fr-FR"/>
              </w:rPr>
            </w:pPr>
          </w:p>
          <w:p w:rsidR="00361186" w:rsidRPr="00DD2A86" w:rsidRDefault="00361186" w:rsidP="00361186">
            <w:pPr>
              <w:widowControl w:val="0"/>
              <w:tabs>
                <w:tab w:val="left" w:pos="708"/>
              </w:tabs>
              <w:suppressAutoHyphens w:val="0"/>
              <w:overflowPunct w:val="0"/>
              <w:autoSpaceDE w:val="0"/>
              <w:autoSpaceDN w:val="0"/>
              <w:adjustRightInd w:val="0"/>
              <w:spacing w:line="240" w:lineRule="auto"/>
              <w:rPr>
                <w:rFonts w:ascii="Times New Roman" w:hAnsi="Times New Roman"/>
                <w:szCs w:val="20"/>
                <w:lang w:eastAsia="fr-FR"/>
              </w:rPr>
            </w:pPr>
          </w:p>
          <w:p w:rsidR="00361186" w:rsidRPr="00DD2A86" w:rsidRDefault="00361186" w:rsidP="00361186">
            <w:pPr>
              <w:widowControl w:val="0"/>
              <w:tabs>
                <w:tab w:val="left" w:pos="708"/>
              </w:tabs>
              <w:suppressAutoHyphens w:val="0"/>
              <w:overflowPunct w:val="0"/>
              <w:autoSpaceDE w:val="0"/>
              <w:autoSpaceDN w:val="0"/>
              <w:adjustRightInd w:val="0"/>
              <w:spacing w:line="240" w:lineRule="auto"/>
              <w:rPr>
                <w:rFonts w:ascii="Times New Roman" w:hAnsi="Times New Roman"/>
                <w:i/>
                <w:szCs w:val="20"/>
                <w:lang w:eastAsia="fr-FR"/>
              </w:rPr>
            </w:pPr>
            <w:r w:rsidRPr="00DD2A86">
              <w:rPr>
                <w:rFonts w:ascii="Times New Roman" w:hAnsi="Times New Roman"/>
                <w:i/>
                <w:szCs w:val="20"/>
                <w:lang w:eastAsia="fr-FR"/>
              </w:rPr>
              <w:t>Unverändert</w:t>
            </w:r>
          </w:p>
        </w:tc>
        <w:tc>
          <w:tcPr>
            <w:tcW w:w="4394" w:type="dxa"/>
          </w:tcPr>
          <w:p w:rsidR="00361186" w:rsidRPr="00DD2A86" w:rsidRDefault="00361186" w:rsidP="00361186">
            <w:pPr>
              <w:widowControl w:val="0"/>
              <w:tabs>
                <w:tab w:val="left" w:pos="708"/>
              </w:tabs>
              <w:suppressAutoHyphens w:val="0"/>
              <w:overflowPunct w:val="0"/>
              <w:autoSpaceDE w:val="0"/>
              <w:autoSpaceDN w:val="0"/>
              <w:adjustRightInd w:val="0"/>
              <w:spacing w:line="240" w:lineRule="auto"/>
              <w:jc w:val="center"/>
              <w:rPr>
                <w:rFonts w:ascii="Times New Roman" w:hAnsi="Times New Roman"/>
                <w:lang w:eastAsia="fr-FR"/>
              </w:rPr>
            </w:pPr>
            <w:r w:rsidRPr="00DD2A86">
              <w:rPr>
                <w:rFonts w:ascii="Times New Roman" w:hAnsi="Times New Roman"/>
                <w:lang w:eastAsia="fr-FR"/>
              </w:rPr>
              <w:t>N.E.U.</w:t>
            </w:r>
          </w:p>
          <w:p w:rsidR="00361186" w:rsidRPr="00DD2A86" w:rsidRDefault="00361186" w:rsidP="00361186">
            <w:pPr>
              <w:widowControl w:val="0"/>
              <w:tabs>
                <w:tab w:val="left" w:pos="708"/>
              </w:tabs>
              <w:suppressAutoHyphens w:val="0"/>
              <w:overflowPunct w:val="0"/>
              <w:autoSpaceDE w:val="0"/>
              <w:autoSpaceDN w:val="0"/>
              <w:adjustRightInd w:val="0"/>
              <w:spacing w:line="240" w:lineRule="auto"/>
              <w:jc w:val="center"/>
              <w:rPr>
                <w:rFonts w:ascii="Times New Roman" w:hAnsi="Times New Roman"/>
                <w:lang w:eastAsia="fr-FR"/>
              </w:rPr>
            </w:pPr>
            <w:r w:rsidRPr="00DD2A86">
              <w:rPr>
                <w:rFonts w:ascii="Times New Roman" w:hAnsi="Times New Roman"/>
                <w:lang w:eastAsia="fr-FR"/>
              </w:rPr>
              <w:t>Erneuerung des Zulassungszeugnisses nach dem 31. Dezember 2034</w:t>
            </w:r>
          </w:p>
          <w:p w:rsidR="00361186" w:rsidRPr="00DD2A86" w:rsidRDefault="00361186" w:rsidP="00361186">
            <w:pPr>
              <w:widowControl w:val="0"/>
              <w:tabs>
                <w:tab w:val="left" w:pos="708"/>
              </w:tabs>
              <w:suppressAutoHyphens w:val="0"/>
              <w:overflowPunct w:val="0"/>
              <w:autoSpaceDE w:val="0"/>
              <w:autoSpaceDN w:val="0"/>
              <w:adjustRightInd w:val="0"/>
              <w:spacing w:line="240" w:lineRule="auto"/>
              <w:jc w:val="center"/>
              <w:rPr>
                <w:rFonts w:ascii="Times New Roman" w:hAnsi="Times New Roman"/>
                <w:lang w:eastAsia="fr-FR"/>
              </w:rPr>
            </w:pPr>
          </w:p>
          <w:p w:rsidR="00361186" w:rsidRPr="00DD2A86" w:rsidRDefault="00361186" w:rsidP="00361186">
            <w:pPr>
              <w:widowControl w:val="0"/>
              <w:tabs>
                <w:tab w:val="left" w:pos="708"/>
              </w:tabs>
              <w:suppressAutoHyphens w:val="0"/>
              <w:overflowPunct w:val="0"/>
              <w:autoSpaceDE w:val="0"/>
              <w:autoSpaceDN w:val="0"/>
              <w:adjustRightInd w:val="0"/>
              <w:spacing w:line="240" w:lineRule="auto"/>
              <w:jc w:val="center"/>
              <w:rPr>
                <w:rFonts w:ascii="Times New Roman" w:hAnsi="Times New Roman"/>
                <w:lang w:eastAsia="fr-FR"/>
              </w:rPr>
            </w:pPr>
          </w:p>
          <w:p w:rsidR="00361186" w:rsidRPr="00DD2A86" w:rsidRDefault="00361186" w:rsidP="00361186">
            <w:pPr>
              <w:widowControl w:val="0"/>
              <w:tabs>
                <w:tab w:val="left" w:pos="708"/>
              </w:tabs>
              <w:suppressAutoHyphens w:val="0"/>
              <w:overflowPunct w:val="0"/>
              <w:autoSpaceDE w:val="0"/>
              <w:autoSpaceDN w:val="0"/>
              <w:adjustRightInd w:val="0"/>
              <w:spacing w:line="240" w:lineRule="auto"/>
              <w:rPr>
                <w:rFonts w:ascii="Times New Roman" w:hAnsi="Times New Roman"/>
                <w:i/>
                <w:szCs w:val="20"/>
                <w:lang w:eastAsia="fr-FR"/>
              </w:rPr>
            </w:pPr>
            <w:r w:rsidRPr="00DD2A86">
              <w:rPr>
                <w:rFonts w:ascii="Times New Roman" w:hAnsi="Times New Roman"/>
                <w:i/>
                <w:szCs w:val="20"/>
                <w:lang w:eastAsia="fr-FR"/>
              </w:rPr>
              <w:t>Unverändert</w:t>
            </w:r>
          </w:p>
        </w:tc>
      </w:tr>
      <w:tr w:rsidR="00AA4416" w:rsidRPr="00DD2A86" w:rsidTr="00AA4416">
        <w:trPr>
          <w:cantSplit/>
          <w:trHeight w:val="464"/>
        </w:trPr>
        <w:tc>
          <w:tcPr>
            <w:tcW w:w="1276" w:type="dxa"/>
          </w:tcPr>
          <w:p w:rsidR="00AA4416" w:rsidRPr="00DD2A86" w:rsidRDefault="00AA4416" w:rsidP="00AA441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9.3.1.51.3</w:t>
            </w:r>
          </w:p>
          <w:p w:rsidR="00AA4416" w:rsidRPr="00DD2A86" w:rsidRDefault="00AA4416" w:rsidP="00AA441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9.3.2.51.3</w:t>
            </w:r>
          </w:p>
          <w:p w:rsidR="00AA4416" w:rsidRPr="00DD2A86" w:rsidRDefault="00AA4416" w:rsidP="00AA441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9.3.3.51.3</w:t>
            </w:r>
          </w:p>
        </w:tc>
        <w:tc>
          <w:tcPr>
            <w:tcW w:w="3686" w:type="dxa"/>
          </w:tcPr>
          <w:p w:rsidR="00AA4416" w:rsidRPr="00DD2A86" w:rsidRDefault="00AA4416" w:rsidP="00AA4416">
            <w:pPr>
              <w:suppressAutoHyphens w:val="0"/>
              <w:autoSpaceDE w:val="0"/>
              <w:autoSpaceDN w:val="0"/>
              <w:adjustRightInd w:val="0"/>
              <w:spacing w:line="240" w:lineRule="auto"/>
              <w:rPr>
                <w:rFonts w:ascii="Times New Roman" w:hAnsi="Times New Roman"/>
                <w:i/>
                <w:szCs w:val="20"/>
              </w:rPr>
            </w:pPr>
            <w:r w:rsidRPr="00DD2A86">
              <w:rPr>
                <w:rFonts w:ascii="Times New Roman" w:hAnsi="Times New Roman"/>
                <w:i/>
                <w:szCs w:val="20"/>
              </w:rPr>
              <w:t>Streichen</w:t>
            </w:r>
          </w:p>
        </w:tc>
        <w:tc>
          <w:tcPr>
            <w:tcW w:w="4394" w:type="dxa"/>
          </w:tcPr>
          <w:p w:rsidR="00AA4416" w:rsidRPr="00DD2A86" w:rsidRDefault="00AA4416" w:rsidP="00AA4416">
            <w:pPr>
              <w:suppressAutoHyphens w:val="0"/>
              <w:autoSpaceDE w:val="0"/>
              <w:autoSpaceDN w:val="0"/>
              <w:adjustRightInd w:val="0"/>
              <w:spacing w:line="240" w:lineRule="auto"/>
              <w:rPr>
                <w:rFonts w:ascii="Times New Roman" w:hAnsi="Times New Roman"/>
                <w:i/>
                <w:szCs w:val="20"/>
              </w:rPr>
            </w:pPr>
          </w:p>
        </w:tc>
      </w:tr>
      <w:tr w:rsidR="00D5081F" w:rsidRPr="00DD2A86" w:rsidTr="00B12BA6">
        <w:trPr>
          <w:cantSplit/>
          <w:trHeight w:val="464"/>
        </w:trPr>
        <w:tc>
          <w:tcPr>
            <w:tcW w:w="1276" w:type="dxa"/>
          </w:tcPr>
          <w:p w:rsidR="00D5081F" w:rsidRPr="00DD2A86" w:rsidRDefault="00D5081F" w:rsidP="00B12BA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9.3.3.52.1 b), c), d) und e)</w:t>
            </w:r>
          </w:p>
          <w:p w:rsidR="00D5081F" w:rsidRPr="00DD2A86" w:rsidRDefault="00D5081F" w:rsidP="00B12BA6">
            <w:pPr>
              <w:suppressAutoHyphens w:val="0"/>
              <w:autoSpaceDE w:val="0"/>
              <w:autoSpaceDN w:val="0"/>
              <w:adjustRightInd w:val="0"/>
              <w:spacing w:line="240" w:lineRule="auto"/>
              <w:jc w:val="center"/>
              <w:rPr>
                <w:rFonts w:ascii="Times New Roman" w:hAnsi="Times New Roman"/>
                <w:i/>
                <w:sz w:val="18"/>
                <w:szCs w:val="18"/>
              </w:rPr>
            </w:pPr>
            <w:r w:rsidRPr="00DD2A86">
              <w:rPr>
                <w:rFonts w:ascii="Times New Roman" w:hAnsi="Times New Roman"/>
                <w:i/>
                <w:sz w:val="18"/>
                <w:szCs w:val="18"/>
              </w:rPr>
              <w:t>Wie folgt um-nummerieren:</w:t>
            </w:r>
          </w:p>
          <w:p w:rsidR="00D5081F" w:rsidRPr="00DD2A86" w:rsidRDefault="00D5081F" w:rsidP="00B12BA6">
            <w:pPr>
              <w:suppressAutoHyphens w:val="0"/>
              <w:autoSpaceDE w:val="0"/>
              <w:autoSpaceDN w:val="0"/>
              <w:adjustRightInd w:val="0"/>
              <w:spacing w:line="240" w:lineRule="auto"/>
              <w:jc w:val="center"/>
              <w:rPr>
                <w:rFonts w:ascii="Times New Roman" w:hAnsi="Times New Roman"/>
                <w:b/>
                <w:i/>
                <w:szCs w:val="20"/>
                <w:u w:val="single"/>
              </w:rPr>
            </w:pPr>
            <w:r w:rsidRPr="00DD2A86">
              <w:rPr>
                <w:rFonts w:ascii="Times New Roman" w:hAnsi="Times New Roman"/>
                <w:b/>
                <w:i/>
                <w:szCs w:val="20"/>
              </w:rPr>
              <w:t>9.3.3.52.2</w:t>
            </w:r>
          </w:p>
        </w:tc>
        <w:tc>
          <w:tcPr>
            <w:tcW w:w="3686" w:type="dxa"/>
          </w:tcPr>
          <w:p w:rsidR="00D5081F" w:rsidRPr="00DD2A86" w:rsidRDefault="00D5081F" w:rsidP="00B12BA6">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szCs w:val="20"/>
              </w:rPr>
              <w:t>Elektrische Einrichtungen / Echolotschwinger</w:t>
            </w:r>
          </w:p>
        </w:tc>
        <w:tc>
          <w:tcPr>
            <w:tcW w:w="4394" w:type="dxa"/>
          </w:tcPr>
          <w:p w:rsidR="00D5081F" w:rsidRPr="00DD2A86" w:rsidRDefault="00D5081F" w:rsidP="00B12BA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N.E.U. für Schiffe des Typs N offen</w:t>
            </w:r>
          </w:p>
          <w:p w:rsidR="00D5081F" w:rsidRPr="00DD2A86" w:rsidRDefault="00D5081F" w:rsidP="00B12BA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Erneuerung des Zulassungszeugnisses nach dem 31. Dezember 2034</w:t>
            </w:r>
          </w:p>
          <w:p w:rsidR="00D5081F" w:rsidRPr="00DD2A86" w:rsidRDefault="00D5081F" w:rsidP="00B12BA6">
            <w:pPr>
              <w:suppressAutoHyphens w:val="0"/>
              <w:autoSpaceDE w:val="0"/>
              <w:autoSpaceDN w:val="0"/>
              <w:adjustRightInd w:val="0"/>
              <w:spacing w:line="240" w:lineRule="auto"/>
              <w:jc w:val="center"/>
              <w:rPr>
                <w:rFonts w:ascii="Times New Roman" w:hAnsi="Times New Roman"/>
                <w:szCs w:val="20"/>
              </w:rPr>
            </w:pPr>
          </w:p>
          <w:p w:rsidR="00D5081F" w:rsidRPr="00DD2A86" w:rsidRDefault="00D5081F" w:rsidP="00B12BA6">
            <w:pPr>
              <w:suppressAutoHyphens w:val="0"/>
              <w:autoSpaceDE w:val="0"/>
              <w:autoSpaceDN w:val="0"/>
              <w:adjustRightInd w:val="0"/>
              <w:spacing w:line="240" w:lineRule="auto"/>
              <w:jc w:val="center"/>
              <w:rPr>
                <w:rFonts w:ascii="Times New Roman" w:hAnsi="Times New Roman"/>
                <w:szCs w:val="20"/>
              </w:rPr>
            </w:pPr>
          </w:p>
          <w:p w:rsidR="00D5081F" w:rsidRPr="00DD2A86" w:rsidRDefault="00D5081F" w:rsidP="00B12BA6">
            <w:pPr>
              <w:suppressAutoHyphens w:val="0"/>
              <w:autoSpaceDE w:val="0"/>
              <w:autoSpaceDN w:val="0"/>
              <w:adjustRightInd w:val="0"/>
              <w:spacing w:line="240" w:lineRule="auto"/>
              <w:rPr>
                <w:rFonts w:ascii="Times New Roman" w:hAnsi="Times New Roman"/>
                <w:i/>
                <w:szCs w:val="20"/>
              </w:rPr>
            </w:pPr>
            <w:r w:rsidRPr="00DD2A86">
              <w:rPr>
                <w:rFonts w:ascii="Times New Roman" w:hAnsi="Times New Roman"/>
                <w:i/>
                <w:szCs w:val="20"/>
              </w:rPr>
              <w:t>Unverändert</w:t>
            </w:r>
          </w:p>
        </w:tc>
      </w:tr>
      <w:tr w:rsidR="00AA4416" w:rsidRPr="00DD2A86" w:rsidTr="00AA4416">
        <w:trPr>
          <w:cantSplit/>
          <w:trHeight w:val="464"/>
        </w:trPr>
        <w:tc>
          <w:tcPr>
            <w:tcW w:w="1276" w:type="dxa"/>
          </w:tcPr>
          <w:p w:rsidR="00AA4416" w:rsidRPr="00DD2A86" w:rsidRDefault="00AA4416" w:rsidP="00AA441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9.3.1.52.1 e)</w:t>
            </w:r>
          </w:p>
          <w:p w:rsidR="00AA4416" w:rsidRPr="00DD2A86" w:rsidRDefault="00AA4416" w:rsidP="00AA441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9.3.3.52.1 e)</w:t>
            </w:r>
          </w:p>
        </w:tc>
        <w:tc>
          <w:tcPr>
            <w:tcW w:w="3686" w:type="dxa"/>
          </w:tcPr>
          <w:p w:rsidR="00AA4416" w:rsidRPr="00DD2A86" w:rsidRDefault="00AA4416" w:rsidP="00AA4416">
            <w:pPr>
              <w:suppressAutoHyphens w:val="0"/>
              <w:autoSpaceDE w:val="0"/>
              <w:autoSpaceDN w:val="0"/>
              <w:adjustRightInd w:val="0"/>
              <w:spacing w:line="240" w:lineRule="auto"/>
              <w:rPr>
                <w:rFonts w:ascii="Times New Roman" w:hAnsi="Times New Roman"/>
                <w:i/>
                <w:szCs w:val="20"/>
              </w:rPr>
            </w:pPr>
            <w:r w:rsidRPr="00DD2A86">
              <w:rPr>
                <w:rFonts w:ascii="Times New Roman" w:hAnsi="Times New Roman"/>
                <w:i/>
                <w:szCs w:val="20"/>
              </w:rPr>
              <w:t>Streichen</w:t>
            </w:r>
          </w:p>
        </w:tc>
        <w:tc>
          <w:tcPr>
            <w:tcW w:w="4394" w:type="dxa"/>
          </w:tcPr>
          <w:p w:rsidR="00AA4416" w:rsidRPr="00DD2A86" w:rsidRDefault="00AA4416" w:rsidP="00AA4416">
            <w:pPr>
              <w:suppressAutoHyphens w:val="0"/>
              <w:autoSpaceDE w:val="0"/>
              <w:autoSpaceDN w:val="0"/>
              <w:adjustRightInd w:val="0"/>
              <w:spacing w:line="240" w:lineRule="auto"/>
              <w:rPr>
                <w:rFonts w:ascii="Times New Roman" w:hAnsi="Times New Roman"/>
                <w:strike/>
                <w:szCs w:val="20"/>
                <w:u w:val="single"/>
              </w:rPr>
            </w:pPr>
          </w:p>
        </w:tc>
      </w:tr>
      <w:tr w:rsidR="00AA4416" w:rsidRPr="00DD2A86" w:rsidTr="00AA4416">
        <w:trPr>
          <w:cantSplit/>
          <w:trHeight w:val="464"/>
        </w:trPr>
        <w:tc>
          <w:tcPr>
            <w:tcW w:w="1276" w:type="dxa"/>
          </w:tcPr>
          <w:p w:rsidR="00AA4416" w:rsidRPr="00DD2A86" w:rsidRDefault="00AA4416" w:rsidP="00AA4416">
            <w:pPr>
              <w:suppressAutoHyphens w:val="0"/>
              <w:autoSpaceDE w:val="0"/>
              <w:autoSpaceDN w:val="0"/>
              <w:adjustRightInd w:val="0"/>
              <w:spacing w:line="240" w:lineRule="auto"/>
              <w:jc w:val="center"/>
              <w:rPr>
                <w:rFonts w:ascii="Times New Roman" w:hAnsi="Times New Roman"/>
                <w:color w:val="000000"/>
                <w:szCs w:val="20"/>
              </w:rPr>
            </w:pPr>
            <w:r w:rsidRPr="00DD2A86">
              <w:rPr>
                <w:rFonts w:ascii="Times New Roman" w:hAnsi="Times New Roman"/>
                <w:color w:val="000000"/>
                <w:szCs w:val="20"/>
              </w:rPr>
              <w:t>9.3.3.52.2</w:t>
            </w:r>
          </w:p>
          <w:p w:rsidR="00AA4416" w:rsidRPr="00DD2A86" w:rsidRDefault="00AA4416" w:rsidP="00AA4416">
            <w:pPr>
              <w:suppressAutoHyphens w:val="0"/>
              <w:autoSpaceDE w:val="0"/>
              <w:autoSpaceDN w:val="0"/>
              <w:adjustRightInd w:val="0"/>
              <w:spacing w:line="240" w:lineRule="auto"/>
              <w:jc w:val="center"/>
              <w:rPr>
                <w:rFonts w:ascii="Times New Roman" w:hAnsi="Times New Roman"/>
                <w:i/>
                <w:sz w:val="18"/>
                <w:szCs w:val="18"/>
              </w:rPr>
            </w:pPr>
            <w:r w:rsidRPr="00DD2A86">
              <w:rPr>
                <w:rFonts w:ascii="Times New Roman" w:hAnsi="Times New Roman"/>
                <w:i/>
                <w:sz w:val="18"/>
                <w:szCs w:val="18"/>
              </w:rPr>
              <w:t>Wie folgt um-nummerieren:</w:t>
            </w:r>
          </w:p>
          <w:p w:rsidR="00AA4416" w:rsidRPr="00DD2A86" w:rsidRDefault="00AA4416" w:rsidP="00AA4416">
            <w:pPr>
              <w:suppressAutoHyphens w:val="0"/>
              <w:autoSpaceDE w:val="0"/>
              <w:autoSpaceDN w:val="0"/>
              <w:adjustRightInd w:val="0"/>
              <w:spacing w:line="240" w:lineRule="auto"/>
              <w:jc w:val="center"/>
              <w:rPr>
                <w:rFonts w:ascii="Times New Roman" w:hAnsi="Times New Roman"/>
                <w:b/>
                <w:i/>
                <w:szCs w:val="20"/>
              </w:rPr>
            </w:pPr>
            <w:r w:rsidRPr="00DD2A86">
              <w:rPr>
                <w:rFonts w:ascii="Times New Roman" w:hAnsi="Times New Roman"/>
                <w:b/>
                <w:i/>
                <w:color w:val="000000"/>
                <w:szCs w:val="20"/>
              </w:rPr>
              <w:t>9.3.3.52.10</w:t>
            </w:r>
          </w:p>
        </w:tc>
        <w:tc>
          <w:tcPr>
            <w:tcW w:w="3686" w:type="dxa"/>
          </w:tcPr>
          <w:p w:rsidR="00AA4416" w:rsidRPr="00DD2A86" w:rsidRDefault="00AA4416" w:rsidP="00AA4416">
            <w:pPr>
              <w:suppressAutoHyphens w:val="0"/>
              <w:autoSpaceDE w:val="0"/>
              <w:autoSpaceDN w:val="0"/>
              <w:adjustRightInd w:val="0"/>
              <w:spacing w:line="240" w:lineRule="auto"/>
              <w:rPr>
                <w:rFonts w:ascii="Times New Roman" w:hAnsi="Times New Roman"/>
                <w:color w:val="000000"/>
                <w:szCs w:val="20"/>
              </w:rPr>
            </w:pPr>
            <w:r w:rsidRPr="00DD2A86">
              <w:rPr>
                <w:rFonts w:ascii="Times New Roman" w:hAnsi="Times New Roman"/>
                <w:color w:val="000000"/>
                <w:szCs w:val="20"/>
              </w:rPr>
              <w:t>Akkumulatoren außerhalb des Bereichs der Ladung</w:t>
            </w:r>
          </w:p>
          <w:p w:rsidR="00AA4416" w:rsidRPr="00DD2A86" w:rsidRDefault="00AA4416" w:rsidP="00AA4416">
            <w:pPr>
              <w:suppressAutoHyphens w:val="0"/>
              <w:autoSpaceDE w:val="0"/>
              <w:autoSpaceDN w:val="0"/>
              <w:adjustRightInd w:val="0"/>
              <w:spacing w:line="240" w:lineRule="auto"/>
              <w:rPr>
                <w:rFonts w:ascii="Times New Roman" w:hAnsi="Times New Roman"/>
                <w:i/>
                <w:szCs w:val="20"/>
              </w:rPr>
            </w:pPr>
          </w:p>
          <w:p w:rsidR="00AA4416" w:rsidRPr="00DD2A86" w:rsidRDefault="00AA4416" w:rsidP="00AA4416">
            <w:pPr>
              <w:suppressAutoHyphens w:val="0"/>
              <w:autoSpaceDE w:val="0"/>
              <w:autoSpaceDN w:val="0"/>
              <w:adjustRightInd w:val="0"/>
              <w:spacing w:line="240" w:lineRule="auto"/>
              <w:rPr>
                <w:rFonts w:ascii="Times New Roman" w:hAnsi="Times New Roman"/>
                <w:i/>
                <w:szCs w:val="20"/>
              </w:rPr>
            </w:pPr>
            <w:r w:rsidRPr="00DD2A86">
              <w:rPr>
                <w:rFonts w:ascii="Times New Roman" w:hAnsi="Times New Roman"/>
                <w:i/>
                <w:szCs w:val="20"/>
              </w:rPr>
              <w:t>Unverändert</w:t>
            </w:r>
          </w:p>
        </w:tc>
        <w:tc>
          <w:tcPr>
            <w:tcW w:w="4394" w:type="dxa"/>
          </w:tcPr>
          <w:p w:rsidR="00AA4416" w:rsidRPr="00DD2A86" w:rsidRDefault="00AA4416" w:rsidP="00AA4416">
            <w:pPr>
              <w:suppressAutoHyphens w:val="0"/>
              <w:autoSpaceDE w:val="0"/>
              <w:autoSpaceDN w:val="0"/>
              <w:adjustRightInd w:val="0"/>
              <w:spacing w:line="240" w:lineRule="auto"/>
              <w:jc w:val="center"/>
              <w:rPr>
                <w:rFonts w:ascii="Times New Roman" w:hAnsi="Times New Roman"/>
                <w:color w:val="000000"/>
                <w:szCs w:val="20"/>
              </w:rPr>
            </w:pPr>
            <w:r w:rsidRPr="00DD2A86">
              <w:rPr>
                <w:rFonts w:ascii="Times New Roman" w:hAnsi="Times New Roman"/>
                <w:color w:val="000000"/>
                <w:szCs w:val="20"/>
              </w:rPr>
              <w:t>N.E.U. für Schiffe des Typs N offen</w:t>
            </w:r>
          </w:p>
          <w:p w:rsidR="00AA4416" w:rsidRPr="00DD2A86" w:rsidRDefault="00AA4416" w:rsidP="00AA4416">
            <w:pPr>
              <w:suppressAutoHyphens w:val="0"/>
              <w:autoSpaceDE w:val="0"/>
              <w:autoSpaceDN w:val="0"/>
              <w:adjustRightInd w:val="0"/>
              <w:spacing w:line="240" w:lineRule="auto"/>
              <w:jc w:val="center"/>
              <w:rPr>
                <w:rFonts w:ascii="Times New Roman" w:hAnsi="Times New Roman"/>
                <w:color w:val="000000"/>
                <w:szCs w:val="20"/>
              </w:rPr>
            </w:pPr>
            <w:r w:rsidRPr="00DD2A86">
              <w:rPr>
                <w:rFonts w:ascii="Times New Roman" w:hAnsi="Times New Roman"/>
                <w:color w:val="000000"/>
                <w:szCs w:val="20"/>
              </w:rPr>
              <w:t>Erneuerung des Zulassungszeugnisses nach dem 31. Dezember 2034</w:t>
            </w:r>
          </w:p>
          <w:p w:rsidR="00AA4416" w:rsidRPr="00DD2A86" w:rsidRDefault="00AA4416" w:rsidP="00AA4416">
            <w:pPr>
              <w:suppressAutoHyphens w:val="0"/>
              <w:autoSpaceDE w:val="0"/>
              <w:autoSpaceDN w:val="0"/>
              <w:adjustRightInd w:val="0"/>
              <w:spacing w:line="240" w:lineRule="auto"/>
              <w:rPr>
                <w:rFonts w:ascii="Times New Roman" w:hAnsi="Times New Roman"/>
                <w:i/>
                <w:szCs w:val="20"/>
              </w:rPr>
            </w:pPr>
          </w:p>
          <w:p w:rsidR="00AA4416" w:rsidRPr="00DD2A86" w:rsidRDefault="00AA4416" w:rsidP="00AA4416">
            <w:pPr>
              <w:suppressAutoHyphens w:val="0"/>
              <w:autoSpaceDE w:val="0"/>
              <w:autoSpaceDN w:val="0"/>
              <w:adjustRightInd w:val="0"/>
              <w:spacing w:line="240" w:lineRule="auto"/>
              <w:rPr>
                <w:rFonts w:ascii="Times New Roman" w:hAnsi="Times New Roman"/>
                <w:i/>
                <w:szCs w:val="20"/>
              </w:rPr>
            </w:pPr>
            <w:r w:rsidRPr="00DD2A86">
              <w:rPr>
                <w:rFonts w:ascii="Times New Roman" w:hAnsi="Times New Roman"/>
                <w:i/>
                <w:szCs w:val="20"/>
              </w:rPr>
              <w:t>Unverändert</w:t>
            </w:r>
          </w:p>
        </w:tc>
      </w:tr>
      <w:tr w:rsidR="00361186" w:rsidRPr="00DD2A86" w:rsidTr="00361186">
        <w:trPr>
          <w:cantSplit/>
          <w:trHeight w:val="464"/>
        </w:trPr>
        <w:tc>
          <w:tcPr>
            <w:tcW w:w="1276" w:type="dxa"/>
          </w:tcPr>
          <w:p w:rsidR="00361186" w:rsidRPr="00DD2A86" w:rsidRDefault="00361186" w:rsidP="0036118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9.3.1.52.3 a)</w:t>
            </w:r>
          </w:p>
          <w:p w:rsidR="00361186" w:rsidRPr="00DD2A86" w:rsidRDefault="00361186" w:rsidP="0036118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9.3.1.52.3 b)</w:t>
            </w:r>
          </w:p>
          <w:p w:rsidR="00361186" w:rsidRPr="00DD2A86" w:rsidRDefault="00361186" w:rsidP="0036118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9.3.3.52.3 a)</w:t>
            </w:r>
          </w:p>
          <w:p w:rsidR="00361186" w:rsidRPr="00DD2A86" w:rsidRDefault="00361186" w:rsidP="0036118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9.3.3.52.3 b)</w:t>
            </w:r>
          </w:p>
        </w:tc>
        <w:tc>
          <w:tcPr>
            <w:tcW w:w="3686" w:type="dxa"/>
          </w:tcPr>
          <w:p w:rsidR="00361186" w:rsidRPr="00DD2A86" w:rsidRDefault="00361186" w:rsidP="00361186">
            <w:pPr>
              <w:suppressAutoHyphens w:val="0"/>
              <w:autoSpaceDE w:val="0"/>
              <w:autoSpaceDN w:val="0"/>
              <w:adjustRightInd w:val="0"/>
              <w:spacing w:line="240" w:lineRule="auto"/>
              <w:rPr>
                <w:rFonts w:ascii="Times New Roman" w:hAnsi="Times New Roman"/>
                <w:i/>
                <w:szCs w:val="20"/>
              </w:rPr>
            </w:pPr>
            <w:r w:rsidRPr="00DD2A86">
              <w:rPr>
                <w:rFonts w:ascii="Times New Roman" w:hAnsi="Times New Roman"/>
                <w:i/>
                <w:szCs w:val="20"/>
              </w:rPr>
              <w:t>Streichen</w:t>
            </w:r>
          </w:p>
        </w:tc>
        <w:tc>
          <w:tcPr>
            <w:tcW w:w="4394" w:type="dxa"/>
          </w:tcPr>
          <w:p w:rsidR="00361186" w:rsidRPr="00DD2A86" w:rsidRDefault="00361186" w:rsidP="00361186">
            <w:pPr>
              <w:suppressAutoHyphens w:val="0"/>
              <w:autoSpaceDE w:val="0"/>
              <w:autoSpaceDN w:val="0"/>
              <w:adjustRightInd w:val="0"/>
              <w:spacing w:line="240" w:lineRule="auto"/>
              <w:rPr>
                <w:rFonts w:ascii="Times New Roman" w:hAnsi="Times New Roman"/>
                <w:szCs w:val="20"/>
              </w:rPr>
            </w:pPr>
          </w:p>
        </w:tc>
      </w:tr>
      <w:tr w:rsidR="00361186" w:rsidRPr="00DD2A86" w:rsidTr="00361186">
        <w:trPr>
          <w:cantSplit/>
          <w:trHeight w:val="464"/>
        </w:trPr>
        <w:tc>
          <w:tcPr>
            <w:tcW w:w="1276" w:type="dxa"/>
          </w:tcPr>
          <w:p w:rsidR="00361186" w:rsidRPr="00DD2A86" w:rsidRDefault="00361186" w:rsidP="0036118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9.3.3.52.3 a)</w:t>
            </w:r>
          </w:p>
          <w:p w:rsidR="00361186" w:rsidRPr="00DD2A86" w:rsidRDefault="00361186" w:rsidP="0036118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9.3.3.52.3 b)</w:t>
            </w:r>
          </w:p>
          <w:p w:rsidR="00361186" w:rsidRPr="00DD2A86" w:rsidRDefault="00361186" w:rsidP="00361186">
            <w:pPr>
              <w:suppressAutoHyphens w:val="0"/>
              <w:autoSpaceDE w:val="0"/>
              <w:autoSpaceDN w:val="0"/>
              <w:adjustRightInd w:val="0"/>
              <w:spacing w:line="240" w:lineRule="auto"/>
              <w:jc w:val="center"/>
              <w:rPr>
                <w:rFonts w:ascii="Times New Roman" w:hAnsi="Times New Roman"/>
                <w:i/>
                <w:sz w:val="18"/>
                <w:szCs w:val="18"/>
              </w:rPr>
            </w:pPr>
            <w:r w:rsidRPr="00DD2A86">
              <w:rPr>
                <w:rFonts w:ascii="Times New Roman" w:hAnsi="Times New Roman"/>
                <w:i/>
                <w:sz w:val="18"/>
                <w:szCs w:val="18"/>
              </w:rPr>
              <w:t>Wie folgt um-nummerieren:</w:t>
            </w:r>
          </w:p>
          <w:p w:rsidR="00361186" w:rsidRPr="00DD2A86" w:rsidRDefault="00361186" w:rsidP="00361186">
            <w:pPr>
              <w:suppressAutoHyphens w:val="0"/>
              <w:autoSpaceDE w:val="0"/>
              <w:autoSpaceDN w:val="0"/>
              <w:adjustRightInd w:val="0"/>
              <w:spacing w:line="240" w:lineRule="auto"/>
              <w:jc w:val="center"/>
              <w:rPr>
                <w:rFonts w:ascii="Times New Roman" w:hAnsi="Times New Roman"/>
                <w:b/>
                <w:bCs/>
                <w:i/>
                <w:szCs w:val="20"/>
                <w:lang w:eastAsia="de-DE"/>
              </w:rPr>
            </w:pPr>
            <w:r w:rsidRPr="00DD2A86">
              <w:rPr>
                <w:rFonts w:ascii="Times New Roman" w:hAnsi="Times New Roman"/>
                <w:b/>
                <w:bCs/>
                <w:i/>
                <w:szCs w:val="20"/>
                <w:lang w:eastAsia="de-DE"/>
              </w:rPr>
              <w:t>9.3.3.52.1</w:t>
            </w:r>
          </w:p>
        </w:tc>
        <w:tc>
          <w:tcPr>
            <w:tcW w:w="3686" w:type="dxa"/>
          </w:tcPr>
          <w:p w:rsidR="00361186" w:rsidRPr="00DD2A86" w:rsidRDefault="00361186" w:rsidP="00361186">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szCs w:val="20"/>
              </w:rPr>
              <w:t>Elektrische Einrichtungen, die während eines Aufenthalts, in einer oder unmittelbar angrenzend an eine landseitig ausgewiesene Zone betrieben werden</w:t>
            </w:r>
          </w:p>
        </w:tc>
        <w:tc>
          <w:tcPr>
            <w:tcW w:w="4394" w:type="dxa"/>
          </w:tcPr>
          <w:p w:rsidR="00361186" w:rsidRPr="00DD2A86" w:rsidRDefault="00361186" w:rsidP="00361186">
            <w:pPr>
              <w:widowControl w:val="0"/>
              <w:tabs>
                <w:tab w:val="left" w:pos="170"/>
              </w:tabs>
              <w:suppressAutoHyphens w:val="0"/>
              <w:overflowPunct w:val="0"/>
              <w:autoSpaceDE w:val="0"/>
              <w:autoSpaceDN w:val="0"/>
              <w:adjustRightInd w:val="0"/>
              <w:spacing w:after="60"/>
              <w:jc w:val="center"/>
              <w:textAlignment w:val="baseline"/>
              <w:rPr>
                <w:rFonts w:ascii="Times New Roman" w:hAnsi="Times New Roman"/>
                <w:szCs w:val="20"/>
                <w:lang w:eastAsia="fr-FR"/>
              </w:rPr>
            </w:pPr>
            <w:r w:rsidRPr="00DD2A86">
              <w:rPr>
                <w:rFonts w:ascii="Times New Roman" w:hAnsi="Times New Roman"/>
                <w:szCs w:val="20"/>
                <w:lang w:eastAsia="fr-FR"/>
              </w:rPr>
              <w:t>N.E.U. ab dem 1. Januar 2019 für Schiffe des Typs N offen</w:t>
            </w:r>
          </w:p>
          <w:p w:rsidR="00361186" w:rsidRPr="00DD2A86" w:rsidRDefault="00361186" w:rsidP="00361186">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szCs w:val="20"/>
              </w:rPr>
              <w:t>Erneuerung des Zulassungszeugnisses nach dem 31. Dezember 2034</w:t>
            </w:r>
          </w:p>
        </w:tc>
      </w:tr>
      <w:tr w:rsidR="00361186" w:rsidRPr="00DD2A86" w:rsidTr="00361186">
        <w:trPr>
          <w:cantSplit/>
          <w:trHeight w:val="464"/>
        </w:trPr>
        <w:tc>
          <w:tcPr>
            <w:tcW w:w="1276" w:type="dxa"/>
          </w:tcPr>
          <w:p w:rsidR="00361186" w:rsidRPr="00DD2A86" w:rsidRDefault="00361186" w:rsidP="0036118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9.3.1.52.3 b)</w:t>
            </w:r>
          </w:p>
          <w:p w:rsidR="00361186" w:rsidRPr="00DD2A86" w:rsidRDefault="00361186" w:rsidP="0036118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9.3.2.52.3 b)</w:t>
            </w:r>
          </w:p>
          <w:p w:rsidR="00361186" w:rsidRPr="00DD2A86" w:rsidRDefault="00361186" w:rsidP="0036118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9.3.3.52.3 b)</w:t>
            </w:r>
          </w:p>
          <w:p w:rsidR="00361186" w:rsidRPr="00DD2A86" w:rsidRDefault="00361186" w:rsidP="0036118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in Verbindung mit Absatz 3 a)</w:t>
            </w:r>
          </w:p>
        </w:tc>
        <w:tc>
          <w:tcPr>
            <w:tcW w:w="3686" w:type="dxa"/>
          </w:tcPr>
          <w:p w:rsidR="00361186" w:rsidRPr="00DD2A86" w:rsidRDefault="00361186" w:rsidP="00361186">
            <w:pPr>
              <w:suppressAutoHyphens w:val="0"/>
              <w:autoSpaceDE w:val="0"/>
              <w:autoSpaceDN w:val="0"/>
              <w:adjustRightInd w:val="0"/>
              <w:spacing w:line="240" w:lineRule="auto"/>
              <w:rPr>
                <w:rFonts w:ascii="Times New Roman" w:hAnsi="Times New Roman"/>
                <w:i/>
                <w:szCs w:val="20"/>
              </w:rPr>
            </w:pPr>
            <w:r w:rsidRPr="00DD2A86">
              <w:rPr>
                <w:rFonts w:ascii="Times New Roman" w:hAnsi="Times New Roman"/>
                <w:i/>
                <w:szCs w:val="20"/>
              </w:rPr>
              <w:t>Streichen</w:t>
            </w:r>
          </w:p>
        </w:tc>
        <w:tc>
          <w:tcPr>
            <w:tcW w:w="4394" w:type="dxa"/>
          </w:tcPr>
          <w:p w:rsidR="00361186" w:rsidRPr="00DD2A86" w:rsidRDefault="00361186" w:rsidP="00361186">
            <w:pPr>
              <w:suppressAutoHyphens w:val="0"/>
              <w:autoSpaceDE w:val="0"/>
              <w:autoSpaceDN w:val="0"/>
              <w:adjustRightInd w:val="0"/>
              <w:spacing w:line="240" w:lineRule="auto"/>
              <w:rPr>
                <w:rFonts w:ascii="Times New Roman" w:hAnsi="Times New Roman"/>
                <w:strike/>
                <w:szCs w:val="20"/>
              </w:rPr>
            </w:pPr>
          </w:p>
        </w:tc>
      </w:tr>
      <w:tr w:rsidR="00361186" w:rsidRPr="00DD2A86" w:rsidTr="00361186">
        <w:trPr>
          <w:cantSplit/>
          <w:trHeight w:val="464"/>
        </w:trPr>
        <w:tc>
          <w:tcPr>
            <w:tcW w:w="1276" w:type="dxa"/>
          </w:tcPr>
          <w:p w:rsidR="00361186" w:rsidRPr="00DD2A86" w:rsidRDefault="00361186" w:rsidP="0036118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9.3.1.52.4</w:t>
            </w:r>
          </w:p>
          <w:p w:rsidR="00361186" w:rsidRPr="00DD2A86" w:rsidRDefault="00361186" w:rsidP="0036118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9.3.2.52.4</w:t>
            </w:r>
          </w:p>
          <w:p w:rsidR="00361186" w:rsidRPr="00DD2A86" w:rsidRDefault="00361186" w:rsidP="0036118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9.3.3.52.4</w:t>
            </w:r>
          </w:p>
          <w:p w:rsidR="00361186" w:rsidRPr="00DD2A86" w:rsidRDefault="00361186" w:rsidP="00361186">
            <w:pPr>
              <w:suppressAutoHyphens w:val="0"/>
              <w:autoSpaceDE w:val="0"/>
              <w:autoSpaceDN w:val="0"/>
              <w:adjustRightInd w:val="0"/>
              <w:spacing w:line="240" w:lineRule="auto"/>
              <w:jc w:val="center"/>
              <w:rPr>
                <w:rFonts w:ascii="Times New Roman" w:hAnsi="Times New Roman"/>
                <w:szCs w:val="20"/>
                <w:lang w:eastAsia="fr-FR"/>
              </w:rPr>
            </w:pPr>
            <w:r w:rsidRPr="00DD2A86">
              <w:rPr>
                <w:rFonts w:ascii="Times New Roman" w:hAnsi="Times New Roman"/>
                <w:szCs w:val="20"/>
                <w:lang w:eastAsia="fr-FR"/>
              </w:rPr>
              <w:t>letzter Satz</w:t>
            </w:r>
          </w:p>
          <w:p w:rsidR="00361186" w:rsidRPr="00DD2A86" w:rsidRDefault="00361186" w:rsidP="00361186">
            <w:pPr>
              <w:suppressAutoHyphens w:val="0"/>
              <w:autoSpaceDE w:val="0"/>
              <w:autoSpaceDN w:val="0"/>
              <w:adjustRightInd w:val="0"/>
              <w:spacing w:line="240" w:lineRule="auto"/>
              <w:jc w:val="center"/>
              <w:rPr>
                <w:rFonts w:ascii="Times New Roman" w:hAnsi="Times New Roman"/>
                <w:i/>
                <w:sz w:val="18"/>
                <w:szCs w:val="18"/>
              </w:rPr>
            </w:pPr>
            <w:r w:rsidRPr="00DD2A86">
              <w:rPr>
                <w:rFonts w:ascii="Times New Roman" w:hAnsi="Times New Roman"/>
                <w:i/>
                <w:sz w:val="18"/>
                <w:szCs w:val="18"/>
              </w:rPr>
              <w:t>Wie folgt um-nummerieren:</w:t>
            </w:r>
          </w:p>
          <w:p w:rsidR="00361186" w:rsidRPr="00DD2A86" w:rsidRDefault="00361186" w:rsidP="00361186">
            <w:pPr>
              <w:suppressAutoHyphens w:val="0"/>
              <w:autoSpaceDE w:val="0"/>
              <w:autoSpaceDN w:val="0"/>
              <w:adjustRightInd w:val="0"/>
              <w:spacing w:line="240" w:lineRule="auto"/>
              <w:jc w:val="center"/>
              <w:rPr>
                <w:rFonts w:ascii="Times New Roman" w:hAnsi="Times New Roman"/>
                <w:b/>
                <w:i/>
                <w:szCs w:val="20"/>
              </w:rPr>
            </w:pPr>
            <w:r w:rsidRPr="00DD2A86">
              <w:rPr>
                <w:rFonts w:ascii="Times New Roman" w:hAnsi="Times New Roman"/>
                <w:b/>
                <w:i/>
                <w:szCs w:val="20"/>
              </w:rPr>
              <w:t>9.3.1.52.3</w:t>
            </w:r>
          </w:p>
          <w:p w:rsidR="00361186" w:rsidRPr="00DD2A86" w:rsidRDefault="00361186" w:rsidP="00361186">
            <w:pPr>
              <w:suppressAutoHyphens w:val="0"/>
              <w:autoSpaceDE w:val="0"/>
              <w:autoSpaceDN w:val="0"/>
              <w:adjustRightInd w:val="0"/>
              <w:spacing w:line="240" w:lineRule="auto"/>
              <w:jc w:val="center"/>
              <w:rPr>
                <w:rFonts w:ascii="Times New Roman" w:hAnsi="Times New Roman"/>
                <w:b/>
                <w:i/>
                <w:szCs w:val="20"/>
              </w:rPr>
            </w:pPr>
            <w:r w:rsidRPr="00DD2A86">
              <w:rPr>
                <w:rFonts w:ascii="Times New Roman" w:hAnsi="Times New Roman"/>
                <w:b/>
                <w:i/>
                <w:szCs w:val="20"/>
              </w:rPr>
              <w:t>9.3.2.52.3</w:t>
            </w:r>
          </w:p>
          <w:p w:rsidR="00361186" w:rsidRPr="00DD2A86" w:rsidRDefault="00361186" w:rsidP="00361186">
            <w:pPr>
              <w:suppressAutoHyphens w:val="0"/>
              <w:autoSpaceDE w:val="0"/>
              <w:autoSpaceDN w:val="0"/>
              <w:adjustRightInd w:val="0"/>
              <w:spacing w:line="240" w:lineRule="auto"/>
              <w:jc w:val="center"/>
              <w:rPr>
                <w:rFonts w:ascii="Times New Roman" w:hAnsi="Times New Roman"/>
                <w:b/>
                <w:i/>
                <w:szCs w:val="20"/>
              </w:rPr>
            </w:pPr>
            <w:r w:rsidRPr="00DD2A86">
              <w:rPr>
                <w:rFonts w:ascii="Times New Roman" w:hAnsi="Times New Roman"/>
                <w:b/>
                <w:i/>
                <w:szCs w:val="20"/>
              </w:rPr>
              <w:t>9.3.3.52.3</w:t>
            </w:r>
          </w:p>
          <w:p w:rsidR="00361186" w:rsidRPr="00DD2A86" w:rsidRDefault="00361186" w:rsidP="00361186">
            <w:pPr>
              <w:widowControl w:val="0"/>
              <w:tabs>
                <w:tab w:val="left" w:pos="170"/>
                <w:tab w:val="left" w:pos="708"/>
              </w:tabs>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b/>
                <w:i/>
                <w:szCs w:val="20"/>
                <w:lang w:eastAsia="fr-FR"/>
              </w:rPr>
              <w:t>letzter Satz</w:t>
            </w:r>
          </w:p>
        </w:tc>
        <w:tc>
          <w:tcPr>
            <w:tcW w:w="3686" w:type="dxa"/>
          </w:tcPr>
          <w:p w:rsidR="00361186" w:rsidRPr="00DD2A86" w:rsidRDefault="00361186" w:rsidP="00361186">
            <w:pPr>
              <w:widowControl w:val="0"/>
              <w:tabs>
                <w:tab w:val="left" w:pos="708"/>
              </w:tabs>
              <w:suppressAutoHyphens w:val="0"/>
              <w:overflowPunct w:val="0"/>
              <w:autoSpaceDE w:val="0"/>
              <w:autoSpaceDN w:val="0"/>
              <w:adjustRightInd w:val="0"/>
              <w:spacing w:line="240" w:lineRule="auto"/>
              <w:textAlignment w:val="baseline"/>
              <w:rPr>
                <w:rFonts w:ascii="Times New Roman" w:hAnsi="Times New Roman"/>
                <w:szCs w:val="20"/>
                <w:lang w:eastAsia="fr-FR"/>
              </w:rPr>
            </w:pPr>
            <w:r w:rsidRPr="00DD2A86">
              <w:rPr>
                <w:rFonts w:ascii="Times New Roman" w:hAnsi="Times New Roman"/>
                <w:szCs w:val="20"/>
                <w:lang w:eastAsia="fr-FR"/>
              </w:rPr>
              <w:t>Abschalten dieser Einrichtungen an einer zentralen Stelle</w:t>
            </w:r>
          </w:p>
          <w:p w:rsidR="00361186" w:rsidRPr="00DD2A86" w:rsidRDefault="00361186" w:rsidP="00361186">
            <w:pPr>
              <w:widowControl w:val="0"/>
              <w:tabs>
                <w:tab w:val="left" w:pos="708"/>
              </w:tabs>
              <w:suppressAutoHyphens w:val="0"/>
              <w:overflowPunct w:val="0"/>
              <w:autoSpaceDE w:val="0"/>
              <w:autoSpaceDN w:val="0"/>
              <w:adjustRightInd w:val="0"/>
              <w:spacing w:line="240" w:lineRule="auto"/>
              <w:textAlignment w:val="baseline"/>
              <w:rPr>
                <w:rFonts w:ascii="Times New Roman" w:hAnsi="Times New Roman"/>
                <w:szCs w:val="20"/>
                <w:lang w:eastAsia="fr-FR"/>
              </w:rPr>
            </w:pPr>
          </w:p>
          <w:p w:rsidR="00361186" w:rsidRPr="00DD2A86" w:rsidRDefault="00361186" w:rsidP="00361186">
            <w:pPr>
              <w:widowControl w:val="0"/>
              <w:tabs>
                <w:tab w:val="left" w:pos="708"/>
              </w:tabs>
              <w:suppressAutoHyphens w:val="0"/>
              <w:overflowPunct w:val="0"/>
              <w:autoSpaceDE w:val="0"/>
              <w:autoSpaceDN w:val="0"/>
              <w:adjustRightInd w:val="0"/>
              <w:spacing w:line="240" w:lineRule="auto"/>
              <w:textAlignment w:val="baseline"/>
              <w:rPr>
                <w:rFonts w:ascii="Times New Roman" w:hAnsi="Times New Roman"/>
                <w:i/>
                <w:szCs w:val="20"/>
              </w:rPr>
            </w:pPr>
            <w:r w:rsidRPr="00DD2A86">
              <w:rPr>
                <w:rFonts w:ascii="Times New Roman" w:hAnsi="Times New Roman"/>
                <w:i/>
                <w:szCs w:val="20"/>
              </w:rPr>
              <w:t>Unverändert</w:t>
            </w:r>
          </w:p>
        </w:tc>
        <w:tc>
          <w:tcPr>
            <w:tcW w:w="4394" w:type="dxa"/>
          </w:tcPr>
          <w:p w:rsidR="00361186" w:rsidRPr="00DD2A86" w:rsidRDefault="00361186" w:rsidP="00361186">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N.E.U.</w:t>
            </w:r>
          </w:p>
          <w:p w:rsidR="00361186" w:rsidRPr="00DD2A86" w:rsidRDefault="00361186" w:rsidP="00361186">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szCs w:val="20"/>
              </w:rPr>
            </w:pPr>
            <w:r w:rsidRPr="00DD2A86">
              <w:rPr>
                <w:rFonts w:ascii="Times New Roman" w:hAnsi="Times New Roman"/>
                <w:szCs w:val="20"/>
              </w:rPr>
              <w:t>Erneuerung des Zulassungszeugnisses nach dem 31. Dezember 2034</w:t>
            </w:r>
          </w:p>
        </w:tc>
      </w:tr>
      <w:tr w:rsidR="00361186" w:rsidRPr="00DD2A86" w:rsidTr="00361186">
        <w:trPr>
          <w:cantSplit/>
          <w:trHeight w:val="464"/>
        </w:trPr>
        <w:tc>
          <w:tcPr>
            <w:tcW w:w="1276" w:type="dxa"/>
          </w:tcPr>
          <w:p w:rsidR="00361186" w:rsidRPr="00DD2A86" w:rsidRDefault="00361186" w:rsidP="00361186">
            <w:pPr>
              <w:widowControl w:val="0"/>
              <w:tabs>
                <w:tab w:val="left" w:pos="170"/>
                <w:tab w:val="left" w:pos="708"/>
              </w:tabs>
              <w:suppressAutoHyphens w:val="0"/>
              <w:overflowPunct w:val="0"/>
              <w:autoSpaceDE w:val="0"/>
              <w:autoSpaceDN w:val="0"/>
              <w:adjustRightInd w:val="0"/>
              <w:spacing w:before="120"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9.3.3.52.4</w:t>
            </w:r>
          </w:p>
          <w:p w:rsidR="00361186" w:rsidRPr="00DD2A86" w:rsidRDefault="00361186" w:rsidP="00361186">
            <w:pPr>
              <w:suppressAutoHyphens w:val="0"/>
              <w:autoSpaceDE w:val="0"/>
              <w:autoSpaceDN w:val="0"/>
              <w:adjustRightInd w:val="0"/>
              <w:spacing w:line="240" w:lineRule="auto"/>
              <w:jc w:val="center"/>
              <w:rPr>
                <w:rFonts w:ascii="Times New Roman" w:hAnsi="Times New Roman"/>
                <w:i/>
                <w:sz w:val="18"/>
                <w:szCs w:val="18"/>
              </w:rPr>
            </w:pPr>
            <w:r w:rsidRPr="00DD2A86">
              <w:rPr>
                <w:rFonts w:ascii="Times New Roman" w:hAnsi="Times New Roman"/>
                <w:i/>
                <w:sz w:val="18"/>
                <w:szCs w:val="18"/>
              </w:rPr>
              <w:t>Wie folgt um-nummerieren:</w:t>
            </w:r>
          </w:p>
          <w:p w:rsidR="00361186" w:rsidRPr="00DD2A86" w:rsidRDefault="00361186" w:rsidP="00361186">
            <w:pPr>
              <w:widowControl w:val="0"/>
              <w:tabs>
                <w:tab w:val="left" w:pos="170"/>
                <w:tab w:val="left" w:pos="708"/>
              </w:tabs>
              <w:suppressAutoHyphens w:val="0"/>
              <w:overflowPunct w:val="0"/>
              <w:autoSpaceDE w:val="0"/>
              <w:autoSpaceDN w:val="0"/>
              <w:adjustRightInd w:val="0"/>
              <w:spacing w:line="240" w:lineRule="auto"/>
              <w:jc w:val="center"/>
              <w:textAlignment w:val="baseline"/>
              <w:rPr>
                <w:rFonts w:ascii="Times New Roman" w:hAnsi="Times New Roman"/>
                <w:b/>
                <w:i/>
                <w:szCs w:val="20"/>
                <w:lang w:eastAsia="fr-FR"/>
              </w:rPr>
            </w:pPr>
            <w:r w:rsidRPr="00DD2A86">
              <w:rPr>
                <w:rFonts w:ascii="Times New Roman" w:hAnsi="Times New Roman"/>
                <w:b/>
                <w:i/>
                <w:szCs w:val="20"/>
                <w:lang w:eastAsia="fr-FR"/>
              </w:rPr>
              <w:t>9.3.3.52.3</w:t>
            </w:r>
          </w:p>
        </w:tc>
        <w:tc>
          <w:tcPr>
            <w:tcW w:w="3686" w:type="dxa"/>
          </w:tcPr>
          <w:p w:rsidR="00361186" w:rsidRPr="00DD2A86" w:rsidRDefault="00361186" w:rsidP="00361186">
            <w:pPr>
              <w:widowControl w:val="0"/>
              <w:tabs>
                <w:tab w:val="left" w:pos="708"/>
              </w:tabs>
              <w:suppressAutoHyphens w:val="0"/>
              <w:overflowPunct w:val="0"/>
              <w:autoSpaceDE w:val="0"/>
              <w:autoSpaceDN w:val="0"/>
              <w:adjustRightInd w:val="0"/>
              <w:spacing w:before="60" w:after="60" w:line="240" w:lineRule="exact"/>
              <w:textAlignment w:val="baseline"/>
              <w:rPr>
                <w:rFonts w:ascii="Times New Roman" w:hAnsi="Times New Roman"/>
                <w:szCs w:val="20"/>
                <w:lang w:eastAsia="fr-FR"/>
              </w:rPr>
            </w:pPr>
            <w:r w:rsidRPr="00DD2A86">
              <w:rPr>
                <w:rFonts w:ascii="Times New Roman" w:hAnsi="Times New Roman"/>
                <w:szCs w:val="20"/>
                <w:lang w:eastAsia="fr-FR"/>
              </w:rPr>
              <w:t>Rote Kennzeichnung an elektrischen Anlagen und Geräten</w:t>
            </w:r>
          </w:p>
        </w:tc>
        <w:tc>
          <w:tcPr>
            <w:tcW w:w="4394" w:type="dxa"/>
          </w:tcPr>
          <w:p w:rsidR="00361186" w:rsidRPr="00DD2A86" w:rsidRDefault="00361186" w:rsidP="00361186">
            <w:pPr>
              <w:widowControl w:val="0"/>
              <w:tabs>
                <w:tab w:val="left" w:pos="708"/>
              </w:tabs>
              <w:suppressAutoHyphens w:val="0"/>
              <w:overflowPunct w:val="0"/>
              <w:autoSpaceDE w:val="0"/>
              <w:autoSpaceDN w:val="0"/>
              <w:adjustRightInd w:val="0"/>
              <w:spacing w:before="120"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N.E.U. ab 1. Januar 2019 für Schiffe des Typs N offen</w:t>
            </w:r>
          </w:p>
          <w:p w:rsidR="00361186" w:rsidRPr="00DD2A86" w:rsidRDefault="00361186" w:rsidP="00361186">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Erneuerung des Zulassungszeugnisses nach dem 31. Dezember 2034</w:t>
            </w:r>
          </w:p>
        </w:tc>
      </w:tr>
      <w:tr w:rsidR="00361186" w:rsidRPr="00DD2A86" w:rsidTr="00361186">
        <w:trPr>
          <w:cantSplit/>
          <w:trHeight w:val="274"/>
        </w:trPr>
        <w:tc>
          <w:tcPr>
            <w:tcW w:w="1276" w:type="dxa"/>
          </w:tcPr>
          <w:p w:rsidR="00361186" w:rsidRPr="00DD2A86" w:rsidRDefault="00361186" w:rsidP="0036118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9.3.3.52.5</w:t>
            </w:r>
          </w:p>
          <w:p w:rsidR="00361186" w:rsidRPr="00DD2A86" w:rsidRDefault="00361186" w:rsidP="00361186">
            <w:pPr>
              <w:suppressAutoHyphens w:val="0"/>
              <w:autoSpaceDE w:val="0"/>
              <w:autoSpaceDN w:val="0"/>
              <w:adjustRightInd w:val="0"/>
              <w:spacing w:line="240" w:lineRule="auto"/>
              <w:jc w:val="center"/>
              <w:rPr>
                <w:rFonts w:ascii="Times New Roman" w:hAnsi="Times New Roman"/>
                <w:i/>
                <w:sz w:val="18"/>
                <w:szCs w:val="18"/>
              </w:rPr>
            </w:pPr>
            <w:r w:rsidRPr="00DD2A86">
              <w:rPr>
                <w:rFonts w:ascii="Times New Roman" w:hAnsi="Times New Roman"/>
                <w:i/>
                <w:sz w:val="18"/>
                <w:szCs w:val="18"/>
              </w:rPr>
              <w:t>Wie folgt um-nummerieren:</w:t>
            </w:r>
          </w:p>
          <w:p w:rsidR="00361186" w:rsidRPr="00DD2A86" w:rsidRDefault="00361186" w:rsidP="00361186">
            <w:pPr>
              <w:suppressAutoHyphens w:val="0"/>
              <w:autoSpaceDE w:val="0"/>
              <w:autoSpaceDN w:val="0"/>
              <w:adjustRightInd w:val="0"/>
              <w:spacing w:line="240" w:lineRule="auto"/>
              <w:jc w:val="center"/>
              <w:rPr>
                <w:rFonts w:ascii="Times New Roman" w:hAnsi="Times New Roman"/>
                <w:b/>
                <w:bCs/>
                <w:i/>
                <w:szCs w:val="20"/>
              </w:rPr>
            </w:pPr>
            <w:r w:rsidRPr="00DD2A86">
              <w:rPr>
                <w:rFonts w:ascii="Times New Roman" w:hAnsi="Times New Roman"/>
                <w:b/>
                <w:bCs/>
                <w:i/>
                <w:szCs w:val="20"/>
              </w:rPr>
              <w:t>9.3.3.52.6</w:t>
            </w:r>
          </w:p>
        </w:tc>
        <w:tc>
          <w:tcPr>
            <w:tcW w:w="3686" w:type="dxa"/>
          </w:tcPr>
          <w:p w:rsidR="00361186" w:rsidRPr="00DD2A86" w:rsidRDefault="00361186" w:rsidP="00361186">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szCs w:val="20"/>
              </w:rPr>
              <w:t>Entregungsschalter ständig angetriebener Generatoren</w:t>
            </w:r>
          </w:p>
          <w:p w:rsidR="00361186" w:rsidRPr="00DD2A86" w:rsidRDefault="00361186" w:rsidP="00361186">
            <w:pPr>
              <w:suppressAutoHyphens w:val="0"/>
              <w:autoSpaceDE w:val="0"/>
              <w:autoSpaceDN w:val="0"/>
              <w:adjustRightInd w:val="0"/>
              <w:spacing w:line="240" w:lineRule="auto"/>
              <w:rPr>
                <w:rFonts w:ascii="Times New Roman" w:hAnsi="Times New Roman"/>
                <w:szCs w:val="20"/>
              </w:rPr>
            </w:pPr>
          </w:p>
          <w:p w:rsidR="00361186" w:rsidRPr="00DD2A86" w:rsidRDefault="00361186" w:rsidP="00361186">
            <w:pPr>
              <w:suppressAutoHyphens w:val="0"/>
              <w:autoSpaceDE w:val="0"/>
              <w:autoSpaceDN w:val="0"/>
              <w:adjustRightInd w:val="0"/>
              <w:spacing w:line="240" w:lineRule="auto"/>
              <w:rPr>
                <w:rFonts w:ascii="Times New Roman" w:hAnsi="Times New Roman"/>
                <w:i/>
                <w:szCs w:val="20"/>
              </w:rPr>
            </w:pPr>
            <w:r w:rsidRPr="00DD2A86">
              <w:rPr>
                <w:rFonts w:ascii="Times New Roman" w:hAnsi="Times New Roman"/>
                <w:i/>
                <w:szCs w:val="20"/>
              </w:rPr>
              <w:t>Unverändert</w:t>
            </w:r>
          </w:p>
        </w:tc>
        <w:tc>
          <w:tcPr>
            <w:tcW w:w="4394" w:type="dxa"/>
          </w:tcPr>
          <w:p w:rsidR="00361186" w:rsidRPr="00DD2A86" w:rsidRDefault="00361186" w:rsidP="00361186">
            <w:pPr>
              <w:widowControl w:val="0"/>
              <w:tabs>
                <w:tab w:val="left" w:pos="170"/>
              </w:tabs>
              <w:suppressAutoHyphens w:val="0"/>
              <w:overflowPunct w:val="0"/>
              <w:autoSpaceDE w:val="0"/>
              <w:autoSpaceDN w:val="0"/>
              <w:adjustRightInd w:val="0"/>
              <w:spacing w:before="60" w:after="60"/>
              <w:jc w:val="center"/>
              <w:textAlignment w:val="baseline"/>
              <w:rPr>
                <w:rFonts w:ascii="Times New Roman" w:hAnsi="Times New Roman"/>
                <w:szCs w:val="20"/>
                <w:lang w:eastAsia="fr-FR"/>
              </w:rPr>
            </w:pPr>
            <w:r w:rsidRPr="00DD2A86">
              <w:rPr>
                <w:rFonts w:ascii="Times New Roman" w:hAnsi="Times New Roman"/>
                <w:szCs w:val="20"/>
                <w:lang w:eastAsia="fr-FR"/>
              </w:rPr>
              <w:t>N.E.U. für Schiffe des Typs N offen</w:t>
            </w:r>
          </w:p>
          <w:p w:rsidR="00361186" w:rsidRPr="00DD2A86" w:rsidRDefault="00361186" w:rsidP="0036118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Erneuerung des Zulassungszeugnisses nach dem 31. Dezember 2034</w:t>
            </w:r>
          </w:p>
          <w:p w:rsidR="00361186" w:rsidRPr="00DD2A86" w:rsidRDefault="00361186" w:rsidP="00361186">
            <w:pPr>
              <w:suppressAutoHyphens w:val="0"/>
              <w:autoSpaceDE w:val="0"/>
              <w:autoSpaceDN w:val="0"/>
              <w:adjustRightInd w:val="0"/>
              <w:spacing w:line="240" w:lineRule="auto"/>
              <w:rPr>
                <w:rFonts w:ascii="Times New Roman" w:hAnsi="Times New Roman"/>
                <w:szCs w:val="20"/>
              </w:rPr>
            </w:pPr>
          </w:p>
          <w:p w:rsidR="00361186" w:rsidRPr="00DD2A86" w:rsidRDefault="00361186" w:rsidP="00361186">
            <w:pPr>
              <w:suppressAutoHyphens w:val="0"/>
              <w:autoSpaceDE w:val="0"/>
              <w:autoSpaceDN w:val="0"/>
              <w:adjustRightInd w:val="0"/>
              <w:spacing w:line="240" w:lineRule="auto"/>
              <w:rPr>
                <w:rFonts w:ascii="Times New Roman" w:hAnsi="Times New Roman"/>
                <w:i/>
                <w:szCs w:val="20"/>
              </w:rPr>
            </w:pPr>
            <w:r w:rsidRPr="00DD2A86">
              <w:rPr>
                <w:rFonts w:ascii="Times New Roman" w:hAnsi="Times New Roman"/>
                <w:i/>
                <w:szCs w:val="20"/>
              </w:rPr>
              <w:t>Unverändert</w:t>
            </w:r>
          </w:p>
        </w:tc>
      </w:tr>
      <w:tr w:rsidR="00361186" w:rsidRPr="00DD2A86" w:rsidTr="00361186">
        <w:trPr>
          <w:cantSplit/>
          <w:trHeight w:val="274"/>
        </w:trPr>
        <w:tc>
          <w:tcPr>
            <w:tcW w:w="1276" w:type="dxa"/>
          </w:tcPr>
          <w:p w:rsidR="00361186" w:rsidRPr="00DD2A86" w:rsidRDefault="00361186" w:rsidP="00361186">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9.3.3.52.6</w:t>
            </w:r>
          </w:p>
          <w:p w:rsidR="00361186" w:rsidRPr="00DD2A86" w:rsidRDefault="00361186" w:rsidP="00361186">
            <w:pPr>
              <w:suppressAutoHyphens w:val="0"/>
              <w:autoSpaceDE w:val="0"/>
              <w:autoSpaceDN w:val="0"/>
              <w:adjustRightInd w:val="0"/>
              <w:spacing w:line="240" w:lineRule="auto"/>
              <w:jc w:val="center"/>
              <w:rPr>
                <w:rFonts w:ascii="Times New Roman" w:hAnsi="Times New Roman"/>
                <w:i/>
                <w:sz w:val="18"/>
                <w:szCs w:val="18"/>
              </w:rPr>
            </w:pPr>
            <w:r w:rsidRPr="00DD2A86">
              <w:rPr>
                <w:rFonts w:ascii="Times New Roman" w:hAnsi="Times New Roman"/>
                <w:i/>
                <w:sz w:val="18"/>
                <w:szCs w:val="18"/>
              </w:rPr>
              <w:t>Wie folgt um-nummerieren:</w:t>
            </w:r>
          </w:p>
          <w:p w:rsidR="00361186" w:rsidRPr="00DD2A86" w:rsidRDefault="00361186" w:rsidP="00361186">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b/>
                <w:i/>
                <w:szCs w:val="20"/>
                <w:lang w:eastAsia="fr-FR"/>
              </w:rPr>
            </w:pPr>
            <w:r w:rsidRPr="00DD2A86">
              <w:rPr>
                <w:rFonts w:ascii="Times New Roman" w:hAnsi="Times New Roman"/>
                <w:b/>
                <w:i/>
                <w:szCs w:val="20"/>
                <w:lang w:eastAsia="fr-FR"/>
              </w:rPr>
              <w:t>9.3.3.52.9</w:t>
            </w:r>
          </w:p>
        </w:tc>
        <w:tc>
          <w:tcPr>
            <w:tcW w:w="3686" w:type="dxa"/>
          </w:tcPr>
          <w:p w:rsidR="00361186" w:rsidRPr="00DD2A86" w:rsidRDefault="00361186" w:rsidP="00361186">
            <w:pPr>
              <w:widowControl w:val="0"/>
              <w:tabs>
                <w:tab w:val="left" w:pos="708"/>
              </w:tabs>
              <w:suppressAutoHyphens w:val="0"/>
              <w:overflowPunct w:val="0"/>
              <w:autoSpaceDE w:val="0"/>
              <w:autoSpaceDN w:val="0"/>
              <w:adjustRightInd w:val="0"/>
              <w:spacing w:before="60" w:after="60" w:line="240" w:lineRule="exact"/>
              <w:textAlignment w:val="baseline"/>
              <w:rPr>
                <w:rFonts w:ascii="Times New Roman" w:hAnsi="Times New Roman"/>
                <w:szCs w:val="20"/>
                <w:lang w:eastAsia="fr-FR"/>
              </w:rPr>
            </w:pPr>
            <w:r w:rsidRPr="00DD2A86">
              <w:rPr>
                <w:rFonts w:ascii="Times New Roman" w:hAnsi="Times New Roman"/>
                <w:szCs w:val="20"/>
                <w:lang w:eastAsia="fr-FR"/>
              </w:rPr>
              <w:t>Feste Montierung Steckdosen</w:t>
            </w:r>
          </w:p>
          <w:p w:rsidR="00361186" w:rsidRPr="00DD2A86" w:rsidRDefault="00361186" w:rsidP="00361186">
            <w:pPr>
              <w:widowControl w:val="0"/>
              <w:tabs>
                <w:tab w:val="left" w:pos="708"/>
              </w:tabs>
              <w:suppressAutoHyphens w:val="0"/>
              <w:overflowPunct w:val="0"/>
              <w:autoSpaceDE w:val="0"/>
              <w:autoSpaceDN w:val="0"/>
              <w:adjustRightInd w:val="0"/>
              <w:spacing w:before="60" w:after="60" w:line="240" w:lineRule="exact"/>
              <w:textAlignment w:val="baseline"/>
              <w:rPr>
                <w:rFonts w:ascii="Times New Roman" w:hAnsi="Times New Roman"/>
                <w:szCs w:val="20"/>
                <w:lang w:eastAsia="fr-FR"/>
              </w:rPr>
            </w:pPr>
          </w:p>
          <w:p w:rsidR="00361186" w:rsidRPr="00DD2A86" w:rsidRDefault="00361186" w:rsidP="00361186">
            <w:pPr>
              <w:widowControl w:val="0"/>
              <w:tabs>
                <w:tab w:val="left" w:pos="708"/>
              </w:tabs>
              <w:suppressAutoHyphens w:val="0"/>
              <w:overflowPunct w:val="0"/>
              <w:autoSpaceDE w:val="0"/>
              <w:autoSpaceDN w:val="0"/>
              <w:adjustRightInd w:val="0"/>
              <w:spacing w:before="60" w:after="60" w:line="240" w:lineRule="exact"/>
              <w:textAlignment w:val="baseline"/>
              <w:rPr>
                <w:rFonts w:ascii="Times New Roman" w:hAnsi="Times New Roman"/>
                <w:szCs w:val="20"/>
                <w:lang w:eastAsia="fr-FR"/>
              </w:rPr>
            </w:pPr>
          </w:p>
          <w:p w:rsidR="00361186" w:rsidRPr="00DD2A86" w:rsidRDefault="00361186" w:rsidP="00361186">
            <w:pPr>
              <w:widowControl w:val="0"/>
              <w:tabs>
                <w:tab w:val="left" w:pos="708"/>
              </w:tabs>
              <w:suppressAutoHyphens w:val="0"/>
              <w:overflowPunct w:val="0"/>
              <w:autoSpaceDE w:val="0"/>
              <w:autoSpaceDN w:val="0"/>
              <w:adjustRightInd w:val="0"/>
              <w:spacing w:before="60" w:after="60" w:line="240" w:lineRule="exact"/>
              <w:textAlignment w:val="baseline"/>
              <w:rPr>
                <w:rFonts w:ascii="Times New Roman" w:hAnsi="Times New Roman"/>
                <w:i/>
                <w:szCs w:val="20"/>
              </w:rPr>
            </w:pPr>
            <w:r w:rsidRPr="00DD2A86">
              <w:rPr>
                <w:rFonts w:ascii="Times New Roman" w:hAnsi="Times New Roman"/>
                <w:i/>
                <w:szCs w:val="20"/>
              </w:rPr>
              <w:t>Unverändert</w:t>
            </w:r>
          </w:p>
        </w:tc>
        <w:tc>
          <w:tcPr>
            <w:tcW w:w="4394" w:type="dxa"/>
          </w:tcPr>
          <w:p w:rsidR="00361186" w:rsidRPr="00DD2A86" w:rsidRDefault="00361186" w:rsidP="00361186">
            <w:pPr>
              <w:widowControl w:val="0"/>
              <w:tabs>
                <w:tab w:val="left" w:pos="708"/>
              </w:tabs>
              <w:suppressAutoHyphens w:val="0"/>
              <w:overflowPunct w:val="0"/>
              <w:autoSpaceDE w:val="0"/>
              <w:autoSpaceDN w:val="0"/>
              <w:adjustRightInd w:val="0"/>
              <w:spacing w:before="120"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N.E.U. für Schiffe des Typs N offen.</w:t>
            </w:r>
          </w:p>
          <w:p w:rsidR="00361186" w:rsidRPr="00DD2A86" w:rsidRDefault="00361186" w:rsidP="00361186">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Erneuerung des Zulassungszeugnisses nach dem 31. Dezember 2034</w:t>
            </w:r>
          </w:p>
          <w:p w:rsidR="00361186" w:rsidRPr="00DD2A86" w:rsidRDefault="00361186" w:rsidP="00361186">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p>
          <w:p w:rsidR="00361186" w:rsidRPr="00DD2A86" w:rsidRDefault="00361186" w:rsidP="00361186">
            <w:pPr>
              <w:widowControl w:val="0"/>
              <w:tabs>
                <w:tab w:val="left" w:pos="708"/>
              </w:tabs>
              <w:suppressAutoHyphens w:val="0"/>
              <w:overflowPunct w:val="0"/>
              <w:autoSpaceDE w:val="0"/>
              <w:autoSpaceDN w:val="0"/>
              <w:adjustRightInd w:val="0"/>
              <w:spacing w:line="240" w:lineRule="auto"/>
              <w:textAlignment w:val="baseline"/>
              <w:rPr>
                <w:rFonts w:ascii="Times New Roman" w:hAnsi="Times New Roman"/>
                <w:i/>
                <w:szCs w:val="20"/>
              </w:rPr>
            </w:pPr>
            <w:r w:rsidRPr="00DD2A86">
              <w:rPr>
                <w:rFonts w:ascii="Times New Roman" w:hAnsi="Times New Roman"/>
                <w:i/>
                <w:szCs w:val="20"/>
              </w:rPr>
              <w:t>Unverändert</w:t>
            </w:r>
          </w:p>
        </w:tc>
      </w:tr>
      <w:tr w:rsidR="00361186" w:rsidRPr="00DD2A86" w:rsidTr="00361186">
        <w:trPr>
          <w:cantSplit/>
          <w:trHeight w:val="464"/>
        </w:trPr>
        <w:tc>
          <w:tcPr>
            <w:tcW w:w="1276" w:type="dxa"/>
          </w:tcPr>
          <w:p w:rsidR="00361186" w:rsidRPr="00DD2A86" w:rsidRDefault="00361186" w:rsidP="0036118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9.3.1.56.1</w:t>
            </w:r>
          </w:p>
          <w:p w:rsidR="00361186" w:rsidRPr="00DD2A86" w:rsidRDefault="00361186" w:rsidP="0036118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9.3.3.56.1</w:t>
            </w:r>
          </w:p>
          <w:p w:rsidR="00361186" w:rsidRPr="00DD2A86" w:rsidRDefault="00361186" w:rsidP="00361186">
            <w:pPr>
              <w:suppressAutoHyphens w:val="0"/>
              <w:autoSpaceDE w:val="0"/>
              <w:autoSpaceDN w:val="0"/>
              <w:adjustRightInd w:val="0"/>
              <w:spacing w:line="240" w:lineRule="auto"/>
              <w:jc w:val="center"/>
              <w:rPr>
                <w:rFonts w:ascii="Times New Roman" w:hAnsi="Times New Roman"/>
                <w:i/>
                <w:sz w:val="18"/>
                <w:szCs w:val="18"/>
              </w:rPr>
            </w:pPr>
            <w:r w:rsidRPr="00DD2A86">
              <w:rPr>
                <w:rFonts w:ascii="Times New Roman" w:hAnsi="Times New Roman"/>
                <w:i/>
                <w:sz w:val="18"/>
                <w:szCs w:val="18"/>
              </w:rPr>
              <w:t>Wie folgt um-nummerieren:</w:t>
            </w:r>
          </w:p>
          <w:p w:rsidR="00361186" w:rsidRPr="00DD2A86" w:rsidRDefault="00361186" w:rsidP="00361186">
            <w:pPr>
              <w:suppressAutoHyphens w:val="0"/>
              <w:autoSpaceDE w:val="0"/>
              <w:autoSpaceDN w:val="0"/>
              <w:adjustRightInd w:val="0"/>
              <w:spacing w:line="240" w:lineRule="auto"/>
              <w:jc w:val="center"/>
              <w:rPr>
                <w:rFonts w:ascii="Times New Roman" w:hAnsi="Times New Roman"/>
                <w:b/>
                <w:i/>
                <w:szCs w:val="20"/>
              </w:rPr>
            </w:pPr>
            <w:r w:rsidRPr="00DD2A86">
              <w:rPr>
                <w:rFonts w:ascii="Times New Roman" w:hAnsi="Times New Roman"/>
                <w:b/>
                <w:i/>
                <w:szCs w:val="20"/>
              </w:rPr>
              <w:t>9.3.1.53.2</w:t>
            </w:r>
          </w:p>
          <w:p w:rsidR="00361186" w:rsidRPr="00DD2A86" w:rsidRDefault="00361186" w:rsidP="0036118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b/>
                <w:i/>
                <w:szCs w:val="20"/>
              </w:rPr>
              <w:t>9.3.3.53.2</w:t>
            </w:r>
          </w:p>
        </w:tc>
        <w:tc>
          <w:tcPr>
            <w:tcW w:w="3686" w:type="dxa"/>
          </w:tcPr>
          <w:p w:rsidR="00361186" w:rsidRPr="00DD2A86" w:rsidRDefault="00361186" w:rsidP="00361186">
            <w:pPr>
              <w:autoSpaceDE w:val="0"/>
              <w:autoSpaceDN w:val="0"/>
              <w:adjustRightInd w:val="0"/>
              <w:rPr>
                <w:rFonts w:ascii="Times New Roman" w:hAnsi="Times New Roman"/>
                <w:szCs w:val="20"/>
              </w:rPr>
            </w:pPr>
            <w:r w:rsidRPr="00DD2A86">
              <w:rPr>
                <w:rFonts w:ascii="Times New Roman" w:hAnsi="Times New Roman"/>
              </w:rPr>
              <w:t>Metallische Abschirmung für alle elektrische Kabel im Bereich der Ladung</w:t>
            </w:r>
          </w:p>
        </w:tc>
        <w:tc>
          <w:tcPr>
            <w:tcW w:w="4394" w:type="dxa"/>
          </w:tcPr>
          <w:p w:rsidR="00361186" w:rsidRPr="00DD2A86" w:rsidRDefault="00361186" w:rsidP="0036118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N.E.U. für Schiffe, die vor dem 1. Januar 1977 auf Kiel gelegt worden sind.</w:t>
            </w:r>
          </w:p>
          <w:p w:rsidR="00361186" w:rsidRPr="00DD2A86" w:rsidRDefault="00361186" w:rsidP="0036118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Erneuerung des Zulassungszeugnisses nach dem 31. Dezember 2034</w:t>
            </w:r>
          </w:p>
          <w:p w:rsidR="00361186" w:rsidRPr="00DD2A86" w:rsidRDefault="00361186" w:rsidP="00361186">
            <w:pPr>
              <w:suppressAutoHyphens w:val="0"/>
              <w:autoSpaceDE w:val="0"/>
              <w:autoSpaceDN w:val="0"/>
              <w:adjustRightInd w:val="0"/>
              <w:spacing w:line="240" w:lineRule="auto"/>
              <w:jc w:val="center"/>
              <w:rPr>
                <w:rFonts w:ascii="Times New Roman" w:hAnsi="Times New Roman"/>
                <w:snapToGrid w:val="0"/>
                <w:szCs w:val="20"/>
              </w:rPr>
            </w:pPr>
          </w:p>
          <w:p w:rsidR="00361186" w:rsidRPr="00DD2A86" w:rsidRDefault="00361186" w:rsidP="00361186">
            <w:pPr>
              <w:suppressAutoHyphens w:val="0"/>
              <w:autoSpaceDE w:val="0"/>
              <w:autoSpaceDN w:val="0"/>
              <w:adjustRightInd w:val="0"/>
              <w:spacing w:line="240" w:lineRule="auto"/>
              <w:rPr>
                <w:rFonts w:ascii="Times New Roman" w:hAnsi="Times New Roman"/>
                <w:i/>
                <w:szCs w:val="20"/>
              </w:rPr>
            </w:pPr>
            <w:r w:rsidRPr="00DD2A86">
              <w:rPr>
                <w:rFonts w:ascii="Times New Roman" w:hAnsi="Times New Roman"/>
                <w:i/>
                <w:szCs w:val="20"/>
              </w:rPr>
              <w:t>Unverändert</w:t>
            </w:r>
          </w:p>
        </w:tc>
      </w:tr>
      <w:tr w:rsidR="00361186" w:rsidRPr="00DD2A86" w:rsidTr="00361186">
        <w:trPr>
          <w:cantSplit/>
          <w:trHeight w:val="464"/>
        </w:trPr>
        <w:tc>
          <w:tcPr>
            <w:tcW w:w="1276" w:type="dxa"/>
          </w:tcPr>
          <w:p w:rsidR="00361186" w:rsidRPr="00DD2A86" w:rsidRDefault="00361186" w:rsidP="0036118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9.3.3.56.1</w:t>
            </w:r>
          </w:p>
          <w:p w:rsidR="00361186" w:rsidRPr="00DD2A86" w:rsidRDefault="00361186" w:rsidP="00361186">
            <w:pPr>
              <w:suppressAutoHyphens w:val="0"/>
              <w:autoSpaceDE w:val="0"/>
              <w:autoSpaceDN w:val="0"/>
              <w:adjustRightInd w:val="0"/>
              <w:spacing w:line="240" w:lineRule="auto"/>
              <w:jc w:val="center"/>
              <w:rPr>
                <w:rFonts w:ascii="Times New Roman" w:hAnsi="Times New Roman"/>
                <w:i/>
                <w:sz w:val="18"/>
                <w:szCs w:val="18"/>
              </w:rPr>
            </w:pPr>
            <w:r w:rsidRPr="00DD2A86">
              <w:rPr>
                <w:rFonts w:ascii="Times New Roman" w:hAnsi="Times New Roman"/>
                <w:i/>
                <w:sz w:val="18"/>
                <w:szCs w:val="18"/>
              </w:rPr>
              <w:t>Wie folgt um-nummerieren:</w:t>
            </w:r>
          </w:p>
          <w:p w:rsidR="00361186" w:rsidRPr="00DD2A86" w:rsidRDefault="00361186" w:rsidP="00361186">
            <w:pPr>
              <w:suppressAutoHyphens w:val="0"/>
              <w:autoSpaceDE w:val="0"/>
              <w:autoSpaceDN w:val="0"/>
              <w:adjustRightInd w:val="0"/>
              <w:spacing w:line="240" w:lineRule="auto"/>
              <w:jc w:val="center"/>
              <w:rPr>
                <w:rFonts w:ascii="Times New Roman" w:hAnsi="Times New Roman"/>
                <w:b/>
                <w:i/>
                <w:szCs w:val="20"/>
              </w:rPr>
            </w:pPr>
            <w:r w:rsidRPr="00DD2A86">
              <w:rPr>
                <w:rFonts w:ascii="Times New Roman" w:hAnsi="Times New Roman"/>
                <w:b/>
                <w:i/>
                <w:szCs w:val="20"/>
              </w:rPr>
              <w:t>9.3.3.53.2</w:t>
            </w:r>
          </w:p>
        </w:tc>
        <w:tc>
          <w:tcPr>
            <w:tcW w:w="3686" w:type="dxa"/>
          </w:tcPr>
          <w:p w:rsidR="00361186" w:rsidRPr="00DD2A86" w:rsidRDefault="00361186" w:rsidP="00361186">
            <w:pPr>
              <w:autoSpaceDE w:val="0"/>
              <w:autoSpaceDN w:val="0"/>
              <w:adjustRightInd w:val="0"/>
              <w:rPr>
                <w:rFonts w:ascii="Times New Roman" w:hAnsi="Times New Roman"/>
                <w:szCs w:val="20"/>
              </w:rPr>
            </w:pPr>
            <w:r w:rsidRPr="00DD2A86">
              <w:rPr>
                <w:rFonts w:ascii="Times New Roman" w:hAnsi="Times New Roman"/>
              </w:rPr>
              <w:t>Metallische Abschirmung für alle elektrische Kabel im Bereich der Ladung</w:t>
            </w:r>
          </w:p>
        </w:tc>
        <w:tc>
          <w:tcPr>
            <w:tcW w:w="4394" w:type="dxa"/>
          </w:tcPr>
          <w:p w:rsidR="00361186" w:rsidRPr="00DD2A86" w:rsidRDefault="00361186" w:rsidP="00361186">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N.E.U. spätestens 1. Januar 2039 für Bilgenentölungsboote</w:t>
            </w:r>
          </w:p>
          <w:p w:rsidR="00361186" w:rsidRPr="00DD2A86" w:rsidRDefault="00361186" w:rsidP="00361186">
            <w:pPr>
              <w:suppressAutoHyphens w:val="0"/>
              <w:autoSpaceDE w:val="0"/>
              <w:autoSpaceDN w:val="0"/>
              <w:adjustRightInd w:val="0"/>
              <w:spacing w:line="240" w:lineRule="auto"/>
              <w:jc w:val="center"/>
              <w:rPr>
                <w:rFonts w:ascii="Times New Roman" w:hAnsi="Times New Roman"/>
                <w:szCs w:val="20"/>
              </w:rPr>
            </w:pPr>
          </w:p>
          <w:p w:rsidR="00361186" w:rsidRPr="00DD2A86" w:rsidRDefault="00361186" w:rsidP="00361186">
            <w:pPr>
              <w:suppressAutoHyphens w:val="0"/>
              <w:autoSpaceDE w:val="0"/>
              <w:autoSpaceDN w:val="0"/>
              <w:adjustRightInd w:val="0"/>
              <w:spacing w:line="240" w:lineRule="auto"/>
              <w:rPr>
                <w:rFonts w:ascii="Times New Roman" w:hAnsi="Times New Roman"/>
                <w:i/>
                <w:szCs w:val="20"/>
              </w:rPr>
            </w:pPr>
            <w:r w:rsidRPr="00DD2A86">
              <w:rPr>
                <w:rFonts w:ascii="Times New Roman" w:hAnsi="Times New Roman"/>
                <w:i/>
                <w:szCs w:val="20"/>
              </w:rPr>
              <w:t>Unverändert</w:t>
            </w:r>
          </w:p>
        </w:tc>
      </w:tr>
    </w:tbl>
    <w:p w:rsidR="00361186" w:rsidRPr="00DD2A86" w:rsidRDefault="00361186" w:rsidP="00361186">
      <w:pPr>
        <w:tabs>
          <w:tab w:val="left" w:pos="2268"/>
        </w:tabs>
        <w:spacing w:after="120"/>
        <w:ind w:left="1134" w:right="1134"/>
        <w:jc w:val="both"/>
        <w:rPr>
          <w:lang w:val="de-DE"/>
        </w:rPr>
      </w:pPr>
      <w:r w:rsidRPr="00DD2A86">
        <w:rPr>
          <w:rFonts w:eastAsia="Calibri"/>
          <w:lang w:val="de-DE"/>
        </w:rPr>
        <w:t>“.</w:t>
      </w:r>
    </w:p>
    <w:p w:rsidR="002801BC" w:rsidRPr="00DD2A86" w:rsidRDefault="002801BC" w:rsidP="002801BC">
      <w:pPr>
        <w:spacing w:before="120" w:after="120"/>
        <w:ind w:left="1701" w:right="1134" w:hanging="567"/>
        <w:jc w:val="both"/>
        <w:rPr>
          <w:lang w:val="de-DE"/>
        </w:rPr>
      </w:pPr>
    </w:p>
    <w:p w:rsidR="00361186" w:rsidRPr="00DD2A86" w:rsidRDefault="00361186">
      <w:pPr>
        <w:suppressAutoHyphens w:val="0"/>
        <w:spacing w:line="240" w:lineRule="auto"/>
        <w:rPr>
          <w:lang w:val="de-DE"/>
        </w:rPr>
      </w:pPr>
    </w:p>
    <w:p w:rsidR="002B5060" w:rsidRPr="00DD2A86" w:rsidRDefault="002B5060">
      <w:pPr>
        <w:suppressAutoHyphens w:val="0"/>
        <w:spacing w:line="240" w:lineRule="auto"/>
        <w:rPr>
          <w:lang w:val="de-DE"/>
        </w:rPr>
      </w:pPr>
      <w:r w:rsidRPr="00DD2A86">
        <w:rPr>
          <w:lang w:val="de-DE"/>
        </w:rPr>
        <w:br w:type="page"/>
      </w:r>
    </w:p>
    <w:p w:rsidR="004F7853" w:rsidRPr="00DD2A86" w:rsidRDefault="004F7853" w:rsidP="00B61A90">
      <w:pPr>
        <w:suppressAutoHyphens w:val="0"/>
        <w:rPr>
          <w:lang w:val="de-DE"/>
        </w:rPr>
      </w:pPr>
      <w:r w:rsidRPr="00DD2A86">
        <w:rPr>
          <w:lang w:val="de-DE"/>
        </w:rPr>
        <w:t>1.6.7.2.2.2</w:t>
      </w:r>
      <w:r w:rsidRPr="00DD2A86">
        <w:rPr>
          <w:lang w:val="de-DE"/>
        </w:rPr>
        <w:tab/>
        <w:t>Folgende neue Übergangsvorschriften hinzufügen:</w:t>
      </w:r>
    </w:p>
    <w:p w:rsidR="004F7853" w:rsidRPr="00DD2A86" w:rsidRDefault="004F7853" w:rsidP="00B61A90">
      <w:pPr>
        <w:suppressAutoHyphens w:val="0"/>
        <w:spacing w:line="240" w:lineRule="auto"/>
        <w:rPr>
          <w:lang w:val="de-DE"/>
        </w:rPr>
      </w:pPr>
      <w:r w:rsidRPr="00DD2A86">
        <w:rPr>
          <w:lang w:val="de-DE"/>
        </w:rPr>
        <w:t>„</w:t>
      </w:r>
    </w:p>
    <w:p w:rsidR="004F7853" w:rsidRPr="00DD2A86" w:rsidRDefault="004F7853" w:rsidP="00B61A90">
      <w:pPr>
        <w:suppressAutoHyphens w:val="0"/>
        <w:spacing w:line="240" w:lineRule="auto"/>
        <w:rPr>
          <w:lang w:val="de-DE"/>
        </w:rPr>
      </w:pPr>
    </w:p>
    <w:tbl>
      <w:tblPr>
        <w:tblStyle w:val="Grilledutableau6"/>
        <w:tblW w:w="9356" w:type="dxa"/>
        <w:tblInd w:w="0" w:type="dxa"/>
        <w:tblLayout w:type="fixed"/>
        <w:tblLook w:val="04A0" w:firstRow="1" w:lastRow="0" w:firstColumn="1" w:lastColumn="0" w:noHBand="0" w:noVBand="1"/>
      </w:tblPr>
      <w:tblGrid>
        <w:gridCol w:w="1277"/>
        <w:gridCol w:w="3793"/>
        <w:gridCol w:w="4286"/>
      </w:tblGrid>
      <w:tr w:rsidR="00100712" w:rsidRPr="00DD2A86" w:rsidTr="00283E6E">
        <w:trPr>
          <w:cantSplit/>
          <w:trHeight w:val="464"/>
          <w:tblHeader/>
        </w:trPr>
        <w:tc>
          <w:tcPr>
            <w:tcW w:w="1277" w:type="dxa"/>
            <w:tcBorders>
              <w:top w:val="single" w:sz="4" w:space="0" w:color="auto"/>
              <w:left w:val="single" w:sz="4" w:space="0" w:color="auto"/>
              <w:bottom w:val="single" w:sz="4" w:space="0" w:color="auto"/>
              <w:right w:val="single" w:sz="4" w:space="0" w:color="auto"/>
            </w:tcBorders>
          </w:tcPr>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b/>
                <w:szCs w:val="20"/>
              </w:rPr>
            </w:pPr>
            <w:r w:rsidRPr="00DD2A86">
              <w:rPr>
                <w:rFonts w:ascii="Times New Roman" w:hAnsi="Times New Roman"/>
                <w:b/>
                <w:szCs w:val="20"/>
              </w:rPr>
              <w:t>Absatz</w:t>
            </w:r>
          </w:p>
        </w:tc>
        <w:tc>
          <w:tcPr>
            <w:tcW w:w="3793" w:type="dxa"/>
            <w:tcBorders>
              <w:top w:val="single" w:sz="4" w:space="0" w:color="auto"/>
              <w:left w:val="single" w:sz="4" w:space="0" w:color="auto"/>
              <w:bottom w:val="single" w:sz="4" w:space="0" w:color="auto"/>
              <w:right w:val="single" w:sz="4" w:space="0" w:color="auto"/>
            </w:tcBorders>
          </w:tcPr>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b/>
                <w:szCs w:val="20"/>
              </w:rPr>
            </w:pPr>
            <w:r w:rsidRPr="00DD2A86">
              <w:rPr>
                <w:rFonts w:ascii="Times New Roman" w:hAnsi="Times New Roman"/>
                <w:b/>
                <w:szCs w:val="20"/>
              </w:rPr>
              <w:t>Inhalt</w:t>
            </w:r>
          </w:p>
        </w:tc>
        <w:tc>
          <w:tcPr>
            <w:tcW w:w="4286" w:type="dxa"/>
            <w:tcBorders>
              <w:top w:val="single" w:sz="4" w:space="0" w:color="auto"/>
              <w:left w:val="single" w:sz="4" w:space="0" w:color="auto"/>
              <w:bottom w:val="single" w:sz="4" w:space="0" w:color="auto"/>
              <w:right w:val="single" w:sz="4" w:space="0" w:color="auto"/>
            </w:tcBorders>
          </w:tcPr>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lang w:eastAsia="fr-FR"/>
              </w:rPr>
            </w:pPr>
            <w:r w:rsidRPr="00DD2A86">
              <w:rPr>
                <w:rFonts w:ascii="Times New Roman" w:hAnsi="Times New Roman"/>
                <w:b/>
                <w:szCs w:val="20"/>
              </w:rPr>
              <w:t>Frist und Nebenbestimmungen</w:t>
            </w:r>
          </w:p>
        </w:tc>
      </w:tr>
      <w:tr w:rsidR="00100712" w:rsidRPr="00103305" w:rsidTr="00283E6E">
        <w:trPr>
          <w:cantSplit/>
          <w:trHeight w:val="464"/>
        </w:trPr>
        <w:tc>
          <w:tcPr>
            <w:tcW w:w="1277"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r w:rsidRPr="00DD2A86">
              <w:rPr>
                <w:rFonts w:ascii="Times New Roman" w:hAnsi="Times New Roman"/>
                <w:szCs w:val="20"/>
                <w:lang w:eastAsia="fr-FR"/>
              </w:rPr>
              <w:t>1.2.1</w:t>
            </w:r>
          </w:p>
        </w:tc>
        <w:tc>
          <w:tcPr>
            <w:tcW w:w="3793"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r w:rsidRPr="00DD2A86">
              <w:rPr>
                <w:rFonts w:ascii="Times New Roman" w:hAnsi="Times New Roman"/>
                <w:szCs w:val="20"/>
                <w:lang w:eastAsia="fr-FR"/>
              </w:rPr>
              <w:t>Bereich der Ladung</w:t>
            </w:r>
          </w:p>
          <w:p w:rsidR="00100712" w:rsidRPr="00DD2A86" w:rsidRDefault="00100712" w:rsidP="00B61A90">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r w:rsidRPr="00DD2A86">
              <w:rPr>
                <w:rFonts w:ascii="Times New Roman" w:hAnsi="Times New Roman"/>
                <w:szCs w:val="20"/>
                <w:lang w:eastAsia="fr-FR"/>
              </w:rPr>
              <w:t>Räumliche Ausdehnung oberhalb des Decks</w:t>
            </w:r>
          </w:p>
        </w:tc>
        <w:tc>
          <w:tcPr>
            <w:tcW w:w="4286"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N.E.U. ab 1. Januar 2019</w:t>
            </w:r>
          </w:p>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Erneuerung des Zulassungszeugnisses nach dem 31. Dezember 2034</w:t>
            </w:r>
          </w:p>
          <w:p w:rsidR="00E459EF" w:rsidRPr="00DD2A86" w:rsidRDefault="00E459EF"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p>
          <w:p w:rsidR="00100712" w:rsidRPr="00DD2A86" w:rsidRDefault="00100712" w:rsidP="00B61A90">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r w:rsidRPr="00DD2A86">
              <w:rPr>
                <w:rFonts w:ascii="Times New Roman" w:hAnsi="Times New Roman"/>
                <w:szCs w:val="20"/>
                <w:lang w:eastAsia="fr-FR"/>
              </w:rPr>
              <w:t>An Bord von in Betrieb befindlichen Schiffen müssen bis dahin folgende Vorschriften eingehalten werden:</w:t>
            </w:r>
          </w:p>
          <w:p w:rsidR="00100712" w:rsidRPr="00DD2A86" w:rsidRDefault="00100712" w:rsidP="00B61A90">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r w:rsidRPr="00DD2A86">
              <w:rPr>
                <w:rFonts w:ascii="Times New Roman" w:hAnsi="Times New Roman"/>
                <w:szCs w:val="20"/>
                <w:lang w:eastAsia="fr-FR"/>
              </w:rPr>
              <w:t>Die räumliche Ausdehnung entspricht einem rechteckigen Pyramidenstumpf mit folgenden Abmaßen:</w:t>
            </w:r>
          </w:p>
          <w:p w:rsidR="00100712" w:rsidRPr="00DD2A86" w:rsidRDefault="00100712" w:rsidP="00B61A90">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r w:rsidRPr="00DD2A86">
              <w:rPr>
                <w:rFonts w:ascii="Times New Roman" w:hAnsi="Times New Roman"/>
                <w:szCs w:val="20"/>
                <w:lang w:eastAsia="fr-FR"/>
              </w:rPr>
              <w:t>Grundfläche: von Bord zu Bord und von äußerem Kofferdammschott zu äußerem Kofferdammschott</w:t>
            </w:r>
          </w:p>
          <w:p w:rsidR="00100712" w:rsidRPr="00DD2A86" w:rsidRDefault="00100712" w:rsidP="00B61A90">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r w:rsidRPr="00DD2A86">
              <w:rPr>
                <w:rFonts w:ascii="Times New Roman" w:hAnsi="Times New Roman"/>
                <w:szCs w:val="20"/>
                <w:lang w:eastAsia="fr-FR"/>
              </w:rPr>
              <w:t>Neigungswinkel der schmalen Seiten: 45°</w:t>
            </w:r>
          </w:p>
          <w:p w:rsidR="00100712" w:rsidRPr="00DD2A86" w:rsidRDefault="00100712" w:rsidP="00B61A90">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r w:rsidRPr="00DD2A86">
              <w:rPr>
                <w:rFonts w:ascii="Times New Roman" w:hAnsi="Times New Roman"/>
                <w:szCs w:val="20"/>
                <w:lang w:eastAsia="fr-FR"/>
              </w:rPr>
              <w:t>Neigungswinkel der langen Seiten: 90°</w:t>
            </w:r>
          </w:p>
          <w:p w:rsidR="00100712" w:rsidRPr="00DD2A86" w:rsidRDefault="00100712" w:rsidP="00B61A90">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r w:rsidRPr="00DD2A86">
              <w:rPr>
                <w:rFonts w:ascii="Times New Roman" w:hAnsi="Times New Roman"/>
                <w:szCs w:val="20"/>
                <w:lang w:eastAsia="fr-FR"/>
              </w:rPr>
              <w:t>Höhe: 3,00 m</w:t>
            </w:r>
          </w:p>
          <w:p w:rsidR="00100712" w:rsidRPr="00DD2A86" w:rsidRDefault="00100712" w:rsidP="00B61A90">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r w:rsidRPr="00DD2A86">
              <w:rPr>
                <w:rFonts w:ascii="Times New Roman" w:hAnsi="Times New Roman"/>
                <w:szCs w:val="20"/>
                <w:lang w:eastAsia="fr-FR"/>
              </w:rPr>
              <w:t>Räumliche Ausdehnung der Zone 1 entspricht Bereich der Ladung oberhalb des Decks</w:t>
            </w:r>
          </w:p>
        </w:tc>
      </w:tr>
      <w:tr w:rsidR="00100712" w:rsidRPr="00DD2A86" w:rsidTr="00283E6E">
        <w:trPr>
          <w:cantSplit/>
          <w:trHeight w:val="464"/>
        </w:trPr>
        <w:tc>
          <w:tcPr>
            <w:tcW w:w="1277"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before="60" w:after="60"/>
              <w:textAlignment w:val="baseline"/>
              <w:rPr>
                <w:rFonts w:ascii="Times New Roman" w:hAnsi="Times New Roman"/>
                <w:szCs w:val="20"/>
                <w:lang w:eastAsia="fr-FR"/>
              </w:rPr>
            </w:pPr>
            <w:r w:rsidRPr="00DD2A86">
              <w:rPr>
                <w:rFonts w:ascii="Times New Roman" w:hAnsi="Times New Roman"/>
                <w:szCs w:val="20"/>
                <w:lang w:eastAsia="fr-FR"/>
              </w:rPr>
              <w:t>1.2.1</w:t>
            </w:r>
          </w:p>
        </w:tc>
        <w:tc>
          <w:tcPr>
            <w:tcW w:w="3793"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r w:rsidRPr="00DD2A86">
              <w:rPr>
                <w:rFonts w:ascii="Times New Roman" w:hAnsi="Times New Roman"/>
                <w:szCs w:val="20"/>
                <w:lang w:eastAsia="fr-FR"/>
              </w:rPr>
              <w:t>Flammendurchschlagsicherung</w:t>
            </w:r>
          </w:p>
          <w:p w:rsidR="00100712" w:rsidRPr="00DD2A86" w:rsidRDefault="00100712" w:rsidP="00B61A90">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r w:rsidRPr="00DD2A86">
              <w:rPr>
                <w:rFonts w:ascii="Times New Roman" w:hAnsi="Times New Roman"/>
                <w:szCs w:val="20"/>
                <w:lang w:eastAsia="fr-FR"/>
              </w:rPr>
              <w:t xml:space="preserve">Nachweis „entspricht anwendbaren Anforderungen“ </w:t>
            </w:r>
          </w:p>
        </w:tc>
        <w:tc>
          <w:tcPr>
            <w:tcW w:w="4286"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N.E.U. ab 1. Januar 2019</w:t>
            </w:r>
          </w:p>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Erneuerung des Zulassungszeugnisses nach dem 31. Dezember 2034</w:t>
            </w:r>
          </w:p>
        </w:tc>
      </w:tr>
      <w:tr w:rsidR="00100712" w:rsidRPr="00DD2A86" w:rsidTr="00283E6E">
        <w:trPr>
          <w:cantSplit/>
          <w:trHeight w:val="464"/>
        </w:trPr>
        <w:tc>
          <w:tcPr>
            <w:tcW w:w="1277"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before="60" w:after="60"/>
              <w:textAlignment w:val="baseline"/>
              <w:rPr>
                <w:rFonts w:ascii="Times New Roman" w:hAnsi="Times New Roman"/>
                <w:szCs w:val="20"/>
                <w:lang w:eastAsia="fr-FR"/>
              </w:rPr>
            </w:pPr>
            <w:r w:rsidRPr="00DD2A86">
              <w:rPr>
                <w:rFonts w:ascii="Times New Roman" w:hAnsi="Times New Roman"/>
                <w:szCs w:val="20"/>
                <w:lang w:eastAsia="fr-FR"/>
              </w:rPr>
              <w:t>1.2.1</w:t>
            </w:r>
          </w:p>
        </w:tc>
        <w:tc>
          <w:tcPr>
            <w:tcW w:w="3793"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r w:rsidRPr="00DD2A86">
              <w:rPr>
                <w:rFonts w:ascii="Times New Roman" w:hAnsi="Times New Roman"/>
                <w:szCs w:val="20"/>
                <w:lang w:eastAsia="fr-FR"/>
              </w:rPr>
              <w:t>Gasspüranlage</w:t>
            </w:r>
          </w:p>
          <w:p w:rsidR="00100712" w:rsidRPr="00DD2A86" w:rsidRDefault="00100712" w:rsidP="00BB1FE7">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r w:rsidRPr="00DD2A86">
              <w:rPr>
                <w:rFonts w:ascii="Times New Roman" w:hAnsi="Times New Roman"/>
                <w:szCs w:val="20"/>
                <w:lang w:eastAsia="fr-FR"/>
              </w:rPr>
              <w:t>Prüfung nach der Norm IEC 60079-29-1:</w:t>
            </w:r>
            <w:r w:rsidR="00BB1FE7" w:rsidRPr="00DD2A86">
              <w:rPr>
                <w:rFonts w:ascii="Times New Roman" w:hAnsi="Times New Roman"/>
                <w:szCs w:val="20"/>
                <w:lang w:eastAsia="fr-FR"/>
              </w:rPr>
              <w:t xml:space="preserve">2016 </w:t>
            </w:r>
            <w:r w:rsidRPr="00DD2A86">
              <w:rPr>
                <w:rFonts w:ascii="Times New Roman" w:hAnsi="Times New Roman"/>
                <w:szCs w:val="20"/>
                <w:lang w:eastAsia="fr-FR"/>
              </w:rPr>
              <w:t xml:space="preserve">und der Norm EN 50271: </w:t>
            </w:r>
            <w:r w:rsidR="00BB1FE7" w:rsidRPr="00DD2A86">
              <w:rPr>
                <w:rFonts w:ascii="Times New Roman" w:hAnsi="Times New Roman"/>
                <w:szCs w:val="20"/>
                <w:lang w:eastAsia="fr-FR"/>
              </w:rPr>
              <w:t>2010</w:t>
            </w:r>
          </w:p>
        </w:tc>
        <w:tc>
          <w:tcPr>
            <w:tcW w:w="4286"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N.E.U. ab 1. Januar 2019</w:t>
            </w:r>
          </w:p>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Erneuerung des Zulassungszeugnisses nach dem 31. Dezember 2024</w:t>
            </w:r>
          </w:p>
        </w:tc>
      </w:tr>
      <w:tr w:rsidR="00100712" w:rsidRPr="00DD2A86" w:rsidTr="00283E6E">
        <w:trPr>
          <w:cantSplit/>
          <w:trHeight w:val="464"/>
        </w:trPr>
        <w:tc>
          <w:tcPr>
            <w:tcW w:w="1277"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before="60" w:after="60"/>
              <w:textAlignment w:val="baseline"/>
              <w:rPr>
                <w:rFonts w:ascii="Times New Roman" w:hAnsi="Times New Roman"/>
                <w:szCs w:val="20"/>
                <w:lang w:eastAsia="fr-FR"/>
              </w:rPr>
            </w:pPr>
            <w:r w:rsidRPr="00DD2A86">
              <w:rPr>
                <w:rFonts w:ascii="Times New Roman" w:hAnsi="Times New Roman"/>
                <w:szCs w:val="20"/>
                <w:lang w:eastAsia="fr-FR"/>
              </w:rPr>
              <w:t>1.2.1</w:t>
            </w:r>
          </w:p>
        </w:tc>
        <w:tc>
          <w:tcPr>
            <w:tcW w:w="3793"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r w:rsidRPr="00DD2A86">
              <w:rPr>
                <w:rFonts w:ascii="Times New Roman" w:hAnsi="Times New Roman"/>
                <w:szCs w:val="20"/>
                <w:lang w:eastAsia="fr-FR"/>
              </w:rPr>
              <w:t>Gasspürgerät</w:t>
            </w:r>
          </w:p>
          <w:p w:rsidR="00100712" w:rsidRPr="00DD2A86" w:rsidRDefault="00100712" w:rsidP="00BB1FE7">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r w:rsidRPr="00DD2A86">
              <w:rPr>
                <w:rFonts w:ascii="Times New Roman" w:hAnsi="Times New Roman"/>
                <w:szCs w:val="20"/>
                <w:lang w:eastAsia="fr-FR"/>
              </w:rPr>
              <w:t>Prüfung nach der Norm IEC 60079-29-1:</w:t>
            </w:r>
            <w:r w:rsidR="00BB1FE7" w:rsidRPr="00DD2A86">
              <w:rPr>
                <w:rFonts w:ascii="Times New Roman" w:hAnsi="Times New Roman"/>
                <w:szCs w:val="20"/>
                <w:lang w:eastAsia="fr-FR"/>
              </w:rPr>
              <w:t xml:space="preserve">2016 </w:t>
            </w:r>
          </w:p>
        </w:tc>
        <w:tc>
          <w:tcPr>
            <w:tcW w:w="4286"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N.E.U. ab 1. Januar 2019</w:t>
            </w:r>
          </w:p>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Erneuerung des Zulassungszeugnisses nach dem 31. Dezember 2020</w:t>
            </w:r>
          </w:p>
        </w:tc>
      </w:tr>
      <w:tr w:rsidR="00100712" w:rsidRPr="00103305" w:rsidTr="00283E6E">
        <w:trPr>
          <w:cantSplit/>
          <w:trHeight w:val="464"/>
        </w:trPr>
        <w:tc>
          <w:tcPr>
            <w:tcW w:w="1277"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before="60" w:after="60"/>
              <w:textAlignment w:val="baseline"/>
              <w:rPr>
                <w:rFonts w:ascii="Times New Roman" w:hAnsi="Times New Roman"/>
                <w:szCs w:val="20"/>
                <w:lang w:eastAsia="fr-FR"/>
              </w:rPr>
            </w:pPr>
            <w:r w:rsidRPr="00DD2A86">
              <w:rPr>
                <w:rFonts w:ascii="Times New Roman" w:hAnsi="Times New Roman"/>
                <w:szCs w:val="20"/>
                <w:lang w:eastAsia="fr-FR"/>
              </w:rPr>
              <w:t>1.2.1</w:t>
            </w:r>
          </w:p>
        </w:tc>
        <w:tc>
          <w:tcPr>
            <w:tcW w:w="3793"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r w:rsidRPr="00DD2A86">
              <w:rPr>
                <w:rFonts w:ascii="Times New Roman" w:hAnsi="Times New Roman"/>
                <w:szCs w:val="20"/>
                <w:lang w:eastAsia="fr-FR"/>
              </w:rPr>
              <w:t>Probeentnahmeöffnung</w:t>
            </w:r>
          </w:p>
          <w:p w:rsidR="00100712" w:rsidRPr="00DD2A86" w:rsidRDefault="00100712" w:rsidP="00B61A90">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r w:rsidRPr="00DD2A86">
              <w:rPr>
                <w:rFonts w:ascii="Times New Roman" w:hAnsi="Times New Roman"/>
                <w:szCs w:val="20"/>
                <w:lang w:eastAsia="fr-FR"/>
              </w:rPr>
              <w:t>Deflagrationssicherheit</w:t>
            </w:r>
          </w:p>
          <w:p w:rsidR="00100712" w:rsidRPr="00DD2A86" w:rsidRDefault="00100712" w:rsidP="001D7815">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r w:rsidRPr="00DD2A86">
              <w:rPr>
                <w:rFonts w:ascii="Times New Roman" w:hAnsi="Times New Roman"/>
                <w:szCs w:val="20"/>
                <w:lang w:eastAsia="fr-FR"/>
              </w:rPr>
              <w:t>Prüfung nach ISO 16852:201</w:t>
            </w:r>
            <w:r w:rsidR="004A03A0" w:rsidRPr="00DD2A86">
              <w:rPr>
                <w:rFonts w:ascii="Times New Roman" w:hAnsi="Times New Roman"/>
                <w:szCs w:val="20"/>
                <w:lang w:eastAsia="fr-FR"/>
              </w:rPr>
              <w:t>6</w:t>
            </w:r>
            <w:r w:rsidRPr="00DD2A86">
              <w:rPr>
                <w:rFonts w:ascii="Times New Roman" w:hAnsi="Times New Roman"/>
                <w:szCs w:val="20"/>
                <w:lang w:eastAsia="fr-FR"/>
              </w:rPr>
              <w:t xml:space="preserve"> bzw. EN ISO 16852:201</w:t>
            </w:r>
            <w:r w:rsidR="004A03A0" w:rsidRPr="00DD2A86">
              <w:rPr>
                <w:rFonts w:ascii="Times New Roman" w:hAnsi="Times New Roman"/>
                <w:szCs w:val="20"/>
                <w:lang w:eastAsia="fr-FR"/>
              </w:rPr>
              <w:t>6</w:t>
            </w:r>
            <w:r w:rsidRPr="00DD2A86">
              <w:rPr>
                <w:rFonts w:ascii="Times New Roman" w:hAnsi="Times New Roman"/>
                <w:szCs w:val="20"/>
                <w:lang w:eastAsia="fr-FR"/>
              </w:rPr>
              <w:t xml:space="preserve"> / Nachweis „entspricht anwendbaren Anforderungen“</w:t>
            </w:r>
          </w:p>
        </w:tc>
        <w:tc>
          <w:tcPr>
            <w:tcW w:w="4286"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N.E.U. ab 1. Januar 2019</w:t>
            </w:r>
          </w:p>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rPr>
            </w:pPr>
            <w:r w:rsidRPr="00DD2A86">
              <w:rPr>
                <w:rFonts w:ascii="Times New Roman" w:hAnsi="Times New Roman"/>
                <w:szCs w:val="20"/>
              </w:rPr>
              <w:t>Erneuerung des Zulassungszeugnisses nach dem 31. Dezember 2034</w:t>
            </w:r>
          </w:p>
          <w:p w:rsidR="00E459EF" w:rsidRPr="00DD2A86" w:rsidRDefault="00E459EF"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rPr>
            </w:pPr>
          </w:p>
          <w:p w:rsidR="004A03A0" w:rsidRPr="00DD2A86" w:rsidRDefault="004A03A0" w:rsidP="00B61A90">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r w:rsidRPr="00DD2A86">
              <w:rPr>
                <w:rFonts w:ascii="Times New Roman" w:hAnsi="Times New Roman"/>
                <w:szCs w:val="20"/>
                <w:lang w:eastAsia="fr-FR"/>
              </w:rPr>
              <w:t>Die Deflagrationssicherheit der Probeentnahmeöffnung muss:</w:t>
            </w:r>
          </w:p>
          <w:p w:rsidR="004A03A0" w:rsidRPr="00DD2A86" w:rsidRDefault="004A03A0" w:rsidP="00C323D4">
            <w:pPr>
              <w:pStyle w:val="ListParagraph"/>
              <w:numPr>
                <w:ilvl w:val="0"/>
                <w:numId w:val="34"/>
              </w:numPr>
              <w:suppressAutoHyphens w:val="0"/>
              <w:autoSpaceDE w:val="0"/>
              <w:autoSpaceDN w:val="0"/>
              <w:adjustRightInd w:val="0"/>
              <w:spacing w:line="240" w:lineRule="auto"/>
              <w:ind w:left="283" w:hanging="283"/>
              <w:rPr>
                <w:rFonts w:ascii="Times New Roman" w:hAnsi="Times New Roman"/>
                <w:szCs w:val="20"/>
                <w:lang w:val="de-DE" w:eastAsia="en-US"/>
              </w:rPr>
            </w:pPr>
            <w:r w:rsidRPr="00DD2A86">
              <w:rPr>
                <w:rFonts w:ascii="Times New Roman" w:hAnsi="Times New Roman"/>
                <w:szCs w:val="20"/>
                <w:lang w:val="de-DE" w:eastAsia="en-US"/>
              </w:rPr>
              <w:t xml:space="preserve">nach der Norm ISO 16852:2010 bzw. EN ISO 16852:2010, geprüft sein einschließlich des Nachweises des Herstellers nach Richtlinie 94/9/EG oder gleichwertig, wenn </w:t>
            </w:r>
            <w:r w:rsidR="005E5786" w:rsidRPr="00DD2A86">
              <w:rPr>
                <w:rFonts w:ascii="Times New Roman" w:hAnsi="Times New Roman"/>
                <w:szCs w:val="20"/>
                <w:lang w:val="de-DE" w:eastAsia="en-US"/>
              </w:rPr>
              <w:t>die Probeentnahmeöffnung</w:t>
            </w:r>
            <w:r w:rsidR="001D7815" w:rsidRPr="00DD2A86">
              <w:rPr>
                <w:rFonts w:ascii="Times New Roman" w:hAnsi="Times New Roman"/>
                <w:szCs w:val="20"/>
                <w:lang w:val="de-DE" w:eastAsia="en-US"/>
              </w:rPr>
              <w:t xml:space="preserve"> </w:t>
            </w:r>
            <w:r w:rsidRPr="00DD2A86">
              <w:rPr>
                <w:rFonts w:ascii="Times New Roman" w:hAnsi="Times New Roman"/>
                <w:szCs w:val="20"/>
                <w:lang w:val="de-DE" w:eastAsia="en-US"/>
              </w:rPr>
              <w:t>ab dem 1.</w:t>
            </w:r>
            <w:r w:rsidR="002061A2" w:rsidRPr="00DD2A86">
              <w:rPr>
                <w:rFonts w:ascii="Times New Roman" w:hAnsi="Times New Roman"/>
                <w:szCs w:val="20"/>
                <w:lang w:val="de-DE" w:eastAsia="en-US"/>
              </w:rPr>
              <w:t> </w:t>
            </w:r>
            <w:r w:rsidRPr="00DD2A86">
              <w:rPr>
                <w:rFonts w:ascii="Times New Roman" w:hAnsi="Times New Roman"/>
                <w:szCs w:val="20"/>
                <w:lang w:val="de-DE" w:eastAsia="en-US"/>
              </w:rPr>
              <w:t xml:space="preserve">Januar 2015 ersetzt wurden oder die Schiffe ab dem 1. Januar 2015 neu gebaut oder umgebaut wurden. </w:t>
            </w:r>
          </w:p>
          <w:p w:rsidR="004A03A0" w:rsidRPr="00DD2A86" w:rsidRDefault="004A03A0" w:rsidP="00C323D4">
            <w:pPr>
              <w:pStyle w:val="ListParagraph"/>
              <w:numPr>
                <w:ilvl w:val="0"/>
                <w:numId w:val="34"/>
              </w:numPr>
              <w:suppressAutoHyphens w:val="0"/>
              <w:autoSpaceDE w:val="0"/>
              <w:autoSpaceDN w:val="0"/>
              <w:adjustRightInd w:val="0"/>
              <w:spacing w:line="240" w:lineRule="auto"/>
              <w:ind w:left="283" w:hanging="283"/>
              <w:rPr>
                <w:rFonts w:ascii="Times New Roman" w:hAnsi="Times New Roman"/>
                <w:szCs w:val="20"/>
                <w:lang w:val="de-DE" w:eastAsia="en-US"/>
              </w:rPr>
            </w:pPr>
            <w:r w:rsidRPr="00DD2A86">
              <w:rPr>
                <w:rFonts w:ascii="Times New Roman" w:hAnsi="Times New Roman"/>
                <w:szCs w:val="20"/>
                <w:lang w:val="de-DE" w:eastAsia="en-US"/>
              </w:rPr>
              <w:t xml:space="preserve">nach der Norm EN 12874:2001 geprüft sein einschließlich des Nachweises des Herstellers nach Richtlinie 94/9/EG oder gleichwertig, wenn </w:t>
            </w:r>
            <w:r w:rsidR="005E5786" w:rsidRPr="00DD2A86">
              <w:rPr>
                <w:rFonts w:ascii="Times New Roman" w:hAnsi="Times New Roman"/>
                <w:szCs w:val="20"/>
                <w:lang w:val="de-DE" w:eastAsia="en-US"/>
              </w:rPr>
              <w:t>die Probeentnahmeöffnung</w:t>
            </w:r>
            <w:r w:rsidR="001D7815" w:rsidRPr="00DD2A86">
              <w:rPr>
                <w:rFonts w:ascii="Times New Roman" w:hAnsi="Times New Roman"/>
                <w:szCs w:val="20"/>
                <w:lang w:val="de-DE" w:eastAsia="en-US"/>
              </w:rPr>
              <w:t xml:space="preserve"> </w:t>
            </w:r>
            <w:r w:rsidRPr="00DD2A86">
              <w:rPr>
                <w:rFonts w:ascii="Times New Roman" w:hAnsi="Times New Roman"/>
                <w:szCs w:val="20"/>
                <w:lang w:val="de-DE" w:eastAsia="en-US"/>
              </w:rPr>
              <w:t xml:space="preserve">ab dem 1. Januar 2001 ersetzt wurden oder die Schiffe ab dem 1. Januar 2001 neu gebaut oder umgebaut wurden. </w:t>
            </w:r>
          </w:p>
          <w:p w:rsidR="004A03A0" w:rsidRPr="00DD2A86" w:rsidRDefault="004A03A0" w:rsidP="00C323D4">
            <w:pPr>
              <w:pStyle w:val="ListParagraph"/>
              <w:numPr>
                <w:ilvl w:val="0"/>
                <w:numId w:val="34"/>
              </w:numPr>
              <w:suppressAutoHyphens w:val="0"/>
              <w:autoSpaceDE w:val="0"/>
              <w:autoSpaceDN w:val="0"/>
              <w:adjustRightInd w:val="0"/>
              <w:spacing w:line="240" w:lineRule="auto"/>
              <w:ind w:left="283" w:hanging="283"/>
              <w:rPr>
                <w:rFonts w:ascii="Times New Roman" w:hAnsi="Times New Roman"/>
                <w:szCs w:val="20"/>
                <w:lang w:val="de-DE" w:eastAsia="en-US"/>
              </w:rPr>
            </w:pPr>
            <w:r w:rsidRPr="00DD2A86">
              <w:rPr>
                <w:rFonts w:ascii="Times New Roman" w:hAnsi="Times New Roman"/>
                <w:szCs w:val="20"/>
                <w:lang w:val="de-DE" w:eastAsia="en-US"/>
              </w:rPr>
              <w:t xml:space="preserve">von einem von der zuständigen Behörde für den vorgesehenen Zweck zugelassenen Typ sein, wenn </w:t>
            </w:r>
            <w:r w:rsidR="005E5786" w:rsidRPr="00DD2A86">
              <w:rPr>
                <w:rFonts w:ascii="Times New Roman" w:hAnsi="Times New Roman"/>
                <w:szCs w:val="20"/>
                <w:lang w:val="de-DE" w:eastAsia="en-US"/>
              </w:rPr>
              <w:t>die Probeentnahmeöffnung</w:t>
            </w:r>
            <w:r w:rsidR="001D7815" w:rsidRPr="00DD2A86">
              <w:rPr>
                <w:rFonts w:ascii="Times New Roman" w:hAnsi="Times New Roman"/>
                <w:szCs w:val="20"/>
                <w:lang w:val="de-DE" w:eastAsia="en-US"/>
              </w:rPr>
              <w:t xml:space="preserve"> </w:t>
            </w:r>
            <w:r w:rsidRPr="00DD2A86">
              <w:rPr>
                <w:rFonts w:ascii="Times New Roman" w:hAnsi="Times New Roman"/>
                <w:szCs w:val="20"/>
                <w:lang w:val="de-DE" w:eastAsia="en-US"/>
              </w:rPr>
              <w:t>vor dem 1. Januar 2001 ersetzt wurden oder die Schiffe vor dem 1. Januar 2001 neu gebaut oder umgebaut wurden.</w:t>
            </w:r>
          </w:p>
          <w:p w:rsidR="00100712" w:rsidRPr="00DD2A86" w:rsidRDefault="00100712" w:rsidP="00B61A90">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p>
        </w:tc>
      </w:tr>
      <w:tr w:rsidR="00100712" w:rsidRPr="00DD2A86" w:rsidTr="00283E6E">
        <w:trPr>
          <w:cantSplit/>
          <w:trHeight w:val="283"/>
        </w:trPr>
        <w:tc>
          <w:tcPr>
            <w:tcW w:w="1277"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before="60" w:after="60"/>
              <w:textAlignment w:val="baseline"/>
              <w:rPr>
                <w:rFonts w:ascii="Times New Roman" w:hAnsi="Times New Roman"/>
                <w:szCs w:val="20"/>
                <w:lang w:eastAsia="fr-FR"/>
              </w:rPr>
            </w:pPr>
            <w:r w:rsidRPr="00DD2A86">
              <w:rPr>
                <w:rFonts w:ascii="Times New Roman" w:hAnsi="Times New Roman"/>
                <w:szCs w:val="20"/>
                <w:lang w:eastAsia="fr-FR"/>
              </w:rPr>
              <w:t>1.2.1</w:t>
            </w:r>
          </w:p>
        </w:tc>
        <w:tc>
          <w:tcPr>
            <w:tcW w:w="3793"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r w:rsidRPr="00DD2A86">
              <w:rPr>
                <w:rFonts w:ascii="Times New Roman" w:hAnsi="Times New Roman"/>
                <w:szCs w:val="20"/>
                <w:lang w:eastAsia="fr-FR"/>
              </w:rPr>
              <w:t>Sauerstoffmessanlage</w:t>
            </w:r>
          </w:p>
          <w:p w:rsidR="00100712" w:rsidRPr="00DD2A86" w:rsidRDefault="00100712" w:rsidP="004A0D39">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r w:rsidRPr="00DD2A86">
              <w:rPr>
                <w:rFonts w:ascii="Times New Roman" w:hAnsi="Times New Roman"/>
                <w:szCs w:val="20"/>
                <w:lang w:eastAsia="fr-FR"/>
              </w:rPr>
              <w:t>Prüfung nach EN 50104:</w:t>
            </w:r>
            <w:r w:rsidR="00BB1FE7" w:rsidRPr="00DD2A86">
              <w:rPr>
                <w:rFonts w:ascii="Times New Roman" w:hAnsi="Times New Roman"/>
                <w:szCs w:val="20"/>
                <w:lang w:eastAsia="fr-FR"/>
              </w:rPr>
              <w:t>2010</w:t>
            </w:r>
            <w:r w:rsidRPr="00DD2A86">
              <w:rPr>
                <w:rFonts w:ascii="Times New Roman" w:hAnsi="Times New Roman"/>
                <w:szCs w:val="20"/>
                <w:lang w:eastAsia="fr-FR"/>
              </w:rPr>
              <w:t>.</w:t>
            </w:r>
          </w:p>
        </w:tc>
        <w:tc>
          <w:tcPr>
            <w:tcW w:w="4286"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N.E.U. ab 1. Januar 2019</w:t>
            </w:r>
          </w:p>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Erneuerung des Zulassungszeugnisses nach dem 31. Dezember 2020</w:t>
            </w:r>
          </w:p>
        </w:tc>
      </w:tr>
      <w:tr w:rsidR="00100712" w:rsidRPr="00DD2A86" w:rsidTr="00283E6E">
        <w:trPr>
          <w:cantSplit/>
          <w:trHeight w:val="283"/>
        </w:trPr>
        <w:tc>
          <w:tcPr>
            <w:tcW w:w="1277"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before="60" w:after="60"/>
              <w:textAlignment w:val="baseline"/>
              <w:rPr>
                <w:rFonts w:ascii="Times New Roman" w:hAnsi="Times New Roman"/>
                <w:szCs w:val="20"/>
                <w:lang w:eastAsia="fr-FR"/>
              </w:rPr>
            </w:pPr>
            <w:r w:rsidRPr="00DD2A86">
              <w:rPr>
                <w:rFonts w:ascii="Times New Roman" w:hAnsi="Times New Roman"/>
                <w:szCs w:val="20"/>
                <w:lang w:eastAsia="fr-FR"/>
              </w:rPr>
              <w:t>1.2.1</w:t>
            </w:r>
          </w:p>
        </w:tc>
        <w:tc>
          <w:tcPr>
            <w:tcW w:w="3793"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r w:rsidRPr="00DD2A86">
              <w:rPr>
                <w:rFonts w:ascii="Times New Roman" w:hAnsi="Times New Roman"/>
                <w:szCs w:val="20"/>
                <w:lang w:eastAsia="fr-FR"/>
              </w:rPr>
              <w:t>Sauerstoffmessgerät</w:t>
            </w:r>
          </w:p>
          <w:p w:rsidR="00100712" w:rsidRPr="00DD2A86" w:rsidRDefault="00100712" w:rsidP="00BB1FE7">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r w:rsidRPr="00DD2A86">
              <w:rPr>
                <w:rFonts w:ascii="Times New Roman" w:hAnsi="Times New Roman"/>
                <w:szCs w:val="20"/>
                <w:lang w:eastAsia="fr-FR"/>
              </w:rPr>
              <w:t>Prüfung nach EN 50104:</w:t>
            </w:r>
            <w:r w:rsidR="00BB1FE7" w:rsidRPr="00DD2A86">
              <w:rPr>
                <w:rFonts w:ascii="Times New Roman" w:hAnsi="Times New Roman"/>
                <w:szCs w:val="20"/>
                <w:lang w:eastAsia="fr-FR"/>
              </w:rPr>
              <w:t>2010</w:t>
            </w:r>
          </w:p>
        </w:tc>
        <w:tc>
          <w:tcPr>
            <w:tcW w:w="4286"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N.E.U. ab 1. Januar 2019</w:t>
            </w:r>
          </w:p>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Erneuerung des Zulassungszeugnisses nach dem 31. Dezember 2020</w:t>
            </w:r>
          </w:p>
        </w:tc>
      </w:tr>
      <w:tr w:rsidR="00100712" w:rsidRPr="00103305" w:rsidTr="00283E6E">
        <w:trPr>
          <w:cantSplit/>
          <w:trHeight w:val="283"/>
        </w:trPr>
        <w:tc>
          <w:tcPr>
            <w:tcW w:w="1277"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before="60" w:after="60"/>
              <w:textAlignment w:val="baseline"/>
              <w:rPr>
                <w:rFonts w:ascii="Times New Roman" w:hAnsi="Times New Roman"/>
                <w:szCs w:val="20"/>
                <w:lang w:eastAsia="fr-FR"/>
              </w:rPr>
            </w:pPr>
            <w:r w:rsidRPr="00DD2A86">
              <w:rPr>
                <w:rFonts w:ascii="Times New Roman" w:hAnsi="Times New Roman"/>
                <w:szCs w:val="20"/>
                <w:lang w:eastAsia="fr-FR"/>
              </w:rPr>
              <w:t>1.2.1</w:t>
            </w:r>
          </w:p>
        </w:tc>
        <w:tc>
          <w:tcPr>
            <w:tcW w:w="3793"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r w:rsidRPr="00DD2A86">
              <w:rPr>
                <w:rFonts w:ascii="Times New Roman" w:hAnsi="Times New Roman"/>
                <w:szCs w:val="20"/>
                <w:lang w:eastAsia="fr-FR"/>
              </w:rPr>
              <w:t>Vorrichtung zum gefahrlosen Entspannen von Ladetanks</w:t>
            </w:r>
          </w:p>
          <w:p w:rsidR="00100712" w:rsidRPr="00DD2A86" w:rsidRDefault="00100712" w:rsidP="00B61A90">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r w:rsidRPr="00DD2A86">
              <w:rPr>
                <w:rFonts w:ascii="Times New Roman" w:hAnsi="Times New Roman"/>
                <w:szCs w:val="20"/>
                <w:lang w:eastAsia="fr-FR"/>
              </w:rPr>
              <w:t>Deflagrationssicherheit</w:t>
            </w:r>
          </w:p>
          <w:p w:rsidR="00100712" w:rsidRPr="00DD2A86" w:rsidRDefault="00100712" w:rsidP="00BB1FE7">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r w:rsidRPr="00DD2A86">
              <w:rPr>
                <w:rFonts w:ascii="Times New Roman" w:hAnsi="Times New Roman"/>
                <w:szCs w:val="20"/>
                <w:lang w:eastAsia="fr-FR"/>
              </w:rPr>
              <w:t>Prüfung nach der Norm ISO 16852:</w:t>
            </w:r>
            <w:r w:rsidR="00BB1FE7" w:rsidRPr="00DD2A86">
              <w:rPr>
                <w:rFonts w:ascii="Times New Roman" w:hAnsi="Times New Roman"/>
                <w:szCs w:val="20"/>
                <w:lang w:eastAsia="fr-FR"/>
              </w:rPr>
              <w:t xml:space="preserve">2016 </w:t>
            </w:r>
            <w:r w:rsidRPr="00DD2A86">
              <w:rPr>
                <w:rFonts w:ascii="Times New Roman" w:hAnsi="Times New Roman"/>
                <w:szCs w:val="20"/>
                <w:lang w:eastAsia="fr-FR"/>
              </w:rPr>
              <w:t>bzw. EN ISO 16852:</w:t>
            </w:r>
            <w:r w:rsidR="00BB1FE7" w:rsidRPr="00DD2A86">
              <w:rPr>
                <w:rFonts w:ascii="Times New Roman" w:hAnsi="Times New Roman"/>
                <w:szCs w:val="20"/>
                <w:lang w:eastAsia="fr-FR"/>
              </w:rPr>
              <w:t xml:space="preserve">2016 </w:t>
            </w:r>
            <w:r w:rsidRPr="00DD2A86">
              <w:rPr>
                <w:rFonts w:ascii="Times New Roman" w:hAnsi="Times New Roman"/>
                <w:szCs w:val="20"/>
                <w:lang w:eastAsia="fr-FR"/>
              </w:rPr>
              <w:t>/ Nachweis: „entspricht anwendbaren Anforderungen“</w:t>
            </w:r>
          </w:p>
        </w:tc>
        <w:tc>
          <w:tcPr>
            <w:tcW w:w="4286"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N.E.U. ab 1. Januar 2019</w:t>
            </w:r>
          </w:p>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rPr>
            </w:pPr>
            <w:r w:rsidRPr="00DD2A86">
              <w:rPr>
                <w:rFonts w:ascii="Times New Roman" w:hAnsi="Times New Roman"/>
                <w:szCs w:val="20"/>
              </w:rPr>
              <w:t>Erneuerung des Zulassungszeugnisses nach dem 31. Dezember 2034</w:t>
            </w:r>
          </w:p>
          <w:p w:rsidR="00E459EF" w:rsidRPr="00DD2A86" w:rsidRDefault="00E459EF"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rPr>
            </w:pPr>
          </w:p>
          <w:p w:rsidR="00100712" w:rsidRPr="00DD2A86" w:rsidRDefault="00100712" w:rsidP="00971259">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r w:rsidRPr="00DD2A86">
              <w:rPr>
                <w:rFonts w:ascii="Times New Roman" w:hAnsi="Times New Roman"/>
                <w:szCs w:val="20"/>
                <w:lang w:eastAsia="fr-FR"/>
              </w:rPr>
              <w:t>Die Deflagrationssicherheit muss auf Schiffen, die ab dem 1. Januar 2001 neugebaut oder umgebaut wurden, oder wenn die Vorrichtung zum gefahrlosen Entspannen von Ladetanks</w:t>
            </w:r>
            <w:r w:rsidRPr="00DD2A86" w:rsidDel="005255FE">
              <w:rPr>
                <w:rFonts w:ascii="Times New Roman" w:hAnsi="Times New Roman"/>
                <w:szCs w:val="20"/>
                <w:lang w:eastAsia="fr-FR"/>
              </w:rPr>
              <w:t xml:space="preserve"> </w:t>
            </w:r>
            <w:r w:rsidRPr="00DD2A86">
              <w:rPr>
                <w:rFonts w:ascii="Times New Roman" w:hAnsi="Times New Roman"/>
                <w:szCs w:val="20"/>
                <w:lang w:eastAsia="fr-FR"/>
              </w:rPr>
              <w:t>ab dem 1.</w:t>
            </w:r>
            <w:r w:rsidR="00F869E3" w:rsidRPr="00DD2A86">
              <w:rPr>
                <w:rFonts w:ascii="Times New Roman" w:hAnsi="Times New Roman"/>
                <w:szCs w:val="20"/>
                <w:lang w:eastAsia="fr-FR"/>
              </w:rPr>
              <w:t> </w:t>
            </w:r>
            <w:r w:rsidRPr="00DD2A86">
              <w:rPr>
                <w:rFonts w:ascii="Times New Roman" w:hAnsi="Times New Roman"/>
                <w:szCs w:val="20"/>
                <w:lang w:eastAsia="fr-FR"/>
              </w:rPr>
              <w:t>Januar 2001 ersetzt wurde, nach der Norm EN</w:t>
            </w:r>
            <w:r w:rsidR="00F869E3" w:rsidRPr="00DD2A86">
              <w:rPr>
                <w:rFonts w:ascii="Times New Roman" w:hAnsi="Times New Roman"/>
                <w:szCs w:val="20"/>
                <w:lang w:eastAsia="fr-FR"/>
              </w:rPr>
              <w:t> </w:t>
            </w:r>
            <w:r w:rsidRPr="00DD2A86">
              <w:rPr>
                <w:rFonts w:ascii="Times New Roman" w:hAnsi="Times New Roman"/>
                <w:szCs w:val="20"/>
                <w:lang w:eastAsia="fr-FR"/>
              </w:rPr>
              <w:t>12874:2001 geprüft sein einschließlich des Nachweises des Herstellers nach Richtlinie 94/9/EG oder gleichwertig. In den anderen Fällen müssen sie von einem von der zuständigen Behörde für den vorgesehenen Zweck zugelassenen Typ sein</w:t>
            </w:r>
          </w:p>
        </w:tc>
      </w:tr>
      <w:tr w:rsidR="00100712" w:rsidRPr="00DD2A86" w:rsidTr="00283E6E">
        <w:trPr>
          <w:cantSplit/>
          <w:trHeight w:val="464"/>
        </w:trPr>
        <w:tc>
          <w:tcPr>
            <w:tcW w:w="1277"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before="60" w:after="60"/>
              <w:textAlignment w:val="baseline"/>
              <w:rPr>
                <w:rFonts w:ascii="Times New Roman" w:hAnsi="Times New Roman"/>
                <w:szCs w:val="20"/>
                <w:lang w:eastAsia="fr-FR"/>
              </w:rPr>
            </w:pPr>
            <w:r w:rsidRPr="00DD2A86">
              <w:rPr>
                <w:rFonts w:ascii="Times New Roman" w:hAnsi="Times New Roman"/>
                <w:szCs w:val="20"/>
                <w:lang w:eastAsia="fr-FR"/>
              </w:rPr>
              <w:t>1.2.1</w:t>
            </w:r>
          </w:p>
        </w:tc>
        <w:tc>
          <w:tcPr>
            <w:tcW w:w="3793" w:type="dxa"/>
            <w:tcBorders>
              <w:top w:val="single" w:sz="4" w:space="0" w:color="auto"/>
              <w:left w:val="single" w:sz="4" w:space="0" w:color="auto"/>
              <w:bottom w:val="single" w:sz="4" w:space="0" w:color="auto"/>
              <w:right w:val="single" w:sz="4" w:space="0" w:color="auto"/>
            </w:tcBorders>
          </w:tcPr>
          <w:p w:rsidR="00100712" w:rsidRPr="00DD2A86" w:rsidRDefault="00100712" w:rsidP="00B61A90">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r w:rsidRPr="00DD2A86">
              <w:rPr>
                <w:rFonts w:ascii="Times New Roman" w:hAnsi="Times New Roman"/>
                <w:szCs w:val="20"/>
                <w:lang w:eastAsia="fr-FR"/>
              </w:rPr>
              <w:t>Zoneneinteilung</w:t>
            </w:r>
          </w:p>
          <w:p w:rsidR="00100712" w:rsidRPr="00DD2A86" w:rsidRDefault="00100712" w:rsidP="00B61A90">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r w:rsidRPr="00DD2A86">
              <w:rPr>
                <w:rFonts w:ascii="Times New Roman" w:hAnsi="Times New Roman"/>
                <w:szCs w:val="20"/>
                <w:lang w:eastAsia="fr-FR"/>
              </w:rPr>
              <w:t xml:space="preserve">Zone 1 </w:t>
            </w:r>
          </w:p>
          <w:p w:rsidR="00100712" w:rsidRPr="00DD2A86" w:rsidRDefault="00100712" w:rsidP="00B61A90">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r w:rsidRPr="00DD2A86">
              <w:rPr>
                <w:rFonts w:ascii="Times New Roman" w:hAnsi="Times New Roman"/>
                <w:szCs w:val="20"/>
                <w:lang w:eastAsia="fr-FR"/>
              </w:rPr>
              <w:t>Räumliche Ausdehnung</w:t>
            </w:r>
          </w:p>
          <w:p w:rsidR="00100712" w:rsidRPr="00DD2A86" w:rsidRDefault="00100712" w:rsidP="00B61A90">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p>
          <w:p w:rsidR="00100712" w:rsidRPr="00DD2A86" w:rsidRDefault="00100712" w:rsidP="00B61A90">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p>
          <w:p w:rsidR="00100712" w:rsidRPr="00DD2A86" w:rsidRDefault="00100712" w:rsidP="00B61A90">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p>
          <w:p w:rsidR="00100712" w:rsidRPr="00DD2A86" w:rsidRDefault="00100712" w:rsidP="00B61A90">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p>
          <w:p w:rsidR="00100712" w:rsidRPr="00DD2A86" w:rsidRDefault="00100712" w:rsidP="00B61A90">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p>
          <w:p w:rsidR="00100712" w:rsidRPr="00DD2A86" w:rsidRDefault="00100712" w:rsidP="00B61A90">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p>
          <w:p w:rsidR="00100712" w:rsidRPr="00DD2A86" w:rsidRDefault="00100712" w:rsidP="00B61A90">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p>
          <w:p w:rsidR="00100712" w:rsidRPr="00DD2A86" w:rsidRDefault="00100712" w:rsidP="00B61A90">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p>
          <w:p w:rsidR="00100712" w:rsidRPr="00DD2A86" w:rsidRDefault="00100712" w:rsidP="00B61A90">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p>
          <w:p w:rsidR="00100712" w:rsidRPr="00DD2A86" w:rsidRDefault="00100712" w:rsidP="00B61A90">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p>
          <w:p w:rsidR="00100712" w:rsidRPr="00DD2A86" w:rsidRDefault="00100712" w:rsidP="00B61A90">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p>
          <w:p w:rsidR="00100712" w:rsidRPr="00DD2A86" w:rsidRDefault="00100712" w:rsidP="00B61A90">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p>
          <w:p w:rsidR="00100712" w:rsidRPr="00DD2A86" w:rsidRDefault="00100712" w:rsidP="00B61A90">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r w:rsidRPr="00DD2A86">
              <w:rPr>
                <w:rFonts w:ascii="Times New Roman" w:hAnsi="Times New Roman"/>
                <w:szCs w:val="20"/>
                <w:lang w:eastAsia="fr-FR"/>
              </w:rPr>
              <w:t xml:space="preserve">Zone 2 </w:t>
            </w:r>
          </w:p>
          <w:p w:rsidR="00100712" w:rsidRPr="00DD2A86" w:rsidRDefault="00100712" w:rsidP="00B61A90">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r w:rsidRPr="00DD2A86">
              <w:rPr>
                <w:rFonts w:ascii="Times New Roman" w:hAnsi="Times New Roman"/>
                <w:szCs w:val="20"/>
                <w:lang w:eastAsia="fr-FR"/>
              </w:rPr>
              <w:t>Räumliche Ausdehnung</w:t>
            </w:r>
          </w:p>
        </w:tc>
        <w:tc>
          <w:tcPr>
            <w:tcW w:w="4286" w:type="dxa"/>
            <w:tcBorders>
              <w:top w:val="single" w:sz="4" w:space="0" w:color="auto"/>
              <w:left w:val="single" w:sz="4" w:space="0" w:color="auto"/>
              <w:bottom w:val="single" w:sz="4" w:space="0" w:color="auto"/>
              <w:right w:val="single" w:sz="4" w:space="0" w:color="auto"/>
            </w:tcBorders>
          </w:tcPr>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N.E.U. ab 1. Januar 2019</w:t>
            </w:r>
          </w:p>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Erneuerung des Zulassungszeugnisses nach dem 31. Dezember 2034</w:t>
            </w:r>
          </w:p>
          <w:p w:rsidR="00E459EF" w:rsidRPr="00DD2A86" w:rsidRDefault="00E459EF"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p>
          <w:p w:rsidR="00100712" w:rsidRPr="00DD2A86" w:rsidRDefault="00100712" w:rsidP="00B61A90">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r w:rsidRPr="00DD2A86">
              <w:rPr>
                <w:rFonts w:ascii="Times New Roman" w:hAnsi="Times New Roman"/>
                <w:szCs w:val="20"/>
                <w:lang w:eastAsia="fr-FR"/>
              </w:rPr>
              <w:t>An Bord von in Betrieb befindlichen Schiffen müssen bis dahin folgende Vorschriften eingehalten werden: Die räumliche Ausdehnung der Zone 1 entspricht einem rechteckigen Pyramidenstumpf mit den Anmaßen:</w:t>
            </w:r>
          </w:p>
          <w:p w:rsidR="00100712" w:rsidRPr="00DD2A86" w:rsidRDefault="00100712" w:rsidP="00B61A90">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r w:rsidRPr="00DD2A86">
              <w:rPr>
                <w:rFonts w:ascii="Times New Roman" w:hAnsi="Times New Roman"/>
                <w:szCs w:val="20"/>
                <w:lang w:eastAsia="fr-FR"/>
              </w:rPr>
              <w:t>Grundfläche: von Bord zu Bord und von äußerem Kofferdammschott zu äußerem Kofferdammschott</w:t>
            </w:r>
          </w:p>
          <w:p w:rsidR="00100712" w:rsidRPr="00DD2A86" w:rsidRDefault="00100712" w:rsidP="00B61A90">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r w:rsidRPr="00DD2A86">
              <w:rPr>
                <w:rFonts w:ascii="Times New Roman" w:hAnsi="Times New Roman"/>
                <w:szCs w:val="20"/>
                <w:lang w:eastAsia="fr-FR"/>
              </w:rPr>
              <w:t>Neigungswinkel der schmalen Seiten: 45°</w:t>
            </w:r>
          </w:p>
          <w:p w:rsidR="00100712" w:rsidRPr="00DD2A86" w:rsidRDefault="00100712" w:rsidP="00B61A90">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r w:rsidRPr="00DD2A86">
              <w:rPr>
                <w:rFonts w:ascii="Times New Roman" w:hAnsi="Times New Roman"/>
                <w:szCs w:val="20"/>
                <w:lang w:eastAsia="fr-FR"/>
              </w:rPr>
              <w:t>Neigungswinkel der langen Seiten 90°</w:t>
            </w:r>
          </w:p>
          <w:p w:rsidR="00100712" w:rsidRPr="00DD2A86" w:rsidRDefault="00100712" w:rsidP="00B61A90">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r w:rsidRPr="00DD2A86">
              <w:rPr>
                <w:rFonts w:ascii="Times New Roman" w:hAnsi="Times New Roman"/>
                <w:szCs w:val="20"/>
                <w:lang w:eastAsia="fr-FR"/>
              </w:rPr>
              <w:t>Höhe: 3,00 m</w:t>
            </w:r>
          </w:p>
          <w:p w:rsidR="00100712" w:rsidRPr="00DD2A86" w:rsidRDefault="00100712" w:rsidP="00B61A90">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p>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N.E.U. ab 1. Januar 2019</w:t>
            </w:r>
          </w:p>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Erneuerung des Zulassungszeugnisses nach dem 31. Dezember 2034</w:t>
            </w:r>
          </w:p>
        </w:tc>
      </w:tr>
      <w:tr w:rsidR="00100712" w:rsidRPr="00DD2A86" w:rsidTr="00283E6E">
        <w:trPr>
          <w:cantSplit/>
          <w:trHeight w:val="464"/>
        </w:trPr>
        <w:tc>
          <w:tcPr>
            <w:tcW w:w="1277"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lang w:eastAsia="de-DE"/>
              </w:rPr>
            </w:pPr>
            <w:r w:rsidRPr="00DD2A86">
              <w:rPr>
                <w:rFonts w:ascii="Times New Roman" w:hAnsi="Times New Roman"/>
                <w:szCs w:val="20"/>
                <w:lang w:eastAsia="de-DE"/>
              </w:rPr>
              <w:t>7.2.2.6</w:t>
            </w:r>
          </w:p>
        </w:tc>
        <w:tc>
          <w:tcPr>
            <w:tcW w:w="3793"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szCs w:val="20"/>
              </w:rPr>
              <w:t>Gasspüranlagen Kalibrieren auf n-Hexan</w:t>
            </w:r>
          </w:p>
        </w:tc>
        <w:tc>
          <w:tcPr>
            <w:tcW w:w="4286"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N.E.U. ab 1. Januar 2019</w:t>
            </w:r>
          </w:p>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Erneuerung des Zulassungszeugnisses nach dem 31. Dezember 2020</w:t>
            </w:r>
          </w:p>
        </w:tc>
      </w:tr>
      <w:tr w:rsidR="00100712" w:rsidRPr="00103305" w:rsidTr="00283E6E">
        <w:trPr>
          <w:cantSplit/>
          <w:trHeight w:val="464"/>
        </w:trPr>
        <w:tc>
          <w:tcPr>
            <w:tcW w:w="1277"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suppressAutoHyphens w:val="0"/>
              <w:spacing w:line="240" w:lineRule="auto"/>
              <w:jc w:val="center"/>
              <w:rPr>
                <w:rFonts w:ascii="Times New Roman" w:hAnsi="Times New Roman"/>
                <w:szCs w:val="20"/>
                <w:lang w:eastAsia="de-DE"/>
              </w:rPr>
            </w:pPr>
            <w:r w:rsidRPr="00DD2A86">
              <w:rPr>
                <w:rFonts w:ascii="Times New Roman" w:hAnsi="Times New Roman"/>
                <w:szCs w:val="20"/>
                <w:lang w:eastAsia="de-DE"/>
              </w:rPr>
              <w:t>7.2.2.19.4</w:t>
            </w:r>
          </w:p>
        </w:tc>
        <w:tc>
          <w:tcPr>
            <w:tcW w:w="3793"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suppressAutoHyphens w:val="0"/>
              <w:spacing w:line="240" w:lineRule="auto"/>
              <w:rPr>
                <w:rFonts w:ascii="Times New Roman" w:hAnsi="Times New Roman"/>
                <w:szCs w:val="20"/>
              </w:rPr>
            </w:pPr>
            <w:r w:rsidRPr="00DD2A86">
              <w:rPr>
                <w:rFonts w:ascii="Times New Roman" w:hAnsi="Times New Roman"/>
                <w:szCs w:val="20"/>
              </w:rPr>
              <w:t>Schiffe der Zusammenstellung für die Explosionsschutz gefordert ist</w:t>
            </w:r>
          </w:p>
        </w:tc>
        <w:tc>
          <w:tcPr>
            <w:tcW w:w="4286"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N.E.U. ab 1. Januar 2019</w:t>
            </w:r>
          </w:p>
          <w:p w:rsidR="00100712" w:rsidRPr="00DD2A86" w:rsidRDefault="00100712" w:rsidP="00B61A90">
            <w:pPr>
              <w:suppressAutoHyphens w:val="0"/>
              <w:spacing w:line="240" w:lineRule="auto"/>
              <w:jc w:val="center"/>
              <w:rPr>
                <w:rFonts w:ascii="Times New Roman" w:hAnsi="Times New Roman"/>
                <w:szCs w:val="20"/>
              </w:rPr>
            </w:pPr>
            <w:r w:rsidRPr="00DD2A86">
              <w:rPr>
                <w:rFonts w:ascii="Times New Roman" w:hAnsi="Times New Roman"/>
                <w:szCs w:val="20"/>
              </w:rPr>
              <w:t>Erneuerung des Zulassungszeugnisses nach dem 31. Dezember 2034</w:t>
            </w:r>
          </w:p>
          <w:p w:rsidR="00E459EF" w:rsidRPr="00DD2A86" w:rsidRDefault="00E459EF" w:rsidP="00B61A90">
            <w:pPr>
              <w:suppressAutoHyphens w:val="0"/>
              <w:spacing w:line="240" w:lineRule="auto"/>
              <w:jc w:val="center"/>
              <w:rPr>
                <w:rFonts w:ascii="Times New Roman" w:hAnsi="Times New Roman"/>
                <w:szCs w:val="20"/>
              </w:rPr>
            </w:pPr>
          </w:p>
          <w:p w:rsidR="00BC16FA" w:rsidRPr="00DD2A86" w:rsidRDefault="00BC16FA" w:rsidP="00B61A90">
            <w:pPr>
              <w:suppressAutoHyphens w:val="0"/>
              <w:spacing w:line="240" w:lineRule="auto"/>
              <w:jc w:val="center"/>
              <w:rPr>
                <w:rFonts w:ascii="Times New Roman" w:hAnsi="Times New Roman"/>
                <w:szCs w:val="20"/>
              </w:rPr>
            </w:pPr>
            <w:r w:rsidRPr="00DD2A86">
              <w:rPr>
                <w:rFonts w:ascii="Times New Roman" w:hAnsi="Times New Roman"/>
                <w:szCs w:val="20"/>
              </w:rPr>
              <w:t>An Bord von in Betrieb befindlichen Schiffen müssen bis dahin folgende Vorschriften eingehalten werden:</w:t>
            </w:r>
          </w:p>
          <w:p w:rsidR="00BC16FA" w:rsidRPr="00DD2A86" w:rsidRDefault="00BC16FA" w:rsidP="00B61A90">
            <w:pPr>
              <w:suppressAutoHyphens w:val="0"/>
              <w:spacing w:line="240" w:lineRule="auto"/>
              <w:jc w:val="center"/>
              <w:rPr>
                <w:rFonts w:ascii="Times New Roman" w:hAnsi="Times New Roman"/>
                <w:szCs w:val="20"/>
              </w:rPr>
            </w:pPr>
            <w:r w:rsidRPr="00DD2A86">
              <w:rPr>
                <w:rFonts w:ascii="Times New Roman" w:hAnsi="Times New Roman"/>
                <w:szCs w:val="20"/>
              </w:rPr>
              <w:t xml:space="preserve">Schiffe, die für die Fortbewegung in einem Schubverband oder bei gekuppelten Schiffen verwendet werden, müssen den Abschnitten, Unterabschnitten und Absätzen 1.16.1.1, 1.16.1.2, 1.16.1.3, 7.2.2.5, 8.1.4, 8.1.5, 8.1.6.1, 8.1.6.3, 8.1.7, 9.3.3.0.1, 9.3.3.0.3 d), 9.3.3.0.5, 9.3.3.10.1, 9.3.3.10.2, 9.3.3.12.4 a) mit Ausnahme des Steuerhauses, 9.3.3.12.4 b) mit Ausnahme der T90-Zeit, 9.3.3.12.4 c), 9.3.3.12.6, 9.3.3.16, 9.3.3.17.1 bis 9.3.3.17.4, 9.3.3.31.1 bis 9.3.3.31.5, 9.3.3.32.2, 9.3.3.34.1, 9.3.3.34.2, 9.3.3.40.1 (jedoch genügt eine einzige Feuerlösch- oder Ballastpumpe), 9.3.3.40.2, 9.3.3.41, 9.3.3.50.1 c), 9.3.3.50.2, 9.3.3.51, </w:t>
            </w:r>
            <w:r w:rsidR="00971259" w:rsidRPr="00DD2A86">
              <w:rPr>
                <w:rFonts w:ascii="Times New Roman" w:hAnsi="Times New Roman"/>
                <w:szCs w:val="20"/>
              </w:rPr>
              <w:t xml:space="preserve">9.3.3.52.6, </w:t>
            </w:r>
            <w:r w:rsidRPr="00DD2A86">
              <w:rPr>
                <w:rFonts w:ascii="Times New Roman" w:hAnsi="Times New Roman"/>
                <w:szCs w:val="20"/>
              </w:rPr>
              <w:t>9.3.3.52.7, 9.3.3.52.8,  9.3.3.56.5, 9.3.3.71 und 9.3.3.74 entsprechen, wenn mindestens ein Tankschiff der Zusammenstellung gefährliche Güter befördert.</w:t>
            </w:r>
          </w:p>
          <w:p w:rsidR="00100712" w:rsidRPr="00DD2A86" w:rsidRDefault="00BC16FA" w:rsidP="00B61A90">
            <w:pPr>
              <w:suppressAutoHyphens w:val="0"/>
              <w:spacing w:line="240" w:lineRule="auto"/>
              <w:jc w:val="center"/>
              <w:rPr>
                <w:rFonts w:ascii="Times New Roman" w:hAnsi="Times New Roman"/>
                <w:szCs w:val="20"/>
                <w:lang w:eastAsia="fr-FR"/>
              </w:rPr>
            </w:pPr>
            <w:r w:rsidRPr="00DD2A86">
              <w:rPr>
                <w:rFonts w:ascii="Times New Roman" w:hAnsi="Times New Roman"/>
                <w:szCs w:val="20"/>
              </w:rPr>
              <w:t>Schiffe, die ausschließlich zum Fortbewegen von Tankschiffen des Typs N offen genutzt werden, müssen den Absätzen 9.3.3.10.1, 9.3.3.10.2 und 9.3.3.12.6 nicht entsprechen. Diese Abweichungen müssen im Zulassungszeugnis bzw. im vorläufigen Zulassungszeugnis unter Nummer 5 wie folgt eingetragen sein: „Zugelassene Abweichungen“: „Abweichung von 9.3.3.10.1, 9.3.3.10.2 und 9.3.3.12.6; das Schiff darf ausschließlich Tankschiffe des Typs N offen fortbewegen</w:t>
            </w:r>
            <w:r w:rsidR="00AA00B2" w:rsidRPr="00DD2A86">
              <w:rPr>
                <w:rFonts w:ascii="Times New Roman" w:hAnsi="Times New Roman"/>
                <w:szCs w:val="20"/>
              </w:rPr>
              <w:t>“.</w:t>
            </w:r>
          </w:p>
        </w:tc>
      </w:tr>
      <w:tr w:rsidR="00100712" w:rsidRPr="00DD2A86" w:rsidTr="00283E6E">
        <w:trPr>
          <w:cantSplit/>
          <w:trHeight w:val="464"/>
        </w:trPr>
        <w:tc>
          <w:tcPr>
            <w:tcW w:w="1277"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suppressAutoHyphens w:val="0"/>
              <w:autoSpaceDE w:val="0"/>
              <w:autoSpaceDN w:val="0"/>
              <w:adjustRightInd w:val="0"/>
              <w:spacing w:line="240" w:lineRule="auto"/>
              <w:jc w:val="center"/>
              <w:rPr>
                <w:rFonts w:ascii="Times New Roman" w:hAnsi="Times New Roman"/>
                <w:bCs/>
                <w:color w:val="000000"/>
                <w:szCs w:val="20"/>
              </w:rPr>
            </w:pPr>
            <w:r w:rsidRPr="00DD2A86">
              <w:rPr>
                <w:rFonts w:ascii="Times New Roman" w:hAnsi="Times New Roman"/>
                <w:bCs/>
                <w:color w:val="000000"/>
                <w:szCs w:val="20"/>
              </w:rPr>
              <w:t>7.2.3.41</w:t>
            </w:r>
          </w:p>
        </w:tc>
        <w:tc>
          <w:tcPr>
            <w:tcW w:w="3793"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suppressAutoHyphens w:val="0"/>
              <w:spacing w:line="240" w:lineRule="auto"/>
              <w:rPr>
                <w:rFonts w:ascii="Times New Roman" w:hAnsi="Times New Roman"/>
                <w:bCs/>
                <w:szCs w:val="20"/>
              </w:rPr>
            </w:pPr>
            <w:r w:rsidRPr="00DD2A86">
              <w:rPr>
                <w:rFonts w:ascii="Times New Roman" w:hAnsi="Times New Roman"/>
                <w:bCs/>
                <w:szCs w:val="20"/>
              </w:rPr>
              <w:t>Rauchen</w:t>
            </w:r>
          </w:p>
        </w:tc>
        <w:tc>
          <w:tcPr>
            <w:tcW w:w="4286"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N.E.U. ab 1. Januar 2019</w:t>
            </w:r>
          </w:p>
          <w:p w:rsidR="00100712" w:rsidRPr="00DD2A86" w:rsidRDefault="00100712" w:rsidP="00B61A90">
            <w:pPr>
              <w:suppressAutoHyphens w:val="0"/>
              <w:spacing w:line="240" w:lineRule="auto"/>
              <w:jc w:val="center"/>
              <w:rPr>
                <w:rFonts w:ascii="Times New Roman" w:hAnsi="Times New Roman"/>
                <w:szCs w:val="20"/>
              </w:rPr>
            </w:pPr>
            <w:r w:rsidRPr="00DD2A86">
              <w:rPr>
                <w:rFonts w:ascii="Times New Roman" w:hAnsi="Times New Roman"/>
                <w:szCs w:val="20"/>
              </w:rPr>
              <w:t>Erneuerung des Zulassungszeugnisses nach dem 31. Dezember 2020</w:t>
            </w:r>
          </w:p>
        </w:tc>
      </w:tr>
      <w:tr w:rsidR="00100712" w:rsidRPr="00DD2A86" w:rsidTr="00283E6E">
        <w:trPr>
          <w:cantSplit/>
          <w:trHeight w:val="283"/>
        </w:trPr>
        <w:tc>
          <w:tcPr>
            <w:tcW w:w="1277"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before="60" w:after="60"/>
              <w:ind w:left="34"/>
              <w:jc w:val="center"/>
              <w:textAlignment w:val="baseline"/>
              <w:rPr>
                <w:rFonts w:ascii="Times New Roman" w:hAnsi="Times New Roman"/>
                <w:szCs w:val="20"/>
              </w:rPr>
            </w:pPr>
            <w:r w:rsidRPr="00DD2A86">
              <w:rPr>
                <w:rFonts w:ascii="Times New Roman" w:hAnsi="Times New Roman"/>
                <w:szCs w:val="20"/>
              </w:rPr>
              <w:t>7.2.3.51.4</w:t>
            </w:r>
          </w:p>
        </w:tc>
        <w:tc>
          <w:tcPr>
            <w:tcW w:w="3793"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line="240" w:lineRule="auto"/>
              <w:ind w:left="34"/>
              <w:textAlignment w:val="baseline"/>
              <w:rPr>
                <w:rFonts w:ascii="Times New Roman" w:hAnsi="Times New Roman"/>
                <w:szCs w:val="20"/>
              </w:rPr>
            </w:pPr>
            <w:r w:rsidRPr="00DD2A86">
              <w:rPr>
                <w:rFonts w:ascii="Times New Roman" w:hAnsi="Times New Roman"/>
                <w:szCs w:val="20"/>
              </w:rPr>
              <w:t>Abschalten der rot gekennzeichneten nicht</w:t>
            </w:r>
            <w:r w:rsidR="00F73108" w:rsidRPr="00DD2A86">
              <w:rPr>
                <w:rFonts w:ascii="Times New Roman" w:hAnsi="Times New Roman"/>
                <w:szCs w:val="20"/>
              </w:rPr>
              <w:t>-</w:t>
            </w:r>
            <w:r w:rsidRPr="00DD2A86">
              <w:rPr>
                <w:rFonts w:ascii="Times New Roman" w:hAnsi="Times New Roman"/>
                <w:szCs w:val="20"/>
              </w:rPr>
              <w:t>elektrischen Anlagen und Geräte</w:t>
            </w:r>
          </w:p>
        </w:tc>
        <w:tc>
          <w:tcPr>
            <w:tcW w:w="4286"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N.E.U. ab 1. Januar 2019</w:t>
            </w:r>
          </w:p>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Erneuerung des Zulassungszeugnisses nach dem 31. Dezember 2034</w:t>
            </w:r>
          </w:p>
        </w:tc>
      </w:tr>
      <w:tr w:rsidR="00100712" w:rsidRPr="00DD2A86" w:rsidTr="00283E6E">
        <w:trPr>
          <w:cantSplit/>
          <w:trHeight w:val="464"/>
        </w:trPr>
        <w:tc>
          <w:tcPr>
            <w:tcW w:w="1277"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before="60" w:after="60"/>
              <w:ind w:left="34"/>
              <w:jc w:val="center"/>
              <w:textAlignment w:val="baseline"/>
              <w:rPr>
                <w:rFonts w:ascii="Times New Roman" w:hAnsi="Times New Roman"/>
                <w:szCs w:val="20"/>
              </w:rPr>
            </w:pPr>
            <w:r w:rsidRPr="00DD2A86">
              <w:rPr>
                <w:rFonts w:ascii="Times New Roman" w:hAnsi="Times New Roman"/>
                <w:szCs w:val="20"/>
              </w:rPr>
              <w:t>7.2.3.51.5</w:t>
            </w:r>
          </w:p>
        </w:tc>
        <w:tc>
          <w:tcPr>
            <w:tcW w:w="3793"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line="240" w:lineRule="auto"/>
              <w:ind w:left="34"/>
              <w:textAlignment w:val="baseline"/>
              <w:rPr>
                <w:rFonts w:ascii="Times New Roman" w:hAnsi="Times New Roman"/>
                <w:szCs w:val="20"/>
                <w:lang w:eastAsia="fr-FR"/>
              </w:rPr>
            </w:pPr>
            <w:r w:rsidRPr="00DD2A86">
              <w:rPr>
                <w:rFonts w:ascii="Times New Roman" w:hAnsi="Times New Roman"/>
                <w:szCs w:val="20"/>
                <w:lang w:eastAsia="fr-FR"/>
              </w:rPr>
              <w:t>Oberflächentemperatur wenn T4, T5 oder T6 gefordert ist</w:t>
            </w:r>
          </w:p>
        </w:tc>
        <w:tc>
          <w:tcPr>
            <w:tcW w:w="4286"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N.E.U. ab 1. Januar 2019</w:t>
            </w:r>
          </w:p>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Erneuerung des Zulassungszeugnisses nach dem 31. Dezember 2020</w:t>
            </w:r>
          </w:p>
        </w:tc>
      </w:tr>
      <w:tr w:rsidR="00100712" w:rsidRPr="00103305" w:rsidTr="00283E6E">
        <w:trPr>
          <w:cantSplit/>
          <w:trHeight w:val="283"/>
        </w:trPr>
        <w:tc>
          <w:tcPr>
            <w:tcW w:w="1277"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8.1.2.3</w:t>
            </w:r>
          </w:p>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r), s), t), v)</w:t>
            </w:r>
          </w:p>
        </w:tc>
        <w:tc>
          <w:tcPr>
            <w:tcW w:w="3793"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szCs w:val="20"/>
              </w:rPr>
              <w:t xml:space="preserve">Unterlagen, die </w:t>
            </w:r>
            <w:r w:rsidR="002D4E23" w:rsidRPr="00DD2A86">
              <w:rPr>
                <w:rFonts w:ascii="Times New Roman" w:hAnsi="Times New Roman"/>
                <w:szCs w:val="20"/>
              </w:rPr>
              <w:t>sich an Bord befinden</w:t>
            </w:r>
            <w:r w:rsidRPr="00DD2A86">
              <w:rPr>
                <w:rFonts w:ascii="Times New Roman" w:hAnsi="Times New Roman"/>
                <w:szCs w:val="20"/>
              </w:rPr>
              <w:t xml:space="preserve"> müssen</w:t>
            </w:r>
          </w:p>
        </w:tc>
        <w:tc>
          <w:tcPr>
            <w:tcW w:w="4286"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N.E.U. ab 1. Januar 2019</w:t>
            </w:r>
          </w:p>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Erneuerung des Zulassungszeugnisses nach dem 31. Dezember 2020</w:t>
            </w:r>
          </w:p>
          <w:p w:rsidR="00E459EF" w:rsidRPr="00DD2A86" w:rsidRDefault="00E459EF" w:rsidP="00B61A90">
            <w:pPr>
              <w:suppressAutoHyphens w:val="0"/>
              <w:autoSpaceDE w:val="0"/>
              <w:autoSpaceDN w:val="0"/>
              <w:adjustRightInd w:val="0"/>
              <w:spacing w:line="240" w:lineRule="auto"/>
              <w:jc w:val="center"/>
              <w:rPr>
                <w:rFonts w:ascii="Times New Roman" w:hAnsi="Times New Roman"/>
                <w:szCs w:val="20"/>
              </w:rPr>
            </w:pPr>
          </w:p>
          <w:p w:rsidR="00100712" w:rsidRPr="00DD2A86" w:rsidRDefault="00100712" w:rsidP="00B61A90">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szCs w:val="20"/>
              </w:rPr>
              <w:t>An Bord von in Betrieb befindlichen Schiffen müssen bis dahin zusätzlich zu den nach den in Unterabschnitt 1.1.4.6 genannten Vorschriften an Bord vorhanden sein:</w:t>
            </w:r>
          </w:p>
          <w:p w:rsidR="00100712" w:rsidRPr="00DD2A86" w:rsidRDefault="00100712" w:rsidP="00B61A90">
            <w:pPr>
              <w:suppressAutoHyphens w:val="0"/>
              <w:autoSpaceDE w:val="0"/>
              <w:autoSpaceDN w:val="0"/>
              <w:adjustRightInd w:val="0"/>
              <w:spacing w:line="240" w:lineRule="auto"/>
              <w:ind w:left="322" w:hanging="322"/>
              <w:rPr>
                <w:rFonts w:ascii="Times New Roman" w:hAnsi="Times New Roman"/>
                <w:szCs w:val="20"/>
              </w:rPr>
            </w:pPr>
            <w:r w:rsidRPr="00DD2A86">
              <w:rPr>
                <w:rFonts w:ascii="Times New Roman" w:hAnsi="Times New Roman"/>
                <w:szCs w:val="20"/>
              </w:rPr>
              <w:t>a)</w:t>
            </w:r>
            <w:r w:rsidRPr="00DD2A86">
              <w:rPr>
                <w:rFonts w:ascii="Times New Roman" w:hAnsi="Times New Roman"/>
                <w:szCs w:val="20"/>
              </w:rPr>
              <w:tab/>
              <w:t>ein Plan mit den Grenzen des Bereichs der Ladung, auf dem die in diesem Bereich installierten elektrischen Betriebsmittel eingetragen sind;</w:t>
            </w:r>
          </w:p>
          <w:p w:rsidR="00100712" w:rsidRPr="00DD2A86" w:rsidRDefault="00100712" w:rsidP="00B61A90">
            <w:pPr>
              <w:suppressAutoHyphens w:val="0"/>
              <w:autoSpaceDE w:val="0"/>
              <w:autoSpaceDN w:val="0"/>
              <w:adjustRightInd w:val="0"/>
              <w:spacing w:line="240" w:lineRule="auto"/>
              <w:ind w:left="322" w:hanging="322"/>
              <w:rPr>
                <w:rFonts w:ascii="Times New Roman" w:hAnsi="Times New Roman"/>
                <w:szCs w:val="20"/>
              </w:rPr>
            </w:pPr>
            <w:r w:rsidRPr="00DD2A86">
              <w:rPr>
                <w:rFonts w:ascii="Times New Roman" w:hAnsi="Times New Roman"/>
                <w:szCs w:val="20"/>
              </w:rPr>
              <w:t>b)</w:t>
            </w:r>
            <w:r w:rsidRPr="00DD2A86">
              <w:rPr>
                <w:rFonts w:ascii="Times New Roman" w:hAnsi="Times New Roman"/>
                <w:szCs w:val="20"/>
              </w:rPr>
              <w:tab/>
              <w:t>eine Liste über die unter Buchstabe a) aufgeführten elektrischen Betriebsmittel mit folgenden Angaben:</w:t>
            </w:r>
          </w:p>
          <w:p w:rsidR="00100712" w:rsidRPr="00DD2A86" w:rsidRDefault="00100712" w:rsidP="00B61A90">
            <w:pPr>
              <w:suppressAutoHyphens w:val="0"/>
              <w:autoSpaceDE w:val="0"/>
              <w:autoSpaceDN w:val="0"/>
              <w:adjustRightInd w:val="0"/>
              <w:spacing w:line="240" w:lineRule="auto"/>
              <w:ind w:left="322" w:hanging="322"/>
              <w:rPr>
                <w:rFonts w:ascii="Times New Roman" w:hAnsi="Times New Roman"/>
                <w:szCs w:val="20"/>
              </w:rPr>
            </w:pPr>
            <w:r w:rsidRPr="00DD2A86">
              <w:rPr>
                <w:rFonts w:ascii="Times New Roman" w:hAnsi="Times New Roman"/>
                <w:szCs w:val="20"/>
              </w:rPr>
              <w:tab/>
              <w:t>Gerät, Aufstellungsort, Schutzart, Zündschutzart, Prüfstelle und Zulassungsnummer;</w:t>
            </w:r>
          </w:p>
          <w:p w:rsidR="00100712" w:rsidRPr="00DD2A86" w:rsidRDefault="00100712" w:rsidP="00B61A90">
            <w:pPr>
              <w:suppressAutoHyphens w:val="0"/>
              <w:autoSpaceDE w:val="0"/>
              <w:autoSpaceDN w:val="0"/>
              <w:adjustRightInd w:val="0"/>
              <w:spacing w:line="240" w:lineRule="auto"/>
              <w:ind w:left="322" w:hanging="322"/>
              <w:rPr>
                <w:rFonts w:ascii="Times New Roman" w:hAnsi="Times New Roman"/>
                <w:szCs w:val="20"/>
              </w:rPr>
            </w:pPr>
            <w:r w:rsidRPr="00DD2A86">
              <w:rPr>
                <w:rFonts w:ascii="Times New Roman" w:hAnsi="Times New Roman"/>
                <w:szCs w:val="20"/>
              </w:rPr>
              <w:t>c)</w:t>
            </w:r>
            <w:r w:rsidRPr="00DD2A86">
              <w:rPr>
                <w:rFonts w:ascii="Times New Roman" w:hAnsi="Times New Roman"/>
                <w:szCs w:val="20"/>
              </w:rPr>
              <w:tab/>
              <w:t>eine Liste oder ein Übersichtsplan über die außerhalb des Bereichs der Ladung vorhandenen Betriebsmittel, die während des Ladens, Löschens und Entgasens betrieben werden dürfen</w:t>
            </w:r>
          </w:p>
          <w:p w:rsidR="00100712" w:rsidRPr="00DD2A86" w:rsidRDefault="00100712" w:rsidP="001D7815">
            <w:pPr>
              <w:widowControl w:val="0"/>
              <w:suppressAutoHyphens w:val="0"/>
              <w:overflowPunct w:val="0"/>
              <w:autoSpaceDE w:val="0"/>
              <w:autoSpaceDN w:val="0"/>
              <w:adjustRightInd w:val="0"/>
              <w:spacing w:line="240" w:lineRule="auto"/>
              <w:textAlignment w:val="baseline"/>
              <w:rPr>
                <w:rFonts w:ascii="Times New Roman" w:hAnsi="Times New Roman"/>
                <w:szCs w:val="20"/>
                <w:lang w:eastAsia="fr-FR"/>
              </w:rPr>
            </w:pPr>
            <w:r w:rsidRPr="00DD2A86">
              <w:rPr>
                <w:rFonts w:ascii="Times New Roman" w:hAnsi="Times New Roman"/>
                <w:szCs w:val="20"/>
                <w:lang w:eastAsia="fr-FR"/>
              </w:rPr>
              <w:t>Die vorstehend genannten Unterlagen müssen mit dem Sichtvermerk der zuständigen Behörde</w:t>
            </w:r>
            <w:r w:rsidR="00971259" w:rsidRPr="00DD2A86">
              <w:rPr>
                <w:rFonts w:ascii="Times New Roman" w:hAnsi="Times New Roman"/>
                <w:szCs w:val="20"/>
                <w:lang w:eastAsia="fr-FR"/>
              </w:rPr>
              <w:t>, die das Zulassungszeugnis erteilt,</w:t>
            </w:r>
            <w:r w:rsidRPr="00DD2A86">
              <w:rPr>
                <w:rFonts w:ascii="Times New Roman" w:hAnsi="Times New Roman"/>
                <w:szCs w:val="20"/>
                <w:lang w:eastAsia="fr-FR"/>
              </w:rPr>
              <w:t xml:space="preserve"> versehen sein</w:t>
            </w:r>
            <w:r w:rsidR="00971259" w:rsidRPr="00DD2A86">
              <w:rPr>
                <w:rFonts w:ascii="Times New Roman" w:hAnsi="Times New Roman"/>
                <w:szCs w:val="20"/>
                <w:lang w:eastAsia="fr-FR"/>
              </w:rPr>
              <w:t>.</w:t>
            </w:r>
          </w:p>
        </w:tc>
      </w:tr>
      <w:tr w:rsidR="00100712" w:rsidRPr="00DD2A86" w:rsidTr="00283E6E">
        <w:trPr>
          <w:cantSplit/>
          <w:trHeight w:val="283"/>
        </w:trPr>
        <w:tc>
          <w:tcPr>
            <w:tcW w:w="1277"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8.1.2.3 u)</w:t>
            </w:r>
          </w:p>
        </w:tc>
        <w:tc>
          <w:tcPr>
            <w:tcW w:w="3793"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szCs w:val="20"/>
              </w:rPr>
              <w:t xml:space="preserve">Unterlagen, die </w:t>
            </w:r>
            <w:r w:rsidR="002D4E23" w:rsidRPr="00DD2A86">
              <w:rPr>
                <w:rFonts w:ascii="Times New Roman" w:hAnsi="Times New Roman"/>
                <w:szCs w:val="20"/>
              </w:rPr>
              <w:t>sich an Bord befinden</w:t>
            </w:r>
            <w:r w:rsidRPr="00DD2A86">
              <w:rPr>
                <w:rFonts w:ascii="Times New Roman" w:hAnsi="Times New Roman"/>
                <w:szCs w:val="20"/>
              </w:rPr>
              <w:t xml:space="preserve"> müssen</w:t>
            </w:r>
          </w:p>
          <w:p w:rsidR="00100712" w:rsidRPr="00DD2A86" w:rsidRDefault="00100712" w:rsidP="00B61A90">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szCs w:val="20"/>
              </w:rPr>
              <w:t>Plan mit Zoneneinteilung</w:t>
            </w:r>
          </w:p>
        </w:tc>
        <w:tc>
          <w:tcPr>
            <w:tcW w:w="4286"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N.E.U. ab 1. Januar 2019</w:t>
            </w:r>
          </w:p>
          <w:p w:rsidR="00100712" w:rsidRPr="00DD2A86" w:rsidRDefault="00100712" w:rsidP="00B61A90">
            <w:pPr>
              <w:suppressAutoHyphens w:val="0"/>
              <w:spacing w:line="240" w:lineRule="auto"/>
              <w:jc w:val="center"/>
              <w:rPr>
                <w:rFonts w:ascii="Times New Roman" w:hAnsi="Times New Roman"/>
                <w:szCs w:val="20"/>
              </w:rPr>
            </w:pPr>
            <w:r w:rsidRPr="00DD2A86">
              <w:rPr>
                <w:rFonts w:ascii="Times New Roman" w:hAnsi="Times New Roman"/>
                <w:szCs w:val="20"/>
              </w:rPr>
              <w:t>Erneuerung des Zulassungszeugnisses nach dem 31. Dezember 2034</w:t>
            </w:r>
          </w:p>
        </w:tc>
      </w:tr>
      <w:tr w:rsidR="00F763D3" w:rsidRPr="00DD2A86" w:rsidTr="00283E6E">
        <w:trPr>
          <w:cantSplit/>
          <w:trHeight w:val="464"/>
        </w:trPr>
        <w:tc>
          <w:tcPr>
            <w:tcW w:w="1277" w:type="dxa"/>
            <w:hideMark/>
          </w:tcPr>
          <w:p w:rsidR="00F763D3" w:rsidRPr="00DD2A86" w:rsidRDefault="00F763D3" w:rsidP="00D53B5E">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8.1.6.3</w:t>
            </w:r>
          </w:p>
        </w:tc>
        <w:tc>
          <w:tcPr>
            <w:tcW w:w="3793" w:type="dxa"/>
            <w:hideMark/>
          </w:tcPr>
          <w:p w:rsidR="00F763D3" w:rsidRPr="00DD2A86" w:rsidRDefault="00F763D3" w:rsidP="00D53B5E">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szCs w:val="20"/>
              </w:rPr>
              <w:t>Überprüfung der Sauerstoffmessanlage</w:t>
            </w:r>
          </w:p>
        </w:tc>
        <w:tc>
          <w:tcPr>
            <w:tcW w:w="4286" w:type="dxa"/>
            <w:hideMark/>
          </w:tcPr>
          <w:p w:rsidR="00F763D3" w:rsidRPr="00DD2A86" w:rsidRDefault="00F763D3" w:rsidP="00D53B5E">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N.E.U. ab 1. Januar 2019</w:t>
            </w:r>
          </w:p>
          <w:p w:rsidR="00F763D3" w:rsidRPr="00DD2A86" w:rsidRDefault="00F763D3" w:rsidP="00D53B5E">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Erneuerung des Zulassungszeugnisses nach dem 31. Dezember 2020</w:t>
            </w:r>
          </w:p>
        </w:tc>
      </w:tr>
      <w:tr w:rsidR="00100712" w:rsidRPr="00DD2A86" w:rsidTr="00283E6E">
        <w:trPr>
          <w:cantSplit/>
          <w:trHeight w:val="464"/>
        </w:trPr>
        <w:tc>
          <w:tcPr>
            <w:tcW w:w="1277"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8.1.7.2</w:t>
            </w:r>
          </w:p>
        </w:tc>
        <w:tc>
          <w:tcPr>
            <w:tcW w:w="3793"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szCs w:val="20"/>
              </w:rPr>
              <w:t>Anlagen, Geräte</w:t>
            </w:r>
            <w:r w:rsidR="00F763D3" w:rsidRPr="00DD2A86">
              <w:rPr>
                <w:rFonts w:ascii="Times New Roman" w:hAnsi="Times New Roman"/>
                <w:szCs w:val="20"/>
              </w:rPr>
              <w:t>,</w:t>
            </w:r>
            <w:r w:rsidRPr="00DD2A86">
              <w:rPr>
                <w:rFonts w:ascii="Times New Roman" w:hAnsi="Times New Roman"/>
                <w:szCs w:val="20"/>
              </w:rPr>
              <w:t xml:space="preserve"> autonome Schutzsysteme, Prüfung der Anlagen, Geräte und autonomen Schutzsysteme sowie Übereinstimmung der nach Absatz 8.1.2.3 r) bis v) geforderten Unterlagen mit den Gegebenheiten an Bord</w:t>
            </w:r>
          </w:p>
        </w:tc>
        <w:tc>
          <w:tcPr>
            <w:tcW w:w="4286"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N.E.U. ab 1. Januar 2019</w:t>
            </w:r>
          </w:p>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Erneuerung des Zulassungszeugnisses nach dem 31. Dezember 2020</w:t>
            </w:r>
          </w:p>
        </w:tc>
      </w:tr>
      <w:tr w:rsidR="00100712" w:rsidRPr="00DD2A86" w:rsidTr="00283E6E">
        <w:trPr>
          <w:cantSplit/>
          <w:trHeight w:val="464"/>
        </w:trPr>
        <w:tc>
          <w:tcPr>
            <w:tcW w:w="1277"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8.1.7.2</w:t>
            </w:r>
          </w:p>
        </w:tc>
        <w:tc>
          <w:tcPr>
            <w:tcW w:w="3793"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suppressAutoHyphens w:val="0"/>
              <w:autoSpaceDE w:val="0"/>
              <w:autoSpaceDN w:val="0"/>
              <w:adjustRightInd w:val="0"/>
              <w:spacing w:line="240" w:lineRule="auto"/>
              <w:ind w:left="-9"/>
              <w:rPr>
                <w:rFonts w:ascii="Times New Roman" w:hAnsi="Times New Roman"/>
                <w:szCs w:val="20"/>
              </w:rPr>
            </w:pPr>
            <w:r w:rsidRPr="00DD2A86">
              <w:rPr>
                <w:rFonts w:ascii="Times New Roman" w:hAnsi="Times New Roman"/>
                <w:szCs w:val="20"/>
              </w:rPr>
              <w:t xml:space="preserve">Kennzeichnung </w:t>
            </w:r>
            <w:r w:rsidR="00594321" w:rsidRPr="00DD2A86">
              <w:rPr>
                <w:rFonts w:ascii="Times New Roman" w:hAnsi="Times New Roman"/>
                <w:szCs w:val="20"/>
              </w:rPr>
              <w:t xml:space="preserve">an </w:t>
            </w:r>
            <w:r w:rsidRPr="00DD2A86">
              <w:rPr>
                <w:rFonts w:ascii="Times New Roman" w:hAnsi="Times New Roman"/>
                <w:szCs w:val="20"/>
              </w:rPr>
              <w:t>Anlagen und Geräte zum Einsatz in explosionsgefährdeten Bereichen sowie an den autonomen Schutzsystemen</w:t>
            </w:r>
          </w:p>
        </w:tc>
        <w:tc>
          <w:tcPr>
            <w:tcW w:w="4286"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N.E.U. ab 1. Januar 2019</w:t>
            </w:r>
          </w:p>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Erneuerung des Zulassungszeugnisses nach dem 31. Dezember 2024</w:t>
            </w:r>
          </w:p>
        </w:tc>
      </w:tr>
      <w:tr w:rsidR="00100712" w:rsidRPr="00DD2A86" w:rsidTr="00283E6E">
        <w:trPr>
          <w:cantSplit/>
          <w:trHeight w:val="464"/>
        </w:trPr>
        <w:tc>
          <w:tcPr>
            <w:tcW w:w="1277"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8.6.1.3</w:t>
            </w:r>
          </w:p>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8.6.1.4</w:t>
            </w:r>
          </w:p>
        </w:tc>
        <w:tc>
          <w:tcPr>
            <w:tcW w:w="3793"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szCs w:val="20"/>
              </w:rPr>
              <w:t>Änderung Zulassungszeugnis</w:t>
            </w:r>
          </w:p>
        </w:tc>
        <w:tc>
          <w:tcPr>
            <w:tcW w:w="4286"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N.E.U. ab 1. Januar 2019</w:t>
            </w:r>
          </w:p>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Erneuerung des Zulassungszeugnisses nach dem 31. Dezember 2018</w:t>
            </w:r>
          </w:p>
        </w:tc>
      </w:tr>
      <w:tr w:rsidR="00100712" w:rsidRPr="00DD2A86" w:rsidTr="00283E6E">
        <w:trPr>
          <w:cantSplit/>
          <w:trHeight w:val="464"/>
        </w:trPr>
        <w:tc>
          <w:tcPr>
            <w:tcW w:w="1277"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9.3.1.8.4</w:t>
            </w:r>
          </w:p>
          <w:p w:rsidR="00100712" w:rsidRPr="00DD2A86" w:rsidRDefault="00100712" w:rsidP="00B61A90">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9.3.2.8.4</w:t>
            </w:r>
          </w:p>
          <w:p w:rsidR="00100712" w:rsidRPr="00DD2A86" w:rsidRDefault="00100712" w:rsidP="00B61A90">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9.3.3.8.4</w:t>
            </w:r>
          </w:p>
        </w:tc>
        <w:tc>
          <w:tcPr>
            <w:tcW w:w="3793"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tabs>
                <w:tab w:val="left" w:pos="708"/>
              </w:tabs>
              <w:suppressAutoHyphens w:val="0"/>
              <w:overflowPunct w:val="0"/>
              <w:autoSpaceDE w:val="0"/>
              <w:autoSpaceDN w:val="0"/>
              <w:adjustRightInd w:val="0"/>
              <w:spacing w:before="60" w:after="60" w:line="240" w:lineRule="exact"/>
              <w:textAlignment w:val="baseline"/>
              <w:rPr>
                <w:rFonts w:ascii="Times New Roman" w:hAnsi="Times New Roman"/>
                <w:szCs w:val="20"/>
                <w:lang w:eastAsia="fr-FR"/>
              </w:rPr>
            </w:pPr>
            <w:r w:rsidRPr="00DD2A86">
              <w:rPr>
                <w:rFonts w:ascii="Times New Roman" w:hAnsi="Times New Roman"/>
                <w:szCs w:val="20"/>
                <w:lang w:eastAsia="fr-FR"/>
              </w:rPr>
              <w:t>Übereinstimmung der Unterlagen nach 8.1.2.3 r) bis v)</w:t>
            </w:r>
          </w:p>
        </w:tc>
        <w:tc>
          <w:tcPr>
            <w:tcW w:w="4286"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N.E.U. ab 1. Januar 2019</w:t>
            </w:r>
          </w:p>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Erneuerung des Zulassungszeugnisses nach dem 31. Dezember 2018</w:t>
            </w:r>
          </w:p>
        </w:tc>
      </w:tr>
      <w:tr w:rsidR="00100712" w:rsidRPr="00DD2A86" w:rsidTr="00283E6E">
        <w:trPr>
          <w:cantSplit/>
          <w:trHeight w:val="464"/>
        </w:trPr>
        <w:tc>
          <w:tcPr>
            <w:tcW w:w="1277"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9.3.1.10.1</w:t>
            </w:r>
          </w:p>
          <w:p w:rsidR="00100712" w:rsidRPr="00DD2A86" w:rsidRDefault="00100712" w:rsidP="00B61A90">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9.3.2.10.1</w:t>
            </w:r>
          </w:p>
          <w:p w:rsidR="00100712" w:rsidRPr="00DD2A86" w:rsidRDefault="00100712" w:rsidP="00B61A90">
            <w:pPr>
              <w:widowControl w:val="0"/>
              <w:tabs>
                <w:tab w:val="left" w:pos="708"/>
              </w:tabs>
              <w:suppressAutoHyphens w:val="0"/>
              <w:overflowPunct w:val="0"/>
              <w:autoSpaceDE w:val="0"/>
              <w:autoSpaceDN w:val="0"/>
              <w:adjustRightInd w:val="0"/>
              <w:spacing w:after="100" w:afterAutospacing="1"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9.3.3.10.1</w:t>
            </w:r>
          </w:p>
        </w:tc>
        <w:tc>
          <w:tcPr>
            <w:tcW w:w="3793"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tabs>
                <w:tab w:val="left" w:pos="708"/>
              </w:tabs>
              <w:suppressAutoHyphens w:val="0"/>
              <w:overflowPunct w:val="0"/>
              <w:autoSpaceDE w:val="0"/>
              <w:autoSpaceDN w:val="0"/>
              <w:adjustRightInd w:val="0"/>
              <w:spacing w:line="240" w:lineRule="exact"/>
              <w:textAlignment w:val="baseline"/>
              <w:rPr>
                <w:rFonts w:ascii="Times New Roman" w:hAnsi="Times New Roman"/>
                <w:szCs w:val="20"/>
                <w:lang w:eastAsia="fr-FR"/>
              </w:rPr>
            </w:pPr>
            <w:r w:rsidRPr="00DD2A86">
              <w:rPr>
                <w:rFonts w:ascii="Times New Roman" w:hAnsi="Times New Roman"/>
                <w:szCs w:val="20"/>
                <w:lang w:eastAsia="fr-FR"/>
              </w:rPr>
              <w:t>Eindringen von Gasen und Flüssigkeiten ins Steuerhaus</w:t>
            </w:r>
          </w:p>
          <w:p w:rsidR="00100712" w:rsidRPr="00DD2A86" w:rsidRDefault="00100712" w:rsidP="00B61A90">
            <w:pPr>
              <w:widowControl w:val="0"/>
              <w:tabs>
                <w:tab w:val="left" w:pos="708"/>
              </w:tabs>
              <w:suppressAutoHyphens w:val="0"/>
              <w:overflowPunct w:val="0"/>
              <w:autoSpaceDE w:val="0"/>
              <w:autoSpaceDN w:val="0"/>
              <w:adjustRightInd w:val="0"/>
              <w:spacing w:line="240" w:lineRule="exact"/>
              <w:textAlignment w:val="baseline"/>
              <w:rPr>
                <w:rFonts w:ascii="Times New Roman" w:hAnsi="Times New Roman"/>
                <w:szCs w:val="20"/>
                <w:lang w:eastAsia="fr-FR"/>
              </w:rPr>
            </w:pPr>
            <w:r w:rsidRPr="00DD2A86">
              <w:rPr>
                <w:rFonts w:ascii="Times New Roman" w:hAnsi="Times New Roman"/>
                <w:szCs w:val="20"/>
                <w:lang w:eastAsia="fr-FR"/>
              </w:rPr>
              <w:t>Zu öffnende Fenster</w:t>
            </w:r>
          </w:p>
        </w:tc>
        <w:tc>
          <w:tcPr>
            <w:tcW w:w="4286"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N.E.U. ab 1. Januar 2019</w:t>
            </w:r>
          </w:p>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Erneuerung des Zulassungszeugnisses nach dem 31. Dezember 2024</w:t>
            </w:r>
          </w:p>
        </w:tc>
      </w:tr>
      <w:tr w:rsidR="00100712" w:rsidRPr="00DD2A86" w:rsidTr="00283E6E">
        <w:trPr>
          <w:cantSplit/>
          <w:trHeight w:val="464"/>
        </w:trPr>
        <w:tc>
          <w:tcPr>
            <w:tcW w:w="1277"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9.3.1.10.2</w:t>
            </w:r>
          </w:p>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9.3.2.10.2</w:t>
            </w:r>
          </w:p>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9.3.3.10.2</w:t>
            </w:r>
          </w:p>
        </w:tc>
        <w:tc>
          <w:tcPr>
            <w:tcW w:w="3793"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szCs w:val="20"/>
              </w:rPr>
              <w:t>Höhe des Schutzsülls</w:t>
            </w:r>
          </w:p>
        </w:tc>
        <w:tc>
          <w:tcPr>
            <w:tcW w:w="4286"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N.E.U. ab 1. Januar 2019</w:t>
            </w:r>
          </w:p>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Erneuerung des Zulassungszeugnisses nach dem 31. Dezember 2020</w:t>
            </w:r>
          </w:p>
        </w:tc>
      </w:tr>
      <w:tr w:rsidR="00030510" w:rsidRPr="00DD2A86" w:rsidTr="00283E6E">
        <w:trPr>
          <w:cantSplit/>
        </w:trPr>
        <w:tc>
          <w:tcPr>
            <w:tcW w:w="1277" w:type="dxa"/>
            <w:hideMark/>
          </w:tcPr>
          <w:p w:rsidR="00030510" w:rsidRPr="00DD2A86" w:rsidRDefault="00030510" w:rsidP="00292F63">
            <w:pPr>
              <w:kinsoku w:val="0"/>
              <w:overflowPunct w:val="0"/>
              <w:autoSpaceDE w:val="0"/>
              <w:autoSpaceDN w:val="0"/>
              <w:adjustRightInd w:val="0"/>
              <w:snapToGrid w:val="0"/>
              <w:spacing w:before="120" w:after="120"/>
              <w:rPr>
                <w:rFonts w:ascii="Times New Roman" w:hAnsi="Times New Roman"/>
              </w:rPr>
            </w:pPr>
            <w:r w:rsidRPr="00DD2A86">
              <w:rPr>
                <w:rFonts w:ascii="Times New Roman" w:hAnsi="Times New Roman"/>
              </w:rPr>
              <w:t>9.3.3.11.2 d)</w:t>
            </w:r>
          </w:p>
        </w:tc>
        <w:tc>
          <w:tcPr>
            <w:tcW w:w="3793" w:type="dxa"/>
          </w:tcPr>
          <w:p w:rsidR="00030510" w:rsidRPr="00DD2A86" w:rsidRDefault="00030510" w:rsidP="00292F63">
            <w:pPr>
              <w:kinsoku w:val="0"/>
              <w:overflowPunct w:val="0"/>
              <w:autoSpaceDE w:val="0"/>
              <w:autoSpaceDN w:val="0"/>
              <w:adjustRightInd w:val="0"/>
              <w:snapToGrid w:val="0"/>
              <w:spacing w:before="120" w:after="120"/>
              <w:rPr>
                <w:rFonts w:ascii="Times New Roman" w:hAnsi="Times New Roman"/>
              </w:rPr>
            </w:pPr>
            <w:r w:rsidRPr="00DD2A86">
              <w:rPr>
                <w:rFonts w:ascii="Times New Roman" w:hAnsi="Times New Roman"/>
                <w:lang w:eastAsia="zh-CN"/>
              </w:rPr>
              <w:t>Stützen zwischen Schiffskörper und Ladetanks</w:t>
            </w:r>
          </w:p>
        </w:tc>
        <w:tc>
          <w:tcPr>
            <w:tcW w:w="4286" w:type="dxa"/>
            <w:hideMark/>
          </w:tcPr>
          <w:p w:rsidR="00030510" w:rsidRPr="00DD2A86" w:rsidRDefault="00030510" w:rsidP="00292F63">
            <w:pPr>
              <w:kinsoku w:val="0"/>
              <w:overflowPunct w:val="0"/>
              <w:autoSpaceDE w:val="0"/>
              <w:autoSpaceDN w:val="0"/>
              <w:adjustRightInd w:val="0"/>
              <w:snapToGrid w:val="0"/>
              <w:spacing w:before="120"/>
              <w:jc w:val="center"/>
              <w:rPr>
                <w:rFonts w:ascii="Times New Roman" w:hAnsi="Times New Roman"/>
              </w:rPr>
            </w:pPr>
            <w:r w:rsidRPr="00DD2A86">
              <w:rPr>
                <w:rFonts w:ascii="Times New Roman" w:hAnsi="Times New Roman"/>
              </w:rPr>
              <w:t>N.E.U. ab 1. Januar 2019</w:t>
            </w:r>
          </w:p>
          <w:p w:rsidR="00030510" w:rsidRPr="00DD2A86" w:rsidRDefault="00030510" w:rsidP="00292F63">
            <w:pPr>
              <w:kinsoku w:val="0"/>
              <w:overflowPunct w:val="0"/>
              <w:autoSpaceDE w:val="0"/>
              <w:autoSpaceDN w:val="0"/>
              <w:adjustRightInd w:val="0"/>
              <w:snapToGrid w:val="0"/>
              <w:spacing w:after="120"/>
              <w:jc w:val="center"/>
              <w:rPr>
                <w:rFonts w:ascii="Times New Roman" w:hAnsi="Times New Roman"/>
                <w:lang w:val="fr-FR"/>
              </w:rPr>
            </w:pPr>
            <w:r w:rsidRPr="00DD2A86">
              <w:rPr>
                <w:rFonts w:ascii="Times New Roman" w:hAnsi="Times New Roman"/>
              </w:rPr>
              <w:t>Erneuerung des Zulassungszeugnisses nach dem 31. Dezember 2044</w:t>
            </w:r>
          </w:p>
        </w:tc>
      </w:tr>
      <w:tr w:rsidR="00100712" w:rsidRPr="00DD2A86" w:rsidTr="00283E6E">
        <w:trPr>
          <w:cantSplit/>
          <w:trHeight w:val="464"/>
        </w:trPr>
        <w:tc>
          <w:tcPr>
            <w:tcW w:w="1277"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9.3.1.12.4</w:t>
            </w:r>
          </w:p>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9.3.2.12.4</w:t>
            </w:r>
          </w:p>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9.3.3.12.4</w:t>
            </w:r>
          </w:p>
        </w:tc>
        <w:tc>
          <w:tcPr>
            <w:tcW w:w="3793"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szCs w:val="20"/>
              </w:rPr>
              <w:t xml:space="preserve">Lüftung Steuerhaus </w:t>
            </w:r>
          </w:p>
        </w:tc>
        <w:tc>
          <w:tcPr>
            <w:tcW w:w="4286"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suppressAutoHyphens w:val="0"/>
              <w:spacing w:line="240" w:lineRule="auto"/>
              <w:ind w:left="34"/>
              <w:jc w:val="center"/>
              <w:rPr>
                <w:rFonts w:ascii="Times New Roman" w:hAnsi="Times New Roman"/>
                <w:szCs w:val="20"/>
              </w:rPr>
            </w:pPr>
            <w:r w:rsidRPr="00DD2A86">
              <w:rPr>
                <w:rFonts w:ascii="Times New Roman" w:hAnsi="Times New Roman"/>
                <w:szCs w:val="20"/>
              </w:rPr>
              <w:t>N.E.U. ab 1. Januar 2019</w:t>
            </w:r>
          </w:p>
          <w:p w:rsidR="00100712" w:rsidRPr="00DD2A86" w:rsidRDefault="00100712" w:rsidP="00B61A90">
            <w:pPr>
              <w:suppressAutoHyphens w:val="0"/>
              <w:autoSpaceDE w:val="0"/>
              <w:autoSpaceDN w:val="0"/>
              <w:adjustRightInd w:val="0"/>
              <w:spacing w:line="240" w:lineRule="auto"/>
              <w:ind w:left="34"/>
              <w:jc w:val="center"/>
              <w:rPr>
                <w:rFonts w:ascii="Times New Roman" w:hAnsi="Times New Roman"/>
                <w:szCs w:val="20"/>
              </w:rPr>
            </w:pPr>
            <w:r w:rsidRPr="00DD2A86">
              <w:rPr>
                <w:rFonts w:ascii="Times New Roman" w:hAnsi="Times New Roman"/>
                <w:szCs w:val="20"/>
              </w:rPr>
              <w:t>Erneuerung des Zulassungszeugnisses nach dem 31. Dezember 2024</w:t>
            </w:r>
          </w:p>
        </w:tc>
      </w:tr>
      <w:tr w:rsidR="00100712" w:rsidRPr="00DD2A86" w:rsidTr="00283E6E">
        <w:trPr>
          <w:cantSplit/>
          <w:trHeight w:val="464"/>
        </w:trPr>
        <w:tc>
          <w:tcPr>
            <w:tcW w:w="1277"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9.3.1.12.4</w:t>
            </w:r>
          </w:p>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9.3.2.12.4</w:t>
            </w:r>
          </w:p>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9.3.3.12.4</w:t>
            </w:r>
          </w:p>
        </w:tc>
        <w:tc>
          <w:tcPr>
            <w:tcW w:w="3793" w:type="dxa"/>
            <w:tcBorders>
              <w:top w:val="single" w:sz="4" w:space="0" w:color="auto"/>
              <w:left w:val="single" w:sz="4" w:space="0" w:color="auto"/>
              <w:bottom w:val="single" w:sz="4" w:space="0" w:color="auto"/>
              <w:right w:val="single" w:sz="4" w:space="0" w:color="auto"/>
            </w:tcBorders>
            <w:hideMark/>
          </w:tcPr>
          <w:p w:rsidR="00100712" w:rsidRPr="00DD2A86" w:rsidRDefault="00100712" w:rsidP="00F763D3">
            <w:pPr>
              <w:suppressAutoHyphens w:val="0"/>
              <w:autoSpaceDE w:val="0"/>
              <w:autoSpaceDN w:val="0"/>
              <w:adjustRightInd w:val="0"/>
              <w:spacing w:line="240" w:lineRule="auto"/>
              <w:ind w:left="34" w:right="34"/>
              <w:rPr>
                <w:rFonts w:ascii="Times New Roman" w:hAnsi="Times New Roman"/>
                <w:szCs w:val="20"/>
              </w:rPr>
            </w:pPr>
            <w:r w:rsidRPr="00DD2A86">
              <w:rPr>
                <w:rFonts w:ascii="Times New Roman" w:hAnsi="Times New Roman"/>
                <w:szCs w:val="20"/>
              </w:rPr>
              <w:t>Ausstattung Wohnungen, Steuerhaus, Betriebsräume wenn höhere Oberflächentemperaturen als unter 9.3.x.51 a) angegeben auftreten können</w:t>
            </w:r>
          </w:p>
        </w:tc>
        <w:tc>
          <w:tcPr>
            <w:tcW w:w="4286"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N.E.U. ab 1. Januar 2019</w:t>
            </w:r>
          </w:p>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Erneuerung des Zulassungszeugnisses nach dem 31. Dezember 2034</w:t>
            </w:r>
          </w:p>
        </w:tc>
      </w:tr>
      <w:tr w:rsidR="00100712" w:rsidRPr="00DD2A86" w:rsidTr="00283E6E">
        <w:trPr>
          <w:cantSplit/>
          <w:trHeight w:val="464"/>
        </w:trPr>
        <w:tc>
          <w:tcPr>
            <w:tcW w:w="1277"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9.3.1.12.4</w:t>
            </w:r>
          </w:p>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9.3.2.12.4</w:t>
            </w:r>
          </w:p>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9.3.3.12.4</w:t>
            </w:r>
          </w:p>
        </w:tc>
        <w:tc>
          <w:tcPr>
            <w:tcW w:w="3793"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suppressAutoHyphens w:val="0"/>
              <w:autoSpaceDE w:val="0"/>
              <w:autoSpaceDN w:val="0"/>
              <w:adjustRightInd w:val="0"/>
              <w:spacing w:line="240" w:lineRule="auto"/>
              <w:ind w:left="34" w:right="34"/>
              <w:rPr>
                <w:rFonts w:ascii="Times New Roman" w:hAnsi="Times New Roman"/>
                <w:szCs w:val="20"/>
              </w:rPr>
            </w:pPr>
            <w:r w:rsidRPr="00DD2A86">
              <w:rPr>
                <w:rFonts w:ascii="Times New Roman" w:hAnsi="Times New Roman"/>
                <w:szCs w:val="20"/>
              </w:rPr>
              <w:t>Ausstattung Steuerhaus</w:t>
            </w:r>
            <w:r w:rsidR="00F763D3" w:rsidRPr="00DD2A86">
              <w:rPr>
                <w:rFonts w:ascii="Times New Roman" w:hAnsi="Times New Roman"/>
                <w:szCs w:val="20"/>
              </w:rPr>
              <w:t>,</w:t>
            </w:r>
            <w:r w:rsidRPr="00DD2A86">
              <w:rPr>
                <w:rFonts w:ascii="Times New Roman" w:hAnsi="Times New Roman"/>
                <w:szCs w:val="20"/>
              </w:rPr>
              <w:t xml:space="preserve"> wenn höhere Oberflächentemperaturen als unter 9.3.x.51 a) angegeben auftreten können oder elektrische Geräte betrieben werden, die nicht die Anforderungen in 9.3.x.52.1 erfüllen</w:t>
            </w:r>
          </w:p>
        </w:tc>
        <w:tc>
          <w:tcPr>
            <w:tcW w:w="4286"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N.E.U. ab 1. Januar 2019</w:t>
            </w:r>
          </w:p>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Erneuerung des Zulassungszeugnisses nach dem 31. Dezember 2034</w:t>
            </w:r>
          </w:p>
        </w:tc>
      </w:tr>
      <w:tr w:rsidR="00100712" w:rsidRPr="00DD2A86" w:rsidTr="00283E6E">
        <w:trPr>
          <w:cantSplit/>
          <w:trHeight w:val="464"/>
        </w:trPr>
        <w:tc>
          <w:tcPr>
            <w:tcW w:w="1277" w:type="dxa"/>
            <w:tcBorders>
              <w:top w:val="single" w:sz="4" w:space="0" w:color="auto"/>
              <w:left w:val="single" w:sz="4" w:space="0" w:color="auto"/>
              <w:bottom w:val="single" w:sz="4" w:space="0" w:color="auto"/>
              <w:right w:val="single" w:sz="4" w:space="0" w:color="auto"/>
            </w:tcBorders>
          </w:tcPr>
          <w:p w:rsidR="00100712" w:rsidRPr="00DD2A86" w:rsidRDefault="00100712" w:rsidP="00B61A90">
            <w:pPr>
              <w:autoSpaceDE w:val="0"/>
              <w:autoSpaceDN w:val="0"/>
              <w:adjustRightInd w:val="0"/>
              <w:jc w:val="center"/>
              <w:rPr>
                <w:rFonts w:ascii="Times New Roman" w:hAnsi="Times New Roman"/>
                <w:szCs w:val="20"/>
              </w:rPr>
            </w:pPr>
            <w:r w:rsidRPr="00DD2A86">
              <w:rPr>
                <w:rFonts w:ascii="Times New Roman" w:hAnsi="Times New Roman"/>
                <w:szCs w:val="20"/>
              </w:rPr>
              <w:t>9.3.1.12.4</w:t>
            </w:r>
          </w:p>
          <w:p w:rsidR="00100712" w:rsidRPr="00DD2A86" w:rsidRDefault="00100712" w:rsidP="00B61A90">
            <w:pPr>
              <w:autoSpaceDE w:val="0"/>
              <w:autoSpaceDN w:val="0"/>
              <w:adjustRightInd w:val="0"/>
              <w:jc w:val="center"/>
              <w:rPr>
                <w:rFonts w:ascii="Times New Roman" w:hAnsi="Times New Roman"/>
                <w:szCs w:val="20"/>
              </w:rPr>
            </w:pPr>
            <w:r w:rsidRPr="00DD2A86">
              <w:rPr>
                <w:rFonts w:ascii="Times New Roman" w:hAnsi="Times New Roman"/>
                <w:szCs w:val="20"/>
              </w:rPr>
              <w:t>9.3.3.12.4</w:t>
            </w:r>
          </w:p>
        </w:tc>
        <w:tc>
          <w:tcPr>
            <w:tcW w:w="3793" w:type="dxa"/>
            <w:tcBorders>
              <w:top w:val="single" w:sz="4" w:space="0" w:color="auto"/>
              <w:left w:val="single" w:sz="4" w:space="0" w:color="auto"/>
              <w:bottom w:val="single" w:sz="4" w:space="0" w:color="auto"/>
              <w:right w:val="single" w:sz="4" w:space="0" w:color="auto"/>
            </w:tcBorders>
          </w:tcPr>
          <w:p w:rsidR="00100712" w:rsidRPr="00DD2A86" w:rsidRDefault="00100712" w:rsidP="00B61A90">
            <w:pPr>
              <w:autoSpaceDE w:val="0"/>
              <w:autoSpaceDN w:val="0"/>
              <w:adjustRightInd w:val="0"/>
              <w:rPr>
                <w:rFonts w:ascii="Times New Roman" w:hAnsi="Times New Roman"/>
                <w:szCs w:val="20"/>
              </w:rPr>
            </w:pPr>
            <w:r w:rsidRPr="00DD2A86">
              <w:rPr>
                <w:rFonts w:ascii="Times New Roman" w:hAnsi="Times New Roman"/>
                <w:szCs w:val="20"/>
              </w:rPr>
              <w:t>Elektrische Anlagen und Geräte, die während des Ladens, Löschens, Entgasens oder Aufenthalts in einer oder unmittelbar angrenzend an eine landseitig ausgewiesene Zone betrieben werden</w:t>
            </w:r>
          </w:p>
        </w:tc>
        <w:tc>
          <w:tcPr>
            <w:tcW w:w="4286" w:type="dxa"/>
            <w:tcBorders>
              <w:top w:val="single" w:sz="4" w:space="0" w:color="auto"/>
              <w:left w:val="single" w:sz="4" w:space="0" w:color="auto"/>
              <w:bottom w:val="single" w:sz="4" w:space="0" w:color="auto"/>
              <w:right w:val="single" w:sz="4" w:space="0" w:color="auto"/>
            </w:tcBorders>
          </w:tcPr>
          <w:p w:rsidR="00100712" w:rsidRPr="00DD2A86" w:rsidRDefault="00100712" w:rsidP="00B61A90">
            <w:pPr>
              <w:autoSpaceDE w:val="0"/>
              <w:autoSpaceDN w:val="0"/>
              <w:adjustRightInd w:val="0"/>
              <w:jc w:val="center"/>
              <w:rPr>
                <w:rFonts w:ascii="Times New Roman" w:hAnsi="Times New Roman"/>
                <w:szCs w:val="20"/>
              </w:rPr>
            </w:pPr>
            <w:r w:rsidRPr="00DD2A86">
              <w:rPr>
                <w:rFonts w:ascii="Times New Roman" w:hAnsi="Times New Roman"/>
                <w:szCs w:val="20"/>
              </w:rPr>
              <w:t>N.E.U. ab 1. Januar 2019</w:t>
            </w:r>
          </w:p>
          <w:p w:rsidR="00E459EF" w:rsidRPr="00DD2A86" w:rsidRDefault="00100712" w:rsidP="00B61A90">
            <w:pPr>
              <w:autoSpaceDE w:val="0"/>
              <w:autoSpaceDN w:val="0"/>
              <w:adjustRightInd w:val="0"/>
              <w:jc w:val="center"/>
              <w:rPr>
                <w:rFonts w:ascii="Times New Roman" w:hAnsi="Times New Roman"/>
                <w:szCs w:val="20"/>
              </w:rPr>
            </w:pPr>
            <w:r w:rsidRPr="00DD2A86">
              <w:rPr>
                <w:rFonts w:ascii="Times New Roman" w:hAnsi="Times New Roman"/>
                <w:szCs w:val="20"/>
              </w:rPr>
              <w:t>Erneuerung des Zulassungszeugnisses nach dem 31. Dezember 2034</w:t>
            </w:r>
          </w:p>
          <w:p w:rsidR="00100712" w:rsidRPr="00DD2A86" w:rsidRDefault="00100712" w:rsidP="00B61A90">
            <w:pPr>
              <w:autoSpaceDE w:val="0"/>
              <w:autoSpaceDN w:val="0"/>
              <w:adjustRightInd w:val="0"/>
              <w:jc w:val="center"/>
              <w:rPr>
                <w:rFonts w:ascii="Times New Roman" w:hAnsi="Times New Roman"/>
                <w:szCs w:val="20"/>
              </w:rPr>
            </w:pPr>
            <w:r w:rsidRPr="00DD2A86">
              <w:rPr>
                <w:rFonts w:ascii="Times New Roman" w:hAnsi="Times New Roman"/>
                <w:szCs w:val="20"/>
              </w:rPr>
              <w:t xml:space="preserve"> </w:t>
            </w:r>
          </w:p>
          <w:p w:rsidR="00100712" w:rsidRPr="00DD2A86" w:rsidRDefault="00100712" w:rsidP="00B61A90">
            <w:pPr>
              <w:autoSpaceDE w:val="0"/>
              <w:autoSpaceDN w:val="0"/>
              <w:adjustRightInd w:val="0"/>
              <w:rPr>
                <w:rFonts w:ascii="Times New Roman" w:hAnsi="Times New Roman"/>
              </w:rPr>
            </w:pPr>
            <w:r w:rsidRPr="00DD2A86">
              <w:rPr>
                <w:rFonts w:ascii="Times New Roman" w:hAnsi="Times New Roman"/>
              </w:rPr>
              <w:t>An Bord von in Betrieb befindlichen Schiffen des Typs G und N, die vor dem 1. Januar 1977 auf Kiel gelegt worden sind, müssen bis dahin alle elektrischen Einrichtungen mit Ausnahme der Beleuchtungsanlagen in den Wohnungen, der Sprechfunkanlagen in den Wohnungen und im Steuerhaus sowie der Geräte zur Überwachung der Verbrennungsmotoren den folgenden Bedingungen entsprechen:</w:t>
            </w:r>
          </w:p>
          <w:p w:rsidR="00100712" w:rsidRPr="00DD2A86" w:rsidRDefault="00100712" w:rsidP="00B61A90">
            <w:pPr>
              <w:autoSpaceDE w:val="0"/>
              <w:autoSpaceDN w:val="0"/>
              <w:adjustRightInd w:val="0"/>
              <w:ind w:left="299" w:hanging="299"/>
              <w:rPr>
                <w:rFonts w:ascii="Times New Roman" w:hAnsi="Times New Roman"/>
                <w:szCs w:val="20"/>
              </w:rPr>
            </w:pPr>
            <w:r w:rsidRPr="00DD2A86">
              <w:rPr>
                <w:rFonts w:ascii="Times New Roman" w:hAnsi="Times New Roman"/>
                <w:szCs w:val="20"/>
              </w:rPr>
              <w:t>Generatoren, Motoren usw.: Schutzart IP13</w:t>
            </w:r>
          </w:p>
          <w:p w:rsidR="00100712" w:rsidRPr="00DD2A86" w:rsidRDefault="00100712" w:rsidP="00B61A90">
            <w:pPr>
              <w:autoSpaceDE w:val="0"/>
              <w:autoSpaceDN w:val="0"/>
              <w:adjustRightInd w:val="0"/>
              <w:rPr>
                <w:rFonts w:ascii="Times New Roman" w:hAnsi="Times New Roman"/>
                <w:szCs w:val="20"/>
              </w:rPr>
            </w:pPr>
            <w:r w:rsidRPr="00DD2A86">
              <w:rPr>
                <w:rFonts w:ascii="Times New Roman" w:hAnsi="Times New Roman"/>
                <w:szCs w:val="20"/>
              </w:rPr>
              <w:t>Schalttafeln, Schalter, die in der Nähe des Wohnungseinganges angeordnet sind usw.: Schutzart IP23</w:t>
            </w:r>
          </w:p>
          <w:p w:rsidR="00100712" w:rsidRPr="00DD2A86" w:rsidRDefault="00100712" w:rsidP="00B61A90">
            <w:pPr>
              <w:autoSpaceDE w:val="0"/>
              <w:autoSpaceDN w:val="0"/>
              <w:adjustRightInd w:val="0"/>
              <w:ind w:left="299" w:hanging="299"/>
              <w:rPr>
                <w:rFonts w:ascii="Times New Roman" w:hAnsi="Times New Roman"/>
              </w:rPr>
            </w:pPr>
            <w:r w:rsidRPr="00DD2A86">
              <w:rPr>
                <w:rFonts w:ascii="Times New Roman" w:hAnsi="Times New Roman"/>
              </w:rPr>
              <w:t>Installationsmaterial usw.: Schutzart IP55.</w:t>
            </w:r>
          </w:p>
        </w:tc>
      </w:tr>
      <w:tr w:rsidR="00100712" w:rsidRPr="00DD2A86" w:rsidTr="00283E6E">
        <w:trPr>
          <w:cantSplit/>
          <w:trHeight w:val="464"/>
        </w:trPr>
        <w:tc>
          <w:tcPr>
            <w:tcW w:w="1277"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9.3.1.12.4</w:t>
            </w:r>
          </w:p>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9.3.2.12.4</w:t>
            </w:r>
          </w:p>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9.3.3.12.4</w:t>
            </w:r>
          </w:p>
        </w:tc>
        <w:tc>
          <w:tcPr>
            <w:tcW w:w="3793"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szCs w:val="20"/>
              </w:rPr>
              <w:t>Nicht-elektrische Anlagen und Geräte, die während des Ladens, Löschens und Entgasens oder während eines Aufenthalts in einer oder unmittelbar angrenzend an eine landseitig ausgewiesene Zone betrieben werden</w:t>
            </w:r>
          </w:p>
        </w:tc>
        <w:tc>
          <w:tcPr>
            <w:tcW w:w="4286"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N.E.U. ab 1. Januar 2019</w:t>
            </w:r>
          </w:p>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Erneuerung des Zulassungszeugnisses nach dem 31. Dezember 2034</w:t>
            </w:r>
          </w:p>
        </w:tc>
      </w:tr>
      <w:tr w:rsidR="00100712" w:rsidRPr="00DD2A86" w:rsidTr="00283E6E">
        <w:trPr>
          <w:cantSplit/>
          <w:trHeight w:val="464"/>
        </w:trPr>
        <w:tc>
          <w:tcPr>
            <w:tcW w:w="1277"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9.3.1.12.4</w:t>
            </w:r>
            <w:r w:rsidR="001D7815" w:rsidRPr="00DD2A86">
              <w:rPr>
                <w:rFonts w:ascii="Times New Roman" w:hAnsi="Times New Roman"/>
                <w:szCs w:val="20"/>
              </w:rPr>
              <w:t xml:space="preserve"> </w:t>
            </w:r>
            <w:r w:rsidRPr="00DD2A86">
              <w:rPr>
                <w:rFonts w:ascii="Times New Roman" w:hAnsi="Times New Roman"/>
                <w:szCs w:val="20"/>
              </w:rPr>
              <w:t>b)</w:t>
            </w:r>
          </w:p>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9.3.2.12.4</w:t>
            </w:r>
            <w:r w:rsidR="001D7815" w:rsidRPr="00DD2A86">
              <w:rPr>
                <w:rFonts w:ascii="Times New Roman" w:hAnsi="Times New Roman"/>
                <w:szCs w:val="20"/>
              </w:rPr>
              <w:t xml:space="preserve"> </w:t>
            </w:r>
            <w:r w:rsidRPr="00DD2A86">
              <w:rPr>
                <w:rFonts w:ascii="Times New Roman" w:hAnsi="Times New Roman"/>
                <w:szCs w:val="20"/>
              </w:rPr>
              <w:t>b)</w:t>
            </w:r>
          </w:p>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9.3.3.12.4</w:t>
            </w:r>
            <w:r w:rsidR="001D7815" w:rsidRPr="00DD2A86">
              <w:rPr>
                <w:rFonts w:ascii="Times New Roman" w:hAnsi="Times New Roman"/>
                <w:szCs w:val="20"/>
              </w:rPr>
              <w:t xml:space="preserve"> </w:t>
            </w:r>
            <w:r w:rsidRPr="00DD2A86">
              <w:rPr>
                <w:rFonts w:ascii="Times New Roman" w:hAnsi="Times New Roman"/>
                <w:szCs w:val="20"/>
              </w:rPr>
              <w:t>b)</w:t>
            </w:r>
          </w:p>
        </w:tc>
        <w:tc>
          <w:tcPr>
            <w:tcW w:w="3793"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szCs w:val="20"/>
              </w:rPr>
              <w:t>Gasspüranlage: T90-Zeit</w:t>
            </w:r>
          </w:p>
        </w:tc>
        <w:tc>
          <w:tcPr>
            <w:tcW w:w="4286"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N.E.U. ab 1. Januar 2019</w:t>
            </w:r>
          </w:p>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Erneuerung des Zulassungszeugnisses nach dem 31. Dezember 2034</w:t>
            </w:r>
          </w:p>
        </w:tc>
      </w:tr>
      <w:tr w:rsidR="00100712" w:rsidRPr="00DD2A86" w:rsidTr="00283E6E">
        <w:trPr>
          <w:cantSplit/>
          <w:trHeight w:val="464"/>
        </w:trPr>
        <w:tc>
          <w:tcPr>
            <w:tcW w:w="1277"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9.3.1.12.4</w:t>
            </w:r>
          </w:p>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9.3.2.12.4</w:t>
            </w:r>
          </w:p>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9.3.3.12.4</w:t>
            </w:r>
          </w:p>
        </w:tc>
        <w:tc>
          <w:tcPr>
            <w:tcW w:w="3793"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szCs w:val="20"/>
              </w:rPr>
              <w:t>Alarme bei Nichtquittieren</w:t>
            </w:r>
          </w:p>
        </w:tc>
        <w:tc>
          <w:tcPr>
            <w:tcW w:w="4286"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line="240" w:lineRule="auto"/>
              <w:ind w:left="34"/>
              <w:jc w:val="center"/>
              <w:textAlignment w:val="baseline"/>
              <w:rPr>
                <w:rFonts w:ascii="Times New Roman" w:hAnsi="Times New Roman"/>
                <w:szCs w:val="20"/>
                <w:lang w:eastAsia="fr-FR"/>
              </w:rPr>
            </w:pPr>
            <w:r w:rsidRPr="00DD2A86">
              <w:rPr>
                <w:rFonts w:ascii="Times New Roman" w:hAnsi="Times New Roman"/>
                <w:szCs w:val="20"/>
                <w:lang w:eastAsia="fr-FR"/>
              </w:rPr>
              <w:t>N.E.U. ab 1. Januar 2019</w:t>
            </w:r>
          </w:p>
          <w:p w:rsidR="00100712" w:rsidRPr="00DD2A86" w:rsidRDefault="00100712" w:rsidP="00B61A90">
            <w:pPr>
              <w:widowControl w:val="0"/>
              <w:suppressAutoHyphens w:val="0"/>
              <w:overflowPunct w:val="0"/>
              <w:autoSpaceDE w:val="0"/>
              <w:autoSpaceDN w:val="0"/>
              <w:adjustRightInd w:val="0"/>
              <w:spacing w:line="240" w:lineRule="auto"/>
              <w:ind w:left="34"/>
              <w:jc w:val="center"/>
              <w:textAlignment w:val="baseline"/>
              <w:rPr>
                <w:rFonts w:ascii="Times New Roman" w:hAnsi="Times New Roman"/>
                <w:szCs w:val="20"/>
              </w:rPr>
            </w:pPr>
            <w:r w:rsidRPr="00DD2A86">
              <w:rPr>
                <w:rFonts w:ascii="Times New Roman" w:hAnsi="Times New Roman"/>
                <w:szCs w:val="20"/>
              </w:rPr>
              <w:t>Erneuerung des Zulassungszeugnisses nach dem 31. Dezember 2024</w:t>
            </w:r>
          </w:p>
        </w:tc>
      </w:tr>
      <w:tr w:rsidR="00F35914" w:rsidRPr="00DD2A86" w:rsidTr="00283E6E">
        <w:trPr>
          <w:cantSplit/>
          <w:trHeight w:val="283"/>
        </w:trPr>
        <w:tc>
          <w:tcPr>
            <w:tcW w:w="1277" w:type="dxa"/>
          </w:tcPr>
          <w:p w:rsidR="00F35914" w:rsidRPr="00DD2A86" w:rsidRDefault="00F35914" w:rsidP="00B61A90">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9.3.1.12.6</w:t>
            </w:r>
          </w:p>
          <w:p w:rsidR="00F35914" w:rsidRPr="00DD2A86" w:rsidRDefault="00F35914" w:rsidP="00B61A90">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9.3.2.12.6</w:t>
            </w:r>
          </w:p>
          <w:p w:rsidR="00F35914" w:rsidRPr="00DD2A86" w:rsidRDefault="00F35914"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9.3.3.12.6</w:t>
            </w:r>
          </w:p>
        </w:tc>
        <w:tc>
          <w:tcPr>
            <w:tcW w:w="3793" w:type="dxa"/>
          </w:tcPr>
          <w:p w:rsidR="00F35914" w:rsidRPr="00DD2A86" w:rsidRDefault="00F35914" w:rsidP="00B61A90">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szCs w:val="20"/>
              </w:rPr>
              <w:t>Abstand der Lüftungsöffnungen des Steuerhauses zum Bereich der Ladung</w:t>
            </w:r>
          </w:p>
        </w:tc>
        <w:tc>
          <w:tcPr>
            <w:tcW w:w="4286" w:type="dxa"/>
          </w:tcPr>
          <w:p w:rsidR="00F35914" w:rsidRPr="00DD2A86" w:rsidRDefault="00F35914" w:rsidP="00B61A90">
            <w:pPr>
              <w:widowControl w:val="0"/>
              <w:suppressAutoHyphens w:val="0"/>
              <w:overflowPunct w:val="0"/>
              <w:autoSpaceDE w:val="0"/>
              <w:autoSpaceDN w:val="0"/>
              <w:adjustRightInd w:val="0"/>
              <w:spacing w:line="240" w:lineRule="auto"/>
              <w:ind w:left="34"/>
              <w:jc w:val="center"/>
              <w:textAlignment w:val="baseline"/>
              <w:rPr>
                <w:rFonts w:ascii="Times New Roman" w:hAnsi="Times New Roman"/>
                <w:szCs w:val="20"/>
                <w:lang w:eastAsia="fr-FR"/>
              </w:rPr>
            </w:pPr>
            <w:r w:rsidRPr="00DD2A86">
              <w:rPr>
                <w:rFonts w:ascii="Times New Roman" w:hAnsi="Times New Roman"/>
                <w:szCs w:val="20"/>
                <w:lang w:eastAsia="fr-FR"/>
              </w:rPr>
              <w:t>N.E.U. ab 1. Januar 2019</w:t>
            </w:r>
          </w:p>
          <w:p w:rsidR="00F35914" w:rsidRPr="00DD2A86" w:rsidRDefault="00F35914" w:rsidP="00B61A90">
            <w:pPr>
              <w:widowControl w:val="0"/>
              <w:suppressAutoHyphens w:val="0"/>
              <w:overflowPunct w:val="0"/>
              <w:autoSpaceDE w:val="0"/>
              <w:autoSpaceDN w:val="0"/>
              <w:adjustRightInd w:val="0"/>
              <w:spacing w:line="240" w:lineRule="auto"/>
              <w:ind w:left="34"/>
              <w:jc w:val="center"/>
              <w:textAlignment w:val="baseline"/>
              <w:rPr>
                <w:rFonts w:ascii="Times New Roman" w:hAnsi="Times New Roman"/>
                <w:szCs w:val="20"/>
                <w:lang w:eastAsia="fr-FR"/>
              </w:rPr>
            </w:pPr>
            <w:r w:rsidRPr="00DD2A86">
              <w:rPr>
                <w:rFonts w:ascii="Times New Roman" w:hAnsi="Times New Roman"/>
                <w:szCs w:val="20"/>
                <w:lang w:eastAsia="fr-FR"/>
              </w:rPr>
              <w:t>Erneuerung des Zulassungszeugnisses nach dem</w:t>
            </w:r>
            <w:r w:rsidR="00755191" w:rsidRPr="00DD2A86">
              <w:rPr>
                <w:rFonts w:ascii="Times New Roman" w:hAnsi="Times New Roman"/>
                <w:szCs w:val="20"/>
                <w:lang w:eastAsia="fr-FR"/>
              </w:rPr>
              <w:t xml:space="preserve"> </w:t>
            </w:r>
            <w:r w:rsidRPr="00DD2A86">
              <w:rPr>
                <w:rFonts w:ascii="Times New Roman" w:hAnsi="Times New Roman"/>
                <w:szCs w:val="20"/>
                <w:lang w:eastAsia="fr-FR"/>
              </w:rPr>
              <w:t>31. Dezember 2034</w:t>
            </w:r>
          </w:p>
        </w:tc>
      </w:tr>
      <w:tr w:rsidR="00100712" w:rsidRPr="00DD2A86" w:rsidTr="00283E6E">
        <w:trPr>
          <w:cantSplit/>
          <w:trHeight w:val="464"/>
        </w:trPr>
        <w:tc>
          <w:tcPr>
            <w:tcW w:w="1277"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9.3.1.17.6</w:t>
            </w:r>
          </w:p>
          <w:p w:rsidR="00100712" w:rsidRPr="00DD2A86" w:rsidRDefault="00100712" w:rsidP="00B61A90">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9.3.2.17.6</w:t>
            </w:r>
          </w:p>
          <w:p w:rsidR="00100712" w:rsidRPr="00DD2A86" w:rsidRDefault="00100712" w:rsidP="00B61A90">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9.3.3.17.6</w:t>
            </w:r>
          </w:p>
        </w:tc>
        <w:tc>
          <w:tcPr>
            <w:tcW w:w="3793"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tabs>
                <w:tab w:val="left" w:pos="708"/>
              </w:tabs>
              <w:suppressAutoHyphens w:val="0"/>
              <w:overflowPunct w:val="0"/>
              <w:autoSpaceDE w:val="0"/>
              <w:autoSpaceDN w:val="0"/>
              <w:adjustRightInd w:val="0"/>
              <w:spacing w:before="60" w:after="60" w:line="240" w:lineRule="exact"/>
              <w:textAlignment w:val="baseline"/>
              <w:rPr>
                <w:rFonts w:ascii="Times New Roman" w:hAnsi="Times New Roman"/>
                <w:szCs w:val="20"/>
                <w:lang w:eastAsia="fr-FR"/>
              </w:rPr>
            </w:pPr>
            <w:r w:rsidRPr="00DD2A86">
              <w:rPr>
                <w:rFonts w:ascii="Times New Roman" w:hAnsi="Times New Roman"/>
                <w:szCs w:val="20"/>
                <w:lang w:eastAsia="fr-FR"/>
              </w:rPr>
              <w:t>Abstand Lüftungsöffnung des Pumpenraums zum Steuerhaus</w:t>
            </w:r>
          </w:p>
        </w:tc>
        <w:tc>
          <w:tcPr>
            <w:tcW w:w="4286"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line="240" w:lineRule="auto"/>
              <w:ind w:left="34"/>
              <w:jc w:val="center"/>
              <w:textAlignment w:val="baseline"/>
              <w:rPr>
                <w:rFonts w:ascii="Times New Roman" w:hAnsi="Times New Roman"/>
                <w:szCs w:val="20"/>
                <w:lang w:eastAsia="fr-FR"/>
              </w:rPr>
            </w:pPr>
            <w:r w:rsidRPr="00DD2A86">
              <w:rPr>
                <w:rFonts w:ascii="Times New Roman" w:hAnsi="Times New Roman"/>
                <w:szCs w:val="20"/>
                <w:lang w:eastAsia="fr-FR"/>
              </w:rPr>
              <w:t>N.E.U. ab 1. Januar 2019</w:t>
            </w:r>
          </w:p>
          <w:p w:rsidR="00100712" w:rsidRPr="00DD2A86" w:rsidRDefault="00100712" w:rsidP="00B61A90">
            <w:pPr>
              <w:widowControl w:val="0"/>
              <w:suppressAutoHyphens w:val="0"/>
              <w:overflowPunct w:val="0"/>
              <w:autoSpaceDE w:val="0"/>
              <w:autoSpaceDN w:val="0"/>
              <w:adjustRightInd w:val="0"/>
              <w:spacing w:line="240" w:lineRule="auto"/>
              <w:ind w:left="34"/>
              <w:jc w:val="center"/>
              <w:textAlignment w:val="baseline"/>
              <w:rPr>
                <w:rFonts w:ascii="Times New Roman" w:hAnsi="Times New Roman"/>
                <w:szCs w:val="20"/>
                <w:lang w:eastAsia="fr-FR"/>
              </w:rPr>
            </w:pPr>
            <w:r w:rsidRPr="00DD2A86">
              <w:rPr>
                <w:rFonts w:ascii="Times New Roman" w:hAnsi="Times New Roman"/>
                <w:szCs w:val="20"/>
                <w:lang w:eastAsia="fr-FR"/>
              </w:rPr>
              <w:t>Erneuerung des Zulassungszeugnisses nach dem 31. Dezember 2034</w:t>
            </w:r>
          </w:p>
        </w:tc>
      </w:tr>
      <w:tr w:rsidR="00100712" w:rsidRPr="00DD2A86" w:rsidTr="00283E6E">
        <w:trPr>
          <w:cantSplit/>
          <w:trHeight w:val="464"/>
        </w:trPr>
        <w:tc>
          <w:tcPr>
            <w:tcW w:w="1277"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9.3.1.17.6</w:t>
            </w:r>
          </w:p>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9.3.2.17.6</w:t>
            </w:r>
          </w:p>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9.3.3.17.6</w:t>
            </w:r>
          </w:p>
        </w:tc>
        <w:tc>
          <w:tcPr>
            <w:tcW w:w="3793"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szCs w:val="20"/>
              </w:rPr>
              <w:t>Sauerstoffmessanlage</w:t>
            </w:r>
          </w:p>
          <w:p w:rsidR="00100712" w:rsidRPr="00DD2A86" w:rsidRDefault="00100712" w:rsidP="00B61A90">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szCs w:val="20"/>
              </w:rPr>
              <w:t>Grenzwert für Alarm</w:t>
            </w:r>
          </w:p>
        </w:tc>
        <w:tc>
          <w:tcPr>
            <w:tcW w:w="4286"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N.E.U. ab 1. Januar 2019</w:t>
            </w:r>
          </w:p>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Erneuerung des Zulassungszeugnisses nach dem 31. Dezember 2020</w:t>
            </w:r>
          </w:p>
        </w:tc>
      </w:tr>
      <w:tr w:rsidR="00100712" w:rsidRPr="00DD2A86" w:rsidTr="00283E6E">
        <w:trPr>
          <w:cantSplit/>
          <w:trHeight w:val="464"/>
        </w:trPr>
        <w:tc>
          <w:tcPr>
            <w:tcW w:w="1277"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9.3.1.17.6</w:t>
            </w:r>
          </w:p>
          <w:p w:rsidR="00100712" w:rsidRPr="00DD2A86" w:rsidRDefault="00100712" w:rsidP="00B61A90">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9.3.2.17.6</w:t>
            </w:r>
          </w:p>
          <w:p w:rsidR="00100712" w:rsidRPr="00DD2A86" w:rsidRDefault="00100712" w:rsidP="00B61A90">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9.3.3.17.6</w:t>
            </w:r>
          </w:p>
        </w:tc>
        <w:tc>
          <w:tcPr>
            <w:tcW w:w="3793"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tabs>
                <w:tab w:val="left" w:pos="708"/>
              </w:tabs>
              <w:suppressAutoHyphens w:val="0"/>
              <w:overflowPunct w:val="0"/>
              <w:autoSpaceDE w:val="0"/>
              <w:autoSpaceDN w:val="0"/>
              <w:adjustRightInd w:val="0"/>
              <w:spacing w:before="60" w:after="60" w:line="240" w:lineRule="exact"/>
              <w:textAlignment w:val="baseline"/>
              <w:rPr>
                <w:rFonts w:ascii="Times New Roman" w:hAnsi="Times New Roman"/>
                <w:szCs w:val="20"/>
                <w:lang w:eastAsia="fr-FR"/>
              </w:rPr>
            </w:pPr>
            <w:r w:rsidRPr="00DD2A86">
              <w:rPr>
                <w:rFonts w:ascii="Times New Roman" w:hAnsi="Times New Roman"/>
                <w:szCs w:val="20"/>
                <w:lang w:eastAsia="fr-FR"/>
              </w:rPr>
              <w:t>Alarme bei Nichtquittieren</w:t>
            </w:r>
          </w:p>
        </w:tc>
        <w:tc>
          <w:tcPr>
            <w:tcW w:w="4286"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N.E.U. ab 1. Januar 2019</w:t>
            </w:r>
          </w:p>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Erneuerung des Zulassungszeugnisses nach dem 31. Dezember 2024</w:t>
            </w:r>
          </w:p>
        </w:tc>
      </w:tr>
      <w:tr w:rsidR="00100712" w:rsidRPr="00DD2A86" w:rsidTr="00283E6E">
        <w:trPr>
          <w:cantSplit/>
          <w:trHeight w:val="464"/>
        </w:trPr>
        <w:tc>
          <w:tcPr>
            <w:tcW w:w="1277"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9.3.1.21.7</w:t>
            </w:r>
          </w:p>
          <w:p w:rsidR="00100712" w:rsidRPr="00DD2A86" w:rsidRDefault="00100712" w:rsidP="00B61A90">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9.3.2.21.7</w:t>
            </w:r>
          </w:p>
          <w:p w:rsidR="00100712" w:rsidRPr="00DD2A86" w:rsidRDefault="00100712" w:rsidP="00B61A90">
            <w:pPr>
              <w:widowControl w:val="0"/>
              <w:tabs>
                <w:tab w:val="left" w:pos="708"/>
              </w:tabs>
              <w:suppressAutoHyphens w:val="0"/>
              <w:overflowPunct w:val="0"/>
              <w:autoSpaceDE w:val="0"/>
              <w:autoSpaceDN w:val="0"/>
              <w:adjustRightInd w:val="0"/>
              <w:spacing w:after="120"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9.3.3.21.7</w:t>
            </w:r>
          </w:p>
        </w:tc>
        <w:tc>
          <w:tcPr>
            <w:tcW w:w="3793"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tabs>
                <w:tab w:val="left" w:pos="708"/>
              </w:tabs>
              <w:suppressAutoHyphens w:val="0"/>
              <w:overflowPunct w:val="0"/>
              <w:autoSpaceDE w:val="0"/>
              <w:autoSpaceDN w:val="0"/>
              <w:adjustRightInd w:val="0"/>
              <w:spacing w:before="60" w:after="60" w:line="240" w:lineRule="exact"/>
              <w:textAlignment w:val="baseline"/>
              <w:rPr>
                <w:rFonts w:ascii="Times New Roman" w:hAnsi="Times New Roman"/>
                <w:szCs w:val="20"/>
                <w:lang w:eastAsia="fr-FR"/>
              </w:rPr>
            </w:pPr>
            <w:r w:rsidRPr="00DD2A86">
              <w:rPr>
                <w:rFonts w:ascii="Times New Roman" w:hAnsi="Times New Roman"/>
                <w:szCs w:val="20"/>
                <w:lang w:eastAsia="fr-FR"/>
              </w:rPr>
              <w:t>Alarme bei Nichtquittieren</w:t>
            </w:r>
          </w:p>
        </w:tc>
        <w:tc>
          <w:tcPr>
            <w:tcW w:w="4286"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N.E.U. ab 1. Januar 2019</w:t>
            </w:r>
          </w:p>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Erneuerung des Zulassungszeugnisses nach dem 31. Dezember 2024</w:t>
            </w:r>
          </w:p>
        </w:tc>
      </w:tr>
      <w:tr w:rsidR="00100712" w:rsidRPr="00DD2A86" w:rsidTr="00283E6E">
        <w:trPr>
          <w:cantSplit/>
          <w:trHeight w:val="464"/>
        </w:trPr>
        <w:tc>
          <w:tcPr>
            <w:tcW w:w="1277"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suppressAutoHyphens w:val="0"/>
              <w:autoSpaceDE w:val="0"/>
              <w:autoSpaceDN w:val="0"/>
              <w:adjustRightInd w:val="0"/>
              <w:spacing w:line="240" w:lineRule="auto"/>
              <w:jc w:val="center"/>
              <w:rPr>
                <w:rFonts w:ascii="Times New Roman" w:hAnsi="Times New Roman"/>
                <w:bCs/>
                <w:szCs w:val="20"/>
              </w:rPr>
            </w:pPr>
            <w:r w:rsidRPr="00DD2A86">
              <w:rPr>
                <w:rFonts w:ascii="Times New Roman" w:hAnsi="Times New Roman"/>
                <w:bCs/>
                <w:szCs w:val="20"/>
              </w:rPr>
              <w:t>9.3.2.20.4</w:t>
            </w:r>
          </w:p>
          <w:p w:rsidR="00100712" w:rsidRPr="00DD2A86" w:rsidRDefault="00100712" w:rsidP="00B61A90">
            <w:pPr>
              <w:suppressAutoHyphens w:val="0"/>
              <w:autoSpaceDE w:val="0"/>
              <w:autoSpaceDN w:val="0"/>
              <w:adjustRightInd w:val="0"/>
              <w:spacing w:line="240" w:lineRule="auto"/>
              <w:jc w:val="center"/>
              <w:rPr>
                <w:rFonts w:ascii="Times New Roman" w:hAnsi="Times New Roman"/>
                <w:bCs/>
                <w:szCs w:val="20"/>
              </w:rPr>
            </w:pPr>
            <w:r w:rsidRPr="00DD2A86">
              <w:rPr>
                <w:rFonts w:ascii="Times New Roman" w:hAnsi="Times New Roman"/>
                <w:bCs/>
                <w:szCs w:val="20"/>
              </w:rPr>
              <w:t>9.3.3.20.4</w:t>
            </w:r>
          </w:p>
        </w:tc>
        <w:tc>
          <w:tcPr>
            <w:tcW w:w="3793"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suppressAutoHyphens w:val="0"/>
              <w:spacing w:line="240" w:lineRule="auto"/>
              <w:ind w:left="-1"/>
              <w:rPr>
                <w:rFonts w:ascii="Times New Roman" w:hAnsi="Times New Roman"/>
                <w:szCs w:val="20"/>
              </w:rPr>
            </w:pPr>
            <w:r w:rsidRPr="00DD2A86">
              <w:rPr>
                <w:rFonts w:ascii="Times New Roman" w:hAnsi="Times New Roman"/>
                <w:szCs w:val="20"/>
              </w:rPr>
              <w:t>Explosionsgruppe/Untergruppe</w:t>
            </w:r>
          </w:p>
        </w:tc>
        <w:tc>
          <w:tcPr>
            <w:tcW w:w="4286"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N.E.U. ab 1. Januar 2019</w:t>
            </w:r>
          </w:p>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rPr>
            </w:pPr>
            <w:r w:rsidRPr="00DD2A86">
              <w:rPr>
                <w:rFonts w:ascii="Times New Roman" w:hAnsi="Times New Roman"/>
                <w:szCs w:val="20"/>
              </w:rPr>
              <w:t>Erneuerung des Zulassungszeugnisses nach dem 31. Dezember 2024</w:t>
            </w:r>
          </w:p>
        </w:tc>
      </w:tr>
      <w:tr w:rsidR="00100712" w:rsidRPr="00DD2A86" w:rsidTr="00283E6E">
        <w:trPr>
          <w:cantSplit/>
          <w:trHeight w:val="269"/>
        </w:trPr>
        <w:tc>
          <w:tcPr>
            <w:tcW w:w="1277"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bCs/>
                <w:szCs w:val="20"/>
                <w:lang w:eastAsia="fr-FR"/>
              </w:rPr>
            </w:pPr>
            <w:r w:rsidRPr="00DD2A86">
              <w:rPr>
                <w:rFonts w:ascii="Times New Roman" w:hAnsi="Times New Roman"/>
                <w:bCs/>
                <w:szCs w:val="20"/>
                <w:lang w:eastAsia="fr-FR"/>
              </w:rPr>
              <w:t>9.3.</w:t>
            </w:r>
            <w:r w:rsidR="00DE7E28" w:rsidRPr="00DD2A86">
              <w:rPr>
                <w:rFonts w:ascii="Times New Roman" w:hAnsi="Times New Roman"/>
                <w:bCs/>
                <w:szCs w:val="20"/>
                <w:lang w:eastAsia="fr-FR"/>
              </w:rPr>
              <w:t>2</w:t>
            </w:r>
            <w:r w:rsidRPr="00DD2A86">
              <w:rPr>
                <w:rFonts w:ascii="Times New Roman" w:hAnsi="Times New Roman"/>
                <w:bCs/>
                <w:szCs w:val="20"/>
                <w:lang w:eastAsia="fr-FR"/>
              </w:rPr>
              <w:t>.21.1 g)</w:t>
            </w:r>
          </w:p>
          <w:p w:rsidR="00100712" w:rsidRPr="00DD2A86" w:rsidRDefault="00100712" w:rsidP="00B61A90">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bCs/>
                <w:szCs w:val="20"/>
                <w:lang w:eastAsia="fr-FR"/>
              </w:rPr>
            </w:pPr>
            <w:r w:rsidRPr="00DD2A86">
              <w:rPr>
                <w:rFonts w:ascii="Times New Roman" w:hAnsi="Times New Roman"/>
                <w:bCs/>
                <w:szCs w:val="20"/>
                <w:lang w:eastAsia="fr-FR"/>
              </w:rPr>
              <w:t>9.3.</w:t>
            </w:r>
            <w:r w:rsidR="00DE7E28" w:rsidRPr="00DD2A86">
              <w:rPr>
                <w:rFonts w:ascii="Times New Roman" w:hAnsi="Times New Roman"/>
                <w:bCs/>
                <w:szCs w:val="20"/>
                <w:lang w:eastAsia="fr-FR"/>
              </w:rPr>
              <w:t>3</w:t>
            </w:r>
            <w:r w:rsidRPr="00DD2A86">
              <w:rPr>
                <w:rFonts w:ascii="Times New Roman" w:hAnsi="Times New Roman"/>
                <w:bCs/>
                <w:szCs w:val="20"/>
                <w:lang w:eastAsia="fr-FR"/>
              </w:rPr>
              <w:t>.21.1 g)</w:t>
            </w:r>
          </w:p>
        </w:tc>
        <w:tc>
          <w:tcPr>
            <w:tcW w:w="3793"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suppressAutoHyphens w:val="0"/>
              <w:spacing w:line="240" w:lineRule="auto"/>
              <w:ind w:left="-1"/>
              <w:rPr>
                <w:rFonts w:ascii="Times New Roman" w:hAnsi="Times New Roman"/>
                <w:szCs w:val="20"/>
              </w:rPr>
            </w:pPr>
            <w:r w:rsidRPr="00DD2A86">
              <w:rPr>
                <w:rFonts w:ascii="Times New Roman" w:hAnsi="Times New Roman"/>
                <w:szCs w:val="20"/>
              </w:rPr>
              <w:t>Explosionsgruppe/Untergruppe</w:t>
            </w:r>
          </w:p>
        </w:tc>
        <w:tc>
          <w:tcPr>
            <w:tcW w:w="4286"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N.E.U. ab 1. Januar 2019</w:t>
            </w:r>
          </w:p>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rPr>
            </w:pPr>
            <w:r w:rsidRPr="00DD2A86">
              <w:rPr>
                <w:rFonts w:ascii="Times New Roman" w:hAnsi="Times New Roman"/>
                <w:szCs w:val="20"/>
              </w:rPr>
              <w:t>Erneuerung des Zulassungszeugnisses nach dem 31. Dezember 2024</w:t>
            </w:r>
          </w:p>
        </w:tc>
      </w:tr>
      <w:tr w:rsidR="00100712" w:rsidRPr="00DD2A86" w:rsidTr="00283E6E">
        <w:trPr>
          <w:cantSplit/>
          <w:trHeight w:val="464"/>
        </w:trPr>
        <w:tc>
          <w:tcPr>
            <w:tcW w:w="1277"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 xml:space="preserve">9.3.2.22.4 </w:t>
            </w:r>
            <w:r w:rsidR="008E0ACD" w:rsidRPr="00DD2A86">
              <w:rPr>
                <w:rFonts w:ascii="Times New Roman" w:hAnsi="Times New Roman"/>
                <w:szCs w:val="20"/>
                <w:lang w:eastAsia="fr-FR"/>
              </w:rPr>
              <w:t>e</w:t>
            </w:r>
            <w:r w:rsidRPr="00DD2A86">
              <w:rPr>
                <w:rFonts w:ascii="Times New Roman" w:hAnsi="Times New Roman"/>
                <w:szCs w:val="20"/>
                <w:lang w:eastAsia="fr-FR"/>
              </w:rPr>
              <w:t>)</w:t>
            </w:r>
          </w:p>
          <w:p w:rsidR="00100712" w:rsidRPr="00DD2A86" w:rsidRDefault="00100712" w:rsidP="00B61A90">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 xml:space="preserve">9.3.3.22.4 </w:t>
            </w:r>
            <w:r w:rsidR="008E0ACD" w:rsidRPr="00DD2A86">
              <w:rPr>
                <w:rFonts w:ascii="Times New Roman" w:hAnsi="Times New Roman"/>
                <w:szCs w:val="20"/>
                <w:lang w:eastAsia="fr-FR"/>
              </w:rPr>
              <w:t>d</w:t>
            </w:r>
            <w:r w:rsidRPr="00DD2A86">
              <w:rPr>
                <w:rFonts w:ascii="Times New Roman" w:hAnsi="Times New Roman"/>
                <w:szCs w:val="20"/>
                <w:lang w:eastAsia="fr-FR"/>
              </w:rPr>
              <w:t>)</w:t>
            </w:r>
          </w:p>
        </w:tc>
        <w:tc>
          <w:tcPr>
            <w:tcW w:w="3793"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suppressAutoHyphens w:val="0"/>
              <w:spacing w:line="240" w:lineRule="auto"/>
              <w:ind w:left="-1"/>
              <w:rPr>
                <w:rFonts w:ascii="Times New Roman" w:hAnsi="Times New Roman"/>
                <w:szCs w:val="20"/>
              </w:rPr>
            </w:pPr>
            <w:r w:rsidRPr="00DD2A86">
              <w:rPr>
                <w:rFonts w:ascii="Times New Roman" w:hAnsi="Times New Roman"/>
                <w:szCs w:val="20"/>
              </w:rPr>
              <w:t>Explosionsgruppe/Untergruppe</w:t>
            </w:r>
          </w:p>
        </w:tc>
        <w:tc>
          <w:tcPr>
            <w:tcW w:w="4286"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 xml:space="preserve">N.E.U. ab 1. Januar 2019 </w:t>
            </w:r>
          </w:p>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rPr>
            </w:pPr>
            <w:r w:rsidRPr="00DD2A86">
              <w:rPr>
                <w:rFonts w:ascii="Times New Roman" w:hAnsi="Times New Roman"/>
                <w:szCs w:val="20"/>
              </w:rPr>
              <w:t>Erneuerung des Zulassungszeugnisses nach dem 31. Dezember 2024</w:t>
            </w:r>
          </w:p>
        </w:tc>
      </w:tr>
      <w:tr w:rsidR="00100712" w:rsidRPr="00DD2A86" w:rsidTr="00283E6E">
        <w:trPr>
          <w:cantSplit/>
          <w:trHeight w:val="464"/>
        </w:trPr>
        <w:tc>
          <w:tcPr>
            <w:tcW w:w="1277"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9.3.2.26.2</w:t>
            </w:r>
          </w:p>
          <w:p w:rsidR="00100712" w:rsidRPr="00DD2A86" w:rsidRDefault="00100712" w:rsidP="00B61A90">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9.3.3.26.2 b)</w:t>
            </w:r>
          </w:p>
        </w:tc>
        <w:tc>
          <w:tcPr>
            <w:tcW w:w="3793"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suppressAutoHyphens w:val="0"/>
              <w:spacing w:line="240" w:lineRule="auto"/>
              <w:ind w:left="-1"/>
              <w:rPr>
                <w:rFonts w:ascii="Times New Roman" w:hAnsi="Times New Roman"/>
                <w:szCs w:val="20"/>
              </w:rPr>
            </w:pPr>
            <w:r w:rsidRPr="00DD2A86">
              <w:rPr>
                <w:rFonts w:ascii="Times New Roman" w:hAnsi="Times New Roman"/>
                <w:szCs w:val="20"/>
              </w:rPr>
              <w:t>Explosionsgruppe/Untergruppe</w:t>
            </w:r>
          </w:p>
        </w:tc>
        <w:tc>
          <w:tcPr>
            <w:tcW w:w="4286"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N.E.U. ab 1. Januar 2019</w:t>
            </w:r>
          </w:p>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rPr>
            </w:pPr>
            <w:r w:rsidRPr="00DD2A86">
              <w:rPr>
                <w:rFonts w:ascii="Times New Roman" w:hAnsi="Times New Roman"/>
                <w:szCs w:val="20"/>
              </w:rPr>
              <w:t>Erneuerung des Zulassungszeugnisses nach dem 31. Dezember 2024</w:t>
            </w:r>
          </w:p>
        </w:tc>
      </w:tr>
      <w:tr w:rsidR="00100712" w:rsidRPr="00DD2A86" w:rsidTr="00283E6E">
        <w:trPr>
          <w:cantSplit/>
          <w:trHeight w:val="464"/>
        </w:trPr>
        <w:tc>
          <w:tcPr>
            <w:tcW w:w="1277"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9.3.1.51 a)</w:t>
            </w:r>
          </w:p>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9.3.2.51 a)</w:t>
            </w:r>
          </w:p>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9.3.3.51 a)</w:t>
            </w:r>
          </w:p>
        </w:tc>
        <w:tc>
          <w:tcPr>
            <w:tcW w:w="3793"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suppressAutoHyphens w:val="0"/>
              <w:autoSpaceDE w:val="0"/>
              <w:autoSpaceDN w:val="0"/>
              <w:adjustRightInd w:val="0"/>
              <w:spacing w:line="240" w:lineRule="auto"/>
              <w:rPr>
                <w:rFonts w:ascii="Times New Roman" w:hAnsi="Times New Roman"/>
                <w:szCs w:val="20"/>
                <w:lang w:eastAsia="de-DE"/>
              </w:rPr>
            </w:pPr>
            <w:r w:rsidRPr="00DD2A86">
              <w:rPr>
                <w:rFonts w:ascii="Times New Roman" w:hAnsi="Times New Roman"/>
                <w:szCs w:val="20"/>
                <w:lang w:eastAsia="de-DE"/>
              </w:rPr>
              <w:t>Oberflächentemperatur nicht-elektrischer Anlagen und Geräte darf 200 °C nicht überschreiten</w:t>
            </w:r>
          </w:p>
        </w:tc>
        <w:tc>
          <w:tcPr>
            <w:tcW w:w="4286"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N.E.U. ab 1. Januar 2019</w:t>
            </w:r>
          </w:p>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Erneuerung des Zulassungszeugnisses nach dem 31. Dezember 2034</w:t>
            </w:r>
          </w:p>
        </w:tc>
      </w:tr>
      <w:tr w:rsidR="00100712" w:rsidRPr="00DD2A86" w:rsidTr="00283E6E">
        <w:trPr>
          <w:cantSplit/>
          <w:trHeight w:val="464"/>
        </w:trPr>
        <w:tc>
          <w:tcPr>
            <w:tcW w:w="1277" w:type="dxa"/>
            <w:tcBorders>
              <w:top w:val="single" w:sz="4" w:space="0" w:color="auto"/>
              <w:left w:val="single" w:sz="4" w:space="0" w:color="auto"/>
              <w:bottom w:val="single" w:sz="4" w:space="0" w:color="auto"/>
              <w:right w:val="single" w:sz="4" w:space="0" w:color="auto"/>
            </w:tcBorders>
          </w:tcPr>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9.3.1.52.1</w:t>
            </w:r>
          </w:p>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9.3.2.52.1</w:t>
            </w:r>
          </w:p>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9.3.3.52.1</w:t>
            </w:r>
          </w:p>
        </w:tc>
        <w:tc>
          <w:tcPr>
            <w:tcW w:w="3793" w:type="dxa"/>
            <w:tcBorders>
              <w:top w:val="single" w:sz="4" w:space="0" w:color="auto"/>
              <w:left w:val="single" w:sz="4" w:space="0" w:color="auto"/>
              <w:bottom w:val="single" w:sz="4" w:space="0" w:color="auto"/>
              <w:right w:val="single" w:sz="4" w:space="0" w:color="auto"/>
            </w:tcBorders>
          </w:tcPr>
          <w:p w:rsidR="00100712" w:rsidRPr="00DD2A86" w:rsidRDefault="00100712" w:rsidP="00B61A90">
            <w:pPr>
              <w:widowControl w:val="0"/>
              <w:tabs>
                <w:tab w:val="left" w:pos="708"/>
              </w:tabs>
              <w:suppressAutoHyphens w:val="0"/>
              <w:overflowPunct w:val="0"/>
              <w:autoSpaceDE w:val="0"/>
              <w:autoSpaceDN w:val="0"/>
              <w:adjustRightInd w:val="0"/>
              <w:spacing w:line="240" w:lineRule="auto"/>
              <w:textAlignment w:val="baseline"/>
              <w:rPr>
                <w:rFonts w:ascii="Times New Roman" w:hAnsi="Times New Roman"/>
                <w:szCs w:val="20"/>
                <w:lang w:eastAsia="fr-FR"/>
              </w:rPr>
            </w:pPr>
            <w:r w:rsidRPr="00DD2A86">
              <w:rPr>
                <w:rFonts w:ascii="Times New Roman" w:hAnsi="Times New Roman"/>
                <w:szCs w:val="20"/>
                <w:lang w:eastAsia="fr-FR"/>
              </w:rPr>
              <w:t>Elektrische Anlagen und Geräte „begrenzte Explosionsgefahr“</w:t>
            </w:r>
          </w:p>
        </w:tc>
        <w:tc>
          <w:tcPr>
            <w:tcW w:w="4286" w:type="dxa"/>
            <w:tcBorders>
              <w:top w:val="single" w:sz="4" w:space="0" w:color="auto"/>
              <w:left w:val="single" w:sz="4" w:space="0" w:color="auto"/>
              <w:bottom w:val="single" w:sz="4" w:space="0" w:color="auto"/>
              <w:right w:val="single" w:sz="4" w:space="0" w:color="auto"/>
            </w:tcBorders>
          </w:tcPr>
          <w:p w:rsidR="003053A8" w:rsidRPr="00DD2A86" w:rsidRDefault="00100712" w:rsidP="00E459EF">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N.E.U.</w:t>
            </w:r>
          </w:p>
          <w:p w:rsidR="00100712" w:rsidRPr="00DD2A86" w:rsidRDefault="00100712" w:rsidP="00E459EF">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Erneuerung des Zulassungszeugnisses nach dem 31. Dezember 2034</w:t>
            </w:r>
          </w:p>
          <w:p w:rsidR="00E459EF" w:rsidRPr="00DD2A86" w:rsidRDefault="00E459EF" w:rsidP="00B61A90">
            <w:pPr>
              <w:suppressAutoHyphens w:val="0"/>
              <w:autoSpaceDE w:val="0"/>
              <w:autoSpaceDN w:val="0"/>
              <w:adjustRightInd w:val="0"/>
              <w:spacing w:line="240" w:lineRule="auto"/>
              <w:rPr>
                <w:rFonts w:ascii="Times New Roman" w:hAnsi="Times New Roman"/>
                <w:szCs w:val="20"/>
              </w:rPr>
            </w:pPr>
          </w:p>
          <w:p w:rsidR="00100712" w:rsidRPr="00DD2A86" w:rsidRDefault="00100712" w:rsidP="00B61A90">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szCs w:val="20"/>
              </w:rPr>
              <w:t>An Bord von in Betrieb befindlichen Schiffen, die nach dem 1. Januar 1995 auf Kiel gelegt worden sind, gelten bis dahin für elektrische Einrichtungen, die während des Ladens, Löschens und Entgasens betrieben werden die Vorschriften des Absatzes 9.3.1.52.3, 9.3.2.52.3, 9.3.3.52.3 der bis zum 31. Dezember 2018 geltenden Fassung des ADN</w:t>
            </w:r>
          </w:p>
        </w:tc>
      </w:tr>
      <w:tr w:rsidR="00100712" w:rsidRPr="00DD2A86" w:rsidTr="00283E6E">
        <w:trPr>
          <w:cantSplit/>
          <w:trHeight w:val="464"/>
        </w:trPr>
        <w:tc>
          <w:tcPr>
            <w:tcW w:w="1277" w:type="dxa"/>
            <w:tcBorders>
              <w:top w:val="single" w:sz="4" w:space="0" w:color="auto"/>
              <w:left w:val="single" w:sz="4" w:space="0" w:color="auto"/>
              <w:bottom w:val="single" w:sz="4" w:space="0" w:color="auto"/>
              <w:right w:val="single" w:sz="4" w:space="0" w:color="auto"/>
            </w:tcBorders>
          </w:tcPr>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9.3.1.52.1</w:t>
            </w:r>
          </w:p>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9.3.3.52.1</w:t>
            </w:r>
          </w:p>
        </w:tc>
        <w:tc>
          <w:tcPr>
            <w:tcW w:w="3793" w:type="dxa"/>
            <w:tcBorders>
              <w:top w:val="single" w:sz="4" w:space="0" w:color="auto"/>
              <w:left w:val="single" w:sz="4" w:space="0" w:color="auto"/>
              <w:bottom w:val="single" w:sz="4" w:space="0" w:color="auto"/>
              <w:right w:val="single" w:sz="4" w:space="0" w:color="auto"/>
            </w:tcBorders>
          </w:tcPr>
          <w:p w:rsidR="00100712" w:rsidRPr="00DD2A86" w:rsidRDefault="00100712" w:rsidP="00B61A90">
            <w:pPr>
              <w:widowControl w:val="0"/>
              <w:tabs>
                <w:tab w:val="left" w:pos="708"/>
              </w:tabs>
              <w:suppressAutoHyphens w:val="0"/>
              <w:overflowPunct w:val="0"/>
              <w:autoSpaceDE w:val="0"/>
              <w:autoSpaceDN w:val="0"/>
              <w:adjustRightInd w:val="0"/>
              <w:spacing w:line="240" w:lineRule="auto"/>
              <w:textAlignment w:val="baseline"/>
              <w:rPr>
                <w:rFonts w:ascii="Times New Roman" w:hAnsi="Times New Roman"/>
                <w:szCs w:val="20"/>
                <w:lang w:eastAsia="fr-FR"/>
              </w:rPr>
            </w:pPr>
            <w:r w:rsidRPr="00DD2A86">
              <w:rPr>
                <w:rFonts w:ascii="Times New Roman" w:hAnsi="Times New Roman"/>
                <w:szCs w:val="20"/>
                <w:lang w:eastAsia="fr-FR"/>
              </w:rPr>
              <w:t>Elektrische Anlagen und Geräte „begrenzte Explosionsgefahr“</w:t>
            </w:r>
          </w:p>
        </w:tc>
        <w:tc>
          <w:tcPr>
            <w:tcW w:w="4286" w:type="dxa"/>
            <w:tcBorders>
              <w:top w:val="single" w:sz="4" w:space="0" w:color="auto"/>
              <w:left w:val="single" w:sz="4" w:space="0" w:color="auto"/>
              <w:bottom w:val="single" w:sz="4" w:space="0" w:color="auto"/>
              <w:right w:val="single" w:sz="4" w:space="0" w:color="auto"/>
            </w:tcBorders>
          </w:tcPr>
          <w:p w:rsidR="00100712" w:rsidRPr="00DD2A86" w:rsidRDefault="00100712" w:rsidP="00B61A90">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N.E.U.</w:t>
            </w:r>
          </w:p>
          <w:p w:rsidR="00100712" w:rsidRPr="00DD2A86" w:rsidRDefault="00100712" w:rsidP="00E459EF">
            <w:pPr>
              <w:suppressAutoHyphens w:val="0"/>
              <w:autoSpaceDE w:val="0"/>
              <w:autoSpaceDN w:val="0"/>
              <w:adjustRightInd w:val="0"/>
              <w:spacing w:line="240" w:lineRule="auto"/>
              <w:jc w:val="center"/>
              <w:rPr>
                <w:rFonts w:ascii="Times New Roman" w:hAnsi="Times New Roman"/>
                <w:szCs w:val="20"/>
              </w:rPr>
            </w:pPr>
            <w:r w:rsidRPr="00DD2A86">
              <w:rPr>
                <w:rFonts w:ascii="Times New Roman" w:hAnsi="Times New Roman"/>
                <w:szCs w:val="20"/>
              </w:rPr>
              <w:t>Erneuerung des Zulassungszeugnisses nach dem 31. Dezember 2034</w:t>
            </w:r>
          </w:p>
          <w:p w:rsidR="00E459EF" w:rsidRPr="00DD2A86" w:rsidRDefault="00E459EF" w:rsidP="00B61A90">
            <w:pPr>
              <w:suppressAutoHyphens w:val="0"/>
              <w:autoSpaceDE w:val="0"/>
              <w:autoSpaceDN w:val="0"/>
              <w:adjustRightInd w:val="0"/>
              <w:spacing w:line="240" w:lineRule="auto"/>
              <w:rPr>
                <w:rFonts w:ascii="Times New Roman" w:hAnsi="Times New Roman"/>
                <w:szCs w:val="20"/>
              </w:rPr>
            </w:pPr>
          </w:p>
          <w:p w:rsidR="00100712" w:rsidRPr="00DD2A86" w:rsidRDefault="00100712" w:rsidP="00B61A90">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szCs w:val="20"/>
              </w:rPr>
              <w:t>An Bord von in Betrieb befindlichen Schiffen, die vor dem 1. Januar 1977 auf Kiel gelegt worden sind</w:t>
            </w:r>
            <w:r w:rsidR="00F763D3" w:rsidRPr="00DD2A86">
              <w:rPr>
                <w:rFonts w:ascii="Times New Roman" w:hAnsi="Times New Roman"/>
                <w:szCs w:val="20"/>
              </w:rPr>
              <w:t>,</w:t>
            </w:r>
            <w:r w:rsidRPr="00DD2A86">
              <w:rPr>
                <w:rFonts w:ascii="Times New Roman" w:hAnsi="Times New Roman"/>
                <w:szCs w:val="20"/>
              </w:rPr>
              <w:t xml:space="preserve"> müssen elektrische Einrichtungen, mit Ausnahme der Beleuchtungsanlagen in den Wohnungen, der Sprechfunkanlagen in den Wohnungen und im Steuerhaus sowie der Geräte zur Überwachung der Verbrennungsmotoren, die während des Ladens, Löschens und Entgasens betrieben werden, den folgenden Bedingungen entsprechen:</w:t>
            </w:r>
          </w:p>
          <w:p w:rsidR="00100712" w:rsidRPr="00DD2A86" w:rsidRDefault="00100712" w:rsidP="00B61A90">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szCs w:val="20"/>
              </w:rPr>
              <w:t>Generatoren, Motoren Schalttafeln, Leuchten usw.: Schutzart IP13</w:t>
            </w:r>
          </w:p>
          <w:p w:rsidR="00100712" w:rsidRPr="00DD2A86" w:rsidRDefault="00100712" w:rsidP="00B61A90">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szCs w:val="20"/>
              </w:rPr>
              <w:t>Installationsmaterial usw.: Schutzart IP55</w:t>
            </w:r>
          </w:p>
        </w:tc>
      </w:tr>
      <w:tr w:rsidR="00100712" w:rsidRPr="00E139A8" w:rsidTr="00283E6E">
        <w:trPr>
          <w:cantSplit/>
          <w:trHeight w:val="464"/>
        </w:trPr>
        <w:tc>
          <w:tcPr>
            <w:tcW w:w="1277"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suppressAutoHyphens w:val="0"/>
              <w:spacing w:before="120" w:line="240" w:lineRule="auto"/>
              <w:jc w:val="center"/>
              <w:rPr>
                <w:rFonts w:ascii="Times New Roman" w:hAnsi="Times New Roman"/>
                <w:szCs w:val="20"/>
              </w:rPr>
            </w:pPr>
            <w:r w:rsidRPr="00DD2A86">
              <w:rPr>
                <w:rFonts w:ascii="Times New Roman" w:hAnsi="Times New Roman"/>
                <w:szCs w:val="20"/>
              </w:rPr>
              <w:t>9.3.1.53.1</w:t>
            </w:r>
          </w:p>
          <w:p w:rsidR="00100712" w:rsidRPr="00DD2A86" w:rsidRDefault="00100712" w:rsidP="00B61A90">
            <w:pPr>
              <w:suppressAutoHyphens w:val="0"/>
              <w:spacing w:line="240" w:lineRule="auto"/>
              <w:jc w:val="center"/>
              <w:rPr>
                <w:rFonts w:ascii="Times New Roman" w:hAnsi="Times New Roman"/>
                <w:szCs w:val="20"/>
              </w:rPr>
            </w:pPr>
            <w:r w:rsidRPr="00DD2A86">
              <w:rPr>
                <w:rFonts w:ascii="Times New Roman" w:hAnsi="Times New Roman"/>
                <w:szCs w:val="20"/>
              </w:rPr>
              <w:t>9.3.2.53.1</w:t>
            </w:r>
          </w:p>
          <w:p w:rsidR="00100712" w:rsidRPr="00DD2A86" w:rsidRDefault="00100712" w:rsidP="00B61A90">
            <w:pPr>
              <w:suppressAutoHyphens w:val="0"/>
              <w:spacing w:line="240" w:lineRule="auto"/>
              <w:jc w:val="center"/>
              <w:rPr>
                <w:rFonts w:ascii="Times New Roman" w:hAnsi="Times New Roman"/>
                <w:szCs w:val="20"/>
              </w:rPr>
            </w:pPr>
            <w:r w:rsidRPr="00DD2A86">
              <w:rPr>
                <w:rFonts w:ascii="Times New Roman" w:hAnsi="Times New Roman"/>
                <w:szCs w:val="20"/>
              </w:rPr>
              <w:t>9.3.3.53.1</w:t>
            </w:r>
          </w:p>
        </w:tc>
        <w:tc>
          <w:tcPr>
            <w:tcW w:w="3793"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tabs>
                <w:tab w:val="left" w:pos="708"/>
              </w:tabs>
              <w:suppressAutoHyphens w:val="0"/>
              <w:overflowPunct w:val="0"/>
              <w:autoSpaceDE w:val="0"/>
              <w:autoSpaceDN w:val="0"/>
              <w:adjustRightInd w:val="0"/>
              <w:spacing w:before="120" w:after="60" w:line="240" w:lineRule="exact"/>
              <w:textAlignment w:val="baseline"/>
              <w:rPr>
                <w:rFonts w:ascii="Times New Roman" w:hAnsi="Times New Roman"/>
                <w:szCs w:val="20"/>
              </w:rPr>
            </w:pPr>
            <w:r w:rsidRPr="00DD2A86">
              <w:rPr>
                <w:rFonts w:ascii="Times New Roman" w:hAnsi="Times New Roman"/>
                <w:szCs w:val="20"/>
              </w:rPr>
              <w:t>Art und Aufstellungsort der elektrischen Anlagen und Geräte zum Einsatz in explosionsgefährdeten Bereichen</w:t>
            </w:r>
          </w:p>
          <w:p w:rsidR="00100712" w:rsidRPr="00DD2A86" w:rsidRDefault="00100712" w:rsidP="00B61A90">
            <w:pPr>
              <w:widowControl w:val="0"/>
              <w:tabs>
                <w:tab w:val="left" w:pos="708"/>
              </w:tabs>
              <w:suppressAutoHyphens w:val="0"/>
              <w:overflowPunct w:val="0"/>
              <w:autoSpaceDE w:val="0"/>
              <w:autoSpaceDN w:val="0"/>
              <w:adjustRightInd w:val="0"/>
              <w:spacing w:before="60" w:after="60" w:line="240" w:lineRule="exact"/>
              <w:textAlignment w:val="baseline"/>
              <w:rPr>
                <w:rFonts w:ascii="Times New Roman" w:hAnsi="Times New Roman"/>
                <w:szCs w:val="20"/>
                <w:lang w:eastAsia="fr-FR"/>
              </w:rPr>
            </w:pPr>
            <w:r w:rsidRPr="00DD2A86">
              <w:rPr>
                <w:rFonts w:ascii="Times New Roman" w:hAnsi="Times New Roman"/>
                <w:szCs w:val="20"/>
                <w:lang w:eastAsia="fr-FR"/>
              </w:rPr>
              <w:t>Zone 0, Zone 1</w:t>
            </w:r>
          </w:p>
        </w:tc>
        <w:tc>
          <w:tcPr>
            <w:tcW w:w="4286" w:type="dxa"/>
            <w:tcBorders>
              <w:top w:val="single" w:sz="4" w:space="0" w:color="auto"/>
              <w:left w:val="single" w:sz="4" w:space="0" w:color="auto"/>
              <w:bottom w:val="single" w:sz="4" w:space="0" w:color="auto"/>
              <w:right w:val="single" w:sz="4" w:space="0" w:color="auto"/>
            </w:tcBorders>
          </w:tcPr>
          <w:p w:rsidR="00100712" w:rsidRPr="00DD2A86" w:rsidRDefault="00100712" w:rsidP="00B61A90">
            <w:pPr>
              <w:widowControl w:val="0"/>
              <w:tabs>
                <w:tab w:val="left" w:pos="708"/>
              </w:tabs>
              <w:suppressAutoHyphens w:val="0"/>
              <w:overflowPunct w:val="0"/>
              <w:autoSpaceDE w:val="0"/>
              <w:autoSpaceDN w:val="0"/>
              <w:adjustRightInd w:val="0"/>
              <w:spacing w:before="120"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N.E.U. ab 1. Januar 2019</w:t>
            </w:r>
          </w:p>
          <w:p w:rsidR="00100712" w:rsidRPr="00DD2A86" w:rsidRDefault="00100712" w:rsidP="00B61A90">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Erneuerung des Zulassungszeugnisses nach dem 31. Dezember 2034</w:t>
            </w:r>
          </w:p>
          <w:p w:rsidR="00100712" w:rsidRPr="00DD2A86" w:rsidRDefault="00100712" w:rsidP="00B61A90">
            <w:pPr>
              <w:widowControl w:val="0"/>
              <w:suppressAutoHyphens w:val="0"/>
              <w:overflowPunct w:val="0"/>
              <w:autoSpaceDE w:val="0"/>
              <w:autoSpaceDN w:val="0"/>
              <w:adjustRightInd w:val="0"/>
              <w:spacing w:before="60" w:after="60"/>
              <w:textAlignment w:val="baseline"/>
              <w:rPr>
                <w:rFonts w:ascii="Times New Roman" w:hAnsi="Times New Roman"/>
                <w:szCs w:val="20"/>
                <w:lang w:eastAsia="fr-FR"/>
              </w:rPr>
            </w:pPr>
            <w:r w:rsidRPr="00DD2A86">
              <w:rPr>
                <w:rFonts w:ascii="Times New Roman" w:hAnsi="Times New Roman"/>
                <w:szCs w:val="20"/>
                <w:lang w:eastAsia="fr-FR"/>
              </w:rPr>
              <w:t>Bis dahin müssen folgende Vorschriften eingehalten werden:</w:t>
            </w:r>
          </w:p>
          <w:p w:rsidR="00100712" w:rsidRPr="00DD2A86" w:rsidRDefault="00100712" w:rsidP="00B61A90">
            <w:pPr>
              <w:numPr>
                <w:ilvl w:val="0"/>
                <w:numId w:val="27"/>
              </w:numPr>
              <w:suppressAutoHyphens w:val="0"/>
              <w:autoSpaceDE w:val="0"/>
              <w:autoSpaceDN w:val="0"/>
              <w:adjustRightInd w:val="0"/>
              <w:spacing w:before="60"/>
              <w:ind w:left="311" w:hanging="215"/>
              <w:rPr>
                <w:rFonts w:ascii="Times New Roman" w:hAnsi="Times New Roman"/>
                <w:szCs w:val="20"/>
              </w:rPr>
            </w:pPr>
            <w:r w:rsidRPr="00DD2A86">
              <w:rPr>
                <w:rFonts w:ascii="Times New Roman" w:hAnsi="Times New Roman"/>
                <w:szCs w:val="20"/>
              </w:rPr>
              <w:t>In Ladetanks sowie in Lade- und Löschleitungen sind nur Mess-, Regel- und Alarmeinrichtungen in Ausführung EEx (ia) zugelassen.</w:t>
            </w:r>
          </w:p>
          <w:p w:rsidR="00100712" w:rsidRPr="00DD2A86" w:rsidRDefault="00100712" w:rsidP="00B61A90">
            <w:pPr>
              <w:numPr>
                <w:ilvl w:val="0"/>
                <w:numId w:val="27"/>
              </w:numPr>
              <w:suppressAutoHyphens w:val="0"/>
              <w:autoSpaceDE w:val="0"/>
              <w:autoSpaceDN w:val="0"/>
              <w:adjustRightInd w:val="0"/>
              <w:spacing w:before="60"/>
              <w:ind w:left="311" w:hanging="215"/>
              <w:rPr>
                <w:rFonts w:ascii="Times New Roman" w:hAnsi="Times New Roman"/>
                <w:szCs w:val="20"/>
              </w:rPr>
            </w:pPr>
            <w:r w:rsidRPr="00DD2A86">
              <w:rPr>
                <w:rFonts w:ascii="Times New Roman" w:hAnsi="Times New Roman"/>
                <w:szCs w:val="20"/>
              </w:rPr>
              <w:t xml:space="preserve">Die elektrischen </w:t>
            </w:r>
            <w:r w:rsidR="008C3054" w:rsidRPr="00DD2A86">
              <w:rPr>
                <w:rFonts w:ascii="Times New Roman" w:hAnsi="Times New Roman"/>
                <w:szCs w:val="20"/>
              </w:rPr>
              <w:t xml:space="preserve">Geräte </w:t>
            </w:r>
            <w:r w:rsidRPr="00DD2A86">
              <w:rPr>
                <w:rFonts w:ascii="Times New Roman" w:hAnsi="Times New Roman"/>
                <w:szCs w:val="20"/>
              </w:rPr>
              <w:t>auf Deck innerhalb des Bereichs der Ladung und die Mess-, Regel- und Alarmeinrichtungen, die Motoren für den Antrieb betriebsnotwendiger Einrichtungen wie z.B. von Ballastpumpen in Kofferdämmen, Wallgängen, Doppelböden, Aufstellungsräumen und Betriebsräumen unter Deck im Bereich der Ladung müssen von der zuständigen Behörde hinsichtlich ihrer Betriebssicherheit in explosionsfähiger Atmosphäre geprüft und zugelassen sein, z.B. Einrichtung in eigensicherer Ausführung, Einrichtung in druckfester Kapselung, Einrichtung in Überdruckkapselung, Einrichtung in Sandkapselung, Einrichtung in Vergusskapselung, Einrichtung in erhöhter Sicherheit.</w:t>
            </w:r>
          </w:p>
          <w:p w:rsidR="00100712" w:rsidRPr="00DD2A86" w:rsidRDefault="00100712" w:rsidP="00B61A90">
            <w:pPr>
              <w:numPr>
                <w:ilvl w:val="0"/>
                <w:numId w:val="27"/>
              </w:numPr>
              <w:suppressAutoHyphens w:val="0"/>
              <w:autoSpaceDE w:val="0"/>
              <w:autoSpaceDN w:val="0"/>
              <w:adjustRightInd w:val="0"/>
              <w:spacing w:before="60"/>
              <w:ind w:left="311" w:hanging="215"/>
              <w:rPr>
                <w:rFonts w:ascii="Times New Roman" w:hAnsi="Times New Roman"/>
                <w:szCs w:val="20"/>
              </w:rPr>
            </w:pPr>
            <w:r w:rsidRPr="00DD2A86">
              <w:rPr>
                <w:rFonts w:ascii="Times New Roman" w:hAnsi="Times New Roman"/>
                <w:szCs w:val="20"/>
              </w:rPr>
              <w:t>In Kofferdämmen, Wallgängen, Doppelböden, Aufstellungsräumen und Betriebsräumen unter Deck im Bereich der Ladung müssen Leuchten die Schutzart „druckfeste Kapselung“ oder „Überdruckkapselung“ haben.</w:t>
            </w:r>
          </w:p>
          <w:p w:rsidR="00100712" w:rsidRPr="00DD2A86" w:rsidRDefault="00100712" w:rsidP="00B61A90">
            <w:pPr>
              <w:numPr>
                <w:ilvl w:val="0"/>
                <w:numId w:val="27"/>
              </w:numPr>
              <w:suppressAutoHyphens w:val="0"/>
              <w:autoSpaceDE w:val="0"/>
              <w:autoSpaceDN w:val="0"/>
              <w:adjustRightInd w:val="0"/>
              <w:spacing w:before="60"/>
              <w:ind w:left="311" w:hanging="215"/>
              <w:rPr>
                <w:rFonts w:ascii="Times New Roman" w:hAnsi="Times New Roman"/>
                <w:szCs w:val="20"/>
              </w:rPr>
            </w:pPr>
            <w:r w:rsidRPr="00DD2A86">
              <w:rPr>
                <w:rFonts w:ascii="Times New Roman" w:hAnsi="Times New Roman"/>
                <w:szCs w:val="20"/>
              </w:rPr>
              <w:t>Die Schalt- und Schutzeinrichtungen zu den unter den Buchstaben a), b) und c) genannten Einrichtungen müssen außerhalb des Bereichs der Ladung liegen, wenn sie nicht eigensicher ausgeführt sind.</w:t>
            </w:r>
          </w:p>
          <w:p w:rsidR="00100712" w:rsidRPr="00DD2A86" w:rsidRDefault="00100712" w:rsidP="00B61A90">
            <w:pPr>
              <w:suppressAutoHyphens w:val="0"/>
              <w:autoSpaceDE w:val="0"/>
              <w:autoSpaceDN w:val="0"/>
              <w:adjustRightInd w:val="0"/>
              <w:spacing w:before="60"/>
              <w:ind w:left="96"/>
              <w:rPr>
                <w:rFonts w:ascii="Times New Roman" w:hAnsi="Times New Roman"/>
                <w:szCs w:val="20"/>
              </w:rPr>
            </w:pPr>
            <w:r w:rsidRPr="00DD2A86">
              <w:rPr>
                <w:rFonts w:ascii="Times New Roman" w:hAnsi="Times New Roman"/>
                <w:szCs w:val="20"/>
              </w:rPr>
              <w:t>Diese elektrischen Einrichtungen sind unter Berücksichtigung der Explosionsgruppen und Temperaturklassen (siehe Unterabschnitt 3.2.3.2 Tabelle C Spalten (15) und 16)) der zu befördernden Stoffe auszuwählen.</w:t>
            </w:r>
          </w:p>
        </w:tc>
      </w:tr>
      <w:tr w:rsidR="00100712" w:rsidRPr="00E139A8" w:rsidTr="00283E6E">
        <w:trPr>
          <w:cantSplit/>
          <w:trHeight w:val="464"/>
        </w:trPr>
        <w:tc>
          <w:tcPr>
            <w:tcW w:w="1277" w:type="dxa"/>
            <w:tcBorders>
              <w:top w:val="single" w:sz="4" w:space="0" w:color="auto"/>
              <w:left w:val="single" w:sz="4" w:space="0" w:color="auto"/>
              <w:bottom w:val="single" w:sz="4" w:space="0" w:color="auto"/>
              <w:right w:val="single" w:sz="4" w:space="0" w:color="auto"/>
            </w:tcBorders>
          </w:tcPr>
          <w:p w:rsidR="00100712" w:rsidRPr="00DD2A86" w:rsidRDefault="00100712" w:rsidP="00B61A90">
            <w:pPr>
              <w:suppressAutoHyphens w:val="0"/>
              <w:spacing w:line="240" w:lineRule="auto"/>
              <w:jc w:val="center"/>
            </w:pPr>
          </w:p>
        </w:tc>
        <w:tc>
          <w:tcPr>
            <w:tcW w:w="3793" w:type="dxa"/>
            <w:tcBorders>
              <w:top w:val="single" w:sz="4" w:space="0" w:color="auto"/>
              <w:left w:val="single" w:sz="4" w:space="0" w:color="auto"/>
              <w:bottom w:val="single" w:sz="4" w:space="0" w:color="auto"/>
              <w:right w:val="single" w:sz="4" w:space="0" w:color="auto"/>
            </w:tcBorders>
          </w:tcPr>
          <w:p w:rsidR="00100712" w:rsidRPr="00DD2A86" w:rsidRDefault="00100712" w:rsidP="00B61A90">
            <w:pPr>
              <w:widowControl w:val="0"/>
              <w:tabs>
                <w:tab w:val="left" w:pos="708"/>
              </w:tabs>
              <w:suppressAutoHyphens w:val="0"/>
              <w:overflowPunct w:val="0"/>
              <w:autoSpaceDE w:val="0"/>
              <w:autoSpaceDN w:val="0"/>
              <w:adjustRightInd w:val="0"/>
              <w:spacing w:before="60" w:after="60" w:line="240" w:lineRule="exact"/>
              <w:textAlignment w:val="baseline"/>
            </w:pPr>
          </w:p>
        </w:tc>
        <w:tc>
          <w:tcPr>
            <w:tcW w:w="4286" w:type="dxa"/>
            <w:tcBorders>
              <w:top w:val="single" w:sz="4" w:space="0" w:color="auto"/>
              <w:left w:val="single" w:sz="4" w:space="0" w:color="auto"/>
              <w:bottom w:val="single" w:sz="4" w:space="0" w:color="auto"/>
              <w:right w:val="single" w:sz="4" w:space="0" w:color="auto"/>
            </w:tcBorders>
          </w:tcPr>
          <w:p w:rsidR="0006341E" w:rsidRPr="00DD2A86" w:rsidRDefault="0006341E" w:rsidP="00B61A90">
            <w:pPr>
              <w:suppressAutoHyphens w:val="0"/>
              <w:autoSpaceDE w:val="0"/>
              <w:autoSpaceDN w:val="0"/>
              <w:adjustRightInd w:val="0"/>
              <w:spacing w:line="240" w:lineRule="auto"/>
              <w:rPr>
                <w:rFonts w:ascii="Times New Roman" w:hAnsi="Times New Roman"/>
                <w:szCs w:val="20"/>
              </w:rPr>
            </w:pPr>
            <w:r w:rsidRPr="00DD2A86">
              <w:rPr>
                <w:rFonts w:ascii="Times New Roman" w:hAnsi="Times New Roman"/>
                <w:szCs w:val="20"/>
              </w:rPr>
              <w:t>An Bord von in Betrieb befindlichen Schiffen, die vor dem 1. Januar 1977 auf Kiel gelegt worden sind, müssen bis dahin die folgenden Vorschriften eingehalten werden:</w:t>
            </w:r>
          </w:p>
          <w:p w:rsidR="0006341E" w:rsidRPr="00DD2A86" w:rsidRDefault="0006341E" w:rsidP="00B61A90">
            <w:pPr>
              <w:suppressAutoHyphens w:val="0"/>
              <w:autoSpaceDE w:val="0"/>
              <w:autoSpaceDN w:val="0"/>
              <w:adjustRightInd w:val="0"/>
              <w:spacing w:before="120" w:line="240" w:lineRule="auto"/>
              <w:rPr>
                <w:rFonts w:ascii="Times New Roman" w:hAnsi="Times New Roman"/>
                <w:szCs w:val="20"/>
              </w:rPr>
            </w:pPr>
            <w:r w:rsidRPr="00DD2A86">
              <w:rPr>
                <w:rFonts w:ascii="Times New Roman" w:hAnsi="Times New Roman"/>
                <w:szCs w:val="20"/>
              </w:rPr>
              <w:t>Bei Schiffen, bei denen eine nicht gasdicht verschließbare Öffnung (z.B. Türen und Fenster usw.) des Steuerhauses in den Bereich der Ladung fällt, müssen bis dahin während des Ladens, Löschens und Entgasens folgende Bedingungen erfüllt sein:</w:t>
            </w:r>
          </w:p>
          <w:p w:rsidR="00100712" w:rsidRPr="00DD2A86" w:rsidRDefault="00100712" w:rsidP="00B61A90">
            <w:pPr>
              <w:suppressAutoHyphens w:val="0"/>
              <w:autoSpaceDE w:val="0"/>
              <w:autoSpaceDN w:val="0"/>
              <w:adjustRightInd w:val="0"/>
              <w:spacing w:before="120" w:line="240" w:lineRule="auto"/>
              <w:ind w:left="317" w:hanging="317"/>
              <w:rPr>
                <w:rFonts w:ascii="Times New Roman" w:hAnsi="Times New Roman"/>
                <w:szCs w:val="20"/>
              </w:rPr>
            </w:pPr>
            <w:r w:rsidRPr="00DD2A86">
              <w:rPr>
                <w:rFonts w:ascii="Times New Roman" w:hAnsi="Times New Roman"/>
                <w:szCs w:val="20"/>
              </w:rPr>
              <w:t>a)</w:t>
            </w:r>
            <w:r w:rsidRPr="00DD2A86">
              <w:rPr>
                <w:rFonts w:ascii="Times New Roman" w:hAnsi="Times New Roman"/>
                <w:szCs w:val="20"/>
              </w:rPr>
              <w:tab/>
              <w:t xml:space="preserve">alle elektrischen Einrichtungen, die im Steuerhaus betrieben werden sollen, müssen begrenzt explosionsgeschützt ausgeführt sein, d.h. dass diese elektrischen Einrichtungen so beschaffen sein müssen, dass bei normalem Betrieb keine Funken erzeugt werden und keine Oberflächentemperatur von mehr als 200 °C auftreten kann, oder dass diese elektrischen Einrichtungen strahlwassergeschützt sind und </w:t>
            </w:r>
            <w:r w:rsidR="00D76088" w:rsidRPr="00DD2A86">
              <w:rPr>
                <w:rFonts w:ascii="Times New Roman" w:hAnsi="Times New Roman"/>
                <w:szCs w:val="20"/>
              </w:rPr>
              <w:t xml:space="preserve">bei normalem Betrieb keine </w:t>
            </w:r>
            <w:r w:rsidRPr="00DD2A86">
              <w:rPr>
                <w:rFonts w:ascii="Times New Roman" w:hAnsi="Times New Roman"/>
                <w:szCs w:val="20"/>
              </w:rPr>
              <w:t xml:space="preserve"> Oberflächentemperatur </w:t>
            </w:r>
            <w:r w:rsidR="00D76088" w:rsidRPr="00DD2A86">
              <w:rPr>
                <w:rFonts w:ascii="Times New Roman" w:hAnsi="Times New Roman"/>
                <w:szCs w:val="20"/>
              </w:rPr>
              <w:t>von mehr als</w:t>
            </w:r>
            <w:r w:rsidRPr="00DD2A86">
              <w:rPr>
                <w:rFonts w:ascii="Times New Roman" w:hAnsi="Times New Roman"/>
                <w:szCs w:val="20"/>
              </w:rPr>
              <w:t xml:space="preserve"> 200 °C </w:t>
            </w:r>
            <w:r w:rsidR="00D76088" w:rsidRPr="00DD2A86">
              <w:rPr>
                <w:rFonts w:ascii="Times New Roman" w:hAnsi="Times New Roman"/>
                <w:szCs w:val="20"/>
              </w:rPr>
              <w:t>auftreten kann</w:t>
            </w:r>
            <w:r w:rsidRPr="00DD2A86">
              <w:rPr>
                <w:rFonts w:ascii="Times New Roman" w:hAnsi="Times New Roman"/>
                <w:szCs w:val="20"/>
              </w:rPr>
              <w:t>.</w:t>
            </w:r>
          </w:p>
          <w:p w:rsidR="00100712" w:rsidRPr="00DD2A86" w:rsidRDefault="00100712" w:rsidP="00B61A90">
            <w:pPr>
              <w:suppressAutoHyphens w:val="0"/>
              <w:autoSpaceDE w:val="0"/>
              <w:autoSpaceDN w:val="0"/>
              <w:adjustRightInd w:val="0"/>
              <w:spacing w:before="120" w:line="240" w:lineRule="auto"/>
              <w:ind w:left="317" w:hanging="317"/>
              <w:rPr>
                <w:lang w:eastAsia="fr-FR"/>
              </w:rPr>
            </w:pPr>
            <w:r w:rsidRPr="00DD2A86">
              <w:rPr>
                <w:rFonts w:ascii="Times New Roman" w:hAnsi="Times New Roman"/>
                <w:szCs w:val="20"/>
              </w:rPr>
              <w:t>b)</w:t>
            </w:r>
            <w:r w:rsidRPr="00DD2A86">
              <w:rPr>
                <w:rFonts w:ascii="Times New Roman" w:hAnsi="Times New Roman"/>
                <w:szCs w:val="20"/>
              </w:rPr>
              <w:tab/>
              <w:t>elektrische Einrichtungen, welche die Bedingungen unter a) nicht erfüllen, müssen rot markiert sein und über einen zentralen Schalter abgeschaltet werden können.</w:t>
            </w:r>
          </w:p>
        </w:tc>
      </w:tr>
      <w:tr w:rsidR="00100712" w:rsidRPr="00DD2A86" w:rsidTr="00283E6E">
        <w:trPr>
          <w:cantSplit/>
          <w:trHeight w:val="464"/>
        </w:trPr>
        <w:tc>
          <w:tcPr>
            <w:tcW w:w="1277"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suppressAutoHyphens w:val="0"/>
              <w:spacing w:line="240" w:lineRule="auto"/>
              <w:jc w:val="center"/>
              <w:rPr>
                <w:rFonts w:ascii="Times New Roman" w:hAnsi="Times New Roman"/>
                <w:szCs w:val="20"/>
              </w:rPr>
            </w:pPr>
            <w:r w:rsidRPr="00DD2A86">
              <w:rPr>
                <w:rFonts w:ascii="Times New Roman" w:hAnsi="Times New Roman"/>
                <w:szCs w:val="20"/>
              </w:rPr>
              <w:t>9.3.1.53.1</w:t>
            </w:r>
          </w:p>
          <w:p w:rsidR="00100712" w:rsidRPr="00DD2A86" w:rsidRDefault="00100712" w:rsidP="00B61A90">
            <w:pPr>
              <w:suppressAutoHyphens w:val="0"/>
              <w:spacing w:line="240" w:lineRule="auto"/>
              <w:jc w:val="center"/>
              <w:rPr>
                <w:rFonts w:ascii="Times New Roman" w:hAnsi="Times New Roman"/>
                <w:szCs w:val="20"/>
              </w:rPr>
            </w:pPr>
            <w:r w:rsidRPr="00DD2A86">
              <w:rPr>
                <w:rFonts w:ascii="Times New Roman" w:hAnsi="Times New Roman"/>
                <w:szCs w:val="20"/>
              </w:rPr>
              <w:t>9.3.2.53.1</w:t>
            </w:r>
          </w:p>
          <w:p w:rsidR="00100712" w:rsidRPr="00DD2A86" w:rsidRDefault="00100712" w:rsidP="00B61A90">
            <w:pPr>
              <w:suppressAutoHyphens w:val="0"/>
              <w:spacing w:line="240" w:lineRule="auto"/>
              <w:jc w:val="center"/>
              <w:rPr>
                <w:rFonts w:ascii="Times New Roman" w:hAnsi="Times New Roman"/>
                <w:szCs w:val="20"/>
              </w:rPr>
            </w:pPr>
            <w:r w:rsidRPr="00DD2A86">
              <w:rPr>
                <w:rFonts w:ascii="Times New Roman" w:hAnsi="Times New Roman"/>
                <w:szCs w:val="20"/>
              </w:rPr>
              <w:t>9.3.3.53.1</w:t>
            </w:r>
          </w:p>
        </w:tc>
        <w:tc>
          <w:tcPr>
            <w:tcW w:w="3793"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tabs>
                <w:tab w:val="left" w:pos="708"/>
              </w:tabs>
              <w:suppressAutoHyphens w:val="0"/>
              <w:overflowPunct w:val="0"/>
              <w:autoSpaceDE w:val="0"/>
              <w:autoSpaceDN w:val="0"/>
              <w:adjustRightInd w:val="0"/>
              <w:spacing w:before="60" w:after="60" w:line="240" w:lineRule="exact"/>
              <w:textAlignment w:val="baseline"/>
              <w:rPr>
                <w:rFonts w:ascii="Times New Roman" w:hAnsi="Times New Roman"/>
                <w:szCs w:val="20"/>
              </w:rPr>
            </w:pPr>
            <w:r w:rsidRPr="00DD2A86">
              <w:rPr>
                <w:rFonts w:ascii="Times New Roman" w:hAnsi="Times New Roman"/>
                <w:szCs w:val="20"/>
              </w:rPr>
              <w:t>Art und Aufstellungsort der elektrischen Anlagen und Geräte zum Einsatz in explosionsgefährdeten Bereichen</w:t>
            </w:r>
          </w:p>
          <w:p w:rsidR="00100712" w:rsidRPr="00DD2A86" w:rsidRDefault="00100712" w:rsidP="00B61A90">
            <w:pPr>
              <w:widowControl w:val="0"/>
              <w:tabs>
                <w:tab w:val="left" w:pos="708"/>
              </w:tabs>
              <w:suppressAutoHyphens w:val="0"/>
              <w:overflowPunct w:val="0"/>
              <w:autoSpaceDE w:val="0"/>
              <w:autoSpaceDN w:val="0"/>
              <w:adjustRightInd w:val="0"/>
              <w:spacing w:before="60" w:after="60" w:line="240" w:lineRule="exact"/>
              <w:textAlignment w:val="baseline"/>
              <w:rPr>
                <w:rFonts w:ascii="Times New Roman" w:hAnsi="Times New Roman"/>
                <w:szCs w:val="20"/>
                <w:lang w:eastAsia="fr-FR"/>
              </w:rPr>
            </w:pPr>
            <w:r w:rsidRPr="00DD2A86">
              <w:rPr>
                <w:rFonts w:ascii="Times New Roman" w:hAnsi="Times New Roman"/>
                <w:szCs w:val="20"/>
                <w:lang w:eastAsia="fr-FR"/>
              </w:rPr>
              <w:t>Zone 2</w:t>
            </w:r>
          </w:p>
        </w:tc>
        <w:tc>
          <w:tcPr>
            <w:tcW w:w="4286"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N.E.U. ab 1. Januar 2019</w:t>
            </w:r>
          </w:p>
          <w:p w:rsidR="00100712" w:rsidRPr="00DD2A86" w:rsidRDefault="00100712" w:rsidP="00B61A90">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Erneuerung des Zulassungszeugnisses nach dem 31. Dezember 2034</w:t>
            </w:r>
          </w:p>
        </w:tc>
      </w:tr>
      <w:tr w:rsidR="00100712" w:rsidRPr="00DD2A86" w:rsidTr="00283E6E">
        <w:trPr>
          <w:cantSplit/>
          <w:trHeight w:val="464"/>
        </w:trPr>
        <w:tc>
          <w:tcPr>
            <w:tcW w:w="1277"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9.3.1.53.1</w:t>
            </w:r>
          </w:p>
          <w:p w:rsidR="00100712" w:rsidRPr="00DD2A86" w:rsidRDefault="00100712" w:rsidP="00B61A90">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9.3.2.53.1</w:t>
            </w:r>
          </w:p>
          <w:p w:rsidR="00100712" w:rsidRPr="00DD2A86" w:rsidRDefault="00100712" w:rsidP="00B61A90">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9.3.3.53.1</w:t>
            </w:r>
          </w:p>
        </w:tc>
        <w:tc>
          <w:tcPr>
            <w:tcW w:w="3793"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tabs>
                <w:tab w:val="left" w:pos="708"/>
              </w:tabs>
              <w:suppressAutoHyphens w:val="0"/>
              <w:overflowPunct w:val="0"/>
              <w:autoSpaceDE w:val="0"/>
              <w:autoSpaceDN w:val="0"/>
              <w:adjustRightInd w:val="0"/>
              <w:spacing w:before="60" w:after="60" w:line="240" w:lineRule="exact"/>
              <w:textAlignment w:val="baseline"/>
              <w:rPr>
                <w:rFonts w:ascii="Times New Roman" w:hAnsi="Times New Roman"/>
                <w:szCs w:val="20"/>
                <w:lang w:eastAsia="fr-FR"/>
              </w:rPr>
            </w:pPr>
            <w:r w:rsidRPr="00DD2A86">
              <w:rPr>
                <w:rFonts w:ascii="Times New Roman" w:hAnsi="Times New Roman"/>
                <w:szCs w:val="20"/>
                <w:lang w:eastAsia="fr-FR"/>
              </w:rPr>
              <w:t>Temperaturklasse und Explosionsgruppe der nicht-elektrischen Anlagen und Geräte</w:t>
            </w:r>
          </w:p>
        </w:tc>
        <w:tc>
          <w:tcPr>
            <w:tcW w:w="4286"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N.E.U. ab 1. Januar 2019</w:t>
            </w:r>
          </w:p>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Erneuerung des Zulassungszeugnisses nach dem 31. Dezember 2034</w:t>
            </w:r>
          </w:p>
        </w:tc>
      </w:tr>
      <w:tr w:rsidR="00100712" w:rsidRPr="00DD2A86" w:rsidTr="00283E6E">
        <w:trPr>
          <w:cantSplit/>
          <w:trHeight w:val="283"/>
        </w:trPr>
        <w:tc>
          <w:tcPr>
            <w:tcW w:w="1277"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suppressAutoHyphens w:val="0"/>
              <w:spacing w:line="240" w:lineRule="auto"/>
              <w:jc w:val="center"/>
              <w:rPr>
                <w:rFonts w:ascii="Times New Roman" w:hAnsi="Times New Roman"/>
                <w:szCs w:val="20"/>
              </w:rPr>
            </w:pPr>
            <w:r w:rsidRPr="00DD2A86">
              <w:rPr>
                <w:rFonts w:ascii="Times New Roman" w:hAnsi="Times New Roman"/>
                <w:szCs w:val="20"/>
              </w:rPr>
              <w:t>9.3.1.53.1</w:t>
            </w:r>
          </w:p>
          <w:p w:rsidR="00100712" w:rsidRPr="00DD2A86" w:rsidRDefault="00100712" w:rsidP="00B61A90">
            <w:pPr>
              <w:suppressAutoHyphens w:val="0"/>
              <w:spacing w:line="240" w:lineRule="auto"/>
              <w:jc w:val="center"/>
              <w:rPr>
                <w:rFonts w:ascii="Times New Roman" w:hAnsi="Times New Roman"/>
                <w:szCs w:val="20"/>
              </w:rPr>
            </w:pPr>
            <w:r w:rsidRPr="00DD2A86">
              <w:rPr>
                <w:rFonts w:ascii="Times New Roman" w:hAnsi="Times New Roman"/>
                <w:szCs w:val="20"/>
              </w:rPr>
              <w:t>9.3.2.53.1</w:t>
            </w:r>
          </w:p>
          <w:p w:rsidR="00100712" w:rsidRPr="00DD2A86" w:rsidRDefault="00100712" w:rsidP="00B61A90">
            <w:pPr>
              <w:widowControl w:val="0"/>
              <w:tabs>
                <w:tab w:val="left" w:pos="708"/>
              </w:tabs>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9.3.3.53.1</w:t>
            </w:r>
          </w:p>
        </w:tc>
        <w:tc>
          <w:tcPr>
            <w:tcW w:w="3793"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tabs>
                <w:tab w:val="left" w:pos="708"/>
              </w:tabs>
              <w:suppressAutoHyphens w:val="0"/>
              <w:overflowPunct w:val="0"/>
              <w:autoSpaceDE w:val="0"/>
              <w:autoSpaceDN w:val="0"/>
              <w:adjustRightInd w:val="0"/>
              <w:spacing w:before="60" w:after="60" w:line="240" w:lineRule="exact"/>
              <w:textAlignment w:val="baseline"/>
              <w:rPr>
                <w:rFonts w:ascii="Times New Roman" w:hAnsi="Times New Roman"/>
                <w:szCs w:val="20"/>
                <w:lang w:eastAsia="fr-FR"/>
              </w:rPr>
            </w:pPr>
            <w:r w:rsidRPr="00DD2A86">
              <w:rPr>
                <w:rFonts w:ascii="Times New Roman" w:hAnsi="Times New Roman"/>
                <w:szCs w:val="20"/>
                <w:lang w:eastAsia="fr-FR"/>
              </w:rPr>
              <w:t>Temperaturklasse und Explosionsgruppe elektrischer Anlagen und Geräte</w:t>
            </w:r>
          </w:p>
        </w:tc>
        <w:tc>
          <w:tcPr>
            <w:tcW w:w="4286" w:type="dxa"/>
            <w:tcBorders>
              <w:top w:val="single" w:sz="4" w:space="0" w:color="auto"/>
              <w:left w:val="single" w:sz="4" w:space="0" w:color="auto"/>
              <w:bottom w:val="single" w:sz="4" w:space="0" w:color="auto"/>
              <w:right w:val="single" w:sz="4" w:space="0" w:color="auto"/>
            </w:tcBorders>
            <w:hideMark/>
          </w:tcPr>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N.E.U. ab 1. Januar 2019</w:t>
            </w:r>
          </w:p>
          <w:p w:rsidR="00100712" w:rsidRPr="00DD2A86" w:rsidRDefault="00100712" w:rsidP="00B61A90">
            <w:pPr>
              <w:widowControl w:val="0"/>
              <w:suppressAutoHyphens w:val="0"/>
              <w:overflowPunct w:val="0"/>
              <w:autoSpaceDE w:val="0"/>
              <w:autoSpaceDN w:val="0"/>
              <w:adjustRightInd w:val="0"/>
              <w:spacing w:line="240" w:lineRule="auto"/>
              <w:jc w:val="center"/>
              <w:textAlignment w:val="baseline"/>
              <w:rPr>
                <w:rFonts w:ascii="Times New Roman" w:hAnsi="Times New Roman"/>
                <w:szCs w:val="20"/>
                <w:lang w:eastAsia="fr-FR"/>
              </w:rPr>
            </w:pPr>
            <w:r w:rsidRPr="00DD2A86">
              <w:rPr>
                <w:rFonts w:ascii="Times New Roman" w:hAnsi="Times New Roman"/>
                <w:szCs w:val="20"/>
                <w:lang w:eastAsia="fr-FR"/>
              </w:rPr>
              <w:t>Erneuerung des Zulassungszeugnisses nach dem 31. Dezember 2034</w:t>
            </w:r>
          </w:p>
        </w:tc>
      </w:tr>
      <w:tr w:rsidR="00A44AC5" w:rsidRPr="00E139A8" w:rsidTr="00283E6E">
        <w:trPr>
          <w:cantSplit/>
          <w:trHeight w:val="464"/>
        </w:trPr>
        <w:tc>
          <w:tcPr>
            <w:tcW w:w="1277" w:type="dxa"/>
            <w:tcBorders>
              <w:top w:val="single" w:sz="4" w:space="0" w:color="auto"/>
              <w:left w:val="single" w:sz="4" w:space="0" w:color="auto"/>
              <w:bottom w:val="single" w:sz="4" w:space="0" w:color="auto"/>
              <w:right w:val="single" w:sz="4" w:space="0" w:color="auto"/>
            </w:tcBorders>
          </w:tcPr>
          <w:p w:rsidR="00A44AC5" w:rsidRPr="00DD2A86" w:rsidRDefault="00A44AC5" w:rsidP="00B307A1">
            <w:pPr>
              <w:suppressAutoHyphens w:val="0"/>
              <w:autoSpaceDE w:val="0"/>
              <w:autoSpaceDN w:val="0"/>
              <w:adjustRightInd w:val="0"/>
              <w:spacing w:line="240" w:lineRule="auto"/>
              <w:jc w:val="center"/>
              <w:rPr>
                <w:rFonts w:ascii="Times New Roman" w:hAnsi="Times New Roman"/>
                <w:lang w:val="en-GB"/>
              </w:rPr>
            </w:pPr>
            <w:r w:rsidRPr="00DD2A86">
              <w:rPr>
                <w:rFonts w:ascii="Times New Roman" w:hAnsi="Times New Roman"/>
                <w:lang w:val="en-GB"/>
              </w:rPr>
              <w:t>9.3.</w:t>
            </w:r>
            <w:r w:rsidR="00B307A1" w:rsidRPr="00DD2A86">
              <w:rPr>
                <w:rFonts w:ascii="Times New Roman" w:hAnsi="Times New Roman"/>
                <w:lang w:val="en-GB"/>
              </w:rPr>
              <w:t>1</w:t>
            </w:r>
            <w:r w:rsidRPr="00DD2A86">
              <w:rPr>
                <w:rFonts w:ascii="Times New Roman" w:hAnsi="Times New Roman"/>
                <w:lang w:val="en-GB"/>
              </w:rPr>
              <w:t>.53.5</w:t>
            </w:r>
          </w:p>
          <w:p w:rsidR="00B307A1" w:rsidRPr="00DD2A86" w:rsidRDefault="00B307A1" w:rsidP="00B307A1">
            <w:pPr>
              <w:suppressAutoHyphens w:val="0"/>
              <w:autoSpaceDE w:val="0"/>
              <w:autoSpaceDN w:val="0"/>
              <w:adjustRightInd w:val="0"/>
              <w:spacing w:line="240" w:lineRule="auto"/>
              <w:jc w:val="center"/>
              <w:rPr>
                <w:rFonts w:ascii="Times New Roman" w:hAnsi="Times New Roman"/>
              </w:rPr>
            </w:pPr>
            <w:r w:rsidRPr="00DD2A86">
              <w:rPr>
                <w:rFonts w:ascii="Times New Roman" w:hAnsi="Times New Roman"/>
                <w:lang w:val="en-GB"/>
              </w:rPr>
              <w:t>9.3.2.53.5</w:t>
            </w:r>
            <w:r w:rsidRPr="00DD2A86">
              <w:rPr>
                <w:rFonts w:ascii="Times New Roman" w:hAnsi="Times New Roman"/>
                <w:lang w:val="en-GB"/>
              </w:rPr>
              <w:br/>
              <w:t>9.3.3.53.5</w:t>
            </w:r>
          </w:p>
        </w:tc>
        <w:tc>
          <w:tcPr>
            <w:tcW w:w="3793" w:type="dxa"/>
            <w:tcBorders>
              <w:top w:val="single" w:sz="4" w:space="0" w:color="auto"/>
              <w:left w:val="single" w:sz="4" w:space="0" w:color="auto"/>
              <w:bottom w:val="single" w:sz="4" w:space="0" w:color="auto"/>
              <w:right w:val="single" w:sz="4" w:space="0" w:color="auto"/>
            </w:tcBorders>
          </w:tcPr>
          <w:p w:rsidR="00A44AC5" w:rsidRPr="00DD2A86" w:rsidRDefault="00A44AC5" w:rsidP="00BD68C1">
            <w:pPr>
              <w:suppressAutoHyphens w:val="0"/>
              <w:autoSpaceDE w:val="0"/>
              <w:autoSpaceDN w:val="0"/>
              <w:adjustRightInd w:val="0"/>
              <w:spacing w:line="240" w:lineRule="auto"/>
              <w:rPr>
                <w:rFonts w:ascii="Times New Roman" w:hAnsi="Times New Roman"/>
              </w:rPr>
            </w:pPr>
            <w:r w:rsidRPr="00DD2A86">
              <w:rPr>
                <w:rFonts w:ascii="Times New Roman" w:hAnsi="Times New Roman"/>
              </w:rPr>
              <w:t>Bewegliche elektrische Kabel (</w:t>
            </w:r>
            <w:r w:rsidRPr="00DD2A86">
              <w:rPr>
                <w:rFonts w:ascii="Times New Roman" w:hAnsi="Times New Roman"/>
                <w:bCs/>
              </w:rPr>
              <w:t xml:space="preserve">Schlauchleitungen </w:t>
            </w:r>
            <w:r w:rsidRPr="00DD2A86">
              <w:rPr>
                <w:rFonts w:ascii="Times New Roman" w:hAnsi="Times New Roman"/>
              </w:rPr>
              <w:t xml:space="preserve">des Typs </w:t>
            </w:r>
            <w:r w:rsidRPr="00DD2A86">
              <w:rPr>
                <w:rFonts w:ascii="Times New Roman" w:hAnsi="Times New Roman"/>
                <w:bCs/>
              </w:rPr>
              <w:t>H 07 RN-F)</w:t>
            </w:r>
          </w:p>
        </w:tc>
        <w:tc>
          <w:tcPr>
            <w:tcW w:w="4286" w:type="dxa"/>
            <w:tcBorders>
              <w:top w:val="single" w:sz="4" w:space="0" w:color="auto"/>
              <w:left w:val="single" w:sz="4" w:space="0" w:color="auto"/>
              <w:bottom w:val="single" w:sz="4" w:space="0" w:color="auto"/>
              <w:right w:val="single" w:sz="4" w:space="0" w:color="auto"/>
            </w:tcBorders>
          </w:tcPr>
          <w:p w:rsidR="00A44AC5" w:rsidRPr="00DD2A86" w:rsidRDefault="00A44AC5" w:rsidP="00BD68C1">
            <w:pPr>
              <w:widowControl w:val="0"/>
              <w:suppressAutoHyphens w:val="0"/>
              <w:overflowPunct w:val="0"/>
              <w:autoSpaceDE w:val="0"/>
              <w:autoSpaceDN w:val="0"/>
              <w:adjustRightInd w:val="0"/>
              <w:spacing w:line="240" w:lineRule="auto"/>
              <w:jc w:val="center"/>
              <w:textAlignment w:val="baseline"/>
              <w:rPr>
                <w:rFonts w:ascii="Times New Roman" w:hAnsi="Times New Roman"/>
                <w:lang w:eastAsia="fr-FR"/>
              </w:rPr>
            </w:pPr>
            <w:r w:rsidRPr="00DD2A86">
              <w:rPr>
                <w:rFonts w:ascii="Times New Roman" w:hAnsi="Times New Roman"/>
                <w:lang w:eastAsia="fr-FR"/>
              </w:rPr>
              <w:t>N.E.U. ab 1. Januar 2019</w:t>
            </w:r>
          </w:p>
          <w:p w:rsidR="00A44AC5" w:rsidRPr="00DD2A86" w:rsidRDefault="00A44AC5" w:rsidP="00BD68C1">
            <w:pPr>
              <w:widowControl w:val="0"/>
              <w:suppressAutoHyphens w:val="0"/>
              <w:overflowPunct w:val="0"/>
              <w:autoSpaceDE w:val="0"/>
              <w:autoSpaceDN w:val="0"/>
              <w:adjustRightInd w:val="0"/>
              <w:spacing w:line="240" w:lineRule="auto"/>
              <w:jc w:val="center"/>
              <w:textAlignment w:val="baseline"/>
              <w:rPr>
                <w:rFonts w:ascii="Times New Roman" w:hAnsi="Times New Roman"/>
                <w:lang w:eastAsia="fr-FR"/>
              </w:rPr>
            </w:pPr>
            <w:r w:rsidRPr="00DD2A86">
              <w:rPr>
                <w:rFonts w:ascii="Times New Roman" w:hAnsi="Times New Roman"/>
                <w:lang w:eastAsia="fr-FR"/>
              </w:rPr>
              <w:t>Erneuerung des Zulassungszeugnisses</w:t>
            </w:r>
          </w:p>
          <w:p w:rsidR="00A44AC5" w:rsidRPr="00DD2A86" w:rsidRDefault="00A44AC5" w:rsidP="00BD68C1">
            <w:pPr>
              <w:widowControl w:val="0"/>
              <w:suppressAutoHyphens w:val="0"/>
              <w:overflowPunct w:val="0"/>
              <w:autoSpaceDE w:val="0"/>
              <w:autoSpaceDN w:val="0"/>
              <w:adjustRightInd w:val="0"/>
              <w:spacing w:line="240" w:lineRule="auto"/>
              <w:jc w:val="center"/>
              <w:textAlignment w:val="baseline"/>
              <w:rPr>
                <w:rFonts w:ascii="Times New Roman" w:hAnsi="Times New Roman"/>
                <w:lang w:eastAsia="fr-FR"/>
              </w:rPr>
            </w:pPr>
            <w:r w:rsidRPr="00DD2A86">
              <w:rPr>
                <w:rFonts w:ascii="Times New Roman" w:hAnsi="Times New Roman"/>
                <w:lang w:eastAsia="fr-FR"/>
              </w:rPr>
              <w:t>nach dem 31. Dezember 2034</w:t>
            </w:r>
          </w:p>
          <w:p w:rsidR="00A44AC5" w:rsidRPr="00DD2A86" w:rsidRDefault="00A44AC5" w:rsidP="00BD68C1">
            <w:pPr>
              <w:widowControl w:val="0"/>
              <w:suppressAutoHyphens w:val="0"/>
              <w:overflowPunct w:val="0"/>
              <w:autoSpaceDE w:val="0"/>
              <w:autoSpaceDN w:val="0"/>
              <w:adjustRightInd w:val="0"/>
              <w:spacing w:line="240" w:lineRule="auto"/>
              <w:jc w:val="center"/>
              <w:textAlignment w:val="baseline"/>
              <w:rPr>
                <w:rFonts w:ascii="Times New Roman" w:hAnsi="Times New Roman"/>
                <w:lang w:eastAsia="fr-FR"/>
              </w:rPr>
            </w:pPr>
          </w:p>
          <w:p w:rsidR="00A44AC5" w:rsidRPr="00DD2A86" w:rsidRDefault="00A44AC5" w:rsidP="00BD68C1">
            <w:pPr>
              <w:widowControl w:val="0"/>
              <w:suppressAutoHyphens w:val="0"/>
              <w:overflowPunct w:val="0"/>
              <w:autoSpaceDE w:val="0"/>
              <w:autoSpaceDN w:val="0"/>
              <w:adjustRightInd w:val="0"/>
              <w:spacing w:line="240" w:lineRule="auto"/>
              <w:textAlignment w:val="baseline"/>
              <w:rPr>
                <w:rFonts w:ascii="Times New Roman" w:hAnsi="Times New Roman"/>
                <w:lang w:eastAsia="fr-FR"/>
              </w:rPr>
            </w:pPr>
            <w:r w:rsidRPr="00DD2A86">
              <w:rPr>
                <w:rFonts w:ascii="Times New Roman" w:hAnsi="Times New Roman"/>
                <w:lang w:eastAsia="fr-FR"/>
              </w:rPr>
              <w:t>Bis dahin müssen an Bord von in Betrieb befindlichen Schiffen folgende Vorschriften eingehalten werden:</w:t>
            </w:r>
          </w:p>
          <w:p w:rsidR="00A44AC5" w:rsidRPr="00DD2A86" w:rsidRDefault="00A44AC5" w:rsidP="00BD68C1">
            <w:pPr>
              <w:widowControl w:val="0"/>
              <w:suppressAutoHyphens w:val="0"/>
              <w:overflowPunct w:val="0"/>
              <w:autoSpaceDE w:val="0"/>
              <w:autoSpaceDN w:val="0"/>
              <w:adjustRightInd w:val="0"/>
              <w:spacing w:line="240" w:lineRule="auto"/>
              <w:textAlignment w:val="baseline"/>
              <w:rPr>
                <w:rFonts w:ascii="Times New Roman" w:hAnsi="Times New Roman"/>
                <w:lang w:eastAsia="fr-FR"/>
              </w:rPr>
            </w:pPr>
            <w:r w:rsidRPr="00DD2A86">
              <w:rPr>
                <w:rFonts w:ascii="Times New Roman" w:hAnsi="Times New Roman"/>
                <w:lang w:eastAsia="fr-FR"/>
              </w:rPr>
              <w:t>Bewegliche elektrische Kabel (Schlauchleitungen des Typs H 07 RN-F) müssen bis dahin der Norm IEC 60245-4:1994 entsprechen.</w:t>
            </w:r>
          </w:p>
        </w:tc>
      </w:tr>
      <w:tr w:rsidR="00030510" w:rsidRPr="00DD2A86" w:rsidTr="00283E6E">
        <w:trPr>
          <w:cantSplit/>
        </w:trPr>
        <w:tc>
          <w:tcPr>
            <w:tcW w:w="1277" w:type="dxa"/>
          </w:tcPr>
          <w:p w:rsidR="00030510" w:rsidRPr="00DD2A86" w:rsidRDefault="00030510" w:rsidP="005A42FB">
            <w:pPr>
              <w:jc w:val="center"/>
              <w:rPr>
                <w:rFonts w:ascii="Times New Roman" w:eastAsia="Times New Roman" w:hAnsi="Times New Roman"/>
                <w:lang w:val="fr-CH"/>
              </w:rPr>
            </w:pPr>
            <w:r w:rsidRPr="00DD2A86">
              <w:rPr>
                <w:rFonts w:ascii="Times New Roman" w:eastAsia="Times New Roman" w:hAnsi="Times New Roman"/>
                <w:lang w:val="fr-CH"/>
              </w:rPr>
              <w:t>9.3.1.60</w:t>
            </w:r>
          </w:p>
          <w:p w:rsidR="00030510" w:rsidRPr="00DD2A86" w:rsidRDefault="00030510" w:rsidP="005A42FB">
            <w:pPr>
              <w:jc w:val="center"/>
              <w:rPr>
                <w:rFonts w:ascii="Times New Roman" w:eastAsia="Times New Roman" w:hAnsi="Times New Roman"/>
                <w:lang w:val="fr-CH"/>
              </w:rPr>
            </w:pPr>
            <w:r w:rsidRPr="00DD2A86">
              <w:rPr>
                <w:rFonts w:ascii="Times New Roman" w:eastAsia="Times New Roman" w:hAnsi="Times New Roman"/>
                <w:lang w:val="fr-CH"/>
              </w:rPr>
              <w:t>9.3.2.60</w:t>
            </w:r>
          </w:p>
          <w:p w:rsidR="00030510" w:rsidRPr="00DD2A86" w:rsidRDefault="00030510" w:rsidP="005A42FB">
            <w:pPr>
              <w:jc w:val="center"/>
              <w:rPr>
                <w:rFonts w:ascii="Times New Roman" w:eastAsia="Times New Roman" w:hAnsi="Times New Roman"/>
                <w:lang w:val="fr-CH"/>
              </w:rPr>
            </w:pPr>
            <w:r w:rsidRPr="00DD2A86">
              <w:rPr>
                <w:rFonts w:ascii="Times New Roman" w:eastAsia="Times New Roman" w:hAnsi="Times New Roman"/>
                <w:lang w:val="fr-CH"/>
              </w:rPr>
              <w:t>9.3.3.60</w:t>
            </w:r>
          </w:p>
        </w:tc>
        <w:tc>
          <w:tcPr>
            <w:tcW w:w="3793" w:type="dxa"/>
          </w:tcPr>
          <w:p w:rsidR="00030510" w:rsidRPr="00DD2A86" w:rsidRDefault="00030510" w:rsidP="00292F63">
            <w:pPr>
              <w:rPr>
                <w:rFonts w:ascii="Times New Roman" w:eastAsia="Times New Roman" w:hAnsi="Times New Roman"/>
              </w:rPr>
            </w:pPr>
            <w:r w:rsidRPr="00DD2A86">
              <w:rPr>
                <w:rFonts w:ascii="Times New Roman" w:eastAsia="Times New Roman" w:hAnsi="Times New Roman"/>
              </w:rPr>
              <w:t>Es muss ein federbelastetes Rückschlagventil montiert sein.</w:t>
            </w:r>
          </w:p>
          <w:p w:rsidR="00030510" w:rsidRPr="00DD2A86" w:rsidRDefault="00030510" w:rsidP="00292F63">
            <w:pPr>
              <w:rPr>
                <w:rFonts w:ascii="Times New Roman" w:eastAsia="Times New Roman" w:hAnsi="Times New Roman"/>
              </w:rPr>
            </w:pPr>
          </w:p>
          <w:p w:rsidR="00030510" w:rsidRPr="00DD2A86" w:rsidRDefault="00030510" w:rsidP="00292F63">
            <w:pPr>
              <w:rPr>
                <w:rFonts w:ascii="Times New Roman" w:eastAsia="Times New Roman" w:hAnsi="Times New Roman"/>
              </w:rPr>
            </w:pPr>
            <w:r w:rsidRPr="00DD2A86">
              <w:rPr>
                <w:rFonts w:ascii="Times New Roman" w:eastAsia="Times New Roman" w:hAnsi="Times New Roman"/>
              </w:rPr>
              <w:t>Das Wasser muss der Qualität des Trinkwassers an Bord entsprechen.</w:t>
            </w:r>
          </w:p>
        </w:tc>
        <w:tc>
          <w:tcPr>
            <w:tcW w:w="4286" w:type="dxa"/>
          </w:tcPr>
          <w:p w:rsidR="00030510" w:rsidRPr="00DD2A86" w:rsidRDefault="00030510" w:rsidP="00292F63">
            <w:pPr>
              <w:jc w:val="center"/>
              <w:rPr>
                <w:rFonts w:ascii="Times New Roman" w:eastAsia="Times New Roman" w:hAnsi="Times New Roman"/>
              </w:rPr>
            </w:pPr>
            <w:r w:rsidRPr="00DD2A86">
              <w:rPr>
                <w:rFonts w:ascii="Times New Roman" w:eastAsia="Times New Roman" w:hAnsi="Times New Roman"/>
              </w:rPr>
              <w:t>N.E.U.</w:t>
            </w:r>
          </w:p>
          <w:p w:rsidR="00030510" w:rsidRPr="00DD2A86" w:rsidRDefault="00030510" w:rsidP="00292F63">
            <w:pPr>
              <w:jc w:val="center"/>
              <w:rPr>
                <w:rFonts w:ascii="Times New Roman" w:eastAsia="Times New Roman" w:hAnsi="Times New Roman"/>
              </w:rPr>
            </w:pPr>
            <w:r w:rsidRPr="00DD2A86">
              <w:rPr>
                <w:rFonts w:ascii="Times New Roman" w:eastAsia="Times New Roman" w:hAnsi="Times New Roman"/>
              </w:rPr>
              <w:t>Erneuerung des Zulassungszeugnisses nach dem 31. Dezember 2018</w:t>
            </w:r>
          </w:p>
        </w:tc>
      </w:tr>
    </w:tbl>
    <w:p w:rsidR="004F7853" w:rsidRPr="00DD2A86" w:rsidRDefault="006816E3" w:rsidP="00B61A90">
      <w:pPr>
        <w:tabs>
          <w:tab w:val="left" w:pos="2268"/>
        </w:tabs>
        <w:spacing w:after="120"/>
        <w:ind w:left="1134" w:right="1134"/>
        <w:jc w:val="both"/>
        <w:rPr>
          <w:lang w:val="de-DE"/>
        </w:rPr>
      </w:pPr>
      <w:r w:rsidRPr="00DD2A86">
        <w:rPr>
          <w:rFonts w:eastAsia="Calibri"/>
          <w:lang w:val="de-DE"/>
        </w:rPr>
        <w:t>“</w:t>
      </w:r>
      <w:r w:rsidR="005E0AFF" w:rsidRPr="00DD2A86">
        <w:rPr>
          <w:rFonts w:eastAsia="Calibri"/>
          <w:lang w:val="de-DE"/>
        </w:rPr>
        <w:t>.</w:t>
      </w:r>
    </w:p>
    <w:p w:rsidR="00015396" w:rsidRPr="00DD2A86" w:rsidRDefault="00015396" w:rsidP="00361186">
      <w:pPr>
        <w:suppressAutoHyphens w:val="0"/>
        <w:spacing w:line="240" w:lineRule="auto"/>
        <w:rPr>
          <w:i/>
          <w:lang w:val="de-DE"/>
        </w:rPr>
      </w:pPr>
    </w:p>
    <w:p w:rsidR="0038186F" w:rsidRPr="00DD2A86" w:rsidRDefault="0038186F" w:rsidP="0050494E">
      <w:pPr>
        <w:widowControl w:val="0"/>
        <w:tabs>
          <w:tab w:val="left" w:pos="851"/>
          <w:tab w:val="left" w:pos="2268"/>
        </w:tabs>
        <w:suppressAutoHyphens w:val="0"/>
        <w:overflowPunct w:val="0"/>
        <w:autoSpaceDE w:val="0"/>
        <w:autoSpaceDN w:val="0"/>
        <w:adjustRightInd w:val="0"/>
        <w:spacing w:before="240"/>
        <w:ind w:left="1134" w:right="1134"/>
        <w:jc w:val="both"/>
        <w:textAlignment w:val="baseline"/>
        <w:rPr>
          <w:rFonts w:cs="Arial"/>
          <w:lang w:val="de-DE" w:eastAsia="fr-FR"/>
        </w:rPr>
      </w:pPr>
      <w:r w:rsidRPr="00DD2A86">
        <w:rPr>
          <w:rFonts w:cs="Arial"/>
          <w:lang w:val="de-DE" w:eastAsia="fr-FR"/>
        </w:rPr>
        <w:t>1.6.7.4.1</w:t>
      </w:r>
      <w:r w:rsidRPr="00DD2A86">
        <w:rPr>
          <w:rFonts w:cs="Arial"/>
          <w:lang w:val="de-DE" w:eastAsia="fr-FR"/>
        </w:rPr>
        <w:tab/>
        <w:t>Den ersten Satz streichen.</w:t>
      </w:r>
    </w:p>
    <w:p w:rsidR="0038186F" w:rsidRPr="00DD2A86" w:rsidRDefault="0038186F" w:rsidP="0050494E">
      <w:pPr>
        <w:widowControl w:val="0"/>
        <w:tabs>
          <w:tab w:val="left" w:pos="851"/>
          <w:tab w:val="left" w:pos="2268"/>
        </w:tabs>
        <w:suppressAutoHyphens w:val="0"/>
        <w:overflowPunct w:val="0"/>
        <w:autoSpaceDE w:val="0"/>
        <w:autoSpaceDN w:val="0"/>
        <w:adjustRightInd w:val="0"/>
        <w:spacing w:before="240"/>
        <w:ind w:left="1134" w:right="1134"/>
        <w:jc w:val="both"/>
        <w:textAlignment w:val="baseline"/>
        <w:rPr>
          <w:rFonts w:cs="Arial"/>
          <w:lang w:val="de-DE" w:eastAsia="fr-FR"/>
        </w:rPr>
      </w:pPr>
      <w:r w:rsidRPr="00DD2A86">
        <w:rPr>
          <w:rFonts w:cs="Arial"/>
          <w:lang w:val="de-DE" w:eastAsia="fr-FR"/>
        </w:rPr>
        <w:t>1.6.8.</w:t>
      </w:r>
      <w:r w:rsidRPr="00DD2A86">
        <w:rPr>
          <w:rFonts w:cs="Arial"/>
          <w:lang w:val="de-DE" w:eastAsia="fr-FR"/>
        </w:rPr>
        <w:tab/>
        <w:t>Der bisherige Text wird zu Unterabschnitt 1.6.8.1. Folgenden neuen Unterabschnitt 1.6.8.2 einfügen:</w:t>
      </w:r>
    </w:p>
    <w:p w:rsidR="0038186F" w:rsidRPr="00DD2A86" w:rsidRDefault="0038186F" w:rsidP="0050494E">
      <w:pPr>
        <w:widowControl w:val="0"/>
        <w:tabs>
          <w:tab w:val="left" w:pos="2268"/>
        </w:tabs>
        <w:suppressAutoHyphens w:val="0"/>
        <w:overflowPunct w:val="0"/>
        <w:autoSpaceDE w:val="0"/>
        <w:autoSpaceDN w:val="0"/>
        <w:adjustRightInd w:val="0"/>
        <w:spacing w:before="120"/>
        <w:ind w:left="1134" w:right="1134"/>
        <w:jc w:val="both"/>
        <w:textAlignment w:val="baseline"/>
        <w:rPr>
          <w:rFonts w:cs="Arial"/>
          <w:lang w:val="de-DE" w:eastAsia="fr-FR"/>
        </w:rPr>
      </w:pPr>
      <w:r w:rsidRPr="00DD2A86">
        <w:rPr>
          <w:rFonts w:eastAsia="MS Mincho"/>
          <w:lang w:val="de-DE" w:eastAsia="fr-FR"/>
        </w:rPr>
        <w:t>„1.6.8.2</w:t>
      </w:r>
      <w:r w:rsidRPr="00DD2A86">
        <w:rPr>
          <w:rFonts w:eastAsia="MS Mincho"/>
          <w:lang w:val="de-DE" w:eastAsia="fr-FR"/>
        </w:rPr>
        <w:tab/>
        <w:t>Anstelle der den Vorschriften des Absatzes 8.2.2.8.2 und des Abschnittes 8.6.2 entsprechenden Bescheinigungen über die besonderen Kenntnisse des ADN dürfen die Vertragsparteien bis zum 31. Dezember 2021 weiterhin Bescheinigungen gemäß dem bis zum 31. Dezember 2018 geltenden Muster ausstellen. Solche Bescheinigungen dürfen bis zum Ablauf ihrer fünfjährigen Geltungsdauer weiterverwendet werden.“.</w:t>
      </w:r>
    </w:p>
    <w:p w:rsidR="001B6338" w:rsidRPr="00DD2A86" w:rsidRDefault="001B6338" w:rsidP="001B6338">
      <w:pPr>
        <w:keepNext/>
        <w:keepLines/>
        <w:tabs>
          <w:tab w:val="right" w:pos="851"/>
        </w:tabs>
        <w:spacing w:line="270" w:lineRule="exact"/>
        <w:ind w:left="1134" w:right="1134" w:hanging="1134"/>
        <w:rPr>
          <w:b/>
          <w:sz w:val="24"/>
          <w:lang w:val="de-DE"/>
        </w:rPr>
      </w:pPr>
    </w:p>
    <w:p w:rsidR="001B6338" w:rsidRPr="00DD2A86" w:rsidRDefault="001B6338" w:rsidP="001B6338">
      <w:pPr>
        <w:keepNext/>
        <w:keepLines/>
        <w:tabs>
          <w:tab w:val="right" w:pos="851"/>
        </w:tabs>
        <w:spacing w:before="360" w:after="240" w:line="270" w:lineRule="exact"/>
        <w:ind w:left="1134" w:right="1134" w:hanging="1134"/>
        <w:rPr>
          <w:b/>
          <w:sz w:val="24"/>
          <w:lang w:val="de-DE"/>
        </w:rPr>
      </w:pPr>
      <w:r w:rsidRPr="00DD2A86">
        <w:rPr>
          <w:b/>
          <w:sz w:val="24"/>
          <w:lang w:val="de-DE"/>
        </w:rPr>
        <w:tab/>
      </w:r>
      <w:r w:rsidRPr="00DD2A86">
        <w:rPr>
          <w:b/>
          <w:sz w:val="24"/>
          <w:lang w:val="de-DE"/>
        </w:rPr>
        <w:tab/>
        <w:t>Kapitel 1.7</w:t>
      </w:r>
    </w:p>
    <w:p w:rsidR="001B6338" w:rsidRPr="00DD2A86" w:rsidRDefault="001B6338" w:rsidP="001B6338">
      <w:pPr>
        <w:spacing w:after="120"/>
        <w:ind w:left="1134" w:right="1134"/>
        <w:jc w:val="both"/>
        <w:rPr>
          <w:lang w:val="de-DE"/>
        </w:rPr>
      </w:pPr>
      <w:r w:rsidRPr="00DD2A86">
        <w:rPr>
          <w:lang w:val="de-DE"/>
        </w:rPr>
        <w:t>1.7.1.1</w:t>
      </w:r>
      <w:r w:rsidRPr="00DD2A86">
        <w:rPr>
          <w:lang w:val="de-DE"/>
        </w:rPr>
        <w:tab/>
      </w:r>
      <w:r w:rsidRPr="00DD2A86">
        <w:rPr>
          <w:lang w:val="de-DE"/>
        </w:rPr>
        <w:tab/>
        <w:t>„Überwachung der Strahlung, Kritikalität und thermischen Gefährdung von Personen“ ändern in: „Überwachung der Strahlungsgefahr, der Kritikalitätsgefahr und der thermischen Gefahr für Personen“.</w:t>
      </w:r>
    </w:p>
    <w:p w:rsidR="001B6338" w:rsidRPr="00DD2A86" w:rsidRDefault="001B6338" w:rsidP="001B6338">
      <w:pPr>
        <w:spacing w:after="120"/>
        <w:ind w:left="1134" w:right="1134"/>
        <w:jc w:val="both"/>
        <w:rPr>
          <w:iCs/>
          <w:lang w:val="de-DE"/>
        </w:rPr>
      </w:pPr>
      <w:r w:rsidRPr="00DD2A86">
        <w:rPr>
          <w:lang w:val="de-DE"/>
        </w:rPr>
        <w:t>1.7.1.2</w:t>
      </w:r>
      <w:r w:rsidRPr="00DD2A86">
        <w:rPr>
          <w:lang w:val="de-DE"/>
        </w:rPr>
        <w:tab/>
      </w:r>
      <w:r w:rsidRPr="00DD2A86">
        <w:rPr>
          <w:lang w:val="de-DE"/>
        </w:rPr>
        <w:tab/>
        <w:t>[Die Änderung in der französischen Fassung hat keine Auswirkungen auf den deutschen Text.]</w:t>
      </w:r>
    </w:p>
    <w:p w:rsidR="001B6338" w:rsidRPr="00DD2A86" w:rsidRDefault="001B6338" w:rsidP="001B6338">
      <w:pPr>
        <w:tabs>
          <w:tab w:val="left" w:pos="2268"/>
        </w:tabs>
        <w:spacing w:after="120"/>
        <w:ind w:left="1134" w:right="1134"/>
        <w:jc w:val="both"/>
        <w:rPr>
          <w:iCs/>
          <w:lang w:val="de-DE"/>
        </w:rPr>
      </w:pPr>
      <w:r w:rsidRPr="00DD2A86">
        <w:rPr>
          <w:lang w:val="de-DE"/>
        </w:rPr>
        <w:t>1.7.5</w:t>
      </w:r>
      <w:r w:rsidRPr="00DD2A86">
        <w:rPr>
          <w:lang w:val="de-DE"/>
        </w:rPr>
        <w:tab/>
        <w:t>[Die Änderung in der englischen und französischen Fassung hat keine Auswirkungen auf den deutschen Text.]</w:t>
      </w:r>
    </w:p>
    <w:p w:rsidR="00370717" w:rsidRPr="00DD2A86" w:rsidRDefault="00370717" w:rsidP="001B6338">
      <w:pPr>
        <w:ind w:left="1134" w:right="1134"/>
        <w:jc w:val="both"/>
        <w:rPr>
          <w:i/>
          <w:lang w:val="de-DE"/>
        </w:rPr>
      </w:pPr>
    </w:p>
    <w:p w:rsidR="008924BC" w:rsidRPr="00DD2A86" w:rsidRDefault="008924BC" w:rsidP="008924BC">
      <w:pPr>
        <w:pStyle w:val="H1G"/>
        <w:rPr>
          <w:lang w:val="de-DE"/>
        </w:rPr>
      </w:pPr>
      <w:r w:rsidRPr="00DD2A86">
        <w:rPr>
          <w:lang w:val="de-DE"/>
        </w:rPr>
        <w:tab/>
      </w:r>
      <w:r w:rsidRPr="00DD2A86">
        <w:rPr>
          <w:lang w:val="de-DE"/>
        </w:rPr>
        <w:tab/>
        <w:t>Kapitel 1.8</w:t>
      </w:r>
    </w:p>
    <w:p w:rsidR="006E09A3" w:rsidRPr="00DD2A86" w:rsidRDefault="006E09A3" w:rsidP="00EF5B2B">
      <w:pPr>
        <w:tabs>
          <w:tab w:val="left" w:pos="2268"/>
        </w:tabs>
        <w:spacing w:after="120"/>
        <w:ind w:left="2268" w:right="1134" w:hanging="1134"/>
        <w:jc w:val="both"/>
        <w:rPr>
          <w:lang w:val="de-DE"/>
        </w:rPr>
      </w:pPr>
      <w:r w:rsidRPr="00DD2A86">
        <w:rPr>
          <w:lang w:val="de-DE"/>
        </w:rPr>
        <w:t>1.8.3.1</w:t>
      </w:r>
      <w:r w:rsidRPr="00DD2A86">
        <w:rPr>
          <w:lang w:val="de-DE"/>
        </w:rPr>
        <w:tab/>
        <w:t>Vor „die Beförderung gefährlicher Güter auf Binnenwasserstraßen“ einfügen: „den Versand,“.</w:t>
      </w:r>
    </w:p>
    <w:p w:rsidR="008924BC" w:rsidRPr="00DD2A86" w:rsidRDefault="008924BC" w:rsidP="00EF5B2B">
      <w:pPr>
        <w:tabs>
          <w:tab w:val="left" w:pos="2268"/>
          <w:tab w:val="left" w:pos="6521"/>
        </w:tabs>
        <w:spacing w:before="120" w:after="120"/>
        <w:ind w:left="2268" w:right="1134"/>
        <w:jc w:val="both"/>
        <w:rPr>
          <w:rFonts w:eastAsiaTheme="minorHAnsi"/>
          <w:lang w:val="de-DE"/>
        </w:rPr>
      </w:pPr>
      <w:r w:rsidRPr="00DD2A86">
        <w:rPr>
          <w:rFonts w:eastAsiaTheme="minorHAnsi"/>
          <w:lang w:val="de-DE" w:eastAsia="zh-CN"/>
        </w:rPr>
        <w:t>Am Ende folgende neue Bem. hinzufügen:</w:t>
      </w:r>
      <w:r w:rsidR="00EF5B2B" w:rsidRPr="00DD2A86">
        <w:rPr>
          <w:rFonts w:eastAsiaTheme="minorHAnsi"/>
          <w:lang w:val="de-DE" w:eastAsia="zh-CN"/>
        </w:rPr>
        <w:t xml:space="preserve"> </w:t>
      </w:r>
      <w:r w:rsidRPr="00DD2A86">
        <w:rPr>
          <w:rFonts w:eastAsiaTheme="minorHAnsi"/>
          <w:lang w:val="de-DE" w:eastAsia="zh-CN"/>
        </w:rPr>
        <w:t>„</w:t>
      </w:r>
      <w:r w:rsidRPr="00DD2A86">
        <w:rPr>
          <w:rFonts w:eastAsiaTheme="minorHAnsi"/>
          <w:b/>
          <w:lang w:val="de-DE"/>
        </w:rPr>
        <w:t>Bem.</w:t>
      </w:r>
      <w:r w:rsidR="00EF5B2B" w:rsidRPr="00DD2A86">
        <w:rPr>
          <w:rFonts w:eastAsiaTheme="minorHAnsi"/>
          <w:b/>
          <w:lang w:val="de-DE"/>
        </w:rPr>
        <w:t xml:space="preserve"> </w:t>
      </w:r>
      <w:r w:rsidRPr="00DD2A86">
        <w:rPr>
          <w:rFonts w:eastAsiaTheme="minorHAnsi"/>
          <w:lang w:val="de-DE"/>
        </w:rPr>
        <w:t>Diese Verpflichtung gilt nicht für Annahmestellenbetreiber.“.</w:t>
      </w:r>
    </w:p>
    <w:p w:rsidR="006E09A3" w:rsidRPr="00DD2A86" w:rsidRDefault="00973598" w:rsidP="006E09A3">
      <w:pPr>
        <w:tabs>
          <w:tab w:val="left" w:pos="2268"/>
        </w:tabs>
        <w:spacing w:after="120"/>
        <w:ind w:left="1134" w:right="1134"/>
        <w:jc w:val="both"/>
        <w:rPr>
          <w:lang w:val="de-DE"/>
        </w:rPr>
      </w:pPr>
      <w:r w:rsidRPr="00DD2A86">
        <w:rPr>
          <w:lang w:val="de-DE"/>
        </w:rPr>
        <w:t>1.8.3.2</w:t>
      </w:r>
      <w:r w:rsidRPr="00DD2A86">
        <w:rPr>
          <w:lang w:val="de-DE"/>
        </w:rPr>
        <w:tab/>
        <w:t>In Absatz a) ii)</w:t>
      </w:r>
    </w:p>
    <w:p w:rsidR="006E09A3" w:rsidRPr="00DD2A86" w:rsidRDefault="006E09A3" w:rsidP="006E09A3">
      <w:pPr>
        <w:tabs>
          <w:tab w:val="left" w:pos="2268"/>
        </w:tabs>
        <w:spacing w:after="120"/>
        <w:ind w:left="1134" w:right="1134"/>
        <w:jc w:val="both"/>
        <w:rPr>
          <w:lang w:val="de-DE"/>
        </w:rPr>
      </w:pPr>
      <w:r w:rsidRPr="00DD2A86">
        <w:rPr>
          <w:lang w:val="de-DE"/>
        </w:rPr>
        <w:t>„die unter den Grenzwerten des Unterabschnitts 1.1.3.6 des ADR oder des RID liegen;“ ändern in: „welche die in Unterabschnitt 1.1.3.6 des ADR oder des RID festgelegten Grenzwerte nicht überschreiten;“.</w:t>
      </w:r>
    </w:p>
    <w:p w:rsidR="006E09A3" w:rsidRPr="00DD2A86" w:rsidRDefault="006E09A3" w:rsidP="006E09A3">
      <w:pPr>
        <w:tabs>
          <w:tab w:val="left" w:pos="2268"/>
        </w:tabs>
        <w:spacing w:after="120"/>
        <w:ind w:left="1134" w:right="1134"/>
        <w:jc w:val="both"/>
        <w:rPr>
          <w:lang w:val="de-DE"/>
        </w:rPr>
      </w:pPr>
      <w:r w:rsidRPr="00DD2A86">
        <w:rPr>
          <w:lang w:val="de-DE"/>
        </w:rPr>
        <w:t>1.8.3.2</w:t>
      </w:r>
      <w:r w:rsidRPr="00DD2A86">
        <w:rPr>
          <w:lang w:val="de-DE"/>
        </w:rPr>
        <w:tab/>
        <w:t xml:space="preserve">In Absatz a) iii) </w:t>
      </w:r>
    </w:p>
    <w:p w:rsidR="002B5060" w:rsidRPr="00DD2A86" w:rsidRDefault="006E09A3" w:rsidP="00283E6E">
      <w:pPr>
        <w:tabs>
          <w:tab w:val="left" w:pos="2268"/>
        </w:tabs>
        <w:spacing w:after="120"/>
        <w:ind w:left="1134" w:right="1134"/>
        <w:jc w:val="both"/>
        <w:rPr>
          <w:lang w:val="de-DE"/>
        </w:rPr>
      </w:pPr>
      <w:r w:rsidRPr="00DD2A86">
        <w:rPr>
          <w:lang w:val="de-DE"/>
        </w:rPr>
        <w:t>„die unter den Grenzwerten des Unterabschnitts 1.1.3.6 dieser Verordnung liegen,“ ändern in: „welche die in Unterabschnitt 1.1.3.6 dieser Verordnung festgelegten Grenzwerte nicht überschreiten,“.</w:t>
      </w:r>
      <w:r w:rsidR="002B5060" w:rsidRPr="00DD2A86">
        <w:rPr>
          <w:lang w:val="de-DE"/>
        </w:rPr>
        <w:br w:type="page"/>
      </w:r>
    </w:p>
    <w:p w:rsidR="006E09A3" w:rsidRPr="00DD2A86" w:rsidRDefault="006E09A3" w:rsidP="006E09A3">
      <w:pPr>
        <w:tabs>
          <w:tab w:val="left" w:pos="2268"/>
        </w:tabs>
        <w:spacing w:after="120"/>
        <w:ind w:left="1134" w:right="1134"/>
        <w:jc w:val="both"/>
        <w:rPr>
          <w:lang w:val="de-DE"/>
        </w:rPr>
      </w:pPr>
      <w:r w:rsidRPr="00DD2A86">
        <w:rPr>
          <w:lang w:val="de-DE"/>
        </w:rPr>
        <w:t>1.8.3.3</w:t>
      </w:r>
      <w:r w:rsidRPr="00DD2A86">
        <w:rPr>
          <w:lang w:val="de-DE"/>
        </w:rPr>
        <w:tab/>
        <w:t xml:space="preserve">Im neunten Spiegelstrich des dritten Unterabsatzes „das mit der Beförderung gefährlicher Güter oder dem Verpacken, Befüllen, Verladen oder dem Entladen der gefährlichen Güter“ ändern in: </w:t>
      </w:r>
    </w:p>
    <w:p w:rsidR="006E09A3" w:rsidRPr="00DD2A86" w:rsidRDefault="006E09A3" w:rsidP="006E09A3">
      <w:pPr>
        <w:tabs>
          <w:tab w:val="left" w:pos="2268"/>
        </w:tabs>
        <w:spacing w:after="120"/>
        <w:ind w:left="1134" w:right="1134"/>
        <w:jc w:val="both"/>
        <w:rPr>
          <w:lang w:val="de-DE"/>
        </w:rPr>
      </w:pPr>
      <w:r w:rsidRPr="00DD2A86">
        <w:rPr>
          <w:lang w:val="de-DE"/>
        </w:rPr>
        <w:t>„das mit dem Versenden, der Beförderung, dem Verpacken, Befüllen, Verladen oder Entladen der gefährlichen Güter“.</w:t>
      </w:r>
    </w:p>
    <w:p w:rsidR="00375305" w:rsidRPr="00DD2A86" w:rsidRDefault="00375305" w:rsidP="00375305">
      <w:pPr>
        <w:tabs>
          <w:tab w:val="left" w:pos="2268"/>
        </w:tabs>
        <w:spacing w:after="120"/>
        <w:ind w:left="1134" w:right="1134"/>
        <w:jc w:val="both"/>
        <w:rPr>
          <w:lang w:val="de-DE"/>
        </w:rPr>
      </w:pPr>
      <w:r w:rsidRPr="00DD2A86">
        <w:rPr>
          <w:lang w:val="de-DE"/>
        </w:rPr>
        <w:t>1.8.3.3</w:t>
      </w:r>
      <w:r w:rsidRPr="00DD2A86">
        <w:rPr>
          <w:lang w:val="de-DE"/>
        </w:rPr>
        <w:tab/>
        <w:t>Im dreizehnten Spiegelstrich „Gefahren“ ändern in: „Risiken“.</w:t>
      </w:r>
    </w:p>
    <w:p w:rsidR="00705CA9" w:rsidRPr="00DD2A86" w:rsidRDefault="00705CA9" w:rsidP="00705CA9">
      <w:pPr>
        <w:tabs>
          <w:tab w:val="left" w:pos="2268"/>
        </w:tabs>
        <w:spacing w:after="120"/>
        <w:ind w:left="1134" w:right="1134"/>
        <w:jc w:val="both"/>
        <w:rPr>
          <w:iCs/>
          <w:lang w:val="de-DE"/>
        </w:rPr>
      </w:pPr>
      <w:r w:rsidRPr="00DD2A86">
        <w:rPr>
          <w:lang w:val="de-DE"/>
        </w:rPr>
        <w:t>[Betrifft nur die deutsche Sprachfassung]</w:t>
      </w:r>
    </w:p>
    <w:p w:rsidR="006E09A3" w:rsidRPr="00DD2A86" w:rsidRDefault="006E09A3" w:rsidP="006E09A3">
      <w:pPr>
        <w:tabs>
          <w:tab w:val="left" w:pos="2268"/>
        </w:tabs>
        <w:spacing w:after="120"/>
        <w:ind w:left="1134" w:right="1134"/>
        <w:jc w:val="both"/>
        <w:rPr>
          <w:lang w:val="de-DE"/>
        </w:rPr>
      </w:pPr>
      <w:r w:rsidRPr="00DD2A86">
        <w:rPr>
          <w:lang w:val="de-DE"/>
        </w:rPr>
        <w:t>1.8.3.18</w:t>
      </w:r>
      <w:r w:rsidRPr="00DD2A86">
        <w:rPr>
          <w:lang w:val="de-DE"/>
        </w:rPr>
        <w:tab/>
        <w:t>In der achten Eintragung des Schulungsnachweises („Gültig bis …“) vor „Verpacken“ einfügen: „Versenden,“.</w:t>
      </w:r>
    </w:p>
    <w:p w:rsidR="006E09A3" w:rsidRPr="00DD2A86" w:rsidRDefault="006E09A3" w:rsidP="006E09A3">
      <w:pPr>
        <w:tabs>
          <w:tab w:val="left" w:pos="2268"/>
        </w:tabs>
        <w:spacing w:after="120"/>
        <w:ind w:left="1134" w:right="1134"/>
        <w:jc w:val="both"/>
        <w:rPr>
          <w:lang w:val="de-DE"/>
        </w:rPr>
      </w:pPr>
      <w:r w:rsidRPr="00DD2A86">
        <w:rPr>
          <w:lang w:val="de-DE"/>
        </w:rPr>
        <w:t>1.8.3</w:t>
      </w:r>
      <w:r w:rsidRPr="00DD2A86">
        <w:rPr>
          <w:lang w:val="de-DE"/>
        </w:rPr>
        <w:tab/>
        <w:t>Einen neuen Unterabschnitt 1.8.3.19 mit folgendem Wortlaut einfügen:</w:t>
      </w:r>
    </w:p>
    <w:p w:rsidR="006E09A3" w:rsidRPr="00DD2A86" w:rsidRDefault="006E09A3" w:rsidP="006E09A3">
      <w:pPr>
        <w:tabs>
          <w:tab w:val="left" w:pos="2268"/>
        </w:tabs>
        <w:spacing w:after="120"/>
        <w:ind w:left="1134" w:right="1134"/>
        <w:jc w:val="both"/>
        <w:rPr>
          <w:lang w:val="de-DE"/>
        </w:rPr>
      </w:pPr>
      <w:r w:rsidRPr="00DD2A86">
        <w:rPr>
          <w:lang w:val="de-DE"/>
        </w:rPr>
        <w:t>„1.8.3.19</w:t>
      </w:r>
      <w:r w:rsidRPr="00DD2A86">
        <w:rPr>
          <w:lang w:val="de-DE"/>
        </w:rPr>
        <w:tab/>
        <w:t>Ausdehnung des Schulungsnachweises</w:t>
      </w:r>
    </w:p>
    <w:p w:rsidR="006E09A3" w:rsidRPr="00DD2A86" w:rsidRDefault="006E09A3" w:rsidP="006E09A3">
      <w:pPr>
        <w:tabs>
          <w:tab w:val="left" w:pos="2268"/>
        </w:tabs>
        <w:spacing w:after="120"/>
        <w:ind w:left="1134" w:right="1134"/>
        <w:jc w:val="both"/>
        <w:rPr>
          <w:lang w:val="de-DE"/>
        </w:rPr>
      </w:pPr>
      <w:r w:rsidRPr="00DD2A86">
        <w:rPr>
          <w:lang w:val="de-DE"/>
        </w:rPr>
        <w:t>Wenn ein Gefahrgutbeauftragter den Geltungsbereich seines Schulungsnachweises während dessen Geltungsdauer unter Einhaltung der Vorschriften des Absatzes 1.8.3.16.2 ausdehnt, bleibt die Geltungsdauer des neuen Schulungsnachweises gegenüber derjenigen des vorherigen Schulungsnachweises unverändert.“.</w:t>
      </w:r>
    </w:p>
    <w:p w:rsidR="008924BC" w:rsidRPr="00DD2A86" w:rsidRDefault="008924BC" w:rsidP="008924BC">
      <w:pPr>
        <w:tabs>
          <w:tab w:val="left" w:pos="2268"/>
        </w:tabs>
        <w:spacing w:before="120" w:after="120"/>
        <w:ind w:left="2268" w:right="1134" w:hanging="1134"/>
        <w:jc w:val="both"/>
        <w:rPr>
          <w:rFonts w:eastAsiaTheme="minorHAnsi"/>
          <w:lang w:val="de-DE"/>
        </w:rPr>
      </w:pPr>
      <w:r w:rsidRPr="00DD2A86">
        <w:rPr>
          <w:rFonts w:eastAsiaTheme="minorHAnsi"/>
          <w:lang w:val="de-DE"/>
        </w:rPr>
        <w:t>1.8.5.1</w:t>
      </w:r>
      <w:r w:rsidRPr="00DD2A86">
        <w:rPr>
          <w:rFonts w:eastAsiaTheme="minorHAnsi"/>
          <w:lang w:val="de-DE"/>
        </w:rPr>
        <w:tab/>
        <w:t xml:space="preserve">Nach „beim Entladen gefährlicher Güter“ einfügen: „oder während des Entgasens von Tankschiffen“. </w:t>
      </w:r>
    </w:p>
    <w:p w:rsidR="008924BC" w:rsidRPr="00DD2A86" w:rsidRDefault="008924BC" w:rsidP="00EF5B2B">
      <w:pPr>
        <w:tabs>
          <w:tab w:val="left" w:pos="2268"/>
        </w:tabs>
        <w:spacing w:before="120" w:after="120"/>
        <w:ind w:left="2268" w:right="1134"/>
        <w:jc w:val="both"/>
        <w:rPr>
          <w:rFonts w:eastAsiaTheme="minorHAnsi"/>
          <w:lang w:val="de-DE"/>
        </w:rPr>
      </w:pPr>
      <w:r w:rsidRPr="00DD2A86">
        <w:rPr>
          <w:rFonts w:eastAsiaTheme="minorHAnsi"/>
          <w:lang w:val="de-DE"/>
        </w:rPr>
        <w:t>„der Verlader, Befüller, Beförderer oder Empfänger“ ändern in: „der Verlader, Befüller, Beförderer, Empfänger oder Betreiber der Annahmestelle“.</w:t>
      </w:r>
    </w:p>
    <w:p w:rsidR="00375305" w:rsidRPr="00DD2A86" w:rsidRDefault="00375305" w:rsidP="00375305">
      <w:pPr>
        <w:tabs>
          <w:tab w:val="left" w:pos="2268"/>
        </w:tabs>
        <w:spacing w:after="120"/>
        <w:ind w:left="1134" w:right="1134"/>
        <w:jc w:val="both"/>
        <w:rPr>
          <w:iCs/>
          <w:lang w:val="de-DE"/>
        </w:rPr>
      </w:pPr>
      <w:r w:rsidRPr="00DD2A86">
        <w:rPr>
          <w:iCs/>
          <w:lang w:val="de-DE"/>
        </w:rPr>
        <w:t>1.8.5.3</w:t>
      </w:r>
      <w:r w:rsidRPr="00DD2A86">
        <w:rPr>
          <w:iCs/>
          <w:lang w:val="de-DE"/>
        </w:rPr>
        <w:tab/>
      </w:r>
      <w:r w:rsidRPr="00DD2A86">
        <w:rPr>
          <w:iCs/>
          <w:lang w:val="de-DE"/>
        </w:rPr>
        <w:tab/>
        <w:t>„</w:t>
      </w:r>
      <w:r w:rsidRPr="00DD2A86">
        <w:rPr>
          <w:lang w:val="de-DE"/>
        </w:rPr>
        <w:t>die unmittelbare Gefahr des Austretens“ ändern in: „die unmittelbare Gefahr eines Produktaustritts“.</w:t>
      </w:r>
    </w:p>
    <w:p w:rsidR="00705CA9" w:rsidRPr="00DD2A86" w:rsidRDefault="00705CA9" w:rsidP="00705CA9">
      <w:pPr>
        <w:tabs>
          <w:tab w:val="left" w:pos="2268"/>
        </w:tabs>
        <w:spacing w:after="120"/>
        <w:ind w:left="1134" w:right="1134"/>
        <w:jc w:val="both"/>
        <w:rPr>
          <w:iCs/>
          <w:lang w:val="de-DE"/>
        </w:rPr>
      </w:pPr>
      <w:r w:rsidRPr="00DD2A86">
        <w:rPr>
          <w:lang w:val="de-DE"/>
        </w:rPr>
        <w:t>[Betrifft nur die deutsche Sprachfassung]</w:t>
      </w:r>
    </w:p>
    <w:p w:rsidR="00117856" w:rsidRPr="00DD2A86" w:rsidRDefault="00117856" w:rsidP="00117856">
      <w:pPr>
        <w:keepNext/>
        <w:keepLines/>
        <w:tabs>
          <w:tab w:val="right" w:pos="851"/>
        </w:tabs>
        <w:spacing w:line="270" w:lineRule="exact"/>
        <w:ind w:left="1134" w:right="1134" w:hanging="1134"/>
        <w:rPr>
          <w:b/>
          <w:sz w:val="24"/>
          <w:lang w:val="de-DE"/>
        </w:rPr>
      </w:pPr>
    </w:p>
    <w:p w:rsidR="00FC5DBE" w:rsidRPr="00DD2A86" w:rsidRDefault="00FC5DBE">
      <w:pPr>
        <w:suppressAutoHyphens w:val="0"/>
        <w:spacing w:line="240" w:lineRule="auto"/>
        <w:rPr>
          <w:b/>
          <w:sz w:val="24"/>
          <w:lang w:val="de-DE"/>
        </w:rPr>
      </w:pPr>
    </w:p>
    <w:p w:rsidR="00117856" w:rsidRPr="00DD2A86" w:rsidRDefault="00117856" w:rsidP="00973598">
      <w:pPr>
        <w:keepNext/>
        <w:keepLines/>
        <w:tabs>
          <w:tab w:val="right" w:pos="851"/>
        </w:tabs>
        <w:spacing w:after="240" w:line="270" w:lineRule="exact"/>
        <w:ind w:left="1134" w:right="1134" w:hanging="1134"/>
        <w:rPr>
          <w:b/>
          <w:sz w:val="24"/>
          <w:lang w:val="de-DE"/>
        </w:rPr>
      </w:pPr>
      <w:r w:rsidRPr="00DD2A86">
        <w:rPr>
          <w:b/>
          <w:sz w:val="24"/>
          <w:lang w:val="de-DE"/>
        </w:rPr>
        <w:tab/>
      </w:r>
      <w:r w:rsidRPr="00DD2A86">
        <w:rPr>
          <w:b/>
          <w:sz w:val="24"/>
          <w:lang w:val="de-DE"/>
        </w:rPr>
        <w:tab/>
        <w:t>Kapitel 1.10</w:t>
      </w:r>
    </w:p>
    <w:p w:rsidR="001B6338" w:rsidRPr="00DD2A86" w:rsidRDefault="001B6338" w:rsidP="001B6338">
      <w:pPr>
        <w:spacing w:after="120"/>
        <w:ind w:left="1134" w:right="1134"/>
        <w:jc w:val="both"/>
        <w:rPr>
          <w:lang w:val="de-DE"/>
        </w:rPr>
      </w:pPr>
      <w:r w:rsidRPr="00DD2A86">
        <w:rPr>
          <w:lang w:val="de-DE"/>
        </w:rPr>
        <w:t>1.10.3</w:t>
      </w:r>
      <w:r w:rsidRPr="00DD2A86">
        <w:rPr>
          <w:lang w:val="de-DE"/>
        </w:rPr>
        <w:tab/>
      </w:r>
      <w:r w:rsidRPr="00DD2A86">
        <w:rPr>
          <w:lang w:val="de-DE"/>
        </w:rPr>
        <w:tab/>
        <w:t>Nach der Überschrift folgende Bem. einfügen:</w:t>
      </w:r>
    </w:p>
    <w:p w:rsidR="001B6338" w:rsidRPr="00DD2A86" w:rsidRDefault="001B6338" w:rsidP="001B6338">
      <w:pPr>
        <w:suppressAutoHyphens w:val="0"/>
        <w:spacing w:line="240" w:lineRule="auto"/>
        <w:ind w:left="2268" w:right="1134" w:hanging="1134"/>
        <w:jc w:val="both"/>
        <w:rPr>
          <w:lang w:val="de-DE"/>
        </w:rPr>
      </w:pPr>
      <w:r w:rsidRPr="00DD2A86">
        <w:rPr>
          <w:rFonts w:ascii="Arial" w:hAnsi="Arial"/>
          <w:iCs/>
          <w:color w:val="000000"/>
          <w:sz w:val="22"/>
          <w:lang w:val="de-DE" w:eastAsia="de-DE"/>
        </w:rPr>
        <w:t>„</w:t>
      </w:r>
      <w:r w:rsidRPr="00DD2A86">
        <w:rPr>
          <w:b/>
          <w:lang w:val="de-DE"/>
        </w:rPr>
        <w:t>Bem.</w:t>
      </w:r>
      <w:r w:rsidRPr="00DD2A86">
        <w:rPr>
          <w:lang w:val="de-DE"/>
        </w:rPr>
        <w:tab/>
        <w:t xml:space="preserve">Zusätzlich zu den Vorschriften </w:t>
      </w:r>
      <w:r w:rsidR="00C87D05" w:rsidRPr="00DD2A86">
        <w:rPr>
          <w:lang w:val="de-DE"/>
        </w:rPr>
        <w:t xml:space="preserve">des ADN </w:t>
      </w:r>
      <w:r w:rsidRPr="00DD2A86">
        <w:rPr>
          <w:lang w:val="de-DE"/>
        </w:rPr>
        <w:t>für die Sicherung dürfen die zuständigen Behörden weitere Vorschriften für die Sicherung aus anderen Gründen als denen der Sicherheit während der Beförderung in Kraft setzen (siehe Artikel 4 Absatz 1 des Übereinkommens). Um die internationale und multimodale Beförderung nicht durch verschiedene Kennzeichen für die Sicherung von Explosivstoffen zu erschweren, wird empfohlen, solche Kennzeichen in Übereinstimmung mit einer international harmonisierten Norm (z. B. Richtlinie der Europäischen Kommission 2008/43/EG) zu gestalten.“.</w:t>
      </w:r>
    </w:p>
    <w:p w:rsidR="00117856" w:rsidRPr="00DD2A86" w:rsidRDefault="007926A5" w:rsidP="00993052">
      <w:pPr>
        <w:spacing w:before="120" w:after="120"/>
        <w:ind w:left="1134" w:right="1134"/>
        <w:jc w:val="both"/>
        <w:rPr>
          <w:lang w:val="de-DE"/>
        </w:rPr>
      </w:pPr>
      <w:r w:rsidRPr="00DD2A86">
        <w:rPr>
          <w:lang w:val="de-DE"/>
        </w:rPr>
        <w:t xml:space="preserve">Tabelle </w:t>
      </w:r>
      <w:r w:rsidR="00117856" w:rsidRPr="00DD2A86">
        <w:rPr>
          <w:lang w:val="de-DE"/>
        </w:rPr>
        <w:t>1.10.3.1.2</w:t>
      </w:r>
      <w:r w:rsidR="00117856" w:rsidRPr="00DD2A86">
        <w:rPr>
          <w:lang w:val="de-DE"/>
        </w:rPr>
        <w:tab/>
      </w:r>
      <w:r w:rsidRPr="00DD2A86">
        <w:rPr>
          <w:lang w:val="de-DE"/>
        </w:rPr>
        <w:t>I</w:t>
      </w:r>
      <w:r w:rsidR="00117856" w:rsidRPr="00DD2A86">
        <w:rPr>
          <w:lang w:val="de-DE"/>
        </w:rPr>
        <w:t>n der Spalte „Stoff oder Gegenstand“ erhält der Text in der ersten Zeile zur Klasse 2 folgenden Wortlaut: „entzündbare, nicht giftige Gase (Klassifizierungscodes, die nur den/die Buchstaben F oder FC enthalten)“.</w:t>
      </w:r>
    </w:p>
    <w:p w:rsidR="001B6338" w:rsidRPr="00DD2A86" w:rsidRDefault="001B6338" w:rsidP="001B6338">
      <w:pPr>
        <w:spacing w:before="120" w:after="120" w:line="240" w:lineRule="auto"/>
        <w:ind w:left="1134" w:right="1134"/>
        <w:jc w:val="both"/>
        <w:rPr>
          <w:lang w:val="de-DE"/>
        </w:rPr>
      </w:pPr>
      <w:r w:rsidRPr="00DD2A86">
        <w:rPr>
          <w:iCs/>
          <w:lang w:val="de-DE"/>
        </w:rPr>
        <w:t>1.10.3.1.5</w:t>
      </w:r>
      <w:r w:rsidRPr="00DD2A86">
        <w:rPr>
          <w:iCs/>
          <w:lang w:val="de-DE"/>
        </w:rPr>
        <w:tab/>
      </w:r>
      <w:r w:rsidRPr="00DD2A86">
        <w:rPr>
          <w:lang w:val="de-DE"/>
        </w:rPr>
        <w:t>[Die Änderung in der englischen und französischen Fassung hat keine Auswirkungen auf den deutschen Text.]</w:t>
      </w:r>
    </w:p>
    <w:p w:rsidR="0038186F" w:rsidRPr="00DD2A86" w:rsidRDefault="0038186F" w:rsidP="0038186F">
      <w:pPr>
        <w:keepNext/>
        <w:keepLines/>
        <w:tabs>
          <w:tab w:val="right" w:pos="851"/>
        </w:tabs>
        <w:spacing w:before="120" w:after="120"/>
        <w:ind w:left="1134" w:right="1134" w:hanging="1134"/>
        <w:rPr>
          <w:b/>
          <w:sz w:val="24"/>
          <w:lang w:val="de-DE"/>
        </w:rPr>
      </w:pPr>
    </w:p>
    <w:p w:rsidR="00117856" w:rsidRPr="00DD2A86" w:rsidRDefault="00117856" w:rsidP="00117856">
      <w:pPr>
        <w:keepNext/>
        <w:keepLines/>
        <w:tabs>
          <w:tab w:val="right" w:pos="851"/>
        </w:tabs>
        <w:spacing w:before="360" w:after="240" w:line="270" w:lineRule="exact"/>
        <w:ind w:left="1134" w:right="1134" w:hanging="1134"/>
        <w:rPr>
          <w:b/>
          <w:sz w:val="24"/>
          <w:lang w:val="de-DE"/>
        </w:rPr>
      </w:pPr>
      <w:r w:rsidRPr="00DD2A86">
        <w:rPr>
          <w:b/>
          <w:sz w:val="24"/>
          <w:lang w:val="de-DE"/>
        </w:rPr>
        <w:tab/>
      </w:r>
      <w:r w:rsidRPr="00DD2A86">
        <w:rPr>
          <w:b/>
          <w:sz w:val="24"/>
          <w:lang w:val="de-DE"/>
        </w:rPr>
        <w:tab/>
        <w:t>Kapitel 2.1</w:t>
      </w:r>
    </w:p>
    <w:p w:rsidR="00B3388D" w:rsidRPr="00DD2A86" w:rsidRDefault="00B3388D" w:rsidP="00B3388D">
      <w:pPr>
        <w:spacing w:before="120" w:after="120" w:line="240" w:lineRule="auto"/>
        <w:ind w:left="1134" w:right="1134"/>
        <w:jc w:val="both"/>
        <w:rPr>
          <w:iCs/>
          <w:lang w:val="de-DE"/>
        </w:rPr>
      </w:pPr>
      <w:r w:rsidRPr="00DD2A86">
        <w:rPr>
          <w:lang w:val="de-DE"/>
        </w:rPr>
        <w:t>2.1.2.1</w:t>
      </w:r>
      <w:r w:rsidRPr="00DD2A86">
        <w:rPr>
          <w:lang w:val="de-DE"/>
        </w:rPr>
        <w:tab/>
      </w:r>
      <w:r w:rsidRPr="00DD2A86">
        <w:rPr>
          <w:lang w:val="de-DE"/>
        </w:rPr>
        <w:tab/>
        <w:t>[Die Änderungen zum letzten Satz in der englischen und französischen Fassung haben keine Auswirkungen auf den deutschen Text.]</w:t>
      </w:r>
    </w:p>
    <w:p w:rsidR="00B3388D" w:rsidRPr="00DD2A86" w:rsidRDefault="00B3388D" w:rsidP="00B3388D">
      <w:pPr>
        <w:spacing w:before="120" w:after="120" w:line="240" w:lineRule="auto"/>
        <w:ind w:left="1134" w:right="1134"/>
        <w:jc w:val="both"/>
        <w:rPr>
          <w:lang w:val="de-DE"/>
        </w:rPr>
      </w:pPr>
      <w:r w:rsidRPr="00DD2A86">
        <w:rPr>
          <w:lang w:val="de-DE"/>
        </w:rPr>
        <w:t>2.1.2.5</w:t>
      </w:r>
      <w:r w:rsidRPr="00DD2A86">
        <w:rPr>
          <w:lang w:val="de-DE"/>
        </w:rPr>
        <w:tab/>
      </w:r>
      <w:r w:rsidRPr="00DD2A86">
        <w:rPr>
          <w:lang w:val="de-DE"/>
        </w:rPr>
        <w:tab/>
        <w:t>[Die Änderungen zum zweiten und dritten Satz in der englischen und französischen Fassung haben keine Auswirkungen auf den deutschen Text.]</w:t>
      </w:r>
    </w:p>
    <w:p w:rsidR="00B3388D" w:rsidRPr="00DD2A86" w:rsidRDefault="00B3388D" w:rsidP="00B3388D">
      <w:pPr>
        <w:spacing w:before="120" w:after="120" w:line="240" w:lineRule="auto"/>
        <w:ind w:left="1134" w:right="1134"/>
        <w:jc w:val="both"/>
        <w:rPr>
          <w:lang w:val="de-DE"/>
        </w:rPr>
      </w:pPr>
      <w:r w:rsidRPr="00DD2A86">
        <w:rPr>
          <w:lang w:val="de-DE"/>
        </w:rPr>
        <w:t>2.1.2.8</w:t>
      </w:r>
      <w:r w:rsidRPr="00DD2A86">
        <w:rPr>
          <w:lang w:val="de-DE"/>
        </w:rPr>
        <w:tab/>
      </w:r>
      <w:r w:rsidRPr="00DD2A86">
        <w:rPr>
          <w:lang w:val="de-DE"/>
        </w:rPr>
        <w:tab/>
        <w:t>[Die Änderung zum ersten Spiegelstrich in der französischen Fassung hat keine Auswirkungen auf den deutschen Text.]</w:t>
      </w:r>
    </w:p>
    <w:p w:rsidR="00B3388D" w:rsidRPr="00DD2A86" w:rsidRDefault="00B3388D" w:rsidP="00B3388D">
      <w:pPr>
        <w:spacing w:before="120" w:after="120" w:line="240" w:lineRule="auto"/>
        <w:ind w:left="1134" w:right="1134"/>
        <w:jc w:val="both"/>
        <w:rPr>
          <w:lang w:val="de-DE"/>
        </w:rPr>
      </w:pPr>
      <w:r w:rsidRPr="00DD2A86">
        <w:rPr>
          <w:lang w:val="de-DE"/>
        </w:rPr>
        <w:t>2.1.2.8</w:t>
      </w:r>
      <w:r w:rsidRPr="00DD2A86">
        <w:rPr>
          <w:lang w:val="de-DE"/>
        </w:rPr>
        <w:tab/>
      </w:r>
      <w:r w:rsidRPr="00DD2A86">
        <w:rPr>
          <w:lang w:val="de-DE"/>
        </w:rPr>
        <w:tab/>
        <w:t>[Die Änderung zum zweiten Spiegelstrich in der englischen und französischen Fassung hat keine Auswirkungen auf den deutschen Text.]</w:t>
      </w:r>
    </w:p>
    <w:p w:rsidR="00B3388D" w:rsidRPr="00DD2A86" w:rsidRDefault="00B3388D" w:rsidP="00B3388D">
      <w:pPr>
        <w:spacing w:before="120" w:after="120" w:line="240" w:lineRule="auto"/>
        <w:ind w:left="1134" w:right="1134"/>
        <w:jc w:val="both"/>
        <w:rPr>
          <w:lang w:val="de-DE"/>
        </w:rPr>
      </w:pPr>
      <w:r w:rsidRPr="00DD2A86">
        <w:rPr>
          <w:lang w:val="de-DE"/>
        </w:rPr>
        <w:t>2.1.3.3</w:t>
      </w:r>
      <w:r w:rsidRPr="00DD2A86">
        <w:rPr>
          <w:lang w:val="de-DE"/>
        </w:rPr>
        <w:tab/>
      </w:r>
      <w:r w:rsidRPr="00DD2A86">
        <w:rPr>
          <w:lang w:val="de-DE"/>
        </w:rPr>
        <w:tab/>
        <w:t>[Die Änderung zum letzten Unterabsatz in der englischen und französischen Fassung hat keine Auswirkungen auf den deutschen Text.]</w:t>
      </w:r>
    </w:p>
    <w:p w:rsidR="00B3388D" w:rsidRPr="00DD2A86" w:rsidRDefault="00B3388D" w:rsidP="00B3388D">
      <w:pPr>
        <w:spacing w:after="120"/>
        <w:ind w:left="2268" w:right="1134" w:hanging="1134"/>
        <w:jc w:val="both"/>
        <w:rPr>
          <w:lang w:val="de-DE"/>
        </w:rPr>
      </w:pPr>
      <w:r w:rsidRPr="00DD2A86">
        <w:rPr>
          <w:lang w:val="de-DE"/>
        </w:rPr>
        <w:t>2.1.3.5.5</w:t>
      </w:r>
      <w:r w:rsidRPr="00DD2A86">
        <w:rPr>
          <w:lang w:val="de-DE"/>
        </w:rPr>
        <w:tab/>
      </w:r>
      <w:r w:rsidRPr="00DD2A86">
        <w:rPr>
          <w:lang w:val="de-DE"/>
        </w:rPr>
        <w:tab/>
        <w:t>In der Fußnote 2, nach „(</w:t>
      </w:r>
      <w:r w:rsidRPr="00DD2A86">
        <w:rPr>
          <w:lang w:val="de-DE" w:eastAsia="en-GB"/>
        </w:rPr>
        <w:t xml:space="preserve">Amtsblatt der Europäischen Gemeinschaften Nr. L 226 </w:t>
      </w:r>
      <w:r w:rsidRPr="00DD2A86">
        <w:rPr>
          <w:lang w:val="de-DE"/>
        </w:rPr>
        <w:t>vom 6. September 2000, Seite 3)“ hinzufügen: „</w:t>
      </w:r>
      <w:r w:rsidR="00016F35" w:rsidRPr="00DD2A86">
        <w:rPr>
          <w:lang w:val="de-DE"/>
        </w:rPr>
        <w:t>in der jeweils geänderten Fassung</w:t>
      </w:r>
      <w:r w:rsidRPr="00DD2A86">
        <w:rPr>
          <w:lang w:val="de-DE"/>
        </w:rPr>
        <w:t>,“.</w:t>
      </w:r>
    </w:p>
    <w:p w:rsidR="00B3388D" w:rsidRPr="00DD2A86" w:rsidRDefault="00B3388D" w:rsidP="00B3388D">
      <w:pPr>
        <w:spacing w:after="120"/>
        <w:ind w:left="2268" w:right="1134"/>
        <w:jc w:val="both"/>
        <w:rPr>
          <w:lang w:val="de-DE"/>
        </w:rPr>
      </w:pPr>
      <w:r w:rsidRPr="00DD2A86">
        <w:rPr>
          <w:lang w:val="de-DE"/>
        </w:rPr>
        <w:t>In der Fußnote 2, nach „</w:t>
      </w:r>
      <w:r w:rsidRPr="00DD2A86">
        <w:rPr>
          <w:lang w:val="de-DE" w:eastAsia="en-GB"/>
        </w:rPr>
        <w:t xml:space="preserve">(Amtsblatt der Europäischen Union Nr. L 312 vom 22. November 2008, Seiten 3-30)“ </w:t>
      </w:r>
      <w:r w:rsidRPr="00DD2A86">
        <w:rPr>
          <w:lang w:val="de-DE"/>
        </w:rPr>
        <w:t>hinzufügen: „</w:t>
      </w:r>
      <w:r w:rsidR="00016F35" w:rsidRPr="00DD2A86">
        <w:rPr>
          <w:lang w:val="de-DE"/>
        </w:rPr>
        <w:t>in der jeweils geänderten Fassung</w:t>
      </w:r>
      <w:r w:rsidRPr="00DD2A86">
        <w:rPr>
          <w:lang w:val="de-DE"/>
        </w:rPr>
        <w:t>.“.</w:t>
      </w:r>
    </w:p>
    <w:p w:rsidR="00B3388D" w:rsidRPr="00DD2A86" w:rsidRDefault="00B3388D" w:rsidP="00B3388D">
      <w:pPr>
        <w:spacing w:before="120" w:after="120" w:line="240" w:lineRule="auto"/>
        <w:ind w:left="1134" w:right="1134"/>
        <w:jc w:val="both"/>
        <w:rPr>
          <w:lang w:val="de-DE"/>
        </w:rPr>
      </w:pPr>
      <w:r w:rsidRPr="00DD2A86">
        <w:rPr>
          <w:lang w:val="de-DE"/>
        </w:rPr>
        <w:t>2.1.3.7</w:t>
      </w:r>
      <w:r w:rsidRPr="00DD2A86">
        <w:rPr>
          <w:lang w:val="de-DE"/>
        </w:rPr>
        <w:tab/>
      </w:r>
      <w:r w:rsidRPr="00DD2A86">
        <w:rPr>
          <w:lang w:val="de-DE"/>
        </w:rPr>
        <w:tab/>
        <w:t>[Die erste Änderung in der englischen und französischen Fassung hat keine Auswirkungen auf den deutschen Text.]</w:t>
      </w:r>
    </w:p>
    <w:p w:rsidR="00B3388D" w:rsidRPr="00DD2A86" w:rsidRDefault="00B3388D" w:rsidP="00B3388D">
      <w:pPr>
        <w:spacing w:after="120"/>
        <w:ind w:left="1134" w:right="1134"/>
        <w:jc w:val="both"/>
        <w:rPr>
          <w:lang w:val="de-DE"/>
        </w:rPr>
      </w:pPr>
      <w:r w:rsidRPr="00DD2A86">
        <w:rPr>
          <w:lang w:val="de-DE"/>
        </w:rPr>
        <w:t>2.1.3.7</w:t>
      </w:r>
      <w:r w:rsidRPr="00DD2A86">
        <w:rPr>
          <w:lang w:val="de-DE"/>
        </w:rPr>
        <w:tab/>
      </w:r>
      <w:r w:rsidRPr="00DD2A86">
        <w:rPr>
          <w:lang w:val="de-DE"/>
        </w:rPr>
        <w:tab/>
        <w:t>Am Ende hinzufügen: „Für feste ammoniumnitrathaltige Düngemittel siehe auch Absatz 2.2.51.2.2 dreizehnter und vierzehnter Spiegelstrich und Handbuch Prüfungen und Kriterien Teil III Abschnitt 39.“.</w:t>
      </w:r>
    </w:p>
    <w:p w:rsidR="00B3388D" w:rsidRPr="00DD2A86" w:rsidRDefault="00B3388D" w:rsidP="00B3388D">
      <w:pPr>
        <w:tabs>
          <w:tab w:val="left" w:pos="2268"/>
        </w:tabs>
        <w:spacing w:after="120"/>
        <w:ind w:left="1134" w:right="1134"/>
        <w:jc w:val="both"/>
        <w:rPr>
          <w:iCs/>
          <w:lang w:val="de-DE"/>
        </w:rPr>
      </w:pPr>
      <w:r w:rsidRPr="00DD2A86">
        <w:rPr>
          <w:iCs/>
          <w:lang w:val="de-DE"/>
        </w:rPr>
        <w:t>2.1.4</w:t>
      </w:r>
      <w:r w:rsidRPr="00DD2A86">
        <w:rPr>
          <w:iCs/>
          <w:lang w:val="de-DE"/>
        </w:rPr>
        <w:tab/>
      </w:r>
      <w:r w:rsidRPr="00DD2A86">
        <w:rPr>
          <w:iCs/>
          <w:lang w:val="de-DE"/>
        </w:rPr>
        <w:tab/>
        <w:t>Folgenden Unterabschnitt 2.1.4.3 hinzufügen:</w:t>
      </w:r>
    </w:p>
    <w:p w:rsidR="00B3388D" w:rsidRPr="00DD2A86" w:rsidRDefault="00B3388D" w:rsidP="00B3388D">
      <w:pPr>
        <w:tabs>
          <w:tab w:val="left" w:pos="2268"/>
        </w:tabs>
        <w:spacing w:after="120"/>
        <w:ind w:left="1134" w:right="1134"/>
        <w:jc w:val="both"/>
        <w:rPr>
          <w:b/>
          <w:iCs/>
          <w:lang w:val="de-DE"/>
        </w:rPr>
      </w:pPr>
      <w:r w:rsidRPr="00DD2A86">
        <w:rPr>
          <w:iCs/>
          <w:lang w:val="de-DE"/>
        </w:rPr>
        <w:t>„</w:t>
      </w:r>
      <w:r w:rsidRPr="00DD2A86">
        <w:rPr>
          <w:b/>
          <w:iCs/>
          <w:lang w:val="de-DE"/>
        </w:rPr>
        <w:t>2.1.4.3</w:t>
      </w:r>
      <w:r w:rsidRPr="00DD2A86">
        <w:rPr>
          <w:b/>
          <w:iCs/>
          <w:lang w:val="de-DE"/>
        </w:rPr>
        <w:tab/>
        <w:t>Proben energetischer Stoffe für Prüfzwecke</w:t>
      </w:r>
    </w:p>
    <w:p w:rsidR="00B3388D" w:rsidRPr="00DD2A86" w:rsidRDefault="00B3388D" w:rsidP="00B3388D">
      <w:pPr>
        <w:tabs>
          <w:tab w:val="left" w:pos="2268"/>
        </w:tabs>
        <w:spacing w:after="120"/>
        <w:ind w:left="1134" w:right="1134"/>
        <w:jc w:val="both"/>
        <w:rPr>
          <w:iCs/>
          <w:lang w:val="de-DE"/>
        </w:rPr>
      </w:pPr>
      <w:r w:rsidRPr="00DD2A86">
        <w:rPr>
          <w:iCs/>
          <w:lang w:val="de-DE"/>
        </w:rPr>
        <w:t>2.1.4.3.1</w:t>
      </w:r>
      <w:r w:rsidRPr="00DD2A86">
        <w:rPr>
          <w:iCs/>
          <w:lang w:val="de-DE"/>
        </w:rPr>
        <w:tab/>
        <w:t>Proben organischer Stoffe, die funktionelle Gruppen enthalten, die in den Tabellen A6.1 und/oder A6.3 in Anhang 6 (Screening Procedures – Voruntersuchungen) des Handbuchs Prüfungen und Kriterien aufgeführt sind, dürfen unter der UN-Nummer 3224 (Selbstzersetzlicher Stoff Typ C, fest) bzw. 3223 (Selbstzersetzlicher Stoff Typ C, flüssig) der Klasse 4.1 befördert werden, vorausgesetzt:</w:t>
      </w:r>
    </w:p>
    <w:p w:rsidR="00B3388D" w:rsidRPr="00DD2A86" w:rsidRDefault="00B3388D" w:rsidP="00B3388D">
      <w:pPr>
        <w:spacing w:after="60"/>
        <w:ind w:left="1418" w:right="1134" w:hanging="284"/>
        <w:jc w:val="both"/>
        <w:rPr>
          <w:iCs/>
          <w:lang w:val="de-DE"/>
        </w:rPr>
      </w:pPr>
      <w:r w:rsidRPr="00DD2A86">
        <w:rPr>
          <w:iCs/>
          <w:lang w:val="de-DE"/>
        </w:rPr>
        <w:t>a)</w:t>
      </w:r>
      <w:r w:rsidRPr="00DD2A86">
        <w:rPr>
          <w:iCs/>
          <w:lang w:val="de-DE"/>
        </w:rPr>
        <w:tab/>
        <w:t>die Proben enthalten:</w:t>
      </w:r>
    </w:p>
    <w:p w:rsidR="00B3388D" w:rsidRPr="00DD2A86" w:rsidRDefault="00B3388D" w:rsidP="00B3388D">
      <w:pPr>
        <w:tabs>
          <w:tab w:val="left" w:pos="2268"/>
        </w:tabs>
        <w:spacing w:after="60"/>
        <w:ind w:left="1701" w:right="1134" w:hanging="284"/>
        <w:jc w:val="both"/>
        <w:rPr>
          <w:iCs/>
          <w:lang w:val="de-DE"/>
        </w:rPr>
      </w:pPr>
      <w:r w:rsidRPr="00DD2A86">
        <w:rPr>
          <w:iCs/>
          <w:lang w:val="de-DE"/>
        </w:rPr>
        <w:t>–</w:t>
      </w:r>
      <w:r w:rsidRPr="00DD2A86">
        <w:rPr>
          <w:iCs/>
          <w:lang w:val="de-DE"/>
        </w:rPr>
        <w:tab/>
        <w:t>keine bekannten explosiven Stoffe,</w:t>
      </w:r>
    </w:p>
    <w:p w:rsidR="00B3388D" w:rsidRPr="00DD2A86" w:rsidRDefault="00B3388D" w:rsidP="00B3388D">
      <w:pPr>
        <w:tabs>
          <w:tab w:val="left" w:pos="2268"/>
        </w:tabs>
        <w:spacing w:after="60"/>
        <w:ind w:left="1701" w:right="1134" w:hanging="284"/>
        <w:jc w:val="both"/>
        <w:rPr>
          <w:iCs/>
          <w:lang w:val="de-DE"/>
        </w:rPr>
      </w:pPr>
      <w:r w:rsidRPr="00DD2A86">
        <w:rPr>
          <w:iCs/>
          <w:lang w:val="de-DE"/>
        </w:rPr>
        <w:t>–</w:t>
      </w:r>
      <w:r w:rsidRPr="00DD2A86">
        <w:rPr>
          <w:iCs/>
          <w:lang w:val="de-DE"/>
        </w:rPr>
        <w:tab/>
        <w:t>keine Stoffe, die bei der Prüfung explosive Effekte aufweisen,</w:t>
      </w:r>
    </w:p>
    <w:p w:rsidR="00B3388D" w:rsidRPr="00DD2A86" w:rsidRDefault="00B3388D" w:rsidP="00B3388D">
      <w:pPr>
        <w:tabs>
          <w:tab w:val="left" w:pos="2268"/>
        </w:tabs>
        <w:spacing w:after="60"/>
        <w:ind w:left="1701" w:right="1134" w:hanging="284"/>
        <w:jc w:val="both"/>
        <w:rPr>
          <w:iCs/>
          <w:lang w:val="de-DE"/>
        </w:rPr>
      </w:pPr>
      <w:r w:rsidRPr="00DD2A86">
        <w:rPr>
          <w:iCs/>
          <w:lang w:val="de-DE"/>
        </w:rPr>
        <w:t>–</w:t>
      </w:r>
      <w:r w:rsidRPr="00DD2A86">
        <w:rPr>
          <w:iCs/>
          <w:lang w:val="de-DE"/>
        </w:rPr>
        <w:tab/>
        <w:t>keine Verbindungen, die mit der Absicht entwickelt wurden, einen praktischen explosiven oder pyrotechnischen Effekt zu erzeugen, oder</w:t>
      </w:r>
    </w:p>
    <w:p w:rsidR="00B3388D" w:rsidRPr="00DD2A86" w:rsidRDefault="00B3388D" w:rsidP="00B3388D">
      <w:pPr>
        <w:tabs>
          <w:tab w:val="left" w:pos="2268"/>
        </w:tabs>
        <w:spacing w:after="60"/>
        <w:ind w:left="1701" w:right="1134" w:hanging="284"/>
        <w:jc w:val="both"/>
        <w:rPr>
          <w:iCs/>
          <w:lang w:val="de-DE"/>
        </w:rPr>
      </w:pPr>
      <w:r w:rsidRPr="00DD2A86">
        <w:rPr>
          <w:iCs/>
          <w:lang w:val="de-DE"/>
        </w:rPr>
        <w:t>–</w:t>
      </w:r>
      <w:r w:rsidRPr="00DD2A86">
        <w:rPr>
          <w:iCs/>
          <w:lang w:val="de-DE"/>
        </w:rPr>
        <w:tab/>
        <w:t>keine Bestandteile, die aus synthetischen Grundstoffen beabsichtigter explosiver Stoffe bestehen;</w:t>
      </w:r>
    </w:p>
    <w:p w:rsidR="00B3388D" w:rsidRPr="00DD2A86" w:rsidRDefault="00B3388D" w:rsidP="00B3388D">
      <w:pPr>
        <w:tabs>
          <w:tab w:val="left" w:pos="1418"/>
          <w:tab w:val="left" w:pos="2268"/>
        </w:tabs>
        <w:spacing w:after="120"/>
        <w:ind w:left="1134" w:right="1134"/>
        <w:jc w:val="both"/>
        <w:rPr>
          <w:iCs/>
          <w:lang w:val="de-DE"/>
        </w:rPr>
      </w:pPr>
      <w:r w:rsidRPr="00DD2A86">
        <w:rPr>
          <w:iCs/>
          <w:lang w:val="de-DE"/>
        </w:rPr>
        <w:t>b)</w:t>
      </w:r>
      <w:r w:rsidRPr="00DD2A86">
        <w:rPr>
          <w:iCs/>
          <w:lang w:val="de-DE"/>
        </w:rPr>
        <w:tab/>
        <w:t>die Konzentration des anorganischen oxidierenden Stoffs beträgt bei Gemischen, Komplexen oder Salzen anorganischer entzündend (oxidierend) wirkender Stoffe der Klasse 5.1 mit einem oder mehreren organischen Stoffen:</w:t>
      </w:r>
    </w:p>
    <w:p w:rsidR="00B3388D" w:rsidRPr="00DD2A86" w:rsidRDefault="00B3388D" w:rsidP="00B3388D">
      <w:pPr>
        <w:tabs>
          <w:tab w:val="left" w:pos="2268"/>
        </w:tabs>
        <w:spacing w:after="60"/>
        <w:ind w:left="1701" w:right="1134" w:hanging="284"/>
        <w:jc w:val="both"/>
        <w:rPr>
          <w:iCs/>
          <w:lang w:val="de-DE"/>
        </w:rPr>
      </w:pPr>
      <w:r w:rsidRPr="00DD2A86">
        <w:rPr>
          <w:iCs/>
          <w:lang w:val="de-DE"/>
        </w:rPr>
        <w:t>–</w:t>
      </w:r>
      <w:r w:rsidRPr="00DD2A86">
        <w:rPr>
          <w:iCs/>
          <w:lang w:val="de-DE"/>
        </w:rPr>
        <w:tab/>
        <w:t>weniger als 15 Masse-% bei einer Zuordnung zur Verpackungsgruppe I (hohe Gefahr) oder II (mittlere Gefahr) oder</w:t>
      </w:r>
    </w:p>
    <w:p w:rsidR="00B3388D" w:rsidRPr="00DD2A86" w:rsidRDefault="00B3388D" w:rsidP="00B3388D">
      <w:pPr>
        <w:tabs>
          <w:tab w:val="left" w:pos="2268"/>
        </w:tabs>
        <w:spacing w:after="60"/>
        <w:ind w:left="1701" w:right="1134" w:hanging="284"/>
        <w:jc w:val="both"/>
        <w:rPr>
          <w:iCs/>
          <w:lang w:val="de-DE"/>
        </w:rPr>
      </w:pPr>
      <w:r w:rsidRPr="00DD2A86">
        <w:rPr>
          <w:iCs/>
          <w:lang w:val="de-DE"/>
        </w:rPr>
        <w:t>–</w:t>
      </w:r>
      <w:r w:rsidRPr="00DD2A86">
        <w:rPr>
          <w:iCs/>
          <w:lang w:val="de-DE"/>
        </w:rPr>
        <w:tab/>
        <w:t>weniger als 30 Masse-% bei einer Zuordnung zur Verpackungsgruppe III (niedrige Gefahr);</w:t>
      </w:r>
    </w:p>
    <w:p w:rsidR="00B3388D" w:rsidRPr="00DD2A86" w:rsidRDefault="00B3388D" w:rsidP="00B3388D">
      <w:pPr>
        <w:tabs>
          <w:tab w:val="left" w:pos="2268"/>
        </w:tabs>
        <w:spacing w:after="120"/>
        <w:ind w:left="1418" w:right="1134" w:hanging="284"/>
        <w:jc w:val="both"/>
        <w:rPr>
          <w:iCs/>
          <w:lang w:val="de-DE"/>
        </w:rPr>
      </w:pPr>
      <w:r w:rsidRPr="00DD2A86">
        <w:rPr>
          <w:iCs/>
          <w:lang w:val="de-DE"/>
        </w:rPr>
        <w:t>c)</w:t>
      </w:r>
      <w:r w:rsidRPr="00DD2A86">
        <w:rPr>
          <w:iCs/>
          <w:lang w:val="de-DE"/>
        </w:rPr>
        <w:tab/>
        <w:t>die verfügbaren Daten ermöglichen keine genauere Klassifizierung;</w:t>
      </w:r>
    </w:p>
    <w:p w:rsidR="00B3388D" w:rsidRPr="00DD2A86" w:rsidRDefault="00B3388D" w:rsidP="00B3388D">
      <w:pPr>
        <w:tabs>
          <w:tab w:val="left" w:pos="2268"/>
        </w:tabs>
        <w:spacing w:after="120"/>
        <w:ind w:left="1418" w:right="1134" w:hanging="284"/>
        <w:jc w:val="both"/>
        <w:rPr>
          <w:iCs/>
          <w:lang w:val="de-DE"/>
        </w:rPr>
      </w:pPr>
      <w:r w:rsidRPr="00DD2A86">
        <w:rPr>
          <w:iCs/>
          <w:lang w:val="de-DE"/>
        </w:rPr>
        <w:t>d)</w:t>
      </w:r>
      <w:r w:rsidRPr="00DD2A86">
        <w:rPr>
          <w:iCs/>
          <w:lang w:val="de-DE"/>
        </w:rPr>
        <w:tab/>
        <w:t>die Probe ist nicht mit anderen Gütern zusammengepackt und</w:t>
      </w:r>
    </w:p>
    <w:p w:rsidR="00B3388D" w:rsidRPr="00DD2A86" w:rsidRDefault="00B3388D" w:rsidP="00B3388D">
      <w:pPr>
        <w:tabs>
          <w:tab w:val="left" w:pos="2268"/>
        </w:tabs>
        <w:spacing w:after="120"/>
        <w:ind w:left="1418" w:right="1134" w:hanging="284"/>
        <w:jc w:val="both"/>
        <w:rPr>
          <w:iCs/>
          <w:lang w:val="de-DE"/>
        </w:rPr>
      </w:pPr>
      <w:r w:rsidRPr="00DD2A86">
        <w:rPr>
          <w:iCs/>
          <w:lang w:val="de-DE"/>
        </w:rPr>
        <w:t>e)</w:t>
      </w:r>
      <w:r w:rsidRPr="00DD2A86">
        <w:rPr>
          <w:iCs/>
          <w:lang w:val="de-DE"/>
        </w:rPr>
        <w:tab/>
        <w:t>die Probe ist gemäß der Verpackungsanweisung P 520 und der Sondervorschrift für die Verpackung PP 94 bzw. PP 95 des Unterabschnitts 4.1.4.1 des ADR verpackt.“.</w:t>
      </w:r>
    </w:p>
    <w:p w:rsidR="00B3388D" w:rsidRPr="00DD2A86" w:rsidRDefault="00B3388D" w:rsidP="00B3388D">
      <w:pPr>
        <w:tabs>
          <w:tab w:val="left" w:pos="2268"/>
        </w:tabs>
        <w:spacing w:after="120"/>
        <w:ind w:left="1134" w:right="1134"/>
        <w:jc w:val="both"/>
        <w:rPr>
          <w:lang w:val="de-DE"/>
        </w:rPr>
      </w:pPr>
      <w:r w:rsidRPr="00DD2A86">
        <w:rPr>
          <w:lang w:val="de-DE"/>
        </w:rPr>
        <w:t>2.1.5</w:t>
      </w:r>
      <w:r w:rsidRPr="00DD2A86">
        <w:rPr>
          <w:lang w:val="de-DE"/>
        </w:rPr>
        <w:tab/>
        <w:t>2.1.5 wird zu 2.1.6 und folgenden neuen Abschnitt 2.1.5 einfügen:</w:t>
      </w:r>
    </w:p>
    <w:p w:rsidR="00B3388D" w:rsidRPr="00DD2A86" w:rsidRDefault="00B3388D" w:rsidP="00B3388D">
      <w:pPr>
        <w:tabs>
          <w:tab w:val="left" w:pos="2268"/>
        </w:tabs>
        <w:suppressAutoHyphens w:val="0"/>
        <w:spacing w:line="240" w:lineRule="auto"/>
        <w:ind w:left="1134" w:right="1134"/>
        <w:jc w:val="both"/>
        <w:rPr>
          <w:b/>
          <w:iCs/>
          <w:color w:val="000000"/>
          <w:lang w:val="de-DE" w:eastAsia="de-DE"/>
        </w:rPr>
      </w:pPr>
      <w:r w:rsidRPr="00DD2A86">
        <w:rPr>
          <w:iCs/>
          <w:color w:val="000000"/>
          <w:lang w:val="de-DE" w:eastAsia="de-DE"/>
        </w:rPr>
        <w:t>„</w:t>
      </w:r>
      <w:r w:rsidRPr="00DD2A86">
        <w:rPr>
          <w:b/>
          <w:iCs/>
          <w:color w:val="000000"/>
          <w:lang w:val="de-DE" w:eastAsia="de-DE"/>
        </w:rPr>
        <w:t>2.1.5</w:t>
      </w:r>
      <w:r w:rsidRPr="00DD2A86">
        <w:rPr>
          <w:iCs/>
          <w:color w:val="000000"/>
          <w:lang w:val="de-DE" w:eastAsia="de-DE"/>
        </w:rPr>
        <w:tab/>
      </w:r>
      <w:r w:rsidRPr="00DD2A86">
        <w:rPr>
          <w:b/>
          <w:iCs/>
          <w:color w:val="000000"/>
          <w:lang w:val="de-DE" w:eastAsia="de-DE"/>
        </w:rPr>
        <w:t>Klassifizierung von Gegenständen als Gegenstände, die gefährliche Güter enthalten, n.a.g.</w:t>
      </w:r>
    </w:p>
    <w:p w:rsidR="00B3388D" w:rsidRPr="00DD2A86" w:rsidRDefault="00B3388D" w:rsidP="00B3388D">
      <w:pPr>
        <w:tabs>
          <w:tab w:val="left" w:pos="2127"/>
          <w:tab w:val="left" w:pos="2268"/>
          <w:tab w:val="left" w:pos="2552"/>
        </w:tabs>
        <w:suppressAutoHyphens w:val="0"/>
        <w:spacing w:line="240" w:lineRule="auto"/>
        <w:ind w:left="1134" w:right="1134"/>
        <w:jc w:val="both"/>
        <w:rPr>
          <w:iCs/>
          <w:color w:val="000000"/>
          <w:lang w:val="de-DE" w:eastAsia="de-DE"/>
        </w:rPr>
      </w:pPr>
    </w:p>
    <w:p w:rsidR="00B3388D" w:rsidRPr="00DD2A86" w:rsidRDefault="00B3388D" w:rsidP="00B3388D">
      <w:pPr>
        <w:tabs>
          <w:tab w:val="left" w:pos="2268"/>
        </w:tabs>
        <w:suppressAutoHyphens w:val="0"/>
        <w:spacing w:line="240" w:lineRule="auto"/>
        <w:ind w:left="1134" w:right="1134"/>
        <w:jc w:val="both"/>
        <w:rPr>
          <w:iCs/>
          <w:color w:val="000000"/>
          <w:lang w:val="de-DE" w:eastAsia="de-DE"/>
        </w:rPr>
      </w:pPr>
      <w:r w:rsidRPr="00DD2A86">
        <w:rPr>
          <w:iCs/>
          <w:color w:val="000000"/>
          <w:lang w:val="de-DE" w:eastAsia="de-DE"/>
        </w:rPr>
        <w:t>2.1.5.1</w:t>
      </w:r>
      <w:r w:rsidRPr="00DD2A86">
        <w:rPr>
          <w:iCs/>
          <w:color w:val="000000"/>
          <w:lang w:val="de-DE" w:eastAsia="de-DE"/>
        </w:rPr>
        <w:tab/>
      </w:r>
      <w:r w:rsidRPr="00DD2A86">
        <w:rPr>
          <w:iCs/>
          <w:lang w:val="de-DE" w:eastAsia="de-DE"/>
        </w:rPr>
        <w:t xml:space="preserve">Gegenstände, die gefährliche Güter enthalten, dürfen, wie an anderer Stelle im </w:t>
      </w:r>
      <w:r w:rsidRPr="00DD2A86">
        <w:rPr>
          <w:snapToGrid w:val="0"/>
          <w:lang w:val="de-DE" w:eastAsia="de-DE"/>
        </w:rPr>
        <w:t>ADN</w:t>
      </w:r>
      <w:r w:rsidRPr="00DD2A86">
        <w:rPr>
          <w:iCs/>
          <w:lang w:val="de-DE" w:eastAsia="de-DE"/>
        </w:rPr>
        <w:t xml:space="preserve"> vo</w:t>
      </w:r>
      <w:r w:rsidRPr="00DD2A86">
        <w:rPr>
          <w:iCs/>
          <w:color w:val="000000"/>
          <w:lang w:val="de-DE" w:eastAsia="de-DE"/>
        </w:rPr>
        <w:t>rgesehen, der offiziellen Benennung für die Beförderung der gefährlichen Güter, die in ihnen enthalten sind, zugeordnet oder in Übereinstimmung mit diesem Abschnitt klassifiziert werden.</w:t>
      </w:r>
    </w:p>
    <w:p w:rsidR="00B3388D" w:rsidRPr="00DD2A86" w:rsidRDefault="00B3388D" w:rsidP="00B3388D">
      <w:pPr>
        <w:tabs>
          <w:tab w:val="left" w:pos="2268"/>
        </w:tabs>
        <w:suppressAutoHyphens w:val="0"/>
        <w:spacing w:line="240" w:lineRule="auto"/>
        <w:ind w:left="1134" w:right="1134"/>
        <w:jc w:val="both"/>
        <w:rPr>
          <w:b/>
          <w:iCs/>
          <w:color w:val="000000"/>
          <w:lang w:val="de-DE" w:eastAsia="de-DE"/>
        </w:rPr>
      </w:pPr>
    </w:p>
    <w:p w:rsidR="00B3388D" w:rsidRPr="00DD2A86" w:rsidRDefault="00B3388D" w:rsidP="00B3388D">
      <w:pPr>
        <w:tabs>
          <w:tab w:val="left" w:pos="2268"/>
        </w:tabs>
        <w:suppressAutoHyphens w:val="0"/>
        <w:spacing w:line="240" w:lineRule="auto"/>
        <w:ind w:left="1134" w:right="1134"/>
        <w:jc w:val="both"/>
        <w:rPr>
          <w:iCs/>
          <w:color w:val="000000"/>
          <w:lang w:val="de-DE" w:eastAsia="de-DE"/>
        </w:rPr>
      </w:pPr>
      <w:r w:rsidRPr="00DD2A86">
        <w:rPr>
          <w:iCs/>
          <w:color w:val="000000"/>
          <w:lang w:val="de-DE" w:eastAsia="de-DE"/>
        </w:rPr>
        <w:t xml:space="preserve">Für Zwecke dieses Abschnitts ist ein „Gegenstand“ eine Maschine, ein Gerät oder eine andere Einrichtung, das/die ein oder mehrere gefährliche Güter (oder Rückstände dieser Güter) enthält, </w:t>
      </w:r>
      <w:r w:rsidR="00475E52" w:rsidRPr="00DD2A86">
        <w:rPr>
          <w:iCs/>
          <w:color w:val="000000"/>
          <w:lang w:val="de-DE" w:eastAsia="de-DE"/>
        </w:rPr>
        <w:t xml:space="preserve">die </w:t>
      </w:r>
      <w:r w:rsidRPr="00DD2A86">
        <w:rPr>
          <w:iCs/>
          <w:color w:val="000000"/>
          <w:lang w:val="de-DE" w:eastAsia="de-DE"/>
        </w:rPr>
        <w:t>fester Bestandteil des Gegenstands sind, für die Funktion des Gegenstands notwendig sind und für Beförderungszwecke nicht entfernt werden können.</w:t>
      </w:r>
    </w:p>
    <w:p w:rsidR="00B3388D" w:rsidRPr="00DD2A86" w:rsidRDefault="00B3388D" w:rsidP="00B3388D">
      <w:pPr>
        <w:tabs>
          <w:tab w:val="left" w:pos="2268"/>
        </w:tabs>
        <w:suppressAutoHyphens w:val="0"/>
        <w:spacing w:line="240" w:lineRule="auto"/>
        <w:ind w:left="1134" w:right="1134"/>
        <w:jc w:val="both"/>
        <w:rPr>
          <w:iCs/>
          <w:color w:val="000000"/>
          <w:lang w:val="de-DE" w:eastAsia="de-DE"/>
        </w:rPr>
      </w:pPr>
    </w:p>
    <w:p w:rsidR="00B3388D" w:rsidRPr="00DD2A86" w:rsidRDefault="00B3388D" w:rsidP="00B3388D">
      <w:pPr>
        <w:tabs>
          <w:tab w:val="left" w:pos="2268"/>
        </w:tabs>
        <w:suppressAutoHyphens w:val="0"/>
        <w:spacing w:line="240" w:lineRule="auto"/>
        <w:ind w:left="1134" w:right="1134"/>
        <w:jc w:val="both"/>
        <w:rPr>
          <w:iCs/>
          <w:color w:val="000000"/>
          <w:lang w:val="de-DE" w:eastAsia="de-DE"/>
        </w:rPr>
      </w:pPr>
      <w:r w:rsidRPr="00DD2A86">
        <w:rPr>
          <w:iCs/>
          <w:color w:val="000000"/>
          <w:lang w:val="de-DE" w:eastAsia="de-DE"/>
        </w:rPr>
        <w:t>Eine Innenverpackung ist kein Gegenstand.</w:t>
      </w:r>
    </w:p>
    <w:p w:rsidR="00B3388D" w:rsidRPr="00DD2A86" w:rsidRDefault="00B3388D" w:rsidP="00B3388D">
      <w:pPr>
        <w:tabs>
          <w:tab w:val="left" w:pos="2268"/>
        </w:tabs>
        <w:suppressAutoHyphens w:val="0"/>
        <w:spacing w:line="240" w:lineRule="auto"/>
        <w:ind w:left="1134" w:right="1134"/>
        <w:jc w:val="both"/>
        <w:rPr>
          <w:iCs/>
          <w:color w:val="000000"/>
          <w:lang w:val="de-DE" w:eastAsia="de-DE"/>
        </w:rPr>
      </w:pPr>
    </w:p>
    <w:p w:rsidR="00B3388D" w:rsidRPr="00DD2A86" w:rsidRDefault="00B3388D" w:rsidP="00B3388D">
      <w:pPr>
        <w:tabs>
          <w:tab w:val="left" w:pos="2268"/>
        </w:tabs>
        <w:suppressAutoHyphens w:val="0"/>
        <w:spacing w:line="240" w:lineRule="auto"/>
        <w:ind w:left="1134" w:right="1134"/>
        <w:jc w:val="both"/>
        <w:rPr>
          <w:iCs/>
          <w:color w:val="000000"/>
          <w:lang w:val="de-DE" w:eastAsia="de-DE"/>
        </w:rPr>
      </w:pPr>
      <w:r w:rsidRPr="00DD2A86">
        <w:rPr>
          <w:iCs/>
          <w:color w:val="000000"/>
          <w:lang w:val="de-DE" w:eastAsia="de-DE"/>
        </w:rPr>
        <w:t>2.1.5.2</w:t>
      </w:r>
      <w:r w:rsidRPr="00DD2A86">
        <w:rPr>
          <w:iCs/>
          <w:color w:val="000000"/>
          <w:lang w:val="de-DE" w:eastAsia="de-DE"/>
        </w:rPr>
        <w:tab/>
        <w:t xml:space="preserve">Solche Gegenstände dürfen darüber hinaus Batterien enthalten. Sofern im </w:t>
      </w:r>
      <w:r w:rsidRPr="00DD2A86">
        <w:rPr>
          <w:snapToGrid w:val="0"/>
          <w:lang w:val="de-DE" w:eastAsia="de-DE"/>
        </w:rPr>
        <w:t>ADN</w:t>
      </w:r>
      <w:r w:rsidRPr="00DD2A86">
        <w:rPr>
          <w:iCs/>
          <w:color w:val="000000"/>
          <w:lang w:val="de-DE" w:eastAsia="de-DE"/>
        </w:rPr>
        <w:t xml:space="preserve"> nichts anderes bestimmt ist (z. B. für Vorproduktionsprototypen von Gegenständen, die Lithiumbatterien enthalten, oder für kleine Produktionsserien von höchstens 100 solcher Gegenstände), müssen Lithiumbatterien, die Bestandteil des Gegenstands sind, einem Typ entsprechen, für den nachgewiesen wurde, dass er die Prüfvorschriften des Handbuchs Prüfungen und Kriterien Teil III Unterabschnitt 38.3 erfüllt.</w:t>
      </w:r>
    </w:p>
    <w:p w:rsidR="00B3388D" w:rsidRPr="00DD2A86" w:rsidRDefault="00B3388D" w:rsidP="00B3388D">
      <w:pPr>
        <w:tabs>
          <w:tab w:val="left" w:pos="2268"/>
        </w:tabs>
        <w:suppressAutoHyphens w:val="0"/>
        <w:spacing w:line="240" w:lineRule="auto"/>
        <w:ind w:left="1134" w:right="1134"/>
        <w:jc w:val="both"/>
        <w:rPr>
          <w:iCs/>
          <w:color w:val="000000"/>
          <w:lang w:val="de-DE" w:eastAsia="de-DE"/>
        </w:rPr>
      </w:pPr>
    </w:p>
    <w:p w:rsidR="00B3388D" w:rsidRPr="00DD2A86" w:rsidRDefault="00B3388D" w:rsidP="00B3388D">
      <w:pPr>
        <w:tabs>
          <w:tab w:val="left" w:pos="2268"/>
        </w:tabs>
        <w:suppressAutoHyphens w:val="0"/>
        <w:spacing w:line="240" w:lineRule="auto"/>
        <w:ind w:left="1134" w:right="1134"/>
        <w:jc w:val="both"/>
        <w:rPr>
          <w:iCs/>
          <w:color w:val="000000"/>
          <w:lang w:val="de-DE" w:eastAsia="de-DE"/>
        </w:rPr>
      </w:pPr>
      <w:r w:rsidRPr="00DD2A86">
        <w:rPr>
          <w:iCs/>
          <w:color w:val="000000"/>
          <w:lang w:val="de-DE" w:eastAsia="de-DE"/>
        </w:rPr>
        <w:t>2.1.5.3</w:t>
      </w:r>
      <w:r w:rsidRPr="00DD2A86">
        <w:rPr>
          <w:iCs/>
          <w:color w:val="000000"/>
          <w:lang w:val="de-DE" w:eastAsia="de-DE"/>
        </w:rPr>
        <w:tab/>
        <w:t>Dieser Abschnitt gilt nicht für Gegenstände, für die in Kapitel 3.2 Tabelle A bereits eine genauere offizielle Benennung für die Beförderung besteht.</w:t>
      </w:r>
    </w:p>
    <w:p w:rsidR="00B3388D" w:rsidRPr="00DD2A86" w:rsidRDefault="00B3388D" w:rsidP="00B3388D">
      <w:pPr>
        <w:tabs>
          <w:tab w:val="left" w:pos="2268"/>
        </w:tabs>
        <w:suppressAutoHyphens w:val="0"/>
        <w:spacing w:line="240" w:lineRule="auto"/>
        <w:ind w:left="1134" w:right="1134"/>
        <w:jc w:val="both"/>
        <w:rPr>
          <w:iCs/>
          <w:color w:val="000000"/>
          <w:lang w:val="de-DE" w:eastAsia="de-DE"/>
        </w:rPr>
      </w:pPr>
    </w:p>
    <w:p w:rsidR="00B3388D" w:rsidRPr="00DD2A86" w:rsidRDefault="00B3388D" w:rsidP="00B3388D">
      <w:pPr>
        <w:tabs>
          <w:tab w:val="left" w:pos="2268"/>
        </w:tabs>
        <w:suppressAutoHyphens w:val="0"/>
        <w:spacing w:line="240" w:lineRule="auto"/>
        <w:ind w:left="1134" w:right="1134"/>
        <w:jc w:val="both"/>
        <w:rPr>
          <w:iCs/>
          <w:color w:val="000000"/>
          <w:lang w:val="de-DE" w:eastAsia="de-DE"/>
        </w:rPr>
      </w:pPr>
      <w:r w:rsidRPr="00DD2A86">
        <w:rPr>
          <w:iCs/>
          <w:color w:val="000000"/>
          <w:lang w:val="de-DE" w:eastAsia="de-DE"/>
        </w:rPr>
        <w:t>2.1.5.4</w:t>
      </w:r>
      <w:r w:rsidRPr="00DD2A86">
        <w:rPr>
          <w:iCs/>
          <w:color w:val="000000"/>
          <w:lang w:val="de-DE" w:eastAsia="de-DE"/>
        </w:rPr>
        <w:tab/>
        <w:t>Dieser Abschnitt gilt nicht für gefährliche Güter der Klasse 1, der Klasse 6.2 und der Klasse 7 oder für radioaktive Stoffe, die in Gegenständen enthalten sind.</w:t>
      </w:r>
    </w:p>
    <w:p w:rsidR="00B3388D" w:rsidRPr="00DD2A86" w:rsidRDefault="00B3388D" w:rsidP="00B3388D">
      <w:pPr>
        <w:tabs>
          <w:tab w:val="left" w:pos="2268"/>
        </w:tabs>
        <w:suppressAutoHyphens w:val="0"/>
        <w:spacing w:line="240" w:lineRule="auto"/>
        <w:ind w:left="1134" w:right="1134"/>
        <w:jc w:val="both"/>
        <w:rPr>
          <w:iCs/>
          <w:color w:val="000000"/>
          <w:lang w:val="de-DE" w:eastAsia="de-DE"/>
        </w:rPr>
      </w:pPr>
    </w:p>
    <w:p w:rsidR="00B3388D" w:rsidRPr="00DD2A86" w:rsidRDefault="00B3388D" w:rsidP="00B3388D">
      <w:pPr>
        <w:tabs>
          <w:tab w:val="left" w:pos="2268"/>
        </w:tabs>
        <w:suppressAutoHyphens w:val="0"/>
        <w:spacing w:line="240" w:lineRule="auto"/>
        <w:ind w:left="1134" w:right="1134"/>
        <w:jc w:val="both"/>
        <w:rPr>
          <w:iCs/>
          <w:color w:val="000000"/>
          <w:lang w:val="de-DE" w:eastAsia="de-DE"/>
        </w:rPr>
      </w:pPr>
      <w:r w:rsidRPr="00DD2A86">
        <w:rPr>
          <w:iCs/>
          <w:color w:val="000000"/>
          <w:lang w:val="de-DE" w:eastAsia="de-DE"/>
        </w:rPr>
        <w:t>2.1.5.5</w:t>
      </w:r>
      <w:r w:rsidRPr="00DD2A86">
        <w:rPr>
          <w:iCs/>
          <w:color w:val="000000"/>
          <w:lang w:val="de-DE" w:eastAsia="de-DE"/>
        </w:rPr>
        <w:tab/>
        <w:t>Gegenstände, die gefährliche Güter enthalten, müssen der geeigneten Klasse zugeordnet werden, die durch die in jedem einzelnen im Gegenstand enthaltenen gefährlichen Gut vorhandenen Gefahren, gegebenenfalls unter Verwendung der Tabelle der überwiegenden Gefahr in Unterabschnitt 2.1.3.10, bestimmt wird. Wenn im Gegenstand gefährliche Güter enthalten sind, die der Klasse 9 zugeordnet sind, wird davon ausgegangen, dass alle anderen im Gegenstand enthaltenen gefährlichen Güter eine größere Gefahr darstellen.</w:t>
      </w:r>
    </w:p>
    <w:p w:rsidR="00B3388D" w:rsidRPr="00DD2A86" w:rsidRDefault="00B3388D" w:rsidP="00B3388D">
      <w:pPr>
        <w:tabs>
          <w:tab w:val="left" w:pos="2268"/>
        </w:tabs>
        <w:suppressAutoHyphens w:val="0"/>
        <w:spacing w:line="240" w:lineRule="auto"/>
        <w:ind w:left="1134" w:right="1134"/>
        <w:jc w:val="both"/>
        <w:rPr>
          <w:iCs/>
          <w:color w:val="000000"/>
          <w:lang w:val="de-DE" w:eastAsia="de-DE"/>
        </w:rPr>
      </w:pPr>
    </w:p>
    <w:p w:rsidR="00B3388D" w:rsidRPr="00DD2A86" w:rsidRDefault="00B3388D" w:rsidP="00B3388D">
      <w:pPr>
        <w:tabs>
          <w:tab w:val="left" w:pos="2268"/>
        </w:tabs>
        <w:suppressAutoHyphens w:val="0"/>
        <w:spacing w:line="240" w:lineRule="auto"/>
        <w:ind w:left="1134" w:right="1134"/>
        <w:jc w:val="both"/>
        <w:rPr>
          <w:iCs/>
          <w:color w:val="000000"/>
          <w:lang w:val="de-DE" w:eastAsia="de-DE"/>
        </w:rPr>
      </w:pPr>
      <w:r w:rsidRPr="00DD2A86">
        <w:rPr>
          <w:iCs/>
          <w:color w:val="000000"/>
          <w:lang w:val="de-DE" w:eastAsia="de-DE"/>
        </w:rPr>
        <w:t>2.1.5.6</w:t>
      </w:r>
      <w:r w:rsidRPr="00DD2A86">
        <w:rPr>
          <w:iCs/>
          <w:color w:val="000000"/>
          <w:lang w:val="de-DE" w:eastAsia="de-DE"/>
        </w:rPr>
        <w:tab/>
        <w:t>Nebengefahren müssen repräsentativ für die Hauptgefahren der anderen im Gegenstand enthaltenen gefährlichen Güter sein. Wenn im Gegenstand nur ein gefährliches Gut vorhanden ist, ist (sind) die eventuell vorhandenen Nebengefahr(en) diejenige(n), die durch den (die) Nebengefahrzettel in Kapitel 3.2 Tabelle A Spalte (5) ausgewiesen ist (sind). Wenn der Gegenstand mehrere gefährliche Güter enthält und diese während der Beförderung gefährlich miteinander reagieren können, muss jedes gefährliche Gut getrennt umschlossen sein (siehe Unterabschnitt 4.1.1.6 des ADR).“.</w:t>
      </w:r>
    </w:p>
    <w:p w:rsidR="00FC5DBE" w:rsidRPr="00DD2A86" w:rsidRDefault="00FC5DBE">
      <w:pPr>
        <w:suppressAutoHyphens w:val="0"/>
        <w:spacing w:line="240" w:lineRule="auto"/>
        <w:rPr>
          <w:b/>
          <w:sz w:val="24"/>
          <w:lang w:val="de-DE"/>
        </w:rPr>
      </w:pPr>
    </w:p>
    <w:p w:rsidR="00117856" w:rsidRPr="00DD2A86" w:rsidRDefault="00117856" w:rsidP="00973598">
      <w:pPr>
        <w:keepNext/>
        <w:keepLines/>
        <w:tabs>
          <w:tab w:val="right" w:pos="851"/>
        </w:tabs>
        <w:spacing w:before="120" w:after="240" w:line="270" w:lineRule="exact"/>
        <w:ind w:left="1134" w:right="1134" w:hanging="1134"/>
        <w:rPr>
          <w:b/>
          <w:sz w:val="24"/>
          <w:lang w:val="de-DE"/>
        </w:rPr>
      </w:pPr>
      <w:r w:rsidRPr="00DD2A86">
        <w:rPr>
          <w:b/>
          <w:sz w:val="24"/>
          <w:lang w:val="de-DE"/>
        </w:rPr>
        <w:tab/>
      </w:r>
      <w:r w:rsidRPr="00DD2A86">
        <w:rPr>
          <w:b/>
          <w:sz w:val="24"/>
          <w:lang w:val="de-DE"/>
        </w:rPr>
        <w:tab/>
        <w:t>Kapitel 2.2</w:t>
      </w:r>
    </w:p>
    <w:p w:rsidR="00865914" w:rsidRPr="00DD2A86" w:rsidRDefault="00865914" w:rsidP="00865914">
      <w:pPr>
        <w:spacing w:after="120"/>
        <w:ind w:left="1134" w:right="1134"/>
        <w:jc w:val="both"/>
        <w:rPr>
          <w:iCs/>
          <w:lang w:val="de-DE"/>
        </w:rPr>
      </w:pPr>
      <w:r w:rsidRPr="00DD2A86">
        <w:rPr>
          <w:lang w:val="de-DE"/>
        </w:rPr>
        <w:t>2.2.1.1.1 c)</w:t>
      </w:r>
      <w:r w:rsidRPr="00DD2A86">
        <w:rPr>
          <w:lang w:val="de-DE"/>
        </w:rPr>
        <w:tab/>
      </w:r>
      <w:r w:rsidRPr="00DD2A86">
        <w:rPr>
          <w:iCs/>
          <w:lang w:val="de-DE"/>
        </w:rPr>
        <w:t>In Absatz c) „um eine praktische Wirkung durch Explosion oder eine pyrotechnische Wirkung hervorzurufen“ ändern in: „um einen praktischen explosiven oder pyrotechnischen Effekt zu erzeugen“.</w:t>
      </w:r>
    </w:p>
    <w:p w:rsidR="00865914" w:rsidRPr="00DD2A86" w:rsidRDefault="00865914" w:rsidP="00865914">
      <w:pPr>
        <w:spacing w:before="120" w:after="120" w:line="240" w:lineRule="auto"/>
        <w:ind w:left="1134" w:right="1134"/>
        <w:jc w:val="both"/>
        <w:rPr>
          <w:iCs/>
          <w:lang w:val="de-DE"/>
        </w:rPr>
      </w:pPr>
      <w:r w:rsidRPr="00DD2A86">
        <w:rPr>
          <w:lang w:val="de-DE"/>
        </w:rPr>
        <w:t>2.2.1.1.5</w:t>
      </w:r>
      <w:r w:rsidRPr="00DD2A86">
        <w:rPr>
          <w:lang w:val="de-DE"/>
        </w:rPr>
        <w:tab/>
        <w:t>[Die Änderung zu „Unterklasse 1.4“ in der englischen Fassung hat keine Auswirkungen auf den deutschen Text.]</w:t>
      </w:r>
    </w:p>
    <w:p w:rsidR="00865914" w:rsidRPr="00DD2A86" w:rsidRDefault="00865914" w:rsidP="00865914">
      <w:pPr>
        <w:spacing w:before="120" w:after="120" w:line="240" w:lineRule="auto"/>
        <w:ind w:left="1134" w:right="1134"/>
        <w:jc w:val="both"/>
        <w:rPr>
          <w:lang w:val="de-DE"/>
        </w:rPr>
      </w:pPr>
      <w:r w:rsidRPr="00DD2A86">
        <w:rPr>
          <w:lang w:val="de-DE"/>
        </w:rPr>
        <w:t>[Die Änderung zu „Unterklasse 1.6“ in der englischen Fassung hat keine Auswirkungen auf den deutschen Text.]</w:t>
      </w:r>
    </w:p>
    <w:p w:rsidR="00865914" w:rsidRPr="00DD2A86" w:rsidRDefault="00865914" w:rsidP="00865914">
      <w:pPr>
        <w:spacing w:before="120" w:after="120" w:line="240" w:lineRule="auto"/>
        <w:ind w:left="1134" w:right="1134"/>
        <w:jc w:val="both"/>
        <w:rPr>
          <w:lang w:val="de-DE"/>
        </w:rPr>
      </w:pPr>
      <w:r w:rsidRPr="00DD2A86">
        <w:rPr>
          <w:lang w:val="de-DE"/>
        </w:rPr>
        <w:t>[Die Änderungen in der französischen Fassung haben keine Auswirkungen auf den deutschen Text.]</w:t>
      </w:r>
    </w:p>
    <w:p w:rsidR="00865914" w:rsidRPr="00DD2A86" w:rsidRDefault="00865914" w:rsidP="00865914">
      <w:pPr>
        <w:spacing w:before="120" w:after="120" w:line="240" w:lineRule="auto"/>
        <w:ind w:left="1134" w:right="1134"/>
        <w:jc w:val="both"/>
        <w:rPr>
          <w:iCs/>
          <w:lang w:val="de-DE"/>
        </w:rPr>
      </w:pPr>
      <w:r w:rsidRPr="00DD2A86">
        <w:rPr>
          <w:lang w:val="de-DE"/>
        </w:rPr>
        <w:t>2.2.1.1.6</w:t>
      </w:r>
      <w:r w:rsidRPr="00DD2A86">
        <w:rPr>
          <w:lang w:val="de-DE"/>
        </w:rPr>
        <w:tab/>
      </w:r>
      <w:r w:rsidRPr="00DD2A86">
        <w:rPr>
          <w:iCs/>
          <w:lang w:val="de-DE"/>
        </w:rPr>
        <w:t>Unter Verträglichkeitsgruppe „L“ „ein besonderes Risiko“ ändern in: „eine besondere Gefahr“.</w:t>
      </w:r>
    </w:p>
    <w:p w:rsidR="00865914" w:rsidRPr="00DD2A86" w:rsidRDefault="00865914" w:rsidP="00865914">
      <w:pPr>
        <w:spacing w:before="120" w:after="120"/>
        <w:ind w:left="1134" w:right="1134"/>
        <w:jc w:val="both"/>
        <w:rPr>
          <w:iCs/>
          <w:lang w:val="de-DE"/>
        </w:rPr>
      </w:pPr>
      <w:r w:rsidRPr="00DD2A86">
        <w:rPr>
          <w:lang w:val="de-DE"/>
        </w:rPr>
        <w:t>2.2.1.1.7.1</w:t>
      </w:r>
      <w:r w:rsidRPr="00DD2A86">
        <w:rPr>
          <w:lang w:val="de-DE"/>
        </w:rPr>
        <w:tab/>
      </w:r>
      <w:r w:rsidRPr="00DD2A86">
        <w:rPr>
          <w:iCs/>
          <w:lang w:val="de-DE"/>
        </w:rPr>
        <w:t>In Absatz a) „die bei der HSL-Blitzknallsatz-Prüfung in Anhang 7 des Handbuchs Prüfungen und Kriterien ein positives Prüfergebnis liefern“ ändern in: „die einen Blitzknallsatz enthalten (siehe Absatz 2.2.1.1.7.5 Bem. 2)“.</w:t>
      </w:r>
    </w:p>
    <w:p w:rsidR="00865914" w:rsidRPr="00DD2A86" w:rsidRDefault="00865914" w:rsidP="00865914">
      <w:pPr>
        <w:spacing w:before="120" w:after="120"/>
        <w:ind w:left="1134" w:right="1134"/>
        <w:jc w:val="both"/>
        <w:rPr>
          <w:iCs/>
          <w:lang w:val="de-DE"/>
        </w:rPr>
      </w:pPr>
      <w:r w:rsidRPr="00DD2A86">
        <w:rPr>
          <w:lang w:val="de-DE"/>
        </w:rPr>
        <w:t>2.2.1.1.7.5</w:t>
      </w:r>
      <w:r w:rsidRPr="00DD2A86">
        <w:rPr>
          <w:lang w:val="de-DE"/>
        </w:rPr>
        <w:tab/>
      </w:r>
      <w:r w:rsidRPr="00DD2A86">
        <w:rPr>
          <w:iCs/>
          <w:lang w:val="de-DE"/>
        </w:rPr>
        <w:t>Die Bem. 2 erhält folgenden Wortlaut:</w:t>
      </w:r>
    </w:p>
    <w:p w:rsidR="00865914" w:rsidRPr="00DD2A86" w:rsidRDefault="00865914" w:rsidP="00865914">
      <w:pPr>
        <w:spacing w:before="120" w:after="120"/>
        <w:ind w:left="1134" w:right="1134"/>
        <w:jc w:val="both"/>
        <w:rPr>
          <w:lang w:val="de-DE"/>
        </w:rPr>
      </w:pPr>
      <w:r w:rsidRPr="00DD2A86">
        <w:rPr>
          <w:iCs/>
          <w:lang w:val="de-DE"/>
        </w:rPr>
        <w:t>„</w:t>
      </w:r>
      <w:r w:rsidRPr="00DD2A86">
        <w:rPr>
          <w:b/>
          <w:iCs/>
          <w:lang w:val="de-DE"/>
        </w:rPr>
        <w:t>2.</w:t>
      </w:r>
      <w:r w:rsidRPr="00DD2A86">
        <w:rPr>
          <w:iCs/>
          <w:lang w:val="de-DE"/>
        </w:rPr>
        <w:tab/>
      </w:r>
      <w:r w:rsidRPr="00DD2A86">
        <w:rPr>
          <w:lang w:val="de-DE"/>
        </w:rPr>
        <w:t>Der in dieser Tabelle verwendete Ausdruck „Blitzknallsatz“ bezieht sich auf pyrotechnische Stoffe in Pulverform oder als pyrotechnische Einheiten, wie sie in Feuerwerkskörpern vorhanden sind, die in Wasserfällen verwendet werden, oder für die Erzeugung eines akustischen Effekts oder als Zerlegerladung oder Treibladung verwendet werden, es sei denn,</w:t>
      </w:r>
    </w:p>
    <w:p w:rsidR="00865914" w:rsidRPr="00DD2A86" w:rsidRDefault="00865914" w:rsidP="00865914">
      <w:pPr>
        <w:spacing w:before="120" w:after="120"/>
        <w:ind w:left="1134" w:right="1134"/>
        <w:jc w:val="both"/>
        <w:rPr>
          <w:lang w:val="de-DE"/>
        </w:rPr>
      </w:pPr>
      <w:r w:rsidRPr="00DD2A86">
        <w:rPr>
          <w:lang w:val="de-DE"/>
        </w:rPr>
        <w:t>a)</w:t>
      </w:r>
      <w:r w:rsidRPr="00DD2A86">
        <w:rPr>
          <w:lang w:val="de-DE"/>
        </w:rPr>
        <w:tab/>
        <w:t>es wird nachgewiesen, dass die Zeit für den Druckanstieg in der HSL-Prüfung für Blitzknallsätze in Anhang 7 des Handbuchs Prüfungen und Kriterien mehr als 6 ms für 0,5 g eines pyrotechnischen Stoffes beträgt, oder</w:t>
      </w:r>
    </w:p>
    <w:p w:rsidR="00865914" w:rsidRPr="00DD2A86" w:rsidRDefault="00865914" w:rsidP="00865914">
      <w:pPr>
        <w:spacing w:before="120" w:after="120"/>
        <w:ind w:left="1134" w:right="1134"/>
        <w:jc w:val="both"/>
        <w:rPr>
          <w:b/>
          <w:lang w:val="de-DE"/>
        </w:rPr>
      </w:pPr>
      <w:r w:rsidRPr="00DD2A86">
        <w:rPr>
          <w:lang w:val="de-DE"/>
        </w:rPr>
        <w:t>b)</w:t>
      </w:r>
      <w:r w:rsidRPr="00DD2A86">
        <w:rPr>
          <w:lang w:val="de-DE"/>
        </w:rPr>
        <w:tab/>
        <w:t>der pyrotechnische Stoff liefert beim US Flash Composition Test (US-Blitzknallsatz-Prüfung) in Anhang 7 des Handbuchs Prüfungen und Kriterien ein negatives „-“ Ergebnis.“.</w:t>
      </w:r>
    </w:p>
    <w:p w:rsidR="00865914" w:rsidRPr="00DD2A86" w:rsidRDefault="00865914" w:rsidP="00865914">
      <w:pPr>
        <w:spacing w:before="120" w:after="120" w:line="240" w:lineRule="auto"/>
        <w:ind w:left="1134" w:right="1134"/>
        <w:jc w:val="both"/>
        <w:rPr>
          <w:lang w:val="de-DE"/>
        </w:rPr>
      </w:pPr>
      <w:r w:rsidRPr="00DD2A86">
        <w:rPr>
          <w:lang w:val="de-DE"/>
        </w:rPr>
        <w:t>2.2.1.1.7.5</w:t>
      </w:r>
      <w:r w:rsidRPr="00DD2A86">
        <w:rPr>
          <w:lang w:val="de-DE"/>
        </w:rPr>
        <w:tab/>
        <w:t>[Die erste Änderung zur Tabelle in der französischen Fassung hat keine Auswirkungen auf den deutschen Text.]</w:t>
      </w:r>
    </w:p>
    <w:p w:rsidR="00865914" w:rsidRPr="00DD2A86" w:rsidRDefault="00865914" w:rsidP="00865914">
      <w:pPr>
        <w:spacing w:after="120"/>
        <w:ind w:left="1134" w:right="1134"/>
        <w:jc w:val="both"/>
        <w:rPr>
          <w:iCs/>
          <w:lang w:val="de-DE"/>
        </w:rPr>
      </w:pPr>
      <w:r w:rsidRPr="00DD2A86">
        <w:rPr>
          <w:iCs/>
          <w:lang w:val="de-DE"/>
        </w:rPr>
        <w:t>2.2.1.1.7.5</w:t>
      </w:r>
      <w:r w:rsidRPr="00DD2A86">
        <w:rPr>
          <w:iCs/>
          <w:lang w:val="de-DE"/>
        </w:rPr>
        <w:tab/>
        <w:t>In der Eintragung für „Wasserfall“ in der Tabelle folgende Änderungen vornehmen:</w:t>
      </w:r>
    </w:p>
    <w:p w:rsidR="00865914" w:rsidRPr="00DD2A86" w:rsidRDefault="00865914" w:rsidP="00865914">
      <w:pPr>
        <w:spacing w:after="120"/>
        <w:ind w:left="1134" w:right="1134"/>
        <w:jc w:val="both"/>
        <w:rPr>
          <w:iCs/>
          <w:lang w:val="de-DE"/>
        </w:rPr>
      </w:pPr>
      <w:r w:rsidRPr="00DD2A86">
        <w:rPr>
          <w:iCs/>
          <w:lang w:val="de-DE"/>
        </w:rPr>
        <w:t>–</w:t>
      </w:r>
      <w:r w:rsidRPr="00DD2A86">
        <w:rPr>
          <w:iCs/>
          <w:lang w:val="de-DE"/>
        </w:rPr>
        <w:tab/>
        <w:t>Für den Klassifizierungscode 1.1G erhält die Eintragung in der Spalte „Spezifikation“ folgenden Wortlaut: „enthält ungeachtet der Ergebnisse der Prüfreihe 6 (siehe Absatz 2.2.1.1.7.1 a)) einen Blitzknallsatz“.</w:t>
      </w:r>
    </w:p>
    <w:p w:rsidR="00865914" w:rsidRPr="00DD2A86" w:rsidRDefault="00865914" w:rsidP="00865914">
      <w:pPr>
        <w:spacing w:after="120"/>
        <w:ind w:left="1134" w:right="1134"/>
        <w:jc w:val="both"/>
        <w:rPr>
          <w:iCs/>
          <w:lang w:val="de-DE"/>
        </w:rPr>
      </w:pPr>
      <w:r w:rsidRPr="00DD2A86">
        <w:rPr>
          <w:iCs/>
          <w:lang w:val="de-DE"/>
        </w:rPr>
        <w:t>–</w:t>
      </w:r>
      <w:r w:rsidRPr="00DD2A86">
        <w:rPr>
          <w:iCs/>
          <w:lang w:val="de-DE"/>
        </w:rPr>
        <w:tab/>
        <w:t>Für den Klassifizierungscode 1.3G erhält die Eintragung in der Spalte „Spezifikation“ folgenden Wortlaut: „enthält keinen Blitzknallsatz“.</w:t>
      </w:r>
    </w:p>
    <w:p w:rsidR="00865914" w:rsidRPr="00DD2A86" w:rsidRDefault="00865914" w:rsidP="00865914">
      <w:pPr>
        <w:spacing w:after="120"/>
        <w:ind w:left="1134" w:right="1134"/>
        <w:jc w:val="both"/>
        <w:rPr>
          <w:iCs/>
          <w:lang w:val="de-DE"/>
        </w:rPr>
      </w:pPr>
      <w:r w:rsidRPr="00DD2A86">
        <w:rPr>
          <w:lang w:val="de-DE"/>
        </w:rPr>
        <w:t>2.2.1.1.8.2</w:t>
      </w:r>
      <w:r w:rsidRPr="00DD2A86">
        <w:rPr>
          <w:lang w:val="de-DE"/>
        </w:rPr>
        <w:tab/>
        <w:t>[Die Änderung zur Bem. 2 in der englischen und französischen Fassung hat keine Auswirkungen auf den deutschen Text.]</w:t>
      </w:r>
    </w:p>
    <w:p w:rsidR="00705CA9" w:rsidRPr="00DD2A86" w:rsidRDefault="00705CA9" w:rsidP="00705CA9">
      <w:pPr>
        <w:spacing w:after="120"/>
        <w:ind w:left="1134" w:right="1134"/>
        <w:jc w:val="both"/>
        <w:rPr>
          <w:iCs/>
          <w:lang w:val="de-DE"/>
        </w:rPr>
      </w:pPr>
      <w:r w:rsidRPr="00DD2A86">
        <w:rPr>
          <w:iCs/>
          <w:lang w:val="de-DE"/>
        </w:rPr>
        <w:t>2.2.1.1.9.4</w:t>
      </w:r>
      <w:r w:rsidRPr="00DD2A86">
        <w:rPr>
          <w:iCs/>
          <w:lang w:val="de-DE"/>
        </w:rPr>
        <w:tab/>
        <w:t>In den Absätzen e) und j) „auf den Markt gebracht“ ändern in: „in Verkehr gebracht“.</w:t>
      </w:r>
    </w:p>
    <w:p w:rsidR="00705CA9" w:rsidRPr="00DD2A86" w:rsidRDefault="00705CA9" w:rsidP="00705CA9">
      <w:pPr>
        <w:spacing w:after="120"/>
        <w:ind w:left="1134" w:right="1134"/>
        <w:jc w:val="both"/>
        <w:rPr>
          <w:iCs/>
          <w:lang w:val="de-DE"/>
        </w:rPr>
      </w:pPr>
      <w:r w:rsidRPr="00DD2A86">
        <w:rPr>
          <w:lang w:val="de-DE"/>
        </w:rPr>
        <w:t>[Betrifft nur die deutsche Sprachfassung]</w:t>
      </w:r>
    </w:p>
    <w:p w:rsidR="002B5060" w:rsidRPr="00DD2A86" w:rsidRDefault="002B5060">
      <w:pPr>
        <w:suppressAutoHyphens w:val="0"/>
        <w:spacing w:line="240" w:lineRule="auto"/>
        <w:rPr>
          <w:lang w:val="de-DE"/>
        </w:rPr>
      </w:pPr>
      <w:r w:rsidRPr="00DD2A86">
        <w:rPr>
          <w:lang w:val="de-DE"/>
        </w:rPr>
        <w:br w:type="page"/>
      </w:r>
    </w:p>
    <w:p w:rsidR="00865914" w:rsidRPr="00DD2A86" w:rsidRDefault="00865914" w:rsidP="00865914">
      <w:pPr>
        <w:spacing w:after="120"/>
        <w:ind w:left="1134" w:right="1134"/>
        <w:jc w:val="both"/>
        <w:rPr>
          <w:lang w:val="de-DE"/>
        </w:rPr>
      </w:pPr>
      <w:r w:rsidRPr="00DD2A86">
        <w:rPr>
          <w:lang w:val="de-DE"/>
        </w:rPr>
        <w:t>2.2.1.4</w:t>
      </w:r>
      <w:r w:rsidRPr="00DD2A86">
        <w:rPr>
          <w:lang w:val="de-DE"/>
        </w:rPr>
        <w:tab/>
      </w:r>
      <w:r w:rsidRPr="00DD2A86">
        <w:rPr>
          <w:lang w:val="de-DE"/>
        </w:rPr>
        <w:tab/>
      </w:r>
      <w:r w:rsidRPr="00DD2A86">
        <w:rPr>
          <w:iCs/>
          <w:lang w:val="de-DE"/>
        </w:rPr>
        <w:t xml:space="preserve">[Die Änderungen zu „PATRONEN, FÜR WAFFEN, MIT INERTEM GESCHOSS (PATRONEN FÜR HANDFEUERWAFFEN)“ und „EXPLOSIVE STOFFE, SEHR UNEMPFINDLICH (STOFFE, EVI), N.A.G.“ in der französischen Fassung </w:t>
      </w:r>
      <w:r w:rsidRPr="00DD2A86">
        <w:rPr>
          <w:lang w:val="de-DE"/>
        </w:rPr>
        <w:t>haben keine Auswirkungen auf den deutschen Text.]</w:t>
      </w:r>
    </w:p>
    <w:p w:rsidR="00865914" w:rsidRPr="00DD2A86" w:rsidRDefault="00865914" w:rsidP="00865914">
      <w:pPr>
        <w:spacing w:before="120" w:after="120" w:line="240" w:lineRule="auto"/>
        <w:ind w:left="1134" w:right="1134"/>
        <w:jc w:val="both"/>
        <w:rPr>
          <w:iCs/>
          <w:lang w:val="de-DE"/>
        </w:rPr>
      </w:pPr>
      <w:r w:rsidRPr="00DD2A86">
        <w:rPr>
          <w:lang w:val="de-DE"/>
        </w:rPr>
        <w:t>2.2.2.1.5</w:t>
      </w:r>
      <w:r w:rsidRPr="00DD2A86">
        <w:rPr>
          <w:lang w:val="de-DE"/>
        </w:rPr>
        <w:tab/>
      </w:r>
      <w:r w:rsidRPr="00DD2A86">
        <w:rPr>
          <w:iCs/>
          <w:lang w:val="de-DE"/>
        </w:rPr>
        <w:t>Unter „Giftige Gase“ in der Bem. „Zusatzgefahr“ ändern in: „Nebengefahr“.</w:t>
      </w:r>
    </w:p>
    <w:p w:rsidR="00865914" w:rsidRPr="00DD2A86" w:rsidRDefault="00865914" w:rsidP="00865914">
      <w:pPr>
        <w:spacing w:before="120" w:after="120" w:line="240" w:lineRule="auto"/>
        <w:ind w:left="2268" w:right="1134"/>
        <w:jc w:val="both"/>
        <w:rPr>
          <w:iCs/>
          <w:lang w:val="de-DE"/>
        </w:rPr>
      </w:pPr>
      <w:r w:rsidRPr="00DD2A86">
        <w:rPr>
          <w:iCs/>
          <w:lang w:val="de-DE"/>
        </w:rPr>
        <w:t>Unter „Ätzende Gase“ „Zusatzgefahr“ ändern in: „Nebengefahr“ (zweimal).</w:t>
      </w:r>
    </w:p>
    <w:p w:rsidR="00865914" w:rsidRPr="00DD2A86" w:rsidRDefault="00865914" w:rsidP="00865914">
      <w:pPr>
        <w:spacing w:before="120" w:after="120" w:line="240" w:lineRule="auto"/>
        <w:ind w:left="1134" w:right="1134"/>
        <w:jc w:val="both"/>
        <w:rPr>
          <w:iCs/>
          <w:lang w:val="de-DE"/>
        </w:rPr>
      </w:pPr>
      <w:r w:rsidRPr="00DD2A86">
        <w:rPr>
          <w:iCs/>
          <w:lang w:val="de-DE"/>
        </w:rPr>
        <w:t>2.2.2.3</w:t>
      </w:r>
      <w:r w:rsidRPr="00DD2A86">
        <w:rPr>
          <w:iCs/>
          <w:lang w:val="de-DE"/>
        </w:rPr>
        <w:tab/>
      </w:r>
      <w:r w:rsidRPr="00DD2A86">
        <w:rPr>
          <w:b/>
          <w:iCs/>
          <w:lang w:val="de-DE"/>
        </w:rPr>
        <w:tab/>
      </w:r>
      <w:r w:rsidRPr="00DD2A86">
        <w:rPr>
          <w:iCs/>
          <w:lang w:val="de-DE"/>
        </w:rPr>
        <w:t>In der Tabelle „Andere Gegenstände, die Gas unter Druck enthalten“ folgende Änderungen vornehmen:</w:t>
      </w:r>
    </w:p>
    <w:p w:rsidR="00865914" w:rsidRPr="00DD2A86" w:rsidRDefault="00865914" w:rsidP="00865914">
      <w:pPr>
        <w:tabs>
          <w:tab w:val="left" w:pos="2552"/>
        </w:tabs>
        <w:spacing w:before="120" w:after="120" w:line="240" w:lineRule="auto"/>
        <w:ind w:left="2552" w:right="1134" w:hanging="284"/>
        <w:jc w:val="both"/>
        <w:rPr>
          <w:lang w:val="de-DE"/>
        </w:rPr>
      </w:pPr>
      <w:r w:rsidRPr="00DD2A86">
        <w:rPr>
          <w:iCs/>
          <w:lang w:val="de-DE"/>
        </w:rPr>
        <w:t>–</w:t>
      </w:r>
      <w:r w:rsidRPr="00DD2A86">
        <w:rPr>
          <w:iCs/>
          <w:lang w:val="de-DE"/>
        </w:rPr>
        <w:tab/>
        <w:t>Unter dem Klassifizierungscode 6 A folgende neue Eintragung hinzufügen: „</w:t>
      </w:r>
      <w:r w:rsidRPr="00DD2A86">
        <w:rPr>
          <w:lang w:val="de-DE"/>
        </w:rPr>
        <w:t xml:space="preserve">3538 </w:t>
      </w:r>
      <w:r w:rsidRPr="00DD2A86">
        <w:rPr>
          <w:caps/>
          <w:color w:val="000000"/>
          <w:lang w:val="de-DE" w:eastAsia="de-DE"/>
        </w:rPr>
        <w:t>Gegenstände, die nicht entzündbares, nicht giftiges Gas enthalten,</w:t>
      </w:r>
      <w:r w:rsidRPr="00DD2A86">
        <w:rPr>
          <w:color w:val="000000"/>
          <w:lang w:val="de-DE" w:eastAsia="de-DE"/>
        </w:rPr>
        <w:t xml:space="preserve"> N.A.G</w:t>
      </w:r>
      <w:r w:rsidRPr="00DD2A86">
        <w:rPr>
          <w:lang w:val="de-DE"/>
        </w:rPr>
        <w:t>.“.</w:t>
      </w:r>
    </w:p>
    <w:p w:rsidR="00865914" w:rsidRPr="00DD2A86" w:rsidRDefault="00865914" w:rsidP="00865914">
      <w:pPr>
        <w:tabs>
          <w:tab w:val="left" w:pos="2552"/>
        </w:tabs>
        <w:spacing w:before="120" w:after="120" w:line="240" w:lineRule="auto"/>
        <w:ind w:left="2552" w:right="1134" w:hanging="284"/>
        <w:jc w:val="both"/>
        <w:rPr>
          <w:lang w:val="de-DE"/>
        </w:rPr>
      </w:pPr>
      <w:r w:rsidRPr="00DD2A86">
        <w:rPr>
          <w:lang w:val="de-DE"/>
        </w:rPr>
        <w:t>–</w:t>
      </w:r>
      <w:r w:rsidRPr="00DD2A86">
        <w:rPr>
          <w:lang w:val="de-DE"/>
        </w:rPr>
        <w:tab/>
        <w:t xml:space="preserve">Unter dem Klassifizierungscode 6 F </w:t>
      </w:r>
      <w:r w:rsidRPr="00DD2A86">
        <w:rPr>
          <w:iCs/>
          <w:lang w:val="de-DE"/>
        </w:rPr>
        <w:t>folgende neue Eintragung</w:t>
      </w:r>
      <w:r w:rsidRPr="00DD2A86">
        <w:rPr>
          <w:lang w:val="de-DE"/>
        </w:rPr>
        <w:t xml:space="preserve"> hinzufügen: „3537 </w:t>
      </w:r>
      <w:r w:rsidRPr="00DD2A86">
        <w:rPr>
          <w:caps/>
          <w:color w:val="000000"/>
          <w:lang w:val="de-DE" w:eastAsia="de-DE"/>
        </w:rPr>
        <w:t>Gegenstände, die entzündbares Gas enthalten, n.a.g.</w:t>
      </w:r>
      <w:r w:rsidRPr="00DD2A86">
        <w:rPr>
          <w:lang w:val="de-DE"/>
        </w:rPr>
        <w:t>“.</w:t>
      </w:r>
    </w:p>
    <w:p w:rsidR="00865914" w:rsidRPr="00DD2A86" w:rsidRDefault="00865914" w:rsidP="00865914">
      <w:pPr>
        <w:tabs>
          <w:tab w:val="left" w:pos="2552"/>
        </w:tabs>
        <w:spacing w:before="120" w:after="120" w:line="240" w:lineRule="auto"/>
        <w:ind w:left="2552" w:right="1134" w:hanging="284"/>
        <w:jc w:val="both"/>
        <w:rPr>
          <w:iCs/>
          <w:color w:val="000000"/>
          <w:lang w:val="de-DE" w:eastAsia="de-DE"/>
        </w:rPr>
      </w:pPr>
      <w:r w:rsidRPr="00DD2A86">
        <w:rPr>
          <w:lang w:val="de-DE"/>
        </w:rPr>
        <w:t>–</w:t>
      </w:r>
      <w:r w:rsidRPr="00DD2A86">
        <w:rPr>
          <w:lang w:val="de-DE"/>
        </w:rPr>
        <w:tab/>
        <w:t xml:space="preserve">Am Ende der Tabelle </w:t>
      </w:r>
      <w:r w:rsidRPr="00DD2A86">
        <w:rPr>
          <w:iCs/>
          <w:lang w:val="de-DE"/>
        </w:rPr>
        <w:t>folgende neue Eintragung</w:t>
      </w:r>
      <w:r w:rsidRPr="00DD2A86">
        <w:rPr>
          <w:lang w:val="de-DE"/>
        </w:rPr>
        <w:t xml:space="preserve"> hinzufügen:</w:t>
      </w:r>
      <w:r w:rsidRPr="00DD2A86">
        <w:rPr>
          <w:iCs/>
          <w:color w:val="000000"/>
          <w:lang w:val="de-DE" w:eastAsia="de-DE"/>
        </w:rPr>
        <w:t>„</w:t>
      </w:r>
    </w:p>
    <w:tbl>
      <w:tblPr>
        <w:tblW w:w="6105" w:type="dxa"/>
        <w:tblInd w:w="233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50"/>
        <w:gridCol w:w="5555"/>
      </w:tblGrid>
      <w:tr w:rsidR="00865914" w:rsidRPr="00E139A8" w:rsidTr="00865914">
        <w:tc>
          <w:tcPr>
            <w:tcW w:w="550" w:type="dxa"/>
          </w:tcPr>
          <w:p w:rsidR="00865914" w:rsidRPr="00DD2A86" w:rsidRDefault="00865914" w:rsidP="00865914">
            <w:pPr>
              <w:tabs>
                <w:tab w:val="left" w:pos="567"/>
              </w:tabs>
              <w:suppressAutoHyphens w:val="0"/>
              <w:spacing w:line="240" w:lineRule="auto"/>
              <w:ind w:left="567" w:hanging="567"/>
              <w:rPr>
                <w:sz w:val="18"/>
                <w:szCs w:val="18"/>
                <w:lang w:val="de-DE" w:eastAsia="de-DE"/>
              </w:rPr>
            </w:pPr>
            <w:r w:rsidRPr="00DD2A86">
              <w:rPr>
                <w:sz w:val="18"/>
                <w:szCs w:val="18"/>
                <w:lang w:val="de-DE" w:eastAsia="de-DE"/>
              </w:rPr>
              <w:t>6 T</w:t>
            </w:r>
          </w:p>
        </w:tc>
        <w:tc>
          <w:tcPr>
            <w:tcW w:w="5555" w:type="dxa"/>
          </w:tcPr>
          <w:p w:rsidR="00865914" w:rsidRPr="00DD2A86" w:rsidRDefault="00865914" w:rsidP="00865914">
            <w:pPr>
              <w:tabs>
                <w:tab w:val="left" w:pos="567"/>
              </w:tabs>
              <w:suppressAutoHyphens w:val="0"/>
              <w:spacing w:line="240" w:lineRule="auto"/>
              <w:ind w:left="567" w:hanging="567"/>
              <w:rPr>
                <w:i/>
                <w:spacing w:val="-3"/>
                <w:sz w:val="18"/>
                <w:szCs w:val="18"/>
                <w:lang w:val="de-DE" w:eastAsia="de-DE"/>
              </w:rPr>
            </w:pPr>
            <w:r w:rsidRPr="00DD2A86">
              <w:rPr>
                <w:sz w:val="18"/>
                <w:szCs w:val="18"/>
                <w:lang w:val="de-DE" w:eastAsia="de-DE"/>
              </w:rPr>
              <w:t>3539</w:t>
            </w:r>
            <w:r w:rsidRPr="00DD2A86">
              <w:rPr>
                <w:sz w:val="18"/>
                <w:szCs w:val="18"/>
                <w:lang w:val="de-DE" w:eastAsia="de-DE"/>
              </w:rPr>
              <w:tab/>
            </w:r>
            <w:r w:rsidRPr="00DD2A86">
              <w:rPr>
                <w:caps/>
                <w:sz w:val="18"/>
                <w:szCs w:val="18"/>
                <w:lang w:val="de-DE" w:eastAsia="de-DE"/>
              </w:rPr>
              <w:t>Gegenstände, die giftiges Gas enthalten,</w:t>
            </w:r>
            <w:r w:rsidRPr="00DD2A86">
              <w:rPr>
                <w:sz w:val="18"/>
                <w:szCs w:val="18"/>
                <w:lang w:val="de-DE" w:eastAsia="de-DE"/>
              </w:rPr>
              <w:t xml:space="preserve"> N.A.G.</w:t>
            </w:r>
          </w:p>
        </w:tc>
      </w:tr>
    </w:tbl>
    <w:p w:rsidR="00865914" w:rsidRPr="00DD2A86" w:rsidRDefault="00A8314E" w:rsidP="00865914">
      <w:pPr>
        <w:suppressAutoHyphens w:val="0"/>
        <w:spacing w:line="240" w:lineRule="auto"/>
        <w:ind w:left="2552"/>
        <w:jc w:val="both"/>
        <w:rPr>
          <w:iCs/>
          <w:color w:val="000000"/>
          <w:lang w:val="de-DE" w:eastAsia="de-DE"/>
        </w:rPr>
      </w:pPr>
      <w:r w:rsidRPr="00DD2A86">
        <w:rPr>
          <w:lang w:val="de-DE"/>
        </w:rPr>
        <w:t>“</w:t>
      </w:r>
      <w:r w:rsidRPr="00DD2A86">
        <w:rPr>
          <w:iCs/>
          <w:color w:val="000000"/>
          <w:lang w:val="de-DE" w:eastAsia="de-DE"/>
        </w:rPr>
        <w:t xml:space="preserve"> </w:t>
      </w:r>
      <w:r w:rsidR="00865914" w:rsidRPr="00DD2A86">
        <w:rPr>
          <w:iCs/>
          <w:color w:val="000000"/>
          <w:lang w:val="de-DE" w:eastAsia="de-DE"/>
        </w:rPr>
        <w:t>.</w:t>
      </w:r>
    </w:p>
    <w:p w:rsidR="00865914" w:rsidRPr="00DD2A86" w:rsidRDefault="00865914" w:rsidP="00865914">
      <w:pPr>
        <w:suppressAutoHyphens w:val="0"/>
        <w:spacing w:line="240" w:lineRule="auto"/>
        <w:ind w:left="2552"/>
        <w:jc w:val="both"/>
        <w:rPr>
          <w:iCs/>
          <w:color w:val="000000"/>
          <w:lang w:val="de-DE" w:eastAsia="de-DE"/>
        </w:rPr>
      </w:pPr>
    </w:p>
    <w:p w:rsidR="00865914" w:rsidRPr="00DD2A86" w:rsidRDefault="00865914" w:rsidP="00865914">
      <w:pPr>
        <w:spacing w:before="120" w:after="120" w:line="240" w:lineRule="auto"/>
        <w:ind w:left="1134" w:right="1134"/>
        <w:jc w:val="both"/>
        <w:rPr>
          <w:iCs/>
          <w:lang w:val="de-DE"/>
        </w:rPr>
      </w:pPr>
      <w:r w:rsidRPr="00DD2A86">
        <w:rPr>
          <w:lang w:val="de-DE"/>
        </w:rPr>
        <w:t>2.2.3.1.2</w:t>
      </w:r>
      <w:r w:rsidRPr="00DD2A86">
        <w:rPr>
          <w:lang w:val="de-DE"/>
        </w:rPr>
        <w:tab/>
        <w:t xml:space="preserve">[Die Änderung zu Klassifizierungscode </w:t>
      </w:r>
      <w:r w:rsidR="00A8314E" w:rsidRPr="00DD2A86">
        <w:rPr>
          <w:lang w:val="de-DE"/>
        </w:rPr>
        <w:t>„</w:t>
      </w:r>
      <w:r w:rsidRPr="00DD2A86">
        <w:rPr>
          <w:lang w:val="de-DE"/>
        </w:rPr>
        <w:t>F</w:t>
      </w:r>
      <w:r w:rsidR="00A8314E" w:rsidRPr="00DD2A86">
        <w:rPr>
          <w:lang w:val="de-DE"/>
        </w:rPr>
        <w:t>“</w:t>
      </w:r>
      <w:r w:rsidRPr="00DD2A86">
        <w:rPr>
          <w:lang w:val="de-DE"/>
        </w:rPr>
        <w:t xml:space="preserve"> in der englischen und französischen Fassung hat keine Auswirkungen auf den deutschen Text.]</w:t>
      </w:r>
    </w:p>
    <w:p w:rsidR="00865914" w:rsidRPr="00DD2A86" w:rsidRDefault="00865914" w:rsidP="00865914">
      <w:pPr>
        <w:spacing w:before="120" w:after="120" w:line="240" w:lineRule="auto"/>
        <w:ind w:left="1134" w:right="1134"/>
        <w:jc w:val="both"/>
        <w:rPr>
          <w:iCs/>
          <w:lang w:val="de-DE"/>
        </w:rPr>
      </w:pPr>
      <w:r w:rsidRPr="00DD2A86">
        <w:rPr>
          <w:lang w:val="de-DE"/>
        </w:rPr>
        <w:t>2.2.3.1.3</w:t>
      </w:r>
      <w:r w:rsidRPr="00DD2A86">
        <w:rPr>
          <w:lang w:val="de-DE"/>
        </w:rPr>
        <w:tab/>
        <w:t>[Die Änderungen zum letzten Unterabsatz in der englischen und französischen Fassung haben keine Auswirkungen auf den deutschen Text.]</w:t>
      </w:r>
    </w:p>
    <w:p w:rsidR="00865914" w:rsidRPr="00DD2A86" w:rsidRDefault="00865914" w:rsidP="00865914">
      <w:pPr>
        <w:spacing w:before="120" w:after="120" w:line="240" w:lineRule="auto"/>
        <w:ind w:left="1134" w:right="1134"/>
        <w:jc w:val="both"/>
        <w:rPr>
          <w:iCs/>
          <w:lang w:val="de-DE" w:eastAsia="en-GB"/>
        </w:rPr>
      </w:pPr>
      <w:r w:rsidRPr="00DD2A86">
        <w:rPr>
          <w:lang w:val="de-DE"/>
        </w:rPr>
        <w:t>2.2.3.1.6</w:t>
      </w:r>
      <w:r w:rsidRPr="00DD2A86">
        <w:rPr>
          <w:lang w:val="de-DE"/>
        </w:rPr>
        <w:tab/>
        <w:t>„</w:t>
      </w:r>
      <w:r w:rsidRPr="00DD2A86">
        <w:rPr>
          <w:iCs/>
          <w:lang w:val="de-DE" w:eastAsia="en-GB"/>
        </w:rPr>
        <w:t>Bereiche der Gefährlichkeit“ ändern in: „Gefahrenkategorien“.</w:t>
      </w:r>
    </w:p>
    <w:p w:rsidR="00865914" w:rsidRPr="00DD2A86" w:rsidRDefault="00865914" w:rsidP="00865914">
      <w:pPr>
        <w:spacing w:before="120" w:after="120" w:line="240" w:lineRule="auto"/>
        <w:ind w:left="1134" w:right="1134"/>
        <w:jc w:val="both"/>
        <w:rPr>
          <w:iCs/>
          <w:lang w:val="de-DE" w:eastAsia="en-GB"/>
        </w:rPr>
      </w:pPr>
      <w:r w:rsidRPr="00DD2A86">
        <w:rPr>
          <w:lang w:val="de-DE" w:eastAsia="en-GB"/>
        </w:rPr>
        <w:t>2.2.3.3</w:t>
      </w:r>
      <w:r w:rsidRPr="00DD2A86">
        <w:rPr>
          <w:lang w:val="de-DE" w:eastAsia="en-GB"/>
        </w:rPr>
        <w:tab/>
      </w:r>
      <w:r w:rsidRPr="00DD2A86">
        <w:rPr>
          <w:lang w:val="de-DE" w:eastAsia="en-GB"/>
        </w:rPr>
        <w:tab/>
        <w:t>[Die Änderungen zu „F“ und „FT2“ in der englischen und französischen Fassung haben keine Auswirkungen auf den deutschen Text.]</w:t>
      </w:r>
    </w:p>
    <w:p w:rsidR="00865914" w:rsidRPr="00DD2A86" w:rsidRDefault="00865914" w:rsidP="00865914">
      <w:pPr>
        <w:spacing w:before="120" w:after="120" w:line="240" w:lineRule="auto"/>
        <w:ind w:left="1134" w:right="1134"/>
        <w:jc w:val="both"/>
        <w:rPr>
          <w:iCs/>
          <w:lang w:val="de-DE" w:eastAsia="en-GB"/>
        </w:rPr>
      </w:pPr>
      <w:r w:rsidRPr="00DD2A86">
        <w:rPr>
          <w:lang w:val="de-DE" w:eastAsia="en-GB"/>
        </w:rPr>
        <w:t>2.2.3.3</w:t>
      </w:r>
      <w:r w:rsidRPr="00DD2A86">
        <w:rPr>
          <w:lang w:val="de-DE" w:eastAsia="en-GB"/>
        </w:rPr>
        <w:tab/>
      </w:r>
      <w:r w:rsidRPr="00DD2A86">
        <w:rPr>
          <w:lang w:val="de-DE" w:eastAsia="en-GB"/>
        </w:rPr>
        <w:tab/>
      </w:r>
      <w:r w:rsidRPr="00DD2A86">
        <w:rPr>
          <w:iCs/>
          <w:lang w:val="de-DE" w:eastAsia="en-GB"/>
        </w:rPr>
        <w:t xml:space="preserve">Unter „ohne Nebengefahr, </w:t>
      </w:r>
      <w:r w:rsidR="009B508D">
        <w:rPr>
          <w:iCs/>
          <w:lang w:val="de-DE" w:eastAsia="en-GB"/>
        </w:rPr>
        <w:t xml:space="preserve">F3, </w:t>
      </w:r>
      <w:r w:rsidRPr="00DD2A86">
        <w:rPr>
          <w:iCs/>
          <w:lang w:val="de-DE" w:eastAsia="en-GB"/>
        </w:rPr>
        <w:t>Gegenstände“ folgende neue Eintragung hinzufügen: „3540</w:t>
      </w:r>
      <w:r w:rsidRPr="00DD2A86">
        <w:rPr>
          <w:iCs/>
          <w:lang w:val="de-DE" w:eastAsia="en-GB"/>
        </w:rPr>
        <w:tab/>
      </w:r>
      <w:r w:rsidRPr="00DD2A86">
        <w:rPr>
          <w:iCs/>
          <w:caps/>
          <w:color w:val="000000"/>
          <w:lang w:val="de-DE" w:eastAsia="de-DE"/>
        </w:rPr>
        <w:t>Gegenstände, die EINEN entzündbaren flüssigen Stoff enthalten, n.a.g</w:t>
      </w:r>
      <w:r w:rsidRPr="00DD2A86">
        <w:rPr>
          <w:iCs/>
          <w:lang w:val="de-DE" w:eastAsia="en-GB"/>
        </w:rPr>
        <w:t>.“.</w:t>
      </w:r>
    </w:p>
    <w:p w:rsidR="00865914" w:rsidRPr="00DD2A86" w:rsidRDefault="00865914" w:rsidP="00865914">
      <w:pPr>
        <w:spacing w:before="120" w:after="120"/>
        <w:ind w:left="1134" w:right="1134"/>
        <w:jc w:val="both"/>
        <w:rPr>
          <w:iCs/>
          <w:lang w:val="de-DE"/>
        </w:rPr>
      </w:pPr>
      <w:r w:rsidRPr="00DD2A86">
        <w:rPr>
          <w:lang w:val="de-DE"/>
        </w:rPr>
        <w:t>2.2.41.1.2</w:t>
      </w:r>
      <w:r w:rsidRPr="00DD2A86">
        <w:rPr>
          <w:lang w:val="de-DE"/>
        </w:rPr>
        <w:tab/>
        <w:t>[Die Änderungen zu „F“ und „D“ in der englischen und französischen Fassung haben keine Auswirkungen auf den deutschen Text.]</w:t>
      </w:r>
    </w:p>
    <w:p w:rsidR="00865914" w:rsidRPr="00DD2A86" w:rsidRDefault="00865914" w:rsidP="00865914">
      <w:pPr>
        <w:spacing w:before="120" w:after="120"/>
        <w:ind w:left="1134" w:right="1134"/>
        <w:jc w:val="both"/>
        <w:rPr>
          <w:iCs/>
          <w:lang w:val="de-DE" w:eastAsia="en-GB"/>
        </w:rPr>
      </w:pPr>
      <w:r w:rsidRPr="00DD2A86">
        <w:rPr>
          <w:lang w:val="de-DE"/>
        </w:rPr>
        <w:t>2.2.41.1.7</w:t>
      </w:r>
      <w:r w:rsidRPr="00DD2A86">
        <w:rPr>
          <w:lang w:val="de-DE"/>
        </w:rPr>
        <w:tab/>
        <w:t>„</w:t>
      </w:r>
      <w:r w:rsidRPr="00DD2A86">
        <w:rPr>
          <w:iCs/>
          <w:lang w:val="de-DE" w:eastAsia="en-GB"/>
        </w:rPr>
        <w:t>Bereiche der Gefährlichkeit“ ändern in: „Gefahrenkategorien“.</w:t>
      </w:r>
    </w:p>
    <w:p w:rsidR="00865914" w:rsidRPr="00DD2A86" w:rsidRDefault="00865914" w:rsidP="00865914">
      <w:pPr>
        <w:spacing w:before="120" w:after="120"/>
        <w:ind w:left="1134" w:right="1134"/>
        <w:jc w:val="both"/>
        <w:rPr>
          <w:iCs/>
          <w:lang w:val="de-DE"/>
        </w:rPr>
      </w:pPr>
      <w:r w:rsidRPr="00DD2A86">
        <w:rPr>
          <w:lang w:val="de-DE"/>
        </w:rPr>
        <w:t>2.2.41.1.12</w:t>
      </w:r>
      <w:r w:rsidRPr="00DD2A86">
        <w:rPr>
          <w:lang w:val="de-DE"/>
        </w:rPr>
        <w:tab/>
      </w:r>
      <w:r w:rsidRPr="00DD2A86">
        <w:rPr>
          <w:iCs/>
          <w:lang w:val="de-DE"/>
        </w:rPr>
        <w:t>[Die Änderung zum ersten Unterabsatz in der englischen und französischen Fassung hat keine Auswirkungen auf den deutschen Text.]</w:t>
      </w:r>
    </w:p>
    <w:p w:rsidR="00865914" w:rsidRPr="00DD2A86" w:rsidRDefault="00865914" w:rsidP="00865914">
      <w:pPr>
        <w:spacing w:before="120" w:after="120"/>
        <w:ind w:left="1134" w:right="1134"/>
        <w:jc w:val="both"/>
        <w:rPr>
          <w:iCs/>
          <w:lang w:val="de-DE"/>
        </w:rPr>
      </w:pPr>
      <w:r w:rsidRPr="00DD2A86">
        <w:rPr>
          <w:iCs/>
          <w:lang w:val="de-DE"/>
        </w:rPr>
        <w:t>2.2.41.1.17</w:t>
      </w:r>
      <w:r w:rsidRPr="00DD2A86">
        <w:rPr>
          <w:iCs/>
          <w:lang w:val="de-DE"/>
        </w:rPr>
        <w:tab/>
        <w:t>erhält folgenden Wortlaut:</w:t>
      </w:r>
    </w:p>
    <w:p w:rsidR="00865914" w:rsidRPr="00DD2A86" w:rsidRDefault="00865914" w:rsidP="00865914">
      <w:pPr>
        <w:spacing w:before="120" w:after="120"/>
        <w:ind w:left="1134" w:right="1134"/>
        <w:jc w:val="both"/>
        <w:rPr>
          <w:iCs/>
          <w:lang w:val="de-DE"/>
        </w:rPr>
      </w:pPr>
      <w:r w:rsidRPr="00DD2A86">
        <w:rPr>
          <w:iCs/>
          <w:lang w:val="de-DE"/>
        </w:rPr>
        <w:t>„2.2.41.1.17</w:t>
      </w:r>
      <w:r w:rsidRPr="00DD2A86">
        <w:rPr>
          <w:iCs/>
          <w:lang w:val="de-DE"/>
        </w:rPr>
        <w:tab/>
        <w:t>Selbstzersetzliche Stoffe mit einer SADT von höchstens 55 °C müssen unter Temperaturkontrolle befördert werden. Siehe Abschnitt 7.1.7.“.</w:t>
      </w:r>
    </w:p>
    <w:p w:rsidR="00865914" w:rsidRPr="00DD2A86" w:rsidRDefault="00865914" w:rsidP="00865914">
      <w:pPr>
        <w:spacing w:before="120" w:after="120"/>
        <w:ind w:left="1134" w:right="1134"/>
        <w:jc w:val="both"/>
        <w:rPr>
          <w:iCs/>
          <w:lang w:val="de-DE"/>
        </w:rPr>
      </w:pPr>
      <w:r w:rsidRPr="00DD2A86">
        <w:rPr>
          <w:iCs/>
          <w:lang w:val="de-DE"/>
        </w:rPr>
        <w:t>2.2.41.1.21</w:t>
      </w:r>
      <w:r w:rsidRPr="00DD2A86">
        <w:rPr>
          <w:iCs/>
          <w:lang w:val="de-DE"/>
        </w:rPr>
        <w:tab/>
        <w:t>Am Ende folgenden Text und folgende Bem. hinzufügen:</w:t>
      </w:r>
    </w:p>
    <w:p w:rsidR="00865914" w:rsidRPr="00DD2A86" w:rsidRDefault="00865914" w:rsidP="00865914">
      <w:pPr>
        <w:spacing w:before="120" w:after="120"/>
        <w:ind w:left="1134" w:right="1134"/>
        <w:jc w:val="both"/>
        <w:rPr>
          <w:iCs/>
          <w:lang w:val="de-DE"/>
        </w:rPr>
      </w:pPr>
      <w:r w:rsidRPr="00DD2A86">
        <w:rPr>
          <w:iCs/>
          <w:lang w:val="de-DE"/>
        </w:rPr>
        <w:t>„Siehe Abschnitt 7.1.7.</w:t>
      </w:r>
    </w:p>
    <w:p w:rsidR="00865914" w:rsidRPr="00DD2A86" w:rsidRDefault="00865914" w:rsidP="00F04668">
      <w:pPr>
        <w:spacing w:before="120" w:after="120"/>
        <w:ind w:left="1701" w:right="1134" w:hanging="567"/>
        <w:jc w:val="both"/>
        <w:rPr>
          <w:iCs/>
          <w:lang w:val="de-DE"/>
        </w:rPr>
      </w:pPr>
      <w:r w:rsidRPr="00DD2A86">
        <w:rPr>
          <w:b/>
          <w:iCs/>
          <w:lang w:val="de-DE"/>
        </w:rPr>
        <w:t>Bem.</w:t>
      </w:r>
      <w:r w:rsidRPr="00DD2A86">
        <w:rPr>
          <w:iCs/>
          <w:lang w:val="de-DE"/>
        </w:rPr>
        <w:tab/>
        <w:t>Stoffe, die den Kriterien für polymerisierende Stoffe und darüber hinaus den Kriterien für eine Aufnahme in die Klassen 1 bis 8 entsprechen, unterliegen den Vorschriften der Sondervorschrift 386 des Kapitels 3.3.“.</w:t>
      </w:r>
    </w:p>
    <w:p w:rsidR="00865914" w:rsidRPr="00DD2A86" w:rsidRDefault="00865914" w:rsidP="00865914">
      <w:pPr>
        <w:spacing w:before="120" w:after="120"/>
        <w:ind w:left="1134" w:right="1134"/>
        <w:jc w:val="both"/>
        <w:rPr>
          <w:iCs/>
          <w:lang w:val="de-DE"/>
        </w:rPr>
      </w:pPr>
      <w:r w:rsidRPr="00DD2A86">
        <w:rPr>
          <w:lang w:val="de-DE"/>
        </w:rPr>
        <w:t>2.2.41.3</w:t>
      </w:r>
      <w:r w:rsidRPr="00DD2A86">
        <w:rPr>
          <w:lang w:val="de-DE"/>
        </w:rPr>
        <w:tab/>
        <w:t>[Die erste Änderung in der englischen und französischen Fassung hat keine Auswirkungen auf den deutschen Text.]</w:t>
      </w:r>
    </w:p>
    <w:p w:rsidR="00865914" w:rsidRPr="00DD2A86" w:rsidRDefault="00865914" w:rsidP="00865914">
      <w:pPr>
        <w:spacing w:before="120" w:after="120"/>
        <w:ind w:left="1134" w:right="1134"/>
        <w:jc w:val="both"/>
        <w:rPr>
          <w:iCs/>
          <w:color w:val="000000"/>
          <w:lang w:val="de-DE" w:eastAsia="de-DE"/>
        </w:rPr>
      </w:pPr>
      <w:r w:rsidRPr="00DD2A86">
        <w:rPr>
          <w:iCs/>
          <w:lang w:val="de-DE"/>
        </w:rPr>
        <w:t>2.2.41.3</w:t>
      </w:r>
      <w:r w:rsidRPr="00DD2A86">
        <w:rPr>
          <w:iCs/>
          <w:lang w:val="de-DE"/>
        </w:rPr>
        <w:tab/>
      </w:r>
      <w:r w:rsidRPr="00DD2A86">
        <w:rPr>
          <w:iCs/>
          <w:color w:val="000000"/>
          <w:lang w:val="de-DE" w:eastAsia="de-DE"/>
        </w:rPr>
        <w:t>Unter „entzündbare feste Stoffe, ohne Nebengefahr, Gegenstände, F4“ folgende neue Eintragung hinzufügen:</w:t>
      </w:r>
    </w:p>
    <w:p w:rsidR="00865914" w:rsidRPr="00DD2A86" w:rsidRDefault="00865914" w:rsidP="00865914">
      <w:pPr>
        <w:suppressAutoHyphens w:val="0"/>
        <w:spacing w:line="240" w:lineRule="auto"/>
        <w:ind w:left="2127" w:right="1134" w:hanging="993"/>
        <w:jc w:val="both"/>
        <w:rPr>
          <w:iCs/>
          <w:color w:val="000000"/>
          <w:lang w:val="de-DE" w:eastAsia="de-DE"/>
        </w:rPr>
      </w:pPr>
      <w:r w:rsidRPr="00DD2A86">
        <w:rPr>
          <w:iCs/>
          <w:color w:val="000000"/>
          <w:lang w:val="de-DE" w:eastAsia="de-DE"/>
        </w:rPr>
        <w:t>„3541</w:t>
      </w:r>
      <w:r w:rsidRPr="00DD2A86">
        <w:rPr>
          <w:iCs/>
          <w:color w:val="000000"/>
          <w:lang w:val="de-DE" w:eastAsia="de-DE"/>
        </w:rPr>
        <w:tab/>
      </w:r>
      <w:r w:rsidRPr="00DD2A86">
        <w:rPr>
          <w:iCs/>
          <w:caps/>
          <w:color w:val="000000"/>
          <w:lang w:val="de-DE" w:eastAsia="de-DE"/>
        </w:rPr>
        <w:t>Gegenstände, die EINEN entzündbaren festen Stoff enthalten, n.a.g.“</w:t>
      </w:r>
      <w:r w:rsidRPr="00DD2A86">
        <w:rPr>
          <w:iCs/>
          <w:color w:val="000000"/>
          <w:lang w:val="de-DE" w:eastAsia="de-DE"/>
        </w:rPr>
        <w:t>.</w:t>
      </w:r>
    </w:p>
    <w:p w:rsidR="00865914" w:rsidRPr="00DD2A86" w:rsidRDefault="00865914" w:rsidP="00B307A1">
      <w:pPr>
        <w:spacing w:before="120"/>
        <w:ind w:left="1134" w:right="1134"/>
        <w:jc w:val="both"/>
        <w:rPr>
          <w:iCs/>
          <w:color w:val="000000"/>
          <w:lang w:val="de-DE" w:eastAsia="de-DE"/>
        </w:rPr>
      </w:pPr>
      <w:r w:rsidRPr="00DD2A86">
        <w:rPr>
          <w:lang w:val="de-DE"/>
        </w:rPr>
        <w:t>2.2.41.4</w:t>
      </w:r>
      <w:r w:rsidRPr="00DD2A86">
        <w:rPr>
          <w:lang w:val="de-DE"/>
        </w:rPr>
        <w:tab/>
      </w:r>
      <w:r w:rsidRPr="00DD2A86">
        <w:rPr>
          <w:iCs/>
          <w:color w:val="000000"/>
          <w:lang w:val="de-DE" w:eastAsia="de-DE"/>
        </w:rPr>
        <w:t>Am Ende des ersten Unterabsatzes „siehe Unterabschnitt 4.2.5.2“ ändern in: „siehe Absatz 4.2.5.2.6“.</w:t>
      </w:r>
    </w:p>
    <w:p w:rsidR="00865914" w:rsidRPr="00DD2A86" w:rsidRDefault="00865914" w:rsidP="00865914">
      <w:pPr>
        <w:suppressAutoHyphens w:val="0"/>
        <w:spacing w:before="120" w:line="240" w:lineRule="auto"/>
        <w:ind w:left="1134" w:right="1134"/>
        <w:jc w:val="both"/>
        <w:rPr>
          <w:iCs/>
          <w:color w:val="000000"/>
          <w:lang w:val="de-DE" w:eastAsia="de-DE"/>
        </w:rPr>
      </w:pPr>
      <w:r w:rsidRPr="00DD2A86">
        <w:rPr>
          <w:iCs/>
          <w:color w:val="000000"/>
          <w:lang w:val="de-DE" w:eastAsia="de-DE"/>
        </w:rPr>
        <w:t>Am Ende des ersten Unterabsatzes folgenden Satz hinzufügen:</w:t>
      </w:r>
    </w:p>
    <w:p w:rsidR="00865914" w:rsidRPr="00DD2A86" w:rsidRDefault="00865914" w:rsidP="00865914">
      <w:pPr>
        <w:suppressAutoHyphens w:val="0"/>
        <w:spacing w:before="120" w:line="240" w:lineRule="auto"/>
        <w:ind w:left="1134" w:right="1134"/>
        <w:jc w:val="both"/>
        <w:rPr>
          <w:iCs/>
          <w:lang w:val="de-DE" w:eastAsia="de-DE"/>
        </w:rPr>
      </w:pPr>
      <w:r w:rsidRPr="00DD2A86">
        <w:rPr>
          <w:iCs/>
          <w:lang w:val="de-DE" w:eastAsia="de-DE"/>
        </w:rPr>
        <w:t>„</w:t>
      </w:r>
      <w:r w:rsidRPr="00DD2A86">
        <w:rPr>
          <w:lang w:val="de-DE" w:eastAsia="de-DE"/>
        </w:rPr>
        <w:t>Die</w:t>
      </w:r>
      <w:r w:rsidRPr="00DD2A86">
        <w:rPr>
          <w:iCs/>
          <w:lang w:val="de-DE" w:eastAsia="de-DE"/>
        </w:rPr>
        <w:t xml:space="preserve"> in der Verpackungsanweisung IBC 520 des Unterabschnitts 4.1.4.2 des ADR und in der Anweisung für ortsbewegliche Tanks T 23 des Absatzes 4.2.5.2.6 des ADR aufgeführten Zubereitungen dürfen, gegebenenfalls mit denselben Kontroll- und Notfalltemperaturen, auch gemäß Unterabschnitt 4.1.4.1 des ADR Verpackungsanweisung P 520 Verpackungsmethode OP8 verpackt befördert werden.“.</w:t>
      </w:r>
    </w:p>
    <w:p w:rsidR="00865914" w:rsidRPr="00DD2A86" w:rsidRDefault="00865914" w:rsidP="00865914">
      <w:pPr>
        <w:spacing w:before="120" w:after="120"/>
        <w:ind w:left="1134" w:right="1134"/>
        <w:jc w:val="both"/>
        <w:rPr>
          <w:iCs/>
          <w:color w:val="000000"/>
          <w:lang w:val="de-DE" w:eastAsia="de-DE"/>
        </w:rPr>
      </w:pPr>
      <w:r w:rsidRPr="00DD2A86">
        <w:rPr>
          <w:lang w:val="de-DE"/>
        </w:rPr>
        <w:t>2.2.41.4</w:t>
      </w:r>
      <w:r w:rsidRPr="00DD2A86">
        <w:rPr>
          <w:lang w:val="de-DE"/>
        </w:rPr>
        <w:tab/>
      </w:r>
      <w:r w:rsidRPr="00DD2A86">
        <w:rPr>
          <w:iCs/>
          <w:color w:val="000000"/>
          <w:lang w:val="de-DE" w:eastAsia="de-DE"/>
        </w:rPr>
        <w:t>In der Tabelle folgende neue Eintragung einfügen:</w:t>
      </w:r>
    </w:p>
    <w:p w:rsidR="00865914" w:rsidRPr="00DD2A86" w:rsidRDefault="00865914" w:rsidP="00865914">
      <w:pPr>
        <w:suppressAutoHyphens w:val="0"/>
        <w:spacing w:line="240" w:lineRule="auto"/>
        <w:ind w:left="1418"/>
        <w:jc w:val="both"/>
        <w:rPr>
          <w:iCs/>
          <w:color w:val="000000"/>
          <w:lang w:val="de-DE" w:eastAsia="de-DE"/>
        </w:rPr>
      </w:pPr>
      <w:r w:rsidRPr="00DD2A86">
        <w:rPr>
          <w:iCs/>
          <w:color w:val="000000"/>
          <w:lang w:val="de-DE" w:eastAsia="de-DE"/>
        </w:rPr>
        <w:t>„</w:t>
      </w:r>
    </w:p>
    <w:tbl>
      <w:tblPr>
        <w:tblW w:w="8574"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992"/>
        <w:gridCol w:w="992"/>
        <w:gridCol w:w="992"/>
        <w:gridCol w:w="851"/>
        <w:gridCol w:w="850"/>
        <w:gridCol w:w="1203"/>
      </w:tblGrid>
      <w:tr w:rsidR="00865914" w:rsidRPr="00DD2A86" w:rsidTr="00865914">
        <w:trPr>
          <w:tblHeader/>
        </w:trPr>
        <w:tc>
          <w:tcPr>
            <w:tcW w:w="2694" w:type="dxa"/>
          </w:tcPr>
          <w:p w:rsidR="00865914" w:rsidRPr="00DD2A86" w:rsidRDefault="00865914" w:rsidP="00865914">
            <w:pPr>
              <w:suppressAutoHyphens w:val="0"/>
              <w:spacing w:before="180" w:line="240" w:lineRule="auto"/>
              <w:rPr>
                <w:sz w:val="16"/>
                <w:szCs w:val="16"/>
                <w:lang w:val="de-DE" w:eastAsia="de-DE"/>
              </w:rPr>
            </w:pPr>
            <w:r w:rsidRPr="00DD2A86">
              <w:rPr>
                <w:sz w:val="16"/>
                <w:szCs w:val="16"/>
                <w:lang w:val="de-DE" w:eastAsia="de-DE"/>
              </w:rPr>
              <w:t>Selbstzersetzlicher Stoff</w:t>
            </w:r>
          </w:p>
        </w:tc>
        <w:tc>
          <w:tcPr>
            <w:tcW w:w="992" w:type="dxa"/>
          </w:tcPr>
          <w:p w:rsidR="00865914" w:rsidRPr="00DD2A86" w:rsidRDefault="00865914" w:rsidP="00865914">
            <w:pPr>
              <w:suppressAutoHyphens w:val="0"/>
              <w:spacing w:before="180" w:line="240" w:lineRule="auto"/>
              <w:rPr>
                <w:sz w:val="16"/>
                <w:szCs w:val="16"/>
                <w:lang w:val="de-DE" w:eastAsia="de-DE"/>
              </w:rPr>
            </w:pPr>
            <w:r w:rsidRPr="00DD2A86">
              <w:rPr>
                <w:sz w:val="16"/>
                <w:szCs w:val="16"/>
                <w:lang w:val="de-DE" w:eastAsia="de-DE"/>
              </w:rPr>
              <w:t>Konzent</w:t>
            </w:r>
            <w:r w:rsidRPr="00DD2A86">
              <w:rPr>
                <w:sz w:val="16"/>
                <w:szCs w:val="16"/>
                <w:lang w:val="de-DE" w:eastAsia="de-DE"/>
              </w:rPr>
              <w:softHyphen/>
              <w:t>ration (%)</w:t>
            </w:r>
          </w:p>
        </w:tc>
        <w:tc>
          <w:tcPr>
            <w:tcW w:w="992" w:type="dxa"/>
          </w:tcPr>
          <w:p w:rsidR="00865914" w:rsidRPr="00DD2A86" w:rsidRDefault="00865914" w:rsidP="00865914">
            <w:pPr>
              <w:suppressAutoHyphens w:val="0"/>
              <w:spacing w:before="180" w:line="240" w:lineRule="auto"/>
              <w:rPr>
                <w:sz w:val="16"/>
                <w:szCs w:val="16"/>
                <w:lang w:val="de-DE" w:eastAsia="de-DE"/>
              </w:rPr>
            </w:pPr>
            <w:r w:rsidRPr="00DD2A86">
              <w:rPr>
                <w:sz w:val="16"/>
                <w:szCs w:val="16"/>
                <w:lang w:val="de-DE" w:eastAsia="de-DE"/>
              </w:rPr>
              <w:t>Verpackungs</w:t>
            </w:r>
            <w:r w:rsidRPr="00DD2A86">
              <w:rPr>
                <w:sz w:val="16"/>
                <w:szCs w:val="16"/>
                <w:lang w:val="de-DE" w:eastAsia="de-DE"/>
              </w:rPr>
              <w:softHyphen/>
              <w:t>methode</w:t>
            </w:r>
          </w:p>
        </w:tc>
        <w:tc>
          <w:tcPr>
            <w:tcW w:w="992" w:type="dxa"/>
          </w:tcPr>
          <w:p w:rsidR="00865914" w:rsidRPr="00DD2A86" w:rsidRDefault="00865914" w:rsidP="00865914">
            <w:pPr>
              <w:suppressAutoHyphens w:val="0"/>
              <w:spacing w:before="180" w:line="240" w:lineRule="auto"/>
              <w:rPr>
                <w:sz w:val="16"/>
                <w:szCs w:val="16"/>
                <w:lang w:val="de-DE" w:eastAsia="de-DE"/>
              </w:rPr>
            </w:pPr>
            <w:r w:rsidRPr="00DD2A86">
              <w:rPr>
                <w:sz w:val="16"/>
                <w:szCs w:val="16"/>
                <w:lang w:val="de-DE" w:eastAsia="de-DE"/>
              </w:rPr>
              <w:t>Kontroll</w:t>
            </w:r>
            <w:r w:rsidRPr="00DD2A86">
              <w:rPr>
                <w:sz w:val="16"/>
                <w:szCs w:val="16"/>
                <w:lang w:val="de-DE" w:eastAsia="de-DE"/>
              </w:rPr>
              <w:softHyphen/>
              <w:t>temperatur</w:t>
            </w:r>
            <w:r w:rsidRPr="00DD2A86">
              <w:rPr>
                <w:sz w:val="16"/>
                <w:szCs w:val="16"/>
                <w:lang w:val="de-DE" w:eastAsia="de-DE"/>
              </w:rPr>
              <w:br/>
              <w:t>(°C)</w:t>
            </w:r>
          </w:p>
        </w:tc>
        <w:tc>
          <w:tcPr>
            <w:tcW w:w="851" w:type="dxa"/>
          </w:tcPr>
          <w:p w:rsidR="00865914" w:rsidRPr="00DD2A86" w:rsidRDefault="00865914" w:rsidP="00865914">
            <w:pPr>
              <w:suppressAutoHyphens w:val="0"/>
              <w:spacing w:before="180" w:line="240" w:lineRule="auto"/>
              <w:rPr>
                <w:sz w:val="16"/>
                <w:szCs w:val="16"/>
                <w:lang w:val="de-DE" w:eastAsia="de-DE"/>
              </w:rPr>
            </w:pPr>
            <w:r w:rsidRPr="00DD2A86">
              <w:rPr>
                <w:sz w:val="16"/>
                <w:szCs w:val="16"/>
                <w:lang w:val="de-DE" w:eastAsia="de-DE"/>
              </w:rPr>
              <w:t>Notfall</w:t>
            </w:r>
            <w:r w:rsidRPr="00DD2A86">
              <w:rPr>
                <w:sz w:val="16"/>
                <w:szCs w:val="16"/>
                <w:lang w:val="de-DE" w:eastAsia="de-DE"/>
              </w:rPr>
              <w:softHyphen/>
              <w:t>temperatur</w:t>
            </w:r>
            <w:r w:rsidRPr="00DD2A86">
              <w:rPr>
                <w:sz w:val="16"/>
                <w:szCs w:val="16"/>
                <w:lang w:val="de-DE" w:eastAsia="de-DE"/>
              </w:rPr>
              <w:br/>
              <w:t>(°C)</w:t>
            </w:r>
          </w:p>
        </w:tc>
        <w:tc>
          <w:tcPr>
            <w:tcW w:w="850" w:type="dxa"/>
          </w:tcPr>
          <w:p w:rsidR="00865914" w:rsidRPr="00DD2A86" w:rsidRDefault="00865914" w:rsidP="00865914">
            <w:pPr>
              <w:suppressAutoHyphens w:val="0"/>
              <w:spacing w:before="180" w:line="240" w:lineRule="auto"/>
              <w:rPr>
                <w:sz w:val="16"/>
                <w:szCs w:val="16"/>
                <w:lang w:val="de-DE" w:eastAsia="de-DE"/>
              </w:rPr>
            </w:pPr>
            <w:r w:rsidRPr="00DD2A86">
              <w:rPr>
                <w:sz w:val="16"/>
                <w:szCs w:val="16"/>
                <w:lang w:val="de-DE" w:eastAsia="de-DE"/>
              </w:rPr>
              <w:t>UN-Num</w:t>
            </w:r>
            <w:r w:rsidRPr="00DD2A86">
              <w:rPr>
                <w:sz w:val="16"/>
                <w:szCs w:val="16"/>
                <w:lang w:val="de-DE" w:eastAsia="de-DE"/>
              </w:rPr>
              <w:softHyphen/>
              <w:t>mer der Gattungs</w:t>
            </w:r>
            <w:r w:rsidRPr="00DD2A86">
              <w:rPr>
                <w:sz w:val="16"/>
                <w:szCs w:val="16"/>
                <w:lang w:val="de-DE" w:eastAsia="de-DE"/>
              </w:rPr>
              <w:softHyphen/>
              <w:t>ein</w:t>
            </w:r>
            <w:r w:rsidRPr="00DD2A86">
              <w:rPr>
                <w:sz w:val="16"/>
                <w:szCs w:val="16"/>
                <w:lang w:val="de-DE" w:eastAsia="de-DE"/>
              </w:rPr>
              <w:softHyphen/>
              <w:t>tragung</w:t>
            </w:r>
          </w:p>
        </w:tc>
        <w:tc>
          <w:tcPr>
            <w:tcW w:w="1203" w:type="dxa"/>
          </w:tcPr>
          <w:p w:rsidR="00865914" w:rsidRPr="00DD2A86" w:rsidRDefault="00865914" w:rsidP="00865914">
            <w:pPr>
              <w:suppressAutoHyphens w:val="0"/>
              <w:spacing w:before="180" w:line="240" w:lineRule="auto"/>
              <w:rPr>
                <w:sz w:val="16"/>
                <w:szCs w:val="16"/>
                <w:lang w:val="de-DE" w:eastAsia="de-DE"/>
              </w:rPr>
            </w:pPr>
            <w:r w:rsidRPr="00DD2A86">
              <w:rPr>
                <w:sz w:val="16"/>
                <w:szCs w:val="16"/>
                <w:lang w:val="de-DE" w:eastAsia="de-DE"/>
              </w:rPr>
              <w:t>Be</w:t>
            </w:r>
            <w:r w:rsidRPr="00DD2A86">
              <w:rPr>
                <w:sz w:val="16"/>
                <w:szCs w:val="16"/>
                <w:lang w:val="de-DE" w:eastAsia="de-DE"/>
              </w:rPr>
              <w:softHyphen/>
              <w:t>merkungen</w:t>
            </w:r>
          </w:p>
        </w:tc>
      </w:tr>
      <w:tr w:rsidR="00865914" w:rsidRPr="00DD2A86" w:rsidTr="00865914">
        <w:tc>
          <w:tcPr>
            <w:tcW w:w="2694" w:type="dxa"/>
          </w:tcPr>
          <w:p w:rsidR="00865914" w:rsidRPr="00DD2A86" w:rsidRDefault="00865914" w:rsidP="00865914">
            <w:pPr>
              <w:suppressAutoHyphens w:val="0"/>
              <w:spacing w:before="180" w:line="240" w:lineRule="auto"/>
              <w:rPr>
                <w:snapToGrid w:val="0"/>
                <w:sz w:val="18"/>
                <w:szCs w:val="18"/>
                <w:lang w:eastAsia="de-DE"/>
              </w:rPr>
            </w:pPr>
            <w:r w:rsidRPr="00DD2A86">
              <w:rPr>
                <w:caps/>
                <w:snapToGrid w:val="0"/>
                <w:sz w:val="18"/>
                <w:szCs w:val="18"/>
                <w:lang w:eastAsia="de-DE"/>
              </w:rPr>
              <w:t>Thiophosphorsäure-O-[(cyanophenylmethyl)-azanyl]-O,O-diethylester</w:t>
            </w:r>
          </w:p>
        </w:tc>
        <w:tc>
          <w:tcPr>
            <w:tcW w:w="992" w:type="dxa"/>
          </w:tcPr>
          <w:p w:rsidR="00865914" w:rsidRPr="00DD2A86" w:rsidRDefault="00865914" w:rsidP="00865914">
            <w:pPr>
              <w:suppressAutoHyphens w:val="0"/>
              <w:spacing w:before="180" w:line="240" w:lineRule="auto"/>
              <w:rPr>
                <w:snapToGrid w:val="0"/>
                <w:sz w:val="18"/>
                <w:szCs w:val="18"/>
                <w:lang w:val="de-DE" w:eastAsia="de-DE"/>
              </w:rPr>
            </w:pPr>
            <w:r w:rsidRPr="00DD2A86">
              <w:rPr>
                <w:snapToGrid w:val="0"/>
                <w:sz w:val="18"/>
                <w:szCs w:val="18"/>
                <w:lang w:val="de-DE" w:eastAsia="de-DE"/>
              </w:rPr>
              <w:t>82 – 91</w:t>
            </w:r>
            <w:r w:rsidRPr="00DD2A86">
              <w:rPr>
                <w:snapToGrid w:val="0"/>
                <w:sz w:val="18"/>
                <w:szCs w:val="18"/>
                <w:lang w:val="de-DE" w:eastAsia="de-DE"/>
              </w:rPr>
              <w:br/>
              <w:t>(Z-Isomer)</w:t>
            </w:r>
          </w:p>
        </w:tc>
        <w:tc>
          <w:tcPr>
            <w:tcW w:w="992" w:type="dxa"/>
          </w:tcPr>
          <w:p w:rsidR="00865914" w:rsidRPr="00DD2A86" w:rsidRDefault="00865914" w:rsidP="00865914">
            <w:pPr>
              <w:suppressAutoHyphens w:val="0"/>
              <w:spacing w:before="180" w:line="240" w:lineRule="auto"/>
              <w:rPr>
                <w:snapToGrid w:val="0"/>
                <w:sz w:val="18"/>
                <w:szCs w:val="18"/>
                <w:lang w:val="de-DE" w:eastAsia="de-DE"/>
              </w:rPr>
            </w:pPr>
            <w:r w:rsidRPr="00DD2A86">
              <w:rPr>
                <w:snapToGrid w:val="0"/>
                <w:sz w:val="18"/>
                <w:szCs w:val="18"/>
                <w:lang w:val="de-DE" w:eastAsia="de-DE"/>
              </w:rPr>
              <w:t>OP8</w:t>
            </w:r>
          </w:p>
        </w:tc>
        <w:tc>
          <w:tcPr>
            <w:tcW w:w="992" w:type="dxa"/>
          </w:tcPr>
          <w:p w:rsidR="00865914" w:rsidRPr="00DD2A86" w:rsidRDefault="00865914" w:rsidP="00865914">
            <w:pPr>
              <w:suppressAutoHyphens w:val="0"/>
              <w:spacing w:before="180" w:line="240" w:lineRule="auto"/>
              <w:rPr>
                <w:sz w:val="18"/>
                <w:szCs w:val="18"/>
                <w:lang w:val="de-DE" w:eastAsia="de-DE"/>
              </w:rPr>
            </w:pPr>
          </w:p>
        </w:tc>
        <w:tc>
          <w:tcPr>
            <w:tcW w:w="851" w:type="dxa"/>
          </w:tcPr>
          <w:p w:rsidR="00865914" w:rsidRPr="00DD2A86" w:rsidRDefault="00865914" w:rsidP="00865914">
            <w:pPr>
              <w:suppressAutoHyphens w:val="0"/>
              <w:spacing w:before="180" w:line="240" w:lineRule="auto"/>
              <w:rPr>
                <w:sz w:val="18"/>
                <w:szCs w:val="18"/>
                <w:lang w:val="de-DE" w:eastAsia="de-DE"/>
              </w:rPr>
            </w:pPr>
          </w:p>
        </w:tc>
        <w:tc>
          <w:tcPr>
            <w:tcW w:w="850" w:type="dxa"/>
          </w:tcPr>
          <w:p w:rsidR="00865914" w:rsidRPr="00DD2A86" w:rsidRDefault="00865914" w:rsidP="00865914">
            <w:pPr>
              <w:suppressAutoHyphens w:val="0"/>
              <w:spacing w:before="180" w:line="240" w:lineRule="auto"/>
              <w:rPr>
                <w:sz w:val="18"/>
                <w:szCs w:val="18"/>
                <w:lang w:val="de-DE" w:eastAsia="de-DE"/>
              </w:rPr>
            </w:pPr>
            <w:r w:rsidRPr="00DD2A86">
              <w:rPr>
                <w:sz w:val="18"/>
                <w:szCs w:val="18"/>
                <w:lang w:val="de-DE" w:eastAsia="de-DE"/>
              </w:rPr>
              <w:t>3227</w:t>
            </w:r>
          </w:p>
        </w:tc>
        <w:tc>
          <w:tcPr>
            <w:tcW w:w="1203" w:type="dxa"/>
          </w:tcPr>
          <w:p w:rsidR="00865914" w:rsidRPr="00DD2A86" w:rsidRDefault="00865914" w:rsidP="00865914">
            <w:pPr>
              <w:suppressAutoHyphens w:val="0"/>
              <w:spacing w:before="180" w:line="240" w:lineRule="auto"/>
              <w:rPr>
                <w:sz w:val="18"/>
                <w:szCs w:val="18"/>
                <w:lang w:val="de-DE" w:eastAsia="de-DE"/>
              </w:rPr>
            </w:pPr>
            <w:r w:rsidRPr="00DD2A86">
              <w:rPr>
                <w:sz w:val="18"/>
                <w:szCs w:val="18"/>
                <w:lang w:val="de-DE" w:eastAsia="de-DE"/>
              </w:rPr>
              <w:t>(10)</w:t>
            </w:r>
          </w:p>
        </w:tc>
      </w:tr>
    </w:tbl>
    <w:p w:rsidR="00865914" w:rsidRPr="00DD2A86" w:rsidRDefault="00865914" w:rsidP="00865914">
      <w:pPr>
        <w:suppressAutoHyphens w:val="0"/>
        <w:spacing w:line="240" w:lineRule="auto"/>
        <w:ind w:left="1418"/>
        <w:jc w:val="both"/>
        <w:rPr>
          <w:iCs/>
          <w:color w:val="000000"/>
          <w:lang w:val="de-DE" w:eastAsia="de-DE"/>
        </w:rPr>
      </w:pPr>
      <w:r w:rsidRPr="00DD2A86">
        <w:rPr>
          <w:iCs/>
          <w:color w:val="000000"/>
          <w:lang w:val="de-DE" w:eastAsia="de-DE"/>
        </w:rPr>
        <w:t>“.</w:t>
      </w:r>
    </w:p>
    <w:p w:rsidR="00865914" w:rsidRPr="00DD2A86" w:rsidRDefault="00865914" w:rsidP="00865914">
      <w:pPr>
        <w:spacing w:before="120" w:after="120"/>
        <w:ind w:left="1134" w:right="1134"/>
        <w:jc w:val="both"/>
        <w:rPr>
          <w:lang w:val="de-DE" w:eastAsia="en-GB"/>
        </w:rPr>
      </w:pPr>
      <w:r w:rsidRPr="00DD2A86">
        <w:rPr>
          <w:lang w:val="de-DE" w:eastAsia="en-GB"/>
        </w:rPr>
        <w:t>2.2.41.4</w:t>
      </w:r>
      <w:r w:rsidRPr="00DD2A86">
        <w:rPr>
          <w:lang w:val="de-DE" w:eastAsia="en-GB"/>
        </w:rPr>
        <w:tab/>
        <w:t xml:space="preserve">Nach der Tabelle in den Bemerkungen (1), (4) und (6) „des Verfahrens in </w:t>
      </w:r>
      <w:r w:rsidR="00475E52" w:rsidRPr="00DD2A86">
        <w:rPr>
          <w:lang w:val="de-DE" w:eastAsia="en-GB"/>
        </w:rPr>
        <w:t xml:space="preserve">Absatz </w:t>
      </w:r>
      <w:r w:rsidRPr="00DD2A86">
        <w:rPr>
          <w:lang w:val="de-DE" w:eastAsia="en-GB"/>
        </w:rPr>
        <w:t>2.2.41.1.17“ ändern in: „des Verfahrens in den Absätzen 7.1.7.3.1 bis 7.1.7.3.6“.</w:t>
      </w:r>
    </w:p>
    <w:p w:rsidR="00865914" w:rsidRPr="00DD2A86" w:rsidRDefault="00865914" w:rsidP="00865914">
      <w:pPr>
        <w:spacing w:before="120" w:after="120" w:line="240" w:lineRule="auto"/>
        <w:ind w:left="1134" w:right="1134"/>
        <w:jc w:val="both"/>
        <w:rPr>
          <w:iCs/>
          <w:lang w:val="de-DE" w:eastAsia="en-GB"/>
        </w:rPr>
      </w:pPr>
      <w:r w:rsidRPr="00DD2A86">
        <w:rPr>
          <w:lang w:val="de-DE" w:eastAsia="en-GB"/>
        </w:rPr>
        <w:t>2.2.41.4</w:t>
      </w:r>
      <w:r w:rsidRPr="00DD2A86">
        <w:rPr>
          <w:lang w:val="de-DE" w:eastAsia="en-GB"/>
        </w:rPr>
        <w:tab/>
        <w:t>[Die Änderung zu Bemerkung (2) in der englischen und französischen Fassung hat keine Auswirkungen auf den deutschen Text.]</w:t>
      </w:r>
    </w:p>
    <w:p w:rsidR="00865914" w:rsidRPr="00DD2A86" w:rsidRDefault="00865914" w:rsidP="00865914">
      <w:pPr>
        <w:spacing w:after="120"/>
        <w:ind w:left="1134" w:right="1134"/>
        <w:jc w:val="both"/>
        <w:rPr>
          <w:iCs/>
          <w:lang w:val="de-DE" w:eastAsia="en-GB"/>
        </w:rPr>
      </w:pPr>
      <w:r w:rsidRPr="00DD2A86">
        <w:rPr>
          <w:lang w:val="de-DE" w:eastAsia="en-GB"/>
        </w:rPr>
        <w:t>2.2.41.4</w:t>
      </w:r>
      <w:r w:rsidRPr="00DD2A86">
        <w:rPr>
          <w:lang w:val="de-DE" w:eastAsia="en-GB"/>
        </w:rPr>
        <w:tab/>
      </w:r>
      <w:r w:rsidRPr="00DD2A86">
        <w:rPr>
          <w:iCs/>
          <w:lang w:val="de-DE" w:eastAsia="en-GB"/>
        </w:rPr>
        <w:t>Nach der Tabelle eine neue Bemerkung (10) mit folgendem Wortlaut hinzufügen: „(10)</w:t>
      </w:r>
      <w:r w:rsidRPr="00DD2A86">
        <w:rPr>
          <w:iCs/>
          <w:lang w:val="de-DE" w:eastAsia="en-GB"/>
        </w:rPr>
        <w:tab/>
        <w:t>Diese Eintragung gilt für das technische Gemisch in n-Butanol mit den angegebenen Konzentrationsgrenzwerten des (Z-)Isomers.“.</w:t>
      </w:r>
    </w:p>
    <w:p w:rsidR="00865914" w:rsidRPr="00DD2A86" w:rsidRDefault="00865914" w:rsidP="00865914">
      <w:pPr>
        <w:spacing w:after="120"/>
        <w:ind w:left="1134" w:right="1134"/>
        <w:jc w:val="both"/>
        <w:rPr>
          <w:iCs/>
          <w:lang w:val="de-DE"/>
        </w:rPr>
      </w:pPr>
      <w:r w:rsidRPr="00DD2A86">
        <w:rPr>
          <w:lang w:val="de-DE"/>
        </w:rPr>
        <w:t>2.2.42.1.2</w:t>
      </w:r>
      <w:r w:rsidRPr="00DD2A86">
        <w:rPr>
          <w:lang w:val="de-DE"/>
        </w:rPr>
        <w:tab/>
        <w:t>[Die Änderung zum Titel des Klassifizierungscodes „S“ in der englischen und französischen Fassung hat keine Auswirkungen auf den deutschen Text.]</w:t>
      </w:r>
    </w:p>
    <w:p w:rsidR="00865914" w:rsidRPr="00DD2A86" w:rsidRDefault="00865914" w:rsidP="00865914">
      <w:pPr>
        <w:spacing w:after="120"/>
        <w:ind w:left="1134" w:right="1134"/>
        <w:jc w:val="both"/>
        <w:rPr>
          <w:iCs/>
          <w:lang w:val="de-DE"/>
        </w:rPr>
      </w:pPr>
      <w:r w:rsidRPr="00DD2A86">
        <w:rPr>
          <w:lang w:val="de-DE"/>
        </w:rPr>
        <w:t>2.2.42.1.2</w:t>
      </w:r>
      <w:r w:rsidRPr="00DD2A86">
        <w:rPr>
          <w:lang w:val="de-DE"/>
        </w:rPr>
        <w:tab/>
      </w:r>
      <w:r w:rsidRPr="00DD2A86">
        <w:rPr>
          <w:iCs/>
          <w:lang w:val="de-DE"/>
        </w:rPr>
        <w:t>Unter „S Selbstentzündliche Stoffe ohne Nebengefahr“ am Ende folgende neue Eintragung hinzufügen: „S6</w:t>
      </w:r>
      <w:r w:rsidRPr="00DD2A86">
        <w:rPr>
          <w:iCs/>
          <w:lang w:val="de-DE"/>
        </w:rPr>
        <w:tab/>
        <w:t>Gegenstände“.</w:t>
      </w:r>
    </w:p>
    <w:p w:rsidR="00865914" w:rsidRPr="00DD2A86" w:rsidRDefault="00865914" w:rsidP="00865914">
      <w:pPr>
        <w:spacing w:after="120"/>
        <w:ind w:left="1134" w:right="1134"/>
        <w:jc w:val="both"/>
        <w:rPr>
          <w:iCs/>
          <w:lang w:val="de-DE"/>
        </w:rPr>
      </w:pPr>
      <w:r w:rsidRPr="00DD2A86">
        <w:rPr>
          <w:lang w:val="de-DE"/>
        </w:rPr>
        <w:t>2.2.42.1.5</w:t>
      </w:r>
      <w:r w:rsidRPr="00DD2A86">
        <w:rPr>
          <w:lang w:val="de-DE"/>
        </w:rPr>
        <w:tab/>
        <w:t>[Die Änderung zur Bem. 3 in der englischen und französischen Fassung hat keine Auswirkungen auf den deutschen Text.]</w:t>
      </w:r>
    </w:p>
    <w:p w:rsidR="00865914" w:rsidRPr="00DD2A86" w:rsidRDefault="00865914" w:rsidP="00865914">
      <w:pPr>
        <w:spacing w:after="120"/>
        <w:ind w:left="1134" w:right="1134"/>
        <w:jc w:val="both"/>
        <w:rPr>
          <w:lang w:val="de-DE" w:eastAsia="en-GB"/>
        </w:rPr>
      </w:pPr>
      <w:r w:rsidRPr="00DD2A86">
        <w:rPr>
          <w:lang w:val="de-DE"/>
        </w:rPr>
        <w:t>2.2.42.1.6</w:t>
      </w:r>
      <w:r w:rsidRPr="00DD2A86">
        <w:rPr>
          <w:lang w:val="de-DE"/>
        </w:rPr>
        <w:tab/>
        <w:t>„</w:t>
      </w:r>
      <w:r w:rsidRPr="00DD2A86">
        <w:rPr>
          <w:lang w:val="de-DE" w:eastAsia="en-GB"/>
        </w:rPr>
        <w:t>Bereiche der Gefährlichkeit“ ändern in: „Gefahrenkategorien“.</w:t>
      </w:r>
    </w:p>
    <w:p w:rsidR="00865914" w:rsidRPr="00DD2A86" w:rsidRDefault="00865914" w:rsidP="00865914">
      <w:pPr>
        <w:spacing w:after="120"/>
        <w:ind w:left="1134" w:right="1134"/>
        <w:jc w:val="both"/>
        <w:rPr>
          <w:iCs/>
          <w:lang w:val="de-DE" w:eastAsia="en-GB"/>
        </w:rPr>
      </w:pPr>
      <w:r w:rsidRPr="00DD2A86">
        <w:rPr>
          <w:lang w:val="de-DE" w:eastAsia="en-GB"/>
        </w:rPr>
        <w:t>2.2.42.3</w:t>
      </w:r>
      <w:r w:rsidRPr="00DD2A86">
        <w:rPr>
          <w:lang w:val="de-DE" w:eastAsia="en-GB"/>
        </w:rPr>
        <w:tab/>
        <w:t>[Die Änderung zum Titel des Klassifizierungscodes „S“ in der englischen und französischen Fassung hat keine Auswirkungen auf den deutschen Text.]</w:t>
      </w:r>
    </w:p>
    <w:p w:rsidR="00865914" w:rsidRPr="00DD2A86" w:rsidRDefault="00865914" w:rsidP="00865914">
      <w:pPr>
        <w:ind w:left="1134"/>
        <w:rPr>
          <w:iCs/>
          <w:color w:val="000000"/>
          <w:lang w:val="de-DE" w:eastAsia="de-DE"/>
        </w:rPr>
      </w:pPr>
      <w:r w:rsidRPr="00DD2A86">
        <w:rPr>
          <w:iCs/>
          <w:lang w:val="de-DE"/>
        </w:rPr>
        <w:t>2.2.42.3</w:t>
      </w:r>
      <w:r w:rsidRPr="00DD2A86">
        <w:rPr>
          <w:iCs/>
          <w:lang w:val="de-DE"/>
        </w:rPr>
        <w:tab/>
      </w:r>
      <w:r w:rsidRPr="00DD2A86">
        <w:rPr>
          <w:iCs/>
          <w:color w:val="000000"/>
          <w:lang w:val="de-DE" w:eastAsia="de-DE"/>
        </w:rPr>
        <w:t>Unter „ohne Nebengefahr S“ folgenden Ast hinzufügen:</w:t>
      </w:r>
    </w:p>
    <w:p w:rsidR="00865914" w:rsidRPr="00DD2A86" w:rsidRDefault="00865914" w:rsidP="00865914">
      <w:pPr>
        <w:suppressAutoHyphens w:val="0"/>
        <w:spacing w:line="240" w:lineRule="auto"/>
        <w:ind w:left="1418"/>
        <w:jc w:val="both"/>
        <w:rPr>
          <w:iCs/>
          <w:color w:val="000000"/>
          <w:lang w:val="de-DE" w:eastAsia="de-DE"/>
        </w:rPr>
      </w:pPr>
      <w:r w:rsidRPr="00DD2A86">
        <w:rPr>
          <w:iCs/>
          <w:color w:val="000000"/>
          <w:lang w:val="de-DE" w:eastAsia="de-DE"/>
        </w:rPr>
        <w:t>„</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550"/>
        <w:gridCol w:w="4418"/>
      </w:tblGrid>
      <w:tr w:rsidR="00865914" w:rsidRPr="00E139A8" w:rsidTr="00865914">
        <w:tc>
          <w:tcPr>
            <w:tcW w:w="1660" w:type="dxa"/>
            <w:tcBorders>
              <w:top w:val="nil"/>
              <w:right w:val="nil"/>
            </w:tcBorders>
          </w:tcPr>
          <w:p w:rsidR="00865914" w:rsidRPr="00DD2A86" w:rsidRDefault="00865914" w:rsidP="00865914">
            <w:pPr>
              <w:suppressAutoHyphens w:val="0"/>
              <w:spacing w:line="240" w:lineRule="auto"/>
              <w:jc w:val="both"/>
              <w:rPr>
                <w:b/>
                <w:iCs/>
                <w:color w:val="000000"/>
                <w:lang w:val="de-DE" w:eastAsia="de-DE"/>
              </w:rPr>
            </w:pPr>
          </w:p>
          <w:p w:rsidR="00865914" w:rsidRPr="00DD2A86" w:rsidRDefault="00865914" w:rsidP="00865914">
            <w:pPr>
              <w:suppressAutoHyphens w:val="0"/>
              <w:spacing w:line="240" w:lineRule="auto"/>
              <w:jc w:val="both"/>
              <w:rPr>
                <w:b/>
                <w:iCs/>
                <w:color w:val="000000"/>
                <w:lang w:val="de-DE" w:eastAsia="de-DE"/>
              </w:rPr>
            </w:pPr>
            <w:r w:rsidRPr="00DD2A86">
              <w:rPr>
                <w:b/>
                <w:iCs/>
                <w:color w:val="000000"/>
                <w:lang w:val="de-DE" w:eastAsia="de-DE"/>
              </w:rPr>
              <w:t>Gegenstände</w:t>
            </w:r>
          </w:p>
        </w:tc>
        <w:tc>
          <w:tcPr>
            <w:tcW w:w="550" w:type="dxa"/>
            <w:tcBorders>
              <w:top w:val="nil"/>
              <w:left w:val="nil"/>
            </w:tcBorders>
          </w:tcPr>
          <w:p w:rsidR="00865914" w:rsidRPr="00DD2A86" w:rsidRDefault="00865914" w:rsidP="00865914">
            <w:pPr>
              <w:suppressAutoHyphens w:val="0"/>
              <w:spacing w:line="240" w:lineRule="auto"/>
              <w:jc w:val="both"/>
              <w:rPr>
                <w:b/>
                <w:iCs/>
                <w:color w:val="000000"/>
                <w:lang w:val="de-DE" w:eastAsia="de-DE"/>
              </w:rPr>
            </w:pPr>
          </w:p>
          <w:p w:rsidR="00865914" w:rsidRPr="00DD2A86" w:rsidRDefault="00865914" w:rsidP="00865914">
            <w:pPr>
              <w:suppressAutoHyphens w:val="0"/>
              <w:spacing w:line="240" w:lineRule="auto"/>
              <w:jc w:val="both"/>
              <w:rPr>
                <w:b/>
                <w:iCs/>
                <w:color w:val="000000"/>
                <w:lang w:val="de-DE" w:eastAsia="de-DE"/>
              </w:rPr>
            </w:pPr>
            <w:r w:rsidRPr="00DD2A86">
              <w:rPr>
                <w:b/>
                <w:iCs/>
                <w:color w:val="000000"/>
                <w:lang w:val="de-DE" w:eastAsia="de-DE"/>
              </w:rPr>
              <w:t>S6</w:t>
            </w:r>
          </w:p>
        </w:tc>
        <w:tc>
          <w:tcPr>
            <w:tcW w:w="4418" w:type="dxa"/>
          </w:tcPr>
          <w:p w:rsidR="00865914" w:rsidRPr="00DD2A86" w:rsidRDefault="00865914" w:rsidP="00865914">
            <w:pPr>
              <w:suppressAutoHyphens w:val="0"/>
              <w:spacing w:line="240" w:lineRule="auto"/>
              <w:ind w:left="709" w:hanging="709"/>
              <w:rPr>
                <w:iCs/>
                <w:color w:val="000000"/>
                <w:lang w:val="de-DE" w:eastAsia="de-DE"/>
              </w:rPr>
            </w:pPr>
            <w:r w:rsidRPr="00DD2A86">
              <w:rPr>
                <w:iCs/>
                <w:color w:val="000000"/>
                <w:lang w:val="de-DE" w:eastAsia="de-DE"/>
              </w:rPr>
              <w:t>3542</w:t>
            </w:r>
            <w:r w:rsidRPr="00DD2A86">
              <w:rPr>
                <w:iCs/>
                <w:color w:val="000000"/>
                <w:lang w:val="de-DE" w:eastAsia="de-DE"/>
              </w:rPr>
              <w:tab/>
            </w:r>
            <w:r w:rsidRPr="00DD2A86">
              <w:rPr>
                <w:iCs/>
                <w:caps/>
                <w:color w:val="000000"/>
                <w:lang w:val="de-DE" w:eastAsia="de-DE"/>
              </w:rPr>
              <w:t>Gegenstände, die einen selbstentzündlichen Stoff enthalten, n.a.g.</w:t>
            </w:r>
          </w:p>
        </w:tc>
      </w:tr>
    </w:tbl>
    <w:p w:rsidR="00865914" w:rsidRPr="00DD2A86" w:rsidRDefault="00865914" w:rsidP="00865914">
      <w:pPr>
        <w:suppressAutoHyphens w:val="0"/>
        <w:spacing w:line="240" w:lineRule="auto"/>
        <w:ind w:left="1418"/>
        <w:jc w:val="both"/>
        <w:rPr>
          <w:iCs/>
          <w:color w:val="000000"/>
          <w:lang w:val="de-DE" w:eastAsia="de-DE"/>
        </w:rPr>
      </w:pPr>
      <w:r w:rsidRPr="00DD2A86">
        <w:rPr>
          <w:iCs/>
          <w:lang w:val="de-DE" w:eastAsia="en-GB"/>
        </w:rPr>
        <w:t>“</w:t>
      </w:r>
      <w:r w:rsidRPr="00DD2A86">
        <w:rPr>
          <w:iCs/>
          <w:color w:val="000000"/>
          <w:lang w:val="de-DE" w:eastAsia="de-DE"/>
        </w:rPr>
        <w:t>.</w:t>
      </w:r>
    </w:p>
    <w:p w:rsidR="00865914" w:rsidRPr="00DD2A86" w:rsidRDefault="00865914" w:rsidP="002B5060">
      <w:pPr>
        <w:spacing w:before="120" w:after="120"/>
        <w:ind w:left="1134" w:right="1134"/>
        <w:jc w:val="both"/>
        <w:rPr>
          <w:iCs/>
          <w:lang w:val="de-DE"/>
        </w:rPr>
      </w:pPr>
      <w:r w:rsidRPr="00DD2A86">
        <w:rPr>
          <w:lang w:val="de-DE"/>
        </w:rPr>
        <w:t>2.2.43.1.2</w:t>
      </w:r>
      <w:r w:rsidRPr="00DD2A86">
        <w:rPr>
          <w:lang w:val="de-DE"/>
        </w:rPr>
        <w:tab/>
        <w:t>[Die Änderung zum Titel des Klassifizierungscodes „W“ in der englischen und französischen Fassung hat keine Auswirkungen auf den deutschen Text.]</w:t>
      </w:r>
    </w:p>
    <w:p w:rsidR="00865914" w:rsidRPr="00DD2A86" w:rsidRDefault="00865914" w:rsidP="00865914">
      <w:pPr>
        <w:spacing w:after="120"/>
        <w:ind w:left="1134" w:right="1134"/>
        <w:jc w:val="both"/>
        <w:rPr>
          <w:iCs/>
          <w:lang w:val="de-DE"/>
        </w:rPr>
      </w:pPr>
      <w:r w:rsidRPr="00DD2A86">
        <w:rPr>
          <w:lang w:val="de-DE"/>
        </w:rPr>
        <w:t>2.2.43.1.5</w:t>
      </w:r>
      <w:r w:rsidRPr="00DD2A86">
        <w:rPr>
          <w:lang w:val="de-DE"/>
        </w:rPr>
        <w:tab/>
        <w:t>[Die Änderung in der englischen und französischen Fassung hat keine Auswirkungen auf den deutschen Text.]</w:t>
      </w:r>
    </w:p>
    <w:p w:rsidR="00865914" w:rsidRPr="00DD2A86" w:rsidRDefault="00865914" w:rsidP="00865914">
      <w:pPr>
        <w:spacing w:after="120"/>
        <w:ind w:left="1134" w:right="1134"/>
        <w:jc w:val="both"/>
        <w:rPr>
          <w:iCs/>
          <w:lang w:val="de-DE" w:eastAsia="en-GB"/>
        </w:rPr>
      </w:pPr>
      <w:r w:rsidRPr="00DD2A86">
        <w:rPr>
          <w:lang w:val="de-DE"/>
        </w:rPr>
        <w:t>2.2.43.1.6</w:t>
      </w:r>
      <w:r w:rsidRPr="00DD2A86">
        <w:rPr>
          <w:lang w:val="de-DE"/>
        </w:rPr>
        <w:tab/>
        <w:t>„</w:t>
      </w:r>
      <w:r w:rsidRPr="00DD2A86">
        <w:rPr>
          <w:iCs/>
          <w:lang w:val="de-DE" w:eastAsia="en-GB"/>
        </w:rPr>
        <w:t>Bereiche der Gefährlichkeit“ ändern in: „Gefahrenkategorien“.</w:t>
      </w:r>
    </w:p>
    <w:p w:rsidR="00865914" w:rsidRPr="00DD2A86" w:rsidRDefault="00865914" w:rsidP="00865914">
      <w:pPr>
        <w:spacing w:after="120"/>
        <w:ind w:left="1134" w:right="1134"/>
        <w:jc w:val="both"/>
        <w:rPr>
          <w:iCs/>
          <w:lang w:val="de-DE"/>
        </w:rPr>
      </w:pPr>
      <w:r w:rsidRPr="00DD2A86">
        <w:rPr>
          <w:lang w:val="de-DE"/>
        </w:rPr>
        <w:t>2.2.43.3</w:t>
      </w:r>
      <w:r w:rsidRPr="00DD2A86">
        <w:rPr>
          <w:lang w:val="de-DE"/>
        </w:rPr>
        <w:tab/>
        <w:t>[Die Änderung zum Titel des Klassifizierungscodes „W“ in der englischen und französischen Fassung hat keine Auswirkungen auf den deutschen Text.]</w:t>
      </w:r>
    </w:p>
    <w:p w:rsidR="00865914" w:rsidRPr="00DD2A86" w:rsidRDefault="00865914" w:rsidP="00865914">
      <w:pPr>
        <w:spacing w:after="120"/>
        <w:ind w:left="1134" w:right="1134"/>
        <w:jc w:val="both"/>
        <w:rPr>
          <w:iCs/>
          <w:lang w:val="de-DE"/>
        </w:rPr>
      </w:pPr>
      <w:r w:rsidRPr="00DD2A86">
        <w:rPr>
          <w:lang w:val="de-DE"/>
        </w:rPr>
        <w:t>2.2.43.3</w:t>
      </w:r>
      <w:r w:rsidRPr="00DD2A86">
        <w:rPr>
          <w:lang w:val="de-DE"/>
        </w:rPr>
        <w:tab/>
      </w:r>
      <w:r w:rsidRPr="00DD2A86">
        <w:rPr>
          <w:iCs/>
          <w:lang w:val="de-DE"/>
        </w:rPr>
        <w:t>Unter „ohne Nebengefahr, Gegenstände, W3“ folgende neue Eintragung hinzufügen:</w:t>
      </w:r>
    </w:p>
    <w:p w:rsidR="00865914" w:rsidRPr="00DD2A86" w:rsidRDefault="00865914" w:rsidP="00865914">
      <w:pPr>
        <w:tabs>
          <w:tab w:val="left" w:pos="1985"/>
        </w:tabs>
        <w:spacing w:after="120"/>
        <w:ind w:left="1134" w:right="1134"/>
        <w:jc w:val="both"/>
        <w:rPr>
          <w:iCs/>
          <w:lang w:val="de-DE"/>
        </w:rPr>
      </w:pPr>
      <w:r w:rsidRPr="00DD2A86">
        <w:rPr>
          <w:iCs/>
          <w:lang w:val="de-DE"/>
        </w:rPr>
        <w:t>„3543</w:t>
      </w:r>
      <w:r w:rsidRPr="00DD2A86">
        <w:rPr>
          <w:iCs/>
          <w:lang w:val="de-DE"/>
        </w:rPr>
        <w:tab/>
      </w:r>
      <w:r w:rsidRPr="00DD2A86">
        <w:rPr>
          <w:iCs/>
          <w:caps/>
          <w:color w:val="000000"/>
          <w:lang w:val="de-DE" w:eastAsia="de-DE"/>
        </w:rPr>
        <w:t>Gegenstände, die einen Stoff enthalten, der in Berührung mit Wasser entzündbare Gase entwickelT, n.a.g.</w:t>
      </w:r>
      <w:r w:rsidRPr="00DD2A86">
        <w:rPr>
          <w:iCs/>
          <w:lang w:val="de-DE"/>
        </w:rPr>
        <w:t>“.</w:t>
      </w:r>
    </w:p>
    <w:p w:rsidR="00865914" w:rsidRPr="00DD2A86" w:rsidRDefault="00865914" w:rsidP="00865914">
      <w:pPr>
        <w:spacing w:after="120"/>
        <w:ind w:left="1134" w:right="1134"/>
        <w:jc w:val="both"/>
        <w:rPr>
          <w:iCs/>
          <w:lang w:val="de-DE"/>
        </w:rPr>
      </w:pPr>
      <w:r w:rsidRPr="00DD2A86">
        <w:rPr>
          <w:lang w:val="de-DE"/>
        </w:rPr>
        <w:t>2.2.51.1.2</w:t>
      </w:r>
      <w:r w:rsidRPr="00DD2A86">
        <w:rPr>
          <w:lang w:val="de-DE"/>
        </w:rPr>
        <w:tab/>
        <w:t>[Die Änderung zum Titel des Klassifizierungscodes „O“ in der englischen und französischen Fassung hat keine Auswirkungen auf den deutschen Text.]</w:t>
      </w:r>
    </w:p>
    <w:p w:rsidR="00865914" w:rsidRPr="00DD2A86" w:rsidRDefault="00865914" w:rsidP="00865914">
      <w:pPr>
        <w:spacing w:after="120"/>
        <w:ind w:left="1134" w:right="1134"/>
        <w:jc w:val="both"/>
        <w:rPr>
          <w:iCs/>
          <w:lang w:val="de-DE"/>
        </w:rPr>
      </w:pPr>
      <w:r w:rsidRPr="00DD2A86">
        <w:rPr>
          <w:lang w:val="de-DE"/>
        </w:rPr>
        <w:t>2.2.51.1.3 und 2.2.51.1.5</w:t>
      </w:r>
      <w:r w:rsidRPr="00DD2A86">
        <w:rPr>
          <w:lang w:val="de-DE"/>
        </w:rPr>
        <w:tab/>
      </w:r>
      <w:r w:rsidRPr="00DD2A86">
        <w:rPr>
          <w:iCs/>
          <w:lang w:val="de-DE"/>
        </w:rPr>
        <w:t>„2.2.51.1.9“ ändern in: „2.2.51.1.10“.</w:t>
      </w:r>
    </w:p>
    <w:p w:rsidR="00865914" w:rsidRPr="00DD2A86" w:rsidRDefault="00865914" w:rsidP="00865914">
      <w:pPr>
        <w:spacing w:after="120"/>
        <w:ind w:left="1134" w:right="1134"/>
        <w:jc w:val="both"/>
        <w:rPr>
          <w:iCs/>
          <w:lang w:val="de-DE"/>
        </w:rPr>
      </w:pPr>
      <w:r w:rsidRPr="00DD2A86">
        <w:rPr>
          <w:lang w:val="de-DE"/>
        </w:rPr>
        <w:t>2.2.51.1.3</w:t>
      </w:r>
      <w:r w:rsidRPr="00DD2A86">
        <w:rPr>
          <w:lang w:val="de-DE"/>
        </w:rPr>
        <w:tab/>
      </w:r>
      <w:r w:rsidRPr="00DD2A86">
        <w:rPr>
          <w:iCs/>
          <w:lang w:val="de-DE"/>
        </w:rPr>
        <w:t>Am Ende des zweiten Satzes vor „erfolgen“ einfügen:</w:t>
      </w:r>
    </w:p>
    <w:p w:rsidR="00865914" w:rsidRPr="00DD2A86" w:rsidRDefault="00865914" w:rsidP="00865914">
      <w:pPr>
        <w:spacing w:after="120"/>
        <w:ind w:left="1134" w:right="1134"/>
        <w:jc w:val="both"/>
        <w:rPr>
          <w:iCs/>
          <w:lang w:val="de-DE"/>
        </w:rPr>
      </w:pPr>
      <w:r w:rsidRPr="00DD2A86">
        <w:rPr>
          <w:iCs/>
          <w:lang w:val="de-DE"/>
        </w:rPr>
        <w:t xml:space="preserve">„oder – bei festen ammoniumnitrathaltigen Düngemitteln – Abschnitt 39 </w:t>
      </w:r>
      <w:r w:rsidRPr="00DD2A86">
        <w:rPr>
          <w:lang w:val="de-DE"/>
        </w:rPr>
        <w:t>vorbehaltlich der Einschränkungen in Absatz 2.2.51.2.2 dreizehnter Spiegelstrich“</w:t>
      </w:r>
      <w:r w:rsidRPr="00DD2A86">
        <w:rPr>
          <w:iCs/>
          <w:lang w:val="de-DE"/>
        </w:rPr>
        <w:t>.</w:t>
      </w:r>
    </w:p>
    <w:p w:rsidR="00865914" w:rsidRPr="00DD2A86" w:rsidRDefault="00865914" w:rsidP="00865914">
      <w:pPr>
        <w:spacing w:after="120"/>
        <w:ind w:left="1134" w:right="1134"/>
        <w:jc w:val="both"/>
        <w:rPr>
          <w:iCs/>
          <w:lang w:val="de-DE" w:eastAsia="en-GB"/>
        </w:rPr>
      </w:pPr>
      <w:r w:rsidRPr="00DD2A86">
        <w:rPr>
          <w:lang w:val="de-DE"/>
        </w:rPr>
        <w:t>2.2.51.1.4</w:t>
      </w:r>
      <w:r w:rsidRPr="00DD2A86">
        <w:rPr>
          <w:lang w:val="de-DE"/>
        </w:rPr>
        <w:tab/>
        <w:t>„</w:t>
      </w:r>
      <w:r w:rsidRPr="00DD2A86">
        <w:rPr>
          <w:iCs/>
          <w:lang w:val="de-DE" w:eastAsia="en-GB"/>
        </w:rPr>
        <w:t>Bereiche der Gefährlichkeit“ ändern in: „Gefahrenkategorien“.</w:t>
      </w:r>
    </w:p>
    <w:p w:rsidR="00865914" w:rsidRPr="00DD2A86" w:rsidRDefault="00865914" w:rsidP="00865914">
      <w:pPr>
        <w:spacing w:after="120"/>
        <w:ind w:left="1134" w:right="1134"/>
        <w:jc w:val="both"/>
        <w:rPr>
          <w:iCs/>
          <w:lang w:val="de-DE"/>
        </w:rPr>
      </w:pPr>
      <w:r w:rsidRPr="00DD2A86">
        <w:rPr>
          <w:lang w:val="de-DE"/>
        </w:rPr>
        <w:t>2.2.51.1.5</w:t>
      </w:r>
      <w:r w:rsidRPr="00DD2A86">
        <w:rPr>
          <w:lang w:val="de-DE"/>
        </w:rPr>
        <w:tab/>
      </w:r>
      <w:r w:rsidRPr="00DD2A86">
        <w:rPr>
          <w:iCs/>
          <w:lang w:val="de-DE"/>
        </w:rPr>
        <w:t xml:space="preserve">Nach „Abschnitt 34.4“ einfügen: „oder – bei </w:t>
      </w:r>
      <w:r w:rsidR="00475E52" w:rsidRPr="00DD2A86">
        <w:rPr>
          <w:iCs/>
          <w:lang w:val="de-DE"/>
        </w:rPr>
        <w:t xml:space="preserve">festen  ammoniumnitrathaltigen </w:t>
      </w:r>
      <w:r w:rsidRPr="00DD2A86">
        <w:rPr>
          <w:iCs/>
          <w:lang w:val="de-DE"/>
        </w:rPr>
        <w:t>Düngemitteln– Abschnitt 39“.</w:t>
      </w:r>
    </w:p>
    <w:p w:rsidR="00460879" w:rsidRPr="00DD2A86" w:rsidRDefault="00460879" w:rsidP="00460879">
      <w:pPr>
        <w:spacing w:before="120" w:after="120" w:line="240" w:lineRule="auto"/>
        <w:ind w:left="1134" w:right="1134"/>
        <w:jc w:val="both"/>
        <w:rPr>
          <w:iCs/>
          <w:lang w:val="de-DE"/>
        </w:rPr>
      </w:pPr>
      <w:r w:rsidRPr="00DD2A86">
        <w:rPr>
          <w:iCs/>
          <w:lang w:val="de-DE"/>
        </w:rPr>
        <w:t>2.2.51.1.5</w:t>
      </w:r>
      <w:r w:rsidRPr="00DD2A86">
        <w:rPr>
          <w:iCs/>
          <w:lang w:val="de-DE"/>
        </w:rPr>
        <w:tab/>
        <w:t>Vor „namentlich genannter Stoff“ einfügen: „in Kapitel 3.2 Tabelle A“.</w:t>
      </w:r>
    </w:p>
    <w:p w:rsidR="00460879" w:rsidRPr="00DD2A86" w:rsidRDefault="00460879" w:rsidP="00460879">
      <w:pPr>
        <w:spacing w:before="120" w:after="120" w:line="240" w:lineRule="auto"/>
        <w:ind w:left="1134" w:right="1134"/>
        <w:jc w:val="both"/>
        <w:rPr>
          <w:iCs/>
          <w:lang w:val="de-DE"/>
        </w:rPr>
      </w:pPr>
      <w:r w:rsidRPr="00DD2A86">
        <w:rPr>
          <w:iCs/>
          <w:lang w:val="de-DE"/>
        </w:rPr>
        <w:t>[Betrifft nur die deutsche Sprachfassung]</w:t>
      </w:r>
    </w:p>
    <w:p w:rsidR="00865914" w:rsidRPr="00DD2A86" w:rsidRDefault="00865914" w:rsidP="00865914">
      <w:pPr>
        <w:spacing w:before="120" w:after="120" w:line="240" w:lineRule="auto"/>
        <w:ind w:left="1134" w:right="1134"/>
        <w:jc w:val="both"/>
        <w:rPr>
          <w:iCs/>
          <w:lang w:val="de-DE"/>
        </w:rPr>
      </w:pPr>
      <w:r w:rsidRPr="00DD2A86">
        <w:rPr>
          <w:iCs/>
          <w:lang w:val="de-DE"/>
        </w:rPr>
        <w:t>2.2.51.1</w:t>
      </w:r>
      <w:r w:rsidRPr="00DD2A86">
        <w:rPr>
          <w:iCs/>
          <w:lang w:val="de-DE"/>
        </w:rPr>
        <w:tab/>
        <w:t xml:space="preserve">Einen neuen Absatz 2.2.51.1.7 mit folgendem Wortlaut </w:t>
      </w:r>
      <w:r w:rsidR="00A8314E" w:rsidRPr="00DD2A86">
        <w:rPr>
          <w:iCs/>
          <w:lang w:val="de-DE"/>
        </w:rPr>
        <w:t xml:space="preserve">unter dem Titel „Zuordnung“ </w:t>
      </w:r>
      <w:r w:rsidR="00475E52" w:rsidRPr="00DD2A86">
        <w:rPr>
          <w:iCs/>
          <w:lang w:val="de-DE"/>
        </w:rPr>
        <w:t xml:space="preserve"> </w:t>
      </w:r>
      <w:r w:rsidRPr="00DD2A86">
        <w:rPr>
          <w:iCs/>
          <w:lang w:val="de-DE"/>
        </w:rPr>
        <w:t>einfügen und die nachfolgenden Absätze entsprechend umnummerieren:</w:t>
      </w:r>
    </w:p>
    <w:p w:rsidR="00865914" w:rsidRPr="00DD2A86" w:rsidRDefault="00865914" w:rsidP="00865914">
      <w:pPr>
        <w:spacing w:before="120" w:after="120" w:line="240" w:lineRule="auto"/>
        <w:ind w:left="1134" w:right="1134"/>
        <w:jc w:val="both"/>
        <w:rPr>
          <w:iCs/>
          <w:lang w:val="de-DE"/>
        </w:rPr>
      </w:pPr>
      <w:r w:rsidRPr="00DD2A86">
        <w:rPr>
          <w:iCs/>
          <w:lang w:val="de-DE"/>
        </w:rPr>
        <w:t>„2.2.51.1.7</w:t>
      </w:r>
      <w:r w:rsidRPr="00DD2A86">
        <w:rPr>
          <w:iCs/>
          <w:lang w:val="de-DE"/>
        </w:rPr>
        <w:tab/>
        <w:t>Ausgenommen hiervon sind feste ammoniumnitrathaltige Düngemittel, die in Übereinstimmung mit dem im Handbuch Prüfungen und Kriterien Teil III Abschnitt 39 festgelegten Verfahren klassifiziert werden müssen.“.</w:t>
      </w:r>
    </w:p>
    <w:p w:rsidR="005D3DBA" w:rsidRPr="00DD2A86" w:rsidRDefault="005D3DBA" w:rsidP="005D3DBA">
      <w:pPr>
        <w:spacing w:after="120"/>
        <w:ind w:left="1134" w:right="1134"/>
        <w:jc w:val="both"/>
        <w:rPr>
          <w:lang w:val="de-DE"/>
        </w:rPr>
      </w:pPr>
      <w:r w:rsidRPr="00DD2A86">
        <w:rPr>
          <w:lang w:val="de-DE"/>
        </w:rPr>
        <w:t>2.2.51.2.2</w:t>
      </w:r>
      <w:r w:rsidRPr="00DD2A86">
        <w:rPr>
          <w:lang w:val="de-DE"/>
        </w:rPr>
        <w:tab/>
        <w:t>Der dreizehnte Spiegelstrich wird durch folgende Spiegelstriche ersetzt:</w:t>
      </w:r>
    </w:p>
    <w:p w:rsidR="005D3DBA" w:rsidRPr="00DD2A86" w:rsidRDefault="005D3DBA" w:rsidP="005D3DBA">
      <w:pPr>
        <w:spacing w:after="120"/>
        <w:ind w:left="1134" w:right="1134"/>
        <w:jc w:val="both"/>
        <w:rPr>
          <w:iCs/>
          <w:lang w:val="de-DE"/>
        </w:rPr>
      </w:pPr>
      <w:r w:rsidRPr="00DD2A86">
        <w:rPr>
          <w:iCs/>
          <w:lang w:val="de-DE"/>
        </w:rPr>
        <w:t>„–</w:t>
      </w:r>
      <w:r w:rsidRPr="00DD2A86">
        <w:rPr>
          <w:iCs/>
          <w:lang w:val="de-DE"/>
        </w:rPr>
        <w:tab/>
        <w:t>ammoniumnitrathaltige Düngemittel mit Zusammensetzungen, die zu Ausgang 4, 6, 8, 15, 31 oder 33 des Ablaufdiagramms in Absatz 39.5.1 des Handbuchs Prüfungen und Kriterien Teil III Abschnitt 39 führen, es sei denn, sie wurden einer geeigneten UN-Nummer der Klasse 1 zugeordnet</w:t>
      </w:r>
      <w:r w:rsidR="00AC5F5D">
        <w:rPr>
          <w:iCs/>
          <w:lang w:val="de-DE"/>
        </w:rPr>
        <w:t>;</w:t>
      </w:r>
    </w:p>
    <w:p w:rsidR="005D3DBA" w:rsidRPr="00DD2A86" w:rsidRDefault="005D3DBA" w:rsidP="005D3DBA">
      <w:pPr>
        <w:spacing w:after="120"/>
        <w:ind w:left="1134" w:right="1134"/>
        <w:jc w:val="both"/>
        <w:rPr>
          <w:iCs/>
          <w:lang w:val="de-DE"/>
        </w:rPr>
      </w:pPr>
      <w:r w:rsidRPr="00DD2A86">
        <w:rPr>
          <w:iCs/>
          <w:lang w:val="de-DE"/>
        </w:rPr>
        <w:t>–</w:t>
      </w:r>
      <w:r w:rsidRPr="00DD2A86">
        <w:rPr>
          <w:iCs/>
          <w:lang w:val="de-DE"/>
        </w:rPr>
        <w:tab/>
        <w:t>ammoniumnitrathaltige Düngemittel mit Zusammensetzungen, die zu Ausgang 20, 23 oder 39 des Ablaufdiagramms in Absatz 39.5.1 des Handbuchs Prüfungen und Kriterien Teil III Abschnitt 39 führen, es sei denn, sie wurden einer geeigneten UN-Nummer der Klasse 1 oder unter der Voraussetzung, dass die Eignung für die Beförderung nachgewiesen und dies von der zuständigen Behörde genehmigt wurde, einer geeigneten UN-Nummer der Klasse 5.1 mit Ausnahme der UN-Nummer 2067 zugeordnet</w:t>
      </w:r>
      <w:r w:rsidR="00AC5F5D">
        <w:rPr>
          <w:iCs/>
          <w:lang w:val="de-DE"/>
        </w:rPr>
        <w:t>;</w:t>
      </w:r>
      <w:r w:rsidRPr="00DD2A86">
        <w:rPr>
          <w:iCs/>
          <w:lang w:val="de-DE"/>
        </w:rPr>
        <w:t>“.</w:t>
      </w:r>
    </w:p>
    <w:p w:rsidR="00865914" w:rsidRPr="00DD2A86" w:rsidRDefault="00865914" w:rsidP="00865914">
      <w:pPr>
        <w:spacing w:after="120"/>
        <w:ind w:left="1134" w:right="1134"/>
        <w:jc w:val="both"/>
        <w:rPr>
          <w:iCs/>
          <w:lang w:val="de-DE"/>
        </w:rPr>
      </w:pPr>
      <w:r w:rsidRPr="00DD2A86">
        <w:rPr>
          <w:lang w:val="de-DE"/>
        </w:rPr>
        <w:t>2.2.51.3</w:t>
      </w:r>
      <w:r w:rsidRPr="00DD2A86">
        <w:rPr>
          <w:lang w:val="de-DE"/>
        </w:rPr>
        <w:tab/>
        <w:t>[Die Änderung zum Titel des Klassifizierungscodes „O“ in der englischen und französischen Fassung hat keine Auswirkungen auf den deutschen Text.]</w:t>
      </w:r>
    </w:p>
    <w:p w:rsidR="002B5060" w:rsidRPr="00DD2A86" w:rsidRDefault="002B5060">
      <w:pPr>
        <w:suppressAutoHyphens w:val="0"/>
        <w:spacing w:line="240" w:lineRule="auto"/>
        <w:rPr>
          <w:lang w:val="de-DE"/>
        </w:rPr>
      </w:pPr>
      <w:r w:rsidRPr="00DD2A86">
        <w:rPr>
          <w:lang w:val="de-DE"/>
        </w:rPr>
        <w:br w:type="page"/>
      </w:r>
    </w:p>
    <w:p w:rsidR="00865914" w:rsidRPr="00DD2A86" w:rsidRDefault="00865914" w:rsidP="00865914">
      <w:pPr>
        <w:spacing w:after="120"/>
        <w:ind w:left="1134" w:right="1134"/>
        <w:jc w:val="both"/>
        <w:rPr>
          <w:iCs/>
          <w:lang w:val="de-DE"/>
        </w:rPr>
      </w:pPr>
      <w:r w:rsidRPr="00DD2A86">
        <w:rPr>
          <w:lang w:val="de-DE"/>
        </w:rPr>
        <w:t>2.2.51.3</w:t>
      </w:r>
      <w:r w:rsidRPr="00DD2A86">
        <w:rPr>
          <w:lang w:val="de-DE"/>
        </w:rPr>
        <w:tab/>
      </w:r>
      <w:r w:rsidRPr="00DD2A86">
        <w:rPr>
          <w:iCs/>
          <w:lang w:val="de-DE"/>
        </w:rPr>
        <w:t>Unter „ohne Nebengefahr, Gegenstände, O3“ folgende neue Eintragung hinzufügen:</w:t>
      </w:r>
    </w:p>
    <w:p w:rsidR="00865914" w:rsidRPr="00DD2A86" w:rsidRDefault="00865914" w:rsidP="00865914">
      <w:pPr>
        <w:tabs>
          <w:tab w:val="left" w:pos="1985"/>
        </w:tabs>
        <w:spacing w:after="120"/>
        <w:ind w:left="1134" w:right="1134"/>
        <w:jc w:val="both"/>
        <w:rPr>
          <w:iCs/>
          <w:lang w:val="de-DE"/>
        </w:rPr>
      </w:pPr>
      <w:r w:rsidRPr="00DD2A86">
        <w:rPr>
          <w:iCs/>
          <w:lang w:val="de-DE"/>
        </w:rPr>
        <w:t>„3544</w:t>
      </w:r>
      <w:r w:rsidRPr="00DD2A86">
        <w:rPr>
          <w:iCs/>
          <w:lang w:val="de-DE"/>
        </w:rPr>
        <w:tab/>
      </w:r>
      <w:r w:rsidRPr="00DD2A86">
        <w:rPr>
          <w:iCs/>
          <w:caps/>
          <w:color w:val="000000"/>
          <w:lang w:val="de-DE" w:eastAsia="de-DE"/>
        </w:rPr>
        <w:t>Gegenstände, die einen entzündend (oxidiErend) wirkenden Stoff enthalten, n.a.g.“</w:t>
      </w:r>
      <w:r w:rsidRPr="00DD2A86">
        <w:rPr>
          <w:iCs/>
          <w:color w:val="000000"/>
          <w:lang w:val="de-DE" w:eastAsia="de-DE"/>
        </w:rPr>
        <w:t>.</w:t>
      </w:r>
    </w:p>
    <w:p w:rsidR="00865914" w:rsidRPr="00DD2A86" w:rsidRDefault="00865914" w:rsidP="00865914">
      <w:pPr>
        <w:spacing w:before="120" w:after="120"/>
        <w:ind w:left="1134" w:right="1134"/>
        <w:jc w:val="both"/>
        <w:rPr>
          <w:iCs/>
          <w:lang w:val="de-DE"/>
        </w:rPr>
      </w:pPr>
      <w:r w:rsidRPr="00DD2A86">
        <w:rPr>
          <w:lang w:val="de-DE"/>
        </w:rPr>
        <w:t>2.2.52.1.7</w:t>
      </w:r>
      <w:r w:rsidRPr="00DD2A86">
        <w:rPr>
          <w:lang w:val="de-DE"/>
        </w:rPr>
        <w:tab/>
      </w:r>
      <w:r w:rsidR="00475E52" w:rsidRPr="00DD2A86">
        <w:rPr>
          <w:lang w:val="de-DE"/>
        </w:rPr>
        <w:t>[</w:t>
      </w:r>
      <w:r w:rsidRPr="00DD2A86">
        <w:rPr>
          <w:lang w:val="de-DE"/>
        </w:rPr>
        <w:t>Die Änderung zum ersten Unterabsatz in der englischen und französischen Fassung hat keine Auswirkungen auf den deutschen Text.]</w:t>
      </w:r>
    </w:p>
    <w:p w:rsidR="00865914" w:rsidRPr="00DD2A86" w:rsidRDefault="00865914" w:rsidP="00865914">
      <w:pPr>
        <w:spacing w:before="120" w:after="120"/>
        <w:ind w:left="1134" w:right="1134"/>
        <w:jc w:val="both"/>
        <w:rPr>
          <w:iCs/>
          <w:lang w:val="de-DE"/>
        </w:rPr>
      </w:pPr>
      <w:r w:rsidRPr="00DD2A86">
        <w:rPr>
          <w:lang w:val="de-DE"/>
        </w:rPr>
        <w:t>2.2.52.1.7</w:t>
      </w:r>
      <w:r w:rsidRPr="00DD2A86">
        <w:rPr>
          <w:lang w:val="de-DE"/>
        </w:rPr>
        <w:tab/>
      </w:r>
      <w:r w:rsidRPr="00DD2A86">
        <w:rPr>
          <w:iCs/>
          <w:lang w:val="de-DE"/>
        </w:rPr>
        <w:t>Im dritten Spiegelstrich „Absätze 2.2.52.1.15 bis 2.2.52.1.18“ ändern in: „Absätze 2.2.52.1.15 und 2.2.52.1.16.“.</w:t>
      </w:r>
    </w:p>
    <w:p w:rsidR="00865914" w:rsidRPr="00DD2A86" w:rsidRDefault="00865914" w:rsidP="00865914">
      <w:pPr>
        <w:spacing w:before="120" w:after="120"/>
        <w:ind w:left="1134" w:right="1134"/>
        <w:jc w:val="both"/>
        <w:rPr>
          <w:iCs/>
          <w:lang w:val="de-DE"/>
        </w:rPr>
      </w:pPr>
      <w:r w:rsidRPr="00DD2A86">
        <w:rPr>
          <w:lang w:val="de-DE"/>
        </w:rPr>
        <w:t>2.2.52.1.7</w:t>
      </w:r>
      <w:r w:rsidRPr="00DD2A86">
        <w:rPr>
          <w:lang w:val="de-DE"/>
        </w:rPr>
        <w:tab/>
      </w:r>
      <w:r w:rsidRPr="00DD2A86">
        <w:rPr>
          <w:iCs/>
          <w:lang w:val="de-DE"/>
        </w:rPr>
        <w:t>Am Ende „Absatz</w:t>
      </w:r>
      <w:r w:rsidR="00475E52" w:rsidRPr="00DD2A86">
        <w:rPr>
          <w:iCs/>
          <w:lang w:val="de-DE"/>
        </w:rPr>
        <w:t>es</w:t>
      </w:r>
      <w:r w:rsidRPr="00DD2A86">
        <w:rPr>
          <w:iCs/>
          <w:lang w:val="de-DE"/>
        </w:rPr>
        <w:t xml:space="preserve"> 2.2.52.1.16“ ändern in: „Absatz</w:t>
      </w:r>
      <w:r w:rsidR="00475E52" w:rsidRPr="00DD2A86">
        <w:rPr>
          <w:iCs/>
          <w:lang w:val="de-DE"/>
        </w:rPr>
        <w:t>es</w:t>
      </w:r>
      <w:r w:rsidRPr="00DD2A86">
        <w:rPr>
          <w:iCs/>
          <w:lang w:val="de-DE"/>
        </w:rPr>
        <w:t xml:space="preserve"> 7.1.7.3.6“.</w:t>
      </w:r>
    </w:p>
    <w:p w:rsidR="00865914" w:rsidRPr="00DD2A86" w:rsidRDefault="00865914" w:rsidP="00865914">
      <w:pPr>
        <w:spacing w:before="120" w:after="120"/>
        <w:ind w:left="1134" w:right="1134"/>
        <w:jc w:val="both"/>
        <w:rPr>
          <w:lang w:val="de-DE"/>
        </w:rPr>
      </w:pPr>
      <w:r w:rsidRPr="00DD2A86">
        <w:rPr>
          <w:lang w:val="de-DE"/>
        </w:rPr>
        <w:t>2.2.52.1.15 - 2.2.52.1.17</w:t>
      </w:r>
      <w:r w:rsidRPr="00DD2A86">
        <w:rPr>
          <w:lang w:val="de-DE"/>
        </w:rPr>
        <w:tab/>
        <w:t>Folgende Änderungen vornehmen:</w:t>
      </w:r>
    </w:p>
    <w:p w:rsidR="00865914" w:rsidRPr="00DD2A86" w:rsidRDefault="00865914" w:rsidP="00865914">
      <w:pPr>
        <w:spacing w:before="120" w:after="120"/>
        <w:ind w:left="1134" w:right="1134"/>
        <w:jc w:val="both"/>
        <w:rPr>
          <w:iCs/>
          <w:lang w:val="de-DE"/>
        </w:rPr>
      </w:pPr>
      <w:r w:rsidRPr="00DD2A86">
        <w:rPr>
          <w:iCs/>
          <w:lang w:val="de-DE"/>
        </w:rPr>
        <w:t>2.2.52.1.15 – 2.2.52.1.16</w:t>
      </w:r>
      <w:r w:rsidRPr="00DD2A86">
        <w:rPr>
          <w:iCs/>
          <w:lang w:val="de-DE"/>
        </w:rPr>
        <w:tab/>
        <w:t>streichen.</w:t>
      </w:r>
    </w:p>
    <w:p w:rsidR="00865914" w:rsidRPr="00DD2A86" w:rsidRDefault="00865914" w:rsidP="00FC5364">
      <w:pPr>
        <w:tabs>
          <w:tab w:val="left" w:pos="2268"/>
          <w:tab w:val="left" w:pos="3402"/>
        </w:tabs>
        <w:spacing w:before="120" w:after="120"/>
        <w:ind w:left="1134" w:right="1134"/>
        <w:jc w:val="both"/>
        <w:rPr>
          <w:iCs/>
          <w:lang w:val="de-DE"/>
        </w:rPr>
      </w:pPr>
      <w:r w:rsidRPr="00DD2A86">
        <w:rPr>
          <w:iCs/>
          <w:lang w:val="de-DE"/>
        </w:rPr>
        <w:t>2.2.52.1.17</w:t>
      </w:r>
      <w:r w:rsidRPr="00DD2A86">
        <w:rPr>
          <w:iCs/>
          <w:lang w:val="de-DE"/>
        </w:rPr>
        <w:tab/>
        <w:t>wird zu 2.2.52.1.15.</w:t>
      </w:r>
    </w:p>
    <w:p w:rsidR="00865914" w:rsidRPr="00DD2A86" w:rsidRDefault="00865914" w:rsidP="00865914">
      <w:pPr>
        <w:spacing w:before="120" w:after="120"/>
        <w:ind w:left="1134" w:right="1134"/>
        <w:jc w:val="both"/>
        <w:rPr>
          <w:iCs/>
          <w:lang w:val="de-DE"/>
        </w:rPr>
      </w:pPr>
      <w:r w:rsidRPr="00DD2A86">
        <w:rPr>
          <w:iCs/>
          <w:lang w:val="de-DE"/>
        </w:rPr>
        <w:t>2.2.52.1.15</w:t>
      </w:r>
      <w:r w:rsidRPr="00DD2A86">
        <w:rPr>
          <w:iCs/>
          <w:lang w:val="de-DE"/>
        </w:rPr>
        <w:tab/>
        <w:t xml:space="preserve">(bisheriger Absatz 2.2.52.1.17) Nach der </w:t>
      </w:r>
      <w:r w:rsidRPr="00DD2A86">
        <w:rPr>
          <w:b/>
          <w:iCs/>
          <w:lang w:val="de-DE"/>
        </w:rPr>
        <w:t>Bem</w:t>
      </w:r>
      <w:r w:rsidRPr="00DD2A86">
        <w:rPr>
          <w:iCs/>
          <w:lang w:val="de-DE"/>
        </w:rPr>
        <w:t>. hinzufügen: „Siehe Abschnitt 7.1.7.“.</w:t>
      </w:r>
    </w:p>
    <w:p w:rsidR="00865914" w:rsidRPr="00DD2A86" w:rsidRDefault="00865914" w:rsidP="00865914">
      <w:pPr>
        <w:spacing w:before="120" w:after="120"/>
        <w:ind w:left="1134" w:right="1134"/>
        <w:jc w:val="both"/>
        <w:rPr>
          <w:lang w:val="de-DE"/>
        </w:rPr>
      </w:pPr>
      <w:r w:rsidRPr="00DD2A86">
        <w:rPr>
          <w:lang w:val="de-DE"/>
        </w:rPr>
        <w:t>2.2.52.1.18</w:t>
      </w:r>
      <w:r w:rsidRPr="00DD2A86">
        <w:rPr>
          <w:lang w:val="de-DE"/>
        </w:rPr>
        <w:tab/>
      </w:r>
      <w:r w:rsidRPr="00DD2A86">
        <w:rPr>
          <w:iCs/>
          <w:lang w:val="de-DE"/>
        </w:rPr>
        <w:t>wird zu 2.2.52.1.16.</w:t>
      </w:r>
    </w:p>
    <w:p w:rsidR="00865914" w:rsidRPr="00DD2A86" w:rsidRDefault="00865914" w:rsidP="00865914">
      <w:pPr>
        <w:spacing w:after="120"/>
        <w:ind w:left="1134"/>
        <w:rPr>
          <w:iCs/>
          <w:color w:val="000000"/>
          <w:lang w:val="de-DE" w:eastAsia="de-DE"/>
        </w:rPr>
      </w:pPr>
      <w:r w:rsidRPr="00DD2A86">
        <w:rPr>
          <w:lang w:val="de-DE"/>
        </w:rPr>
        <w:t>2.2.52.3</w:t>
      </w:r>
      <w:r w:rsidRPr="00DD2A86">
        <w:rPr>
          <w:lang w:val="de-DE"/>
        </w:rPr>
        <w:tab/>
      </w:r>
      <w:r w:rsidRPr="00DD2A86">
        <w:rPr>
          <w:iCs/>
          <w:color w:val="000000"/>
          <w:lang w:val="de-DE" w:eastAsia="de-DE"/>
        </w:rPr>
        <w:t>Am Ende von P1 und P2 hinzufügen:</w:t>
      </w:r>
    </w:p>
    <w:p w:rsidR="00865914" w:rsidRPr="00DD2A86" w:rsidRDefault="00865914" w:rsidP="00865914">
      <w:pPr>
        <w:tabs>
          <w:tab w:val="left" w:pos="2268"/>
        </w:tabs>
        <w:suppressAutoHyphens w:val="0"/>
        <w:spacing w:line="240" w:lineRule="auto"/>
        <w:ind w:left="1134"/>
        <w:jc w:val="both"/>
        <w:rPr>
          <w:iCs/>
          <w:color w:val="000000"/>
          <w:lang w:val="de-DE" w:eastAsia="de-DE"/>
        </w:rPr>
      </w:pPr>
      <w:r w:rsidRPr="00DD2A86">
        <w:rPr>
          <w:iCs/>
          <w:color w:val="000000"/>
          <w:lang w:val="de-DE" w:eastAsia="de-DE"/>
        </w:rPr>
        <w:t>„3545</w:t>
      </w:r>
      <w:r w:rsidRPr="00DD2A86">
        <w:rPr>
          <w:iCs/>
          <w:color w:val="000000"/>
          <w:lang w:val="de-DE" w:eastAsia="de-DE"/>
        </w:rPr>
        <w:tab/>
      </w:r>
      <w:r w:rsidRPr="00DD2A86">
        <w:rPr>
          <w:iCs/>
          <w:caps/>
          <w:color w:val="000000"/>
          <w:lang w:val="de-DE" w:eastAsia="de-DE"/>
        </w:rPr>
        <w:t>Gegenstände, die organisches Peroxid enthalten, n.a.g.“.</w:t>
      </w:r>
    </w:p>
    <w:p w:rsidR="00865914" w:rsidRPr="00DD2A86" w:rsidRDefault="00865914" w:rsidP="0048756D">
      <w:pPr>
        <w:spacing w:before="120"/>
        <w:ind w:left="2268" w:right="1134" w:hanging="1134"/>
        <w:jc w:val="both"/>
        <w:rPr>
          <w:iCs/>
          <w:color w:val="000000"/>
          <w:lang w:val="de-DE" w:eastAsia="de-DE"/>
        </w:rPr>
      </w:pPr>
      <w:r w:rsidRPr="00DD2A86">
        <w:rPr>
          <w:lang w:val="de-DE"/>
        </w:rPr>
        <w:t>2.2.52.4</w:t>
      </w:r>
      <w:r w:rsidRPr="00DD2A86">
        <w:rPr>
          <w:lang w:val="de-DE"/>
        </w:rPr>
        <w:tab/>
      </w:r>
      <w:r w:rsidRPr="00DD2A86">
        <w:rPr>
          <w:iCs/>
          <w:color w:val="000000"/>
          <w:lang w:val="de-DE" w:eastAsia="de-DE"/>
        </w:rPr>
        <w:t>Am Ende des ersten Unterabsatzes „siehe Unterabschnitt 4.2.5.2“ ändern in: „siehe Absatz 4.2.5.2.6“.</w:t>
      </w:r>
    </w:p>
    <w:p w:rsidR="00865914" w:rsidRPr="00DD2A86" w:rsidRDefault="00865914" w:rsidP="00865914">
      <w:pPr>
        <w:suppressAutoHyphens w:val="0"/>
        <w:spacing w:before="120" w:line="240" w:lineRule="auto"/>
        <w:ind w:left="2268"/>
        <w:jc w:val="both"/>
        <w:rPr>
          <w:iCs/>
          <w:lang w:val="de-DE" w:eastAsia="de-DE"/>
        </w:rPr>
      </w:pPr>
      <w:r w:rsidRPr="00DD2A86">
        <w:rPr>
          <w:iCs/>
          <w:lang w:val="de-DE" w:eastAsia="de-DE"/>
        </w:rPr>
        <w:t>Am Ende des ersten Unterabsatzes folgenden Satz hinzufügen:</w:t>
      </w:r>
    </w:p>
    <w:p w:rsidR="00865914" w:rsidRPr="00DD2A86" w:rsidRDefault="00865914" w:rsidP="00865914">
      <w:pPr>
        <w:suppressAutoHyphens w:val="0"/>
        <w:spacing w:before="120" w:line="240" w:lineRule="auto"/>
        <w:ind w:left="2268"/>
        <w:jc w:val="both"/>
        <w:rPr>
          <w:iCs/>
          <w:lang w:val="de-DE" w:eastAsia="de-DE"/>
        </w:rPr>
      </w:pPr>
      <w:r w:rsidRPr="00DD2A86">
        <w:rPr>
          <w:lang w:val="de-DE" w:eastAsia="de-DE"/>
        </w:rPr>
        <w:t>„Die</w:t>
      </w:r>
      <w:r w:rsidRPr="00DD2A86">
        <w:rPr>
          <w:iCs/>
          <w:lang w:val="de-DE" w:eastAsia="de-DE"/>
        </w:rPr>
        <w:t xml:space="preserve"> in der Verpackungsanweisung IBC 520 des Unterabschnitts 4.1.4.2 des ADR und in der Anweisung für ortsbewegliche Tanks T 23 des Absatzes 4.2.5.2.6 des ADR aufgeführten Zubereitungen dürfen, gegebenenfalls mit denselben Kontroll- und Notfalltemperaturen, auch gemäß Unterabschnitt 4.1.4.1 des ADR Verpackungsanweisung P 520 Verpackungsmethode OP8 verpackt befördert werden.“.</w:t>
      </w:r>
    </w:p>
    <w:p w:rsidR="00865914" w:rsidRPr="00DD2A86" w:rsidRDefault="00865914" w:rsidP="00865914">
      <w:pPr>
        <w:spacing w:before="120" w:after="120" w:line="240" w:lineRule="auto"/>
        <w:ind w:left="1134" w:right="1134"/>
        <w:jc w:val="both"/>
        <w:rPr>
          <w:iCs/>
          <w:lang w:val="de-DE" w:eastAsia="en-GB"/>
        </w:rPr>
      </w:pPr>
      <w:r w:rsidRPr="00DD2A86">
        <w:rPr>
          <w:lang w:val="de-DE" w:eastAsia="en-GB"/>
        </w:rPr>
        <w:t>2.2.52.4</w:t>
      </w:r>
      <w:r w:rsidRPr="00DD2A86">
        <w:rPr>
          <w:lang w:val="de-DE" w:eastAsia="en-GB"/>
        </w:rPr>
        <w:tab/>
        <w:t>[Die Änderung zur Spaltenüberschrift der letzten Spalte in der englischen und französischen Fassung hat keine Auswirkungen auf den deutschen Text.]</w:t>
      </w:r>
    </w:p>
    <w:p w:rsidR="00475E52" w:rsidRPr="00DD2A86" w:rsidRDefault="00475E52" w:rsidP="00475E52">
      <w:pPr>
        <w:ind w:left="1134"/>
        <w:rPr>
          <w:iCs/>
          <w:color w:val="000000"/>
          <w:lang w:val="de-DE" w:eastAsia="de-DE"/>
        </w:rPr>
      </w:pPr>
      <w:r w:rsidRPr="00DD2A86">
        <w:rPr>
          <w:lang w:val="de-DE"/>
        </w:rPr>
        <w:t>2.2.52.4</w:t>
      </w:r>
      <w:r w:rsidRPr="00DD2A86">
        <w:rPr>
          <w:lang w:val="de-DE"/>
        </w:rPr>
        <w:tab/>
      </w:r>
      <w:r w:rsidRPr="00DD2A86">
        <w:rPr>
          <w:iCs/>
          <w:color w:val="000000"/>
          <w:lang w:val="de-DE" w:eastAsia="de-DE"/>
        </w:rPr>
        <w:t>In der Tabelle unter „</w:t>
      </w:r>
      <w:r w:rsidR="00004EA5" w:rsidRPr="00C860AD">
        <w:rPr>
          <w:caps/>
          <w:snapToGrid w:val="0"/>
          <w:szCs w:val="24"/>
          <w:lang w:val="de-DE" w:eastAsia="fr-FR"/>
        </w:rPr>
        <w:t>Di-(4-</w:t>
      </w:r>
      <w:r w:rsidR="00004EA5" w:rsidRPr="00C860AD">
        <w:rPr>
          <w:snapToGrid w:val="0"/>
          <w:szCs w:val="24"/>
          <w:lang w:val="de-DE" w:eastAsia="fr-FR"/>
        </w:rPr>
        <w:t>tert</w:t>
      </w:r>
      <w:r w:rsidR="00004EA5" w:rsidRPr="00C860AD">
        <w:rPr>
          <w:caps/>
          <w:snapToGrid w:val="0"/>
          <w:szCs w:val="24"/>
          <w:lang w:val="de-DE" w:eastAsia="fr-FR"/>
        </w:rPr>
        <w:t>-butylcyclohexyl)-peroxydicarbonat</w:t>
      </w:r>
      <w:r w:rsidRPr="00DD2A86">
        <w:rPr>
          <w:b/>
          <w:sz w:val="18"/>
          <w:szCs w:val="18"/>
          <w:lang w:val="de-DE" w:eastAsia="de-DE"/>
        </w:rPr>
        <w:t>“</w:t>
      </w:r>
      <w:r w:rsidRPr="00DD2A86">
        <w:rPr>
          <w:iCs/>
          <w:color w:val="000000"/>
          <w:lang w:val="de-DE" w:eastAsia="de-DE"/>
        </w:rPr>
        <w:t xml:space="preserve"> folgende neue Zeile einfügen:</w:t>
      </w:r>
    </w:p>
    <w:p w:rsidR="00475E52" w:rsidRPr="00DD2A86" w:rsidRDefault="00475E52" w:rsidP="00475E52">
      <w:pPr>
        <w:tabs>
          <w:tab w:val="left" w:pos="1418"/>
        </w:tabs>
        <w:suppressAutoHyphens w:val="0"/>
        <w:spacing w:line="240" w:lineRule="auto"/>
        <w:ind w:left="1366"/>
        <w:jc w:val="both"/>
        <w:rPr>
          <w:color w:val="000000"/>
          <w:lang w:val="de-DE" w:eastAsia="de-DE"/>
        </w:rPr>
      </w:pPr>
      <w:r w:rsidRPr="00DD2A86">
        <w:rPr>
          <w:color w:val="000000"/>
          <w:lang w:val="de-DE" w:eastAsia="de-DE"/>
        </w:rPr>
        <w:t>„</w:t>
      </w:r>
    </w:p>
    <w:tbl>
      <w:tblPr>
        <w:tblW w:w="8820"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720"/>
        <w:gridCol w:w="642"/>
        <w:gridCol w:w="618"/>
        <w:gridCol w:w="540"/>
        <w:gridCol w:w="540"/>
        <w:gridCol w:w="720"/>
        <w:gridCol w:w="720"/>
        <w:gridCol w:w="720"/>
        <w:gridCol w:w="720"/>
        <w:gridCol w:w="540"/>
      </w:tblGrid>
      <w:tr w:rsidR="00475E52" w:rsidRPr="00DD2A86" w:rsidTr="00016F35">
        <w:trPr>
          <w:cantSplit/>
          <w:tblHeader/>
        </w:trPr>
        <w:tc>
          <w:tcPr>
            <w:tcW w:w="2340" w:type="dxa"/>
          </w:tcPr>
          <w:p w:rsidR="00475E52" w:rsidRPr="00DD2A86" w:rsidRDefault="00475E52" w:rsidP="00016F35">
            <w:pPr>
              <w:suppressAutoHyphens w:val="0"/>
              <w:spacing w:line="240" w:lineRule="auto"/>
              <w:rPr>
                <w:b/>
                <w:sz w:val="18"/>
                <w:szCs w:val="18"/>
                <w:lang w:val="de-DE" w:eastAsia="de-DE"/>
              </w:rPr>
            </w:pPr>
            <w:r w:rsidRPr="00DD2A86">
              <w:rPr>
                <w:b/>
                <w:sz w:val="18"/>
                <w:szCs w:val="18"/>
                <w:lang w:val="de-DE" w:eastAsia="de-DE"/>
              </w:rPr>
              <w:t>Organisches Peroxid</w:t>
            </w:r>
          </w:p>
        </w:tc>
        <w:tc>
          <w:tcPr>
            <w:tcW w:w="720" w:type="dxa"/>
          </w:tcPr>
          <w:p w:rsidR="00475E52" w:rsidRPr="00DD2A86" w:rsidRDefault="00475E52" w:rsidP="00016F35">
            <w:pPr>
              <w:suppressAutoHyphens w:val="0"/>
              <w:spacing w:line="240" w:lineRule="auto"/>
              <w:jc w:val="both"/>
              <w:rPr>
                <w:b/>
                <w:sz w:val="18"/>
                <w:szCs w:val="18"/>
                <w:lang w:val="de-DE" w:eastAsia="de-DE"/>
              </w:rPr>
            </w:pPr>
            <w:r w:rsidRPr="00DD2A86">
              <w:rPr>
                <w:b/>
                <w:sz w:val="18"/>
                <w:szCs w:val="18"/>
                <w:lang w:val="de-DE" w:eastAsia="de-DE"/>
              </w:rPr>
              <w:t>(2)</w:t>
            </w:r>
          </w:p>
        </w:tc>
        <w:tc>
          <w:tcPr>
            <w:tcW w:w="642" w:type="dxa"/>
          </w:tcPr>
          <w:p w:rsidR="00475E52" w:rsidRPr="00DD2A86" w:rsidRDefault="00475E52" w:rsidP="00016F35">
            <w:pPr>
              <w:suppressAutoHyphens w:val="0"/>
              <w:spacing w:line="240" w:lineRule="auto"/>
              <w:jc w:val="both"/>
              <w:rPr>
                <w:b/>
                <w:sz w:val="18"/>
                <w:szCs w:val="18"/>
                <w:lang w:val="de-DE" w:eastAsia="de-DE"/>
              </w:rPr>
            </w:pPr>
            <w:r w:rsidRPr="00DD2A86">
              <w:rPr>
                <w:b/>
                <w:sz w:val="18"/>
                <w:szCs w:val="18"/>
                <w:lang w:val="de-DE" w:eastAsia="de-DE"/>
              </w:rPr>
              <w:t>(3)</w:t>
            </w:r>
          </w:p>
        </w:tc>
        <w:tc>
          <w:tcPr>
            <w:tcW w:w="618" w:type="dxa"/>
          </w:tcPr>
          <w:p w:rsidR="00475E52" w:rsidRPr="00DD2A86" w:rsidRDefault="00475E52" w:rsidP="00016F35">
            <w:pPr>
              <w:suppressAutoHyphens w:val="0"/>
              <w:spacing w:line="240" w:lineRule="auto"/>
              <w:jc w:val="both"/>
              <w:rPr>
                <w:b/>
                <w:sz w:val="18"/>
                <w:szCs w:val="18"/>
                <w:lang w:val="de-DE" w:eastAsia="de-DE"/>
              </w:rPr>
            </w:pPr>
            <w:r w:rsidRPr="00DD2A86">
              <w:rPr>
                <w:b/>
                <w:sz w:val="18"/>
                <w:szCs w:val="18"/>
                <w:lang w:val="de-DE" w:eastAsia="de-DE"/>
              </w:rPr>
              <w:t>(4)</w:t>
            </w:r>
          </w:p>
        </w:tc>
        <w:tc>
          <w:tcPr>
            <w:tcW w:w="540" w:type="dxa"/>
          </w:tcPr>
          <w:p w:rsidR="00475E52" w:rsidRPr="00DD2A86" w:rsidRDefault="00475E52" w:rsidP="00016F35">
            <w:pPr>
              <w:suppressAutoHyphens w:val="0"/>
              <w:spacing w:line="240" w:lineRule="auto"/>
              <w:jc w:val="both"/>
              <w:rPr>
                <w:b/>
                <w:sz w:val="18"/>
                <w:szCs w:val="18"/>
                <w:lang w:val="de-DE" w:eastAsia="de-DE"/>
              </w:rPr>
            </w:pPr>
            <w:r w:rsidRPr="00DD2A86">
              <w:rPr>
                <w:b/>
                <w:sz w:val="18"/>
                <w:szCs w:val="18"/>
                <w:lang w:val="de-DE" w:eastAsia="de-DE"/>
              </w:rPr>
              <w:t>(5)</w:t>
            </w:r>
          </w:p>
        </w:tc>
        <w:tc>
          <w:tcPr>
            <w:tcW w:w="540" w:type="dxa"/>
          </w:tcPr>
          <w:p w:rsidR="00475E52" w:rsidRPr="00DD2A86" w:rsidRDefault="00475E52" w:rsidP="00016F35">
            <w:pPr>
              <w:suppressAutoHyphens w:val="0"/>
              <w:spacing w:line="240" w:lineRule="auto"/>
              <w:jc w:val="both"/>
              <w:rPr>
                <w:b/>
                <w:sz w:val="18"/>
                <w:szCs w:val="18"/>
                <w:lang w:val="de-DE" w:eastAsia="de-DE"/>
              </w:rPr>
            </w:pPr>
            <w:r w:rsidRPr="00DD2A86">
              <w:rPr>
                <w:b/>
                <w:sz w:val="18"/>
                <w:szCs w:val="18"/>
                <w:lang w:val="de-DE" w:eastAsia="de-DE"/>
              </w:rPr>
              <w:t>(6)</w:t>
            </w:r>
          </w:p>
        </w:tc>
        <w:tc>
          <w:tcPr>
            <w:tcW w:w="720" w:type="dxa"/>
          </w:tcPr>
          <w:p w:rsidR="00475E52" w:rsidRPr="00DD2A86" w:rsidRDefault="00475E52" w:rsidP="00016F35">
            <w:pPr>
              <w:suppressAutoHyphens w:val="0"/>
              <w:spacing w:line="240" w:lineRule="auto"/>
              <w:jc w:val="both"/>
              <w:rPr>
                <w:b/>
                <w:sz w:val="18"/>
                <w:szCs w:val="18"/>
                <w:lang w:val="de-DE" w:eastAsia="de-DE"/>
              </w:rPr>
            </w:pPr>
            <w:r w:rsidRPr="00DD2A86">
              <w:rPr>
                <w:b/>
                <w:sz w:val="18"/>
                <w:szCs w:val="18"/>
                <w:lang w:val="de-DE" w:eastAsia="de-DE"/>
              </w:rPr>
              <w:t>(7)</w:t>
            </w:r>
          </w:p>
        </w:tc>
        <w:tc>
          <w:tcPr>
            <w:tcW w:w="720" w:type="dxa"/>
          </w:tcPr>
          <w:p w:rsidR="00475E52" w:rsidRPr="00DD2A86" w:rsidRDefault="00475E52" w:rsidP="00016F35">
            <w:pPr>
              <w:suppressAutoHyphens w:val="0"/>
              <w:spacing w:line="240" w:lineRule="auto"/>
              <w:jc w:val="both"/>
              <w:rPr>
                <w:b/>
                <w:sz w:val="18"/>
                <w:szCs w:val="18"/>
                <w:lang w:val="de-DE" w:eastAsia="de-DE"/>
              </w:rPr>
            </w:pPr>
            <w:r w:rsidRPr="00DD2A86">
              <w:rPr>
                <w:b/>
                <w:sz w:val="18"/>
                <w:szCs w:val="18"/>
                <w:lang w:val="de-DE" w:eastAsia="de-DE"/>
              </w:rPr>
              <w:t>(8)</w:t>
            </w:r>
          </w:p>
        </w:tc>
        <w:tc>
          <w:tcPr>
            <w:tcW w:w="720" w:type="dxa"/>
          </w:tcPr>
          <w:p w:rsidR="00475E52" w:rsidRPr="00DD2A86" w:rsidRDefault="00475E52" w:rsidP="00016F35">
            <w:pPr>
              <w:suppressAutoHyphens w:val="0"/>
              <w:spacing w:line="240" w:lineRule="auto"/>
              <w:jc w:val="both"/>
              <w:rPr>
                <w:sz w:val="18"/>
                <w:szCs w:val="18"/>
                <w:lang w:val="de-DE" w:eastAsia="de-DE"/>
              </w:rPr>
            </w:pPr>
            <w:r w:rsidRPr="00DD2A86">
              <w:rPr>
                <w:b/>
                <w:sz w:val="18"/>
                <w:szCs w:val="18"/>
                <w:lang w:val="de-DE" w:eastAsia="de-DE"/>
              </w:rPr>
              <w:t>(9)</w:t>
            </w:r>
          </w:p>
        </w:tc>
        <w:tc>
          <w:tcPr>
            <w:tcW w:w="720" w:type="dxa"/>
          </w:tcPr>
          <w:p w:rsidR="00475E52" w:rsidRPr="00DD2A86" w:rsidRDefault="00475E52" w:rsidP="00016F35">
            <w:pPr>
              <w:suppressAutoHyphens w:val="0"/>
              <w:spacing w:line="240" w:lineRule="auto"/>
              <w:jc w:val="both"/>
              <w:rPr>
                <w:b/>
                <w:sz w:val="18"/>
                <w:szCs w:val="18"/>
                <w:lang w:val="de-DE" w:eastAsia="de-DE"/>
              </w:rPr>
            </w:pPr>
            <w:r w:rsidRPr="00DD2A86">
              <w:rPr>
                <w:b/>
                <w:sz w:val="18"/>
                <w:szCs w:val="18"/>
                <w:lang w:val="de-DE" w:eastAsia="de-DE"/>
              </w:rPr>
              <w:t>(10)</w:t>
            </w:r>
          </w:p>
        </w:tc>
        <w:tc>
          <w:tcPr>
            <w:tcW w:w="540" w:type="dxa"/>
          </w:tcPr>
          <w:p w:rsidR="00475E52" w:rsidRPr="00DD2A86" w:rsidRDefault="00475E52" w:rsidP="00016F35">
            <w:pPr>
              <w:suppressAutoHyphens w:val="0"/>
              <w:spacing w:line="240" w:lineRule="auto"/>
              <w:jc w:val="both"/>
              <w:rPr>
                <w:b/>
                <w:sz w:val="18"/>
                <w:szCs w:val="18"/>
                <w:lang w:val="de-DE" w:eastAsia="de-DE"/>
              </w:rPr>
            </w:pPr>
            <w:r w:rsidRPr="00DD2A86">
              <w:rPr>
                <w:b/>
                <w:sz w:val="18"/>
                <w:szCs w:val="18"/>
                <w:lang w:val="de-DE" w:eastAsia="de-DE"/>
              </w:rPr>
              <w:t>(11)</w:t>
            </w:r>
          </w:p>
        </w:tc>
      </w:tr>
      <w:tr w:rsidR="00475E52" w:rsidRPr="00DD2A86" w:rsidTr="00016F35">
        <w:trPr>
          <w:cantSplit/>
          <w:tblHeader/>
        </w:trPr>
        <w:tc>
          <w:tcPr>
            <w:tcW w:w="2340" w:type="dxa"/>
            <w:tcBorders>
              <w:top w:val="single" w:sz="4" w:space="0" w:color="auto"/>
              <w:left w:val="single" w:sz="4" w:space="0" w:color="auto"/>
              <w:bottom w:val="single" w:sz="4" w:space="0" w:color="auto"/>
              <w:right w:val="single" w:sz="4" w:space="0" w:color="auto"/>
            </w:tcBorders>
          </w:tcPr>
          <w:p w:rsidR="00475E52" w:rsidRPr="00DD2A86" w:rsidRDefault="00475E52" w:rsidP="00016F35">
            <w:pPr>
              <w:suppressAutoHyphens w:val="0"/>
              <w:spacing w:line="240" w:lineRule="auto"/>
              <w:rPr>
                <w:sz w:val="18"/>
                <w:szCs w:val="18"/>
                <w:lang w:val="de-DE" w:eastAsia="de-DE"/>
              </w:rPr>
            </w:pPr>
            <w:r w:rsidRPr="00DD2A86">
              <w:rPr>
                <w:sz w:val="18"/>
                <w:szCs w:val="18"/>
                <w:vertAlign w:val="superscript"/>
                <w:lang w:val="de-DE" w:eastAsia="de-DE"/>
              </w:rPr>
              <w:t>„</w:t>
            </w:r>
            <w:r w:rsidRPr="00DD2A86">
              <w:rPr>
                <w:sz w:val="18"/>
                <w:szCs w:val="18"/>
                <w:lang w:val="de-DE" w:eastAsia="de-DE"/>
              </w:rPr>
              <w:t xml:space="preserve"> (als Paste)</w:t>
            </w:r>
          </w:p>
        </w:tc>
        <w:tc>
          <w:tcPr>
            <w:tcW w:w="720" w:type="dxa"/>
            <w:tcBorders>
              <w:top w:val="single" w:sz="4" w:space="0" w:color="auto"/>
              <w:left w:val="single" w:sz="4" w:space="0" w:color="auto"/>
              <w:bottom w:val="single" w:sz="4" w:space="0" w:color="auto"/>
              <w:right w:val="single" w:sz="4" w:space="0" w:color="auto"/>
            </w:tcBorders>
          </w:tcPr>
          <w:p w:rsidR="00475E52" w:rsidRPr="00DD2A86" w:rsidRDefault="00475E52" w:rsidP="00016F35">
            <w:pPr>
              <w:suppressAutoHyphens w:val="0"/>
              <w:spacing w:line="240" w:lineRule="auto"/>
              <w:jc w:val="both"/>
              <w:rPr>
                <w:sz w:val="18"/>
                <w:szCs w:val="18"/>
                <w:lang w:val="de-DE" w:eastAsia="de-DE"/>
              </w:rPr>
            </w:pPr>
            <w:r w:rsidRPr="00DD2A86">
              <w:rPr>
                <w:sz w:val="18"/>
                <w:szCs w:val="18"/>
                <w:lang w:val="de-DE" w:eastAsia="de-DE"/>
              </w:rPr>
              <w:t>≤ 42</w:t>
            </w:r>
          </w:p>
        </w:tc>
        <w:tc>
          <w:tcPr>
            <w:tcW w:w="642" w:type="dxa"/>
            <w:tcBorders>
              <w:top w:val="single" w:sz="4" w:space="0" w:color="auto"/>
              <w:left w:val="single" w:sz="4" w:space="0" w:color="auto"/>
              <w:bottom w:val="single" w:sz="4" w:space="0" w:color="auto"/>
              <w:right w:val="single" w:sz="4" w:space="0" w:color="auto"/>
            </w:tcBorders>
          </w:tcPr>
          <w:p w:rsidR="00475E52" w:rsidRPr="00DD2A86" w:rsidRDefault="00475E52" w:rsidP="00016F35">
            <w:pPr>
              <w:suppressAutoHyphens w:val="0"/>
              <w:spacing w:line="240" w:lineRule="auto"/>
              <w:jc w:val="both"/>
              <w:rPr>
                <w:sz w:val="18"/>
                <w:szCs w:val="18"/>
                <w:lang w:val="de-DE" w:eastAsia="de-DE"/>
              </w:rPr>
            </w:pPr>
          </w:p>
        </w:tc>
        <w:tc>
          <w:tcPr>
            <w:tcW w:w="618" w:type="dxa"/>
            <w:tcBorders>
              <w:top w:val="single" w:sz="4" w:space="0" w:color="auto"/>
              <w:left w:val="single" w:sz="4" w:space="0" w:color="auto"/>
              <w:bottom w:val="single" w:sz="4" w:space="0" w:color="auto"/>
              <w:right w:val="single" w:sz="4" w:space="0" w:color="auto"/>
            </w:tcBorders>
          </w:tcPr>
          <w:p w:rsidR="00475E52" w:rsidRPr="00DD2A86" w:rsidRDefault="00475E52" w:rsidP="00016F35">
            <w:pPr>
              <w:suppressAutoHyphens w:val="0"/>
              <w:spacing w:line="240" w:lineRule="auto"/>
              <w:jc w:val="both"/>
              <w:rPr>
                <w:sz w:val="18"/>
                <w:szCs w:val="18"/>
                <w:lang w:val="de-DE" w:eastAsia="de-DE"/>
              </w:rPr>
            </w:pPr>
          </w:p>
        </w:tc>
        <w:tc>
          <w:tcPr>
            <w:tcW w:w="540" w:type="dxa"/>
            <w:tcBorders>
              <w:top w:val="single" w:sz="4" w:space="0" w:color="auto"/>
              <w:left w:val="single" w:sz="4" w:space="0" w:color="auto"/>
              <w:bottom w:val="single" w:sz="4" w:space="0" w:color="auto"/>
              <w:right w:val="single" w:sz="4" w:space="0" w:color="auto"/>
            </w:tcBorders>
          </w:tcPr>
          <w:p w:rsidR="00475E52" w:rsidRPr="00DD2A86" w:rsidRDefault="00475E52" w:rsidP="00016F35">
            <w:pPr>
              <w:suppressAutoHyphens w:val="0"/>
              <w:spacing w:line="240" w:lineRule="auto"/>
              <w:jc w:val="both"/>
              <w:rPr>
                <w:sz w:val="18"/>
                <w:szCs w:val="18"/>
                <w:lang w:val="de-DE" w:eastAsia="de-DE"/>
              </w:rPr>
            </w:pPr>
          </w:p>
        </w:tc>
        <w:tc>
          <w:tcPr>
            <w:tcW w:w="540" w:type="dxa"/>
            <w:tcBorders>
              <w:top w:val="single" w:sz="4" w:space="0" w:color="auto"/>
              <w:left w:val="single" w:sz="4" w:space="0" w:color="auto"/>
              <w:bottom w:val="single" w:sz="4" w:space="0" w:color="auto"/>
              <w:right w:val="single" w:sz="4" w:space="0" w:color="auto"/>
            </w:tcBorders>
          </w:tcPr>
          <w:p w:rsidR="00475E52" w:rsidRPr="00DD2A86" w:rsidRDefault="00475E52" w:rsidP="00016F35">
            <w:pPr>
              <w:suppressAutoHyphens w:val="0"/>
              <w:spacing w:line="240" w:lineRule="auto"/>
              <w:jc w:val="both"/>
              <w:rPr>
                <w:sz w:val="18"/>
                <w:szCs w:val="18"/>
                <w:lang w:val="de-DE" w:eastAsia="de-DE"/>
              </w:rPr>
            </w:pPr>
          </w:p>
        </w:tc>
        <w:tc>
          <w:tcPr>
            <w:tcW w:w="720" w:type="dxa"/>
            <w:tcBorders>
              <w:top w:val="single" w:sz="4" w:space="0" w:color="auto"/>
              <w:left w:val="single" w:sz="4" w:space="0" w:color="auto"/>
              <w:bottom w:val="single" w:sz="4" w:space="0" w:color="auto"/>
              <w:right w:val="single" w:sz="4" w:space="0" w:color="auto"/>
            </w:tcBorders>
          </w:tcPr>
          <w:p w:rsidR="00475E52" w:rsidRPr="00DD2A86" w:rsidRDefault="00475E52" w:rsidP="00016F35">
            <w:pPr>
              <w:suppressAutoHyphens w:val="0"/>
              <w:spacing w:line="240" w:lineRule="auto"/>
              <w:jc w:val="both"/>
              <w:rPr>
                <w:sz w:val="18"/>
                <w:szCs w:val="18"/>
                <w:lang w:val="de-DE" w:eastAsia="de-DE"/>
              </w:rPr>
            </w:pPr>
            <w:r w:rsidRPr="00DD2A86">
              <w:rPr>
                <w:sz w:val="18"/>
                <w:szCs w:val="18"/>
                <w:lang w:val="de-DE" w:eastAsia="de-DE"/>
              </w:rPr>
              <w:t>OP7</w:t>
            </w:r>
          </w:p>
        </w:tc>
        <w:tc>
          <w:tcPr>
            <w:tcW w:w="720" w:type="dxa"/>
            <w:tcBorders>
              <w:top w:val="single" w:sz="4" w:space="0" w:color="auto"/>
              <w:left w:val="single" w:sz="4" w:space="0" w:color="auto"/>
              <w:bottom w:val="single" w:sz="4" w:space="0" w:color="auto"/>
              <w:right w:val="single" w:sz="4" w:space="0" w:color="auto"/>
            </w:tcBorders>
          </w:tcPr>
          <w:p w:rsidR="00475E52" w:rsidRPr="00DD2A86" w:rsidRDefault="00475E52" w:rsidP="00016F35">
            <w:pPr>
              <w:suppressAutoHyphens w:val="0"/>
              <w:spacing w:line="240" w:lineRule="auto"/>
              <w:jc w:val="both"/>
              <w:rPr>
                <w:sz w:val="18"/>
                <w:szCs w:val="18"/>
                <w:lang w:val="de-DE" w:eastAsia="de-DE"/>
              </w:rPr>
            </w:pPr>
            <w:r w:rsidRPr="00DD2A86">
              <w:rPr>
                <w:sz w:val="18"/>
                <w:szCs w:val="18"/>
                <w:lang w:val="de-DE" w:eastAsia="de-DE"/>
              </w:rPr>
              <w:t>+35</w:t>
            </w:r>
          </w:p>
        </w:tc>
        <w:tc>
          <w:tcPr>
            <w:tcW w:w="720" w:type="dxa"/>
            <w:tcBorders>
              <w:top w:val="single" w:sz="4" w:space="0" w:color="auto"/>
              <w:left w:val="single" w:sz="4" w:space="0" w:color="auto"/>
              <w:bottom w:val="single" w:sz="4" w:space="0" w:color="auto"/>
              <w:right w:val="single" w:sz="4" w:space="0" w:color="auto"/>
            </w:tcBorders>
          </w:tcPr>
          <w:p w:rsidR="00475E52" w:rsidRPr="00DD2A86" w:rsidRDefault="00475E52" w:rsidP="00016F35">
            <w:pPr>
              <w:suppressAutoHyphens w:val="0"/>
              <w:spacing w:line="240" w:lineRule="auto"/>
              <w:jc w:val="both"/>
              <w:rPr>
                <w:sz w:val="18"/>
                <w:szCs w:val="18"/>
                <w:lang w:val="de-DE" w:eastAsia="de-DE"/>
              </w:rPr>
            </w:pPr>
            <w:r w:rsidRPr="00DD2A86">
              <w:rPr>
                <w:sz w:val="18"/>
                <w:szCs w:val="18"/>
                <w:lang w:val="de-DE" w:eastAsia="de-DE"/>
              </w:rPr>
              <w:t>+40</w:t>
            </w:r>
          </w:p>
        </w:tc>
        <w:tc>
          <w:tcPr>
            <w:tcW w:w="720" w:type="dxa"/>
            <w:tcBorders>
              <w:top w:val="single" w:sz="4" w:space="0" w:color="auto"/>
              <w:left w:val="single" w:sz="4" w:space="0" w:color="auto"/>
              <w:bottom w:val="single" w:sz="4" w:space="0" w:color="auto"/>
              <w:right w:val="single" w:sz="4" w:space="0" w:color="auto"/>
            </w:tcBorders>
          </w:tcPr>
          <w:p w:rsidR="00475E52" w:rsidRPr="00DD2A86" w:rsidRDefault="00475E52" w:rsidP="00016F35">
            <w:pPr>
              <w:suppressAutoHyphens w:val="0"/>
              <w:spacing w:line="240" w:lineRule="auto"/>
              <w:jc w:val="both"/>
              <w:rPr>
                <w:sz w:val="18"/>
                <w:szCs w:val="18"/>
                <w:lang w:val="de-DE" w:eastAsia="de-DE"/>
              </w:rPr>
            </w:pPr>
            <w:r w:rsidRPr="00DD2A86">
              <w:rPr>
                <w:sz w:val="18"/>
                <w:szCs w:val="18"/>
                <w:lang w:val="de-DE" w:eastAsia="de-DE"/>
              </w:rPr>
              <w:t>3116</w:t>
            </w:r>
          </w:p>
        </w:tc>
        <w:tc>
          <w:tcPr>
            <w:tcW w:w="540" w:type="dxa"/>
            <w:tcBorders>
              <w:top w:val="single" w:sz="4" w:space="0" w:color="auto"/>
              <w:left w:val="single" w:sz="4" w:space="0" w:color="auto"/>
              <w:bottom w:val="single" w:sz="4" w:space="0" w:color="auto"/>
              <w:right w:val="single" w:sz="4" w:space="0" w:color="auto"/>
            </w:tcBorders>
          </w:tcPr>
          <w:p w:rsidR="00475E52" w:rsidRPr="00DD2A86" w:rsidRDefault="00475E52" w:rsidP="00016F35">
            <w:pPr>
              <w:suppressAutoHyphens w:val="0"/>
              <w:spacing w:line="240" w:lineRule="auto"/>
              <w:jc w:val="both"/>
              <w:rPr>
                <w:sz w:val="18"/>
                <w:szCs w:val="18"/>
                <w:lang w:val="de-DE" w:eastAsia="de-DE"/>
              </w:rPr>
            </w:pPr>
          </w:p>
        </w:tc>
      </w:tr>
    </w:tbl>
    <w:p w:rsidR="00475E52" w:rsidRPr="00DD2A86" w:rsidRDefault="00475E52" w:rsidP="00475E52">
      <w:pPr>
        <w:tabs>
          <w:tab w:val="left" w:pos="1418"/>
        </w:tabs>
        <w:suppressAutoHyphens w:val="0"/>
        <w:spacing w:line="240" w:lineRule="auto"/>
        <w:ind w:left="1366"/>
        <w:jc w:val="both"/>
        <w:rPr>
          <w:color w:val="000000"/>
          <w:lang w:val="de-DE" w:eastAsia="de-DE"/>
        </w:rPr>
      </w:pPr>
      <w:r w:rsidRPr="00DD2A86">
        <w:rPr>
          <w:lang w:val="de-DE"/>
        </w:rPr>
        <w:t>“</w:t>
      </w:r>
      <w:r w:rsidRPr="00DD2A86">
        <w:rPr>
          <w:color w:val="000000"/>
          <w:lang w:val="de-DE" w:eastAsia="de-DE"/>
        </w:rPr>
        <w:t>.</w:t>
      </w:r>
    </w:p>
    <w:p w:rsidR="00475E52" w:rsidRPr="00DD2A86" w:rsidRDefault="00475E52" w:rsidP="00475E52">
      <w:pPr>
        <w:suppressAutoHyphens w:val="0"/>
        <w:spacing w:line="240" w:lineRule="auto"/>
        <w:rPr>
          <w:lang w:val="de-DE"/>
        </w:rPr>
      </w:pPr>
    </w:p>
    <w:p w:rsidR="00475E52" w:rsidRPr="00DD2A86" w:rsidRDefault="00475E52" w:rsidP="00475E52">
      <w:pPr>
        <w:ind w:left="1134"/>
        <w:rPr>
          <w:iCs/>
          <w:color w:val="000000"/>
          <w:lang w:val="de-DE" w:eastAsia="de-DE"/>
        </w:rPr>
      </w:pPr>
      <w:r w:rsidRPr="00DD2A86">
        <w:rPr>
          <w:lang w:val="de-DE"/>
        </w:rPr>
        <w:t>2.2.52.4</w:t>
      </w:r>
      <w:r w:rsidRPr="00DD2A86">
        <w:rPr>
          <w:lang w:val="de-DE"/>
        </w:rPr>
        <w:tab/>
      </w:r>
      <w:r w:rsidRPr="00DD2A86">
        <w:rPr>
          <w:iCs/>
          <w:color w:val="000000"/>
          <w:lang w:val="de-DE" w:eastAsia="de-DE"/>
        </w:rPr>
        <w:t>In der Tabelle folgende neue Zeilen einfügen:</w:t>
      </w:r>
    </w:p>
    <w:p w:rsidR="00475E52" w:rsidRPr="00DD2A86" w:rsidRDefault="00475E52" w:rsidP="00475E52">
      <w:pPr>
        <w:tabs>
          <w:tab w:val="left" w:pos="1418"/>
        </w:tabs>
        <w:suppressAutoHyphens w:val="0"/>
        <w:spacing w:line="240" w:lineRule="auto"/>
        <w:ind w:left="1366"/>
        <w:jc w:val="both"/>
        <w:rPr>
          <w:color w:val="000000"/>
          <w:lang w:val="de-DE" w:eastAsia="de-DE"/>
        </w:rPr>
      </w:pPr>
      <w:r w:rsidRPr="00DD2A86">
        <w:rPr>
          <w:color w:val="000000"/>
          <w:lang w:val="de-DE" w:eastAsia="de-DE"/>
        </w:rPr>
        <w:t>„</w:t>
      </w:r>
    </w:p>
    <w:tbl>
      <w:tblPr>
        <w:tblW w:w="8820"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720"/>
        <w:gridCol w:w="642"/>
        <w:gridCol w:w="618"/>
        <w:gridCol w:w="540"/>
        <w:gridCol w:w="540"/>
        <w:gridCol w:w="720"/>
        <w:gridCol w:w="720"/>
        <w:gridCol w:w="720"/>
        <w:gridCol w:w="720"/>
        <w:gridCol w:w="540"/>
      </w:tblGrid>
      <w:tr w:rsidR="00475E52" w:rsidRPr="00DD2A86" w:rsidTr="00016F35">
        <w:trPr>
          <w:cantSplit/>
        </w:trPr>
        <w:tc>
          <w:tcPr>
            <w:tcW w:w="2340" w:type="dxa"/>
          </w:tcPr>
          <w:p w:rsidR="00475E52" w:rsidRPr="00DD2A86" w:rsidRDefault="00475E52" w:rsidP="00016F35">
            <w:pPr>
              <w:suppressAutoHyphens w:val="0"/>
              <w:spacing w:line="240" w:lineRule="auto"/>
              <w:rPr>
                <w:sz w:val="18"/>
                <w:szCs w:val="18"/>
                <w:lang w:val="de-DE" w:eastAsia="de-DE"/>
              </w:rPr>
            </w:pPr>
            <w:r w:rsidRPr="00DD2A86">
              <w:rPr>
                <w:caps/>
                <w:snapToGrid w:val="0"/>
                <w:sz w:val="18"/>
                <w:szCs w:val="18"/>
                <w:lang w:val="de-DE" w:eastAsia="de-DE"/>
              </w:rPr>
              <w:t>Diisobutyryl</w:t>
            </w:r>
            <w:r w:rsidRPr="00DD2A86">
              <w:rPr>
                <w:caps/>
                <w:snapToGrid w:val="0"/>
                <w:sz w:val="18"/>
                <w:szCs w:val="18"/>
                <w:lang w:val="de-DE" w:eastAsia="de-DE"/>
              </w:rPr>
              <w:softHyphen/>
              <w:t>peroxid</w:t>
            </w:r>
            <w:r w:rsidRPr="00DD2A86">
              <w:rPr>
                <w:snapToGrid w:val="0"/>
                <w:sz w:val="18"/>
                <w:szCs w:val="18"/>
                <w:lang w:val="de-DE" w:eastAsia="de-DE"/>
              </w:rPr>
              <w:t xml:space="preserve"> (als stabile Dispersion in Wasser)</w:t>
            </w:r>
          </w:p>
        </w:tc>
        <w:tc>
          <w:tcPr>
            <w:tcW w:w="720" w:type="dxa"/>
          </w:tcPr>
          <w:p w:rsidR="00475E52" w:rsidRPr="00DD2A86" w:rsidRDefault="00475E52" w:rsidP="00016F35">
            <w:pPr>
              <w:suppressAutoHyphens w:val="0"/>
              <w:spacing w:line="240" w:lineRule="auto"/>
              <w:rPr>
                <w:sz w:val="18"/>
                <w:szCs w:val="18"/>
                <w:lang w:val="de-DE" w:eastAsia="de-DE"/>
              </w:rPr>
            </w:pPr>
            <w:r w:rsidRPr="00DD2A86">
              <w:rPr>
                <w:sz w:val="18"/>
                <w:szCs w:val="18"/>
                <w:lang w:val="de-DE" w:eastAsia="de-DE"/>
              </w:rPr>
              <w:t>≤ 42</w:t>
            </w:r>
          </w:p>
        </w:tc>
        <w:tc>
          <w:tcPr>
            <w:tcW w:w="642" w:type="dxa"/>
          </w:tcPr>
          <w:p w:rsidR="00475E52" w:rsidRPr="00DD2A86" w:rsidRDefault="00475E52" w:rsidP="00016F35">
            <w:pPr>
              <w:suppressAutoHyphens w:val="0"/>
              <w:spacing w:line="240" w:lineRule="auto"/>
              <w:rPr>
                <w:sz w:val="18"/>
                <w:szCs w:val="18"/>
                <w:lang w:val="de-DE" w:eastAsia="de-DE"/>
              </w:rPr>
            </w:pPr>
          </w:p>
        </w:tc>
        <w:tc>
          <w:tcPr>
            <w:tcW w:w="618" w:type="dxa"/>
          </w:tcPr>
          <w:p w:rsidR="00475E52" w:rsidRPr="00DD2A86" w:rsidRDefault="00475E52" w:rsidP="00016F35">
            <w:pPr>
              <w:suppressAutoHyphens w:val="0"/>
              <w:spacing w:line="240" w:lineRule="auto"/>
              <w:rPr>
                <w:sz w:val="18"/>
                <w:szCs w:val="18"/>
                <w:lang w:val="de-DE" w:eastAsia="de-DE"/>
              </w:rPr>
            </w:pPr>
          </w:p>
        </w:tc>
        <w:tc>
          <w:tcPr>
            <w:tcW w:w="540" w:type="dxa"/>
          </w:tcPr>
          <w:p w:rsidR="00475E52" w:rsidRPr="00DD2A86" w:rsidRDefault="00475E52" w:rsidP="00016F35">
            <w:pPr>
              <w:suppressAutoHyphens w:val="0"/>
              <w:spacing w:line="240" w:lineRule="auto"/>
              <w:rPr>
                <w:sz w:val="18"/>
                <w:szCs w:val="18"/>
                <w:lang w:val="de-DE" w:eastAsia="de-DE"/>
              </w:rPr>
            </w:pPr>
          </w:p>
        </w:tc>
        <w:tc>
          <w:tcPr>
            <w:tcW w:w="540" w:type="dxa"/>
          </w:tcPr>
          <w:p w:rsidR="00475E52" w:rsidRPr="00DD2A86" w:rsidRDefault="00475E52" w:rsidP="00016F35">
            <w:pPr>
              <w:suppressAutoHyphens w:val="0"/>
              <w:spacing w:line="240" w:lineRule="auto"/>
              <w:rPr>
                <w:sz w:val="18"/>
                <w:szCs w:val="18"/>
                <w:lang w:val="de-DE" w:eastAsia="de-DE"/>
              </w:rPr>
            </w:pPr>
          </w:p>
        </w:tc>
        <w:tc>
          <w:tcPr>
            <w:tcW w:w="720" w:type="dxa"/>
          </w:tcPr>
          <w:p w:rsidR="00475E52" w:rsidRPr="00DD2A86" w:rsidRDefault="00475E52" w:rsidP="00016F35">
            <w:pPr>
              <w:suppressAutoHyphens w:val="0"/>
              <w:spacing w:line="240" w:lineRule="auto"/>
              <w:rPr>
                <w:sz w:val="18"/>
                <w:szCs w:val="18"/>
                <w:lang w:val="de-DE" w:eastAsia="de-DE"/>
              </w:rPr>
            </w:pPr>
            <w:r w:rsidRPr="00DD2A86">
              <w:rPr>
                <w:sz w:val="18"/>
                <w:szCs w:val="18"/>
                <w:lang w:val="de-DE" w:eastAsia="de-DE"/>
              </w:rPr>
              <w:t>OP8</w:t>
            </w:r>
          </w:p>
        </w:tc>
        <w:tc>
          <w:tcPr>
            <w:tcW w:w="720" w:type="dxa"/>
          </w:tcPr>
          <w:p w:rsidR="00475E52" w:rsidRPr="00DD2A86" w:rsidRDefault="00475E52" w:rsidP="00016F35">
            <w:pPr>
              <w:suppressAutoHyphens w:val="0"/>
              <w:spacing w:line="240" w:lineRule="auto"/>
              <w:rPr>
                <w:sz w:val="18"/>
                <w:szCs w:val="18"/>
                <w:lang w:val="de-DE" w:eastAsia="de-DE"/>
              </w:rPr>
            </w:pPr>
            <w:r w:rsidRPr="00DD2A86">
              <w:rPr>
                <w:sz w:val="18"/>
                <w:szCs w:val="18"/>
                <w:lang w:val="de-DE" w:eastAsia="de-DE"/>
              </w:rPr>
              <w:t>–20</w:t>
            </w:r>
          </w:p>
        </w:tc>
        <w:tc>
          <w:tcPr>
            <w:tcW w:w="720" w:type="dxa"/>
          </w:tcPr>
          <w:p w:rsidR="00475E52" w:rsidRPr="00DD2A86" w:rsidRDefault="00475E52" w:rsidP="00016F35">
            <w:pPr>
              <w:suppressAutoHyphens w:val="0"/>
              <w:spacing w:line="240" w:lineRule="auto"/>
              <w:rPr>
                <w:sz w:val="18"/>
                <w:szCs w:val="18"/>
                <w:lang w:val="de-DE" w:eastAsia="de-DE"/>
              </w:rPr>
            </w:pPr>
            <w:r w:rsidRPr="00DD2A86">
              <w:rPr>
                <w:sz w:val="18"/>
                <w:szCs w:val="18"/>
                <w:lang w:val="de-DE" w:eastAsia="de-DE"/>
              </w:rPr>
              <w:t>–10</w:t>
            </w:r>
          </w:p>
        </w:tc>
        <w:tc>
          <w:tcPr>
            <w:tcW w:w="720" w:type="dxa"/>
          </w:tcPr>
          <w:p w:rsidR="00475E52" w:rsidRPr="00DD2A86" w:rsidRDefault="00475E52" w:rsidP="00016F35">
            <w:pPr>
              <w:suppressAutoHyphens w:val="0"/>
              <w:spacing w:line="240" w:lineRule="auto"/>
              <w:rPr>
                <w:sz w:val="18"/>
                <w:szCs w:val="18"/>
                <w:lang w:val="de-DE" w:eastAsia="de-DE"/>
              </w:rPr>
            </w:pPr>
            <w:r w:rsidRPr="00DD2A86">
              <w:rPr>
                <w:sz w:val="18"/>
                <w:szCs w:val="18"/>
                <w:lang w:val="de-DE" w:eastAsia="de-DE"/>
              </w:rPr>
              <w:t>3119</w:t>
            </w:r>
          </w:p>
        </w:tc>
        <w:tc>
          <w:tcPr>
            <w:tcW w:w="540" w:type="dxa"/>
          </w:tcPr>
          <w:p w:rsidR="00475E52" w:rsidRPr="00DD2A86" w:rsidRDefault="00475E52" w:rsidP="00016F35">
            <w:pPr>
              <w:suppressAutoHyphens w:val="0"/>
              <w:spacing w:line="240" w:lineRule="auto"/>
              <w:rPr>
                <w:sz w:val="18"/>
                <w:szCs w:val="18"/>
                <w:lang w:val="de-DE" w:eastAsia="de-DE"/>
              </w:rPr>
            </w:pPr>
          </w:p>
        </w:tc>
      </w:tr>
      <w:tr w:rsidR="00475E52" w:rsidRPr="00DD2A86" w:rsidTr="00016F35">
        <w:trPr>
          <w:cantSplit/>
        </w:trPr>
        <w:tc>
          <w:tcPr>
            <w:tcW w:w="2340" w:type="dxa"/>
          </w:tcPr>
          <w:p w:rsidR="00475E52" w:rsidRPr="00DD2A86" w:rsidRDefault="00475E52" w:rsidP="00016F35">
            <w:pPr>
              <w:suppressAutoHyphens w:val="0"/>
              <w:spacing w:line="240" w:lineRule="auto"/>
              <w:rPr>
                <w:sz w:val="18"/>
                <w:szCs w:val="18"/>
                <w:lang w:val="de-DE" w:eastAsia="de-DE"/>
              </w:rPr>
            </w:pPr>
            <w:r w:rsidRPr="00DD2A86">
              <w:rPr>
                <w:sz w:val="18"/>
                <w:szCs w:val="18"/>
                <w:lang w:val="de-DE" w:eastAsia="de-DE"/>
              </w:rPr>
              <w:t>1-PHENYLETHYL</w:t>
            </w:r>
            <w:r w:rsidRPr="00DD2A86">
              <w:rPr>
                <w:sz w:val="18"/>
                <w:szCs w:val="18"/>
                <w:lang w:val="de-DE" w:eastAsia="de-DE"/>
              </w:rPr>
              <w:softHyphen/>
              <w:t>HYDROPEROXID</w:t>
            </w:r>
          </w:p>
        </w:tc>
        <w:tc>
          <w:tcPr>
            <w:tcW w:w="720" w:type="dxa"/>
          </w:tcPr>
          <w:p w:rsidR="00475E52" w:rsidRPr="00DD2A86" w:rsidRDefault="00475E52" w:rsidP="00016F35">
            <w:pPr>
              <w:suppressAutoHyphens w:val="0"/>
              <w:spacing w:line="240" w:lineRule="auto"/>
              <w:rPr>
                <w:sz w:val="18"/>
                <w:szCs w:val="18"/>
                <w:lang w:val="de-DE" w:eastAsia="de-DE"/>
              </w:rPr>
            </w:pPr>
            <w:r w:rsidRPr="00DD2A86">
              <w:rPr>
                <w:sz w:val="18"/>
                <w:szCs w:val="18"/>
                <w:lang w:val="de-DE" w:eastAsia="de-DE"/>
              </w:rPr>
              <w:t>≤ 38</w:t>
            </w:r>
          </w:p>
        </w:tc>
        <w:tc>
          <w:tcPr>
            <w:tcW w:w="642" w:type="dxa"/>
          </w:tcPr>
          <w:p w:rsidR="00475E52" w:rsidRPr="00DD2A86" w:rsidRDefault="00475E52" w:rsidP="00016F35">
            <w:pPr>
              <w:suppressAutoHyphens w:val="0"/>
              <w:spacing w:line="240" w:lineRule="auto"/>
              <w:rPr>
                <w:sz w:val="18"/>
                <w:szCs w:val="18"/>
                <w:lang w:val="de-DE" w:eastAsia="de-DE"/>
              </w:rPr>
            </w:pPr>
          </w:p>
        </w:tc>
        <w:tc>
          <w:tcPr>
            <w:tcW w:w="618" w:type="dxa"/>
          </w:tcPr>
          <w:p w:rsidR="00475E52" w:rsidRPr="00DD2A86" w:rsidRDefault="00475E52" w:rsidP="00016F35">
            <w:pPr>
              <w:suppressAutoHyphens w:val="0"/>
              <w:spacing w:line="240" w:lineRule="auto"/>
              <w:rPr>
                <w:sz w:val="18"/>
                <w:szCs w:val="18"/>
                <w:lang w:val="de-DE" w:eastAsia="de-DE"/>
              </w:rPr>
            </w:pPr>
            <w:r w:rsidRPr="00DD2A86">
              <w:rPr>
                <w:sz w:val="18"/>
                <w:szCs w:val="18"/>
                <w:lang w:val="de-DE" w:eastAsia="de-DE"/>
              </w:rPr>
              <w:t>≥ 62</w:t>
            </w:r>
          </w:p>
        </w:tc>
        <w:tc>
          <w:tcPr>
            <w:tcW w:w="540" w:type="dxa"/>
          </w:tcPr>
          <w:p w:rsidR="00475E52" w:rsidRPr="00DD2A86" w:rsidRDefault="00475E52" w:rsidP="00016F35">
            <w:pPr>
              <w:suppressAutoHyphens w:val="0"/>
              <w:spacing w:line="240" w:lineRule="auto"/>
              <w:rPr>
                <w:sz w:val="18"/>
                <w:szCs w:val="18"/>
                <w:lang w:val="de-DE" w:eastAsia="de-DE"/>
              </w:rPr>
            </w:pPr>
          </w:p>
        </w:tc>
        <w:tc>
          <w:tcPr>
            <w:tcW w:w="540" w:type="dxa"/>
          </w:tcPr>
          <w:p w:rsidR="00475E52" w:rsidRPr="00DD2A86" w:rsidRDefault="00475E52" w:rsidP="00016F35">
            <w:pPr>
              <w:suppressAutoHyphens w:val="0"/>
              <w:spacing w:line="240" w:lineRule="auto"/>
              <w:rPr>
                <w:sz w:val="18"/>
                <w:szCs w:val="18"/>
                <w:lang w:val="de-DE" w:eastAsia="de-DE"/>
              </w:rPr>
            </w:pPr>
          </w:p>
        </w:tc>
        <w:tc>
          <w:tcPr>
            <w:tcW w:w="720" w:type="dxa"/>
          </w:tcPr>
          <w:p w:rsidR="00475E52" w:rsidRPr="00DD2A86" w:rsidRDefault="00475E52" w:rsidP="00016F35">
            <w:pPr>
              <w:suppressAutoHyphens w:val="0"/>
              <w:spacing w:line="240" w:lineRule="auto"/>
              <w:rPr>
                <w:sz w:val="18"/>
                <w:szCs w:val="18"/>
                <w:lang w:val="de-DE" w:eastAsia="de-DE"/>
              </w:rPr>
            </w:pPr>
            <w:r w:rsidRPr="00DD2A86">
              <w:rPr>
                <w:sz w:val="18"/>
                <w:szCs w:val="18"/>
                <w:lang w:val="de-DE" w:eastAsia="de-DE"/>
              </w:rPr>
              <w:t>OP8</w:t>
            </w:r>
          </w:p>
        </w:tc>
        <w:tc>
          <w:tcPr>
            <w:tcW w:w="720" w:type="dxa"/>
          </w:tcPr>
          <w:p w:rsidR="00475E52" w:rsidRPr="00DD2A86" w:rsidRDefault="00475E52" w:rsidP="00016F35">
            <w:pPr>
              <w:suppressAutoHyphens w:val="0"/>
              <w:spacing w:line="240" w:lineRule="auto"/>
              <w:rPr>
                <w:sz w:val="18"/>
                <w:szCs w:val="18"/>
                <w:lang w:val="de-DE" w:eastAsia="de-DE"/>
              </w:rPr>
            </w:pPr>
          </w:p>
        </w:tc>
        <w:tc>
          <w:tcPr>
            <w:tcW w:w="720" w:type="dxa"/>
          </w:tcPr>
          <w:p w:rsidR="00475E52" w:rsidRPr="00DD2A86" w:rsidRDefault="00475E52" w:rsidP="00016F35">
            <w:pPr>
              <w:suppressAutoHyphens w:val="0"/>
              <w:spacing w:line="240" w:lineRule="auto"/>
              <w:rPr>
                <w:sz w:val="18"/>
                <w:szCs w:val="18"/>
                <w:lang w:val="de-DE" w:eastAsia="de-DE"/>
              </w:rPr>
            </w:pPr>
          </w:p>
        </w:tc>
        <w:tc>
          <w:tcPr>
            <w:tcW w:w="720" w:type="dxa"/>
          </w:tcPr>
          <w:p w:rsidR="00475E52" w:rsidRPr="00DD2A86" w:rsidRDefault="00475E52" w:rsidP="00016F35">
            <w:pPr>
              <w:suppressAutoHyphens w:val="0"/>
              <w:spacing w:line="240" w:lineRule="auto"/>
              <w:rPr>
                <w:sz w:val="18"/>
                <w:szCs w:val="18"/>
                <w:lang w:val="de-DE" w:eastAsia="de-DE"/>
              </w:rPr>
            </w:pPr>
            <w:r w:rsidRPr="00DD2A86">
              <w:rPr>
                <w:sz w:val="18"/>
                <w:szCs w:val="18"/>
                <w:lang w:val="de-DE" w:eastAsia="de-DE"/>
              </w:rPr>
              <w:t>3109</w:t>
            </w:r>
          </w:p>
        </w:tc>
        <w:tc>
          <w:tcPr>
            <w:tcW w:w="540" w:type="dxa"/>
          </w:tcPr>
          <w:p w:rsidR="00475E52" w:rsidRPr="00DD2A86" w:rsidRDefault="00475E52" w:rsidP="00016F35">
            <w:pPr>
              <w:suppressAutoHyphens w:val="0"/>
              <w:spacing w:line="240" w:lineRule="auto"/>
              <w:rPr>
                <w:sz w:val="18"/>
                <w:szCs w:val="18"/>
                <w:lang w:val="de-DE" w:eastAsia="de-DE"/>
              </w:rPr>
            </w:pPr>
          </w:p>
        </w:tc>
      </w:tr>
    </w:tbl>
    <w:p w:rsidR="00475E52" w:rsidRPr="00DD2A86" w:rsidRDefault="00475E52" w:rsidP="00475E52">
      <w:pPr>
        <w:tabs>
          <w:tab w:val="left" w:pos="1418"/>
        </w:tabs>
        <w:suppressAutoHyphens w:val="0"/>
        <w:spacing w:line="240" w:lineRule="auto"/>
        <w:ind w:left="1366"/>
        <w:jc w:val="both"/>
        <w:rPr>
          <w:color w:val="000000"/>
          <w:lang w:val="de-DE" w:eastAsia="de-DE"/>
        </w:rPr>
      </w:pPr>
      <w:r w:rsidRPr="00DD2A86">
        <w:rPr>
          <w:lang w:val="de-DE"/>
        </w:rPr>
        <w:t>“</w:t>
      </w:r>
      <w:r w:rsidRPr="00DD2A86">
        <w:rPr>
          <w:color w:val="000000"/>
          <w:lang w:val="de-DE" w:eastAsia="de-DE"/>
        </w:rPr>
        <w:t>.</w:t>
      </w:r>
    </w:p>
    <w:p w:rsidR="00865914" w:rsidRPr="00DD2A86" w:rsidRDefault="00865914" w:rsidP="00865914">
      <w:pPr>
        <w:spacing w:before="120" w:after="120" w:line="240" w:lineRule="auto"/>
        <w:ind w:left="1134" w:right="1134"/>
        <w:jc w:val="both"/>
        <w:rPr>
          <w:iCs/>
          <w:lang w:val="de-DE"/>
        </w:rPr>
      </w:pPr>
      <w:r w:rsidRPr="00DD2A86">
        <w:rPr>
          <w:lang w:val="de-DE"/>
        </w:rPr>
        <w:t>2.2.52.4</w:t>
      </w:r>
      <w:r w:rsidRPr="00DD2A86">
        <w:rPr>
          <w:lang w:val="de-DE"/>
        </w:rPr>
        <w:tab/>
        <w:t>[Die Änderung zu den Bemerkungen 3, 13, 18 und 27 in der englischen und französischen Fassung hat keine Auswirkungen auf den deutschen Text.]</w:t>
      </w:r>
    </w:p>
    <w:p w:rsidR="00865914" w:rsidRPr="00DD2A86" w:rsidRDefault="00865914" w:rsidP="00865914">
      <w:pPr>
        <w:spacing w:after="120"/>
        <w:ind w:left="1134" w:right="1134"/>
        <w:jc w:val="both"/>
        <w:rPr>
          <w:iCs/>
          <w:lang w:val="de-DE"/>
        </w:rPr>
      </w:pPr>
      <w:r w:rsidRPr="00DD2A86">
        <w:rPr>
          <w:lang w:val="de-DE"/>
        </w:rPr>
        <w:t>2.2.61.1.2</w:t>
      </w:r>
      <w:r w:rsidRPr="00DD2A86">
        <w:rPr>
          <w:lang w:val="de-DE"/>
        </w:rPr>
        <w:tab/>
        <w:t>[Die Änderung zum Titel des Klassifizierungscodes „T“ in der englischen und französischen Fassung hat keine Auswirkungen auf den deutschen Text.]</w:t>
      </w:r>
    </w:p>
    <w:p w:rsidR="00865914" w:rsidRPr="00DD2A86" w:rsidRDefault="00865914" w:rsidP="00865914">
      <w:pPr>
        <w:spacing w:before="120" w:after="120"/>
        <w:ind w:left="1134" w:right="1134"/>
        <w:jc w:val="both"/>
        <w:rPr>
          <w:iCs/>
          <w:lang w:val="de-DE"/>
        </w:rPr>
      </w:pPr>
      <w:r w:rsidRPr="00DD2A86">
        <w:rPr>
          <w:lang w:val="de-DE"/>
        </w:rPr>
        <w:t>2.2.61.1.2</w:t>
      </w:r>
      <w:r w:rsidRPr="00DD2A86">
        <w:rPr>
          <w:lang w:val="de-DE"/>
        </w:rPr>
        <w:tab/>
      </w:r>
      <w:r w:rsidRPr="00DD2A86">
        <w:rPr>
          <w:iCs/>
          <w:lang w:val="de-DE"/>
        </w:rPr>
        <w:t>Unter „T Giftige Stoffe ohne Nebengefahr“ hinzufügen: „T10 Gegenstände“.</w:t>
      </w:r>
    </w:p>
    <w:p w:rsidR="00865914" w:rsidRPr="00DD2A86" w:rsidRDefault="00865914" w:rsidP="00865914">
      <w:pPr>
        <w:spacing w:after="120"/>
        <w:ind w:left="1134" w:right="1134"/>
        <w:jc w:val="both"/>
        <w:rPr>
          <w:iCs/>
          <w:lang w:val="de-DE"/>
        </w:rPr>
      </w:pPr>
      <w:r w:rsidRPr="00DD2A86">
        <w:rPr>
          <w:lang w:val="de-DE"/>
        </w:rPr>
        <w:t>2.2.61.1.7.2</w:t>
      </w:r>
      <w:r w:rsidRPr="00DD2A86">
        <w:rPr>
          <w:lang w:val="de-DE"/>
        </w:rPr>
        <w:tab/>
        <w:t>„</w:t>
      </w:r>
      <w:r w:rsidRPr="00DD2A86">
        <w:rPr>
          <w:iCs/>
          <w:lang w:val="de-DE"/>
        </w:rPr>
        <w:t>(siehe Absatz 2.2.8.1.5)“ ändern in: „(siehe Absatz 2.2.8.1.4.5)“.</w:t>
      </w:r>
    </w:p>
    <w:p w:rsidR="00865914" w:rsidRPr="00DD2A86" w:rsidRDefault="00865914" w:rsidP="00865914">
      <w:pPr>
        <w:spacing w:after="120"/>
        <w:ind w:left="1134" w:right="1134"/>
        <w:jc w:val="both"/>
        <w:rPr>
          <w:iCs/>
          <w:lang w:val="de-DE"/>
        </w:rPr>
      </w:pPr>
      <w:r w:rsidRPr="00DD2A86">
        <w:rPr>
          <w:lang w:val="de-DE"/>
        </w:rPr>
        <w:t>2.2.61.1.11</w:t>
      </w:r>
      <w:r w:rsidRPr="00DD2A86">
        <w:rPr>
          <w:lang w:val="de-DE"/>
        </w:rPr>
        <w:tab/>
        <w:t>[Die Änderung zum zweiten Satz in der englischen und französischen Fassung hat keine Auswirkungen auf den deutschen Text.]</w:t>
      </w:r>
    </w:p>
    <w:p w:rsidR="00865914" w:rsidRPr="00DD2A86" w:rsidRDefault="00865914" w:rsidP="00865914">
      <w:pPr>
        <w:spacing w:after="120"/>
        <w:ind w:left="1134" w:right="1134"/>
        <w:jc w:val="both"/>
        <w:rPr>
          <w:iCs/>
          <w:lang w:val="de-DE"/>
        </w:rPr>
      </w:pPr>
      <w:r w:rsidRPr="00DD2A86">
        <w:rPr>
          <w:lang w:val="de-DE"/>
        </w:rPr>
        <w:t>2.2.61.1.11.2</w:t>
      </w:r>
      <w:r w:rsidRPr="00DD2A86">
        <w:rPr>
          <w:lang w:val="de-DE"/>
        </w:rPr>
        <w:tab/>
      </w:r>
      <w:r w:rsidRPr="00DD2A86">
        <w:rPr>
          <w:lang w:val="de-DE"/>
        </w:rPr>
        <w:tab/>
        <w:t>[Die Änderung in der englischen und französischen Fassung hat keine Auswirkungen auf den deutschen Text.]</w:t>
      </w:r>
    </w:p>
    <w:p w:rsidR="00865914" w:rsidRPr="00DD2A86" w:rsidRDefault="00865914" w:rsidP="00865914">
      <w:pPr>
        <w:spacing w:after="120"/>
        <w:ind w:left="1134" w:right="1134"/>
        <w:jc w:val="both"/>
        <w:rPr>
          <w:iCs/>
          <w:lang w:val="de-DE" w:eastAsia="en-GB"/>
        </w:rPr>
      </w:pPr>
      <w:r w:rsidRPr="00DD2A86">
        <w:rPr>
          <w:lang w:val="de-DE"/>
        </w:rPr>
        <w:t>2.2.61.1.12</w:t>
      </w:r>
      <w:r w:rsidRPr="00DD2A86">
        <w:rPr>
          <w:lang w:val="de-DE"/>
        </w:rPr>
        <w:tab/>
        <w:t>„</w:t>
      </w:r>
      <w:r w:rsidRPr="00DD2A86">
        <w:rPr>
          <w:iCs/>
          <w:lang w:val="de-DE" w:eastAsia="en-GB"/>
        </w:rPr>
        <w:t>Bereiche der Gefährlichkeit“ ändern in: „Gefahrenkategorien“.</w:t>
      </w:r>
    </w:p>
    <w:p w:rsidR="00865914" w:rsidRPr="00DD2A86" w:rsidRDefault="00865914" w:rsidP="00865914">
      <w:pPr>
        <w:spacing w:after="120"/>
        <w:ind w:left="1134" w:right="1134"/>
        <w:jc w:val="both"/>
        <w:rPr>
          <w:iCs/>
          <w:lang w:val="de-DE" w:eastAsia="en-GB"/>
        </w:rPr>
      </w:pPr>
      <w:r w:rsidRPr="00DD2A86">
        <w:rPr>
          <w:lang w:val="de-DE"/>
        </w:rPr>
        <w:t>2.2.61.3</w:t>
      </w:r>
      <w:r w:rsidRPr="00DD2A86">
        <w:rPr>
          <w:lang w:val="de-DE"/>
        </w:rPr>
        <w:tab/>
      </w:r>
      <w:r w:rsidRPr="00DD2A86">
        <w:rPr>
          <w:lang w:val="de-DE" w:eastAsia="en-GB"/>
        </w:rPr>
        <w:t>[Die Änderungen zum Verzeichnis der Sammeleintragungen in der englischen und französischen Fassung hat keine Auswirkungen auf den deutschen Text.]</w:t>
      </w:r>
    </w:p>
    <w:p w:rsidR="00865914" w:rsidRPr="00DD2A86" w:rsidRDefault="00865914" w:rsidP="00865914">
      <w:pPr>
        <w:ind w:left="1134"/>
        <w:rPr>
          <w:iCs/>
          <w:color w:val="000000"/>
          <w:lang w:val="de-DE" w:eastAsia="de-DE"/>
        </w:rPr>
      </w:pPr>
      <w:r w:rsidRPr="00DD2A86">
        <w:rPr>
          <w:lang w:val="de-DE"/>
        </w:rPr>
        <w:t>2.2.61.3</w:t>
      </w:r>
      <w:r w:rsidRPr="00DD2A86">
        <w:rPr>
          <w:lang w:val="de-DE"/>
        </w:rPr>
        <w:tab/>
      </w:r>
      <w:r w:rsidRPr="00DD2A86">
        <w:rPr>
          <w:iCs/>
          <w:color w:val="000000"/>
          <w:lang w:val="de-DE" w:eastAsia="de-DE"/>
        </w:rPr>
        <w:t>Unter „ohne Nebengefahr“ folgenden Ast hinzufügen:</w:t>
      </w:r>
    </w:p>
    <w:p w:rsidR="00865914" w:rsidRPr="00DD2A86" w:rsidRDefault="00865914" w:rsidP="00865914">
      <w:pPr>
        <w:ind w:left="1134"/>
        <w:rPr>
          <w:iCs/>
          <w:color w:val="000000"/>
          <w:lang w:val="de-DE" w:eastAsia="de-DE"/>
        </w:rPr>
      </w:pPr>
      <w:r w:rsidRPr="00DD2A86">
        <w:rPr>
          <w:iCs/>
          <w:color w:val="000000"/>
          <w:lang w:val="de-DE" w:eastAsia="de-DE"/>
        </w:rPr>
        <w:t>„</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596"/>
        <w:gridCol w:w="5365"/>
      </w:tblGrid>
      <w:tr w:rsidR="00865914" w:rsidRPr="00E139A8" w:rsidTr="00865914">
        <w:tc>
          <w:tcPr>
            <w:tcW w:w="1660" w:type="dxa"/>
            <w:tcBorders>
              <w:top w:val="nil"/>
              <w:right w:val="nil"/>
            </w:tcBorders>
          </w:tcPr>
          <w:p w:rsidR="00865914" w:rsidRPr="00DD2A86" w:rsidRDefault="00865914" w:rsidP="00865914">
            <w:pPr>
              <w:suppressAutoHyphens w:val="0"/>
              <w:spacing w:line="240" w:lineRule="auto"/>
              <w:jc w:val="both"/>
              <w:rPr>
                <w:b/>
                <w:iCs/>
                <w:color w:val="000000"/>
                <w:lang w:val="de-DE" w:eastAsia="de-DE"/>
              </w:rPr>
            </w:pPr>
          </w:p>
          <w:p w:rsidR="00865914" w:rsidRPr="00DD2A86" w:rsidRDefault="00865914" w:rsidP="00865914">
            <w:pPr>
              <w:suppressAutoHyphens w:val="0"/>
              <w:spacing w:line="240" w:lineRule="auto"/>
              <w:jc w:val="both"/>
              <w:rPr>
                <w:b/>
                <w:iCs/>
                <w:color w:val="000000"/>
                <w:lang w:val="de-DE" w:eastAsia="de-DE"/>
              </w:rPr>
            </w:pPr>
            <w:r w:rsidRPr="00DD2A86">
              <w:rPr>
                <w:b/>
                <w:iCs/>
                <w:color w:val="000000"/>
                <w:lang w:val="de-DE" w:eastAsia="de-DE"/>
              </w:rPr>
              <w:t>Gegenstände</w:t>
            </w:r>
          </w:p>
        </w:tc>
        <w:tc>
          <w:tcPr>
            <w:tcW w:w="596" w:type="dxa"/>
            <w:tcBorders>
              <w:top w:val="nil"/>
              <w:left w:val="nil"/>
            </w:tcBorders>
          </w:tcPr>
          <w:p w:rsidR="00865914" w:rsidRPr="00DD2A86" w:rsidRDefault="00865914" w:rsidP="00865914">
            <w:pPr>
              <w:suppressAutoHyphens w:val="0"/>
              <w:spacing w:line="240" w:lineRule="auto"/>
              <w:jc w:val="both"/>
              <w:rPr>
                <w:b/>
                <w:iCs/>
                <w:color w:val="000000"/>
                <w:lang w:val="de-DE" w:eastAsia="de-DE"/>
              </w:rPr>
            </w:pPr>
          </w:p>
          <w:p w:rsidR="00865914" w:rsidRPr="00DD2A86" w:rsidRDefault="00865914" w:rsidP="00865914">
            <w:pPr>
              <w:suppressAutoHyphens w:val="0"/>
              <w:spacing w:line="240" w:lineRule="auto"/>
              <w:jc w:val="both"/>
              <w:rPr>
                <w:b/>
                <w:iCs/>
                <w:color w:val="000000"/>
                <w:lang w:val="de-DE" w:eastAsia="de-DE"/>
              </w:rPr>
            </w:pPr>
            <w:r w:rsidRPr="00DD2A86">
              <w:rPr>
                <w:b/>
                <w:iCs/>
                <w:color w:val="000000"/>
                <w:lang w:val="de-DE" w:eastAsia="de-DE"/>
              </w:rPr>
              <w:t>T10</w:t>
            </w:r>
          </w:p>
        </w:tc>
        <w:tc>
          <w:tcPr>
            <w:tcW w:w="5365" w:type="dxa"/>
          </w:tcPr>
          <w:p w:rsidR="00865914" w:rsidRPr="00DD2A86" w:rsidRDefault="00865914" w:rsidP="00865914">
            <w:pPr>
              <w:suppressAutoHyphens w:val="0"/>
              <w:spacing w:line="240" w:lineRule="auto"/>
              <w:ind w:left="709" w:hanging="709"/>
              <w:rPr>
                <w:iCs/>
                <w:color w:val="000000"/>
                <w:lang w:val="de-DE" w:eastAsia="de-DE"/>
              </w:rPr>
            </w:pPr>
            <w:r w:rsidRPr="00DD2A86">
              <w:rPr>
                <w:iCs/>
                <w:color w:val="000000"/>
                <w:lang w:val="de-DE" w:eastAsia="de-DE"/>
              </w:rPr>
              <w:t>3546</w:t>
            </w:r>
            <w:r w:rsidRPr="00DD2A86">
              <w:rPr>
                <w:iCs/>
                <w:color w:val="000000"/>
                <w:lang w:val="de-DE" w:eastAsia="de-DE"/>
              </w:rPr>
              <w:tab/>
            </w:r>
            <w:r w:rsidRPr="00DD2A86">
              <w:rPr>
                <w:iCs/>
                <w:caps/>
                <w:color w:val="000000"/>
                <w:lang w:val="de-DE" w:eastAsia="de-DE"/>
              </w:rPr>
              <w:t>Gegenstände, die einen giftigen Stoff enthalten, n.a.g.</w:t>
            </w:r>
          </w:p>
        </w:tc>
      </w:tr>
    </w:tbl>
    <w:p w:rsidR="00865914" w:rsidRPr="00DD2A86" w:rsidRDefault="00865914" w:rsidP="00865914">
      <w:pPr>
        <w:suppressAutoHyphens w:val="0"/>
        <w:spacing w:line="240" w:lineRule="auto"/>
        <w:ind w:left="1134"/>
        <w:jc w:val="both"/>
        <w:rPr>
          <w:iCs/>
          <w:color w:val="000000"/>
          <w:lang w:val="de-DE" w:eastAsia="de-DE"/>
        </w:rPr>
      </w:pPr>
      <w:r w:rsidRPr="00DD2A86">
        <w:rPr>
          <w:iCs/>
          <w:color w:val="000000"/>
          <w:lang w:val="de-DE" w:eastAsia="de-DE"/>
        </w:rPr>
        <w:t>“.</w:t>
      </w:r>
    </w:p>
    <w:p w:rsidR="00865914" w:rsidRPr="00DD2A86" w:rsidRDefault="00865914" w:rsidP="0048756D">
      <w:pPr>
        <w:spacing w:before="100" w:beforeAutospacing="1"/>
        <w:ind w:left="1134"/>
        <w:rPr>
          <w:iCs/>
          <w:color w:val="000000"/>
          <w:lang w:val="de-DE" w:eastAsia="de-DE"/>
        </w:rPr>
      </w:pPr>
      <w:r w:rsidRPr="00DD2A86">
        <w:rPr>
          <w:lang w:val="de-DE"/>
        </w:rPr>
        <w:t>2.2.61.3</w:t>
      </w:r>
      <w:r w:rsidRPr="00DD2A86">
        <w:rPr>
          <w:lang w:val="de-DE"/>
        </w:rPr>
        <w:tab/>
      </w:r>
      <w:r w:rsidRPr="00DD2A86">
        <w:rPr>
          <w:iCs/>
          <w:color w:val="000000"/>
          <w:lang w:val="de-DE" w:eastAsia="de-DE"/>
        </w:rPr>
        <w:t>Unter „entzündbar, fest, TF3“ folgende neue Eintragung hinzufügen:</w:t>
      </w:r>
    </w:p>
    <w:p w:rsidR="00865914" w:rsidRPr="00DD2A86" w:rsidRDefault="00865914" w:rsidP="0050494E">
      <w:pPr>
        <w:suppressAutoHyphens w:val="0"/>
        <w:spacing w:before="120" w:line="240" w:lineRule="auto"/>
        <w:ind w:left="2268" w:right="1134"/>
        <w:jc w:val="both"/>
        <w:rPr>
          <w:iCs/>
          <w:color w:val="000000"/>
          <w:lang w:val="de-DE" w:eastAsia="de-DE"/>
        </w:rPr>
      </w:pPr>
      <w:r w:rsidRPr="00DD2A86">
        <w:rPr>
          <w:iCs/>
          <w:color w:val="000000"/>
          <w:lang w:val="de-DE" w:eastAsia="de-DE"/>
        </w:rPr>
        <w:t>„3535</w:t>
      </w:r>
      <w:r w:rsidRPr="00DD2A86">
        <w:rPr>
          <w:iCs/>
          <w:color w:val="000000"/>
          <w:lang w:val="de-DE" w:eastAsia="de-DE"/>
        </w:rPr>
        <w:tab/>
        <w:t>GIFTIGER ANORGANISCHER FESTER STOFF, ENTZÜNDBAR, N.A.G.“.</w:t>
      </w:r>
    </w:p>
    <w:p w:rsidR="00865914" w:rsidRPr="00DD2A86" w:rsidRDefault="00865914" w:rsidP="0048756D">
      <w:pPr>
        <w:spacing w:before="120" w:after="120"/>
        <w:ind w:left="1134" w:right="1134"/>
        <w:jc w:val="both"/>
        <w:rPr>
          <w:iCs/>
          <w:lang w:val="de-DE"/>
        </w:rPr>
      </w:pPr>
      <w:r w:rsidRPr="00DD2A86">
        <w:rPr>
          <w:lang w:val="de-DE"/>
        </w:rPr>
        <w:t>2.2.62.1.3</w:t>
      </w:r>
      <w:r w:rsidRPr="00DD2A86">
        <w:rPr>
          <w:lang w:val="de-DE"/>
        </w:rPr>
        <w:tab/>
      </w:r>
      <w:r w:rsidRPr="00DD2A86">
        <w:rPr>
          <w:iCs/>
          <w:lang w:val="de-DE"/>
        </w:rPr>
        <w:t>In der Begriffsbestimmung von „</w:t>
      </w:r>
      <w:r w:rsidRPr="00DD2A86">
        <w:rPr>
          <w:b/>
          <w:i/>
          <w:iCs/>
          <w:lang w:val="de-DE"/>
        </w:rPr>
        <w:t>Von Patienten entnommene Proben (Patientenproben)</w:t>
      </w:r>
      <w:r w:rsidRPr="00DD2A86">
        <w:rPr>
          <w:iCs/>
          <w:lang w:val="de-DE"/>
        </w:rPr>
        <w:t>“  „sind menschliches oder tierisches Material, das direkt von Menschen oder Tieren entnommen wird“ ändern in: „sind solche, die direkt von Menschen oder Tieren entnommen werden“.</w:t>
      </w:r>
    </w:p>
    <w:p w:rsidR="00460879" w:rsidRPr="00DD2A86" w:rsidRDefault="00460879" w:rsidP="00460879">
      <w:pPr>
        <w:tabs>
          <w:tab w:val="left" w:pos="1701"/>
          <w:tab w:val="left" w:pos="1985"/>
        </w:tabs>
        <w:spacing w:before="120" w:after="120"/>
        <w:ind w:left="2268" w:right="1134" w:hanging="1134"/>
        <w:jc w:val="both"/>
        <w:rPr>
          <w:iCs/>
          <w:lang w:val="de-CH"/>
        </w:rPr>
      </w:pPr>
      <w:r w:rsidRPr="00DD2A86">
        <w:rPr>
          <w:lang w:val="de-DE"/>
        </w:rPr>
        <w:t>2.2.62.1.4.1</w:t>
      </w:r>
      <w:r w:rsidRPr="00DD2A86">
        <w:rPr>
          <w:lang w:val="de-DE"/>
        </w:rPr>
        <w:tab/>
      </w:r>
      <w:r w:rsidRPr="00DD2A86">
        <w:rPr>
          <w:iCs/>
          <w:lang w:val="de-CH"/>
        </w:rPr>
        <w:t>In der Tabelle unter Bem. 3 erhält die erste Eintragung unter „UN 2900“ folgenden Wortlaut: „Virus der afrikanischen Schweinepest (nur Kulturen)“.</w:t>
      </w:r>
    </w:p>
    <w:p w:rsidR="00460879" w:rsidRPr="00DD2A86" w:rsidRDefault="00460879" w:rsidP="00460879">
      <w:pPr>
        <w:spacing w:before="120" w:after="120"/>
        <w:ind w:left="2268" w:right="1134"/>
        <w:jc w:val="both"/>
        <w:rPr>
          <w:iCs/>
          <w:lang w:val="de-CH"/>
        </w:rPr>
      </w:pPr>
      <w:r w:rsidRPr="00DD2A86">
        <w:rPr>
          <w:iCs/>
          <w:lang w:val="de-CH"/>
        </w:rPr>
        <w:t xml:space="preserve">[Betrifft nur die deutsche </w:t>
      </w:r>
      <w:r w:rsidRPr="00DD2A86">
        <w:rPr>
          <w:lang w:val="de-DE"/>
        </w:rPr>
        <w:t>Sprachfassung</w:t>
      </w:r>
      <w:r w:rsidRPr="00DD2A86">
        <w:rPr>
          <w:iCs/>
          <w:lang w:val="de-CH"/>
        </w:rPr>
        <w:t>]</w:t>
      </w:r>
    </w:p>
    <w:p w:rsidR="00460879" w:rsidRPr="00DD2A86" w:rsidRDefault="00460879" w:rsidP="00460879">
      <w:pPr>
        <w:spacing w:before="120" w:after="120"/>
        <w:ind w:left="2268" w:right="1134"/>
        <w:jc w:val="both"/>
        <w:rPr>
          <w:iCs/>
          <w:lang w:val="de-CH"/>
        </w:rPr>
      </w:pPr>
      <w:r w:rsidRPr="00DD2A86">
        <w:rPr>
          <w:iCs/>
          <w:lang w:val="de-CH"/>
        </w:rPr>
        <w:t>In der Tabelle unter Bem. 3 erhält die dritte Eintragung unter „UN 2900“ folgenden Wortlaut: „klassisches Schweinepest-Virus (nur Kulturen)“.</w:t>
      </w:r>
    </w:p>
    <w:p w:rsidR="00460879" w:rsidRPr="00DD2A86" w:rsidRDefault="00460879" w:rsidP="00460879">
      <w:pPr>
        <w:spacing w:before="120" w:after="120"/>
        <w:ind w:left="2268" w:right="1134"/>
        <w:jc w:val="both"/>
        <w:rPr>
          <w:iCs/>
          <w:lang w:val="de-DE"/>
        </w:rPr>
      </w:pPr>
      <w:r w:rsidRPr="00DD2A86">
        <w:rPr>
          <w:iCs/>
          <w:lang w:val="de-CH"/>
        </w:rPr>
        <w:t xml:space="preserve">[Betrifft nur die deutsche </w:t>
      </w:r>
      <w:r w:rsidRPr="00DD2A86">
        <w:rPr>
          <w:lang w:val="de-DE"/>
        </w:rPr>
        <w:t>Sprachfassung</w:t>
      </w:r>
      <w:r w:rsidRPr="00DD2A86">
        <w:rPr>
          <w:iCs/>
          <w:lang w:val="de-CH"/>
        </w:rPr>
        <w:t>]</w:t>
      </w:r>
    </w:p>
    <w:p w:rsidR="00865914" w:rsidRPr="00DD2A86" w:rsidRDefault="00865914" w:rsidP="00865914">
      <w:pPr>
        <w:tabs>
          <w:tab w:val="left" w:pos="2552"/>
        </w:tabs>
        <w:spacing w:after="120"/>
        <w:ind w:left="1134" w:right="1134"/>
        <w:jc w:val="both"/>
        <w:rPr>
          <w:iCs/>
          <w:lang w:val="de-DE"/>
        </w:rPr>
      </w:pPr>
      <w:r w:rsidRPr="00DD2A86">
        <w:rPr>
          <w:lang w:val="de-DE"/>
        </w:rPr>
        <w:t>2.2.62.1.12.2</w:t>
      </w:r>
      <w:r w:rsidRPr="00DD2A86">
        <w:rPr>
          <w:lang w:val="de-DE"/>
        </w:rPr>
        <w:tab/>
      </w:r>
      <w:r w:rsidRPr="00DD2A86">
        <w:rPr>
          <w:bCs/>
          <w:iCs/>
          <w:lang w:val="de-DE"/>
        </w:rPr>
        <w:t>erhält folgenden Wortlaut: „2.2.62.1.12.2</w:t>
      </w:r>
      <w:r w:rsidRPr="00DD2A86">
        <w:rPr>
          <w:bCs/>
          <w:iCs/>
          <w:lang w:val="de-DE"/>
        </w:rPr>
        <w:tab/>
        <w:t>(gestrichen)“.</w:t>
      </w:r>
    </w:p>
    <w:p w:rsidR="00672848" w:rsidRPr="00DD2A86" w:rsidRDefault="00672848">
      <w:pPr>
        <w:suppressAutoHyphens w:val="0"/>
        <w:spacing w:line="240" w:lineRule="auto"/>
        <w:rPr>
          <w:iCs/>
          <w:lang w:val="de-DE"/>
        </w:rPr>
      </w:pPr>
    </w:p>
    <w:p w:rsidR="00865914" w:rsidRPr="00DD2A86" w:rsidRDefault="00865914" w:rsidP="00865914">
      <w:pPr>
        <w:spacing w:before="120" w:after="120" w:line="240" w:lineRule="auto"/>
        <w:ind w:left="1134" w:right="1134"/>
        <w:jc w:val="both"/>
        <w:rPr>
          <w:iCs/>
          <w:lang w:val="de-DE"/>
        </w:rPr>
      </w:pPr>
      <w:r w:rsidRPr="00DD2A86">
        <w:rPr>
          <w:iCs/>
          <w:lang w:val="de-DE"/>
        </w:rPr>
        <w:t>2.2.8</w:t>
      </w:r>
      <w:r w:rsidRPr="00DD2A86">
        <w:rPr>
          <w:iCs/>
          <w:lang w:val="de-DE"/>
        </w:rPr>
        <w:tab/>
      </w:r>
      <w:r w:rsidRPr="00DD2A86">
        <w:rPr>
          <w:iCs/>
          <w:lang w:val="de-DE"/>
        </w:rPr>
        <w:tab/>
        <w:t>erhält folgenden Wortlaut:</w:t>
      </w:r>
    </w:p>
    <w:p w:rsidR="00865914" w:rsidRPr="00DD2A86" w:rsidRDefault="00865914" w:rsidP="00865914">
      <w:pPr>
        <w:spacing w:before="120" w:after="120" w:line="240" w:lineRule="auto"/>
        <w:ind w:left="1134" w:right="1134"/>
        <w:jc w:val="both"/>
        <w:rPr>
          <w:b/>
          <w:iCs/>
          <w:lang w:val="de-DE"/>
        </w:rPr>
      </w:pPr>
      <w:r w:rsidRPr="00DD2A86">
        <w:rPr>
          <w:iCs/>
          <w:lang w:val="de-DE"/>
        </w:rPr>
        <w:t>„</w:t>
      </w:r>
      <w:r w:rsidRPr="00DD2A86">
        <w:rPr>
          <w:b/>
          <w:iCs/>
          <w:lang w:val="de-DE"/>
        </w:rPr>
        <w:t>2.2.8</w:t>
      </w:r>
      <w:r w:rsidRPr="00DD2A86">
        <w:rPr>
          <w:b/>
          <w:iCs/>
          <w:lang w:val="de-DE"/>
        </w:rPr>
        <w:tab/>
      </w:r>
      <w:r w:rsidRPr="00DD2A86">
        <w:rPr>
          <w:b/>
          <w:iCs/>
          <w:lang w:val="de-DE"/>
        </w:rPr>
        <w:tab/>
        <w:t>Klasse 8: Ätzende Stoffe</w:t>
      </w:r>
    </w:p>
    <w:p w:rsidR="00865914" w:rsidRPr="00DD2A86" w:rsidRDefault="00865914" w:rsidP="00865914">
      <w:pPr>
        <w:spacing w:before="120" w:after="120" w:line="240" w:lineRule="auto"/>
        <w:ind w:left="1134" w:right="1134"/>
        <w:jc w:val="both"/>
        <w:rPr>
          <w:b/>
          <w:i/>
          <w:u w:val="single"/>
          <w:lang w:val="de-DE"/>
        </w:rPr>
      </w:pPr>
      <w:r w:rsidRPr="00DD2A86">
        <w:rPr>
          <w:b/>
          <w:lang w:val="de-DE"/>
        </w:rPr>
        <w:t>2.2.8.1</w:t>
      </w:r>
      <w:r w:rsidRPr="00DD2A86">
        <w:rPr>
          <w:b/>
          <w:lang w:val="de-DE"/>
        </w:rPr>
        <w:tab/>
      </w:r>
      <w:r w:rsidRPr="00DD2A86">
        <w:rPr>
          <w:b/>
          <w:lang w:val="de-DE"/>
        </w:rPr>
        <w:tab/>
      </w:r>
      <w:r w:rsidRPr="00DD2A86">
        <w:rPr>
          <w:b/>
          <w:iCs/>
          <w:lang w:val="de-DE"/>
        </w:rPr>
        <w:t>Begriffsbestimmung, allgemeine Vorschriften und Kriterien</w:t>
      </w:r>
    </w:p>
    <w:p w:rsidR="00865914" w:rsidRPr="00DD2A86" w:rsidRDefault="00865914" w:rsidP="00865914">
      <w:pPr>
        <w:spacing w:before="120" w:after="120" w:line="240" w:lineRule="auto"/>
        <w:ind w:left="1134" w:right="1134"/>
        <w:jc w:val="both"/>
        <w:rPr>
          <w:b/>
          <w:iCs/>
          <w:lang w:val="de-DE"/>
        </w:rPr>
      </w:pPr>
      <w:r w:rsidRPr="00DD2A86">
        <w:rPr>
          <w:lang w:val="de-DE"/>
        </w:rPr>
        <w:t>2.2.8.1.1</w:t>
      </w:r>
      <w:r w:rsidRPr="00DD2A86">
        <w:rPr>
          <w:i/>
          <w:lang w:val="de-DE"/>
        </w:rPr>
        <w:tab/>
      </w:r>
      <w:r w:rsidRPr="00DD2A86">
        <w:rPr>
          <w:iCs/>
          <w:lang w:val="de-DE"/>
        </w:rPr>
        <w:t xml:space="preserve">Ätzende Stoffe sind Stoffe, die durch chemische Einwirkung eine irreversible Schädigung der Haut verursachen oder beim Freiwerden materielle Schäden an anderen Gütern oder Transportmitteln herbeiführen oder sie sogar zerstören. </w:t>
      </w:r>
      <w:r w:rsidRPr="00DD2A86">
        <w:rPr>
          <w:lang w:val="de-DE"/>
        </w:rPr>
        <w:t>Unter den Begriff dieser Klasse fallen auch Stoffe, die erst bei Vorhandensein von Wasser einen ätzenden flüssigen Stoff oder in Gegenwart von natürlicher Luftfeuchtigkeit ätzende Dämpfe oder Nebel bilden.</w:t>
      </w:r>
    </w:p>
    <w:p w:rsidR="00865914" w:rsidRPr="00DD2A86" w:rsidRDefault="00865914" w:rsidP="00865914">
      <w:pPr>
        <w:spacing w:before="120" w:after="120" w:line="240" w:lineRule="auto"/>
        <w:ind w:left="1134" w:right="1134"/>
        <w:jc w:val="both"/>
        <w:rPr>
          <w:iCs/>
          <w:lang w:val="de-DE"/>
        </w:rPr>
      </w:pPr>
      <w:r w:rsidRPr="00DD2A86">
        <w:rPr>
          <w:lang w:val="de-DE"/>
        </w:rPr>
        <w:t>2.2.8.1.2</w:t>
      </w:r>
      <w:r w:rsidRPr="00DD2A86">
        <w:rPr>
          <w:lang w:val="de-DE"/>
        </w:rPr>
        <w:tab/>
      </w:r>
      <w:r w:rsidRPr="00DD2A86">
        <w:rPr>
          <w:iCs/>
          <w:lang w:val="de-DE"/>
        </w:rPr>
        <w:t>Für Stoffe und Gemische, die ätzend für die Haut sind, sind die allgemeinen Zuordnungskriterien in Absatz 2.2.8.1.4 enthalten. Die Ätzwirkung auf die Haut bezieht sich auf die Verursachung einer irreversiblen Schädigung der Haut, und zwar eine sichtbare Nekrose durch die Epidermis und in die Dermis, die nach Exposition gegenüber einem Stoff oder einem Gemisch auftritt.</w:t>
      </w:r>
    </w:p>
    <w:p w:rsidR="00865914" w:rsidRPr="00DD2A86" w:rsidRDefault="00865914" w:rsidP="00865914">
      <w:pPr>
        <w:spacing w:before="120" w:after="120" w:line="240" w:lineRule="auto"/>
        <w:ind w:left="1134" w:right="1134"/>
        <w:jc w:val="both"/>
        <w:rPr>
          <w:iCs/>
          <w:lang w:val="de-DE"/>
        </w:rPr>
      </w:pPr>
      <w:r w:rsidRPr="00DD2A86">
        <w:rPr>
          <w:lang w:val="de-DE"/>
        </w:rPr>
        <w:t xml:space="preserve">2.2.8.1.3 </w:t>
      </w:r>
      <w:r w:rsidRPr="00DD2A86">
        <w:rPr>
          <w:lang w:val="de-DE"/>
        </w:rPr>
        <w:tab/>
        <w:t>Bei flüssigen Stoffen und festen Stoffen, die sich während der Beförderung verflüssigen können, von denen angenommen wird,</w:t>
      </w:r>
      <w:r w:rsidRPr="00DD2A86">
        <w:rPr>
          <w:iCs/>
          <w:lang w:val="de-DE"/>
        </w:rPr>
        <w:t xml:space="preserve"> dass sie nicht ätzend für die Haut sind, ist dennoch die Korrosionswirkung auf bestimmte Metalloberflächen in Übereinstimmung mit den Kriterien in Absatz 2.2.8.1.5.3 c) (ii) zu berücksichtigen.</w:t>
      </w:r>
    </w:p>
    <w:p w:rsidR="00865914" w:rsidRPr="00DD2A86" w:rsidRDefault="00865914" w:rsidP="00865914">
      <w:pPr>
        <w:spacing w:before="120" w:after="120" w:line="240" w:lineRule="auto"/>
        <w:ind w:left="1134" w:right="1134"/>
        <w:jc w:val="both"/>
        <w:rPr>
          <w:lang w:val="de-DE"/>
        </w:rPr>
      </w:pPr>
      <w:r w:rsidRPr="00DD2A86">
        <w:rPr>
          <w:b/>
          <w:lang w:val="de-DE"/>
        </w:rPr>
        <w:t>2.2.8.1.4</w:t>
      </w:r>
      <w:r w:rsidRPr="00DD2A86">
        <w:rPr>
          <w:b/>
          <w:lang w:val="de-DE"/>
        </w:rPr>
        <w:tab/>
      </w:r>
      <w:r w:rsidRPr="00DD2A86">
        <w:rPr>
          <w:b/>
          <w:iCs/>
          <w:lang w:val="de-DE"/>
        </w:rPr>
        <w:t>Allgemeine Vorschriften für die Klassifizierung</w:t>
      </w:r>
    </w:p>
    <w:p w:rsidR="00865914" w:rsidRPr="00DD2A86" w:rsidRDefault="00865914" w:rsidP="00865914">
      <w:pPr>
        <w:spacing w:before="120" w:after="120" w:line="240" w:lineRule="auto"/>
        <w:ind w:left="1134" w:right="1134"/>
        <w:jc w:val="both"/>
        <w:rPr>
          <w:i/>
          <w:iCs/>
          <w:lang w:val="de-DE"/>
        </w:rPr>
      </w:pPr>
      <w:r w:rsidRPr="00DD2A86">
        <w:rPr>
          <w:iCs/>
          <w:lang w:val="de-DE"/>
        </w:rPr>
        <w:t>2.2.8.1.4.1</w:t>
      </w:r>
      <w:r w:rsidRPr="00DD2A86">
        <w:rPr>
          <w:iCs/>
          <w:lang w:val="de-DE"/>
        </w:rPr>
        <w:tab/>
      </w:r>
      <w:r w:rsidRPr="00DD2A86">
        <w:rPr>
          <w:i/>
          <w:iCs/>
          <w:lang w:val="de-DE"/>
        </w:rPr>
        <w:t>[Text des bisherigen Absatzes 2.2.8.1.2]</w:t>
      </w:r>
    </w:p>
    <w:p w:rsidR="00865914" w:rsidRPr="00DD2A86" w:rsidRDefault="00865914" w:rsidP="00865914">
      <w:pPr>
        <w:spacing w:before="120" w:after="120" w:line="240" w:lineRule="auto"/>
        <w:ind w:left="1134" w:right="1134"/>
        <w:jc w:val="both"/>
        <w:rPr>
          <w:iCs/>
          <w:lang w:val="de-DE"/>
        </w:rPr>
      </w:pPr>
      <w:r w:rsidRPr="00DD2A86">
        <w:rPr>
          <w:lang w:val="de-DE"/>
        </w:rPr>
        <w:t>2.2.8.1.4.2</w:t>
      </w:r>
      <w:r w:rsidRPr="00DD2A86">
        <w:rPr>
          <w:lang w:val="de-DE"/>
        </w:rPr>
        <w:tab/>
      </w:r>
      <w:r w:rsidRPr="00DD2A86">
        <w:rPr>
          <w:iCs/>
          <w:lang w:val="de-DE"/>
        </w:rPr>
        <w:t>Die Stoffe und Gemische der Klasse 8 sind auf Grund ihres Gefahrengrades während der Beförderung in folgende Verpackungsgruppen unterteilt:</w:t>
      </w:r>
    </w:p>
    <w:p w:rsidR="00865914" w:rsidRPr="00DD2A86" w:rsidRDefault="00865914" w:rsidP="00865914">
      <w:pPr>
        <w:spacing w:before="120" w:after="120" w:line="240" w:lineRule="auto"/>
        <w:ind w:left="1134" w:right="1134"/>
        <w:jc w:val="both"/>
        <w:rPr>
          <w:iCs/>
          <w:lang w:val="de-DE"/>
        </w:rPr>
      </w:pPr>
      <w:r w:rsidRPr="00DD2A86">
        <w:rPr>
          <w:iCs/>
          <w:lang w:val="de-DE"/>
        </w:rPr>
        <w:t>a)</w:t>
      </w:r>
      <w:r w:rsidRPr="00DD2A86">
        <w:rPr>
          <w:iCs/>
          <w:lang w:val="de-DE"/>
        </w:rPr>
        <w:tab/>
        <w:t>Verpackungsgruppe I: sehr gefährliche Stoffe und Gemische;</w:t>
      </w:r>
    </w:p>
    <w:p w:rsidR="00865914" w:rsidRPr="00DD2A86" w:rsidRDefault="00865914" w:rsidP="00865914">
      <w:pPr>
        <w:spacing w:before="120" w:after="120" w:line="240" w:lineRule="auto"/>
        <w:ind w:left="1134" w:right="1134"/>
        <w:jc w:val="both"/>
        <w:rPr>
          <w:iCs/>
          <w:lang w:val="de-DE"/>
        </w:rPr>
      </w:pPr>
      <w:r w:rsidRPr="00DD2A86">
        <w:rPr>
          <w:iCs/>
          <w:lang w:val="de-DE"/>
        </w:rPr>
        <w:t>b)</w:t>
      </w:r>
      <w:r w:rsidRPr="00DD2A86">
        <w:rPr>
          <w:iCs/>
          <w:lang w:val="de-DE"/>
        </w:rPr>
        <w:tab/>
        <w:t>Verpackungsgruppe II: Stoffe und Gemische, die eine mittlere Gefahr darstellen;</w:t>
      </w:r>
    </w:p>
    <w:p w:rsidR="00865914" w:rsidRPr="00DD2A86" w:rsidRDefault="00865914" w:rsidP="00865914">
      <w:pPr>
        <w:spacing w:before="120" w:after="120" w:line="240" w:lineRule="auto"/>
        <w:ind w:left="1134" w:right="1134"/>
        <w:jc w:val="both"/>
        <w:rPr>
          <w:iCs/>
          <w:lang w:val="de-DE"/>
        </w:rPr>
      </w:pPr>
      <w:r w:rsidRPr="00DD2A86">
        <w:rPr>
          <w:iCs/>
          <w:lang w:val="de-DE"/>
        </w:rPr>
        <w:t>c)</w:t>
      </w:r>
      <w:r w:rsidRPr="00DD2A86">
        <w:rPr>
          <w:iCs/>
          <w:lang w:val="de-DE"/>
        </w:rPr>
        <w:tab/>
        <w:t>Verpackungsgruppe III: Stoffe und Gemische, die eine geringe Gefahr darstellen.</w:t>
      </w:r>
    </w:p>
    <w:p w:rsidR="00865914" w:rsidRPr="00DD2A86" w:rsidRDefault="00865914" w:rsidP="00865914">
      <w:pPr>
        <w:spacing w:before="120" w:after="120" w:line="240" w:lineRule="auto"/>
        <w:ind w:left="1134" w:right="1134"/>
        <w:jc w:val="both"/>
        <w:rPr>
          <w:lang w:val="de-DE"/>
        </w:rPr>
      </w:pPr>
      <w:r w:rsidRPr="00DD2A86">
        <w:rPr>
          <w:lang w:val="de-DE"/>
        </w:rPr>
        <w:t>2.2.8.1.4.3</w:t>
      </w:r>
      <w:r w:rsidRPr="00DD2A86">
        <w:rPr>
          <w:lang w:val="de-DE"/>
        </w:rPr>
        <w:tab/>
      </w:r>
      <w:r w:rsidRPr="00DD2A86">
        <w:rPr>
          <w:iCs/>
          <w:lang w:val="de-DE"/>
        </w:rPr>
        <w:t xml:space="preserve">Die Zuordnung der in Kapitel 3.2 Tabelle A aufgeführten Stoffe zu Verpackungsgruppen in der Klasse 8 </w:t>
      </w:r>
      <w:r w:rsidRPr="00DD2A86">
        <w:rPr>
          <w:lang w:val="de-DE"/>
        </w:rPr>
        <w:t>wurde auf Grundlage von Erfahrungen unter Berücksichtigung zusätzlicher Faktoren, wie Risiko des Einatmens (siehe Absatz 2.2.8.1.4.5)</w:t>
      </w:r>
      <w:r w:rsidRPr="00DD2A86">
        <w:rPr>
          <w:color w:val="FF0000"/>
          <w:lang w:val="de-DE"/>
        </w:rPr>
        <w:t xml:space="preserve"> </w:t>
      </w:r>
      <w:r w:rsidRPr="00DD2A86">
        <w:rPr>
          <w:lang w:val="de-DE"/>
        </w:rPr>
        <w:t>und Reaktionsfähigkeit mit Wasser (einschließlich der Bildung gefährlicher Zerfallsprodukte), durchgeführt.</w:t>
      </w:r>
    </w:p>
    <w:p w:rsidR="00865914" w:rsidRPr="00DD2A86" w:rsidRDefault="00865914" w:rsidP="00865914">
      <w:pPr>
        <w:spacing w:before="120" w:after="120" w:line="240" w:lineRule="auto"/>
        <w:ind w:left="1134" w:right="1134"/>
        <w:jc w:val="both"/>
        <w:rPr>
          <w:lang w:val="de-DE"/>
        </w:rPr>
      </w:pPr>
      <w:r w:rsidRPr="00DD2A86">
        <w:rPr>
          <w:lang w:val="de-DE"/>
        </w:rPr>
        <w:t>2.2.8.1.4.4</w:t>
      </w:r>
      <w:r w:rsidRPr="00DD2A86">
        <w:rPr>
          <w:lang w:val="de-DE"/>
        </w:rPr>
        <w:tab/>
      </w:r>
      <w:r w:rsidRPr="00DD2A86">
        <w:rPr>
          <w:iCs/>
          <w:lang w:val="de-DE"/>
        </w:rPr>
        <w:t xml:space="preserve">Neue Stoffe und Gemische können, </w:t>
      </w:r>
      <w:r w:rsidRPr="00DD2A86">
        <w:rPr>
          <w:lang w:val="de-DE"/>
        </w:rPr>
        <w:t>in Übereinstimmung mit den Kriterien des Absatzes 2.2.8.1.5,</w:t>
      </w:r>
      <w:r w:rsidRPr="00DD2A86">
        <w:rPr>
          <w:iCs/>
          <w:lang w:val="de-DE"/>
        </w:rPr>
        <w:t xml:space="preserve"> auf der Grundlage der Länge der Kontaktzeit</w:t>
      </w:r>
      <w:r w:rsidRPr="00DD2A86">
        <w:rPr>
          <w:lang w:val="de-DE"/>
        </w:rPr>
        <w:t xml:space="preserve">, die nötig ist, um eine </w:t>
      </w:r>
      <w:r w:rsidRPr="00DD2A86">
        <w:rPr>
          <w:iCs/>
          <w:lang w:val="de-DE"/>
        </w:rPr>
        <w:t>irreversible Schädigung des unverletzten Hautgewebes</w:t>
      </w:r>
      <w:r w:rsidRPr="00DD2A86">
        <w:rPr>
          <w:lang w:val="de-DE"/>
        </w:rPr>
        <w:t xml:space="preserve"> zu verursachen, den Verpackungsgruppen zugeordnet werden. Für Gemische dürfen alternativ die Kriterien in Absatz 2.2.8.1.6 verwendet werden.</w:t>
      </w:r>
    </w:p>
    <w:p w:rsidR="00865914" w:rsidRPr="00DD2A86" w:rsidRDefault="00865914" w:rsidP="00865914">
      <w:pPr>
        <w:spacing w:before="120" w:after="120" w:line="240" w:lineRule="auto"/>
        <w:ind w:left="1134" w:right="1134"/>
        <w:jc w:val="both"/>
        <w:rPr>
          <w:lang w:val="de-DE"/>
        </w:rPr>
      </w:pPr>
      <w:r w:rsidRPr="00DD2A86">
        <w:rPr>
          <w:lang w:val="de-DE"/>
        </w:rPr>
        <w:t>2.2.8.1.4.5</w:t>
      </w:r>
      <w:r w:rsidRPr="00DD2A86">
        <w:rPr>
          <w:lang w:val="de-DE"/>
        </w:rPr>
        <w:tab/>
        <w:t>Ein Stoff oder ein Gemisch, der/das die Kriterien der Klasse 8 erfüllt und eine Giftigkeit beim Einatmen von Staub und Nebel (LC</w:t>
      </w:r>
      <w:r w:rsidRPr="00DD2A86">
        <w:rPr>
          <w:vertAlign w:val="subscript"/>
          <w:lang w:val="de-DE"/>
        </w:rPr>
        <w:t>50</w:t>
      </w:r>
      <w:r w:rsidRPr="00DD2A86">
        <w:rPr>
          <w:lang w:val="de-DE"/>
        </w:rPr>
        <w:t>) entsprechend Verpackungsgruppe I, aber eine Giftigkeit bei Einnahme oder bei Absorption durch die Haut entsprechend Verpackungsgruppe III oder eine geringere Giftigkeit aufweist, ist der Klasse 8 zuzuordnen (siehe Absatz 2.2.61.1.7.2).</w:t>
      </w:r>
    </w:p>
    <w:p w:rsidR="00865914" w:rsidRPr="00DD2A86" w:rsidRDefault="00865914" w:rsidP="00865914">
      <w:pPr>
        <w:spacing w:before="120" w:after="120" w:line="240" w:lineRule="auto"/>
        <w:ind w:left="1134" w:right="1134"/>
        <w:jc w:val="both"/>
        <w:rPr>
          <w:b/>
          <w:lang w:val="de-DE"/>
        </w:rPr>
      </w:pPr>
      <w:r w:rsidRPr="00DD2A86">
        <w:rPr>
          <w:b/>
          <w:lang w:val="de-DE"/>
        </w:rPr>
        <w:t>2.2.8.1.5</w:t>
      </w:r>
      <w:r w:rsidRPr="00DD2A86">
        <w:rPr>
          <w:b/>
          <w:lang w:val="de-DE"/>
        </w:rPr>
        <w:tab/>
        <w:t>Zuordnung von Stoffen und Gemischen zu Verpackungsgruppen</w:t>
      </w:r>
    </w:p>
    <w:p w:rsidR="00865914" w:rsidRPr="00DD2A86" w:rsidRDefault="00865914" w:rsidP="00865914">
      <w:pPr>
        <w:spacing w:before="120" w:after="120" w:line="240" w:lineRule="auto"/>
        <w:ind w:left="1134" w:right="1134"/>
        <w:jc w:val="both"/>
        <w:rPr>
          <w:lang w:val="de-DE"/>
        </w:rPr>
      </w:pPr>
      <w:r w:rsidRPr="00DD2A86">
        <w:rPr>
          <w:lang w:val="de-DE"/>
        </w:rPr>
        <w:t>2.2.8.1.5.1</w:t>
      </w:r>
      <w:r w:rsidRPr="00DD2A86">
        <w:rPr>
          <w:lang w:val="de-DE"/>
        </w:rPr>
        <w:tab/>
        <w:t>In erster Linie sind bestehende Daten in Bezug auf den Menschen oder auf Tiere, einschließlich Informationen über einzelne oder wiederholte Expositionen, zu betrachten, da sie Informationen liefern, die unmittelbar für die Auswirkungen auf die Haut von Relevanz sind.</w:t>
      </w:r>
    </w:p>
    <w:p w:rsidR="002B5060" w:rsidRPr="00DD2A86" w:rsidRDefault="002B5060">
      <w:pPr>
        <w:suppressAutoHyphens w:val="0"/>
        <w:spacing w:line="240" w:lineRule="auto"/>
        <w:rPr>
          <w:lang w:val="de-DE"/>
        </w:rPr>
      </w:pPr>
      <w:r w:rsidRPr="00DD2A86">
        <w:rPr>
          <w:lang w:val="de-DE"/>
        </w:rPr>
        <w:br w:type="page"/>
      </w:r>
    </w:p>
    <w:p w:rsidR="00865914" w:rsidRPr="00DD2A86" w:rsidRDefault="00865914" w:rsidP="00865914">
      <w:pPr>
        <w:spacing w:before="120" w:after="120" w:line="240" w:lineRule="auto"/>
        <w:ind w:left="1134" w:right="1134"/>
        <w:jc w:val="both"/>
        <w:rPr>
          <w:i/>
          <w:lang w:val="de-DE"/>
        </w:rPr>
      </w:pPr>
      <w:r w:rsidRPr="00DD2A86">
        <w:rPr>
          <w:lang w:val="de-DE"/>
        </w:rPr>
        <w:t>2.2.8.1.5.2</w:t>
      </w:r>
      <w:r w:rsidRPr="00DD2A86">
        <w:rPr>
          <w:i/>
          <w:lang w:val="de-DE"/>
        </w:rPr>
        <w:tab/>
      </w:r>
      <w:r w:rsidRPr="00DD2A86">
        <w:rPr>
          <w:lang w:val="de-DE" w:eastAsia="de-DE"/>
        </w:rPr>
        <w:t>Bei der Zuordnung zu Verpackungsgruppen in Übereinstimmung mit Absatz 2.2.8.1.4.4 sind die bei unbeabsichtigter Exposition gemachten Erfahrungen in Bezug auf den Menschen zu berücksichtigen. Fehlen Erfahrungen in Bezug auf den Menschen, ist die Zuordnung zu Verpackungsgruppen auf der Grundlage der Ergebnisse von Versuchen gemäß OECD Test Guideline 404</w:t>
      </w:r>
      <w:r w:rsidRPr="00DD2A86">
        <w:rPr>
          <w:vertAlign w:val="superscript"/>
          <w:lang w:val="fr-CH" w:eastAsia="de-DE"/>
        </w:rPr>
        <w:footnoteReference w:id="52"/>
      </w:r>
      <w:r w:rsidRPr="00DD2A86">
        <w:rPr>
          <w:position w:val="6"/>
          <w:sz w:val="16"/>
          <w:szCs w:val="16"/>
          <w:lang w:val="de-DE" w:eastAsia="de-DE"/>
        </w:rPr>
        <w:t>)</w:t>
      </w:r>
      <w:r w:rsidRPr="00DD2A86">
        <w:rPr>
          <w:lang w:val="de-DE" w:eastAsia="de-DE"/>
        </w:rPr>
        <w:t xml:space="preserve"> oder 435</w:t>
      </w:r>
      <w:r w:rsidRPr="00DD2A86">
        <w:rPr>
          <w:vertAlign w:val="superscript"/>
          <w:lang w:val="fr-CH" w:eastAsia="de-DE"/>
        </w:rPr>
        <w:footnoteReference w:id="53"/>
      </w:r>
      <w:r w:rsidRPr="00DD2A86">
        <w:rPr>
          <w:position w:val="6"/>
          <w:sz w:val="16"/>
          <w:szCs w:val="16"/>
          <w:lang w:val="de-DE" w:eastAsia="de-DE"/>
        </w:rPr>
        <w:t>)</w:t>
      </w:r>
      <w:r w:rsidRPr="00DD2A86">
        <w:rPr>
          <w:lang w:val="de-DE" w:eastAsia="de-DE"/>
        </w:rPr>
        <w:t xml:space="preserve"> vorzunehmen. Ein Stoff oder Gemisch, der/das in Übereinstimmung mit der OECD Test Guideline 430</w:t>
      </w:r>
      <w:r w:rsidRPr="00DD2A86">
        <w:rPr>
          <w:vertAlign w:val="superscript"/>
          <w:lang w:val="fr-CH" w:eastAsia="de-DE"/>
        </w:rPr>
        <w:footnoteReference w:id="54"/>
      </w:r>
      <w:r w:rsidRPr="00DD2A86">
        <w:rPr>
          <w:position w:val="6"/>
          <w:sz w:val="16"/>
          <w:szCs w:val="16"/>
          <w:lang w:val="de-DE" w:eastAsia="de-DE"/>
        </w:rPr>
        <w:t>)</w:t>
      </w:r>
      <w:r w:rsidRPr="00DD2A86">
        <w:rPr>
          <w:lang w:val="de-DE" w:eastAsia="de-DE"/>
        </w:rPr>
        <w:t xml:space="preserve"> oder 431</w:t>
      </w:r>
      <w:r w:rsidRPr="00DD2A86">
        <w:rPr>
          <w:vertAlign w:val="superscript"/>
          <w:lang w:val="fr-CH" w:eastAsia="de-DE"/>
        </w:rPr>
        <w:footnoteReference w:id="55"/>
      </w:r>
      <w:r w:rsidRPr="00DD2A86">
        <w:rPr>
          <w:position w:val="6"/>
          <w:sz w:val="16"/>
          <w:szCs w:val="16"/>
          <w:lang w:val="de-DE" w:eastAsia="de-DE"/>
        </w:rPr>
        <w:t>)</w:t>
      </w:r>
      <w:r w:rsidRPr="00DD2A86">
        <w:rPr>
          <w:lang w:val="de-DE" w:eastAsia="de-DE"/>
        </w:rPr>
        <w:t xml:space="preserve"> als nicht ätzend bestimmt ist, kann für Zwecke des </w:t>
      </w:r>
      <w:r w:rsidRPr="00DD2A86">
        <w:rPr>
          <w:snapToGrid w:val="0"/>
          <w:lang w:val="de-DE" w:eastAsia="de-DE"/>
        </w:rPr>
        <w:t>ADN</w:t>
      </w:r>
      <w:r w:rsidRPr="00DD2A86">
        <w:rPr>
          <w:lang w:val="de-DE" w:eastAsia="de-DE"/>
        </w:rPr>
        <w:t xml:space="preserve"> ohne weitere Prüfungen als nicht ätzend für die Haut angesehen werden.</w:t>
      </w:r>
    </w:p>
    <w:p w:rsidR="00865914" w:rsidRPr="00DD2A86" w:rsidRDefault="00865914" w:rsidP="00865914">
      <w:pPr>
        <w:spacing w:before="120"/>
        <w:ind w:left="1134" w:right="1134"/>
        <w:rPr>
          <w:color w:val="000000"/>
          <w:lang w:val="de-DE" w:eastAsia="de-DE"/>
        </w:rPr>
      </w:pPr>
      <w:r w:rsidRPr="00DD2A86">
        <w:rPr>
          <w:lang w:val="de-DE"/>
        </w:rPr>
        <w:t>2.2.8.1.5.3</w:t>
      </w:r>
      <w:r w:rsidRPr="00DD2A86">
        <w:rPr>
          <w:lang w:val="de-DE"/>
        </w:rPr>
        <w:tab/>
      </w:r>
      <w:r w:rsidRPr="00DD2A86">
        <w:rPr>
          <w:color w:val="000000"/>
          <w:lang w:val="de-DE" w:eastAsia="de-DE"/>
        </w:rPr>
        <w:t>Die Zuordnung von ätzenden Stoffen zu Verpackungsgruppen erfolgt in Übereinstimmung mit den folgenden Kriterien (siehe Tabelle 2.2.8.1.5.3):</w:t>
      </w:r>
    </w:p>
    <w:p w:rsidR="00865914" w:rsidRPr="00DD2A86" w:rsidRDefault="00865914" w:rsidP="00865914">
      <w:pPr>
        <w:suppressAutoHyphens w:val="0"/>
        <w:spacing w:before="60" w:line="240" w:lineRule="auto"/>
        <w:ind w:left="1418" w:right="1134" w:hanging="284"/>
        <w:jc w:val="both"/>
        <w:rPr>
          <w:color w:val="000000"/>
          <w:lang w:val="de-DE" w:eastAsia="de-DE"/>
        </w:rPr>
      </w:pPr>
      <w:r w:rsidRPr="00DD2A86">
        <w:rPr>
          <w:color w:val="000000"/>
          <w:lang w:val="de-DE" w:eastAsia="de-DE"/>
        </w:rPr>
        <w:t>a)</w:t>
      </w:r>
      <w:r w:rsidRPr="00DD2A86">
        <w:rPr>
          <w:color w:val="000000"/>
          <w:lang w:val="de-DE" w:eastAsia="de-DE"/>
        </w:rPr>
        <w:tab/>
        <w:t>Der Verpackungsgruppe I sind Stoffe zugeordnet, die innerhalb eines Beobachtungszeitraums von bis zu 60 Minuten nach einer Einwirkungszeit von 3 Minuten oder weniger eine irreversible Schädigung des unverletzten Hautgewebes verursachen.</w:t>
      </w:r>
    </w:p>
    <w:p w:rsidR="00865914" w:rsidRPr="00DD2A86" w:rsidRDefault="00865914" w:rsidP="00865914">
      <w:pPr>
        <w:suppressAutoHyphens w:val="0"/>
        <w:spacing w:before="60" w:line="240" w:lineRule="auto"/>
        <w:ind w:left="1418" w:right="1134" w:hanging="284"/>
        <w:jc w:val="both"/>
        <w:rPr>
          <w:color w:val="000000"/>
          <w:lang w:val="de-DE" w:eastAsia="de-DE"/>
        </w:rPr>
      </w:pPr>
      <w:r w:rsidRPr="00DD2A86">
        <w:rPr>
          <w:color w:val="000000"/>
          <w:lang w:val="de-DE" w:eastAsia="de-DE"/>
        </w:rPr>
        <w:t>b)</w:t>
      </w:r>
      <w:r w:rsidRPr="00DD2A86">
        <w:rPr>
          <w:color w:val="000000"/>
          <w:lang w:val="de-DE" w:eastAsia="de-DE"/>
        </w:rPr>
        <w:tab/>
        <w:t>Der Verpackungsgruppe II sind Stoffe zugeordnet, die innerhalb eines Beobachtungszeitraums von bis zu 14 Tagen nach einer Einwirkungszeit von mehr als 3 Minuten, aber höchstens 60 Minuten eine irreversible Schädigung des unverletzten Hautgewebes verursachen.</w:t>
      </w:r>
    </w:p>
    <w:p w:rsidR="00865914" w:rsidRPr="00DD2A86" w:rsidRDefault="00865914" w:rsidP="00865914">
      <w:pPr>
        <w:suppressAutoHyphens w:val="0"/>
        <w:spacing w:before="60" w:line="240" w:lineRule="auto"/>
        <w:ind w:left="1418" w:right="1134" w:hanging="284"/>
        <w:jc w:val="both"/>
        <w:rPr>
          <w:color w:val="000000"/>
          <w:lang w:val="de-DE" w:eastAsia="de-DE"/>
        </w:rPr>
      </w:pPr>
      <w:r w:rsidRPr="00DD2A86">
        <w:rPr>
          <w:color w:val="000000"/>
          <w:lang w:val="de-DE" w:eastAsia="de-DE"/>
        </w:rPr>
        <w:t>c)</w:t>
      </w:r>
      <w:r w:rsidRPr="00DD2A86">
        <w:rPr>
          <w:color w:val="000000"/>
          <w:lang w:val="de-DE" w:eastAsia="de-DE"/>
        </w:rPr>
        <w:tab/>
        <w:t>Der Verpackungsgruppe III sind Stoffe zugeordnet:</w:t>
      </w:r>
    </w:p>
    <w:p w:rsidR="00865914" w:rsidRPr="00DD2A86" w:rsidRDefault="00865914" w:rsidP="00865914">
      <w:pPr>
        <w:suppressAutoHyphens w:val="0"/>
        <w:spacing w:before="60" w:line="240" w:lineRule="auto"/>
        <w:ind w:left="1701" w:right="1134" w:hanging="283"/>
        <w:jc w:val="both"/>
        <w:rPr>
          <w:color w:val="000000"/>
          <w:lang w:val="de-DE" w:eastAsia="de-DE"/>
        </w:rPr>
      </w:pPr>
      <w:r w:rsidRPr="00DD2A86">
        <w:rPr>
          <w:color w:val="000000"/>
          <w:lang w:val="de-DE" w:eastAsia="de-DE"/>
        </w:rPr>
        <w:t>(i)</w:t>
      </w:r>
      <w:r w:rsidRPr="00DD2A86">
        <w:rPr>
          <w:color w:val="000000"/>
          <w:lang w:val="de-DE" w:eastAsia="de-DE"/>
        </w:rPr>
        <w:tab/>
        <w:t>die innerhalb eines Beobachtungszeitraums von bis zu 14 Tagen nach einer Einwirkungszeit von mehr als 60 Minuten, aber höchstens 4 Stunden irreversible Schädigung des unverletzten Hautgewebes verursachen oder</w:t>
      </w:r>
    </w:p>
    <w:p w:rsidR="00865914" w:rsidRPr="00DD2A86" w:rsidRDefault="00865914" w:rsidP="00865914">
      <w:pPr>
        <w:suppressAutoHyphens w:val="0"/>
        <w:spacing w:before="60" w:line="240" w:lineRule="auto"/>
        <w:ind w:left="1701" w:right="1134" w:hanging="283"/>
        <w:jc w:val="both"/>
        <w:rPr>
          <w:color w:val="000000"/>
          <w:lang w:val="de-DE" w:eastAsia="de-DE"/>
        </w:rPr>
      </w:pPr>
      <w:r w:rsidRPr="00DD2A86">
        <w:rPr>
          <w:color w:val="000000"/>
          <w:lang w:val="de-DE" w:eastAsia="de-DE"/>
        </w:rPr>
        <w:t>(ii)</w:t>
      </w:r>
      <w:r w:rsidRPr="00DD2A86">
        <w:rPr>
          <w:color w:val="000000"/>
          <w:lang w:val="de-DE" w:eastAsia="de-DE"/>
        </w:rPr>
        <w:tab/>
        <w:t>von denen angenommen wird, dass sie keine irreversible Schäd</w:t>
      </w:r>
      <w:r w:rsidR="00BE0AC7" w:rsidRPr="00DD2A86">
        <w:rPr>
          <w:color w:val="000000"/>
          <w:lang w:val="de-DE" w:eastAsia="de-DE"/>
        </w:rPr>
        <w:t>i</w:t>
      </w:r>
      <w:r w:rsidRPr="00DD2A86">
        <w:rPr>
          <w:color w:val="000000"/>
          <w:lang w:val="de-DE" w:eastAsia="de-DE"/>
        </w:rPr>
        <w:t>gung des unverletzten Hautgewebes verursachen, bei denen aber die Korrosionsrate auf Stahl- oder Aluminiumoberflächen bei einer Prüftemperatur von 55 °C den Wert von 6,25 mm pro Jahr überschreitet, wenn die Stoffe an beiden Werkstoffen geprüft wurden. Für Prüfungen an Stahl ist der Typ S235JR+CR (1.0037 bzw. St 37-2), S275J2G3+CR (1.0144 bzw. St 44-3), ISO 3574, „Unified Numbering System (UNS)“ G10200 oder ein ähnlicher Typ oder SAE 1020 und für Prüfungen an Aluminium der unbeschichtete Typ 7075-T6 oder AZ5GU-T6 zu verwenden. Eine zulässige Prüfung ist im Handbuch Prüfungen und Kriterien Teil III Abschnitt 37 beschrieben.</w:t>
      </w:r>
    </w:p>
    <w:p w:rsidR="00865914" w:rsidRPr="00DD2A86" w:rsidRDefault="00865914" w:rsidP="00865914">
      <w:pPr>
        <w:suppressAutoHyphens w:val="0"/>
        <w:spacing w:before="120" w:line="240" w:lineRule="auto"/>
        <w:ind w:left="1134" w:right="1134"/>
        <w:jc w:val="both"/>
        <w:rPr>
          <w:color w:val="000000"/>
          <w:lang w:val="de-DE" w:eastAsia="de-DE"/>
        </w:rPr>
      </w:pPr>
      <w:r w:rsidRPr="00DD2A86">
        <w:rPr>
          <w:b/>
          <w:color w:val="000000"/>
          <w:lang w:val="de-DE" w:eastAsia="de-DE"/>
        </w:rPr>
        <w:t>Bem.</w:t>
      </w:r>
      <w:r w:rsidRPr="00DD2A86">
        <w:rPr>
          <w:color w:val="000000"/>
          <w:lang w:val="de-DE" w:eastAsia="de-DE"/>
        </w:rPr>
        <w:tab/>
        <w:t>Wenn bei einer anfänglichen Prüfung entweder auf Stahl oder auf Aluminium festgestellt wird, dass der geprüfte Stoff ätzend ist, ist die anschließende Prüfung an dem anderen Metall nicht erforderlich.</w:t>
      </w:r>
    </w:p>
    <w:p w:rsidR="00865914" w:rsidRPr="00DD2A86" w:rsidRDefault="00865914" w:rsidP="00865914">
      <w:pPr>
        <w:suppressAutoHyphens w:val="0"/>
        <w:spacing w:line="240" w:lineRule="auto"/>
        <w:ind w:left="1134" w:right="1134"/>
        <w:jc w:val="both"/>
        <w:rPr>
          <w:color w:val="000000"/>
          <w:lang w:val="de-DE" w:eastAsia="de-DE"/>
        </w:rPr>
      </w:pPr>
    </w:p>
    <w:p w:rsidR="002B5060" w:rsidRPr="00DD2A86" w:rsidRDefault="002B5060">
      <w:pPr>
        <w:suppressAutoHyphens w:val="0"/>
        <w:spacing w:line="240" w:lineRule="auto"/>
        <w:rPr>
          <w:b/>
          <w:color w:val="000000"/>
          <w:lang w:val="de-DE" w:eastAsia="de-DE"/>
        </w:rPr>
      </w:pPr>
      <w:r w:rsidRPr="00DD2A86">
        <w:rPr>
          <w:b/>
          <w:color w:val="000000"/>
          <w:lang w:val="de-DE" w:eastAsia="de-DE"/>
        </w:rPr>
        <w:br w:type="page"/>
      </w:r>
    </w:p>
    <w:p w:rsidR="00865914" w:rsidRPr="00DD2A86" w:rsidRDefault="00865914" w:rsidP="00865914">
      <w:pPr>
        <w:suppressAutoHyphens w:val="0"/>
        <w:spacing w:before="120" w:line="240" w:lineRule="auto"/>
        <w:ind w:left="1134"/>
        <w:jc w:val="both"/>
        <w:rPr>
          <w:b/>
          <w:color w:val="000000"/>
          <w:lang w:val="de-DE" w:eastAsia="de-DE"/>
        </w:rPr>
      </w:pPr>
      <w:r w:rsidRPr="00DD2A86">
        <w:rPr>
          <w:b/>
          <w:color w:val="000000"/>
          <w:lang w:val="de-DE" w:eastAsia="de-DE"/>
        </w:rPr>
        <w:t>Tabelle 2.2.8.1.5.3:</w:t>
      </w:r>
      <w:r w:rsidRPr="00DD2A86">
        <w:rPr>
          <w:b/>
          <w:color w:val="000000"/>
          <w:lang w:val="de-DE" w:eastAsia="de-DE"/>
        </w:rPr>
        <w:tab/>
        <w:t>Zusammenfassende Darstellung der Kriterien des Absatzes 2.2.8.1.5.3</w:t>
      </w:r>
    </w:p>
    <w:p w:rsidR="00865914" w:rsidRPr="00DD2A86" w:rsidRDefault="00865914" w:rsidP="00865914">
      <w:pPr>
        <w:suppressAutoHyphens w:val="0"/>
        <w:spacing w:line="240" w:lineRule="auto"/>
        <w:ind w:left="1843" w:hanging="425"/>
        <w:jc w:val="both"/>
        <w:rPr>
          <w:bCs/>
          <w:color w:val="000000"/>
          <w:lang w:val="de-DE" w:eastAsia="de-DE"/>
        </w:rPr>
      </w:pPr>
    </w:p>
    <w:tbl>
      <w:tblPr>
        <w:tblW w:w="8709" w:type="dxa"/>
        <w:tblInd w:w="1214" w:type="dxa"/>
        <w:shd w:val="clear" w:color="auto" w:fill="FFFF00"/>
        <w:tblLayout w:type="fixed"/>
        <w:tblCellMar>
          <w:left w:w="80" w:type="dxa"/>
          <w:right w:w="80" w:type="dxa"/>
        </w:tblCellMar>
        <w:tblLook w:val="0000" w:firstRow="0" w:lastRow="0" w:firstColumn="0" w:lastColumn="0" w:noHBand="0" w:noVBand="0"/>
      </w:tblPr>
      <w:tblGrid>
        <w:gridCol w:w="1418"/>
        <w:gridCol w:w="1480"/>
        <w:gridCol w:w="2027"/>
        <w:gridCol w:w="3784"/>
      </w:tblGrid>
      <w:tr w:rsidR="00865914" w:rsidRPr="00DD2A86" w:rsidTr="00865914">
        <w:trPr>
          <w:cantSplit/>
        </w:trPr>
        <w:tc>
          <w:tcPr>
            <w:tcW w:w="1418" w:type="dxa"/>
            <w:tcBorders>
              <w:top w:val="single" w:sz="6" w:space="0" w:color="auto"/>
              <w:left w:val="single" w:sz="6" w:space="0" w:color="auto"/>
              <w:bottom w:val="single" w:sz="6" w:space="0" w:color="auto"/>
              <w:right w:val="single" w:sz="6" w:space="0" w:color="auto"/>
            </w:tcBorders>
            <w:shd w:val="clear" w:color="auto" w:fill="auto"/>
          </w:tcPr>
          <w:p w:rsidR="00865914" w:rsidRPr="00DD2A86" w:rsidRDefault="00865914" w:rsidP="00865914">
            <w:pPr>
              <w:suppressAutoHyphens w:val="0"/>
              <w:spacing w:line="240" w:lineRule="auto"/>
              <w:jc w:val="center"/>
              <w:rPr>
                <w:color w:val="000000"/>
                <w:sz w:val="18"/>
                <w:szCs w:val="18"/>
                <w:lang w:val="de-DE" w:eastAsia="de-DE"/>
              </w:rPr>
            </w:pPr>
            <w:r w:rsidRPr="00DD2A86">
              <w:rPr>
                <w:b/>
                <w:color w:val="000000"/>
                <w:sz w:val="18"/>
                <w:szCs w:val="18"/>
                <w:lang w:val="de-DE" w:eastAsia="de-DE"/>
              </w:rPr>
              <w:t>Verpackungs</w:t>
            </w:r>
            <w:r w:rsidRPr="00DD2A86">
              <w:rPr>
                <w:b/>
                <w:color w:val="000000"/>
                <w:sz w:val="18"/>
                <w:szCs w:val="18"/>
                <w:lang w:val="de-DE" w:eastAsia="de-DE"/>
              </w:rPr>
              <w:softHyphen/>
              <w:t>gruppe</w:t>
            </w:r>
          </w:p>
        </w:tc>
        <w:tc>
          <w:tcPr>
            <w:tcW w:w="1480" w:type="dxa"/>
            <w:tcBorders>
              <w:top w:val="single" w:sz="6" w:space="0" w:color="auto"/>
              <w:left w:val="single" w:sz="6" w:space="0" w:color="auto"/>
              <w:bottom w:val="single" w:sz="6" w:space="0" w:color="auto"/>
              <w:right w:val="single" w:sz="6" w:space="0" w:color="auto"/>
            </w:tcBorders>
            <w:shd w:val="clear" w:color="auto" w:fill="auto"/>
          </w:tcPr>
          <w:p w:rsidR="00865914" w:rsidRPr="00DD2A86" w:rsidRDefault="00865914" w:rsidP="00865914">
            <w:pPr>
              <w:suppressAutoHyphens w:val="0"/>
              <w:spacing w:line="240" w:lineRule="auto"/>
              <w:jc w:val="center"/>
              <w:rPr>
                <w:color w:val="000000"/>
                <w:sz w:val="18"/>
                <w:szCs w:val="18"/>
                <w:lang w:val="de-DE" w:eastAsia="de-DE"/>
              </w:rPr>
            </w:pPr>
            <w:r w:rsidRPr="00DD2A86">
              <w:rPr>
                <w:b/>
                <w:color w:val="000000"/>
                <w:sz w:val="18"/>
                <w:szCs w:val="18"/>
                <w:lang w:val="de-DE" w:eastAsia="de-DE"/>
              </w:rPr>
              <w:t>Einwirkungszeit</w:t>
            </w:r>
          </w:p>
        </w:tc>
        <w:tc>
          <w:tcPr>
            <w:tcW w:w="2027" w:type="dxa"/>
            <w:tcBorders>
              <w:top w:val="single" w:sz="6" w:space="0" w:color="auto"/>
              <w:left w:val="single" w:sz="6" w:space="0" w:color="auto"/>
              <w:bottom w:val="single" w:sz="6" w:space="0" w:color="auto"/>
              <w:right w:val="single" w:sz="6" w:space="0" w:color="auto"/>
            </w:tcBorders>
            <w:shd w:val="clear" w:color="auto" w:fill="auto"/>
          </w:tcPr>
          <w:p w:rsidR="00865914" w:rsidRPr="00DD2A86" w:rsidRDefault="00865914" w:rsidP="00865914">
            <w:pPr>
              <w:suppressAutoHyphens w:val="0"/>
              <w:spacing w:line="240" w:lineRule="auto"/>
              <w:jc w:val="center"/>
              <w:rPr>
                <w:color w:val="000000"/>
                <w:sz w:val="18"/>
                <w:szCs w:val="18"/>
                <w:lang w:val="de-DE" w:eastAsia="de-DE"/>
              </w:rPr>
            </w:pPr>
            <w:r w:rsidRPr="00DD2A86">
              <w:rPr>
                <w:b/>
                <w:color w:val="000000"/>
                <w:sz w:val="18"/>
                <w:szCs w:val="18"/>
                <w:lang w:val="de-DE" w:eastAsia="de-DE"/>
              </w:rPr>
              <w:t>Beobachtungszeitraum</w:t>
            </w:r>
          </w:p>
        </w:tc>
        <w:tc>
          <w:tcPr>
            <w:tcW w:w="3784" w:type="dxa"/>
            <w:tcBorders>
              <w:top w:val="single" w:sz="6" w:space="0" w:color="auto"/>
              <w:left w:val="single" w:sz="6" w:space="0" w:color="auto"/>
              <w:bottom w:val="single" w:sz="6" w:space="0" w:color="auto"/>
              <w:right w:val="single" w:sz="6" w:space="0" w:color="auto"/>
            </w:tcBorders>
            <w:shd w:val="clear" w:color="auto" w:fill="auto"/>
          </w:tcPr>
          <w:p w:rsidR="00865914" w:rsidRPr="00DD2A86" w:rsidRDefault="00865914" w:rsidP="00865914">
            <w:pPr>
              <w:suppressAutoHyphens w:val="0"/>
              <w:spacing w:line="240" w:lineRule="auto"/>
              <w:jc w:val="both"/>
              <w:rPr>
                <w:color w:val="000000"/>
                <w:sz w:val="18"/>
                <w:szCs w:val="18"/>
                <w:lang w:val="de-DE" w:eastAsia="de-DE"/>
              </w:rPr>
            </w:pPr>
            <w:r w:rsidRPr="00DD2A86">
              <w:rPr>
                <w:b/>
                <w:color w:val="000000"/>
                <w:sz w:val="18"/>
                <w:szCs w:val="18"/>
                <w:lang w:val="de-DE" w:eastAsia="de-DE"/>
              </w:rPr>
              <w:t>Auswirkungen</w:t>
            </w:r>
          </w:p>
        </w:tc>
      </w:tr>
      <w:tr w:rsidR="00865914" w:rsidRPr="00E139A8" w:rsidTr="00865914">
        <w:trPr>
          <w:cantSplit/>
        </w:trPr>
        <w:tc>
          <w:tcPr>
            <w:tcW w:w="1418" w:type="dxa"/>
            <w:tcBorders>
              <w:top w:val="single" w:sz="6" w:space="0" w:color="auto"/>
              <w:left w:val="single" w:sz="6" w:space="0" w:color="auto"/>
              <w:bottom w:val="single" w:sz="6" w:space="0" w:color="auto"/>
              <w:right w:val="single" w:sz="6" w:space="0" w:color="auto"/>
            </w:tcBorders>
            <w:shd w:val="clear" w:color="auto" w:fill="auto"/>
          </w:tcPr>
          <w:p w:rsidR="00865914" w:rsidRPr="00DD2A86" w:rsidRDefault="00865914" w:rsidP="00865914">
            <w:pPr>
              <w:suppressAutoHyphens w:val="0"/>
              <w:spacing w:line="240" w:lineRule="auto"/>
              <w:jc w:val="center"/>
              <w:rPr>
                <w:color w:val="000000"/>
                <w:sz w:val="18"/>
                <w:szCs w:val="18"/>
                <w:lang w:val="de-DE" w:eastAsia="de-DE"/>
              </w:rPr>
            </w:pPr>
            <w:r w:rsidRPr="00DD2A86">
              <w:rPr>
                <w:color w:val="000000"/>
                <w:sz w:val="18"/>
                <w:szCs w:val="18"/>
                <w:lang w:val="de-DE" w:eastAsia="de-DE"/>
              </w:rPr>
              <w:t>I</w:t>
            </w:r>
          </w:p>
        </w:tc>
        <w:tc>
          <w:tcPr>
            <w:tcW w:w="1480" w:type="dxa"/>
            <w:tcBorders>
              <w:top w:val="single" w:sz="6" w:space="0" w:color="auto"/>
              <w:left w:val="single" w:sz="6" w:space="0" w:color="auto"/>
              <w:bottom w:val="single" w:sz="6" w:space="0" w:color="auto"/>
              <w:right w:val="single" w:sz="6" w:space="0" w:color="auto"/>
            </w:tcBorders>
            <w:shd w:val="clear" w:color="auto" w:fill="auto"/>
          </w:tcPr>
          <w:p w:rsidR="00865914" w:rsidRPr="00DD2A86" w:rsidRDefault="00865914" w:rsidP="00865914">
            <w:pPr>
              <w:suppressAutoHyphens w:val="0"/>
              <w:spacing w:line="240" w:lineRule="auto"/>
              <w:jc w:val="center"/>
              <w:rPr>
                <w:color w:val="000000"/>
                <w:sz w:val="18"/>
                <w:szCs w:val="18"/>
                <w:lang w:val="de-DE" w:eastAsia="de-DE"/>
              </w:rPr>
            </w:pPr>
            <w:r w:rsidRPr="00DD2A86">
              <w:rPr>
                <w:color w:val="000000"/>
                <w:sz w:val="18"/>
                <w:szCs w:val="18"/>
                <w:lang w:val="de-DE" w:eastAsia="de-DE"/>
              </w:rPr>
              <w:t>≤ 3 min</w:t>
            </w:r>
          </w:p>
        </w:tc>
        <w:tc>
          <w:tcPr>
            <w:tcW w:w="2027" w:type="dxa"/>
            <w:tcBorders>
              <w:top w:val="single" w:sz="6" w:space="0" w:color="auto"/>
              <w:left w:val="single" w:sz="6" w:space="0" w:color="auto"/>
              <w:bottom w:val="single" w:sz="6" w:space="0" w:color="auto"/>
              <w:right w:val="single" w:sz="6" w:space="0" w:color="auto"/>
            </w:tcBorders>
            <w:shd w:val="clear" w:color="auto" w:fill="auto"/>
          </w:tcPr>
          <w:p w:rsidR="00865914" w:rsidRPr="00DD2A86" w:rsidRDefault="00865914" w:rsidP="00865914">
            <w:pPr>
              <w:suppressAutoHyphens w:val="0"/>
              <w:spacing w:line="240" w:lineRule="auto"/>
              <w:jc w:val="center"/>
              <w:rPr>
                <w:color w:val="000000"/>
                <w:sz w:val="18"/>
                <w:szCs w:val="18"/>
                <w:lang w:val="de-DE" w:eastAsia="de-DE"/>
              </w:rPr>
            </w:pPr>
            <w:r w:rsidRPr="00DD2A86">
              <w:rPr>
                <w:color w:val="000000"/>
                <w:sz w:val="18"/>
                <w:szCs w:val="18"/>
                <w:lang w:val="de-DE" w:eastAsia="de-DE"/>
              </w:rPr>
              <w:t>≤ 60 min</w:t>
            </w:r>
          </w:p>
        </w:tc>
        <w:tc>
          <w:tcPr>
            <w:tcW w:w="3784" w:type="dxa"/>
            <w:tcBorders>
              <w:top w:val="single" w:sz="6" w:space="0" w:color="auto"/>
              <w:left w:val="single" w:sz="6" w:space="0" w:color="auto"/>
              <w:bottom w:val="single" w:sz="6" w:space="0" w:color="auto"/>
              <w:right w:val="single" w:sz="6" w:space="0" w:color="auto"/>
            </w:tcBorders>
            <w:shd w:val="clear" w:color="auto" w:fill="auto"/>
          </w:tcPr>
          <w:p w:rsidR="00865914" w:rsidRPr="00DD2A86" w:rsidRDefault="00865914" w:rsidP="00865914">
            <w:pPr>
              <w:suppressAutoHyphens w:val="0"/>
              <w:spacing w:line="240" w:lineRule="auto"/>
              <w:rPr>
                <w:color w:val="000000"/>
                <w:sz w:val="18"/>
                <w:szCs w:val="18"/>
                <w:lang w:val="de-DE" w:eastAsia="de-DE"/>
              </w:rPr>
            </w:pPr>
            <w:r w:rsidRPr="00DD2A86">
              <w:rPr>
                <w:color w:val="000000"/>
                <w:sz w:val="18"/>
                <w:szCs w:val="18"/>
                <w:lang w:val="de-DE" w:eastAsia="de-DE"/>
              </w:rPr>
              <w:t>irreversible Schädigung des unverletzten Hautgewebes</w:t>
            </w:r>
          </w:p>
        </w:tc>
      </w:tr>
      <w:tr w:rsidR="00865914" w:rsidRPr="00E139A8" w:rsidTr="00865914">
        <w:trPr>
          <w:cantSplit/>
        </w:trPr>
        <w:tc>
          <w:tcPr>
            <w:tcW w:w="1418" w:type="dxa"/>
            <w:tcBorders>
              <w:top w:val="single" w:sz="6" w:space="0" w:color="auto"/>
              <w:left w:val="single" w:sz="6" w:space="0" w:color="auto"/>
              <w:bottom w:val="single" w:sz="6" w:space="0" w:color="auto"/>
              <w:right w:val="single" w:sz="6" w:space="0" w:color="auto"/>
            </w:tcBorders>
            <w:shd w:val="clear" w:color="auto" w:fill="auto"/>
          </w:tcPr>
          <w:p w:rsidR="00865914" w:rsidRPr="00DD2A86" w:rsidRDefault="00865914" w:rsidP="00865914">
            <w:pPr>
              <w:suppressAutoHyphens w:val="0"/>
              <w:spacing w:line="240" w:lineRule="auto"/>
              <w:jc w:val="center"/>
              <w:rPr>
                <w:color w:val="000000"/>
                <w:sz w:val="18"/>
                <w:szCs w:val="18"/>
                <w:lang w:val="de-DE" w:eastAsia="de-DE"/>
              </w:rPr>
            </w:pPr>
            <w:r w:rsidRPr="00DD2A86">
              <w:rPr>
                <w:color w:val="000000"/>
                <w:sz w:val="18"/>
                <w:szCs w:val="18"/>
                <w:lang w:val="de-DE" w:eastAsia="de-DE"/>
              </w:rPr>
              <w:t>II</w:t>
            </w:r>
          </w:p>
        </w:tc>
        <w:tc>
          <w:tcPr>
            <w:tcW w:w="1480" w:type="dxa"/>
            <w:tcBorders>
              <w:top w:val="single" w:sz="6" w:space="0" w:color="auto"/>
              <w:left w:val="single" w:sz="6" w:space="0" w:color="auto"/>
              <w:bottom w:val="single" w:sz="6" w:space="0" w:color="auto"/>
              <w:right w:val="single" w:sz="6" w:space="0" w:color="auto"/>
            </w:tcBorders>
            <w:shd w:val="clear" w:color="auto" w:fill="auto"/>
          </w:tcPr>
          <w:p w:rsidR="00865914" w:rsidRPr="00DD2A86" w:rsidRDefault="00865914" w:rsidP="00865914">
            <w:pPr>
              <w:suppressAutoHyphens w:val="0"/>
              <w:spacing w:line="240" w:lineRule="auto"/>
              <w:jc w:val="center"/>
              <w:rPr>
                <w:color w:val="000000"/>
                <w:sz w:val="18"/>
                <w:szCs w:val="18"/>
                <w:lang w:val="de-DE" w:eastAsia="de-DE"/>
              </w:rPr>
            </w:pPr>
            <w:r w:rsidRPr="00DD2A86">
              <w:rPr>
                <w:color w:val="000000"/>
                <w:sz w:val="18"/>
                <w:szCs w:val="18"/>
                <w:lang w:val="de-DE" w:eastAsia="de-DE"/>
              </w:rPr>
              <w:t>&gt; 3 min ≤ 1 h</w:t>
            </w:r>
          </w:p>
        </w:tc>
        <w:tc>
          <w:tcPr>
            <w:tcW w:w="2027" w:type="dxa"/>
            <w:tcBorders>
              <w:top w:val="single" w:sz="6" w:space="0" w:color="auto"/>
              <w:left w:val="single" w:sz="6" w:space="0" w:color="auto"/>
              <w:bottom w:val="single" w:sz="6" w:space="0" w:color="auto"/>
              <w:right w:val="single" w:sz="6" w:space="0" w:color="auto"/>
            </w:tcBorders>
            <w:shd w:val="clear" w:color="auto" w:fill="auto"/>
          </w:tcPr>
          <w:p w:rsidR="00865914" w:rsidRPr="00DD2A86" w:rsidRDefault="00865914" w:rsidP="00865914">
            <w:pPr>
              <w:suppressAutoHyphens w:val="0"/>
              <w:spacing w:line="240" w:lineRule="auto"/>
              <w:jc w:val="center"/>
              <w:rPr>
                <w:color w:val="000000"/>
                <w:sz w:val="18"/>
                <w:szCs w:val="18"/>
                <w:lang w:val="de-DE" w:eastAsia="de-DE"/>
              </w:rPr>
            </w:pPr>
            <w:r w:rsidRPr="00DD2A86">
              <w:rPr>
                <w:color w:val="000000"/>
                <w:sz w:val="18"/>
                <w:szCs w:val="18"/>
                <w:lang w:val="de-DE" w:eastAsia="de-DE"/>
              </w:rPr>
              <w:t>≤ 14 Tage</w:t>
            </w:r>
          </w:p>
        </w:tc>
        <w:tc>
          <w:tcPr>
            <w:tcW w:w="3784" w:type="dxa"/>
            <w:tcBorders>
              <w:top w:val="single" w:sz="6" w:space="0" w:color="auto"/>
              <w:left w:val="single" w:sz="6" w:space="0" w:color="auto"/>
              <w:bottom w:val="single" w:sz="6" w:space="0" w:color="auto"/>
              <w:right w:val="single" w:sz="6" w:space="0" w:color="auto"/>
            </w:tcBorders>
            <w:shd w:val="clear" w:color="auto" w:fill="auto"/>
          </w:tcPr>
          <w:p w:rsidR="00865914" w:rsidRPr="00DD2A86" w:rsidRDefault="00865914" w:rsidP="00865914">
            <w:pPr>
              <w:suppressAutoHyphens w:val="0"/>
              <w:spacing w:line="240" w:lineRule="auto"/>
              <w:rPr>
                <w:color w:val="000000"/>
                <w:sz w:val="18"/>
                <w:szCs w:val="18"/>
                <w:lang w:val="de-DE" w:eastAsia="de-DE"/>
              </w:rPr>
            </w:pPr>
            <w:r w:rsidRPr="00DD2A86">
              <w:rPr>
                <w:color w:val="000000"/>
                <w:sz w:val="18"/>
                <w:szCs w:val="18"/>
                <w:lang w:val="de-DE" w:eastAsia="de-DE"/>
              </w:rPr>
              <w:t>irreversible Schädigung des unverletzten Hautgewebes</w:t>
            </w:r>
          </w:p>
        </w:tc>
      </w:tr>
      <w:tr w:rsidR="00865914" w:rsidRPr="00E139A8" w:rsidTr="00865914">
        <w:trPr>
          <w:cantSplit/>
        </w:trPr>
        <w:tc>
          <w:tcPr>
            <w:tcW w:w="1418" w:type="dxa"/>
            <w:tcBorders>
              <w:top w:val="single" w:sz="6" w:space="0" w:color="auto"/>
              <w:left w:val="single" w:sz="6" w:space="0" w:color="auto"/>
              <w:bottom w:val="single" w:sz="6" w:space="0" w:color="auto"/>
              <w:right w:val="single" w:sz="6" w:space="0" w:color="auto"/>
            </w:tcBorders>
            <w:shd w:val="clear" w:color="auto" w:fill="auto"/>
          </w:tcPr>
          <w:p w:rsidR="00865914" w:rsidRPr="00DD2A86" w:rsidRDefault="00865914" w:rsidP="00865914">
            <w:pPr>
              <w:suppressAutoHyphens w:val="0"/>
              <w:spacing w:line="240" w:lineRule="auto"/>
              <w:jc w:val="center"/>
              <w:rPr>
                <w:color w:val="000000"/>
                <w:sz w:val="18"/>
                <w:szCs w:val="18"/>
                <w:lang w:val="de-DE" w:eastAsia="de-DE"/>
              </w:rPr>
            </w:pPr>
            <w:r w:rsidRPr="00DD2A86">
              <w:rPr>
                <w:color w:val="000000"/>
                <w:sz w:val="18"/>
                <w:szCs w:val="18"/>
                <w:lang w:val="de-DE" w:eastAsia="de-DE"/>
              </w:rPr>
              <w:t>III</w:t>
            </w:r>
          </w:p>
        </w:tc>
        <w:tc>
          <w:tcPr>
            <w:tcW w:w="1480" w:type="dxa"/>
            <w:tcBorders>
              <w:top w:val="single" w:sz="6" w:space="0" w:color="auto"/>
              <w:left w:val="single" w:sz="6" w:space="0" w:color="auto"/>
              <w:bottom w:val="single" w:sz="6" w:space="0" w:color="auto"/>
              <w:right w:val="single" w:sz="6" w:space="0" w:color="auto"/>
            </w:tcBorders>
            <w:shd w:val="clear" w:color="auto" w:fill="auto"/>
          </w:tcPr>
          <w:p w:rsidR="00865914" w:rsidRPr="00DD2A86" w:rsidRDefault="00865914" w:rsidP="00865914">
            <w:pPr>
              <w:suppressAutoHyphens w:val="0"/>
              <w:spacing w:line="240" w:lineRule="auto"/>
              <w:jc w:val="center"/>
              <w:rPr>
                <w:color w:val="000000"/>
                <w:sz w:val="18"/>
                <w:szCs w:val="18"/>
                <w:lang w:val="de-DE" w:eastAsia="de-DE"/>
              </w:rPr>
            </w:pPr>
            <w:r w:rsidRPr="00DD2A86">
              <w:rPr>
                <w:color w:val="000000"/>
                <w:sz w:val="18"/>
                <w:szCs w:val="18"/>
                <w:lang w:val="de-DE" w:eastAsia="de-DE"/>
              </w:rPr>
              <w:t>&gt; 1 h ≤ 4 h</w:t>
            </w:r>
          </w:p>
        </w:tc>
        <w:tc>
          <w:tcPr>
            <w:tcW w:w="2027" w:type="dxa"/>
            <w:tcBorders>
              <w:top w:val="single" w:sz="6" w:space="0" w:color="auto"/>
              <w:left w:val="single" w:sz="6" w:space="0" w:color="auto"/>
              <w:bottom w:val="single" w:sz="6" w:space="0" w:color="auto"/>
              <w:right w:val="single" w:sz="6" w:space="0" w:color="auto"/>
            </w:tcBorders>
            <w:shd w:val="clear" w:color="auto" w:fill="auto"/>
          </w:tcPr>
          <w:p w:rsidR="00865914" w:rsidRPr="00DD2A86" w:rsidRDefault="00865914" w:rsidP="00865914">
            <w:pPr>
              <w:suppressAutoHyphens w:val="0"/>
              <w:spacing w:line="240" w:lineRule="auto"/>
              <w:jc w:val="center"/>
              <w:rPr>
                <w:color w:val="000000"/>
                <w:sz w:val="18"/>
                <w:szCs w:val="18"/>
                <w:lang w:val="de-DE" w:eastAsia="de-DE"/>
              </w:rPr>
            </w:pPr>
            <w:r w:rsidRPr="00DD2A86">
              <w:rPr>
                <w:color w:val="000000"/>
                <w:sz w:val="18"/>
                <w:szCs w:val="18"/>
                <w:lang w:val="de-DE" w:eastAsia="de-DE"/>
              </w:rPr>
              <w:t>≤ 14 Tage</w:t>
            </w:r>
          </w:p>
        </w:tc>
        <w:tc>
          <w:tcPr>
            <w:tcW w:w="3784" w:type="dxa"/>
            <w:tcBorders>
              <w:top w:val="single" w:sz="6" w:space="0" w:color="auto"/>
              <w:left w:val="single" w:sz="6" w:space="0" w:color="auto"/>
              <w:bottom w:val="single" w:sz="6" w:space="0" w:color="auto"/>
              <w:right w:val="single" w:sz="6" w:space="0" w:color="auto"/>
            </w:tcBorders>
            <w:shd w:val="clear" w:color="auto" w:fill="auto"/>
          </w:tcPr>
          <w:p w:rsidR="00865914" w:rsidRPr="00DD2A86" w:rsidRDefault="00865914" w:rsidP="00865914">
            <w:pPr>
              <w:suppressAutoHyphens w:val="0"/>
              <w:spacing w:line="240" w:lineRule="auto"/>
              <w:rPr>
                <w:color w:val="000000"/>
                <w:sz w:val="18"/>
                <w:szCs w:val="18"/>
                <w:lang w:val="de-DE" w:eastAsia="de-DE"/>
              </w:rPr>
            </w:pPr>
            <w:r w:rsidRPr="00DD2A86">
              <w:rPr>
                <w:color w:val="000000"/>
                <w:sz w:val="18"/>
                <w:szCs w:val="18"/>
                <w:lang w:val="de-DE" w:eastAsia="de-DE"/>
              </w:rPr>
              <w:t>irreversible Schädigung des unverletzten Hautgewebes</w:t>
            </w:r>
          </w:p>
        </w:tc>
      </w:tr>
      <w:tr w:rsidR="00865914" w:rsidRPr="00E139A8" w:rsidTr="00865914">
        <w:trPr>
          <w:cantSplit/>
        </w:trPr>
        <w:tc>
          <w:tcPr>
            <w:tcW w:w="1418" w:type="dxa"/>
            <w:tcBorders>
              <w:top w:val="single" w:sz="6" w:space="0" w:color="auto"/>
              <w:left w:val="single" w:sz="6" w:space="0" w:color="auto"/>
              <w:bottom w:val="single" w:sz="6" w:space="0" w:color="auto"/>
              <w:right w:val="single" w:sz="6" w:space="0" w:color="auto"/>
            </w:tcBorders>
            <w:shd w:val="clear" w:color="auto" w:fill="auto"/>
          </w:tcPr>
          <w:p w:rsidR="00865914" w:rsidRPr="00DD2A86" w:rsidRDefault="00865914" w:rsidP="00865914">
            <w:pPr>
              <w:suppressAutoHyphens w:val="0"/>
              <w:spacing w:line="240" w:lineRule="auto"/>
              <w:jc w:val="center"/>
              <w:rPr>
                <w:color w:val="000000"/>
                <w:sz w:val="18"/>
                <w:szCs w:val="18"/>
                <w:lang w:val="de-DE" w:eastAsia="de-DE"/>
              </w:rPr>
            </w:pPr>
            <w:r w:rsidRPr="00DD2A86">
              <w:rPr>
                <w:color w:val="000000"/>
                <w:sz w:val="18"/>
                <w:szCs w:val="18"/>
                <w:lang w:val="de-DE" w:eastAsia="de-DE"/>
              </w:rPr>
              <w:t>III</w:t>
            </w:r>
          </w:p>
        </w:tc>
        <w:tc>
          <w:tcPr>
            <w:tcW w:w="1480" w:type="dxa"/>
            <w:tcBorders>
              <w:top w:val="single" w:sz="6" w:space="0" w:color="auto"/>
              <w:left w:val="single" w:sz="6" w:space="0" w:color="auto"/>
              <w:bottom w:val="single" w:sz="6" w:space="0" w:color="auto"/>
              <w:right w:val="single" w:sz="6" w:space="0" w:color="auto"/>
            </w:tcBorders>
            <w:shd w:val="clear" w:color="auto" w:fill="auto"/>
          </w:tcPr>
          <w:p w:rsidR="00865914" w:rsidRPr="00DD2A86" w:rsidRDefault="00865914" w:rsidP="00865914">
            <w:pPr>
              <w:suppressAutoHyphens w:val="0"/>
              <w:spacing w:line="240" w:lineRule="auto"/>
              <w:jc w:val="center"/>
              <w:rPr>
                <w:color w:val="000000"/>
                <w:sz w:val="18"/>
                <w:szCs w:val="18"/>
                <w:lang w:val="de-DE" w:eastAsia="de-DE"/>
              </w:rPr>
            </w:pPr>
            <w:r w:rsidRPr="00DD2A86">
              <w:rPr>
                <w:color w:val="000000"/>
                <w:sz w:val="18"/>
                <w:szCs w:val="18"/>
                <w:lang w:val="de-DE" w:eastAsia="de-DE"/>
              </w:rPr>
              <w:t>–</w:t>
            </w:r>
          </w:p>
        </w:tc>
        <w:tc>
          <w:tcPr>
            <w:tcW w:w="2027" w:type="dxa"/>
            <w:tcBorders>
              <w:top w:val="single" w:sz="6" w:space="0" w:color="auto"/>
              <w:left w:val="single" w:sz="6" w:space="0" w:color="auto"/>
              <w:bottom w:val="single" w:sz="6" w:space="0" w:color="auto"/>
              <w:right w:val="single" w:sz="6" w:space="0" w:color="auto"/>
            </w:tcBorders>
            <w:shd w:val="clear" w:color="auto" w:fill="auto"/>
          </w:tcPr>
          <w:p w:rsidR="00865914" w:rsidRPr="00DD2A86" w:rsidRDefault="00865914" w:rsidP="00865914">
            <w:pPr>
              <w:suppressAutoHyphens w:val="0"/>
              <w:spacing w:line="240" w:lineRule="auto"/>
              <w:jc w:val="center"/>
              <w:rPr>
                <w:color w:val="000000"/>
                <w:sz w:val="18"/>
                <w:szCs w:val="18"/>
                <w:lang w:val="de-DE" w:eastAsia="de-DE"/>
              </w:rPr>
            </w:pPr>
            <w:r w:rsidRPr="00DD2A86">
              <w:rPr>
                <w:color w:val="000000"/>
                <w:sz w:val="18"/>
                <w:szCs w:val="18"/>
                <w:lang w:val="de-DE" w:eastAsia="de-DE"/>
              </w:rPr>
              <w:t>–</w:t>
            </w:r>
          </w:p>
        </w:tc>
        <w:tc>
          <w:tcPr>
            <w:tcW w:w="3784" w:type="dxa"/>
            <w:tcBorders>
              <w:top w:val="single" w:sz="6" w:space="0" w:color="auto"/>
              <w:left w:val="single" w:sz="6" w:space="0" w:color="auto"/>
              <w:bottom w:val="single" w:sz="6" w:space="0" w:color="auto"/>
              <w:right w:val="single" w:sz="6" w:space="0" w:color="auto"/>
            </w:tcBorders>
            <w:shd w:val="clear" w:color="auto" w:fill="auto"/>
          </w:tcPr>
          <w:p w:rsidR="00865914" w:rsidRPr="00DD2A86" w:rsidRDefault="00865914" w:rsidP="00865914">
            <w:pPr>
              <w:suppressAutoHyphens w:val="0"/>
              <w:spacing w:line="240" w:lineRule="auto"/>
              <w:rPr>
                <w:color w:val="000000"/>
                <w:sz w:val="18"/>
                <w:szCs w:val="18"/>
                <w:lang w:val="de-DE" w:eastAsia="de-DE"/>
              </w:rPr>
            </w:pPr>
            <w:r w:rsidRPr="00DD2A86">
              <w:rPr>
                <w:color w:val="000000"/>
                <w:sz w:val="18"/>
                <w:szCs w:val="18"/>
                <w:lang w:val="de-DE" w:eastAsia="de-DE"/>
              </w:rPr>
              <w:t>Korrosionsrate auf Stahl- oder Aluminiumoberflächen, die bei einer Prüftemperatur von 55 °C den Wert von 6,25 mm pro Jahr überschreitet, wenn die Stoffe an beiden Werkstoffen geprüft wurde</w:t>
            </w:r>
          </w:p>
        </w:tc>
      </w:tr>
    </w:tbl>
    <w:p w:rsidR="00865914" w:rsidRPr="00DD2A86" w:rsidRDefault="00865914" w:rsidP="00865914">
      <w:pPr>
        <w:spacing w:before="120" w:after="120" w:line="240" w:lineRule="auto"/>
        <w:ind w:left="1134" w:right="1134"/>
        <w:jc w:val="both"/>
        <w:rPr>
          <w:b/>
          <w:i/>
          <w:lang w:val="de-DE"/>
        </w:rPr>
      </w:pPr>
      <w:r w:rsidRPr="00DD2A86">
        <w:rPr>
          <w:b/>
          <w:lang w:val="de-DE"/>
        </w:rPr>
        <w:t>2.2.8.1.6</w:t>
      </w:r>
      <w:r w:rsidRPr="00DD2A86">
        <w:rPr>
          <w:b/>
          <w:lang w:val="de-DE"/>
        </w:rPr>
        <w:tab/>
        <w:t>Alternative Methoden für die Zuordnung von Gemischen zu Verpackungs-gruppen: schrittweises Vorgehen</w:t>
      </w:r>
    </w:p>
    <w:p w:rsidR="00865914" w:rsidRPr="00DD2A86" w:rsidRDefault="00865914" w:rsidP="00865914">
      <w:pPr>
        <w:spacing w:before="120" w:after="120" w:line="240" w:lineRule="auto"/>
        <w:ind w:left="1134" w:right="1134"/>
        <w:jc w:val="both"/>
        <w:rPr>
          <w:lang w:val="de-DE"/>
        </w:rPr>
      </w:pPr>
      <w:r w:rsidRPr="00DD2A86">
        <w:rPr>
          <w:bCs/>
          <w:lang w:val="de-DE"/>
        </w:rPr>
        <w:t>2.2.8.1.6.1</w:t>
      </w:r>
      <w:r w:rsidRPr="00DD2A86">
        <w:rPr>
          <w:bCs/>
          <w:lang w:val="de-DE"/>
        </w:rPr>
        <w:tab/>
      </w:r>
      <w:r w:rsidRPr="00DD2A86">
        <w:rPr>
          <w:lang w:val="de-DE"/>
        </w:rPr>
        <w:t>Allgemeine Vorschriften</w:t>
      </w:r>
    </w:p>
    <w:p w:rsidR="00865914" w:rsidRPr="00DD2A86" w:rsidRDefault="00865914" w:rsidP="00865914">
      <w:pPr>
        <w:spacing w:before="120" w:after="120" w:line="240" w:lineRule="auto"/>
        <w:ind w:left="1134" w:right="1134"/>
        <w:jc w:val="both"/>
        <w:rPr>
          <w:lang w:val="de-DE"/>
        </w:rPr>
      </w:pPr>
      <w:r w:rsidRPr="00DD2A86">
        <w:rPr>
          <w:lang w:val="de-DE"/>
        </w:rPr>
        <w:t>Für Gemische ist es notwendig, Informationen zu erhalten oder abzuleiten, mit denen die Kriterien für Zwecke der Klassifizierung und der Zuordnung von Verpackungsgruppen auf das Gemisch angewendet werden können. Das Vorgehen für die Klassifizierung und die Zuordnung von Verpackungsgruppen ist mehrstufig und hängt von der Menge an Informationen ab, die für das Gemisch selbst, für ähnliche Gemische und/oder für seine Bestandteile verfügbar sind. Das Ablaufdiagramm in Abbildung 2.2.8.1.6.1 zeigt die Schritte des Verfahrens.</w:t>
      </w:r>
    </w:p>
    <w:p w:rsidR="00973598" w:rsidRPr="00DD2A86" w:rsidRDefault="00973598">
      <w:pPr>
        <w:suppressAutoHyphens w:val="0"/>
        <w:spacing w:line="240" w:lineRule="auto"/>
        <w:rPr>
          <w:b/>
          <w:color w:val="000000"/>
          <w:lang w:val="de-DE" w:eastAsia="de-DE"/>
        </w:rPr>
      </w:pPr>
    </w:p>
    <w:p w:rsidR="00865914" w:rsidRPr="00DD2A86" w:rsidRDefault="00865914" w:rsidP="00865914">
      <w:pPr>
        <w:tabs>
          <w:tab w:val="left" w:pos="3402"/>
        </w:tabs>
        <w:suppressAutoHyphens w:val="0"/>
        <w:spacing w:line="240" w:lineRule="auto"/>
        <w:ind w:left="3402" w:hanging="2268"/>
        <w:jc w:val="both"/>
        <w:rPr>
          <w:b/>
          <w:color w:val="000000"/>
          <w:lang w:val="de-DE" w:eastAsia="de-DE"/>
        </w:rPr>
      </w:pPr>
      <w:r w:rsidRPr="00DD2A86">
        <w:rPr>
          <w:b/>
          <w:color w:val="000000"/>
          <w:lang w:val="de-DE" w:eastAsia="de-DE"/>
        </w:rPr>
        <w:t>Abbildung 2.2.8.1.6.1:</w:t>
      </w:r>
      <w:r w:rsidRPr="00DD2A86">
        <w:rPr>
          <w:b/>
          <w:color w:val="000000"/>
          <w:lang w:val="de-DE" w:eastAsia="de-DE"/>
        </w:rPr>
        <w:tab/>
        <w:t>Schrittweises Vorgehen für die Klassifizierung von ätzenden Gemischen und die Zuordnung von ätzenden Gemischen zu Verpackungsgruppen</w:t>
      </w:r>
    </w:p>
    <w:p w:rsidR="00865914" w:rsidRPr="00DD2A86" w:rsidRDefault="00865914" w:rsidP="00865914">
      <w:pPr>
        <w:suppressAutoHyphens w:val="0"/>
        <w:spacing w:line="240" w:lineRule="auto"/>
        <w:ind w:left="1418" w:hanging="1418"/>
        <w:jc w:val="both"/>
        <w:rPr>
          <w:rFonts w:ascii="Arial" w:hAnsi="Arial"/>
          <w:color w:val="000000"/>
          <w:sz w:val="22"/>
          <w:lang w:val="de-DE" w:eastAsia="de-DE"/>
        </w:rPr>
      </w:pPr>
      <w:r w:rsidRPr="00DD2A86">
        <w:rPr>
          <w:rFonts w:ascii="Arial" w:hAnsi="Arial"/>
          <w:noProof/>
          <w:color w:val="000000"/>
          <w:sz w:val="22"/>
          <w:lang w:val="fr-FR" w:eastAsia="fr-FR"/>
        </w:rPr>
        <mc:AlternateContent>
          <mc:Choice Requires="wpg">
            <w:drawing>
              <wp:anchor distT="0" distB="0" distL="114300" distR="114300" simplePos="0" relativeHeight="251708416" behindDoc="0" locked="0" layoutInCell="1" allowOverlap="1" wp14:anchorId="0B3D79E5" wp14:editId="507A055B">
                <wp:simplePos x="0" y="0"/>
                <wp:positionH relativeFrom="column">
                  <wp:posOffset>902970</wp:posOffset>
                </wp:positionH>
                <wp:positionV relativeFrom="paragraph">
                  <wp:posOffset>95885</wp:posOffset>
                </wp:positionV>
                <wp:extent cx="5229860" cy="2318385"/>
                <wp:effectExtent l="13335" t="10795" r="5080" b="13970"/>
                <wp:wrapNone/>
                <wp:docPr id="2352" name="Groupe 2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9860" cy="2318385"/>
                          <a:chOff x="2839" y="2327"/>
                          <a:chExt cx="8236" cy="3651"/>
                        </a:xfrm>
                      </wpg:grpSpPr>
                      <wps:wsp>
                        <wps:cNvPr id="2353" name="Rechte verbindingslijn met pijl 7"/>
                        <wps:cNvCnPr>
                          <a:cxnSpLocks noChangeShapeType="1"/>
                        </wps:cNvCnPr>
                        <wps:spPr bwMode="auto">
                          <a:xfrm>
                            <a:off x="4311" y="3093"/>
                            <a:ext cx="0" cy="376"/>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54" name="Rechte verbindingslijn met pijl 22"/>
                        <wps:cNvCnPr>
                          <a:cxnSpLocks noChangeShapeType="1"/>
                        </wps:cNvCnPr>
                        <wps:spPr bwMode="auto">
                          <a:xfrm>
                            <a:off x="5678" y="3992"/>
                            <a:ext cx="500" cy="0"/>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55" name="Rechte verbindingslijn met pijl 30"/>
                        <wps:cNvCnPr>
                          <a:cxnSpLocks noChangeShapeType="1"/>
                        </wps:cNvCnPr>
                        <wps:spPr bwMode="auto">
                          <a:xfrm>
                            <a:off x="5678" y="5180"/>
                            <a:ext cx="500" cy="0"/>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56" name="Rechte verbindingslijn met pijl 54"/>
                        <wps:cNvCnPr>
                          <a:cxnSpLocks noChangeShapeType="1"/>
                        </wps:cNvCnPr>
                        <wps:spPr bwMode="auto">
                          <a:xfrm>
                            <a:off x="5678" y="2882"/>
                            <a:ext cx="500" cy="0"/>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57" name="Rechte verbindingslijn met pijl 34"/>
                        <wps:cNvCnPr>
                          <a:cxnSpLocks noChangeShapeType="1"/>
                        </wps:cNvCnPr>
                        <wps:spPr bwMode="auto">
                          <a:xfrm>
                            <a:off x="8634" y="3992"/>
                            <a:ext cx="890" cy="0"/>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58" name="Rechte verbindingslijn met pijl 39"/>
                        <wps:cNvCnPr>
                          <a:cxnSpLocks noChangeShapeType="1"/>
                        </wps:cNvCnPr>
                        <wps:spPr bwMode="auto">
                          <a:xfrm>
                            <a:off x="8634" y="5180"/>
                            <a:ext cx="890" cy="0"/>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2359" name="Group 38"/>
                        <wpg:cNvGrpSpPr>
                          <a:grpSpLocks/>
                        </wpg:cNvGrpSpPr>
                        <wpg:grpSpPr bwMode="auto">
                          <a:xfrm>
                            <a:off x="2839" y="2327"/>
                            <a:ext cx="8236" cy="3651"/>
                            <a:chOff x="2839" y="2327"/>
                            <a:chExt cx="8236" cy="3651"/>
                          </a:xfrm>
                        </wpg:grpSpPr>
                        <wps:wsp>
                          <wps:cNvPr id="2360" name="Rechthoek 60"/>
                          <wps:cNvSpPr>
                            <a:spLocks noChangeArrowheads="1"/>
                          </wps:cNvSpPr>
                          <wps:spPr bwMode="auto">
                            <a:xfrm>
                              <a:off x="2839" y="2327"/>
                              <a:ext cx="8236" cy="36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61" name="Tekstvak 9"/>
                          <wps:cNvSpPr txBox="1">
                            <a:spLocks noChangeArrowheads="1"/>
                          </wps:cNvSpPr>
                          <wps:spPr bwMode="auto">
                            <a:xfrm>
                              <a:off x="4288" y="3093"/>
                              <a:ext cx="667"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Pr="00283151" w:rsidRDefault="00AA4416" w:rsidP="00865914">
                                <w:pPr>
                                  <w:pStyle w:val="NormalWeb"/>
                                  <w:rPr>
                                    <w:rFonts w:eastAsia="+mn-ea"/>
                                    <w:color w:val="000000"/>
                                    <w:kern w:val="24"/>
                                    <w:sz w:val="18"/>
                                    <w:szCs w:val="18"/>
                                  </w:rPr>
                                </w:pPr>
                                <w:r w:rsidRPr="00283151">
                                  <w:rPr>
                                    <w:rFonts w:eastAsia="+mn-ea"/>
                                    <w:color w:val="000000"/>
                                    <w:kern w:val="24"/>
                                    <w:sz w:val="18"/>
                                    <w:szCs w:val="18"/>
                                  </w:rPr>
                                  <w:t>nein</w:t>
                                </w:r>
                              </w:p>
                            </w:txbxContent>
                          </wps:txbx>
                          <wps:bodyPr rot="0" vert="horz" wrap="square" lIns="91440" tIns="45720" rIns="91440" bIns="45720" anchor="t" anchorCtr="0" upright="1">
                            <a:noAutofit/>
                          </wps:bodyPr>
                        </wps:wsp>
                        <wps:wsp>
                          <wps:cNvPr id="2362" name="Tekstvak 16"/>
                          <wps:cNvSpPr txBox="1">
                            <a:spLocks noChangeArrowheads="1"/>
                          </wps:cNvSpPr>
                          <wps:spPr bwMode="auto">
                            <a:xfrm>
                              <a:off x="2898" y="3471"/>
                              <a:ext cx="2782" cy="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Pr="00731FAC" w:rsidRDefault="00AA4416" w:rsidP="00865914">
                                <w:pPr>
                                  <w:spacing w:line="240" w:lineRule="auto"/>
                                  <w:rPr>
                                    <w:sz w:val="16"/>
                                    <w:szCs w:val="16"/>
                                    <w:lang w:val="de-DE"/>
                                  </w:rPr>
                                </w:pPr>
                                <w:r w:rsidRPr="00731FAC">
                                  <w:rPr>
                                    <w:sz w:val="16"/>
                                    <w:szCs w:val="16"/>
                                    <w:lang w:val="de-CH"/>
                                  </w:rPr>
                                  <w:t>Ausreichende Daten zu ähnlichen Gemischen für Einschätzung der Gefahren der Ätzwirkung auf die Haut verfügbar</w:t>
                                </w:r>
                              </w:p>
                            </w:txbxContent>
                          </wps:txbx>
                          <wps:bodyPr rot="0" vert="horz" wrap="square" lIns="91440" tIns="45720" rIns="91440" bIns="45720" anchor="t" anchorCtr="0" upright="1">
                            <a:noAutofit/>
                          </wps:bodyPr>
                        </wps:wsp>
                        <wps:wsp>
                          <wps:cNvPr id="2363" name="Tekstvak 17"/>
                          <wps:cNvSpPr txBox="1">
                            <a:spLocks noChangeArrowheads="1"/>
                          </wps:cNvSpPr>
                          <wps:spPr bwMode="auto">
                            <a:xfrm>
                              <a:off x="2898" y="4892"/>
                              <a:ext cx="2782"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Pr="00283151" w:rsidRDefault="00AA4416" w:rsidP="00865914">
                                <w:pPr>
                                  <w:pStyle w:val="NormalWeb"/>
                                  <w:spacing w:line="240" w:lineRule="auto"/>
                                  <w:jc w:val="center"/>
                                  <w:rPr>
                                    <w:sz w:val="16"/>
                                    <w:szCs w:val="16"/>
                                    <w:lang w:val="de-DE"/>
                                  </w:rPr>
                                </w:pPr>
                                <w:r w:rsidRPr="00283151">
                                  <w:rPr>
                                    <w:rFonts w:eastAsia="+mn-ea"/>
                                    <w:color w:val="000000"/>
                                    <w:kern w:val="24"/>
                                    <w:sz w:val="16"/>
                                    <w:szCs w:val="16"/>
                                    <w:lang w:val="de-DE"/>
                                  </w:rPr>
                                  <w:t>Für alle Bestandteile sind Da</w:t>
                                </w:r>
                                <w:r w:rsidRPr="00283151">
                                  <w:rPr>
                                    <w:rFonts w:eastAsia="+mn-ea"/>
                                    <w:color w:val="000000"/>
                                    <w:kern w:val="24"/>
                                    <w:sz w:val="16"/>
                                    <w:szCs w:val="16"/>
                                    <w:lang w:val="de-DE"/>
                                  </w:rPr>
                                  <w:softHyphen/>
                                  <w:t>ten über die Ätzwirkung auf die Haut verfügbar</w:t>
                                </w:r>
                              </w:p>
                            </w:txbxContent>
                          </wps:txbx>
                          <wps:bodyPr rot="0" vert="horz" wrap="square" lIns="91440" tIns="45720" rIns="91440" bIns="45720" anchor="t" anchorCtr="0" upright="1">
                            <a:noAutofit/>
                          </wps:bodyPr>
                        </wps:wsp>
                        <wpg:grpSp>
                          <wpg:cNvPr id="2364" name="Groep 20"/>
                          <wpg:cNvGrpSpPr>
                            <a:grpSpLocks/>
                          </wpg:cNvGrpSpPr>
                          <wpg:grpSpPr bwMode="auto">
                            <a:xfrm>
                              <a:off x="4311" y="4470"/>
                              <a:ext cx="668" cy="376"/>
                              <a:chOff x="9361" y="13649"/>
                              <a:chExt cx="4318" cy="2578"/>
                            </a:xfrm>
                          </wpg:grpSpPr>
                          <wps:wsp>
                            <wps:cNvPr id="2365" name="Tekstvak 18"/>
                            <wps:cNvSpPr txBox="1">
                              <a:spLocks noChangeArrowheads="1"/>
                            </wps:cNvSpPr>
                            <wps:spPr bwMode="auto">
                              <a:xfrm>
                                <a:off x="9361" y="13649"/>
                                <a:ext cx="4318" cy="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Pr="00283151" w:rsidRDefault="00AA4416" w:rsidP="00865914">
                                  <w:pPr>
                                    <w:pStyle w:val="NormalWeb"/>
                                    <w:rPr>
                                      <w:rFonts w:ascii="Arial" w:hAnsi="Arial" w:cs="Arial"/>
                                      <w:sz w:val="18"/>
                                      <w:szCs w:val="18"/>
                                      <w:lang w:val="de-CH"/>
                                    </w:rPr>
                                  </w:pPr>
                                  <w:r w:rsidRPr="00283151">
                                    <w:rPr>
                                      <w:rFonts w:ascii="Arial" w:hAnsi="Arial" w:cs="Arial"/>
                                      <w:color w:val="000000"/>
                                      <w:kern w:val="24"/>
                                      <w:sz w:val="18"/>
                                      <w:szCs w:val="18"/>
                                      <w:lang w:val="de-CH"/>
                                    </w:rPr>
                                    <w:t>nein</w:t>
                                  </w:r>
                                </w:p>
                              </w:txbxContent>
                            </wps:txbx>
                            <wps:bodyPr rot="0" vert="horz" wrap="square" lIns="91440" tIns="45720" rIns="91440" bIns="45720" anchor="t" anchorCtr="0" upright="1">
                              <a:noAutofit/>
                            </wps:bodyPr>
                          </wps:wsp>
                          <wps:wsp>
                            <wps:cNvPr id="2366" name="Rechte verbindingslijn met pijl 15"/>
                            <wps:cNvCnPr>
                              <a:cxnSpLocks noChangeShapeType="1"/>
                            </wps:cNvCnPr>
                            <wps:spPr bwMode="auto">
                              <a:xfrm>
                                <a:off x="9361" y="13649"/>
                                <a:ext cx="0" cy="2578"/>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2367" name="Tekstvak 23"/>
                          <wps:cNvSpPr txBox="1">
                            <a:spLocks noChangeArrowheads="1"/>
                          </wps:cNvSpPr>
                          <wps:spPr bwMode="auto">
                            <a:xfrm>
                              <a:off x="5513" y="3537"/>
                              <a:ext cx="667"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Pr="00283151" w:rsidRDefault="00AA4416" w:rsidP="00865914">
                                <w:pPr>
                                  <w:pStyle w:val="NormalWeb"/>
                                  <w:spacing w:line="240" w:lineRule="auto"/>
                                  <w:jc w:val="center"/>
                                  <w:rPr>
                                    <w:sz w:val="18"/>
                                    <w:szCs w:val="18"/>
                                    <w:lang w:val="de-CH"/>
                                  </w:rPr>
                                </w:pPr>
                                <w:r w:rsidRPr="00283151">
                                  <w:rPr>
                                    <w:sz w:val="18"/>
                                    <w:szCs w:val="18"/>
                                    <w:lang w:val="de-CH"/>
                                  </w:rPr>
                                  <w:t>ja</w:t>
                                </w:r>
                              </w:p>
                            </w:txbxContent>
                          </wps:txbx>
                          <wps:bodyPr rot="0" vert="horz" wrap="square" lIns="91440" tIns="45720" rIns="91440" bIns="45720" anchor="t" anchorCtr="0" upright="1">
                            <a:noAutofit/>
                          </wps:bodyPr>
                        </wps:wsp>
                        <wps:wsp>
                          <wps:cNvPr id="2368" name="Tekstvak 31"/>
                          <wps:cNvSpPr txBox="1">
                            <a:spLocks noChangeArrowheads="1"/>
                          </wps:cNvSpPr>
                          <wps:spPr bwMode="auto">
                            <a:xfrm>
                              <a:off x="5513" y="4725"/>
                              <a:ext cx="667"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Pr="00283151" w:rsidRDefault="00AA4416" w:rsidP="00865914">
                                <w:pPr>
                                  <w:pStyle w:val="NormalWeb"/>
                                  <w:spacing w:line="240" w:lineRule="auto"/>
                                  <w:jc w:val="center"/>
                                  <w:rPr>
                                    <w:sz w:val="18"/>
                                    <w:szCs w:val="18"/>
                                    <w:lang w:val="de-CH"/>
                                  </w:rPr>
                                </w:pPr>
                                <w:r w:rsidRPr="00283151">
                                  <w:rPr>
                                    <w:sz w:val="18"/>
                                    <w:szCs w:val="18"/>
                                    <w:lang w:val="de-CH"/>
                                  </w:rPr>
                                  <w:t>ja</w:t>
                                </w:r>
                              </w:p>
                            </w:txbxContent>
                          </wps:txbx>
                          <wps:bodyPr rot="0" vert="horz" wrap="square" lIns="91440" tIns="45720" rIns="91440" bIns="45720" anchor="t" anchorCtr="0" upright="1">
                            <a:noAutofit/>
                          </wps:bodyPr>
                        </wps:wsp>
                        <wps:wsp>
                          <wps:cNvPr id="2369" name="Tekstvak 32"/>
                          <wps:cNvSpPr txBox="1">
                            <a:spLocks noChangeArrowheads="1"/>
                          </wps:cNvSpPr>
                          <wps:spPr bwMode="auto">
                            <a:xfrm>
                              <a:off x="6184" y="3582"/>
                              <a:ext cx="2448"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Pr="00731FAC" w:rsidRDefault="00AA4416" w:rsidP="00865914">
                                <w:pPr>
                                  <w:pStyle w:val="NormalWeb"/>
                                  <w:spacing w:line="240" w:lineRule="auto"/>
                                  <w:jc w:val="center"/>
                                  <w:rPr>
                                    <w:sz w:val="16"/>
                                    <w:szCs w:val="16"/>
                                    <w:lang w:val="de-DE"/>
                                  </w:rPr>
                                </w:pPr>
                                <w:r w:rsidRPr="00731FAC">
                                  <w:rPr>
                                    <w:sz w:val="16"/>
                                    <w:szCs w:val="16"/>
                                    <w:lang w:val="de-CH"/>
                                  </w:rPr>
                                  <w:t>Anwendung der Übertragungsgrundsätze des Absatzes 2.2.8.1.6.2</w:t>
                                </w:r>
                              </w:p>
                            </w:txbxContent>
                          </wps:txbx>
                          <wps:bodyPr rot="0" vert="horz" wrap="square" lIns="91440" tIns="45720" rIns="91440" bIns="45720" anchor="t" anchorCtr="0" upright="1">
                            <a:noAutofit/>
                          </wps:bodyPr>
                        </wps:wsp>
                        <wps:wsp>
                          <wps:cNvPr id="2370" name="Tekstvak 36"/>
                          <wps:cNvSpPr txBox="1">
                            <a:spLocks noChangeArrowheads="1"/>
                          </wps:cNvSpPr>
                          <wps:spPr bwMode="auto">
                            <a:xfrm>
                              <a:off x="9517" y="3582"/>
                              <a:ext cx="1558"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Pr="00731FAC" w:rsidRDefault="00AA4416" w:rsidP="00865914">
                                <w:pPr>
                                  <w:pStyle w:val="NormalWeb"/>
                                  <w:jc w:val="center"/>
                                  <w:rPr>
                                    <w:b/>
                                    <w:sz w:val="16"/>
                                    <w:szCs w:val="16"/>
                                    <w:lang w:val="de-CH"/>
                                  </w:rPr>
                                </w:pPr>
                                <w:r w:rsidRPr="00731FAC">
                                  <w:rPr>
                                    <w:rFonts w:eastAsia="+mn-ea"/>
                                    <w:b/>
                                    <w:bCs/>
                                    <w:color w:val="000000"/>
                                    <w:kern w:val="24"/>
                                    <w:sz w:val="16"/>
                                    <w:szCs w:val="16"/>
                                    <w:lang w:val="de-CH"/>
                                  </w:rPr>
                                  <w:t>Klassifizierung und Zuordnung der Verpackungs</w:t>
                                </w:r>
                                <w:r w:rsidRPr="00731FAC">
                                  <w:rPr>
                                    <w:rFonts w:eastAsia="+mn-ea"/>
                                    <w:b/>
                                    <w:bCs/>
                                    <w:color w:val="000000"/>
                                    <w:kern w:val="24"/>
                                    <w:sz w:val="16"/>
                                    <w:szCs w:val="16"/>
                                    <w:lang w:val="de-CH"/>
                                  </w:rPr>
                                  <w:softHyphen/>
                                  <w:t>gruppe</w:t>
                                </w:r>
                              </w:p>
                            </w:txbxContent>
                          </wps:txbx>
                          <wps:bodyPr rot="0" vert="horz" wrap="square" lIns="91440" tIns="45720" rIns="91440" bIns="45720" anchor="t" anchorCtr="0" upright="1">
                            <a:noAutofit/>
                          </wps:bodyPr>
                        </wps:wsp>
                        <wps:wsp>
                          <wps:cNvPr id="2371" name="Tekstvak 38"/>
                          <wps:cNvSpPr txBox="1">
                            <a:spLocks noChangeArrowheads="1"/>
                          </wps:cNvSpPr>
                          <wps:spPr bwMode="auto">
                            <a:xfrm>
                              <a:off x="6184" y="4781"/>
                              <a:ext cx="2448"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Pr="00283151" w:rsidRDefault="00AA4416" w:rsidP="00865914">
                                <w:pPr>
                                  <w:pStyle w:val="NormalWeb"/>
                                  <w:spacing w:line="240" w:lineRule="auto"/>
                                  <w:jc w:val="center"/>
                                  <w:rPr>
                                    <w:sz w:val="16"/>
                                    <w:szCs w:val="16"/>
                                    <w:lang w:val="de-CH"/>
                                  </w:rPr>
                                </w:pPr>
                                <w:r w:rsidRPr="00283151">
                                  <w:rPr>
                                    <w:rFonts w:eastAsia="+mn-ea"/>
                                    <w:color w:val="000000"/>
                                    <w:kern w:val="24"/>
                                    <w:sz w:val="16"/>
                                    <w:szCs w:val="16"/>
                                    <w:lang w:val="de-CH"/>
                                  </w:rPr>
                                  <w:t>Anwendung der Berechnungsmethode in Absatz 2.2.8.1.6.3</w:t>
                                </w:r>
                              </w:p>
                            </w:txbxContent>
                          </wps:txbx>
                          <wps:bodyPr rot="0" vert="horz" wrap="square" lIns="91440" tIns="45720" rIns="91440" bIns="45720" anchor="t" anchorCtr="0" upright="1">
                            <a:noAutofit/>
                          </wps:bodyPr>
                        </wps:wsp>
                        <wps:wsp>
                          <wps:cNvPr id="2372" name="Tekstvak 40"/>
                          <wps:cNvSpPr txBox="1">
                            <a:spLocks noChangeArrowheads="1"/>
                          </wps:cNvSpPr>
                          <wps:spPr bwMode="auto">
                            <a:xfrm>
                              <a:off x="9517" y="4781"/>
                              <a:ext cx="1558"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Pr="00731FAC" w:rsidRDefault="00AA4416" w:rsidP="00865914">
                                <w:pPr>
                                  <w:pStyle w:val="NormalWeb"/>
                                  <w:jc w:val="center"/>
                                  <w:rPr>
                                    <w:b/>
                                    <w:sz w:val="16"/>
                                    <w:szCs w:val="16"/>
                                    <w:lang w:val="de-CH"/>
                                  </w:rPr>
                                </w:pPr>
                                <w:r w:rsidRPr="00731FAC">
                                  <w:rPr>
                                    <w:rFonts w:eastAsia="+mn-ea"/>
                                    <w:b/>
                                    <w:bCs/>
                                    <w:color w:val="000000"/>
                                    <w:kern w:val="24"/>
                                    <w:sz w:val="16"/>
                                    <w:szCs w:val="16"/>
                                    <w:lang w:val="de-CH"/>
                                  </w:rPr>
                                  <w:t>Klassifizierung und Zuordnung der Verpackungs</w:t>
                                </w:r>
                                <w:r w:rsidRPr="00731FAC">
                                  <w:rPr>
                                    <w:rFonts w:eastAsia="+mn-ea"/>
                                    <w:b/>
                                    <w:bCs/>
                                    <w:color w:val="000000"/>
                                    <w:kern w:val="24"/>
                                    <w:sz w:val="16"/>
                                    <w:szCs w:val="16"/>
                                    <w:lang w:val="de-CH"/>
                                  </w:rPr>
                                  <w:softHyphen/>
                                  <w:t>gruppe</w:t>
                                </w:r>
                              </w:p>
                            </w:txbxContent>
                          </wps:txbx>
                          <wps:bodyPr rot="0" vert="horz" wrap="square" lIns="91440" tIns="45720" rIns="91440" bIns="45720" anchor="t" anchorCtr="0" upright="1">
                            <a:noAutofit/>
                          </wps:bodyPr>
                        </wps:wsp>
                        <wps:wsp>
                          <wps:cNvPr id="2373" name="Tekstvak 53"/>
                          <wps:cNvSpPr txBox="1">
                            <a:spLocks noChangeArrowheads="1"/>
                          </wps:cNvSpPr>
                          <wps:spPr bwMode="auto">
                            <a:xfrm>
                              <a:off x="2898" y="2438"/>
                              <a:ext cx="2782"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Pr="00283151" w:rsidRDefault="00AA4416" w:rsidP="00865914">
                                <w:pPr>
                                  <w:pStyle w:val="NormalWeb"/>
                                  <w:spacing w:line="240" w:lineRule="auto"/>
                                  <w:jc w:val="center"/>
                                  <w:rPr>
                                    <w:sz w:val="16"/>
                                    <w:szCs w:val="16"/>
                                    <w:lang w:val="de-DE"/>
                                  </w:rPr>
                                </w:pPr>
                                <w:r>
                                  <w:rPr>
                                    <w:rFonts w:eastAsia="+mn-ea"/>
                                    <w:color w:val="000000"/>
                                    <w:kern w:val="24"/>
                                    <w:sz w:val="16"/>
                                    <w:szCs w:val="16"/>
                                    <w:lang w:val="de-DE"/>
                                  </w:rPr>
                                  <w:t>F</w:t>
                                </w:r>
                                <w:r w:rsidRPr="00283151">
                                  <w:rPr>
                                    <w:rFonts w:eastAsia="+mn-ea"/>
                                    <w:color w:val="000000"/>
                                    <w:kern w:val="24"/>
                                    <w:sz w:val="16"/>
                                    <w:szCs w:val="16"/>
                                    <w:lang w:val="de-DE"/>
                                  </w:rPr>
                                  <w:t>ür das Gemisch als Ganzes sind Prüfdaten verfügbar</w:t>
                                </w:r>
                              </w:p>
                            </w:txbxContent>
                          </wps:txbx>
                          <wps:bodyPr rot="0" vert="horz" wrap="square" lIns="91440" tIns="45720" rIns="91440" bIns="45720" anchor="t" anchorCtr="0" upright="1">
                            <a:noAutofit/>
                          </wps:bodyPr>
                        </wps:wsp>
                        <wps:wsp>
                          <wps:cNvPr id="2374" name="Tekstvak 55"/>
                          <wps:cNvSpPr txBox="1">
                            <a:spLocks noChangeArrowheads="1"/>
                          </wps:cNvSpPr>
                          <wps:spPr bwMode="auto">
                            <a:xfrm>
                              <a:off x="5513" y="2427"/>
                              <a:ext cx="667"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Pr="00283151" w:rsidRDefault="00AA4416" w:rsidP="00865914">
                                <w:pPr>
                                  <w:pStyle w:val="NormalWeb"/>
                                  <w:spacing w:line="240" w:lineRule="auto"/>
                                  <w:jc w:val="center"/>
                                  <w:rPr>
                                    <w:sz w:val="18"/>
                                    <w:szCs w:val="18"/>
                                    <w:lang w:val="de-CH"/>
                                  </w:rPr>
                                </w:pPr>
                                <w:r w:rsidRPr="00283151">
                                  <w:rPr>
                                    <w:sz w:val="18"/>
                                    <w:szCs w:val="18"/>
                                    <w:lang w:val="de-CH"/>
                                  </w:rPr>
                                  <w:t>ja</w:t>
                                </w:r>
                              </w:p>
                            </w:txbxContent>
                          </wps:txbx>
                          <wps:bodyPr rot="0" vert="horz" wrap="square" lIns="91440" tIns="45720" rIns="91440" bIns="45720" anchor="t" anchorCtr="0" upright="1">
                            <a:noAutofit/>
                          </wps:bodyPr>
                        </wps:wsp>
                        <wps:wsp>
                          <wps:cNvPr id="2375" name="Tekstvak 56"/>
                          <wps:cNvSpPr txBox="1">
                            <a:spLocks noChangeArrowheads="1"/>
                          </wps:cNvSpPr>
                          <wps:spPr bwMode="auto">
                            <a:xfrm>
                              <a:off x="6184" y="2593"/>
                              <a:ext cx="2448"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Pr="00731FAC" w:rsidRDefault="00AA4416" w:rsidP="00865914">
                                <w:pPr>
                                  <w:pStyle w:val="NormalWeb"/>
                                  <w:spacing w:line="240" w:lineRule="auto"/>
                                  <w:jc w:val="center"/>
                                  <w:rPr>
                                    <w:sz w:val="16"/>
                                    <w:szCs w:val="16"/>
                                    <w:lang w:val="de-CH"/>
                                  </w:rPr>
                                </w:pPr>
                                <w:r w:rsidRPr="00731FAC">
                                  <w:rPr>
                                    <w:rFonts w:eastAsia="+mn-ea"/>
                                    <w:color w:val="000000"/>
                                    <w:kern w:val="24"/>
                                    <w:sz w:val="16"/>
                                    <w:szCs w:val="16"/>
                                    <w:lang w:val="de-CH"/>
                                  </w:rPr>
                                  <w:t>Anwendung der Kriterien des Absatzes 2.2.8.1.5</w:t>
                                </w:r>
                              </w:p>
                            </w:txbxContent>
                          </wps:txbx>
                          <wps:bodyPr rot="0" vert="horz" wrap="square" lIns="91440" tIns="45720" rIns="91440" bIns="45720" anchor="t" anchorCtr="0" upright="1">
                            <a:noAutofit/>
                          </wps:bodyPr>
                        </wps:wsp>
                        <wps:wsp>
                          <wps:cNvPr id="2376" name="Rechte verbindingslijn met pijl 57"/>
                          <wps:cNvCnPr>
                            <a:cxnSpLocks noChangeShapeType="1"/>
                          </wps:cNvCnPr>
                          <wps:spPr bwMode="auto">
                            <a:xfrm flipV="1">
                              <a:off x="8634" y="2882"/>
                              <a:ext cx="890" cy="2"/>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77" name="Tekstvak 58"/>
                          <wps:cNvSpPr txBox="1">
                            <a:spLocks noChangeArrowheads="1"/>
                          </wps:cNvSpPr>
                          <wps:spPr bwMode="auto">
                            <a:xfrm>
                              <a:off x="9517" y="2482"/>
                              <a:ext cx="1558"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416" w:rsidRPr="00731FAC" w:rsidRDefault="00AA4416" w:rsidP="00865914">
                                <w:pPr>
                                  <w:pStyle w:val="NormalWeb"/>
                                  <w:jc w:val="center"/>
                                  <w:rPr>
                                    <w:b/>
                                    <w:sz w:val="16"/>
                                    <w:szCs w:val="16"/>
                                    <w:lang w:val="de-CH"/>
                                  </w:rPr>
                                </w:pPr>
                                <w:r w:rsidRPr="00731FAC">
                                  <w:rPr>
                                    <w:rFonts w:eastAsia="+mn-ea"/>
                                    <w:b/>
                                    <w:bCs/>
                                    <w:color w:val="000000"/>
                                    <w:kern w:val="24"/>
                                    <w:sz w:val="16"/>
                                    <w:szCs w:val="16"/>
                                    <w:lang w:val="de-CH"/>
                                  </w:rPr>
                                  <w:t>Klassifizierung und Zuordnung der Verpackungs</w:t>
                                </w:r>
                                <w:r w:rsidRPr="00731FAC">
                                  <w:rPr>
                                    <w:rFonts w:eastAsia="+mn-ea"/>
                                    <w:b/>
                                    <w:bCs/>
                                    <w:color w:val="000000"/>
                                    <w:kern w:val="24"/>
                                    <w:sz w:val="16"/>
                                    <w:szCs w:val="16"/>
                                    <w:lang w:val="de-CH"/>
                                  </w:rPr>
                                  <w:softHyphen/>
                                  <w:t>gruppe</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3D79E5" id="Groupe 2352" o:spid="_x0000_s1658" style="position:absolute;left:0;text-align:left;margin-left:71.1pt;margin-top:7.55pt;width:411.8pt;height:182.55pt;z-index:251708416;mso-position-horizontal-relative:text;mso-position-vertical-relative:text" coordorigin="2839,2327" coordsize="8236,3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">
                <v:shape id="Rechte verbindingslijn met pijl 7" o:spid="_x0000_s1659" type="#_x0000_t32" style="position:absolute;left:4311;top:3093;width:0;height:3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" strokeweight="1pt">
                  <v:stroke endarrow="open"/>
                </v:shape>
                <v:shape id="Rechte verbindingslijn met pijl 22" o:spid="_x0000_s1660" type="#_x0000_t32" style="position:absolute;left:5678;top:3992;width:5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" strokeweight="1pt">
                  <v:stroke endarrow="open"/>
                </v:shape>
                <v:shape id="Rechte verbindingslijn met pijl 30" o:spid="_x0000_s1661" type="#_x0000_t32" style="position:absolute;left:5678;top:5180;width:5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" strokeweight="1pt">
                  <v:stroke endarrow="open"/>
                </v:shape>
                <v:shape id="Rechte verbindingslijn met pijl 54" o:spid="_x0000_s1662" type="#_x0000_t32" style="position:absolute;left:5678;top:2882;width:5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" strokeweight="1pt">
                  <v:stroke endarrow="open"/>
                </v:shape>
                <v:shape id="Rechte verbindingslijn met pijl 34" o:spid="_x0000_s1663" type="#_x0000_t32" style="position:absolute;left:8634;top:3992;width:8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" strokeweight="1pt">
                  <v:stroke endarrow="open"/>
                </v:shape>
                <v:shape id="Rechte verbindingslijn met pijl 39" o:spid="_x0000_s1664" type="#_x0000_t32" style="position:absolute;left:8634;top:5180;width:8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" strokeweight="1pt">
                  <v:stroke endarrow="open"/>
                </v:shape>
                <v:group id="Group 38" o:spid="_x0000_s1665" style="position:absolute;left:2839;top:2327;width:8236;height:3651" coordorigin="2839,2327" coordsize="823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">
                  <v:rect id="Rechthoek 60" o:spid="_x0000_s1666" style="position:absolute;left:2839;top:2327;width:8236;height:3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" filled="f"/>
                  <v:shape id="Tekstvak 9" o:spid="_x0000_s1667" type="#_x0000_t202" style="position:absolute;left:4288;top:3093;width:667;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" filled="f" stroked="f">
                    <v:textbox>
                      <w:txbxContent>
                        <w:p w:rsidR="00AA4416" w:rsidRPr="00283151" w:rsidRDefault="00AA4416" w:rsidP="00865914">
                          <w:pPr>
                            <w:pStyle w:val="NormalWeb"/>
                            <w:rPr>
                              <w:rFonts w:eastAsia="+mn-ea"/>
                              <w:color w:val="000000"/>
                              <w:kern w:val="24"/>
                              <w:sz w:val="18"/>
                              <w:szCs w:val="18"/>
                            </w:rPr>
                          </w:pPr>
                          <w:r w:rsidRPr="00283151">
                            <w:rPr>
                              <w:rFonts w:eastAsia="+mn-ea"/>
                              <w:color w:val="000000"/>
                              <w:kern w:val="24"/>
                              <w:sz w:val="18"/>
                              <w:szCs w:val="18"/>
                            </w:rPr>
                            <w:t>nein</w:t>
                          </w:r>
                        </w:p>
                      </w:txbxContent>
                    </v:textbox>
                  </v:shape>
                  <v:shape id="Tekstvak 16" o:spid="_x0000_s1668" type="#_x0000_t202" style="position:absolute;left:2898;top:3471;width:2782;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" filled="f" stroked="f">
                    <v:textbox>
                      <w:txbxContent>
                        <w:p w:rsidR="00AA4416" w:rsidRPr="00731FAC" w:rsidRDefault="00AA4416" w:rsidP="00865914">
                          <w:pPr>
                            <w:spacing w:line="240" w:lineRule="auto"/>
                            <w:rPr>
                              <w:sz w:val="16"/>
                              <w:szCs w:val="16"/>
                              <w:lang w:val="de-DE"/>
                            </w:rPr>
                          </w:pPr>
                          <w:r w:rsidRPr="00731FAC">
                            <w:rPr>
                              <w:sz w:val="16"/>
                              <w:szCs w:val="16"/>
                              <w:lang w:val="de-CH"/>
                            </w:rPr>
                            <w:t>Ausreichende Daten zu ähnlichen Gemischen für Einschätzung der Gefahren der Ätzwirkung auf die Haut verfügbar</w:t>
                          </w:r>
                        </w:p>
                      </w:txbxContent>
                    </v:textbox>
                  </v:shape>
                  <v:shape id="Tekstvak 17" o:spid="_x0000_s1669" type="#_x0000_t202" style="position:absolute;left:2898;top:4892;width:2782;height: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" filled="f" stroked="f">
                    <v:textbox>
                      <w:txbxContent>
                        <w:p w:rsidR="00AA4416" w:rsidRPr="00283151" w:rsidRDefault="00AA4416" w:rsidP="00865914">
                          <w:pPr>
                            <w:pStyle w:val="NormalWeb"/>
                            <w:spacing w:line="240" w:lineRule="auto"/>
                            <w:jc w:val="center"/>
                            <w:rPr>
                              <w:sz w:val="16"/>
                              <w:szCs w:val="16"/>
                              <w:lang w:val="de-DE"/>
                            </w:rPr>
                          </w:pPr>
                          <w:r w:rsidRPr="00283151">
                            <w:rPr>
                              <w:rFonts w:eastAsia="+mn-ea"/>
                              <w:color w:val="000000"/>
                              <w:kern w:val="24"/>
                              <w:sz w:val="16"/>
                              <w:szCs w:val="16"/>
                              <w:lang w:val="de-DE"/>
                            </w:rPr>
                            <w:t>Für alle Bestandteile sind Da</w:t>
                          </w:r>
                          <w:r w:rsidRPr="00283151">
                            <w:rPr>
                              <w:rFonts w:eastAsia="+mn-ea"/>
                              <w:color w:val="000000"/>
                              <w:kern w:val="24"/>
                              <w:sz w:val="16"/>
                              <w:szCs w:val="16"/>
                              <w:lang w:val="de-DE"/>
                            </w:rPr>
                            <w:softHyphen/>
                            <w:t>ten über die Ätzwirkung auf die Haut verfügbar</w:t>
                          </w:r>
                        </w:p>
                      </w:txbxContent>
                    </v:textbox>
                  </v:shape>
                  <v:group id="Groep 20" o:spid="_x0000_s1670" style="position:absolute;left:4311;top:4470;width:668;height:376" coordorigin="9361,13649" coordsize="4318,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Zat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iajuH5JjwBuXgAAAD//wMAUEsBAi0AFAAGAAgAAAAhANvh9svuAAAAhQEAABMAAAAAAAAA&#10;AAAAAAAAAAAAAFtDb250ZW50X1R5cGVzXS54bWxQSwECLQAUAAYACAAAACEAWvQsW78AAAAVAQAA&#10;CwAAAAAAAAAAAAAAAAAfAQAAX3JlbHMvLnJlbHNQSwECLQAUAAYACAAAACEAbzGWrcYAAADdAAAA&#10;DwAAAAAAAAAAAAAAAAAHAgAAZHJzL2Rvd25yZXYueG1sUEsFBgAAAAADAAMAtwAAAPoCAAAAAA==&#10;">
                    <v:shape id="Tekstvak 18" o:spid="_x0000_s1671" type="#_x0000_t202" style="position:absolute;left:9361;top:13649;width:431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" filled="f" stroked="f">
                      <v:textbox>
                        <w:txbxContent>
                          <w:p w:rsidR="00AA4416" w:rsidRPr="00283151" w:rsidRDefault="00AA4416" w:rsidP="00865914">
                            <w:pPr>
                              <w:pStyle w:val="NormalWeb"/>
                              <w:rPr>
                                <w:rFonts w:ascii="Arial" w:hAnsi="Arial" w:cs="Arial"/>
                                <w:sz w:val="18"/>
                                <w:szCs w:val="18"/>
                                <w:lang w:val="de-CH"/>
                              </w:rPr>
                            </w:pPr>
                            <w:r w:rsidRPr="00283151">
                              <w:rPr>
                                <w:rFonts w:ascii="Arial" w:hAnsi="Arial" w:cs="Arial"/>
                                <w:color w:val="000000"/>
                                <w:kern w:val="24"/>
                                <w:sz w:val="18"/>
                                <w:szCs w:val="18"/>
                                <w:lang w:val="de-CH"/>
                              </w:rPr>
                              <w:t>nein</w:t>
                            </w:r>
                          </w:p>
                        </w:txbxContent>
                      </v:textbox>
                    </v:shape>
                    <v:shape id="Rechte verbindingslijn met pijl 15" o:spid="_x0000_s1672" type="#_x0000_t32" style="position:absolute;left:9361;top:13649;width:0;height:25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" strokeweight="1pt">
                      <v:stroke endarrow="open"/>
                    </v:shape>
                  </v:group>
                  <v:shape id="Tekstvak 23" o:spid="_x0000_s1673" type="#_x0000_t202" style="position:absolute;left:5513;top:3537;width:667;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" filled="f" stroked="f">
                    <v:textbox>
                      <w:txbxContent>
                        <w:p w:rsidR="00AA4416" w:rsidRPr="00283151" w:rsidRDefault="00AA4416" w:rsidP="00865914">
                          <w:pPr>
                            <w:pStyle w:val="NormalWeb"/>
                            <w:spacing w:line="240" w:lineRule="auto"/>
                            <w:jc w:val="center"/>
                            <w:rPr>
                              <w:sz w:val="18"/>
                              <w:szCs w:val="18"/>
                              <w:lang w:val="de-CH"/>
                            </w:rPr>
                          </w:pPr>
                          <w:r w:rsidRPr="00283151">
                            <w:rPr>
                              <w:sz w:val="18"/>
                              <w:szCs w:val="18"/>
                              <w:lang w:val="de-CH"/>
                            </w:rPr>
                            <w:t>ja</w:t>
                          </w:r>
                        </w:p>
                      </w:txbxContent>
                    </v:textbox>
                  </v:shape>
                  <v:shape id="Tekstvak 31" o:spid="_x0000_s1674" type="#_x0000_t202" style="position:absolute;left:5513;top:4725;width:667;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" filled="f" stroked="f">
                    <v:textbox>
                      <w:txbxContent>
                        <w:p w:rsidR="00AA4416" w:rsidRPr="00283151" w:rsidRDefault="00AA4416" w:rsidP="00865914">
                          <w:pPr>
                            <w:pStyle w:val="NormalWeb"/>
                            <w:spacing w:line="240" w:lineRule="auto"/>
                            <w:jc w:val="center"/>
                            <w:rPr>
                              <w:sz w:val="18"/>
                              <w:szCs w:val="18"/>
                              <w:lang w:val="de-CH"/>
                            </w:rPr>
                          </w:pPr>
                          <w:r w:rsidRPr="00283151">
                            <w:rPr>
                              <w:sz w:val="18"/>
                              <w:szCs w:val="18"/>
                              <w:lang w:val="de-CH"/>
                            </w:rPr>
                            <w:t>ja</w:t>
                          </w:r>
                        </w:p>
                      </w:txbxContent>
                    </v:textbox>
                  </v:shape>
                  <v:shape id="Tekstvak 32" o:spid="_x0000_s1675" type="#_x0000_t202" style="position:absolute;left:6184;top:3582;width:2448;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" filled="f" stroked="f">
                    <v:textbox>
                      <w:txbxContent>
                        <w:p w:rsidR="00AA4416" w:rsidRPr="00731FAC" w:rsidRDefault="00AA4416" w:rsidP="00865914">
                          <w:pPr>
                            <w:pStyle w:val="NormalWeb"/>
                            <w:spacing w:line="240" w:lineRule="auto"/>
                            <w:jc w:val="center"/>
                            <w:rPr>
                              <w:sz w:val="16"/>
                              <w:szCs w:val="16"/>
                              <w:lang w:val="de-DE"/>
                            </w:rPr>
                          </w:pPr>
                          <w:r w:rsidRPr="00731FAC">
                            <w:rPr>
                              <w:sz w:val="16"/>
                              <w:szCs w:val="16"/>
                              <w:lang w:val="de-CH"/>
                            </w:rPr>
                            <w:t>Anwendung der Übertragungsgrundsätze des Absatzes 2.2.8.1.6.2</w:t>
                          </w:r>
                        </w:p>
                      </w:txbxContent>
                    </v:textbox>
                  </v:shape>
                  <v:shape id="Tekstvak 36" o:spid="_x0000_s1676" type="#_x0000_t202" style="position:absolute;left:9517;top:3582;width:1558;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" filled="f" stroked="f">
                    <v:textbox>
                      <w:txbxContent>
                        <w:p w:rsidR="00AA4416" w:rsidRPr="00731FAC" w:rsidRDefault="00AA4416" w:rsidP="00865914">
                          <w:pPr>
                            <w:pStyle w:val="NormalWeb"/>
                            <w:jc w:val="center"/>
                            <w:rPr>
                              <w:b/>
                              <w:sz w:val="16"/>
                              <w:szCs w:val="16"/>
                              <w:lang w:val="de-CH"/>
                            </w:rPr>
                          </w:pPr>
                          <w:r w:rsidRPr="00731FAC">
                            <w:rPr>
                              <w:rFonts w:eastAsia="+mn-ea"/>
                              <w:b/>
                              <w:bCs/>
                              <w:color w:val="000000"/>
                              <w:kern w:val="24"/>
                              <w:sz w:val="16"/>
                              <w:szCs w:val="16"/>
                              <w:lang w:val="de-CH"/>
                            </w:rPr>
                            <w:t>Klassifizierung und Zuordnung der Verpackungs</w:t>
                          </w:r>
                          <w:r w:rsidRPr="00731FAC">
                            <w:rPr>
                              <w:rFonts w:eastAsia="+mn-ea"/>
                              <w:b/>
                              <w:bCs/>
                              <w:color w:val="000000"/>
                              <w:kern w:val="24"/>
                              <w:sz w:val="16"/>
                              <w:szCs w:val="16"/>
                              <w:lang w:val="de-CH"/>
                            </w:rPr>
                            <w:softHyphen/>
                            <w:t>gruppe</w:t>
                          </w:r>
                        </w:p>
                      </w:txbxContent>
                    </v:textbox>
                  </v:shape>
                  <v:shape id="Tekstvak 38" o:spid="_x0000_s1677" type="#_x0000_t202" style="position:absolute;left:6184;top:4781;width:2448;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" filled="f" stroked="f">
                    <v:textbox>
                      <w:txbxContent>
                        <w:p w:rsidR="00AA4416" w:rsidRPr="00283151" w:rsidRDefault="00AA4416" w:rsidP="00865914">
                          <w:pPr>
                            <w:pStyle w:val="NormalWeb"/>
                            <w:spacing w:line="240" w:lineRule="auto"/>
                            <w:jc w:val="center"/>
                            <w:rPr>
                              <w:sz w:val="16"/>
                              <w:szCs w:val="16"/>
                              <w:lang w:val="de-CH"/>
                            </w:rPr>
                          </w:pPr>
                          <w:r w:rsidRPr="00283151">
                            <w:rPr>
                              <w:rFonts w:eastAsia="+mn-ea"/>
                              <w:color w:val="000000"/>
                              <w:kern w:val="24"/>
                              <w:sz w:val="16"/>
                              <w:szCs w:val="16"/>
                              <w:lang w:val="de-CH"/>
                            </w:rPr>
                            <w:t>Anwendung der Berechnungsmethode in Absatz 2.2.8.1.6.3</w:t>
                          </w:r>
                        </w:p>
                      </w:txbxContent>
                    </v:textbox>
                  </v:shape>
                  <v:shape id="Tekstvak 40" o:spid="_x0000_s1678" type="#_x0000_t202" style="position:absolute;left:9517;top:4781;width:1558;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" filled="f" stroked="f">
                    <v:textbox>
                      <w:txbxContent>
                        <w:p w:rsidR="00AA4416" w:rsidRPr="00731FAC" w:rsidRDefault="00AA4416" w:rsidP="00865914">
                          <w:pPr>
                            <w:pStyle w:val="NormalWeb"/>
                            <w:jc w:val="center"/>
                            <w:rPr>
                              <w:b/>
                              <w:sz w:val="16"/>
                              <w:szCs w:val="16"/>
                              <w:lang w:val="de-CH"/>
                            </w:rPr>
                          </w:pPr>
                          <w:r w:rsidRPr="00731FAC">
                            <w:rPr>
                              <w:rFonts w:eastAsia="+mn-ea"/>
                              <w:b/>
                              <w:bCs/>
                              <w:color w:val="000000"/>
                              <w:kern w:val="24"/>
                              <w:sz w:val="16"/>
                              <w:szCs w:val="16"/>
                              <w:lang w:val="de-CH"/>
                            </w:rPr>
                            <w:t>Klassifizierung und Zuordnung der Verpackungs</w:t>
                          </w:r>
                          <w:r w:rsidRPr="00731FAC">
                            <w:rPr>
                              <w:rFonts w:eastAsia="+mn-ea"/>
                              <w:b/>
                              <w:bCs/>
                              <w:color w:val="000000"/>
                              <w:kern w:val="24"/>
                              <w:sz w:val="16"/>
                              <w:szCs w:val="16"/>
                              <w:lang w:val="de-CH"/>
                            </w:rPr>
                            <w:softHyphen/>
                            <w:t>gruppe</w:t>
                          </w:r>
                        </w:p>
                      </w:txbxContent>
                    </v:textbox>
                  </v:shape>
                  <v:shape id="Tekstvak 53" o:spid="_x0000_s1679" type="#_x0000_t202" style="position:absolute;left:2898;top:2438;width:2782;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" filled="f" stroked="f">
                    <v:textbox>
                      <w:txbxContent>
                        <w:p w:rsidR="00AA4416" w:rsidRPr="00283151" w:rsidRDefault="00AA4416" w:rsidP="00865914">
                          <w:pPr>
                            <w:pStyle w:val="NormalWeb"/>
                            <w:spacing w:line="240" w:lineRule="auto"/>
                            <w:jc w:val="center"/>
                            <w:rPr>
                              <w:sz w:val="16"/>
                              <w:szCs w:val="16"/>
                              <w:lang w:val="de-DE"/>
                            </w:rPr>
                          </w:pPr>
                          <w:r>
                            <w:rPr>
                              <w:rFonts w:eastAsia="+mn-ea"/>
                              <w:color w:val="000000"/>
                              <w:kern w:val="24"/>
                              <w:sz w:val="16"/>
                              <w:szCs w:val="16"/>
                              <w:lang w:val="de-DE"/>
                            </w:rPr>
                            <w:t>F</w:t>
                          </w:r>
                          <w:r w:rsidRPr="00283151">
                            <w:rPr>
                              <w:rFonts w:eastAsia="+mn-ea"/>
                              <w:color w:val="000000"/>
                              <w:kern w:val="24"/>
                              <w:sz w:val="16"/>
                              <w:szCs w:val="16"/>
                              <w:lang w:val="de-DE"/>
                            </w:rPr>
                            <w:t>ür das Gemisch als Ganzes sind Prüfdaten verfügbar</w:t>
                          </w:r>
                        </w:p>
                      </w:txbxContent>
                    </v:textbox>
                  </v:shape>
                  <v:shape id="Tekstvak 55" o:spid="_x0000_s1680" type="#_x0000_t202" style="position:absolute;left:5513;top:2427;width:667;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" filled="f" stroked="f">
                    <v:textbox>
                      <w:txbxContent>
                        <w:p w:rsidR="00AA4416" w:rsidRPr="00283151" w:rsidRDefault="00AA4416" w:rsidP="00865914">
                          <w:pPr>
                            <w:pStyle w:val="NormalWeb"/>
                            <w:spacing w:line="240" w:lineRule="auto"/>
                            <w:jc w:val="center"/>
                            <w:rPr>
                              <w:sz w:val="18"/>
                              <w:szCs w:val="18"/>
                              <w:lang w:val="de-CH"/>
                            </w:rPr>
                          </w:pPr>
                          <w:r w:rsidRPr="00283151">
                            <w:rPr>
                              <w:sz w:val="18"/>
                              <w:szCs w:val="18"/>
                              <w:lang w:val="de-CH"/>
                            </w:rPr>
                            <w:t>ja</w:t>
                          </w:r>
                        </w:p>
                      </w:txbxContent>
                    </v:textbox>
                  </v:shape>
                  <v:shape id="Tekstvak 56" o:spid="_x0000_s1681" type="#_x0000_t202" style="position:absolute;left:6184;top:2593;width:2448;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" filled="f" stroked="f">
                    <v:textbox>
                      <w:txbxContent>
                        <w:p w:rsidR="00AA4416" w:rsidRPr="00731FAC" w:rsidRDefault="00AA4416" w:rsidP="00865914">
                          <w:pPr>
                            <w:pStyle w:val="NormalWeb"/>
                            <w:spacing w:line="240" w:lineRule="auto"/>
                            <w:jc w:val="center"/>
                            <w:rPr>
                              <w:sz w:val="16"/>
                              <w:szCs w:val="16"/>
                              <w:lang w:val="de-CH"/>
                            </w:rPr>
                          </w:pPr>
                          <w:r w:rsidRPr="00731FAC">
                            <w:rPr>
                              <w:rFonts w:eastAsia="+mn-ea"/>
                              <w:color w:val="000000"/>
                              <w:kern w:val="24"/>
                              <w:sz w:val="16"/>
                              <w:szCs w:val="16"/>
                              <w:lang w:val="de-CH"/>
                            </w:rPr>
                            <w:t>Anwendung der Kriterien des Absatzes 2.2.8.1.5</w:t>
                          </w:r>
                        </w:p>
                      </w:txbxContent>
                    </v:textbox>
                  </v:shape>
                  <v:shape id="Rechte verbindingslijn met pijl 57" o:spid="_x0000_s1682" type="#_x0000_t32" style="position:absolute;left:8634;top:2882;width:890;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" strokeweight="1pt">
                    <v:stroke endarrow="open"/>
                  </v:shape>
                  <v:shape id="Tekstvak 58" o:spid="_x0000_s1683" type="#_x0000_t202" style="position:absolute;left:9517;top:2482;width:1558;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" filled="f" stroked="f">
                    <v:textbox>
                      <w:txbxContent>
                        <w:p w:rsidR="00AA4416" w:rsidRPr="00731FAC" w:rsidRDefault="00AA4416" w:rsidP="00865914">
                          <w:pPr>
                            <w:pStyle w:val="NormalWeb"/>
                            <w:jc w:val="center"/>
                            <w:rPr>
                              <w:b/>
                              <w:sz w:val="16"/>
                              <w:szCs w:val="16"/>
                              <w:lang w:val="de-CH"/>
                            </w:rPr>
                          </w:pPr>
                          <w:r w:rsidRPr="00731FAC">
                            <w:rPr>
                              <w:rFonts w:eastAsia="+mn-ea"/>
                              <w:b/>
                              <w:bCs/>
                              <w:color w:val="000000"/>
                              <w:kern w:val="24"/>
                              <w:sz w:val="16"/>
                              <w:szCs w:val="16"/>
                              <w:lang w:val="de-CH"/>
                            </w:rPr>
                            <w:t>Klassifizierung und Zuordnung der Verpackungs</w:t>
                          </w:r>
                          <w:r w:rsidRPr="00731FAC">
                            <w:rPr>
                              <w:rFonts w:eastAsia="+mn-ea"/>
                              <w:b/>
                              <w:bCs/>
                              <w:color w:val="000000"/>
                              <w:kern w:val="24"/>
                              <w:sz w:val="16"/>
                              <w:szCs w:val="16"/>
                              <w:lang w:val="de-CH"/>
                            </w:rPr>
                            <w:softHyphen/>
                            <w:t>gruppe</w:t>
                          </w:r>
                        </w:p>
                      </w:txbxContent>
                    </v:textbox>
                  </v:shape>
                </v:group>
              </v:group>
            </w:pict>
          </mc:Fallback>
        </mc:AlternateContent>
      </w:r>
    </w:p>
    <w:p w:rsidR="00865914" w:rsidRPr="00DD2A86" w:rsidRDefault="00865914" w:rsidP="00865914">
      <w:pPr>
        <w:suppressAutoHyphens w:val="0"/>
        <w:spacing w:line="240" w:lineRule="auto"/>
        <w:jc w:val="both"/>
        <w:rPr>
          <w:rFonts w:ascii="Arial" w:hAnsi="Arial"/>
          <w:color w:val="000000"/>
          <w:sz w:val="22"/>
          <w:lang w:val="de-DE" w:eastAsia="de-DE"/>
        </w:rPr>
      </w:pPr>
    </w:p>
    <w:p w:rsidR="00865914" w:rsidRPr="00DD2A86" w:rsidRDefault="00865914" w:rsidP="00865914">
      <w:pPr>
        <w:suppressAutoHyphens w:val="0"/>
        <w:spacing w:line="240" w:lineRule="auto"/>
        <w:jc w:val="both"/>
        <w:rPr>
          <w:rFonts w:ascii="Arial" w:hAnsi="Arial"/>
          <w:color w:val="000000"/>
          <w:sz w:val="22"/>
          <w:lang w:val="de-DE" w:eastAsia="de-DE"/>
        </w:rPr>
      </w:pPr>
    </w:p>
    <w:p w:rsidR="00865914" w:rsidRPr="00DD2A86" w:rsidRDefault="00865914" w:rsidP="00865914">
      <w:pPr>
        <w:suppressAutoHyphens w:val="0"/>
        <w:spacing w:line="240" w:lineRule="auto"/>
        <w:jc w:val="both"/>
        <w:rPr>
          <w:rFonts w:ascii="Arial" w:hAnsi="Arial"/>
          <w:color w:val="000000"/>
          <w:sz w:val="22"/>
          <w:lang w:val="de-DE" w:eastAsia="de-DE"/>
        </w:rPr>
      </w:pPr>
    </w:p>
    <w:p w:rsidR="00865914" w:rsidRPr="00DD2A86" w:rsidRDefault="00865914" w:rsidP="00865914">
      <w:pPr>
        <w:suppressAutoHyphens w:val="0"/>
        <w:spacing w:line="240" w:lineRule="auto"/>
        <w:jc w:val="both"/>
        <w:rPr>
          <w:rFonts w:ascii="Arial" w:hAnsi="Arial"/>
          <w:color w:val="000000"/>
          <w:sz w:val="22"/>
          <w:lang w:val="de-DE" w:eastAsia="de-DE"/>
        </w:rPr>
      </w:pPr>
    </w:p>
    <w:p w:rsidR="00865914" w:rsidRPr="00DD2A86" w:rsidRDefault="00865914" w:rsidP="00865914">
      <w:pPr>
        <w:suppressAutoHyphens w:val="0"/>
        <w:spacing w:line="240" w:lineRule="auto"/>
        <w:jc w:val="both"/>
        <w:rPr>
          <w:rFonts w:ascii="Arial" w:hAnsi="Arial"/>
          <w:color w:val="000000"/>
          <w:sz w:val="22"/>
          <w:lang w:val="de-DE" w:eastAsia="de-DE"/>
        </w:rPr>
      </w:pPr>
    </w:p>
    <w:p w:rsidR="00865914" w:rsidRPr="00DD2A86" w:rsidRDefault="00865914" w:rsidP="00865914">
      <w:pPr>
        <w:suppressAutoHyphens w:val="0"/>
        <w:spacing w:line="240" w:lineRule="auto"/>
        <w:jc w:val="both"/>
        <w:rPr>
          <w:rFonts w:ascii="Arial" w:hAnsi="Arial"/>
          <w:color w:val="000000"/>
          <w:sz w:val="22"/>
          <w:lang w:val="de-DE" w:eastAsia="de-DE"/>
        </w:rPr>
      </w:pPr>
    </w:p>
    <w:p w:rsidR="00672848" w:rsidRPr="00DD2A86" w:rsidRDefault="00672848">
      <w:pPr>
        <w:suppressAutoHyphens w:val="0"/>
        <w:spacing w:line="240" w:lineRule="auto"/>
        <w:rPr>
          <w:bCs/>
          <w:lang w:val="de-DE"/>
        </w:rPr>
      </w:pPr>
      <w:r w:rsidRPr="00DD2A86">
        <w:rPr>
          <w:bCs/>
          <w:lang w:val="de-DE"/>
        </w:rPr>
        <w:br w:type="page"/>
      </w:r>
    </w:p>
    <w:p w:rsidR="00865914" w:rsidRPr="00DD2A86" w:rsidRDefault="00865914" w:rsidP="00865914">
      <w:pPr>
        <w:spacing w:before="120" w:after="120" w:line="240" w:lineRule="auto"/>
        <w:ind w:left="1134" w:right="1134"/>
        <w:jc w:val="both"/>
        <w:rPr>
          <w:lang w:val="de-DE"/>
        </w:rPr>
      </w:pPr>
      <w:r w:rsidRPr="00DD2A86">
        <w:rPr>
          <w:bCs/>
          <w:lang w:val="de-DE"/>
        </w:rPr>
        <w:t>2.2.8.1.6.2</w:t>
      </w:r>
      <w:r w:rsidRPr="00DD2A86">
        <w:rPr>
          <w:lang w:val="de-DE"/>
        </w:rPr>
        <w:tab/>
        <w:t>Übertragungsgrundsätze</w:t>
      </w:r>
    </w:p>
    <w:p w:rsidR="00865914" w:rsidRPr="00DD2A86" w:rsidRDefault="00865914" w:rsidP="00865914">
      <w:pPr>
        <w:ind w:left="1134" w:right="1134"/>
        <w:jc w:val="both"/>
        <w:rPr>
          <w:rFonts w:cs="Arial"/>
          <w:szCs w:val="18"/>
          <w:lang w:val="de-DE"/>
        </w:rPr>
      </w:pPr>
      <w:r w:rsidRPr="00DD2A86">
        <w:rPr>
          <w:rFonts w:cs="Arial"/>
          <w:szCs w:val="18"/>
          <w:lang w:val="de-DE"/>
        </w:rPr>
        <w:t>Wurde das Gemisch selbst nicht auf seine potenzielle Ätzwirkung auf die Haut geprüft, liegen jedoch ausreichende Daten sowohl über die einzelnen Bestandteile als auch über ähnliche geprüfte Gemische vor, um eine angemessene Klassifizierung des Gemisches und die Zuordnung des Gemisches zu einer Verpackungsgruppe vorzunehmen, dann werden diese Daten nach Maßgabe der nachstehenden Übertragungsgrundsätze verwendet. Dies stellt sicher, dass für das Klassifizierungsverfahren die verfügbaren Daten in größtmöglichem Maße für die Beschreibung der Gefahren des Gemisches verwendet werden.</w:t>
      </w:r>
    </w:p>
    <w:p w:rsidR="00865914" w:rsidRPr="00DD2A86" w:rsidRDefault="00865914" w:rsidP="00865914">
      <w:pPr>
        <w:ind w:left="1418" w:right="1134" w:hanging="284"/>
        <w:jc w:val="both"/>
        <w:rPr>
          <w:rFonts w:cs="Arial"/>
          <w:szCs w:val="18"/>
          <w:lang w:val="de-DE"/>
        </w:rPr>
      </w:pPr>
      <w:r w:rsidRPr="00DD2A86">
        <w:rPr>
          <w:lang w:val="de-DE"/>
        </w:rPr>
        <w:t>a)</w:t>
      </w:r>
      <w:r w:rsidRPr="00DD2A86">
        <w:rPr>
          <w:lang w:val="de-DE"/>
        </w:rPr>
        <w:tab/>
      </w:r>
      <w:r w:rsidRPr="00DD2A86">
        <w:rPr>
          <w:rFonts w:cs="Arial"/>
          <w:szCs w:val="18"/>
          <w:lang w:val="de-DE"/>
        </w:rPr>
        <w:t>Verdünnung: Wenn das geprüfte Gemisch mit einem Verdünnungsmittel verdünnt ist, das nicht den Kriterien der Klasse 8 entspricht und keine Auswirkungen auf die Verpackungsgruppe anderer Bestandteile hat, darf das neue verdünnte Gemisch derselben Verpackungsgruppe zugeordnet werden wie das ursprünglich geprüfte Gemisch.</w:t>
      </w:r>
    </w:p>
    <w:p w:rsidR="00865914" w:rsidRPr="00DD2A86" w:rsidRDefault="00865914" w:rsidP="00865914">
      <w:pPr>
        <w:tabs>
          <w:tab w:val="left" w:pos="1985"/>
        </w:tabs>
        <w:ind w:left="1985" w:right="1134" w:hanging="567"/>
        <w:jc w:val="both"/>
        <w:rPr>
          <w:lang w:val="de-DE"/>
        </w:rPr>
      </w:pPr>
      <w:r w:rsidRPr="00DD2A86">
        <w:rPr>
          <w:b/>
          <w:lang w:val="de-DE"/>
        </w:rPr>
        <w:t>Bem.</w:t>
      </w:r>
      <w:r w:rsidRPr="00DD2A86">
        <w:rPr>
          <w:lang w:val="de-DE"/>
        </w:rPr>
        <w:tab/>
        <w:t>In bestimmten Fällen kann die Verdünnung eines Gemisches oder Stoffes zu einer Verstärkung der ätzenden Eigenschaften führen. Wenn dies der Fall ist, darf dieser Übertragungsgrundsatz nicht angewendet werden.</w:t>
      </w:r>
    </w:p>
    <w:p w:rsidR="00865914" w:rsidRPr="00DD2A86" w:rsidRDefault="00865914" w:rsidP="00865914">
      <w:pPr>
        <w:spacing w:before="60"/>
        <w:ind w:left="1418" w:right="1134" w:hanging="284"/>
        <w:jc w:val="both"/>
        <w:rPr>
          <w:lang w:val="de-DE"/>
        </w:rPr>
      </w:pPr>
      <w:r w:rsidRPr="00DD2A86">
        <w:rPr>
          <w:lang w:val="de-DE"/>
        </w:rPr>
        <w:t>b)</w:t>
      </w:r>
      <w:r w:rsidRPr="00DD2A86">
        <w:rPr>
          <w:lang w:val="de-DE"/>
        </w:rPr>
        <w:tab/>
        <w:t>Fertigungslose: Es kann angenommen werden, dass die potenzielle Ätzwirkung auf die Haut eines geprüften Fertigungsloses eines Gemisches mit dem eines anderen ungeprüften Fertigungsloses desselben Handelsproduktes, wenn es von oder unter Überwachung desselben Herstellers produziert wurde, im Wesentlichen gleichwertig ist, es sei denn, es besteht Grund zur Annahme, dass bedeutende Schwankungen auftreten, die zu einer Änderung der potenziellen Ätzwirkung auf die Haut des ungeprüften Loses führen. In diesem Fall ist eine neue Klassifizierung erforderlich.</w:t>
      </w:r>
    </w:p>
    <w:p w:rsidR="00865914" w:rsidRPr="00DD2A86" w:rsidRDefault="00865914" w:rsidP="00865914">
      <w:pPr>
        <w:spacing w:before="60"/>
        <w:ind w:left="1418" w:right="1134" w:hanging="284"/>
        <w:jc w:val="both"/>
        <w:rPr>
          <w:lang w:val="de-DE"/>
        </w:rPr>
      </w:pPr>
      <w:r w:rsidRPr="00DD2A86">
        <w:rPr>
          <w:lang w:val="de-DE"/>
        </w:rPr>
        <w:t>c)</w:t>
      </w:r>
      <w:r w:rsidRPr="00DD2A86">
        <w:rPr>
          <w:lang w:val="de-DE"/>
        </w:rPr>
        <w:tab/>
        <w:t>Konzentration von Gemischen der Verpackungsgruppe I: Wenn ein geprüftes Gemisch, das den Kriterien für eine Aufnahme in die Verpackungsgruppe I entspricht, konzentriert wird, darf das ungeprüfte Gemisch mit der höheren Konzentration ohne zusätzliche Prüfungen der Verpackungsgruppe I zugeordnet werden.</w:t>
      </w:r>
    </w:p>
    <w:p w:rsidR="00865914" w:rsidRPr="00DD2A86" w:rsidRDefault="00865914" w:rsidP="00865914">
      <w:pPr>
        <w:spacing w:before="60"/>
        <w:ind w:left="1418" w:right="1134" w:hanging="284"/>
        <w:jc w:val="both"/>
        <w:rPr>
          <w:lang w:val="de-DE"/>
        </w:rPr>
      </w:pPr>
      <w:r w:rsidRPr="00DD2A86">
        <w:rPr>
          <w:lang w:val="de-DE"/>
        </w:rPr>
        <w:t>d)</w:t>
      </w:r>
      <w:r w:rsidRPr="00DD2A86">
        <w:rPr>
          <w:lang w:val="de-DE"/>
        </w:rPr>
        <w:tab/>
        <w:t>Interpolation innerhalb einer Verpackungsgruppe: Bei drei Gemischen (A, B und C) mit identischen Bestandteilen, wobei die Gemische A und B geprüft wurden und unter dieselbe Verpackungsgruppe in Bezug auf die Ätzwirkung auf die Haut fallen und das ungeprüfte Gemisch C dieselben Bestandteile der Klasse 8 wie die Gemische A und B hat, die Konzentrationen der Bestandteile der Klasse 8 dieses Gemisches jedoch zwischen den Konzentrationen in den Gemischen A und B liegen, wird angenommen, dass das Gemisch C in dieselbe Verpackungsgruppe in Bezug auf die Ätzwirkung auf die Haut fällt wie die Gemische A und B.</w:t>
      </w:r>
    </w:p>
    <w:p w:rsidR="00865914" w:rsidRPr="00DD2A86" w:rsidRDefault="00865914" w:rsidP="00865914">
      <w:pPr>
        <w:spacing w:before="60"/>
        <w:ind w:left="1418" w:right="1134" w:hanging="284"/>
        <w:jc w:val="both"/>
        <w:rPr>
          <w:lang w:val="de-DE"/>
        </w:rPr>
      </w:pPr>
      <w:r w:rsidRPr="00DD2A86">
        <w:rPr>
          <w:lang w:val="de-DE"/>
        </w:rPr>
        <w:t>e)</w:t>
      </w:r>
      <w:r w:rsidRPr="00DD2A86">
        <w:rPr>
          <w:lang w:val="de-DE"/>
        </w:rPr>
        <w:tab/>
        <w:t>Im Wesentlichen ähnliche Gemische liegen vor, wenn Folgendes gegeben ist:</w:t>
      </w:r>
    </w:p>
    <w:p w:rsidR="00865914" w:rsidRPr="00DD2A86" w:rsidRDefault="00865914" w:rsidP="00865914">
      <w:pPr>
        <w:tabs>
          <w:tab w:val="left" w:pos="1843"/>
        </w:tabs>
        <w:suppressAutoHyphens w:val="0"/>
        <w:spacing w:before="60" w:line="240" w:lineRule="auto"/>
        <w:ind w:left="1843" w:right="1134" w:hanging="425"/>
        <w:jc w:val="both"/>
        <w:rPr>
          <w:color w:val="000000"/>
          <w:lang w:val="de-DE" w:eastAsia="de-DE"/>
        </w:rPr>
      </w:pPr>
      <w:r w:rsidRPr="00DD2A86">
        <w:rPr>
          <w:color w:val="000000"/>
          <w:lang w:val="de-DE" w:eastAsia="de-DE"/>
        </w:rPr>
        <w:t>(i)</w:t>
      </w:r>
      <w:r w:rsidRPr="00DD2A86">
        <w:rPr>
          <w:color w:val="000000"/>
          <w:lang w:val="de-DE" w:eastAsia="de-DE"/>
        </w:rPr>
        <w:tab/>
        <w:t>zwei Gemische: (A + B) und (C + B);</w:t>
      </w:r>
    </w:p>
    <w:p w:rsidR="00865914" w:rsidRPr="00DD2A86" w:rsidRDefault="00865914" w:rsidP="00865914">
      <w:pPr>
        <w:tabs>
          <w:tab w:val="left" w:pos="1843"/>
        </w:tabs>
        <w:suppressAutoHyphens w:val="0"/>
        <w:spacing w:before="60" w:line="240" w:lineRule="auto"/>
        <w:ind w:left="1843" w:right="1134" w:hanging="425"/>
        <w:jc w:val="both"/>
        <w:rPr>
          <w:color w:val="000000"/>
          <w:lang w:val="de-DE" w:eastAsia="de-DE"/>
        </w:rPr>
      </w:pPr>
      <w:r w:rsidRPr="00DD2A86">
        <w:rPr>
          <w:color w:val="000000"/>
          <w:lang w:val="de-DE" w:eastAsia="de-DE"/>
        </w:rPr>
        <w:t>(ii)</w:t>
      </w:r>
      <w:r w:rsidRPr="00DD2A86">
        <w:rPr>
          <w:color w:val="000000"/>
          <w:lang w:val="de-DE" w:eastAsia="de-DE"/>
        </w:rPr>
        <w:tab/>
        <w:t>die Konzentration des Bestandteils B ist in beiden Gemischen gleich;</w:t>
      </w:r>
    </w:p>
    <w:p w:rsidR="00865914" w:rsidRPr="00DD2A86" w:rsidRDefault="00865914" w:rsidP="00865914">
      <w:pPr>
        <w:tabs>
          <w:tab w:val="left" w:pos="1843"/>
        </w:tabs>
        <w:suppressAutoHyphens w:val="0"/>
        <w:spacing w:before="60" w:line="240" w:lineRule="auto"/>
        <w:ind w:left="1843" w:right="1134" w:hanging="425"/>
        <w:jc w:val="both"/>
        <w:rPr>
          <w:color w:val="000000"/>
          <w:lang w:val="de-DE" w:eastAsia="de-DE"/>
        </w:rPr>
      </w:pPr>
      <w:r w:rsidRPr="00DD2A86">
        <w:rPr>
          <w:color w:val="000000"/>
          <w:lang w:val="de-DE" w:eastAsia="de-DE"/>
        </w:rPr>
        <w:t>(iii)</w:t>
      </w:r>
      <w:r w:rsidRPr="00DD2A86">
        <w:rPr>
          <w:color w:val="000000"/>
          <w:lang w:val="de-DE" w:eastAsia="de-DE"/>
        </w:rPr>
        <w:tab/>
        <w:t>die Konzentration des Bestandteils A im Gemisch (A + B) ist gleich hoch wie die Konzentration des Bestandteils C im Gemisch (C + B);</w:t>
      </w:r>
    </w:p>
    <w:p w:rsidR="00865914" w:rsidRPr="00DD2A86" w:rsidRDefault="00865914" w:rsidP="00865914">
      <w:pPr>
        <w:tabs>
          <w:tab w:val="left" w:pos="1843"/>
        </w:tabs>
        <w:suppressAutoHyphens w:val="0"/>
        <w:spacing w:before="60" w:line="240" w:lineRule="auto"/>
        <w:ind w:left="1843" w:right="1134" w:hanging="425"/>
        <w:jc w:val="both"/>
        <w:rPr>
          <w:color w:val="000000"/>
          <w:lang w:val="de-DE" w:eastAsia="de-DE"/>
        </w:rPr>
      </w:pPr>
      <w:r w:rsidRPr="00DD2A86">
        <w:rPr>
          <w:color w:val="000000"/>
          <w:lang w:val="de-DE" w:eastAsia="de-DE"/>
        </w:rPr>
        <w:t>(iv)</w:t>
      </w:r>
      <w:r w:rsidRPr="00DD2A86">
        <w:rPr>
          <w:color w:val="000000"/>
          <w:lang w:val="de-DE" w:eastAsia="de-DE"/>
        </w:rPr>
        <w:tab/>
        <w:t>Daten über die Ätzwirkung auf die Haut der Bestandteile A und C sind verfügbar und im Wesentlichen gleichwertig, d. h. die Bestandteile fallen unter dieselbe Verpackungsgruppe in Bezug auf die Ätzwirkung auf die Haut, und haben keine Auswirkungen auf die potenzielle Ätzwirkung auf die Haut des Bestandteils B.</w:t>
      </w:r>
    </w:p>
    <w:p w:rsidR="00865914" w:rsidRPr="00DD2A86" w:rsidRDefault="00865914" w:rsidP="00865914">
      <w:pPr>
        <w:suppressAutoHyphens w:val="0"/>
        <w:spacing w:before="60" w:line="240" w:lineRule="auto"/>
        <w:ind w:left="1843" w:right="1134"/>
        <w:jc w:val="both"/>
        <w:rPr>
          <w:color w:val="000000"/>
          <w:lang w:val="de-DE" w:eastAsia="de-DE"/>
        </w:rPr>
      </w:pPr>
      <w:r w:rsidRPr="00DD2A86">
        <w:rPr>
          <w:color w:val="000000"/>
          <w:lang w:val="de-DE" w:eastAsia="de-DE"/>
        </w:rPr>
        <w:t>Wenn das Gemisch (A + B) oder (C + B) bereits auf der Grundlage von Prüfdaten klassifiziert ist, dann kann das andere Gemisch derselben Verpackungsgruppe zugeordnet werden.</w:t>
      </w:r>
    </w:p>
    <w:p w:rsidR="002B5060" w:rsidRPr="00DD2A86" w:rsidRDefault="002B5060">
      <w:pPr>
        <w:suppressAutoHyphens w:val="0"/>
        <w:spacing w:line="240" w:lineRule="auto"/>
        <w:rPr>
          <w:lang w:val="de-DE"/>
        </w:rPr>
      </w:pPr>
      <w:r w:rsidRPr="00DD2A86">
        <w:rPr>
          <w:lang w:val="de-DE"/>
        </w:rPr>
        <w:br w:type="page"/>
      </w:r>
    </w:p>
    <w:p w:rsidR="00865914" w:rsidRPr="00DD2A86" w:rsidRDefault="00865914" w:rsidP="00865914">
      <w:pPr>
        <w:spacing w:before="120" w:after="120" w:line="240" w:lineRule="auto"/>
        <w:ind w:left="1134" w:right="1134"/>
        <w:jc w:val="both"/>
        <w:rPr>
          <w:lang w:val="de-DE"/>
        </w:rPr>
      </w:pPr>
      <w:r w:rsidRPr="00DD2A86">
        <w:rPr>
          <w:lang w:val="de-DE"/>
        </w:rPr>
        <w:t>2.2.8.1.6.3</w:t>
      </w:r>
      <w:r w:rsidRPr="00DD2A86">
        <w:rPr>
          <w:lang w:val="de-DE"/>
        </w:rPr>
        <w:tab/>
        <w:t>Berechnungsmethode auf der Grundlage der Klassifizierung der Stoffe</w:t>
      </w:r>
    </w:p>
    <w:p w:rsidR="00865914" w:rsidRPr="00DD2A86" w:rsidRDefault="00865914" w:rsidP="00865914">
      <w:pPr>
        <w:spacing w:before="120" w:after="120" w:line="240" w:lineRule="auto"/>
        <w:ind w:left="1134" w:right="1134"/>
        <w:jc w:val="both"/>
        <w:rPr>
          <w:lang w:val="de-DE"/>
        </w:rPr>
      </w:pPr>
      <w:r w:rsidRPr="00DD2A86">
        <w:rPr>
          <w:lang w:val="de-DE"/>
        </w:rPr>
        <w:t>2.2.8.1.6.3.1</w:t>
      </w:r>
      <w:r w:rsidRPr="00DD2A86">
        <w:rPr>
          <w:lang w:val="de-DE"/>
        </w:rPr>
        <w:tab/>
        <w:t>Wenn ein Gemisch weder zur Bestimmung seiner potenziellen Ätzwirkung auf die Haut geprüft wurde noch genügend Daten zu ähnlichen Gemischen verfügbar sind, müssen für die Klassifizierung und die Zuordnung einer Verpackungsgruppe die ätzenden Eigenschaften der Stoffe im Gemisch betrachtet werden.</w:t>
      </w:r>
    </w:p>
    <w:p w:rsidR="00865914" w:rsidRPr="00DD2A86" w:rsidRDefault="00865914" w:rsidP="00865914">
      <w:pPr>
        <w:spacing w:before="120" w:after="120" w:line="240" w:lineRule="auto"/>
        <w:ind w:left="1134" w:right="1134"/>
        <w:jc w:val="both"/>
        <w:rPr>
          <w:lang w:val="de-DE"/>
        </w:rPr>
      </w:pPr>
      <w:r w:rsidRPr="00DD2A86">
        <w:rPr>
          <w:lang w:val="de-DE"/>
        </w:rPr>
        <w:t>Die Anwendung der Berechnungsmethode ist nur zugelassen, wenn es keine Synergieeffekte gibt, durch die das Gemisch ätzender wird als die Summe seiner Stoffe. Diese Einschränkung gilt nur, wenn dem Gemisch die Verpackungsgruppe II oder III zugeordnet würde.</w:t>
      </w:r>
    </w:p>
    <w:p w:rsidR="00865914" w:rsidRPr="00DD2A86" w:rsidRDefault="00865914" w:rsidP="00865914">
      <w:pPr>
        <w:tabs>
          <w:tab w:val="left" w:pos="2268"/>
        </w:tabs>
        <w:spacing w:before="120" w:after="120" w:line="240" w:lineRule="auto"/>
        <w:ind w:left="1134" w:right="1134"/>
        <w:jc w:val="both"/>
        <w:rPr>
          <w:lang w:val="de-DE"/>
        </w:rPr>
      </w:pPr>
      <w:r w:rsidRPr="00DD2A86">
        <w:rPr>
          <w:lang w:val="de-DE"/>
        </w:rPr>
        <w:t>2.2.8.1.6.3.2</w:t>
      </w:r>
      <w:r w:rsidRPr="00DD2A86">
        <w:rPr>
          <w:lang w:val="de-DE"/>
        </w:rPr>
        <w:tab/>
        <w:t>Bei der Anwendung der Berechnungsmethode müssen alle Bestandteile der Klasse 8 in Konzentrationen ≥ 1 % berücksichtigt werden oder in Konzentrationen &lt; 1 %, sofern diese Bestandteile in dieser Konzentration noch für die Klassifizierung des Gemisches als ätzend für die Haut relevant sind.</w:t>
      </w:r>
    </w:p>
    <w:p w:rsidR="00865914" w:rsidRPr="00DD2A86" w:rsidRDefault="00865914" w:rsidP="00865914">
      <w:pPr>
        <w:spacing w:before="120" w:after="120" w:line="240" w:lineRule="auto"/>
        <w:ind w:left="1134" w:right="1134"/>
        <w:jc w:val="both"/>
        <w:rPr>
          <w:lang w:val="de-DE"/>
        </w:rPr>
      </w:pPr>
      <w:r w:rsidRPr="00DD2A86">
        <w:rPr>
          <w:lang w:val="de-DE"/>
        </w:rPr>
        <w:t>2.2.8.1.6.3.3</w:t>
      </w:r>
      <w:r w:rsidRPr="00DD2A86">
        <w:rPr>
          <w:lang w:val="de-DE"/>
        </w:rPr>
        <w:tab/>
        <w:t>Für die Bestimmung, ob ein Gemisch, das ätzende Stoffe enthält, als ätzendes Gemisch anzusehen ist, und für die Zuordnung einer Verpackungsgruppe muss die Berechnungsmethode im Ablaufdiagramm in Abbildung 2.2.8.1.6.3 angewendet werden.</w:t>
      </w:r>
    </w:p>
    <w:p w:rsidR="00865914" w:rsidRPr="00DD2A86" w:rsidRDefault="00865914" w:rsidP="00865914">
      <w:pPr>
        <w:spacing w:before="120" w:after="120" w:line="240" w:lineRule="auto"/>
        <w:ind w:left="1134" w:right="1134"/>
        <w:jc w:val="both"/>
        <w:rPr>
          <w:lang w:val="de-DE"/>
        </w:rPr>
      </w:pPr>
      <w:r w:rsidRPr="00DD2A86">
        <w:rPr>
          <w:lang w:val="de-DE"/>
        </w:rPr>
        <w:t>2.2.8.1.6.3.4</w:t>
      </w:r>
      <w:r w:rsidRPr="00DD2A86">
        <w:rPr>
          <w:lang w:val="de-DE"/>
        </w:rPr>
        <w:tab/>
        <w:t>Wenn einem Stoff gemäß seiner Eintragung in Kapitel 3.2 Tabelle A oder durch eine Sondervorschrift ein spezifischer Konzentrationsgrenzwert (SCL) zugeordnet ist, muss dieser Grenzwert anstelle der allgemeinen Konzentrationsgrenzwerte (GCL) angewendet werden. Dies zeigt sich, wenn in der Abbildung 2.2.8.1.6.3 im ersten Schritt für die Bewertung von Stoffen der Verpackungsgruppe I 1 % bzw. in den übrigen Schritten 5 % verwendet wird.</w:t>
      </w:r>
    </w:p>
    <w:p w:rsidR="00865914" w:rsidRPr="00DD2A86" w:rsidRDefault="00865914" w:rsidP="00865914">
      <w:pPr>
        <w:spacing w:before="120" w:after="120" w:line="240" w:lineRule="auto"/>
        <w:ind w:left="1134" w:right="1134"/>
        <w:jc w:val="both"/>
        <w:rPr>
          <w:lang w:val="de-DE"/>
        </w:rPr>
      </w:pPr>
      <w:r w:rsidRPr="00DD2A86">
        <w:rPr>
          <w:lang w:val="de-DE"/>
        </w:rPr>
        <w:t>2.2.8.1.6.3.5</w:t>
      </w:r>
      <w:r w:rsidRPr="00DD2A86">
        <w:rPr>
          <w:lang w:val="de-DE"/>
        </w:rPr>
        <w:tab/>
        <w:t>Zu diesem Zweck muss die Summenformel für jeden einzelnen Schritt der Berechnungsmethode angepasst werden. Dies bedeutet, dass der allgemeine Konzentrationsgrenzwert, sofern anwendbar, durch den dem Stoff (den Stoffen) zugeordneten spezifischen Konzentrationsgrenzwert (SCL</w:t>
      </w:r>
      <w:r w:rsidRPr="00DD2A86">
        <w:rPr>
          <w:vertAlign w:val="subscript"/>
          <w:lang w:val="de-DE"/>
        </w:rPr>
        <w:t>i</w:t>
      </w:r>
      <w:r w:rsidRPr="00DD2A86">
        <w:rPr>
          <w:lang w:val="de-DE"/>
        </w:rPr>
        <w:t>) ersetzt werden muss; die angepasste Formel ist ein gewichteter Mittelwert der verschiedenen Konzentrationsgrenzwerte, die den verschiedenen Stoffen im Gemisch zugeordnet sind:</w:t>
      </w:r>
    </w:p>
    <w:p w:rsidR="00865914" w:rsidRPr="00DD2A86" w:rsidRDefault="00865914" w:rsidP="00865914">
      <w:pPr>
        <w:suppressAutoHyphens w:val="0"/>
        <w:spacing w:line="240" w:lineRule="auto"/>
        <w:ind w:left="2836" w:hanging="1418"/>
        <w:jc w:val="both"/>
        <w:rPr>
          <w:rFonts w:ascii="Arial" w:hAnsi="Arial"/>
          <w:color w:val="000000"/>
          <w:sz w:val="22"/>
          <w:lang w:val="de-DE" w:eastAsia="de-DE"/>
        </w:rPr>
      </w:pPr>
      <w:r w:rsidRPr="00DD2A86">
        <w:rPr>
          <w:color w:val="000000"/>
          <w:position w:val="-28"/>
          <w:lang w:val="de-DE" w:eastAsia="de-DE"/>
        </w:rPr>
        <w:object w:dxaOrig="296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4pt;height:31.1pt" o:ole="">
            <v:imagedata r:id="rId37" o:title=""/>
          </v:shape>
          <o:OLEObject Type="Embed" ProgID="Equation.3" ShapeID="_x0000_i1025" DrawAspect="Content" ObjectID="_1591797751" r:id="rId38"/>
        </w:object>
      </w:r>
      <w:r w:rsidRPr="00DD2A86">
        <w:rPr>
          <w:rFonts w:ascii="Arial" w:hAnsi="Arial"/>
          <w:color w:val="000000"/>
          <w:sz w:val="22"/>
          <w:lang w:val="de-DE" w:eastAsia="de-DE"/>
        </w:rPr>
        <w:t>,</w:t>
      </w:r>
    </w:p>
    <w:p w:rsidR="00865914" w:rsidRPr="00DD2A86" w:rsidRDefault="00865914" w:rsidP="00865914">
      <w:pPr>
        <w:suppressAutoHyphens w:val="0"/>
        <w:spacing w:line="240" w:lineRule="auto"/>
        <w:ind w:left="2836" w:hanging="1702"/>
        <w:jc w:val="both"/>
        <w:rPr>
          <w:color w:val="000000"/>
          <w:lang w:val="de-DE" w:eastAsia="de-DE"/>
        </w:rPr>
      </w:pPr>
      <w:r w:rsidRPr="00DD2A86">
        <w:rPr>
          <w:color w:val="000000"/>
          <w:lang w:val="de-DE" w:eastAsia="de-DE"/>
        </w:rPr>
        <w:t>wobei</w:t>
      </w:r>
    </w:p>
    <w:p w:rsidR="00865914" w:rsidRPr="00DD2A86" w:rsidRDefault="00865914" w:rsidP="00865914">
      <w:pPr>
        <w:tabs>
          <w:tab w:val="left" w:pos="2127"/>
          <w:tab w:val="left" w:pos="2410"/>
        </w:tabs>
        <w:suppressAutoHyphens w:val="0"/>
        <w:spacing w:line="240" w:lineRule="auto"/>
        <w:ind w:left="2410" w:right="1134" w:hanging="992"/>
        <w:jc w:val="both"/>
        <w:rPr>
          <w:color w:val="000000"/>
          <w:lang w:val="de-DE" w:eastAsia="de-DE"/>
        </w:rPr>
      </w:pPr>
      <w:r w:rsidRPr="00DD2A86">
        <w:rPr>
          <w:color w:val="000000"/>
          <w:lang w:val="de-DE" w:eastAsia="de-DE"/>
        </w:rPr>
        <w:t>VG x</w:t>
      </w:r>
      <w:r w:rsidRPr="00DD2A86">
        <w:rPr>
          <w:color w:val="000000"/>
          <w:vertAlign w:val="subscript"/>
          <w:lang w:val="de-DE" w:eastAsia="de-DE"/>
        </w:rPr>
        <w:t>i</w:t>
      </w:r>
      <w:r w:rsidRPr="00DD2A86">
        <w:rPr>
          <w:color w:val="000000"/>
          <w:lang w:val="de-DE" w:eastAsia="de-DE"/>
        </w:rPr>
        <w:tab/>
        <w:t>=</w:t>
      </w:r>
      <w:r w:rsidRPr="00DD2A86">
        <w:rPr>
          <w:color w:val="000000"/>
          <w:lang w:val="de-DE" w:eastAsia="de-DE"/>
        </w:rPr>
        <w:tab/>
        <w:t>Konzentration des Stoffes 1, 2 … i im Gemisch, welcher der Verpackungsgruppe x (I, II oder III) zugeordnet ist</w:t>
      </w:r>
    </w:p>
    <w:p w:rsidR="00865914" w:rsidRPr="00DD2A86" w:rsidRDefault="00865914" w:rsidP="00865914">
      <w:pPr>
        <w:tabs>
          <w:tab w:val="left" w:pos="2127"/>
          <w:tab w:val="left" w:pos="2410"/>
        </w:tabs>
        <w:suppressAutoHyphens w:val="0"/>
        <w:spacing w:line="240" w:lineRule="auto"/>
        <w:ind w:left="2410" w:right="1134" w:hanging="992"/>
        <w:jc w:val="both"/>
        <w:rPr>
          <w:color w:val="000000"/>
          <w:lang w:val="de-DE" w:eastAsia="de-DE"/>
        </w:rPr>
      </w:pPr>
      <w:r w:rsidRPr="00DD2A86">
        <w:rPr>
          <w:color w:val="000000"/>
          <w:lang w:val="de-DE" w:eastAsia="de-DE"/>
        </w:rPr>
        <w:t>GCL</w:t>
      </w:r>
      <w:r w:rsidRPr="00DD2A86">
        <w:rPr>
          <w:color w:val="000000"/>
          <w:lang w:val="de-DE" w:eastAsia="de-DE"/>
        </w:rPr>
        <w:tab/>
        <w:t>=</w:t>
      </w:r>
      <w:r w:rsidRPr="00DD2A86">
        <w:rPr>
          <w:color w:val="000000"/>
          <w:lang w:val="de-DE" w:eastAsia="de-DE"/>
        </w:rPr>
        <w:tab/>
        <w:t>allgemeiner Konzentrationsgrenzwert</w:t>
      </w:r>
    </w:p>
    <w:p w:rsidR="00865914" w:rsidRPr="00DD2A86" w:rsidRDefault="00865914" w:rsidP="00865914">
      <w:pPr>
        <w:tabs>
          <w:tab w:val="left" w:pos="2127"/>
          <w:tab w:val="left" w:pos="2410"/>
        </w:tabs>
        <w:suppressAutoHyphens w:val="0"/>
        <w:spacing w:line="240" w:lineRule="auto"/>
        <w:ind w:left="2410" w:right="1134" w:hanging="992"/>
        <w:jc w:val="both"/>
        <w:rPr>
          <w:color w:val="000000"/>
          <w:lang w:val="de-DE" w:eastAsia="de-DE"/>
        </w:rPr>
      </w:pPr>
      <w:r w:rsidRPr="00DD2A86">
        <w:rPr>
          <w:color w:val="000000"/>
          <w:lang w:val="de-DE" w:eastAsia="de-DE"/>
        </w:rPr>
        <w:t>SCL</w:t>
      </w:r>
      <w:r w:rsidRPr="00DD2A86">
        <w:rPr>
          <w:color w:val="000000"/>
          <w:vertAlign w:val="subscript"/>
          <w:lang w:val="de-DE" w:eastAsia="de-DE"/>
        </w:rPr>
        <w:t>i</w:t>
      </w:r>
      <w:r w:rsidRPr="00DD2A86">
        <w:rPr>
          <w:color w:val="000000"/>
          <w:lang w:val="de-DE" w:eastAsia="de-DE"/>
        </w:rPr>
        <w:tab/>
        <w:t>=</w:t>
      </w:r>
      <w:r w:rsidRPr="00DD2A86">
        <w:rPr>
          <w:color w:val="000000"/>
          <w:lang w:val="de-DE" w:eastAsia="de-DE"/>
        </w:rPr>
        <w:tab/>
        <w:t>spezifischer Konzentrationsgrenzwert, der dem Stoff i zugeordnet ist</w:t>
      </w:r>
    </w:p>
    <w:p w:rsidR="00865914" w:rsidRPr="00DD2A86" w:rsidRDefault="00865914" w:rsidP="00865914">
      <w:pPr>
        <w:tabs>
          <w:tab w:val="left" w:pos="2127"/>
          <w:tab w:val="left" w:pos="2410"/>
        </w:tabs>
        <w:suppressAutoHyphens w:val="0"/>
        <w:spacing w:before="120" w:line="240" w:lineRule="auto"/>
        <w:ind w:left="1418" w:right="1134"/>
        <w:jc w:val="both"/>
        <w:rPr>
          <w:color w:val="000000"/>
          <w:lang w:val="de-DE" w:eastAsia="de-DE"/>
        </w:rPr>
      </w:pPr>
      <w:r w:rsidRPr="00DD2A86">
        <w:rPr>
          <w:color w:val="000000"/>
          <w:lang w:val="de-DE" w:eastAsia="de-DE"/>
        </w:rPr>
        <w:t>Das Kriterium für eine Verpackungsgruppe ist erfüllt, wenn das Ergebnis der Berechnung ≥ 1 ist. Die für die Bewertung in jedem einzelnen Schritt der Berechnungsmethode zu verwendenden allgemeinen Konzentrationsgrenzwerte entsprechen denen in der Abbildung 2.2.8.1.6.3.</w:t>
      </w:r>
    </w:p>
    <w:p w:rsidR="00865914" w:rsidRPr="00DD2A86" w:rsidRDefault="00865914" w:rsidP="00865914">
      <w:pPr>
        <w:tabs>
          <w:tab w:val="left" w:pos="2127"/>
          <w:tab w:val="left" w:pos="2410"/>
        </w:tabs>
        <w:suppressAutoHyphens w:val="0"/>
        <w:spacing w:before="120" w:line="240" w:lineRule="auto"/>
        <w:ind w:left="1418" w:right="1134"/>
        <w:jc w:val="both"/>
        <w:rPr>
          <w:color w:val="000000"/>
          <w:lang w:val="de-DE" w:eastAsia="de-DE"/>
        </w:rPr>
      </w:pPr>
      <w:r w:rsidRPr="00DD2A86">
        <w:rPr>
          <w:color w:val="000000"/>
          <w:lang w:val="de-DE" w:eastAsia="de-DE"/>
        </w:rPr>
        <w:t>Beispiele für die Anwendung der oben genannten Formel können der nachfolgenden Bem. entnommen werden.</w:t>
      </w:r>
    </w:p>
    <w:p w:rsidR="00865914" w:rsidRPr="00DD2A86" w:rsidRDefault="00865914" w:rsidP="00865914">
      <w:pPr>
        <w:tabs>
          <w:tab w:val="left" w:pos="2127"/>
          <w:tab w:val="left" w:pos="2410"/>
        </w:tabs>
        <w:suppressAutoHyphens w:val="0"/>
        <w:spacing w:before="120" w:line="240" w:lineRule="auto"/>
        <w:ind w:left="1418" w:right="1134"/>
        <w:jc w:val="both"/>
        <w:rPr>
          <w:color w:val="000000"/>
          <w:lang w:val="de-DE" w:eastAsia="de-DE"/>
        </w:rPr>
      </w:pPr>
      <w:r w:rsidRPr="00DD2A86">
        <w:rPr>
          <w:b/>
          <w:color w:val="000000"/>
          <w:lang w:val="de-DE" w:eastAsia="de-DE"/>
        </w:rPr>
        <w:t>Bem.</w:t>
      </w:r>
      <w:r w:rsidRPr="00DD2A86">
        <w:rPr>
          <w:color w:val="000000"/>
          <w:lang w:val="de-DE" w:eastAsia="de-DE"/>
        </w:rPr>
        <w:tab/>
        <w:t>Beispiele für die Anwendung der oben genannten Formel</w:t>
      </w:r>
    </w:p>
    <w:p w:rsidR="00865914" w:rsidRPr="00DD2A86" w:rsidRDefault="00865914" w:rsidP="00865914">
      <w:pPr>
        <w:tabs>
          <w:tab w:val="left" w:pos="2127"/>
          <w:tab w:val="left" w:pos="2410"/>
          <w:tab w:val="left" w:pos="3261"/>
        </w:tabs>
        <w:suppressAutoHyphens w:val="0"/>
        <w:spacing w:before="120" w:line="240" w:lineRule="auto"/>
        <w:ind w:left="2127" w:right="1134"/>
        <w:jc w:val="both"/>
        <w:rPr>
          <w:color w:val="000000"/>
          <w:lang w:val="de-DE" w:eastAsia="de-DE"/>
        </w:rPr>
      </w:pPr>
      <w:r w:rsidRPr="00DD2A86">
        <w:rPr>
          <w:color w:val="000000"/>
          <w:lang w:val="de-DE" w:eastAsia="de-DE"/>
        </w:rPr>
        <w:t>Beispiel 1: Ein Gemisch enthält einen der Verpackungsgruppe I zugeordneten ätzenden Stoff ohne spezifischen Konzentrationsgrenzwert in einer Konzentration von 5 %:</w:t>
      </w:r>
    </w:p>
    <w:p w:rsidR="00865914" w:rsidRPr="00DD2A86" w:rsidRDefault="00865914" w:rsidP="00865914">
      <w:pPr>
        <w:tabs>
          <w:tab w:val="left" w:pos="2127"/>
          <w:tab w:val="left" w:pos="2410"/>
          <w:tab w:val="left" w:pos="3261"/>
        </w:tabs>
        <w:suppressAutoHyphens w:val="0"/>
        <w:spacing w:line="240" w:lineRule="auto"/>
        <w:ind w:left="2127" w:right="1134"/>
        <w:jc w:val="both"/>
        <w:rPr>
          <w:color w:val="000000"/>
          <w:lang w:val="de-DE" w:eastAsia="de-DE"/>
        </w:rPr>
      </w:pPr>
      <w:r w:rsidRPr="00DD2A86">
        <w:rPr>
          <w:color w:val="000000"/>
          <w:lang w:val="de-DE" w:eastAsia="de-DE"/>
        </w:rPr>
        <w:t xml:space="preserve">Berechnung für die Verpackungsgruppe I: </w:t>
      </w:r>
      <w:r w:rsidRPr="00DD2A86">
        <w:rPr>
          <w:color w:val="000000"/>
          <w:position w:val="-26"/>
          <w:lang w:val="de-DE" w:eastAsia="de-DE"/>
        </w:rPr>
        <w:object w:dxaOrig="1160" w:dyaOrig="620">
          <v:shape id="_x0000_i1026" type="#_x0000_t75" style="width:57.6pt;height:30.55pt" o:ole="">
            <v:imagedata r:id="rId39" o:title=""/>
          </v:shape>
          <o:OLEObject Type="Embed" ProgID="Equation.3" ShapeID="_x0000_i1026" DrawAspect="Content" ObjectID="_1591797752" r:id="rId40"/>
        </w:object>
      </w:r>
    </w:p>
    <w:p w:rsidR="00865914" w:rsidRPr="00DD2A86" w:rsidRDefault="00865914" w:rsidP="00865914">
      <w:pPr>
        <w:tabs>
          <w:tab w:val="left" w:pos="2127"/>
          <w:tab w:val="left" w:pos="2410"/>
          <w:tab w:val="left" w:pos="3261"/>
        </w:tabs>
        <w:suppressAutoHyphens w:val="0"/>
        <w:spacing w:line="240" w:lineRule="auto"/>
        <w:ind w:left="2127" w:right="1134"/>
        <w:jc w:val="both"/>
        <w:rPr>
          <w:color w:val="000000"/>
          <w:lang w:val="de-DE" w:eastAsia="de-DE"/>
        </w:rPr>
      </w:pPr>
      <w:r w:rsidRPr="00DD2A86">
        <w:rPr>
          <w:color w:val="000000"/>
          <w:lang w:val="de-DE" w:eastAsia="de-DE"/>
        </w:rPr>
        <w:t>→ Zuordnung zur Klasse 8, Verpackungsgruppe I.</w:t>
      </w:r>
    </w:p>
    <w:p w:rsidR="00865914" w:rsidRPr="00DD2A86" w:rsidRDefault="00865914" w:rsidP="00865914">
      <w:pPr>
        <w:suppressAutoHyphens w:val="0"/>
        <w:spacing w:line="240" w:lineRule="auto"/>
        <w:rPr>
          <w:color w:val="000000"/>
          <w:lang w:val="de-DE" w:eastAsia="de-DE"/>
        </w:rPr>
      </w:pPr>
    </w:p>
    <w:p w:rsidR="00865914" w:rsidRPr="00DD2A86" w:rsidRDefault="00865914" w:rsidP="00865914">
      <w:pPr>
        <w:tabs>
          <w:tab w:val="left" w:pos="2127"/>
          <w:tab w:val="left" w:pos="2410"/>
          <w:tab w:val="left" w:pos="3261"/>
        </w:tabs>
        <w:suppressAutoHyphens w:val="0"/>
        <w:spacing w:before="120" w:line="240" w:lineRule="auto"/>
        <w:ind w:left="2127" w:right="1134"/>
        <w:jc w:val="both"/>
        <w:rPr>
          <w:color w:val="000000"/>
          <w:lang w:val="de-DE" w:eastAsia="de-DE"/>
        </w:rPr>
      </w:pPr>
      <w:r w:rsidRPr="00DD2A86">
        <w:rPr>
          <w:color w:val="000000"/>
          <w:lang w:val="de-DE" w:eastAsia="de-DE"/>
        </w:rPr>
        <w:t>Beispiel 2: Ein Gemisch enthält drei Stoffe, die ätzend für die Haut sind; zwei dieser Stoffe (A und B) haben spezifische Konzentrationsgrenzwerte; für den dritten Stoff (C) gilt der allgemeine Konzentrationsgrenzwert. Der Rest des Gemisches muss nicht berücksichtigt werden:</w:t>
      </w:r>
    </w:p>
    <w:p w:rsidR="00865914" w:rsidRPr="00DD2A86" w:rsidRDefault="00865914" w:rsidP="00865914">
      <w:pPr>
        <w:tabs>
          <w:tab w:val="left" w:pos="2127"/>
          <w:tab w:val="left" w:pos="2410"/>
          <w:tab w:val="left" w:pos="3261"/>
        </w:tabs>
        <w:suppressAutoHyphens w:val="0"/>
        <w:spacing w:line="240" w:lineRule="auto"/>
        <w:ind w:left="2127"/>
        <w:jc w:val="both"/>
        <w:rPr>
          <w:color w:val="000000"/>
          <w:lang w:val="de-DE" w:eastAsia="de-DE"/>
        </w:rPr>
      </w:pPr>
    </w:p>
    <w:tbl>
      <w:tblPr>
        <w:tblW w:w="0" w:type="auto"/>
        <w:tblInd w:w="2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
        <w:gridCol w:w="1432"/>
        <w:gridCol w:w="1432"/>
        <w:gridCol w:w="1433"/>
        <w:gridCol w:w="1433"/>
      </w:tblGrid>
      <w:tr w:rsidR="00865914" w:rsidRPr="00E139A8" w:rsidTr="00865914">
        <w:tc>
          <w:tcPr>
            <w:tcW w:w="1431" w:type="dxa"/>
          </w:tcPr>
          <w:p w:rsidR="00865914" w:rsidRPr="00DD2A86" w:rsidRDefault="00865914" w:rsidP="00865914">
            <w:pPr>
              <w:tabs>
                <w:tab w:val="left" w:pos="2127"/>
                <w:tab w:val="left" w:pos="2410"/>
                <w:tab w:val="left" w:pos="3261"/>
              </w:tabs>
              <w:suppressAutoHyphens w:val="0"/>
              <w:spacing w:line="240" w:lineRule="auto"/>
              <w:jc w:val="center"/>
              <w:rPr>
                <w:color w:val="000000"/>
                <w:sz w:val="18"/>
                <w:szCs w:val="18"/>
                <w:lang w:val="de-DE" w:eastAsia="de-DE"/>
              </w:rPr>
            </w:pPr>
            <w:r w:rsidRPr="00DD2A86">
              <w:rPr>
                <w:color w:val="000000"/>
                <w:sz w:val="18"/>
                <w:szCs w:val="18"/>
                <w:lang w:val="de-DE" w:eastAsia="de-DE"/>
              </w:rPr>
              <w:t>Stoff X im Gemisch und die Zuordnung seiner Verpackungs</w:t>
            </w:r>
            <w:r w:rsidRPr="00DD2A86">
              <w:rPr>
                <w:color w:val="000000"/>
                <w:sz w:val="18"/>
                <w:szCs w:val="18"/>
                <w:lang w:val="de-DE" w:eastAsia="de-DE"/>
              </w:rPr>
              <w:softHyphen/>
              <w:t>gruppe in Klasse 8</w:t>
            </w:r>
          </w:p>
        </w:tc>
        <w:tc>
          <w:tcPr>
            <w:tcW w:w="1432" w:type="dxa"/>
          </w:tcPr>
          <w:p w:rsidR="00865914" w:rsidRPr="00DD2A86" w:rsidRDefault="00865914" w:rsidP="00865914">
            <w:pPr>
              <w:tabs>
                <w:tab w:val="left" w:pos="2127"/>
                <w:tab w:val="left" w:pos="2410"/>
                <w:tab w:val="left" w:pos="3261"/>
              </w:tabs>
              <w:suppressAutoHyphens w:val="0"/>
              <w:spacing w:line="240" w:lineRule="auto"/>
              <w:jc w:val="center"/>
              <w:rPr>
                <w:color w:val="000000"/>
                <w:sz w:val="18"/>
                <w:szCs w:val="18"/>
                <w:lang w:val="de-DE" w:eastAsia="de-DE"/>
              </w:rPr>
            </w:pPr>
            <w:r w:rsidRPr="00DD2A86">
              <w:rPr>
                <w:color w:val="000000"/>
                <w:sz w:val="18"/>
                <w:szCs w:val="18"/>
                <w:lang w:val="de-DE" w:eastAsia="de-DE"/>
              </w:rPr>
              <w:t>Konzentration (conc) im Gemisch in %</w:t>
            </w:r>
          </w:p>
        </w:tc>
        <w:tc>
          <w:tcPr>
            <w:tcW w:w="1432" w:type="dxa"/>
          </w:tcPr>
          <w:p w:rsidR="00865914" w:rsidRPr="00DD2A86" w:rsidRDefault="00865914" w:rsidP="00865914">
            <w:pPr>
              <w:tabs>
                <w:tab w:val="left" w:pos="2127"/>
                <w:tab w:val="left" w:pos="2410"/>
                <w:tab w:val="left" w:pos="3261"/>
              </w:tabs>
              <w:suppressAutoHyphens w:val="0"/>
              <w:spacing w:line="240" w:lineRule="auto"/>
              <w:jc w:val="center"/>
              <w:rPr>
                <w:color w:val="000000"/>
                <w:sz w:val="18"/>
                <w:szCs w:val="18"/>
                <w:lang w:val="de-DE" w:eastAsia="de-DE"/>
              </w:rPr>
            </w:pPr>
            <w:r w:rsidRPr="00DD2A86">
              <w:rPr>
                <w:color w:val="000000"/>
                <w:sz w:val="18"/>
                <w:szCs w:val="18"/>
                <w:lang w:val="de-DE" w:eastAsia="de-DE"/>
              </w:rPr>
              <w:t>spezifischer Konzentrations</w:t>
            </w:r>
            <w:r w:rsidRPr="00DD2A86">
              <w:rPr>
                <w:color w:val="000000"/>
                <w:sz w:val="18"/>
                <w:szCs w:val="18"/>
                <w:lang w:val="de-DE" w:eastAsia="de-DE"/>
              </w:rPr>
              <w:softHyphen/>
              <w:t>grenz</w:t>
            </w:r>
            <w:r w:rsidRPr="00DD2A86">
              <w:rPr>
                <w:color w:val="000000"/>
                <w:sz w:val="18"/>
                <w:szCs w:val="18"/>
                <w:lang w:val="de-DE" w:eastAsia="de-DE"/>
              </w:rPr>
              <w:softHyphen/>
              <w:t>wert (SCL) für die Verpackungs</w:t>
            </w:r>
            <w:r w:rsidRPr="00DD2A86">
              <w:rPr>
                <w:color w:val="000000"/>
                <w:sz w:val="18"/>
                <w:szCs w:val="18"/>
                <w:lang w:val="de-DE" w:eastAsia="de-DE"/>
              </w:rPr>
              <w:softHyphen/>
              <w:t>gruppe I</w:t>
            </w:r>
          </w:p>
        </w:tc>
        <w:tc>
          <w:tcPr>
            <w:tcW w:w="1433" w:type="dxa"/>
          </w:tcPr>
          <w:p w:rsidR="00865914" w:rsidRPr="00DD2A86" w:rsidRDefault="00865914" w:rsidP="00865914">
            <w:pPr>
              <w:tabs>
                <w:tab w:val="left" w:pos="2127"/>
                <w:tab w:val="left" w:pos="2410"/>
                <w:tab w:val="left" w:pos="3261"/>
              </w:tabs>
              <w:suppressAutoHyphens w:val="0"/>
              <w:spacing w:line="240" w:lineRule="auto"/>
              <w:jc w:val="center"/>
              <w:rPr>
                <w:color w:val="000000"/>
                <w:sz w:val="18"/>
                <w:szCs w:val="18"/>
                <w:lang w:val="de-DE" w:eastAsia="de-DE"/>
              </w:rPr>
            </w:pPr>
            <w:r w:rsidRPr="00DD2A86">
              <w:rPr>
                <w:color w:val="000000"/>
                <w:sz w:val="18"/>
                <w:szCs w:val="18"/>
                <w:lang w:val="de-DE" w:eastAsia="de-DE"/>
              </w:rPr>
              <w:t>spezifischer Konzentrations</w:t>
            </w:r>
            <w:r w:rsidRPr="00DD2A86">
              <w:rPr>
                <w:color w:val="000000"/>
                <w:sz w:val="18"/>
                <w:szCs w:val="18"/>
                <w:lang w:val="de-DE" w:eastAsia="de-DE"/>
              </w:rPr>
              <w:softHyphen/>
              <w:t>grenz</w:t>
            </w:r>
            <w:r w:rsidRPr="00DD2A86">
              <w:rPr>
                <w:color w:val="000000"/>
                <w:sz w:val="18"/>
                <w:szCs w:val="18"/>
                <w:lang w:val="de-DE" w:eastAsia="de-DE"/>
              </w:rPr>
              <w:softHyphen/>
              <w:t>wert (SCL) für die Verpackungs</w:t>
            </w:r>
            <w:r w:rsidRPr="00DD2A86">
              <w:rPr>
                <w:color w:val="000000"/>
                <w:sz w:val="18"/>
                <w:szCs w:val="18"/>
                <w:lang w:val="de-DE" w:eastAsia="de-DE"/>
              </w:rPr>
              <w:softHyphen/>
              <w:t>gruppe II</w:t>
            </w:r>
          </w:p>
        </w:tc>
        <w:tc>
          <w:tcPr>
            <w:tcW w:w="1433" w:type="dxa"/>
          </w:tcPr>
          <w:p w:rsidR="00865914" w:rsidRPr="00DD2A86" w:rsidRDefault="00865914" w:rsidP="00865914">
            <w:pPr>
              <w:tabs>
                <w:tab w:val="left" w:pos="2127"/>
                <w:tab w:val="left" w:pos="2410"/>
                <w:tab w:val="left" w:pos="3261"/>
              </w:tabs>
              <w:suppressAutoHyphens w:val="0"/>
              <w:spacing w:line="240" w:lineRule="auto"/>
              <w:jc w:val="center"/>
              <w:rPr>
                <w:color w:val="000000"/>
                <w:sz w:val="18"/>
                <w:szCs w:val="18"/>
                <w:lang w:val="de-DE" w:eastAsia="de-DE"/>
              </w:rPr>
            </w:pPr>
            <w:r w:rsidRPr="00DD2A86">
              <w:rPr>
                <w:color w:val="000000"/>
                <w:sz w:val="18"/>
                <w:szCs w:val="18"/>
                <w:lang w:val="de-DE" w:eastAsia="de-DE"/>
              </w:rPr>
              <w:t>spezifischer Konzentrations</w:t>
            </w:r>
            <w:r w:rsidRPr="00DD2A86">
              <w:rPr>
                <w:color w:val="000000"/>
                <w:sz w:val="18"/>
                <w:szCs w:val="18"/>
                <w:lang w:val="de-DE" w:eastAsia="de-DE"/>
              </w:rPr>
              <w:softHyphen/>
              <w:t>grenz</w:t>
            </w:r>
            <w:r w:rsidRPr="00DD2A86">
              <w:rPr>
                <w:color w:val="000000"/>
                <w:sz w:val="18"/>
                <w:szCs w:val="18"/>
                <w:lang w:val="de-DE" w:eastAsia="de-DE"/>
              </w:rPr>
              <w:softHyphen/>
              <w:t>wert (SCL) für die Verpackungs</w:t>
            </w:r>
            <w:r w:rsidRPr="00DD2A86">
              <w:rPr>
                <w:color w:val="000000"/>
                <w:sz w:val="18"/>
                <w:szCs w:val="18"/>
                <w:lang w:val="de-DE" w:eastAsia="de-DE"/>
              </w:rPr>
              <w:softHyphen/>
              <w:t>gruppe III</w:t>
            </w:r>
          </w:p>
        </w:tc>
      </w:tr>
      <w:tr w:rsidR="00865914" w:rsidRPr="00DD2A86" w:rsidTr="00865914">
        <w:tc>
          <w:tcPr>
            <w:tcW w:w="1431" w:type="dxa"/>
          </w:tcPr>
          <w:p w:rsidR="00865914" w:rsidRPr="00DD2A86" w:rsidRDefault="00865914" w:rsidP="00865914">
            <w:pPr>
              <w:tabs>
                <w:tab w:val="left" w:pos="2127"/>
                <w:tab w:val="left" w:pos="2410"/>
                <w:tab w:val="left" w:pos="3261"/>
              </w:tabs>
              <w:suppressAutoHyphens w:val="0"/>
              <w:spacing w:line="240" w:lineRule="auto"/>
              <w:rPr>
                <w:color w:val="000000"/>
                <w:sz w:val="18"/>
                <w:szCs w:val="18"/>
                <w:lang w:val="de-DE" w:eastAsia="de-DE"/>
              </w:rPr>
            </w:pPr>
            <w:r w:rsidRPr="00DD2A86">
              <w:rPr>
                <w:color w:val="000000"/>
                <w:sz w:val="18"/>
                <w:szCs w:val="18"/>
                <w:lang w:val="de-DE" w:eastAsia="de-DE"/>
              </w:rPr>
              <w:t>A, der Verpackungs</w:t>
            </w:r>
            <w:r w:rsidRPr="00DD2A86">
              <w:rPr>
                <w:color w:val="000000"/>
                <w:sz w:val="18"/>
                <w:szCs w:val="18"/>
                <w:lang w:val="de-DE" w:eastAsia="de-DE"/>
              </w:rPr>
              <w:softHyphen/>
              <w:t>gruppe I zugeordnet</w:t>
            </w:r>
          </w:p>
        </w:tc>
        <w:tc>
          <w:tcPr>
            <w:tcW w:w="1432" w:type="dxa"/>
          </w:tcPr>
          <w:p w:rsidR="00865914" w:rsidRPr="00DD2A86" w:rsidRDefault="00865914" w:rsidP="00865914">
            <w:pPr>
              <w:tabs>
                <w:tab w:val="left" w:pos="2127"/>
                <w:tab w:val="left" w:pos="2410"/>
                <w:tab w:val="left" w:pos="3261"/>
              </w:tabs>
              <w:suppressAutoHyphens w:val="0"/>
              <w:spacing w:line="240" w:lineRule="auto"/>
              <w:jc w:val="center"/>
              <w:rPr>
                <w:color w:val="000000"/>
                <w:sz w:val="18"/>
                <w:szCs w:val="18"/>
                <w:lang w:val="de-DE" w:eastAsia="de-DE"/>
              </w:rPr>
            </w:pPr>
            <w:r w:rsidRPr="00DD2A86">
              <w:rPr>
                <w:color w:val="000000"/>
                <w:sz w:val="18"/>
                <w:szCs w:val="18"/>
                <w:lang w:val="de-DE" w:eastAsia="de-DE"/>
              </w:rPr>
              <w:t>3</w:t>
            </w:r>
          </w:p>
        </w:tc>
        <w:tc>
          <w:tcPr>
            <w:tcW w:w="1432" w:type="dxa"/>
          </w:tcPr>
          <w:p w:rsidR="00865914" w:rsidRPr="00DD2A86" w:rsidRDefault="00865914" w:rsidP="00865914">
            <w:pPr>
              <w:tabs>
                <w:tab w:val="left" w:pos="2127"/>
                <w:tab w:val="left" w:pos="2410"/>
                <w:tab w:val="left" w:pos="3261"/>
              </w:tabs>
              <w:suppressAutoHyphens w:val="0"/>
              <w:spacing w:line="240" w:lineRule="auto"/>
              <w:jc w:val="center"/>
              <w:rPr>
                <w:color w:val="000000"/>
                <w:sz w:val="18"/>
                <w:szCs w:val="18"/>
                <w:lang w:val="de-DE" w:eastAsia="de-DE"/>
              </w:rPr>
            </w:pPr>
            <w:r w:rsidRPr="00DD2A86">
              <w:rPr>
                <w:color w:val="000000"/>
                <w:sz w:val="18"/>
                <w:szCs w:val="18"/>
                <w:lang w:val="de-DE" w:eastAsia="de-DE"/>
              </w:rPr>
              <w:t>30 %</w:t>
            </w:r>
          </w:p>
        </w:tc>
        <w:tc>
          <w:tcPr>
            <w:tcW w:w="1433" w:type="dxa"/>
          </w:tcPr>
          <w:p w:rsidR="00865914" w:rsidRPr="00DD2A86" w:rsidRDefault="00865914" w:rsidP="00865914">
            <w:pPr>
              <w:tabs>
                <w:tab w:val="left" w:pos="2127"/>
                <w:tab w:val="left" w:pos="2410"/>
                <w:tab w:val="left" w:pos="3261"/>
              </w:tabs>
              <w:suppressAutoHyphens w:val="0"/>
              <w:spacing w:line="240" w:lineRule="auto"/>
              <w:jc w:val="center"/>
              <w:rPr>
                <w:color w:val="000000"/>
                <w:sz w:val="18"/>
                <w:szCs w:val="18"/>
                <w:lang w:val="de-DE" w:eastAsia="de-DE"/>
              </w:rPr>
            </w:pPr>
            <w:r w:rsidRPr="00DD2A86">
              <w:rPr>
                <w:color w:val="000000"/>
                <w:sz w:val="18"/>
                <w:szCs w:val="18"/>
                <w:lang w:val="de-DE" w:eastAsia="de-DE"/>
              </w:rPr>
              <w:t>keiner</w:t>
            </w:r>
          </w:p>
        </w:tc>
        <w:tc>
          <w:tcPr>
            <w:tcW w:w="1433" w:type="dxa"/>
          </w:tcPr>
          <w:p w:rsidR="00865914" w:rsidRPr="00DD2A86" w:rsidRDefault="00865914" w:rsidP="00865914">
            <w:pPr>
              <w:tabs>
                <w:tab w:val="left" w:pos="2127"/>
                <w:tab w:val="left" w:pos="2410"/>
                <w:tab w:val="left" w:pos="3261"/>
              </w:tabs>
              <w:suppressAutoHyphens w:val="0"/>
              <w:spacing w:line="240" w:lineRule="auto"/>
              <w:jc w:val="center"/>
              <w:rPr>
                <w:color w:val="000000"/>
                <w:sz w:val="18"/>
                <w:szCs w:val="18"/>
                <w:lang w:val="de-DE" w:eastAsia="de-DE"/>
              </w:rPr>
            </w:pPr>
            <w:r w:rsidRPr="00DD2A86">
              <w:rPr>
                <w:color w:val="000000"/>
                <w:sz w:val="18"/>
                <w:szCs w:val="18"/>
                <w:lang w:val="de-DE" w:eastAsia="de-DE"/>
              </w:rPr>
              <w:t>keiner</w:t>
            </w:r>
          </w:p>
        </w:tc>
      </w:tr>
      <w:tr w:rsidR="00865914" w:rsidRPr="00DD2A86" w:rsidTr="00865914">
        <w:tc>
          <w:tcPr>
            <w:tcW w:w="1431" w:type="dxa"/>
          </w:tcPr>
          <w:p w:rsidR="00865914" w:rsidRPr="00DD2A86" w:rsidRDefault="00865914" w:rsidP="00865914">
            <w:pPr>
              <w:tabs>
                <w:tab w:val="left" w:pos="2127"/>
                <w:tab w:val="left" w:pos="2410"/>
                <w:tab w:val="left" w:pos="3261"/>
              </w:tabs>
              <w:suppressAutoHyphens w:val="0"/>
              <w:spacing w:line="240" w:lineRule="auto"/>
              <w:rPr>
                <w:color w:val="000000"/>
                <w:sz w:val="18"/>
                <w:szCs w:val="18"/>
                <w:lang w:val="de-DE" w:eastAsia="de-DE"/>
              </w:rPr>
            </w:pPr>
            <w:r w:rsidRPr="00DD2A86">
              <w:rPr>
                <w:color w:val="000000"/>
                <w:sz w:val="18"/>
                <w:szCs w:val="18"/>
                <w:lang w:val="de-DE" w:eastAsia="de-DE"/>
              </w:rPr>
              <w:t>B, der Verpackungs</w:t>
            </w:r>
            <w:r w:rsidRPr="00DD2A86">
              <w:rPr>
                <w:color w:val="000000"/>
                <w:sz w:val="18"/>
                <w:szCs w:val="18"/>
                <w:lang w:val="de-DE" w:eastAsia="de-DE"/>
              </w:rPr>
              <w:softHyphen/>
              <w:t>gruppe I zugeordnet</w:t>
            </w:r>
          </w:p>
        </w:tc>
        <w:tc>
          <w:tcPr>
            <w:tcW w:w="1432" w:type="dxa"/>
          </w:tcPr>
          <w:p w:rsidR="00865914" w:rsidRPr="00DD2A86" w:rsidRDefault="00865914" w:rsidP="00865914">
            <w:pPr>
              <w:tabs>
                <w:tab w:val="left" w:pos="2127"/>
                <w:tab w:val="left" w:pos="2410"/>
                <w:tab w:val="left" w:pos="3261"/>
              </w:tabs>
              <w:suppressAutoHyphens w:val="0"/>
              <w:spacing w:line="240" w:lineRule="auto"/>
              <w:jc w:val="center"/>
              <w:rPr>
                <w:color w:val="000000"/>
                <w:sz w:val="18"/>
                <w:szCs w:val="18"/>
                <w:lang w:val="de-DE" w:eastAsia="de-DE"/>
              </w:rPr>
            </w:pPr>
            <w:r w:rsidRPr="00DD2A86">
              <w:rPr>
                <w:color w:val="000000"/>
                <w:sz w:val="18"/>
                <w:szCs w:val="18"/>
                <w:lang w:val="de-DE" w:eastAsia="de-DE"/>
              </w:rPr>
              <w:t>2</w:t>
            </w:r>
          </w:p>
        </w:tc>
        <w:tc>
          <w:tcPr>
            <w:tcW w:w="1432" w:type="dxa"/>
          </w:tcPr>
          <w:p w:rsidR="00865914" w:rsidRPr="00DD2A86" w:rsidRDefault="00865914" w:rsidP="00865914">
            <w:pPr>
              <w:tabs>
                <w:tab w:val="left" w:pos="2127"/>
                <w:tab w:val="left" w:pos="2410"/>
                <w:tab w:val="left" w:pos="3261"/>
              </w:tabs>
              <w:suppressAutoHyphens w:val="0"/>
              <w:spacing w:line="240" w:lineRule="auto"/>
              <w:jc w:val="center"/>
              <w:rPr>
                <w:color w:val="000000"/>
                <w:sz w:val="18"/>
                <w:szCs w:val="18"/>
                <w:lang w:val="de-DE" w:eastAsia="de-DE"/>
              </w:rPr>
            </w:pPr>
            <w:r w:rsidRPr="00DD2A86">
              <w:rPr>
                <w:color w:val="000000"/>
                <w:sz w:val="18"/>
                <w:szCs w:val="18"/>
                <w:lang w:val="de-DE" w:eastAsia="de-DE"/>
              </w:rPr>
              <w:t>20 %</w:t>
            </w:r>
          </w:p>
        </w:tc>
        <w:tc>
          <w:tcPr>
            <w:tcW w:w="1433" w:type="dxa"/>
          </w:tcPr>
          <w:p w:rsidR="00865914" w:rsidRPr="00DD2A86" w:rsidRDefault="00865914" w:rsidP="00865914">
            <w:pPr>
              <w:tabs>
                <w:tab w:val="left" w:pos="2127"/>
                <w:tab w:val="left" w:pos="2410"/>
                <w:tab w:val="left" w:pos="3261"/>
              </w:tabs>
              <w:suppressAutoHyphens w:val="0"/>
              <w:spacing w:line="240" w:lineRule="auto"/>
              <w:jc w:val="center"/>
              <w:rPr>
                <w:color w:val="000000"/>
                <w:sz w:val="18"/>
                <w:szCs w:val="18"/>
                <w:lang w:val="de-DE" w:eastAsia="de-DE"/>
              </w:rPr>
            </w:pPr>
            <w:r w:rsidRPr="00DD2A86">
              <w:rPr>
                <w:color w:val="000000"/>
                <w:sz w:val="18"/>
                <w:szCs w:val="18"/>
                <w:lang w:val="de-DE" w:eastAsia="de-DE"/>
              </w:rPr>
              <w:t>10 %</w:t>
            </w:r>
          </w:p>
        </w:tc>
        <w:tc>
          <w:tcPr>
            <w:tcW w:w="1433" w:type="dxa"/>
          </w:tcPr>
          <w:p w:rsidR="00865914" w:rsidRPr="00DD2A86" w:rsidRDefault="00865914" w:rsidP="00865914">
            <w:pPr>
              <w:tabs>
                <w:tab w:val="left" w:pos="2127"/>
                <w:tab w:val="left" w:pos="2410"/>
                <w:tab w:val="left" w:pos="3261"/>
              </w:tabs>
              <w:suppressAutoHyphens w:val="0"/>
              <w:spacing w:line="240" w:lineRule="auto"/>
              <w:jc w:val="center"/>
              <w:rPr>
                <w:color w:val="000000"/>
                <w:sz w:val="18"/>
                <w:szCs w:val="18"/>
                <w:lang w:val="de-DE" w:eastAsia="de-DE"/>
              </w:rPr>
            </w:pPr>
            <w:r w:rsidRPr="00DD2A86">
              <w:rPr>
                <w:color w:val="000000"/>
                <w:sz w:val="18"/>
                <w:szCs w:val="18"/>
                <w:lang w:val="de-DE" w:eastAsia="de-DE"/>
              </w:rPr>
              <w:t>keiner</w:t>
            </w:r>
          </w:p>
        </w:tc>
      </w:tr>
      <w:tr w:rsidR="00865914" w:rsidRPr="00DD2A86" w:rsidTr="00865914">
        <w:tc>
          <w:tcPr>
            <w:tcW w:w="1431" w:type="dxa"/>
          </w:tcPr>
          <w:p w:rsidR="00865914" w:rsidRPr="00DD2A86" w:rsidRDefault="00865914" w:rsidP="00865914">
            <w:pPr>
              <w:tabs>
                <w:tab w:val="left" w:pos="2127"/>
                <w:tab w:val="left" w:pos="2410"/>
                <w:tab w:val="left" w:pos="3261"/>
              </w:tabs>
              <w:suppressAutoHyphens w:val="0"/>
              <w:spacing w:line="240" w:lineRule="auto"/>
              <w:rPr>
                <w:color w:val="000000"/>
                <w:sz w:val="18"/>
                <w:szCs w:val="18"/>
                <w:lang w:val="de-DE" w:eastAsia="de-DE"/>
              </w:rPr>
            </w:pPr>
            <w:r w:rsidRPr="00DD2A86">
              <w:rPr>
                <w:color w:val="000000"/>
                <w:sz w:val="18"/>
                <w:szCs w:val="18"/>
                <w:lang w:val="de-DE" w:eastAsia="de-DE"/>
              </w:rPr>
              <w:t>C, der Verpackungs</w:t>
            </w:r>
            <w:r w:rsidRPr="00DD2A86">
              <w:rPr>
                <w:color w:val="000000"/>
                <w:sz w:val="18"/>
                <w:szCs w:val="18"/>
                <w:lang w:val="de-DE" w:eastAsia="de-DE"/>
              </w:rPr>
              <w:softHyphen/>
              <w:t>gruppe III zugeordnet</w:t>
            </w:r>
          </w:p>
        </w:tc>
        <w:tc>
          <w:tcPr>
            <w:tcW w:w="1432" w:type="dxa"/>
          </w:tcPr>
          <w:p w:rsidR="00865914" w:rsidRPr="00DD2A86" w:rsidRDefault="00865914" w:rsidP="00865914">
            <w:pPr>
              <w:tabs>
                <w:tab w:val="left" w:pos="2127"/>
                <w:tab w:val="left" w:pos="2410"/>
                <w:tab w:val="left" w:pos="3261"/>
              </w:tabs>
              <w:suppressAutoHyphens w:val="0"/>
              <w:spacing w:line="240" w:lineRule="auto"/>
              <w:jc w:val="center"/>
              <w:rPr>
                <w:color w:val="000000"/>
                <w:sz w:val="18"/>
                <w:szCs w:val="18"/>
                <w:lang w:val="de-DE" w:eastAsia="de-DE"/>
              </w:rPr>
            </w:pPr>
            <w:r w:rsidRPr="00DD2A86">
              <w:rPr>
                <w:color w:val="000000"/>
                <w:sz w:val="18"/>
                <w:szCs w:val="18"/>
                <w:lang w:val="de-DE" w:eastAsia="de-DE"/>
              </w:rPr>
              <w:t>10</w:t>
            </w:r>
          </w:p>
        </w:tc>
        <w:tc>
          <w:tcPr>
            <w:tcW w:w="1432" w:type="dxa"/>
          </w:tcPr>
          <w:p w:rsidR="00865914" w:rsidRPr="00DD2A86" w:rsidRDefault="00865914" w:rsidP="00865914">
            <w:pPr>
              <w:tabs>
                <w:tab w:val="left" w:pos="2127"/>
                <w:tab w:val="left" w:pos="2410"/>
                <w:tab w:val="left" w:pos="3261"/>
              </w:tabs>
              <w:suppressAutoHyphens w:val="0"/>
              <w:spacing w:line="240" w:lineRule="auto"/>
              <w:jc w:val="center"/>
              <w:rPr>
                <w:color w:val="000000"/>
                <w:sz w:val="18"/>
                <w:szCs w:val="18"/>
                <w:lang w:val="de-DE" w:eastAsia="de-DE"/>
              </w:rPr>
            </w:pPr>
            <w:r w:rsidRPr="00DD2A86">
              <w:rPr>
                <w:color w:val="000000"/>
                <w:sz w:val="18"/>
                <w:szCs w:val="18"/>
                <w:lang w:val="de-DE" w:eastAsia="de-DE"/>
              </w:rPr>
              <w:t>keiner</w:t>
            </w:r>
          </w:p>
        </w:tc>
        <w:tc>
          <w:tcPr>
            <w:tcW w:w="1433" w:type="dxa"/>
          </w:tcPr>
          <w:p w:rsidR="00865914" w:rsidRPr="00DD2A86" w:rsidRDefault="00865914" w:rsidP="00865914">
            <w:pPr>
              <w:tabs>
                <w:tab w:val="left" w:pos="2127"/>
                <w:tab w:val="left" w:pos="2410"/>
                <w:tab w:val="left" w:pos="3261"/>
              </w:tabs>
              <w:suppressAutoHyphens w:val="0"/>
              <w:spacing w:line="240" w:lineRule="auto"/>
              <w:jc w:val="center"/>
              <w:rPr>
                <w:color w:val="000000"/>
                <w:sz w:val="18"/>
                <w:szCs w:val="18"/>
                <w:lang w:val="de-DE" w:eastAsia="de-DE"/>
              </w:rPr>
            </w:pPr>
            <w:r w:rsidRPr="00DD2A86">
              <w:rPr>
                <w:color w:val="000000"/>
                <w:sz w:val="18"/>
                <w:szCs w:val="18"/>
                <w:lang w:val="de-DE" w:eastAsia="de-DE"/>
              </w:rPr>
              <w:t>keiner</w:t>
            </w:r>
          </w:p>
        </w:tc>
        <w:tc>
          <w:tcPr>
            <w:tcW w:w="1433" w:type="dxa"/>
          </w:tcPr>
          <w:p w:rsidR="00865914" w:rsidRPr="00DD2A86" w:rsidRDefault="00865914" w:rsidP="00865914">
            <w:pPr>
              <w:tabs>
                <w:tab w:val="left" w:pos="2127"/>
                <w:tab w:val="left" w:pos="2410"/>
                <w:tab w:val="left" w:pos="3261"/>
              </w:tabs>
              <w:suppressAutoHyphens w:val="0"/>
              <w:spacing w:line="240" w:lineRule="auto"/>
              <w:jc w:val="center"/>
              <w:rPr>
                <w:color w:val="000000"/>
                <w:sz w:val="18"/>
                <w:szCs w:val="18"/>
                <w:lang w:val="de-DE" w:eastAsia="de-DE"/>
              </w:rPr>
            </w:pPr>
            <w:r w:rsidRPr="00DD2A86">
              <w:rPr>
                <w:color w:val="000000"/>
                <w:sz w:val="18"/>
                <w:szCs w:val="18"/>
                <w:lang w:val="de-DE" w:eastAsia="de-DE"/>
              </w:rPr>
              <w:t>keiner</w:t>
            </w:r>
          </w:p>
        </w:tc>
      </w:tr>
    </w:tbl>
    <w:p w:rsidR="00865914" w:rsidRPr="00DD2A86" w:rsidRDefault="00865914" w:rsidP="00865914">
      <w:pPr>
        <w:tabs>
          <w:tab w:val="left" w:pos="2127"/>
          <w:tab w:val="left" w:pos="3117"/>
        </w:tabs>
        <w:suppressAutoHyphens w:val="0"/>
        <w:spacing w:line="240" w:lineRule="auto"/>
        <w:ind w:left="2127"/>
        <w:jc w:val="both"/>
        <w:rPr>
          <w:color w:val="000000"/>
          <w:lang w:val="de-DE" w:eastAsia="de-DE"/>
        </w:rPr>
      </w:pPr>
    </w:p>
    <w:p w:rsidR="00865914" w:rsidRPr="00DD2A86" w:rsidRDefault="00865914" w:rsidP="00865914">
      <w:pPr>
        <w:tabs>
          <w:tab w:val="left" w:pos="2127"/>
          <w:tab w:val="left" w:pos="2410"/>
          <w:tab w:val="left" w:pos="3261"/>
        </w:tabs>
        <w:suppressAutoHyphens w:val="0"/>
        <w:spacing w:before="120" w:line="240" w:lineRule="auto"/>
        <w:ind w:left="2127"/>
        <w:jc w:val="both"/>
        <w:rPr>
          <w:color w:val="000000"/>
          <w:lang w:val="de-DE" w:eastAsia="de-DE"/>
        </w:rPr>
      </w:pPr>
      <w:r w:rsidRPr="00DD2A86">
        <w:rPr>
          <w:color w:val="000000"/>
          <w:lang w:val="de-DE" w:eastAsia="de-DE"/>
        </w:rPr>
        <w:t>Berechnung für die Verpackungsgruppe I:</w:t>
      </w:r>
    </w:p>
    <w:p w:rsidR="00865914" w:rsidRPr="00DD2A86" w:rsidRDefault="00865914" w:rsidP="00865914">
      <w:pPr>
        <w:tabs>
          <w:tab w:val="left" w:pos="2127"/>
          <w:tab w:val="left" w:pos="2410"/>
          <w:tab w:val="left" w:pos="3261"/>
        </w:tabs>
        <w:suppressAutoHyphens w:val="0"/>
        <w:spacing w:before="120" w:line="240" w:lineRule="auto"/>
        <w:ind w:left="2127"/>
        <w:jc w:val="both"/>
        <w:rPr>
          <w:color w:val="000000"/>
          <w:lang w:val="de-DE" w:eastAsia="de-DE"/>
        </w:rPr>
      </w:pPr>
      <w:r w:rsidRPr="00DD2A86">
        <w:rPr>
          <w:color w:val="000000"/>
          <w:position w:val="-26"/>
          <w:lang w:val="de-DE" w:eastAsia="de-DE"/>
        </w:rPr>
        <w:object w:dxaOrig="3760" w:dyaOrig="620">
          <v:shape id="_x0000_i1027" type="#_x0000_t75" style="width:189.5pt;height:30.55pt" o:ole="">
            <v:imagedata r:id="rId41" o:title=""/>
          </v:shape>
          <o:OLEObject Type="Embed" ProgID="Equation.3" ShapeID="_x0000_i1027" DrawAspect="Content" ObjectID="_1591797753" r:id="rId42"/>
        </w:object>
      </w:r>
    </w:p>
    <w:p w:rsidR="00865914" w:rsidRPr="00DD2A86" w:rsidRDefault="00865914" w:rsidP="00865914">
      <w:pPr>
        <w:tabs>
          <w:tab w:val="left" w:pos="2127"/>
          <w:tab w:val="left" w:pos="2410"/>
          <w:tab w:val="left" w:pos="3261"/>
        </w:tabs>
        <w:suppressAutoHyphens w:val="0"/>
        <w:spacing w:before="120" w:line="240" w:lineRule="auto"/>
        <w:ind w:left="2127"/>
        <w:jc w:val="both"/>
        <w:rPr>
          <w:color w:val="000000"/>
          <w:lang w:val="de-DE" w:eastAsia="de-DE"/>
        </w:rPr>
      </w:pPr>
      <w:r w:rsidRPr="00DD2A86">
        <w:rPr>
          <w:color w:val="000000"/>
          <w:lang w:val="de-DE" w:eastAsia="de-DE"/>
        </w:rPr>
        <w:t>Das Kriterium für die Verpackungsgruppe I ist nicht erfüllt.</w:t>
      </w:r>
    </w:p>
    <w:p w:rsidR="00865914" w:rsidRPr="00DD2A86" w:rsidRDefault="00865914" w:rsidP="00865914">
      <w:pPr>
        <w:tabs>
          <w:tab w:val="left" w:pos="2127"/>
          <w:tab w:val="left" w:pos="2410"/>
          <w:tab w:val="left" w:pos="3261"/>
        </w:tabs>
        <w:suppressAutoHyphens w:val="0"/>
        <w:spacing w:before="360" w:line="240" w:lineRule="auto"/>
        <w:ind w:left="2127"/>
        <w:jc w:val="both"/>
        <w:rPr>
          <w:color w:val="000000"/>
          <w:lang w:val="de-DE" w:eastAsia="de-DE"/>
        </w:rPr>
      </w:pPr>
      <w:r w:rsidRPr="00DD2A86">
        <w:rPr>
          <w:color w:val="000000"/>
          <w:lang w:val="de-DE" w:eastAsia="de-DE"/>
        </w:rPr>
        <w:t>Berechnung für die Verpackungsgruppe II:</w:t>
      </w:r>
    </w:p>
    <w:p w:rsidR="00865914" w:rsidRPr="00DD2A86" w:rsidRDefault="00865914" w:rsidP="00865914">
      <w:pPr>
        <w:tabs>
          <w:tab w:val="left" w:pos="2127"/>
          <w:tab w:val="left" w:pos="2410"/>
          <w:tab w:val="left" w:pos="3261"/>
        </w:tabs>
        <w:suppressAutoHyphens w:val="0"/>
        <w:spacing w:before="120" w:line="240" w:lineRule="auto"/>
        <w:ind w:left="2127"/>
        <w:jc w:val="both"/>
        <w:rPr>
          <w:color w:val="000000"/>
          <w:lang w:val="de-DE" w:eastAsia="de-DE"/>
        </w:rPr>
      </w:pPr>
      <w:r w:rsidRPr="00DD2A86">
        <w:rPr>
          <w:color w:val="000000"/>
          <w:position w:val="-30"/>
          <w:lang w:val="de-DE" w:eastAsia="de-DE"/>
        </w:rPr>
        <w:object w:dxaOrig="4000" w:dyaOrig="680">
          <v:shape id="_x0000_i1028" type="#_x0000_t75" style="width:200.4pt;height:34pt" o:ole="">
            <v:imagedata r:id="rId43" o:title=""/>
          </v:shape>
          <o:OLEObject Type="Embed" ProgID="Equation.3" ShapeID="_x0000_i1028" DrawAspect="Content" ObjectID="_1591797754" r:id="rId44"/>
        </w:object>
      </w:r>
    </w:p>
    <w:p w:rsidR="00865914" w:rsidRPr="00DD2A86" w:rsidRDefault="00865914" w:rsidP="00865914">
      <w:pPr>
        <w:tabs>
          <w:tab w:val="left" w:pos="2127"/>
          <w:tab w:val="left" w:pos="2410"/>
          <w:tab w:val="left" w:pos="3261"/>
        </w:tabs>
        <w:suppressAutoHyphens w:val="0"/>
        <w:spacing w:before="120" w:after="120" w:line="240" w:lineRule="auto"/>
        <w:ind w:left="2127"/>
        <w:jc w:val="both"/>
        <w:rPr>
          <w:color w:val="000000"/>
          <w:lang w:val="de-DE" w:eastAsia="de-DE"/>
        </w:rPr>
      </w:pPr>
      <w:r w:rsidRPr="00DD2A86">
        <w:rPr>
          <w:color w:val="000000"/>
          <w:lang w:val="de-DE" w:eastAsia="de-DE"/>
        </w:rPr>
        <w:t>Das Kriterium für die Verpackungsgruppe II ist nicht erfüllt.</w:t>
      </w:r>
    </w:p>
    <w:p w:rsidR="00865914" w:rsidRPr="00DD2A86" w:rsidRDefault="00865914" w:rsidP="00865914">
      <w:pPr>
        <w:tabs>
          <w:tab w:val="left" w:pos="2127"/>
          <w:tab w:val="left" w:pos="2410"/>
          <w:tab w:val="left" w:pos="3261"/>
        </w:tabs>
        <w:suppressAutoHyphens w:val="0"/>
        <w:spacing w:before="360" w:after="120" w:line="240" w:lineRule="auto"/>
        <w:ind w:left="2127"/>
        <w:jc w:val="both"/>
        <w:rPr>
          <w:color w:val="000000"/>
          <w:lang w:val="de-DE" w:eastAsia="de-DE"/>
        </w:rPr>
      </w:pPr>
      <w:r w:rsidRPr="00DD2A86">
        <w:rPr>
          <w:color w:val="000000"/>
          <w:lang w:val="de-DE" w:eastAsia="de-DE"/>
        </w:rPr>
        <w:t>Berechnung für die Verpackungsgruppe III:</w:t>
      </w:r>
    </w:p>
    <w:p w:rsidR="00865914" w:rsidRPr="00DD2A86" w:rsidRDefault="00865914" w:rsidP="00865914">
      <w:pPr>
        <w:tabs>
          <w:tab w:val="left" w:pos="2127"/>
          <w:tab w:val="left" w:pos="2410"/>
          <w:tab w:val="left" w:pos="3261"/>
        </w:tabs>
        <w:suppressAutoHyphens w:val="0"/>
        <w:spacing w:after="120" w:line="240" w:lineRule="auto"/>
        <w:ind w:left="2127"/>
        <w:jc w:val="both"/>
        <w:rPr>
          <w:color w:val="000000"/>
          <w:lang w:val="de-DE" w:eastAsia="de-DE"/>
        </w:rPr>
      </w:pPr>
      <w:r w:rsidRPr="00DD2A86">
        <w:rPr>
          <w:color w:val="000000"/>
          <w:position w:val="-26"/>
          <w:lang w:val="de-DE" w:eastAsia="de-DE"/>
        </w:rPr>
        <w:object w:dxaOrig="5160" w:dyaOrig="620">
          <v:shape id="_x0000_i1029" type="#_x0000_t75" style="width:258pt;height:30.55pt" o:ole="">
            <v:imagedata r:id="rId45" o:title=""/>
          </v:shape>
          <o:OLEObject Type="Embed" ProgID="Equation.3" ShapeID="_x0000_i1029" DrawAspect="Content" ObjectID="_1591797755" r:id="rId46"/>
        </w:object>
      </w:r>
    </w:p>
    <w:p w:rsidR="00865914" w:rsidRPr="00DD2A86" w:rsidRDefault="00865914" w:rsidP="003A5E86">
      <w:pPr>
        <w:tabs>
          <w:tab w:val="left" w:pos="2127"/>
          <w:tab w:val="left" w:pos="2410"/>
          <w:tab w:val="left" w:pos="3261"/>
        </w:tabs>
        <w:suppressAutoHyphens w:val="0"/>
        <w:spacing w:after="120" w:line="240" w:lineRule="auto"/>
        <w:ind w:left="2127" w:right="1134"/>
        <w:jc w:val="both"/>
        <w:rPr>
          <w:b/>
          <w:color w:val="000000"/>
          <w:lang w:val="de-DE" w:eastAsia="de-DE"/>
        </w:rPr>
      </w:pPr>
      <w:r w:rsidRPr="00DD2A86">
        <w:rPr>
          <w:color w:val="000000"/>
          <w:lang w:val="de-DE" w:eastAsia="de-DE"/>
        </w:rPr>
        <w:t>Das Kriterium für die Verpackungsgruppe III ist erfüllt, das Gemisch muss der Klasse 8 Verpackungsgruppe III zugeordnet werden.</w:t>
      </w:r>
    </w:p>
    <w:p w:rsidR="00672848" w:rsidRPr="00DD2A86" w:rsidRDefault="00672848">
      <w:pPr>
        <w:suppressAutoHyphens w:val="0"/>
        <w:spacing w:line="240" w:lineRule="auto"/>
        <w:rPr>
          <w:b/>
          <w:color w:val="000000"/>
          <w:lang w:val="de-DE" w:eastAsia="de-DE"/>
        </w:rPr>
      </w:pPr>
      <w:r w:rsidRPr="00DD2A86">
        <w:rPr>
          <w:b/>
          <w:color w:val="000000"/>
          <w:lang w:val="de-DE" w:eastAsia="de-DE"/>
        </w:rPr>
        <w:br w:type="page"/>
      </w:r>
    </w:p>
    <w:p w:rsidR="00865914" w:rsidRPr="00DD2A86" w:rsidRDefault="00865914" w:rsidP="00865914">
      <w:pPr>
        <w:tabs>
          <w:tab w:val="left" w:pos="3828"/>
        </w:tabs>
        <w:suppressAutoHyphens w:val="0"/>
        <w:spacing w:line="240" w:lineRule="auto"/>
        <w:ind w:left="3828" w:hanging="2410"/>
        <w:rPr>
          <w:b/>
          <w:color w:val="000000"/>
          <w:lang w:val="de-DE" w:eastAsia="de-DE"/>
        </w:rPr>
      </w:pPr>
      <w:r w:rsidRPr="00DD2A86">
        <w:rPr>
          <w:b/>
          <w:color w:val="000000"/>
          <w:lang w:val="de-DE" w:eastAsia="de-DE"/>
        </w:rPr>
        <w:t>Abbildung 2.2.8.1.6.3: Berechnungsmethode</w:t>
      </w:r>
    </w:p>
    <w:p w:rsidR="00865914" w:rsidRPr="00DD2A86" w:rsidRDefault="00865914" w:rsidP="00865914">
      <w:pPr>
        <w:suppressAutoHyphens w:val="0"/>
        <w:spacing w:line="240" w:lineRule="auto"/>
        <w:ind w:left="2836" w:hanging="1418"/>
        <w:jc w:val="both"/>
        <w:rPr>
          <w:rFonts w:ascii="Arial" w:hAnsi="Arial"/>
          <w:color w:val="000000"/>
          <w:sz w:val="22"/>
          <w:lang w:val="de-DE" w:eastAsia="de-DE"/>
        </w:rPr>
      </w:pPr>
      <w:r w:rsidRPr="00DD2A86">
        <w:rPr>
          <w:rFonts w:ascii="Arial" w:hAnsi="Arial"/>
          <w:noProof/>
          <w:color w:val="000000"/>
          <w:sz w:val="22"/>
          <w:lang w:val="fr-FR" w:eastAsia="fr-FR"/>
        </w:rPr>
        <mc:AlternateContent>
          <mc:Choice Requires="wpc">
            <w:drawing>
              <wp:inline distT="0" distB="0" distL="0" distR="0" wp14:anchorId="742C529E" wp14:editId="636A5A14">
                <wp:extent cx="5169535" cy="4443730"/>
                <wp:effectExtent l="0" t="0" r="0" b="0"/>
                <wp:docPr id="2351" name="Zone de dessin 23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685800" y="164465"/>
                            <a:ext cx="2468880" cy="295275"/>
                          </a:xfrm>
                          <a:prstGeom prst="rect">
                            <a:avLst/>
                          </a:prstGeom>
                          <a:solidFill>
                            <a:srgbClr val="FFFFFF"/>
                          </a:solidFill>
                          <a:ln w="9525">
                            <a:solidFill>
                              <a:srgbClr val="000000"/>
                            </a:solidFill>
                            <a:miter lim="800000"/>
                            <a:headEnd/>
                            <a:tailEnd/>
                          </a:ln>
                        </wps:spPr>
                        <wps:txbx>
                          <w:txbxContent>
                            <w:p w:rsidR="00AA4416" w:rsidRPr="009431DC" w:rsidRDefault="00AA4416" w:rsidP="00865914">
                              <w:pPr>
                                <w:jc w:val="center"/>
                                <w:rPr>
                                  <w:sz w:val="16"/>
                                  <w:szCs w:val="16"/>
                                  <w:lang w:val="de-CH"/>
                                </w:rPr>
                              </w:pPr>
                              <w:r w:rsidRPr="009431DC">
                                <w:rPr>
                                  <w:sz w:val="16"/>
                                  <w:szCs w:val="16"/>
                                  <w:lang w:val="de-CH"/>
                                </w:rPr>
                                <w:t>Gemisch, das Stoffe der Klasse 8 enthält</w:t>
                              </w:r>
                            </w:p>
                          </w:txbxContent>
                        </wps:txbx>
                        <wps:bodyPr rot="0" vert="horz" wrap="square" lIns="91440" tIns="45720" rIns="91440" bIns="45720" anchor="t" anchorCtr="0" upright="1">
                          <a:noAutofit/>
                        </wps:bodyPr>
                      </wps:wsp>
                      <wps:wsp>
                        <wps:cNvPr id="2325" name="AutoShape 5"/>
                        <wps:cNvCnPr>
                          <a:cxnSpLocks noChangeShapeType="1"/>
                          <a:stCxn id="1" idx="2"/>
                        </wps:cNvCnPr>
                        <wps:spPr bwMode="auto">
                          <a:xfrm>
                            <a:off x="1920240" y="459740"/>
                            <a:ext cx="635" cy="229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6" name="AutoShape 6"/>
                        <wps:cNvSpPr>
                          <a:spLocks noChangeArrowheads="1"/>
                        </wps:cNvSpPr>
                        <wps:spPr bwMode="auto">
                          <a:xfrm>
                            <a:off x="1333500" y="689610"/>
                            <a:ext cx="1165860" cy="804545"/>
                          </a:xfrm>
                          <a:prstGeom prst="flowChartDecision">
                            <a:avLst/>
                          </a:prstGeom>
                          <a:solidFill>
                            <a:srgbClr val="FFFFFF"/>
                          </a:solidFill>
                          <a:ln w="9525">
                            <a:solidFill>
                              <a:srgbClr val="000000"/>
                            </a:solidFill>
                            <a:miter lim="800000"/>
                            <a:headEnd/>
                            <a:tailEnd/>
                          </a:ln>
                        </wps:spPr>
                        <wps:txbx>
                          <w:txbxContent>
                            <w:p w:rsidR="00AA4416" w:rsidRPr="004D67C0" w:rsidRDefault="00AA4416" w:rsidP="00865914">
                              <w:pPr>
                                <w:jc w:val="center"/>
                                <w:rPr>
                                  <w:sz w:val="16"/>
                                  <w:szCs w:val="16"/>
                                </w:rPr>
                              </w:pPr>
                              <w:r w:rsidRPr="004D67C0">
                                <w:rPr>
                                  <w:rFonts w:cs="Arial"/>
                                  <w:sz w:val="16"/>
                                  <w:szCs w:val="16"/>
                                </w:rPr>
                                <w:t>∑</w:t>
                              </w:r>
                              <w:r w:rsidRPr="004D67C0">
                                <w:rPr>
                                  <w:sz w:val="16"/>
                                  <w:szCs w:val="16"/>
                                </w:rPr>
                                <w:t>VG I</w:t>
                              </w:r>
                              <w:r w:rsidRPr="004D67C0">
                                <w:rPr>
                                  <w:sz w:val="16"/>
                                  <w:szCs w:val="16"/>
                                  <w:vertAlign w:val="subscript"/>
                                </w:rPr>
                                <w:t>i</w:t>
                              </w:r>
                              <w:r w:rsidRPr="004D67C0">
                                <w:rPr>
                                  <w:sz w:val="16"/>
                                  <w:szCs w:val="16"/>
                                </w:rPr>
                                <w:t xml:space="preserve"> </w:t>
                              </w:r>
                              <w:r w:rsidRPr="004D67C0">
                                <w:rPr>
                                  <w:rFonts w:cs="Arial"/>
                                  <w:sz w:val="16"/>
                                  <w:szCs w:val="16"/>
                                </w:rPr>
                                <w:t>≥</w:t>
                              </w:r>
                              <w:r w:rsidRPr="004D67C0">
                                <w:rPr>
                                  <w:sz w:val="16"/>
                                  <w:szCs w:val="16"/>
                                </w:rPr>
                                <w:t xml:space="preserve"> 1 %?</w:t>
                              </w:r>
                            </w:p>
                          </w:txbxContent>
                        </wps:txbx>
                        <wps:bodyPr rot="0" vert="horz" wrap="square" lIns="91440" tIns="45720" rIns="91440" bIns="45720" anchor="t" anchorCtr="0" upright="1">
                          <a:noAutofit/>
                        </wps:bodyPr>
                      </wps:wsp>
                      <wps:wsp>
                        <wps:cNvPr id="2327" name="Text Box 7"/>
                        <wps:cNvSpPr txBox="1">
                          <a:spLocks noChangeArrowheads="1"/>
                        </wps:cNvSpPr>
                        <wps:spPr bwMode="auto">
                          <a:xfrm>
                            <a:off x="1976120" y="474980"/>
                            <a:ext cx="274320"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4416" w:rsidRPr="004839BC" w:rsidRDefault="00AA4416" w:rsidP="00865914">
                              <w:pPr>
                                <w:rPr>
                                  <w:sz w:val="16"/>
                                  <w:szCs w:val="16"/>
                                  <w:lang w:val="de-CH"/>
                                </w:rPr>
                              </w:pPr>
                              <w:r w:rsidRPr="004839BC">
                                <w:rPr>
                                  <w:sz w:val="16"/>
                                  <w:szCs w:val="16"/>
                                  <w:lang w:val="de-CH"/>
                                </w:rPr>
                                <w:t>ja</w:t>
                              </w:r>
                            </w:p>
                          </w:txbxContent>
                        </wps:txbx>
                        <wps:bodyPr rot="0" vert="horz" wrap="square" lIns="91440" tIns="45720" rIns="91440" bIns="45720" anchor="t" anchorCtr="0" upright="1">
                          <a:noAutofit/>
                        </wps:bodyPr>
                      </wps:wsp>
                      <wps:wsp>
                        <wps:cNvPr id="2328" name="AutoShape 8"/>
                        <wps:cNvCnPr>
                          <a:cxnSpLocks noChangeShapeType="1"/>
                          <a:stCxn id="2326" idx="1"/>
                        </wps:cNvCnPr>
                        <wps:spPr bwMode="auto">
                          <a:xfrm rot="10800000" flipV="1">
                            <a:off x="1089660" y="1092200"/>
                            <a:ext cx="243840" cy="52006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29" name="AutoShape 9"/>
                        <wps:cNvCnPr>
                          <a:cxnSpLocks noChangeShapeType="1"/>
                          <a:stCxn id="2326" idx="3"/>
                        </wps:cNvCnPr>
                        <wps:spPr bwMode="auto">
                          <a:xfrm>
                            <a:off x="2499360" y="1092200"/>
                            <a:ext cx="233680" cy="51689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30" name="Text Box 10"/>
                        <wps:cNvSpPr txBox="1">
                          <a:spLocks noChangeArrowheads="1"/>
                        </wps:cNvSpPr>
                        <wps:spPr bwMode="auto">
                          <a:xfrm>
                            <a:off x="784860" y="1205230"/>
                            <a:ext cx="274320" cy="288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4416" w:rsidRPr="004839BC" w:rsidRDefault="00AA4416" w:rsidP="00865914">
                              <w:pPr>
                                <w:rPr>
                                  <w:sz w:val="16"/>
                                  <w:szCs w:val="16"/>
                                  <w:lang w:val="de-CH"/>
                                </w:rPr>
                              </w:pPr>
                              <w:r w:rsidRPr="004839BC">
                                <w:rPr>
                                  <w:sz w:val="16"/>
                                  <w:szCs w:val="16"/>
                                  <w:lang w:val="de-CH"/>
                                </w:rPr>
                                <w:t>ja</w:t>
                              </w:r>
                            </w:p>
                          </w:txbxContent>
                        </wps:txbx>
                        <wps:bodyPr rot="0" vert="horz" wrap="square" lIns="91440" tIns="45720" rIns="91440" bIns="45720" anchor="t" anchorCtr="0" upright="1">
                          <a:noAutofit/>
                        </wps:bodyPr>
                      </wps:wsp>
                      <wps:wsp>
                        <wps:cNvPr id="2331" name="Text Box 11"/>
                        <wps:cNvSpPr txBox="1">
                          <a:spLocks noChangeArrowheads="1"/>
                        </wps:cNvSpPr>
                        <wps:spPr bwMode="auto">
                          <a:xfrm>
                            <a:off x="2750820" y="1203325"/>
                            <a:ext cx="436880"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4416" w:rsidRPr="004839BC" w:rsidRDefault="00AA4416" w:rsidP="00865914">
                              <w:pPr>
                                <w:rPr>
                                  <w:sz w:val="16"/>
                                  <w:szCs w:val="16"/>
                                  <w:lang w:val="de-CH"/>
                                </w:rPr>
                              </w:pPr>
                              <w:r w:rsidRPr="004839BC">
                                <w:rPr>
                                  <w:sz w:val="16"/>
                                  <w:szCs w:val="16"/>
                                  <w:lang w:val="de-CH"/>
                                </w:rPr>
                                <w:t>nein</w:t>
                              </w:r>
                            </w:p>
                          </w:txbxContent>
                        </wps:txbx>
                        <wps:bodyPr rot="0" vert="horz" wrap="square" lIns="91440" tIns="45720" rIns="91440" bIns="45720" anchor="t" anchorCtr="0" upright="1">
                          <a:noAutofit/>
                        </wps:bodyPr>
                      </wps:wsp>
                      <wps:wsp>
                        <wps:cNvPr id="2332" name="AutoShape 12"/>
                        <wps:cNvSpPr>
                          <a:spLocks noChangeArrowheads="1"/>
                        </wps:cNvSpPr>
                        <wps:spPr bwMode="auto">
                          <a:xfrm>
                            <a:off x="508000" y="1609090"/>
                            <a:ext cx="1165860" cy="899160"/>
                          </a:xfrm>
                          <a:prstGeom prst="flowChartDecision">
                            <a:avLst/>
                          </a:prstGeom>
                          <a:solidFill>
                            <a:srgbClr val="FFFFFF"/>
                          </a:solidFill>
                          <a:ln w="9525">
                            <a:solidFill>
                              <a:srgbClr val="000000"/>
                            </a:solidFill>
                            <a:miter lim="800000"/>
                            <a:headEnd/>
                            <a:tailEnd/>
                          </a:ln>
                        </wps:spPr>
                        <wps:txbx>
                          <w:txbxContent>
                            <w:p w:rsidR="00AA4416" w:rsidRPr="004D67C0" w:rsidRDefault="00AA4416" w:rsidP="00865914">
                              <w:pPr>
                                <w:jc w:val="center"/>
                                <w:rPr>
                                  <w:sz w:val="16"/>
                                  <w:szCs w:val="16"/>
                                </w:rPr>
                              </w:pPr>
                              <w:r w:rsidRPr="004D67C0">
                                <w:rPr>
                                  <w:rFonts w:cs="Arial"/>
                                  <w:sz w:val="16"/>
                                  <w:szCs w:val="16"/>
                                </w:rPr>
                                <w:t>∑</w:t>
                              </w:r>
                              <w:r w:rsidRPr="004D67C0">
                                <w:rPr>
                                  <w:sz w:val="16"/>
                                  <w:szCs w:val="16"/>
                                </w:rPr>
                                <w:t>VG I</w:t>
                              </w:r>
                              <w:r w:rsidRPr="004D67C0">
                                <w:rPr>
                                  <w:sz w:val="16"/>
                                  <w:szCs w:val="16"/>
                                  <w:vertAlign w:val="subscript"/>
                                </w:rPr>
                                <w:t>i</w:t>
                              </w:r>
                              <w:r w:rsidRPr="004D67C0">
                                <w:rPr>
                                  <w:sz w:val="16"/>
                                  <w:szCs w:val="16"/>
                                </w:rPr>
                                <w:t xml:space="preserve"> </w:t>
                              </w:r>
                              <w:r w:rsidRPr="004D67C0">
                                <w:rPr>
                                  <w:rFonts w:cs="Arial"/>
                                  <w:sz w:val="16"/>
                                  <w:szCs w:val="16"/>
                                </w:rPr>
                                <w:t>≥</w:t>
                              </w:r>
                              <w:r w:rsidRPr="004D67C0">
                                <w:rPr>
                                  <w:sz w:val="16"/>
                                  <w:szCs w:val="16"/>
                                </w:rPr>
                                <w:t xml:space="preserve"> 5 %?</w:t>
                              </w:r>
                            </w:p>
                          </w:txbxContent>
                        </wps:txbx>
                        <wps:bodyPr rot="0" vert="horz" wrap="square" lIns="91440" tIns="45720" rIns="91440" bIns="45720" anchor="t" anchorCtr="0" upright="1">
                          <a:noAutofit/>
                        </wps:bodyPr>
                      </wps:wsp>
                      <wps:wsp>
                        <wps:cNvPr id="2333" name="AutoShape 13"/>
                        <wps:cNvSpPr>
                          <a:spLocks noChangeArrowheads="1"/>
                        </wps:cNvSpPr>
                        <wps:spPr bwMode="auto">
                          <a:xfrm>
                            <a:off x="2151380" y="1609090"/>
                            <a:ext cx="1213485" cy="899160"/>
                          </a:xfrm>
                          <a:prstGeom prst="flowChartDecision">
                            <a:avLst/>
                          </a:prstGeom>
                          <a:solidFill>
                            <a:srgbClr val="FFFFFF"/>
                          </a:solidFill>
                          <a:ln w="9525">
                            <a:solidFill>
                              <a:srgbClr val="000000"/>
                            </a:solidFill>
                            <a:miter lim="800000"/>
                            <a:headEnd/>
                            <a:tailEnd/>
                          </a:ln>
                        </wps:spPr>
                        <wps:txbx>
                          <w:txbxContent>
                            <w:p w:rsidR="00AA4416" w:rsidRPr="004D67C0" w:rsidRDefault="00AA4416" w:rsidP="00865914">
                              <w:pPr>
                                <w:ind w:left="-142" w:right="-228"/>
                                <w:jc w:val="center"/>
                                <w:rPr>
                                  <w:sz w:val="16"/>
                                  <w:szCs w:val="16"/>
                                </w:rPr>
                              </w:pPr>
                              <w:r w:rsidRPr="004D67C0">
                                <w:rPr>
                                  <w:rFonts w:cs="Arial"/>
                                  <w:sz w:val="16"/>
                                  <w:szCs w:val="16"/>
                                </w:rPr>
                                <w:t>∑</w:t>
                              </w:r>
                              <w:r w:rsidRPr="004D67C0">
                                <w:rPr>
                                  <w:sz w:val="16"/>
                                  <w:szCs w:val="16"/>
                                </w:rPr>
                                <w:t>VG I</w:t>
                              </w:r>
                              <w:r w:rsidRPr="004D67C0">
                                <w:rPr>
                                  <w:sz w:val="16"/>
                                  <w:szCs w:val="16"/>
                                  <w:vertAlign w:val="subscript"/>
                                </w:rPr>
                                <w:t>i</w:t>
                              </w:r>
                              <w:r w:rsidRPr="004D67C0">
                                <w:rPr>
                                  <w:sz w:val="16"/>
                                  <w:szCs w:val="16"/>
                                </w:rPr>
                                <w:t xml:space="preserve"> + </w:t>
                              </w:r>
                              <w:r w:rsidRPr="004D67C0">
                                <w:rPr>
                                  <w:rFonts w:cs="Arial"/>
                                  <w:sz w:val="16"/>
                                  <w:szCs w:val="16"/>
                                </w:rPr>
                                <w:t>∑</w:t>
                              </w:r>
                              <w:r w:rsidRPr="004D67C0">
                                <w:rPr>
                                  <w:sz w:val="16"/>
                                  <w:szCs w:val="16"/>
                                </w:rPr>
                                <w:t>VG</w:t>
                              </w:r>
                              <w:r>
                                <w:rPr>
                                  <w:sz w:val="16"/>
                                  <w:szCs w:val="16"/>
                                </w:rPr>
                                <w:t> </w:t>
                              </w:r>
                              <w:r w:rsidRPr="004D67C0">
                                <w:rPr>
                                  <w:sz w:val="16"/>
                                  <w:szCs w:val="16"/>
                                </w:rPr>
                                <w:t>II</w:t>
                              </w:r>
                              <w:r w:rsidRPr="004D67C0">
                                <w:rPr>
                                  <w:sz w:val="16"/>
                                  <w:szCs w:val="16"/>
                                  <w:vertAlign w:val="subscript"/>
                                </w:rPr>
                                <w:t>i</w:t>
                              </w:r>
                              <w:r w:rsidRPr="004D67C0">
                                <w:rPr>
                                  <w:rFonts w:cs="Arial"/>
                                  <w:sz w:val="16"/>
                                  <w:szCs w:val="16"/>
                                </w:rPr>
                                <w:t xml:space="preserve"> ≥</w:t>
                              </w:r>
                              <w:r w:rsidRPr="004D67C0">
                                <w:rPr>
                                  <w:sz w:val="16"/>
                                  <w:szCs w:val="16"/>
                                </w:rPr>
                                <w:t xml:space="preserve"> 5 %?</w:t>
                              </w:r>
                            </w:p>
                          </w:txbxContent>
                        </wps:txbx>
                        <wps:bodyPr rot="0" vert="horz" wrap="square" lIns="91440" tIns="45720" rIns="91440" bIns="45720" anchor="t" anchorCtr="0" upright="1">
                          <a:noAutofit/>
                        </wps:bodyPr>
                      </wps:wsp>
                      <wps:wsp>
                        <wps:cNvPr id="2334" name="AutoShape 14"/>
                        <wps:cNvCnPr>
                          <a:cxnSpLocks noChangeShapeType="1"/>
                          <a:stCxn id="2333" idx="3"/>
                          <a:endCxn id="2335" idx="0"/>
                        </wps:cNvCnPr>
                        <wps:spPr bwMode="auto">
                          <a:xfrm>
                            <a:off x="3364865" y="2058670"/>
                            <a:ext cx="188595" cy="365124"/>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35" name="AutoShape 15"/>
                        <wps:cNvSpPr>
                          <a:spLocks noChangeArrowheads="1"/>
                        </wps:cNvSpPr>
                        <wps:spPr bwMode="auto">
                          <a:xfrm>
                            <a:off x="2852420" y="2423794"/>
                            <a:ext cx="1402080" cy="1116761"/>
                          </a:xfrm>
                          <a:prstGeom prst="flowChartDecision">
                            <a:avLst/>
                          </a:prstGeom>
                          <a:solidFill>
                            <a:srgbClr val="FFFFFF"/>
                          </a:solidFill>
                          <a:ln w="9525">
                            <a:solidFill>
                              <a:srgbClr val="000000"/>
                            </a:solidFill>
                            <a:miter lim="800000"/>
                            <a:headEnd/>
                            <a:tailEnd/>
                          </a:ln>
                        </wps:spPr>
                        <wps:txbx>
                          <w:txbxContent>
                            <w:p w:rsidR="00AA4416" w:rsidRPr="00F17488" w:rsidRDefault="00AA4416" w:rsidP="00865914">
                              <w:pPr>
                                <w:ind w:left="-142" w:right="-123"/>
                                <w:jc w:val="center"/>
                                <w:rPr>
                                  <w:sz w:val="16"/>
                                  <w:szCs w:val="16"/>
                                </w:rPr>
                              </w:pPr>
                              <w:r w:rsidRPr="00F17488">
                                <w:rPr>
                                  <w:rFonts w:cs="Arial"/>
                                  <w:sz w:val="16"/>
                                  <w:szCs w:val="16"/>
                                </w:rPr>
                                <w:t>∑</w:t>
                              </w:r>
                              <w:r w:rsidRPr="00F17488">
                                <w:rPr>
                                  <w:sz w:val="16"/>
                                  <w:szCs w:val="16"/>
                                </w:rPr>
                                <w:t>VG I</w:t>
                              </w:r>
                              <w:r w:rsidRPr="00F17488">
                                <w:rPr>
                                  <w:sz w:val="16"/>
                                  <w:szCs w:val="16"/>
                                  <w:vertAlign w:val="subscript"/>
                                </w:rPr>
                                <w:t>i</w:t>
                              </w:r>
                              <w:r w:rsidRPr="00F17488">
                                <w:rPr>
                                  <w:sz w:val="16"/>
                                  <w:szCs w:val="16"/>
                                </w:rPr>
                                <w:t xml:space="preserve"> + </w:t>
                              </w:r>
                              <w:r w:rsidRPr="00F17488">
                                <w:rPr>
                                  <w:rFonts w:cs="Arial"/>
                                  <w:sz w:val="16"/>
                                  <w:szCs w:val="16"/>
                                </w:rPr>
                                <w:t>∑</w:t>
                              </w:r>
                              <w:r w:rsidRPr="00F17488">
                                <w:rPr>
                                  <w:sz w:val="16"/>
                                  <w:szCs w:val="16"/>
                                </w:rPr>
                                <w:t>VG</w:t>
                              </w:r>
                              <w:r>
                                <w:rPr>
                                  <w:sz w:val="16"/>
                                  <w:szCs w:val="16"/>
                                </w:rPr>
                                <w:t> </w:t>
                              </w:r>
                              <w:r w:rsidRPr="00F17488">
                                <w:rPr>
                                  <w:sz w:val="16"/>
                                  <w:szCs w:val="16"/>
                                </w:rPr>
                                <w:t>II</w:t>
                              </w:r>
                              <w:r w:rsidRPr="00F17488">
                                <w:rPr>
                                  <w:sz w:val="16"/>
                                  <w:szCs w:val="16"/>
                                  <w:vertAlign w:val="subscript"/>
                                </w:rPr>
                                <w:t>i</w:t>
                              </w:r>
                              <w:r w:rsidRPr="00F17488">
                                <w:rPr>
                                  <w:rFonts w:cs="Arial"/>
                                  <w:sz w:val="16"/>
                                  <w:szCs w:val="16"/>
                                </w:rPr>
                                <w:t xml:space="preserve"> + ∑</w:t>
                              </w:r>
                              <w:r w:rsidRPr="00F17488">
                                <w:rPr>
                                  <w:sz w:val="16"/>
                                  <w:szCs w:val="16"/>
                                </w:rPr>
                                <w:t>VG</w:t>
                              </w:r>
                              <w:r>
                                <w:rPr>
                                  <w:sz w:val="16"/>
                                  <w:szCs w:val="16"/>
                                </w:rPr>
                                <w:t> </w:t>
                              </w:r>
                              <w:r w:rsidRPr="00F17488">
                                <w:rPr>
                                  <w:sz w:val="16"/>
                                  <w:szCs w:val="16"/>
                                </w:rPr>
                                <w:t>III</w:t>
                              </w:r>
                              <w:r w:rsidRPr="00F17488">
                                <w:rPr>
                                  <w:sz w:val="16"/>
                                  <w:szCs w:val="16"/>
                                  <w:vertAlign w:val="subscript"/>
                                </w:rPr>
                                <w:t>i</w:t>
                              </w:r>
                              <w:r w:rsidRPr="00F17488">
                                <w:rPr>
                                  <w:sz w:val="16"/>
                                  <w:szCs w:val="16"/>
                                </w:rPr>
                                <w:t xml:space="preserve"> </w:t>
                              </w:r>
                              <w:r w:rsidRPr="00F17488">
                                <w:rPr>
                                  <w:rFonts w:cs="Arial"/>
                                  <w:sz w:val="16"/>
                                  <w:szCs w:val="16"/>
                                </w:rPr>
                                <w:t>≥</w:t>
                              </w:r>
                              <w:r w:rsidRPr="00F17488">
                                <w:rPr>
                                  <w:sz w:val="16"/>
                                  <w:szCs w:val="16"/>
                                </w:rPr>
                                <w:t xml:space="preserve"> 5 %?</w:t>
                              </w:r>
                            </w:p>
                          </w:txbxContent>
                        </wps:txbx>
                        <wps:bodyPr rot="0" vert="horz" wrap="square" lIns="91440" tIns="45720" rIns="91440" bIns="45720" anchor="t" anchorCtr="0" upright="1">
                          <a:noAutofit/>
                        </wps:bodyPr>
                      </wps:wsp>
                      <wps:wsp>
                        <wps:cNvPr id="2336" name="Text Box 16"/>
                        <wps:cNvSpPr txBox="1">
                          <a:spLocks noChangeArrowheads="1"/>
                        </wps:cNvSpPr>
                        <wps:spPr bwMode="auto">
                          <a:xfrm>
                            <a:off x="3525520" y="2073910"/>
                            <a:ext cx="411480"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4416" w:rsidRPr="004839BC" w:rsidRDefault="00AA4416" w:rsidP="00865914">
                              <w:pPr>
                                <w:rPr>
                                  <w:sz w:val="16"/>
                                  <w:szCs w:val="16"/>
                                  <w:lang w:val="de-CH"/>
                                </w:rPr>
                              </w:pPr>
                              <w:r w:rsidRPr="004839BC">
                                <w:rPr>
                                  <w:sz w:val="16"/>
                                  <w:szCs w:val="16"/>
                                  <w:lang w:val="de-CH"/>
                                </w:rPr>
                                <w:t>nein</w:t>
                              </w:r>
                            </w:p>
                          </w:txbxContent>
                        </wps:txbx>
                        <wps:bodyPr rot="0" vert="horz" wrap="square" lIns="91440" tIns="45720" rIns="91440" bIns="45720" anchor="t" anchorCtr="0" upright="1">
                          <a:noAutofit/>
                        </wps:bodyPr>
                      </wps:wsp>
                      <wps:wsp>
                        <wps:cNvPr id="2337" name="AutoShape 17"/>
                        <wps:cNvCnPr>
                          <a:cxnSpLocks noChangeShapeType="1"/>
                          <a:stCxn id="2335" idx="1"/>
                        </wps:cNvCnPr>
                        <wps:spPr bwMode="auto">
                          <a:xfrm rot="10800000" flipV="1">
                            <a:off x="2748280" y="2982175"/>
                            <a:ext cx="104140" cy="70400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38" name="AutoShape 18"/>
                        <wps:cNvCnPr>
                          <a:cxnSpLocks noChangeShapeType="1"/>
                          <a:stCxn id="2335" idx="3"/>
                        </wps:cNvCnPr>
                        <wps:spPr bwMode="auto">
                          <a:xfrm>
                            <a:off x="4254500" y="2982175"/>
                            <a:ext cx="12700" cy="69638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39" name="AutoShape 19"/>
                        <wps:cNvCnPr>
                          <a:cxnSpLocks noChangeShapeType="1"/>
                          <a:stCxn id="2333" idx="1"/>
                        </wps:cNvCnPr>
                        <wps:spPr bwMode="auto">
                          <a:xfrm rot="10800000" flipV="1">
                            <a:off x="2057400" y="2058670"/>
                            <a:ext cx="93980" cy="167449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40" name="AutoShape 20"/>
                        <wps:cNvCnPr>
                          <a:cxnSpLocks noChangeShapeType="1"/>
                          <a:stCxn id="2332" idx="3"/>
                        </wps:cNvCnPr>
                        <wps:spPr bwMode="auto">
                          <a:xfrm>
                            <a:off x="1673860" y="2058670"/>
                            <a:ext cx="109220" cy="167068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41" name="AutoShape 21"/>
                        <wps:cNvCnPr>
                          <a:cxnSpLocks noChangeShapeType="1"/>
                          <a:stCxn id="2332" idx="1"/>
                        </wps:cNvCnPr>
                        <wps:spPr bwMode="auto">
                          <a:xfrm rot="10800000" flipV="1">
                            <a:off x="411480" y="2058670"/>
                            <a:ext cx="96520" cy="167068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42" name="Rectangle 22"/>
                        <wps:cNvSpPr>
                          <a:spLocks noChangeArrowheads="1"/>
                        </wps:cNvSpPr>
                        <wps:spPr bwMode="auto">
                          <a:xfrm>
                            <a:off x="137160" y="3729355"/>
                            <a:ext cx="1097280" cy="342265"/>
                          </a:xfrm>
                          <a:prstGeom prst="rect">
                            <a:avLst/>
                          </a:prstGeom>
                          <a:solidFill>
                            <a:srgbClr val="FFFFFF"/>
                          </a:solidFill>
                          <a:ln w="9525">
                            <a:solidFill>
                              <a:srgbClr val="000000"/>
                            </a:solidFill>
                            <a:miter lim="800000"/>
                            <a:headEnd/>
                            <a:tailEnd/>
                          </a:ln>
                        </wps:spPr>
                        <wps:txbx>
                          <w:txbxContent>
                            <w:p w:rsidR="00AA4416" w:rsidRPr="004839BC" w:rsidRDefault="00AA4416" w:rsidP="00865914">
                              <w:pPr>
                                <w:spacing w:line="240" w:lineRule="auto"/>
                                <w:jc w:val="center"/>
                                <w:rPr>
                                  <w:sz w:val="16"/>
                                  <w:szCs w:val="16"/>
                                </w:rPr>
                              </w:pPr>
                              <w:r w:rsidRPr="004839BC">
                                <w:rPr>
                                  <w:rFonts w:cs="Arial"/>
                                  <w:sz w:val="16"/>
                                  <w:szCs w:val="16"/>
                                  <w:lang w:val="de-CH"/>
                                </w:rPr>
                                <w:t>Klasse 8, Verpackungsgruppe I</w:t>
                              </w:r>
                            </w:p>
                          </w:txbxContent>
                        </wps:txbx>
                        <wps:bodyPr rot="0" vert="horz" wrap="square" lIns="91440" tIns="45720" rIns="91440" bIns="45720" anchor="t" anchorCtr="0" upright="1">
                          <a:noAutofit/>
                        </wps:bodyPr>
                      </wps:wsp>
                      <wps:wsp>
                        <wps:cNvPr id="2343" name="Rectangle 23"/>
                        <wps:cNvSpPr>
                          <a:spLocks noChangeArrowheads="1"/>
                        </wps:cNvSpPr>
                        <wps:spPr bwMode="auto">
                          <a:xfrm>
                            <a:off x="1346200" y="3729355"/>
                            <a:ext cx="1172845" cy="399415"/>
                          </a:xfrm>
                          <a:prstGeom prst="rect">
                            <a:avLst/>
                          </a:prstGeom>
                          <a:solidFill>
                            <a:srgbClr val="FFFFFF"/>
                          </a:solidFill>
                          <a:ln w="9525">
                            <a:solidFill>
                              <a:srgbClr val="000000"/>
                            </a:solidFill>
                            <a:miter lim="800000"/>
                            <a:headEnd/>
                            <a:tailEnd/>
                          </a:ln>
                        </wps:spPr>
                        <wps:txbx>
                          <w:txbxContent>
                            <w:p w:rsidR="00AA4416" w:rsidRPr="004839BC" w:rsidRDefault="00AA4416" w:rsidP="00865914">
                              <w:pPr>
                                <w:spacing w:line="240" w:lineRule="auto"/>
                                <w:jc w:val="center"/>
                                <w:rPr>
                                  <w:sz w:val="16"/>
                                  <w:szCs w:val="16"/>
                                </w:rPr>
                              </w:pPr>
                              <w:r w:rsidRPr="004839BC">
                                <w:rPr>
                                  <w:rFonts w:cs="Arial"/>
                                  <w:sz w:val="16"/>
                                  <w:szCs w:val="16"/>
                                  <w:lang w:val="de-CH"/>
                                </w:rPr>
                                <w:t>Klasse 8, Verpackungsgruppe I</w:t>
                              </w:r>
                              <w:r>
                                <w:rPr>
                                  <w:rFonts w:cs="Arial"/>
                                  <w:sz w:val="16"/>
                                  <w:szCs w:val="16"/>
                                  <w:lang w:val="de-CH"/>
                                </w:rPr>
                                <w:t>I</w:t>
                              </w:r>
                            </w:p>
                          </w:txbxContent>
                        </wps:txbx>
                        <wps:bodyPr rot="0" vert="horz" wrap="square" lIns="91440" tIns="45720" rIns="91440" bIns="45720" anchor="t" anchorCtr="0" upright="1">
                          <a:noAutofit/>
                        </wps:bodyPr>
                      </wps:wsp>
                      <wps:wsp>
                        <wps:cNvPr id="2344" name="Rectangle 24"/>
                        <wps:cNvSpPr>
                          <a:spLocks noChangeArrowheads="1"/>
                        </wps:cNvSpPr>
                        <wps:spPr bwMode="auto">
                          <a:xfrm>
                            <a:off x="2606040" y="3733165"/>
                            <a:ext cx="1164590" cy="342265"/>
                          </a:xfrm>
                          <a:prstGeom prst="rect">
                            <a:avLst/>
                          </a:prstGeom>
                          <a:solidFill>
                            <a:srgbClr val="FFFFFF"/>
                          </a:solidFill>
                          <a:ln w="9525">
                            <a:solidFill>
                              <a:srgbClr val="000000"/>
                            </a:solidFill>
                            <a:miter lim="800000"/>
                            <a:headEnd/>
                            <a:tailEnd/>
                          </a:ln>
                        </wps:spPr>
                        <wps:txbx>
                          <w:txbxContent>
                            <w:p w:rsidR="00AA4416" w:rsidRPr="004839BC" w:rsidRDefault="00AA4416" w:rsidP="00865914">
                              <w:pPr>
                                <w:spacing w:line="240" w:lineRule="auto"/>
                                <w:jc w:val="center"/>
                                <w:rPr>
                                  <w:sz w:val="16"/>
                                  <w:szCs w:val="16"/>
                                </w:rPr>
                              </w:pPr>
                              <w:r w:rsidRPr="004839BC">
                                <w:rPr>
                                  <w:rFonts w:cs="Arial"/>
                                  <w:sz w:val="16"/>
                                  <w:szCs w:val="16"/>
                                  <w:lang w:val="de-CH"/>
                                </w:rPr>
                                <w:t>Klasse 8, Verpackungsgruppe I</w:t>
                              </w:r>
                              <w:r>
                                <w:rPr>
                                  <w:sz w:val="16"/>
                                  <w:szCs w:val="16"/>
                                </w:rPr>
                                <w:t>II</w:t>
                              </w:r>
                            </w:p>
                          </w:txbxContent>
                        </wps:txbx>
                        <wps:bodyPr rot="0" vert="horz" wrap="square" lIns="91440" tIns="45720" rIns="91440" bIns="45720" anchor="t" anchorCtr="0" upright="1">
                          <a:noAutofit/>
                        </wps:bodyPr>
                      </wps:wsp>
                      <wps:wsp>
                        <wps:cNvPr id="2345" name="Rectangle 25"/>
                        <wps:cNvSpPr>
                          <a:spLocks noChangeArrowheads="1"/>
                        </wps:cNvSpPr>
                        <wps:spPr bwMode="auto">
                          <a:xfrm>
                            <a:off x="3815715" y="3726815"/>
                            <a:ext cx="1097280" cy="344805"/>
                          </a:xfrm>
                          <a:prstGeom prst="rect">
                            <a:avLst/>
                          </a:prstGeom>
                          <a:solidFill>
                            <a:srgbClr val="FFFFFF"/>
                          </a:solidFill>
                          <a:ln w="9525">
                            <a:solidFill>
                              <a:srgbClr val="000000"/>
                            </a:solidFill>
                            <a:miter lim="800000"/>
                            <a:headEnd/>
                            <a:tailEnd/>
                          </a:ln>
                        </wps:spPr>
                        <wps:txbx>
                          <w:txbxContent>
                            <w:p w:rsidR="00AA4416" w:rsidRPr="004839BC" w:rsidRDefault="00AA4416" w:rsidP="00865914">
                              <w:pPr>
                                <w:spacing w:line="240" w:lineRule="auto"/>
                                <w:jc w:val="center"/>
                                <w:rPr>
                                  <w:sz w:val="16"/>
                                  <w:szCs w:val="16"/>
                                  <w:lang w:val="de-CH"/>
                                </w:rPr>
                              </w:pPr>
                              <w:r w:rsidRPr="004839BC">
                                <w:rPr>
                                  <w:sz w:val="16"/>
                                  <w:szCs w:val="16"/>
                                  <w:lang w:val="de-CH"/>
                                </w:rPr>
                                <w:t>Klasse 8 nicht anwendbar</w:t>
                              </w:r>
                            </w:p>
                          </w:txbxContent>
                        </wps:txbx>
                        <wps:bodyPr rot="0" vert="horz" wrap="square" lIns="91440" tIns="45720" rIns="91440" bIns="45720" anchor="t" anchorCtr="0" upright="1">
                          <a:noAutofit/>
                        </wps:bodyPr>
                      </wps:wsp>
                      <wps:wsp>
                        <wps:cNvPr id="2346" name="Text Box 26"/>
                        <wps:cNvSpPr txBox="1">
                          <a:spLocks noChangeArrowheads="1"/>
                        </wps:cNvSpPr>
                        <wps:spPr bwMode="auto">
                          <a:xfrm>
                            <a:off x="65405" y="2758440"/>
                            <a:ext cx="31813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4416" w:rsidRPr="004839BC" w:rsidRDefault="00AA4416" w:rsidP="00865914">
                              <w:pPr>
                                <w:rPr>
                                  <w:sz w:val="16"/>
                                  <w:szCs w:val="16"/>
                                  <w:lang w:val="de-CH"/>
                                </w:rPr>
                              </w:pPr>
                              <w:r w:rsidRPr="004839BC">
                                <w:rPr>
                                  <w:sz w:val="16"/>
                                  <w:szCs w:val="16"/>
                                  <w:lang w:val="de-CH"/>
                                </w:rPr>
                                <w:t>ja</w:t>
                              </w:r>
                            </w:p>
                          </w:txbxContent>
                        </wps:txbx>
                        <wps:bodyPr rot="0" vert="horz" wrap="square" lIns="91440" tIns="45720" rIns="91440" bIns="45720" anchor="t" anchorCtr="0" upright="1">
                          <a:noAutofit/>
                        </wps:bodyPr>
                      </wps:wsp>
                      <wps:wsp>
                        <wps:cNvPr id="2347" name="Text Box 27"/>
                        <wps:cNvSpPr txBox="1">
                          <a:spLocks noChangeArrowheads="1"/>
                        </wps:cNvSpPr>
                        <wps:spPr bwMode="auto">
                          <a:xfrm>
                            <a:off x="1346200" y="2758440"/>
                            <a:ext cx="411480"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4416" w:rsidRPr="004839BC" w:rsidRDefault="00AA4416" w:rsidP="00865914">
                              <w:pPr>
                                <w:rPr>
                                  <w:sz w:val="16"/>
                                  <w:szCs w:val="16"/>
                                  <w:lang w:val="de-CH"/>
                                </w:rPr>
                              </w:pPr>
                              <w:r w:rsidRPr="004839BC">
                                <w:rPr>
                                  <w:sz w:val="16"/>
                                  <w:szCs w:val="16"/>
                                  <w:lang w:val="de-CH"/>
                                </w:rPr>
                                <w:t>nein</w:t>
                              </w:r>
                            </w:p>
                          </w:txbxContent>
                        </wps:txbx>
                        <wps:bodyPr rot="0" vert="horz" wrap="square" lIns="91440" tIns="45720" rIns="91440" bIns="45720" anchor="t" anchorCtr="0" upright="1">
                          <a:noAutofit/>
                        </wps:bodyPr>
                      </wps:wsp>
                      <wps:wsp>
                        <wps:cNvPr id="2348" name="Text Box 28"/>
                        <wps:cNvSpPr txBox="1">
                          <a:spLocks noChangeArrowheads="1"/>
                        </wps:cNvSpPr>
                        <wps:spPr bwMode="auto">
                          <a:xfrm>
                            <a:off x="4279900" y="3162300"/>
                            <a:ext cx="411480"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4416" w:rsidRPr="004839BC" w:rsidRDefault="00AA4416" w:rsidP="00865914">
                              <w:pPr>
                                <w:rPr>
                                  <w:sz w:val="16"/>
                                  <w:szCs w:val="16"/>
                                  <w:lang w:val="de-CH"/>
                                </w:rPr>
                              </w:pPr>
                              <w:r w:rsidRPr="004839BC">
                                <w:rPr>
                                  <w:sz w:val="16"/>
                                  <w:szCs w:val="16"/>
                                  <w:lang w:val="de-CH"/>
                                </w:rPr>
                                <w:t>nein</w:t>
                              </w:r>
                            </w:p>
                          </w:txbxContent>
                        </wps:txbx>
                        <wps:bodyPr rot="0" vert="horz" wrap="square" lIns="91440" tIns="45720" rIns="91440" bIns="45720" anchor="t" anchorCtr="0" upright="1">
                          <a:noAutofit/>
                        </wps:bodyPr>
                      </wps:wsp>
                      <wps:wsp>
                        <wps:cNvPr id="2349" name="Text Box 29"/>
                        <wps:cNvSpPr txBox="1">
                          <a:spLocks noChangeArrowheads="1"/>
                        </wps:cNvSpPr>
                        <wps:spPr bwMode="auto">
                          <a:xfrm>
                            <a:off x="2077720" y="2758440"/>
                            <a:ext cx="27432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4416" w:rsidRPr="004839BC" w:rsidRDefault="00AA4416" w:rsidP="00865914">
                              <w:pPr>
                                <w:rPr>
                                  <w:sz w:val="16"/>
                                  <w:szCs w:val="16"/>
                                  <w:lang w:val="de-CH"/>
                                </w:rPr>
                              </w:pPr>
                              <w:r w:rsidRPr="004839BC">
                                <w:rPr>
                                  <w:sz w:val="16"/>
                                  <w:szCs w:val="16"/>
                                  <w:lang w:val="de-CH"/>
                                </w:rPr>
                                <w:t>ja</w:t>
                              </w:r>
                            </w:p>
                          </w:txbxContent>
                        </wps:txbx>
                        <wps:bodyPr rot="0" vert="horz" wrap="square" lIns="91440" tIns="45720" rIns="91440" bIns="45720" anchor="t" anchorCtr="0" upright="1">
                          <a:noAutofit/>
                        </wps:bodyPr>
                      </wps:wsp>
                      <wps:wsp>
                        <wps:cNvPr id="2350" name="Text Box 30"/>
                        <wps:cNvSpPr txBox="1">
                          <a:spLocks noChangeArrowheads="1"/>
                        </wps:cNvSpPr>
                        <wps:spPr bwMode="auto">
                          <a:xfrm>
                            <a:off x="2446020" y="3162300"/>
                            <a:ext cx="27432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4416" w:rsidRPr="004839BC" w:rsidRDefault="00AA4416" w:rsidP="00865914">
                              <w:pPr>
                                <w:rPr>
                                  <w:sz w:val="16"/>
                                  <w:szCs w:val="16"/>
                                  <w:lang w:val="de-CH"/>
                                </w:rPr>
                              </w:pPr>
                              <w:r w:rsidRPr="004839BC">
                                <w:rPr>
                                  <w:sz w:val="16"/>
                                  <w:szCs w:val="16"/>
                                  <w:lang w:val="de-CH"/>
                                </w:rPr>
                                <w:t>ja</w:t>
                              </w:r>
                            </w:p>
                          </w:txbxContent>
                        </wps:txbx>
                        <wps:bodyPr rot="0" vert="horz" wrap="square" lIns="91440" tIns="45720" rIns="91440" bIns="45720" anchor="t" anchorCtr="0" upright="1">
                          <a:noAutofit/>
                        </wps:bodyPr>
                      </wps:wsp>
                    </wpc:wpc>
                  </a:graphicData>
                </a:graphic>
              </wp:inline>
            </w:drawing>
          </mc:Choice>
          <mc:Fallback>
            <w:pict>
              <v:group w14:anchorId="742C529E" id="Zone de dessin 2351" o:spid="_x0000_s1684" editas="canvas" style="width:407.05pt;height:349.9pt;mso-position-horizontal-relative:char;mso-position-vertical-relative:line" coordsize="51695,44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">
                <v:shape id="_x0000_s1685" type="#_x0000_t75" style="position:absolute;width:51695;height:44437;visibility:visible;mso-wrap-style:square">
                  <v:fill o:detectmouseclick="t"/>
                  <v:path o:connecttype="none"/>
                </v:shape>
                <v:rect id="Rectangle 4" o:spid="_x0000_s1686" style="position:absolute;left:6858;top:1644;width:24688;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">
                  <v:textbox>
                    <w:txbxContent>
                      <w:p w:rsidR="00AA4416" w:rsidRPr="009431DC" w:rsidRDefault="00AA4416" w:rsidP="00865914">
                        <w:pPr>
                          <w:jc w:val="center"/>
                          <w:rPr>
                            <w:sz w:val="16"/>
                            <w:szCs w:val="16"/>
                            <w:lang w:val="de-CH"/>
                          </w:rPr>
                        </w:pPr>
                        <w:r w:rsidRPr="009431DC">
                          <w:rPr>
                            <w:sz w:val="16"/>
                            <w:szCs w:val="16"/>
                            <w:lang w:val="de-CH"/>
                          </w:rPr>
                          <w:t>Gemisch, das Stoffe der Klasse 8 enthält</w:t>
                        </w:r>
                      </w:p>
                    </w:txbxContent>
                  </v:textbox>
                </v:rect>
                <v:shape id="AutoShape 5" o:spid="_x0000_s1687" type="#_x0000_t32" style="position:absolute;left:19202;top:4597;width:6;height:22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">
                  <v:stroke endarrow="block"/>
                </v:shape>
                <v:shapetype id="_x0000_t110" coordsize="21600,21600" o:spt="110" path="m10800,l,10800,10800,21600,21600,10800xe">
                  <v:stroke joinstyle="miter"/>
                  <v:path gradientshapeok="t" o:connecttype="rect" textboxrect="5400,5400,16200,16200"/>
                </v:shapetype>
                <v:shape id="AutoShape 6" o:spid="_x0000_s1688" type="#_x0000_t110" style="position:absolute;left:13335;top:6896;width:11658;height:8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">
                  <v:textbox>
                    <w:txbxContent>
                      <w:p w:rsidR="00AA4416" w:rsidRPr="004D67C0" w:rsidRDefault="00AA4416" w:rsidP="00865914">
                        <w:pPr>
                          <w:jc w:val="center"/>
                          <w:rPr>
                            <w:sz w:val="16"/>
                            <w:szCs w:val="16"/>
                          </w:rPr>
                        </w:pPr>
                        <w:r w:rsidRPr="004D67C0">
                          <w:rPr>
                            <w:rFonts w:cs="Arial"/>
                            <w:sz w:val="16"/>
                            <w:szCs w:val="16"/>
                          </w:rPr>
                          <w:t>∑</w:t>
                        </w:r>
                        <w:r w:rsidRPr="004D67C0">
                          <w:rPr>
                            <w:sz w:val="16"/>
                            <w:szCs w:val="16"/>
                          </w:rPr>
                          <w:t>VG I</w:t>
                        </w:r>
                        <w:r w:rsidRPr="004D67C0">
                          <w:rPr>
                            <w:sz w:val="16"/>
                            <w:szCs w:val="16"/>
                            <w:vertAlign w:val="subscript"/>
                          </w:rPr>
                          <w:t>i</w:t>
                        </w:r>
                        <w:r w:rsidRPr="004D67C0">
                          <w:rPr>
                            <w:sz w:val="16"/>
                            <w:szCs w:val="16"/>
                          </w:rPr>
                          <w:t xml:space="preserve"> </w:t>
                        </w:r>
                        <w:r w:rsidRPr="004D67C0">
                          <w:rPr>
                            <w:rFonts w:cs="Arial"/>
                            <w:sz w:val="16"/>
                            <w:szCs w:val="16"/>
                          </w:rPr>
                          <w:t>≥</w:t>
                        </w:r>
                        <w:r w:rsidRPr="004D67C0">
                          <w:rPr>
                            <w:sz w:val="16"/>
                            <w:szCs w:val="16"/>
                          </w:rPr>
                          <w:t xml:space="preserve"> 1 %?</w:t>
                        </w:r>
                      </w:p>
                    </w:txbxContent>
                  </v:textbox>
                </v:shape>
                <v:shape id="Text Box 7" o:spid="_x0000_s1689" type="#_x0000_t202" style="position:absolute;left:19761;top:4749;width:2743;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" stroked="f">
                  <v:textbox>
                    <w:txbxContent>
                      <w:p w:rsidR="00AA4416" w:rsidRPr="004839BC" w:rsidRDefault="00AA4416" w:rsidP="00865914">
                        <w:pPr>
                          <w:rPr>
                            <w:sz w:val="16"/>
                            <w:szCs w:val="16"/>
                            <w:lang w:val="de-CH"/>
                          </w:rPr>
                        </w:pPr>
                        <w:r w:rsidRPr="004839BC">
                          <w:rPr>
                            <w:sz w:val="16"/>
                            <w:szCs w:val="16"/>
                            <w:lang w:val="de-CH"/>
                          </w:rPr>
                          <w:t>ja</w:t>
                        </w:r>
                      </w:p>
                    </w:txbxContent>
                  </v:textbox>
                </v:shape>
                <v:shapetype id="_x0000_t33" coordsize="21600,21600" o:spt="33" o:oned="t" path="m,l21600,r,21600e" filled="f">
                  <v:stroke joinstyle="miter"/>
                  <v:path arrowok="t" fillok="f" o:connecttype="none"/>
                  <o:lock v:ext="edit" shapetype="t"/>
                </v:shapetype>
                <v:shape id="AutoShape 8" o:spid="_x0000_s1690" type="#_x0000_t33" style="position:absolute;left:10896;top:10922;width:2439;height:520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">
                  <v:stroke endarrow="block"/>
                </v:shape>
                <v:shape id="AutoShape 9" o:spid="_x0000_s1691" type="#_x0000_t33" style="position:absolute;left:24993;top:10922;width:2337;height:516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">
                  <v:stroke endarrow="block"/>
                </v:shape>
                <v:shape id="Text Box 10" o:spid="_x0000_s1692" type="#_x0000_t202" style="position:absolute;left:7848;top:12052;width:2743;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" stroked="f">
                  <v:textbox>
                    <w:txbxContent>
                      <w:p w:rsidR="00AA4416" w:rsidRPr="004839BC" w:rsidRDefault="00AA4416" w:rsidP="00865914">
                        <w:pPr>
                          <w:rPr>
                            <w:sz w:val="16"/>
                            <w:szCs w:val="16"/>
                            <w:lang w:val="de-CH"/>
                          </w:rPr>
                        </w:pPr>
                        <w:r w:rsidRPr="004839BC">
                          <w:rPr>
                            <w:sz w:val="16"/>
                            <w:szCs w:val="16"/>
                            <w:lang w:val="de-CH"/>
                          </w:rPr>
                          <w:t>ja</w:t>
                        </w:r>
                      </w:p>
                    </w:txbxContent>
                  </v:textbox>
                </v:shape>
                <v:shape id="Text Box 11" o:spid="_x0000_s1693" type="#_x0000_t202" style="position:absolute;left:27508;top:12033;width:4369;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" stroked="f">
                  <v:textbox>
                    <w:txbxContent>
                      <w:p w:rsidR="00AA4416" w:rsidRPr="004839BC" w:rsidRDefault="00AA4416" w:rsidP="00865914">
                        <w:pPr>
                          <w:rPr>
                            <w:sz w:val="16"/>
                            <w:szCs w:val="16"/>
                            <w:lang w:val="de-CH"/>
                          </w:rPr>
                        </w:pPr>
                        <w:r w:rsidRPr="004839BC">
                          <w:rPr>
                            <w:sz w:val="16"/>
                            <w:szCs w:val="16"/>
                            <w:lang w:val="de-CH"/>
                          </w:rPr>
                          <w:t>nein</w:t>
                        </w:r>
                      </w:p>
                    </w:txbxContent>
                  </v:textbox>
                </v:shape>
                <v:shape id="AutoShape 12" o:spid="_x0000_s1694" type="#_x0000_t110" style="position:absolute;left:5080;top:16090;width:11658;height:8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">
                  <v:textbox>
                    <w:txbxContent>
                      <w:p w:rsidR="00AA4416" w:rsidRPr="004D67C0" w:rsidRDefault="00AA4416" w:rsidP="00865914">
                        <w:pPr>
                          <w:jc w:val="center"/>
                          <w:rPr>
                            <w:sz w:val="16"/>
                            <w:szCs w:val="16"/>
                          </w:rPr>
                        </w:pPr>
                        <w:r w:rsidRPr="004D67C0">
                          <w:rPr>
                            <w:rFonts w:cs="Arial"/>
                            <w:sz w:val="16"/>
                            <w:szCs w:val="16"/>
                          </w:rPr>
                          <w:t>∑</w:t>
                        </w:r>
                        <w:r w:rsidRPr="004D67C0">
                          <w:rPr>
                            <w:sz w:val="16"/>
                            <w:szCs w:val="16"/>
                          </w:rPr>
                          <w:t>VG I</w:t>
                        </w:r>
                        <w:r w:rsidRPr="004D67C0">
                          <w:rPr>
                            <w:sz w:val="16"/>
                            <w:szCs w:val="16"/>
                            <w:vertAlign w:val="subscript"/>
                          </w:rPr>
                          <w:t>i</w:t>
                        </w:r>
                        <w:r w:rsidRPr="004D67C0">
                          <w:rPr>
                            <w:sz w:val="16"/>
                            <w:szCs w:val="16"/>
                          </w:rPr>
                          <w:t xml:space="preserve"> </w:t>
                        </w:r>
                        <w:r w:rsidRPr="004D67C0">
                          <w:rPr>
                            <w:rFonts w:cs="Arial"/>
                            <w:sz w:val="16"/>
                            <w:szCs w:val="16"/>
                          </w:rPr>
                          <w:t>≥</w:t>
                        </w:r>
                        <w:r w:rsidRPr="004D67C0">
                          <w:rPr>
                            <w:sz w:val="16"/>
                            <w:szCs w:val="16"/>
                          </w:rPr>
                          <w:t xml:space="preserve"> 5 %?</w:t>
                        </w:r>
                      </w:p>
                    </w:txbxContent>
                  </v:textbox>
                </v:shape>
                <v:shape id="AutoShape 13" o:spid="_x0000_s1695" type="#_x0000_t110" style="position:absolute;left:21513;top:16090;width:12135;height:8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">
                  <v:textbox>
                    <w:txbxContent>
                      <w:p w:rsidR="00AA4416" w:rsidRPr="004D67C0" w:rsidRDefault="00AA4416" w:rsidP="00865914">
                        <w:pPr>
                          <w:ind w:left="-142" w:right="-228"/>
                          <w:jc w:val="center"/>
                          <w:rPr>
                            <w:sz w:val="16"/>
                            <w:szCs w:val="16"/>
                          </w:rPr>
                        </w:pPr>
                        <w:r w:rsidRPr="004D67C0">
                          <w:rPr>
                            <w:rFonts w:cs="Arial"/>
                            <w:sz w:val="16"/>
                            <w:szCs w:val="16"/>
                          </w:rPr>
                          <w:t>∑</w:t>
                        </w:r>
                        <w:r w:rsidRPr="004D67C0">
                          <w:rPr>
                            <w:sz w:val="16"/>
                            <w:szCs w:val="16"/>
                          </w:rPr>
                          <w:t>VG I</w:t>
                        </w:r>
                        <w:r w:rsidRPr="004D67C0">
                          <w:rPr>
                            <w:sz w:val="16"/>
                            <w:szCs w:val="16"/>
                            <w:vertAlign w:val="subscript"/>
                          </w:rPr>
                          <w:t>i</w:t>
                        </w:r>
                        <w:r w:rsidRPr="004D67C0">
                          <w:rPr>
                            <w:sz w:val="16"/>
                            <w:szCs w:val="16"/>
                          </w:rPr>
                          <w:t xml:space="preserve"> + </w:t>
                        </w:r>
                        <w:r w:rsidRPr="004D67C0">
                          <w:rPr>
                            <w:rFonts w:cs="Arial"/>
                            <w:sz w:val="16"/>
                            <w:szCs w:val="16"/>
                          </w:rPr>
                          <w:t>∑</w:t>
                        </w:r>
                        <w:r w:rsidRPr="004D67C0">
                          <w:rPr>
                            <w:sz w:val="16"/>
                            <w:szCs w:val="16"/>
                          </w:rPr>
                          <w:t>VG</w:t>
                        </w:r>
                        <w:r>
                          <w:rPr>
                            <w:sz w:val="16"/>
                            <w:szCs w:val="16"/>
                          </w:rPr>
                          <w:t> </w:t>
                        </w:r>
                        <w:r w:rsidRPr="004D67C0">
                          <w:rPr>
                            <w:sz w:val="16"/>
                            <w:szCs w:val="16"/>
                          </w:rPr>
                          <w:t>II</w:t>
                        </w:r>
                        <w:r w:rsidRPr="004D67C0">
                          <w:rPr>
                            <w:sz w:val="16"/>
                            <w:szCs w:val="16"/>
                            <w:vertAlign w:val="subscript"/>
                          </w:rPr>
                          <w:t>i</w:t>
                        </w:r>
                        <w:r w:rsidRPr="004D67C0">
                          <w:rPr>
                            <w:rFonts w:cs="Arial"/>
                            <w:sz w:val="16"/>
                            <w:szCs w:val="16"/>
                          </w:rPr>
                          <w:t xml:space="preserve"> ≥</w:t>
                        </w:r>
                        <w:r w:rsidRPr="004D67C0">
                          <w:rPr>
                            <w:sz w:val="16"/>
                            <w:szCs w:val="16"/>
                          </w:rPr>
                          <w:t xml:space="preserve"> 5 %?</w:t>
                        </w:r>
                      </w:p>
                    </w:txbxContent>
                  </v:textbox>
                </v:shape>
                <v:shape id="AutoShape 14" o:spid="_x0000_s1696" type="#_x0000_t33" style="position:absolute;left:33648;top:20586;width:1886;height:365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">
                  <v:stroke endarrow="block"/>
                </v:shape>
                <v:shape id="AutoShape 15" o:spid="_x0000_s1697" type="#_x0000_t110" style="position:absolute;left:28524;top:24237;width:14021;height:1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">
                  <v:textbox>
                    <w:txbxContent>
                      <w:p w:rsidR="00AA4416" w:rsidRPr="00F17488" w:rsidRDefault="00AA4416" w:rsidP="00865914">
                        <w:pPr>
                          <w:ind w:left="-142" w:right="-123"/>
                          <w:jc w:val="center"/>
                          <w:rPr>
                            <w:sz w:val="16"/>
                            <w:szCs w:val="16"/>
                          </w:rPr>
                        </w:pPr>
                        <w:r w:rsidRPr="00F17488">
                          <w:rPr>
                            <w:rFonts w:cs="Arial"/>
                            <w:sz w:val="16"/>
                            <w:szCs w:val="16"/>
                          </w:rPr>
                          <w:t>∑</w:t>
                        </w:r>
                        <w:r w:rsidRPr="00F17488">
                          <w:rPr>
                            <w:sz w:val="16"/>
                            <w:szCs w:val="16"/>
                          </w:rPr>
                          <w:t>VG I</w:t>
                        </w:r>
                        <w:r w:rsidRPr="00F17488">
                          <w:rPr>
                            <w:sz w:val="16"/>
                            <w:szCs w:val="16"/>
                            <w:vertAlign w:val="subscript"/>
                          </w:rPr>
                          <w:t>i</w:t>
                        </w:r>
                        <w:r w:rsidRPr="00F17488">
                          <w:rPr>
                            <w:sz w:val="16"/>
                            <w:szCs w:val="16"/>
                          </w:rPr>
                          <w:t xml:space="preserve"> + </w:t>
                        </w:r>
                        <w:r w:rsidRPr="00F17488">
                          <w:rPr>
                            <w:rFonts w:cs="Arial"/>
                            <w:sz w:val="16"/>
                            <w:szCs w:val="16"/>
                          </w:rPr>
                          <w:t>∑</w:t>
                        </w:r>
                        <w:r w:rsidRPr="00F17488">
                          <w:rPr>
                            <w:sz w:val="16"/>
                            <w:szCs w:val="16"/>
                          </w:rPr>
                          <w:t>VG</w:t>
                        </w:r>
                        <w:r>
                          <w:rPr>
                            <w:sz w:val="16"/>
                            <w:szCs w:val="16"/>
                          </w:rPr>
                          <w:t> </w:t>
                        </w:r>
                        <w:r w:rsidRPr="00F17488">
                          <w:rPr>
                            <w:sz w:val="16"/>
                            <w:szCs w:val="16"/>
                          </w:rPr>
                          <w:t>II</w:t>
                        </w:r>
                        <w:r w:rsidRPr="00F17488">
                          <w:rPr>
                            <w:sz w:val="16"/>
                            <w:szCs w:val="16"/>
                            <w:vertAlign w:val="subscript"/>
                          </w:rPr>
                          <w:t>i</w:t>
                        </w:r>
                        <w:r w:rsidRPr="00F17488">
                          <w:rPr>
                            <w:rFonts w:cs="Arial"/>
                            <w:sz w:val="16"/>
                            <w:szCs w:val="16"/>
                          </w:rPr>
                          <w:t xml:space="preserve"> + ∑</w:t>
                        </w:r>
                        <w:r w:rsidRPr="00F17488">
                          <w:rPr>
                            <w:sz w:val="16"/>
                            <w:szCs w:val="16"/>
                          </w:rPr>
                          <w:t>VG</w:t>
                        </w:r>
                        <w:r>
                          <w:rPr>
                            <w:sz w:val="16"/>
                            <w:szCs w:val="16"/>
                          </w:rPr>
                          <w:t> </w:t>
                        </w:r>
                        <w:r w:rsidRPr="00F17488">
                          <w:rPr>
                            <w:sz w:val="16"/>
                            <w:szCs w:val="16"/>
                          </w:rPr>
                          <w:t>III</w:t>
                        </w:r>
                        <w:r w:rsidRPr="00F17488">
                          <w:rPr>
                            <w:sz w:val="16"/>
                            <w:szCs w:val="16"/>
                            <w:vertAlign w:val="subscript"/>
                          </w:rPr>
                          <w:t>i</w:t>
                        </w:r>
                        <w:r w:rsidRPr="00F17488">
                          <w:rPr>
                            <w:sz w:val="16"/>
                            <w:szCs w:val="16"/>
                          </w:rPr>
                          <w:t xml:space="preserve"> </w:t>
                        </w:r>
                        <w:r w:rsidRPr="00F17488">
                          <w:rPr>
                            <w:rFonts w:cs="Arial"/>
                            <w:sz w:val="16"/>
                            <w:szCs w:val="16"/>
                          </w:rPr>
                          <w:t>≥</w:t>
                        </w:r>
                        <w:r w:rsidRPr="00F17488">
                          <w:rPr>
                            <w:sz w:val="16"/>
                            <w:szCs w:val="16"/>
                          </w:rPr>
                          <w:t xml:space="preserve"> 5 %?</w:t>
                        </w:r>
                      </w:p>
                    </w:txbxContent>
                  </v:textbox>
                </v:shape>
                <v:shape id="Text Box 16" o:spid="_x0000_s1698" type="#_x0000_t202" style="position:absolute;left:35255;top:20739;width:4115;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" stroked="f">
                  <v:textbox>
                    <w:txbxContent>
                      <w:p w:rsidR="00AA4416" w:rsidRPr="004839BC" w:rsidRDefault="00AA4416" w:rsidP="00865914">
                        <w:pPr>
                          <w:rPr>
                            <w:sz w:val="16"/>
                            <w:szCs w:val="16"/>
                            <w:lang w:val="de-CH"/>
                          </w:rPr>
                        </w:pPr>
                        <w:r w:rsidRPr="004839BC">
                          <w:rPr>
                            <w:sz w:val="16"/>
                            <w:szCs w:val="16"/>
                            <w:lang w:val="de-CH"/>
                          </w:rPr>
                          <w:t>nein</w:t>
                        </w:r>
                      </w:p>
                    </w:txbxContent>
                  </v:textbox>
                </v:shape>
                <v:shape id="AutoShape 17" o:spid="_x0000_s1699" type="#_x0000_t33" style="position:absolute;left:27482;top:29821;width:1042;height:704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">
                  <v:stroke endarrow="block"/>
                </v:shape>
                <v:shape id="AutoShape 18" o:spid="_x0000_s1700" type="#_x0000_t33" style="position:absolute;left:42545;top:29821;width:127;height:696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">
                  <v:stroke endarrow="block"/>
                </v:shape>
                <v:shape id="AutoShape 19" o:spid="_x0000_s1701" type="#_x0000_t33" style="position:absolute;left:20574;top:20586;width:939;height:1674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">
                  <v:stroke endarrow="block"/>
                </v:shape>
                <v:shape id="AutoShape 20" o:spid="_x0000_s1702" type="#_x0000_t33" style="position:absolute;left:16738;top:20586;width:1092;height:1670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">
                  <v:stroke endarrow="block"/>
                </v:shape>
                <v:shape id="AutoShape 21" o:spid="_x0000_s1703" type="#_x0000_t33" style="position:absolute;left:4114;top:20586;width:966;height:1670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">
                  <v:stroke endarrow="block"/>
                </v:shape>
                <v:rect id="Rectangle 22" o:spid="_x0000_s1704" style="position:absolute;left:1371;top:37293;width:10973;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">
                  <v:textbox>
                    <w:txbxContent>
                      <w:p w:rsidR="00AA4416" w:rsidRPr="004839BC" w:rsidRDefault="00AA4416" w:rsidP="00865914">
                        <w:pPr>
                          <w:spacing w:line="240" w:lineRule="auto"/>
                          <w:jc w:val="center"/>
                          <w:rPr>
                            <w:sz w:val="16"/>
                            <w:szCs w:val="16"/>
                          </w:rPr>
                        </w:pPr>
                        <w:r w:rsidRPr="004839BC">
                          <w:rPr>
                            <w:rFonts w:cs="Arial"/>
                            <w:sz w:val="16"/>
                            <w:szCs w:val="16"/>
                            <w:lang w:val="de-CH"/>
                          </w:rPr>
                          <w:t>Klasse 8, Verpackungsgruppe I</w:t>
                        </w:r>
                      </w:p>
                    </w:txbxContent>
                  </v:textbox>
                </v:rect>
                <v:rect id="Rectangle 23" o:spid="_x0000_s1705" style="position:absolute;left:13462;top:37293;width:11728;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">
                  <v:textbox>
                    <w:txbxContent>
                      <w:p w:rsidR="00AA4416" w:rsidRPr="004839BC" w:rsidRDefault="00AA4416" w:rsidP="00865914">
                        <w:pPr>
                          <w:spacing w:line="240" w:lineRule="auto"/>
                          <w:jc w:val="center"/>
                          <w:rPr>
                            <w:sz w:val="16"/>
                            <w:szCs w:val="16"/>
                          </w:rPr>
                        </w:pPr>
                        <w:r w:rsidRPr="004839BC">
                          <w:rPr>
                            <w:rFonts w:cs="Arial"/>
                            <w:sz w:val="16"/>
                            <w:szCs w:val="16"/>
                            <w:lang w:val="de-CH"/>
                          </w:rPr>
                          <w:t>Klasse 8, Verpackungsgruppe I</w:t>
                        </w:r>
                        <w:r>
                          <w:rPr>
                            <w:rFonts w:cs="Arial"/>
                            <w:sz w:val="16"/>
                            <w:szCs w:val="16"/>
                            <w:lang w:val="de-CH"/>
                          </w:rPr>
                          <w:t>I</w:t>
                        </w:r>
                      </w:p>
                    </w:txbxContent>
                  </v:textbox>
                </v:rect>
                <v:rect id="Rectangle 24" o:spid="_x0000_s1706" style="position:absolute;left:26060;top:37331;width:11646;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">
                  <v:textbox>
                    <w:txbxContent>
                      <w:p w:rsidR="00AA4416" w:rsidRPr="004839BC" w:rsidRDefault="00AA4416" w:rsidP="00865914">
                        <w:pPr>
                          <w:spacing w:line="240" w:lineRule="auto"/>
                          <w:jc w:val="center"/>
                          <w:rPr>
                            <w:sz w:val="16"/>
                            <w:szCs w:val="16"/>
                          </w:rPr>
                        </w:pPr>
                        <w:r w:rsidRPr="004839BC">
                          <w:rPr>
                            <w:rFonts w:cs="Arial"/>
                            <w:sz w:val="16"/>
                            <w:szCs w:val="16"/>
                            <w:lang w:val="de-CH"/>
                          </w:rPr>
                          <w:t>Klasse 8, Verpackungsgruppe I</w:t>
                        </w:r>
                        <w:r>
                          <w:rPr>
                            <w:sz w:val="16"/>
                            <w:szCs w:val="16"/>
                          </w:rPr>
                          <w:t>II</w:t>
                        </w:r>
                      </w:p>
                    </w:txbxContent>
                  </v:textbox>
                </v:rect>
                <v:rect id="Rectangle 25" o:spid="_x0000_s1707" style="position:absolute;left:38157;top:37268;width:10972;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">
                  <v:textbox>
                    <w:txbxContent>
                      <w:p w:rsidR="00AA4416" w:rsidRPr="004839BC" w:rsidRDefault="00AA4416" w:rsidP="00865914">
                        <w:pPr>
                          <w:spacing w:line="240" w:lineRule="auto"/>
                          <w:jc w:val="center"/>
                          <w:rPr>
                            <w:sz w:val="16"/>
                            <w:szCs w:val="16"/>
                            <w:lang w:val="de-CH"/>
                          </w:rPr>
                        </w:pPr>
                        <w:r w:rsidRPr="004839BC">
                          <w:rPr>
                            <w:sz w:val="16"/>
                            <w:szCs w:val="16"/>
                            <w:lang w:val="de-CH"/>
                          </w:rPr>
                          <w:t>Klasse 8 nicht anwendbar</w:t>
                        </w:r>
                      </w:p>
                    </w:txbxContent>
                  </v:textbox>
                </v:rect>
                <v:shape id="Text Box 26" o:spid="_x0000_s1708" type="#_x0000_t202" style="position:absolute;left:654;top:27584;width:3181;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" stroked="f">
                  <v:textbox>
                    <w:txbxContent>
                      <w:p w:rsidR="00AA4416" w:rsidRPr="004839BC" w:rsidRDefault="00AA4416" w:rsidP="00865914">
                        <w:pPr>
                          <w:rPr>
                            <w:sz w:val="16"/>
                            <w:szCs w:val="16"/>
                            <w:lang w:val="de-CH"/>
                          </w:rPr>
                        </w:pPr>
                        <w:r w:rsidRPr="004839BC">
                          <w:rPr>
                            <w:sz w:val="16"/>
                            <w:szCs w:val="16"/>
                            <w:lang w:val="de-CH"/>
                          </w:rPr>
                          <w:t>ja</w:t>
                        </w:r>
                      </w:p>
                    </w:txbxContent>
                  </v:textbox>
                </v:shape>
                <v:shape id="Text Box 27" o:spid="_x0000_s1709" type="#_x0000_t202" style="position:absolute;left:13462;top:27584;width:4114;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" stroked="f">
                  <v:textbox>
                    <w:txbxContent>
                      <w:p w:rsidR="00AA4416" w:rsidRPr="004839BC" w:rsidRDefault="00AA4416" w:rsidP="00865914">
                        <w:pPr>
                          <w:rPr>
                            <w:sz w:val="16"/>
                            <w:szCs w:val="16"/>
                            <w:lang w:val="de-CH"/>
                          </w:rPr>
                        </w:pPr>
                        <w:r w:rsidRPr="004839BC">
                          <w:rPr>
                            <w:sz w:val="16"/>
                            <w:szCs w:val="16"/>
                            <w:lang w:val="de-CH"/>
                          </w:rPr>
                          <w:t>nein</w:t>
                        </w:r>
                      </w:p>
                    </w:txbxContent>
                  </v:textbox>
                </v:shape>
                <v:shape id="Text Box 28" o:spid="_x0000_s1710" type="#_x0000_t202" style="position:absolute;left:42799;top:31623;width:4114;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" stroked="f">
                  <v:textbox>
                    <w:txbxContent>
                      <w:p w:rsidR="00AA4416" w:rsidRPr="004839BC" w:rsidRDefault="00AA4416" w:rsidP="00865914">
                        <w:pPr>
                          <w:rPr>
                            <w:sz w:val="16"/>
                            <w:szCs w:val="16"/>
                            <w:lang w:val="de-CH"/>
                          </w:rPr>
                        </w:pPr>
                        <w:r w:rsidRPr="004839BC">
                          <w:rPr>
                            <w:sz w:val="16"/>
                            <w:szCs w:val="16"/>
                            <w:lang w:val="de-CH"/>
                          </w:rPr>
                          <w:t>nein</w:t>
                        </w:r>
                      </w:p>
                    </w:txbxContent>
                  </v:textbox>
                </v:shape>
                <v:shape id="Text Box 29" o:spid="_x0000_s1711" type="#_x0000_t202" style="position:absolute;left:20777;top:27584;width:2743;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" stroked="f">
                  <v:textbox>
                    <w:txbxContent>
                      <w:p w:rsidR="00AA4416" w:rsidRPr="004839BC" w:rsidRDefault="00AA4416" w:rsidP="00865914">
                        <w:pPr>
                          <w:rPr>
                            <w:sz w:val="16"/>
                            <w:szCs w:val="16"/>
                            <w:lang w:val="de-CH"/>
                          </w:rPr>
                        </w:pPr>
                        <w:r w:rsidRPr="004839BC">
                          <w:rPr>
                            <w:sz w:val="16"/>
                            <w:szCs w:val="16"/>
                            <w:lang w:val="de-CH"/>
                          </w:rPr>
                          <w:t>ja</w:t>
                        </w:r>
                      </w:p>
                    </w:txbxContent>
                  </v:textbox>
                </v:shape>
                <v:shape id="Text Box 30" o:spid="_x0000_s1712" type="#_x0000_t202" style="position:absolute;left:24460;top:31623;width:2743;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" stroked="f">
                  <v:textbox>
                    <w:txbxContent>
                      <w:p w:rsidR="00AA4416" w:rsidRPr="004839BC" w:rsidRDefault="00AA4416" w:rsidP="00865914">
                        <w:pPr>
                          <w:rPr>
                            <w:sz w:val="16"/>
                            <w:szCs w:val="16"/>
                            <w:lang w:val="de-CH"/>
                          </w:rPr>
                        </w:pPr>
                        <w:r w:rsidRPr="004839BC">
                          <w:rPr>
                            <w:sz w:val="16"/>
                            <w:szCs w:val="16"/>
                            <w:lang w:val="de-CH"/>
                          </w:rPr>
                          <w:t>ja</w:t>
                        </w:r>
                      </w:p>
                    </w:txbxContent>
                  </v:textbox>
                </v:shape>
                <w10:anchorlock/>
              </v:group>
            </w:pict>
          </mc:Fallback>
        </mc:AlternateContent>
      </w:r>
    </w:p>
    <w:p w:rsidR="00865914" w:rsidRPr="00DD2A86" w:rsidRDefault="00865914" w:rsidP="00865914">
      <w:pPr>
        <w:suppressAutoHyphens w:val="0"/>
        <w:spacing w:line="240" w:lineRule="auto"/>
        <w:ind w:left="1134"/>
        <w:jc w:val="both"/>
        <w:rPr>
          <w:iCs/>
          <w:color w:val="000000"/>
          <w:lang w:val="de-DE" w:eastAsia="de-DE"/>
        </w:rPr>
      </w:pPr>
      <w:r w:rsidRPr="00DD2A86">
        <w:rPr>
          <w:iCs/>
          <w:color w:val="000000"/>
          <w:lang w:val="de-DE" w:eastAsia="de-DE"/>
        </w:rPr>
        <w:t>“.</w:t>
      </w:r>
    </w:p>
    <w:p w:rsidR="00865914" w:rsidRPr="00DD2A86" w:rsidRDefault="00865914" w:rsidP="00865914">
      <w:pPr>
        <w:suppressAutoHyphens w:val="0"/>
        <w:spacing w:before="120" w:after="120" w:line="240" w:lineRule="auto"/>
        <w:ind w:left="1134" w:right="1134"/>
        <w:jc w:val="both"/>
        <w:rPr>
          <w:iCs/>
          <w:color w:val="000000"/>
          <w:lang w:val="de-DE" w:eastAsia="de-DE"/>
        </w:rPr>
      </w:pPr>
      <w:r w:rsidRPr="00DD2A86">
        <w:rPr>
          <w:iCs/>
          <w:color w:val="000000"/>
          <w:lang w:val="de-DE" w:eastAsia="de-DE"/>
        </w:rPr>
        <w:t>2.2.8.1.7, einschließlich Bem.</w:t>
      </w:r>
      <w:r w:rsidRPr="00DD2A86">
        <w:rPr>
          <w:iCs/>
          <w:color w:val="000000"/>
          <w:lang w:val="de-DE" w:eastAsia="de-DE"/>
        </w:rPr>
        <w:tab/>
        <w:t>[</w:t>
      </w:r>
      <w:r w:rsidRPr="00DD2A86">
        <w:rPr>
          <w:i/>
          <w:iCs/>
          <w:color w:val="000000"/>
          <w:lang w:val="de-DE" w:eastAsia="de-DE"/>
        </w:rPr>
        <w:t>unverändert</w:t>
      </w:r>
      <w:r w:rsidRPr="00DD2A86">
        <w:rPr>
          <w:iCs/>
          <w:color w:val="000000"/>
          <w:lang w:val="de-DE" w:eastAsia="de-DE"/>
        </w:rPr>
        <w:t>]</w:t>
      </w:r>
    </w:p>
    <w:p w:rsidR="00865914" w:rsidRPr="00DD2A86" w:rsidRDefault="00865914" w:rsidP="00865914">
      <w:pPr>
        <w:tabs>
          <w:tab w:val="left" w:pos="1418"/>
          <w:tab w:val="left" w:pos="1843"/>
        </w:tabs>
        <w:suppressAutoHyphens w:val="0"/>
        <w:spacing w:after="120" w:line="240" w:lineRule="auto"/>
        <w:ind w:left="2268" w:right="1134" w:hanging="1134"/>
        <w:jc w:val="both"/>
        <w:rPr>
          <w:i/>
          <w:color w:val="000000"/>
          <w:lang w:val="de-DE" w:eastAsia="de-DE"/>
        </w:rPr>
      </w:pPr>
      <w:r w:rsidRPr="00DD2A86">
        <w:rPr>
          <w:color w:val="000000"/>
          <w:lang w:val="de-DE" w:eastAsia="de-DE"/>
        </w:rPr>
        <w:t>2.2.8.1.8</w:t>
      </w:r>
      <w:r w:rsidRPr="00DD2A86">
        <w:rPr>
          <w:color w:val="000000"/>
          <w:lang w:val="de-DE" w:eastAsia="de-DE"/>
        </w:rPr>
        <w:tab/>
      </w:r>
      <w:r w:rsidRPr="00DD2A86">
        <w:rPr>
          <w:color w:val="000000"/>
          <w:lang w:val="de-DE" w:eastAsia="de-DE"/>
        </w:rPr>
        <w:tab/>
      </w:r>
      <w:r w:rsidRPr="00DD2A86">
        <w:rPr>
          <w:i/>
          <w:color w:val="000000"/>
          <w:lang w:val="de-DE" w:eastAsia="de-DE"/>
        </w:rPr>
        <w:t>[Text des bisherigen Absatzes 2.2.8.1.8 mit der Bem. aus dem bisherigen Absatz 2.2.8.1.9]</w:t>
      </w:r>
    </w:p>
    <w:p w:rsidR="00865914" w:rsidRPr="00DD2A86" w:rsidRDefault="00865914" w:rsidP="00865914">
      <w:pPr>
        <w:suppressAutoHyphens w:val="0"/>
        <w:spacing w:after="120" w:line="240" w:lineRule="auto"/>
        <w:ind w:left="1134" w:right="1134"/>
        <w:jc w:val="both"/>
        <w:rPr>
          <w:iCs/>
          <w:color w:val="000000"/>
          <w:lang w:val="de-DE" w:eastAsia="de-DE"/>
        </w:rPr>
      </w:pPr>
      <w:r w:rsidRPr="00DD2A86">
        <w:rPr>
          <w:color w:val="000000"/>
          <w:lang w:val="de-DE" w:eastAsia="de-DE"/>
        </w:rPr>
        <w:t>2.2.8.1.9</w:t>
      </w:r>
      <w:r w:rsidRPr="00DD2A86">
        <w:rPr>
          <w:color w:val="000000"/>
          <w:lang w:val="de-DE" w:eastAsia="de-DE"/>
        </w:rPr>
        <w:tab/>
      </w:r>
      <w:r w:rsidR="00596522" w:rsidRPr="00DD2A86">
        <w:rPr>
          <w:color w:val="000000"/>
          <w:lang w:val="de-DE" w:eastAsia="de-DE"/>
        </w:rPr>
        <w:t xml:space="preserve">Erhält folgenden Wortlaut: „2.2.8.1.9 </w:t>
      </w:r>
      <w:r w:rsidRPr="00DD2A86">
        <w:rPr>
          <w:color w:val="000000"/>
          <w:lang w:val="de-DE" w:eastAsia="de-DE"/>
        </w:rPr>
        <w:t>(gestrichen)</w:t>
      </w:r>
      <w:r w:rsidR="00596522" w:rsidRPr="00DD2A86">
        <w:rPr>
          <w:color w:val="000000"/>
          <w:lang w:val="de-DE" w:eastAsia="de-DE"/>
        </w:rPr>
        <w:t>“.</w:t>
      </w:r>
    </w:p>
    <w:p w:rsidR="00865914" w:rsidRPr="00DD2A86" w:rsidRDefault="00865914" w:rsidP="00865914">
      <w:pPr>
        <w:suppressAutoHyphens w:val="0"/>
        <w:spacing w:after="120" w:line="240" w:lineRule="auto"/>
        <w:ind w:left="1134" w:right="1134"/>
        <w:jc w:val="both"/>
        <w:rPr>
          <w:iCs/>
          <w:color w:val="000000"/>
          <w:lang w:val="de-DE" w:eastAsia="de-DE"/>
        </w:rPr>
      </w:pPr>
      <w:r w:rsidRPr="00DD2A86">
        <w:rPr>
          <w:iCs/>
          <w:color w:val="000000"/>
          <w:lang w:val="de-DE" w:eastAsia="de-DE"/>
        </w:rPr>
        <w:t>2.2.8.2</w:t>
      </w:r>
      <w:r w:rsidRPr="00DD2A86">
        <w:rPr>
          <w:iCs/>
          <w:color w:val="000000"/>
          <w:lang w:val="de-DE" w:eastAsia="de-DE"/>
        </w:rPr>
        <w:tab/>
      </w:r>
      <w:r w:rsidRPr="00DD2A86">
        <w:rPr>
          <w:iCs/>
          <w:color w:val="000000"/>
          <w:lang w:val="de-DE" w:eastAsia="de-DE"/>
        </w:rPr>
        <w:tab/>
        <w:t>Nicht zur Beförderung zugelassene Stoffe</w:t>
      </w:r>
    </w:p>
    <w:p w:rsidR="00865914" w:rsidRPr="00DD2A86" w:rsidRDefault="00865914" w:rsidP="00865914">
      <w:pPr>
        <w:suppressAutoHyphens w:val="0"/>
        <w:spacing w:after="120" w:line="240" w:lineRule="auto"/>
        <w:ind w:left="1134" w:right="1134"/>
        <w:jc w:val="both"/>
        <w:rPr>
          <w:iCs/>
          <w:color w:val="000000"/>
          <w:lang w:val="de-DE" w:eastAsia="de-DE"/>
        </w:rPr>
      </w:pPr>
      <w:r w:rsidRPr="00DD2A86">
        <w:rPr>
          <w:iCs/>
          <w:color w:val="000000"/>
          <w:lang w:val="de-DE" w:eastAsia="de-DE"/>
        </w:rPr>
        <w:t>2.2.8.2.1</w:t>
      </w:r>
      <w:r w:rsidRPr="00DD2A86">
        <w:rPr>
          <w:iCs/>
          <w:color w:val="000000"/>
          <w:lang w:val="de-DE" w:eastAsia="de-DE"/>
        </w:rPr>
        <w:tab/>
        <w:t>[</w:t>
      </w:r>
      <w:r w:rsidRPr="00DD2A86">
        <w:rPr>
          <w:i/>
          <w:iCs/>
          <w:color w:val="000000"/>
          <w:lang w:val="de-DE" w:eastAsia="de-DE"/>
        </w:rPr>
        <w:t>unverändert</w:t>
      </w:r>
      <w:r w:rsidRPr="00DD2A86">
        <w:rPr>
          <w:iCs/>
          <w:color w:val="000000"/>
          <w:lang w:val="de-DE" w:eastAsia="de-DE"/>
        </w:rPr>
        <w:t>]</w:t>
      </w:r>
    </w:p>
    <w:p w:rsidR="00865914" w:rsidRPr="00DD2A86" w:rsidRDefault="00865914" w:rsidP="00865914">
      <w:pPr>
        <w:suppressAutoHyphens w:val="0"/>
        <w:spacing w:after="120" w:line="240" w:lineRule="auto"/>
        <w:ind w:left="1134" w:right="1134"/>
        <w:jc w:val="both"/>
        <w:rPr>
          <w:iCs/>
          <w:color w:val="000000"/>
          <w:lang w:val="de-DE" w:eastAsia="de-DE"/>
        </w:rPr>
      </w:pPr>
      <w:r w:rsidRPr="00DD2A86">
        <w:rPr>
          <w:iCs/>
          <w:color w:val="000000"/>
          <w:lang w:val="de-DE" w:eastAsia="de-DE"/>
        </w:rPr>
        <w:t>2.2.8.2.2</w:t>
      </w:r>
      <w:r w:rsidRPr="00DD2A86">
        <w:rPr>
          <w:iCs/>
          <w:color w:val="000000"/>
          <w:lang w:val="de-DE" w:eastAsia="de-DE"/>
        </w:rPr>
        <w:tab/>
        <w:t>[</w:t>
      </w:r>
      <w:r w:rsidRPr="00DD2A86">
        <w:rPr>
          <w:i/>
          <w:iCs/>
          <w:color w:val="000000"/>
          <w:lang w:val="de-DE" w:eastAsia="de-DE"/>
        </w:rPr>
        <w:t>unverändert</w:t>
      </w:r>
      <w:r w:rsidRPr="00DD2A86">
        <w:rPr>
          <w:iCs/>
          <w:color w:val="000000"/>
          <w:lang w:val="de-DE" w:eastAsia="de-DE"/>
        </w:rPr>
        <w:t>]</w:t>
      </w:r>
    </w:p>
    <w:p w:rsidR="00865914" w:rsidRPr="00DD2A86" w:rsidRDefault="00865914" w:rsidP="00865914">
      <w:pPr>
        <w:suppressAutoHyphens w:val="0"/>
        <w:spacing w:after="120" w:line="240" w:lineRule="auto"/>
        <w:ind w:left="2268" w:right="1134" w:hanging="1134"/>
        <w:jc w:val="both"/>
        <w:rPr>
          <w:i/>
          <w:iCs/>
          <w:color w:val="000000"/>
          <w:lang w:val="de-DE" w:eastAsia="de-DE"/>
        </w:rPr>
      </w:pPr>
      <w:r w:rsidRPr="00DD2A86">
        <w:rPr>
          <w:iCs/>
          <w:color w:val="000000"/>
          <w:lang w:val="de-DE" w:eastAsia="de-DE"/>
        </w:rPr>
        <w:t>2.2.8.3</w:t>
      </w:r>
      <w:r w:rsidRPr="00DD2A86">
        <w:rPr>
          <w:iCs/>
          <w:color w:val="000000"/>
          <w:lang w:val="de-DE" w:eastAsia="de-DE"/>
        </w:rPr>
        <w:tab/>
      </w:r>
      <w:r w:rsidRPr="00DD2A86">
        <w:rPr>
          <w:iCs/>
          <w:color w:val="000000"/>
          <w:lang w:val="de-DE" w:eastAsia="de-DE"/>
        </w:rPr>
        <w:tab/>
      </w:r>
      <w:r w:rsidRPr="00DD2A86">
        <w:rPr>
          <w:i/>
          <w:iCs/>
          <w:color w:val="000000"/>
          <w:lang w:val="de-DE" w:eastAsia="de-DE"/>
        </w:rPr>
        <w:t>[Text des bisherigen Unterabschnitts 2.2.8.3 und folgende Änderungen vornehmen:]</w:t>
      </w:r>
    </w:p>
    <w:p w:rsidR="00865914" w:rsidRPr="00DD2A86" w:rsidRDefault="00865914" w:rsidP="00865914">
      <w:pPr>
        <w:suppressAutoHyphens w:val="0"/>
        <w:spacing w:before="120" w:line="240" w:lineRule="auto"/>
        <w:ind w:left="1134" w:right="1134"/>
        <w:jc w:val="both"/>
        <w:rPr>
          <w:iCs/>
          <w:color w:val="000000"/>
          <w:lang w:val="de-DE" w:eastAsia="de-DE"/>
        </w:rPr>
      </w:pPr>
      <w:r w:rsidRPr="00DD2A86">
        <w:rPr>
          <w:iCs/>
          <w:color w:val="000000"/>
          <w:lang w:val="de-DE" w:eastAsia="de-DE"/>
        </w:rPr>
        <w:t>Unter „Ätzende Stoffe ohne Nebengefahr und Gegenstände, die solche Stoffe enthalten, Gegenstände, C11“ folgende Eintragung hinzufügen:</w:t>
      </w:r>
    </w:p>
    <w:p w:rsidR="00865914" w:rsidRPr="00DD2A86" w:rsidRDefault="00865914" w:rsidP="00865914">
      <w:pPr>
        <w:suppressAutoHyphens w:val="0"/>
        <w:spacing w:before="120" w:line="240" w:lineRule="auto"/>
        <w:ind w:left="1134" w:right="1134"/>
        <w:jc w:val="both"/>
        <w:rPr>
          <w:iCs/>
          <w:color w:val="000000"/>
          <w:lang w:val="de-DE" w:eastAsia="de-DE"/>
        </w:rPr>
      </w:pPr>
      <w:r w:rsidRPr="00DD2A86">
        <w:rPr>
          <w:iCs/>
          <w:color w:val="000000"/>
          <w:lang w:val="de-DE" w:eastAsia="de-DE"/>
        </w:rPr>
        <w:t>„3547</w:t>
      </w:r>
      <w:r w:rsidRPr="00DD2A86">
        <w:rPr>
          <w:iCs/>
          <w:color w:val="000000"/>
          <w:lang w:val="de-DE" w:eastAsia="de-DE"/>
        </w:rPr>
        <w:tab/>
      </w:r>
      <w:r w:rsidRPr="00DD2A86">
        <w:rPr>
          <w:iCs/>
          <w:caps/>
          <w:color w:val="000000"/>
          <w:lang w:val="de-DE" w:eastAsia="de-DE"/>
        </w:rPr>
        <w:t>Gegenstände, die einen ÄTZENDEN Stoff enthalten, n.a.g.“.</w:t>
      </w:r>
    </w:p>
    <w:p w:rsidR="00865914" w:rsidRPr="00DD2A86" w:rsidRDefault="00865914" w:rsidP="0048756D">
      <w:pPr>
        <w:spacing w:before="120" w:after="120"/>
        <w:ind w:left="1134" w:right="1134"/>
        <w:jc w:val="both"/>
        <w:rPr>
          <w:lang w:val="de-DE"/>
        </w:rPr>
      </w:pPr>
      <w:r w:rsidRPr="00DD2A86">
        <w:rPr>
          <w:lang w:val="de-DE"/>
        </w:rPr>
        <w:t>2.2.9.1.2</w:t>
      </w:r>
      <w:r w:rsidRPr="00DD2A86">
        <w:rPr>
          <w:lang w:val="de-DE"/>
        </w:rPr>
        <w:tab/>
        <w:t>[Die Änderung zu Klassifizierungscode „M11“ in der französischen Fassung hat keine Auswirkungen auf den deutschen Text.]</w:t>
      </w:r>
    </w:p>
    <w:p w:rsidR="005D3DBA" w:rsidRPr="00DD2A86" w:rsidRDefault="005D3DBA" w:rsidP="005D3DBA">
      <w:pPr>
        <w:spacing w:after="120"/>
        <w:ind w:left="1134" w:right="1134"/>
        <w:jc w:val="both"/>
        <w:rPr>
          <w:lang w:val="de-DE"/>
        </w:rPr>
      </w:pPr>
      <w:r w:rsidRPr="00DD2A86">
        <w:rPr>
          <w:lang w:val="de-DE"/>
        </w:rPr>
        <w:t>2.2.9.1.3</w:t>
      </w:r>
      <w:r w:rsidRPr="00DD2A86">
        <w:rPr>
          <w:lang w:val="de-DE"/>
        </w:rPr>
        <w:tab/>
        <w:t>„in Übereinstimmung mit den Absätzen 2.2.9.1.4 bis 2.2.9.1.14“ ändern in: „in Übereinstimmung mit den Absätzen 2.2.9.1.4 bis 2.2.9.1.8, 2.2.9.1.10, 2.2.9.1.11, 2.2.9.1.13 und 2.2.9.1.14“.</w:t>
      </w:r>
    </w:p>
    <w:p w:rsidR="00865914" w:rsidRPr="00DD2A86" w:rsidRDefault="00865914" w:rsidP="00865914">
      <w:pPr>
        <w:ind w:left="1134"/>
        <w:rPr>
          <w:iCs/>
          <w:color w:val="000000"/>
          <w:lang w:val="de-DE" w:eastAsia="de-DE"/>
        </w:rPr>
      </w:pPr>
      <w:r w:rsidRPr="00DD2A86">
        <w:rPr>
          <w:lang w:val="de-DE"/>
        </w:rPr>
        <w:t>2.2.9.1.7</w:t>
      </w:r>
      <w:r w:rsidRPr="00DD2A86">
        <w:rPr>
          <w:lang w:val="de-DE"/>
        </w:rPr>
        <w:tab/>
      </w:r>
      <w:r w:rsidRPr="00DD2A86">
        <w:rPr>
          <w:iCs/>
          <w:color w:val="000000"/>
          <w:lang w:val="de-DE" w:eastAsia="de-DE"/>
        </w:rPr>
        <w:t>Nach dem ersten Unterabsatz folgende Bem. einfügen:</w:t>
      </w:r>
    </w:p>
    <w:p w:rsidR="00865914" w:rsidRPr="00DD2A86" w:rsidRDefault="00865914" w:rsidP="00F04668">
      <w:pPr>
        <w:tabs>
          <w:tab w:val="left" w:pos="1276"/>
        </w:tabs>
        <w:spacing w:before="120" w:after="120"/>
        <w:ind w:left="1701" w:right="1134" w:hanging="567"/>
        <w:rPr>
          <w:lang w:val="de-DE"/>
        </w:rPr>
      </w:pPr>
      <w:r w:rsidRPr="00DD2A86">
        <w:rPr>
          <w:iCs/>
          <w:color w:val="000000"/>
          <w:lang w:val="de-DE" w:eastAsia="de-DE"/>
        </w:rPr>
        <w:t>„</w:t>
      </w:r>
      <w:r w:rsidRPr="00DD2A86">
        <w:rPr>
          <w:b/>
          <w:iCs/>
          <w:color w:val="000000"/>
          <w:lang w:val="de-DE" w:eastAsia="de-DE"/>
        </w:rPr>
        <w:t>Bem.</w:t>
      </w:r>
      <w:r w:rsidR="00F04668" w:rsidRPr="00DD2A86">
        <w:rPr>
          <w:b/>
          <w:iCs/>
          <w:color w:val="000000"/>
          <w:lang w:val="de-DE" w:eastAsia="de-DE"/>
        </w:rPr>
        <w:tab/>
      </w:r>
      <w:r w:rsidRPr="00DD2A86">
        <w:rPr>
          <w:color w:val="000000"/>
          <w:lang w:val="de-DE" w:eastAsia="de-DE"/>
        </w:rPr>
        <w:t xml:space="preserve">Für UN 3536 </w:t>
      </w:r>
      <w:r w:rsidRPr="00DD2A86">
        <w:rPr>
          <w:caps/>
          <w:color w:val="000000"/>
          <w:lang w:val="de-DE" w:eastAsia="de-DE"/>
        </w:rPr>
        <w:t>Lithiumbatterien, in Güterbeförderungseinheiten eingebaut</w:t>
      </w:r>
      <w:r w:rsidRPr="00DD2A86">
        <w:rPr>
          <w:color w:val="000000"/>
          <w:lang w:val="de-DE" w:eastAsia="de-DE"/>
        </w:rPr>
        <w:t>, siehe Kapitel 3.3 Sondervorschrift 389.“.</w:t>
      </w:r>
    </w:p>
    <w:p w:rsidR="00865914" w:rsidRPr="00DD2A86" w:rsidRDefault="00865914" w:rsidP="00865914">
      <w:pPr>
        <w:ind w:left="1134" w:right="1134"/>
        <w:rPr>
          <w:iCs/>
          <w:color w:val="000000"/>
          <w:lang w:val="de-DE" w:eastAsia="de-DE"/>
        </w:rPr>
      </w:pPr>
      <w:r w:rsidRPr="00DD2A86">
        <w:rPr>
          <w:lang w:val="de-DE"/>
        </w:rPr>
        <w:t>2.2.9.1.7</w:t>
      </w:r>
      <w:r w:rsidRPr="00DD2A86">
        <w:rPr>
          <w:iCs/>
          <w:lang w:val="de-DE"/>
        </w:rPr>
        <w:tab/>
      </w:r>
      <w:r w:rsidRPr="00DD2A86">
        <w:rPr>
          <w:iCs/>
          <w:color w:val="000000"/>
          <w:lang w:val="de-DE" w:eastAsia="de-DE"/>
        </w:rPr>
        <w:t>Vor dem letzten Unterabsatz folgende neue Absätze f) und g) mit folgendem Wortlaut hinzufügen:</w:t>
      </w:r>
    </w:p>
    <w:p w:rsidR="00865914" w:rsidRPr="00DD2A86" w:rsidRDefault="00865914" w:rsidP="00865914">
      <w:pPr>
        <w:tabs>
          <w:tab w:val="left" w:pos="1843"/>
        </w:tabs>
        <w:suppressAutoHyphens w:val="0"/>
        <w:spacing w:before="120" w:line="240" w:lineRule="auto"/>
        <w:ind w:left="1134" w:right="1134"/>
        <w:jc w:val="both"/>
        <w:rPr>
          <w:iCs/>
          <w:color w:val="000000"/>
          <w:lang w:val="de-DE" w:eastAsia="de-DE"/>
        </w:rPr>
      </w:pPr>
      <w:r w:rsidRPr="00DD2A86">
        <w:rPr>
          <w:iCs/>
          <w:color w:val="000000"/>
          <w:lang w:val="de-DE" w:eastAsia="de-DE"/>
        </w:rPr>
        <w:t>„f)</w:t>
      </w:r>
      <w:r w:rsidRPr="00DD2A86">
        <w:rPr>
          <w:iCs/>
          <w:color w:val="000000"/>
          <w:lang w:val="de-DE" w:eastAsia="de-DE"/>
        </w:rPr>
        <w:tab/>
        <w:t>Lithiumbatterien, die sowohl Lithium-Metall-Primärzellen als auch wieder</w:t>
      </w:r>
      <w:r w:rsidRPr="00DD2A86">
        <w:rPr>
          <w:iCs/>
          <w:color w:val="000000"/>
          <w:lang w:val="de-DE" w:eastAsia="de-DE"/>
        </w:rPr>
        <w:softHyphen/>
        <w:t>aufladbare Lithium-Ionen-Zellen enthalten und die nicht für eine externe Aufladung ausgelegt sind (siehe Sondervorschrift 387 des Kapitels 3.3), müssen folgenden Vorschriften entsprechen:</w:t>
      </w:r>
    </w:p>
    <w:p w:rsidR="00865914" w:rsidRPr="00DD2A86" w:rsidRDefault="00865914" w:rsidP="00865914">
      <w:pPr>
        <w:tabs>
          <w:tab w:val="left" w:pos="1843"/>
        </w:tabs>
        <w:suppressAutoHyphens w:val="0"/>
        <w:spacing w:before="120" w:line="240" w:lineRule="auto"/>
        <w:ind w:left="1843" w:right="1134"/>
        <w:jc w:val="both"/>
        <w:rPr>
          <w:iCs/>
          <w:color w:val="000000"/>
          <w:lang w:val="de-DE" w:eastAsia="de-DE"/>
        </w:rPr>
      </w:pPr>
      <w:r w:rsidRPr="00DD2A86">
        <w:rPr>
          <w:iCs/>
          <w:color w:val="000000"/>
          <w:lang w:val="de-DE" w:eastAsia="de-DE"/>
        </w:rPr>
        <w:t>(i)</w:t>
      </w:r>
      <w:r w:rsidRPr="00DD2A86">
        <w:rPr>
          <w:iCs/>
          <w:color w:val="000000"/>
          <w:lang w:val="de-DE" w:eastAsia="de-DE"/>
        </w:rPr>
        <w:tab/>
        <w:t>die wiederaufladbaren Lithium-Ionen-Zellen können nur von den Lithium-Metall-Primärzellen aufgeladen werden;</w:t>
      </w:r>
    </w:p>
    <w:p w:rsidR="00865914" w:rsidRPr="00DD2A86" w:rsidRDefault="00865914" w:rsidP="00865914">
      <w:pPr>
        <w:tabs>
          <w:tab w:val="left" w:pos="1843"/>
        </w:tabs>
        <w:suppressAutoHyphens w:val="0"/>
        <w:spacing w:before="120" w:line="240" w:lineRule="auto"/>
        <w:ind w:left="1843" w:right="1134"/>
        <w:jc w:val="both"/>
        <w:rPr>
          <w:iCs/>
          <w:color w:val="000000"/>
          <w:lang w:val="de-DE" w:eastAsia="de-DE"/>
        </w:rPr>
      </w:pPr>
      <w:r w:rsidRPr="00DD2A86">
        <w:rPr>
          <w:iCs/>
          <w:color w:val="000000"/>
          <w:lang w:val="de-DE" w:eastAsia="de-DE"/>
        </w:rPr>
        <w:t>(ii)</w:t>
      </w:r>
      <w:r w:rsidRPr="00DD2A86">
        <w:rPr>
          <w:iCs/>
          <w:color w:val="000000"/>
          <w:lang w:val="de-DE" w:eastAsia="de-DE"/>
        </w:rPr>
        <w:tab/>
        <w:t>eine Überladung der wiederaufladbaren Lithium-Ionen-Zellen ist auslegungsbedingt ausgeschlossen;</w:t>
      </w:r>
    </w:p>
    <w:p w:rsidR="00865914" w:rsidRPr="00DD2A86" w:rsidRDefault="00865914" w:rsidP="00865914">
      <w:pPr>
        <w:tabs>
          <w:tab w:val="left" w:pos="1843"/>
        </w:tabs>
        <w:suppressAutoHyphens w:val="0"/>
        <w:spacing w:before="120" w:line="240" w:lineRule="auto"/>
        <w:ind w:left="1843" w:right="1134"/>
        <w:jc w:val="both"/>
        <w:rPr>
          <w:iCs/>
          <w:color w:val="000000"/>
          <w:lang w:val="de-DE" w:eastAsia="de-DE"/>
        </w:rPr>
      </w:pPr>
      <w:r w:rsidRPr="00DD2A86">
        <w:rPr>
          <w:iCs/>
          <w:color w:val="000000"/>
          <w:lang w:val="de-DE" w:eastAsia="de-DE"/>
        </w:rPr>
        <w:t>(iii)</w:t>
      </w:r>
      <w:r w:rsidRPr="00DD2A86">
        <w:rPr>
          <w:iCs/>
          <w:color w:val="000000"/>
          <w:lang w:val="de-DE" w:eastAsia="de-DE"/>
        </w:rPr>
        <w:tab/>
        <w:t>die Batterie wurde als Lithium-Primärbatterie geprüft;</w:t>
      </w:r>
    </w:p>
    <w:p w:rsidR="00865914" w:rsidRPr="00DD2A86" w:rsidRDefault="00865914" w:rsidP="00865914">
      <w:pPr>
        <w:tabs>
          <w:tab w:val="left" w:pos="1843"/>
        </w:tabs>
        <w:suppressAutoHyphens w:val="0"/>
        <w:spacing w:before="120" w:line="240" w:lineRule="auto"/>
        <w:ind w:left="1843" w:right="1134"/>
        <w:jc w:val="both"/>
        <w:rPr>
          <w:iCs/>
          <w:color w:val="000000"/>
          <w:lang w:val="de-DE" w:eastAsia="de-DE"/>
        </w:rPr>
      </w:pPr>
      <w:r w:rsidRPr="00DD2A86">
        <w:rPr>
          <w:iCs/>
          <w:color w:val="000000"/>
          <w:lang w:val="de-DE" w:eastAsia="de-DE"/>
        </w:rPr>
        <w:t>(iv)</w:t>
      </w:r>
      <w:r w:rsidRPr="00DD2A86">
        <w:rPr>
          <w:iCs/>
          <w:color w:val="000000"/>
          <w:lang w:val="de-DE" w:eastAsia="de-DE"/>
        </w:rPr>
        <w:tab/>
        <w:t>die Komponentenzellen der Batterie müssen einer Bauart entsprechen, für die nachgewiesen wurde, dass sie die entsprechenden Prüfvorschriften des Handbuchs Prüfungen und Kriterien Teil III Unterabschnitt 38.3 erfüllen.</w:t>
      </w:r>
    </w:p>
    <w:p w:rsidR="00865914" w:rsidRPr="00DD2A86" w:rsidRDefault="00865914" w:rsidP="00865914">
      <w:pPr>
        <w:tabs>
          <w:tab w:val="left" w:pos="1843"/>
        </w:tabs>
        <w:suppressAutoHyphens w:val="0"/>
        <w:spacing w:before="120" w:line="240" w:lineRule="auto"/>
        <w:ind w:left="1134" w:right="1134"/>
        <w:jc w:val="both"/>
        <w:rPr>
          <w:iCs/>
          <w:color w:val="000000"/>
          <w:lang w:val="de-DE" w:eastAsia="de-DE"/>
        </w:rPr>
      </w:pPr>
      <w:r w:rsidRPr="00DD2A86">
        <w:rPr>
          <w:iCs/>
          <w:color w:val="000000"/>
          <w:lang w:val="de-DE" w:eastAsia="de-DE"/>
        </w:rPr>
        <w:t>g)</w:t>
      </w:r>
      <w:r w:rsidRPr="00DD2A86">
        <w:rPr>
          <w:iCs/>
          <w:color w:val="000000"/>
          <w:lang w:val="de-DE" w:eastAsia="de-DE"/>
        </w:rPr>
        <w:tab/>
        <w:t>Hersteller und Vertreiber von Zellen oder Batterien müssen den im Handbuch Prüfungen und Kriterien Teil III Unterabschnitt 38.3 Absatz 38.3.5 festgelegten Prüfzusammenfassung zur Verfügung stellen.“.</w:t>
      </w:r>
    </w:p>
    <w:p w:rsidR="00934A3E" w:rsidRPr="00DD2A86" w:rsidRDefault="00934A3E" w:rsidP="00934A3E">
      <w:pPr>
        <w:tabs>
          <w:tab w:val="left" w:pos="1701"/>
          <w:tab w:val="left" w:pos="1985"/>
        </w:tabs>
        <w:spacing w:before="120" w:after="120"/>
        <w:ind w:left="2268" w:right="1134" w:hanging="1134"/>
        <w:jc w:val="both"/>
        <w:rPr>
          <w:iCs/>
          <w:lang w:val="de-CH"/>
        </w:rPr>
      </w:pPr>
      <w:r w:rsidRPr="00DD2A86">
        <w:rPr>
          <w:lang w:val="de-DE"/>
        </w:rPr>
        <w:t>2.2.9.1.8</w:t>
      </w:r>
      <w:r w:rsidRPr="00DD2A86">
        <w:rPr>
          <w:lang w:val="de-DE"/>
        </w:rPr>
        <w:tab/>
        <w:t>„</w:t>
      </w:r>
      <w:r w:rsidRPr="00DD2A86">
        <w:rPr>
          <w:iCs/>
          <w:lang w:val="de-CH"/>
        </w:rPr>
        <w:t>Definitionen“ ändern in: „Beschreibungen“.</w:t>
      </w:r>
    </w:p>
    <w:p w:rsidR="00934A3E" w:rsidRPr="00DD2A86" w:rsidRDefault="00934A3E" w:rsidP="00934A3E">
      <w:pPr>
        <w:tabs>
          <w:tab w:val="left" w:pos="1701"/>
          <w:tab w:val="left" w:pos="1985"/>
        </w:tabs>
        <w:spacing w:before="120" w:after="120"/>
        <w:ind w:left="2268" w:right="1134" w:hanging="1134"/>
        <w:jc w:val="both"/>
        <w:rPr>
          <w:lang w:val="de-DE"/>
        </w:rPr>
      </w:pPr>
      <w:r w:rsidRPr="00DD2A86">
        <w:rPr>
          <w:lang w:val="de-DE"/>
        </w:rPr>
        <w:t>[Betrifft nur die deutsche Sprachfassung]</w:t>
      </w:r>
    </w:p>
    <w:p w:rsidR="00865914" w:rsidRPr="00DD2A86" w:rsidRDefault="00865914" w:rsidP="00865914">
      <w:pPr>
        <w:spacing w:after="120"/>
        <w:ind w:left="1134" w:right="1134"/>
        <w:jc w:val="both"/>
        <w:rPr>
          <w:lang w:val="de-DE"/>
        </w:rPr>
      </w:pPr>
      <w:r w:rsidRPr="00DD2A86">
        <w:rPr>
          <w:lang w:val="de-DE"/>
        </w:rPr>
        <w:t>2.2.9.1.14</w:t>
      </w:r>
      <w:r w:rsidRPr="00DD2A86">
        <w:rPr>
          <w:lang w:val="de-DE"/>
        </w:rPr>
        <w:tab/>
      </w:r>
      <w:r w:rsidRPr="00DD2A86">
        <w:rPr>
          <w:iCs/>
          <w:lang w:val="de-DE"/>
        </w:rPr>
        <w:t>Die Überschrift erhält am Anfang folgenden Wortlaut: „Andere Stoffe und Gegenstände, die während der Beförderung…“.</w:t>
      </w:r>
    </w:p>
    <w:p w:rsidR="00865914" w:rsidRPr="00DD2A86" w:rsidRDefault="00865914" w:rsidP="00865914">
      <w:pPr>
        <w:spacing w:after="120"/>
        <w:ind w:left="1134" w:right="1134"/>
        <w:jc w:val="both"/>
        <w:rPr>
          <w:lang w:val="de-DE"/>
        </w:rPr>
      </w:pPr>
      <w:r w:rsidRPr="00DD2A86">
        <w:rPr>
          <w:lang w:val="de-DE"/>
        </w:rPr>
        <w:t>2.2.9.1.14</w:t>
      </w:r>
      <w:r w:rsidRPr="00DD2A86">
        <w:rPr>
          <w:lang w:val="de-DE"/>
        </w:rPr>
        <w:tab/>
        <w:t>[Die Änderung zu „weniger gefährliches Dithionit“ in der französischen Fassung hat keine Auswirkungen auf den deutschen Text.]</w:t>
      </w:r>
    </w:p>
    <w:p w:rsidR="00865914" w:rsidRPr="00DD2A86" w:rsidRDefault="00865914" w:rsidP="00865914">
      <w:pPr>
        <w:spacing w:after="120"/>
        <w:ind w:left="1134" w:right="1134"/>
        <w:jc w:val="both"/>
        <w:rPr>
          <w:iCs/>
          <w:lang w:val="de-DE"/>
        </w:rPr>
      </w:pPr>
      <w:r w:rsidRPr="00DD2A86">
        <w:rPr>
          <w:lang w:val="de-DE"/>
        </w:rPr>
        <w:t>2.2.9.1.14</w:t>
      </w:r>
      <w:r w:rsidRPr="00DD2A86">
        <w:rPr>
          <w:lang w:val="de-DE"/>
        </w:rPr>
        <w:tab/>
      </w:r>
      <w:r w:rsidRPr="00DD2A86">
        <w:rPr>
          <w:iCs/>
          <w:lang w:val="de-DE"/>
        </w:rPr>
        <w:t>Nach „Fahrzeuge, Verbrennungsmotoren und Verbrennungsmaschinen“ eine neue Zeile mit folgendem Wortlaut einfügen: „Gegenstände, die verschiedene gefährliche Güter enthalten“.</w:t>
      </w:r>
    </w:p>
    <w:p w:rsidR="00865914" w:rsidRPr="00DD2A86" w:rsidRDefault="00865914" w:rsidP="00865914">
      <w:pPr>
        <w:spacing w:after="120"/>
        <w:ind w:left="1134" w:right="1134"/>
        <w:jc w:val="both"/>
        <w:rPr>
          <w:lang w:val="de-DE"/>
        </w:rPr>
      </w:pPr>
      <w:r w:rsidRPr="00DD2A86">
        <w:rPr>
          <w:lang w:val="de-DE"/>
        </w:rPr>
        <w:t>2.2.9.1.14</w:t>
      </w:r>
      <w:r w:rsidRPr="00DD2A86">
        <w:rPr>
          <w:lang w:val="de-DE"/>
        </w:rPr>
        <w:tab/>
        <w:t>Der Spiegelstrich betreffend die Eintragung „UN 2071 AMMONIUMNITRATHALTIGE DÜNGEMITEL TYP B“ einschließlich Bem. 1 und 2 erhält folgenden Wortlaut:</w:t>
      </w:r>
    </w:p>
    <w:p w:rsidR="00865914" w:rsidRPr="00DD2A86" w:rsidRDefault="00865914" w:rsidP="00865914">
      <w:pPr>
        <w:spacing w:after="120"/>
        <w:ind w:left="1134" w:right="1134"/>
        <w:jc w:val="both"/>
        <w:rPr>
          <w:lang w:val="de-DE"/>
        </w:rPr>
      </w:pPr>
      <w:r w:rsidRPr="00DD2A86">
        <w:rPr>
          <w:lang w:val="de-DE"/>
        </w:rPr>
        <w:t>„–</w:t>
      </w:r>
      <w:r w:rsidRPr="00DD2A86">
        <w:rPr>
          <w:lang w:val="de-DE"/>
        </w:rPr>
        <w:tab/>
        <w:t>UN 2071 AMMONIUMNITRATHALTIGES DÜNGEMITTEL</w:t>
      </w:r>
    </w:p>
    <w:p w:rsidR="00865914" w:rsidRPr="006D195A" w:rsidRDefault="00865914" w:rsidP="00F04668">
      <w:pPr>
        <w:spacing w:after="120"/>
        <w:ind w:left="1701" w:right="1134" w:hanging="567"/>
        <w:jc w:val="both"/>
        <w:rPr>
          <w:lang w:val="de-DE"/>
        </w:rPr>
      </w:pPr>
      <w:r w:rsidRPr="006D195A">
        <w:rPr>
          <w:b/>
          <w:lang w:val="de-DE"/>
        </w:rPr>
        <w:t>Bem.</w:t>
      </w:r>
      <w:r w:rsidR="00F04668" w:rsidRPr="006D195A">
        <w:rPr>
          <w:b/>
          <w:lang w:val="de-DE"/>
        </w:rPr>
        <w:tab/>
      </w:r>
      <w:r w:rsidRPr="006D195A">
        <w:rPr>
          <w:lang w:val="de-DE"/>
        </w:rPr>
        <w:t>Feste ammoniumnitrathaltige Düngemittel werden in Übereinstimmung mit dem im Handbuch Prüfungen und Kriterien Teil III Abschnitt 39 festgelegten Verfahren klassifiziert.“.</w:t>
      </w:r>
    </w:p>
    <w:p w:rsidR="00865914" w:rsidRPr="00DD2A86" w:rsidRDefault="00865914" w:rsidP="00865914">
      <w:pPr>
        <w:spacing w:after="120"/>
        <w:ind w:left="1134" w:right="1134"/>
        <w:jc w:val="both"/>
        <w:rPr>
          <w:iCs/>
          <w:lang w:val="de-DE"/>
        </w:rPr>
      </w:pPr>
      <w:r w:rsidRPr="00DD2A86">
        <w:rPr>
          <w:lang w:val="de-DE"/>
        </w:rPr>
        <w:t>2.2.9.1.14</w:t>
      </w:r>
      <w:r w:rsidRPr="00DD2A86">
        <w:rPr>
          <w:lang w:val="de-DE"/>
        </w:rPr>
        <w:tab/>
      </w:r>
      <w:r w:rsidRPr="00DD2A86">
        <w:rPr>
          <w:iCs/>
          <w:lang w:val="de-DE"/>
        </w:rPr>
        <w:t>In der Bem. streichen:</w:t>
      </w:r>
    </w:p>
    <w:p w:rsidR="00865914" w:rsidRPr="00DD2A86" w:rsidRDefault="00865914" w:rsidP="00865914">
      <w:pPr>
        <w:ind w:left="1134" w:right="1134"/>
        <w:jc w:val="both"/>
        <w:rPr>
          <w:iCs/>
          <w:lang w:val="de-DE"/>
        </w:rPr>
      </w:pPr>
      <w:r w:rsidRPr="00DD2A86">
        <w:rPr>
          <w:iCs/>
          <w:lang w:val="de-DE"/>
        </w:rPr>
        <w:t>„UN 2071 AMMONIUMNITRATHALTIGE DÜNGEMITTEL,</w:t>
      </w:r>
    </w:p>
    <w:p w:rsidR="00865914" w:rsidRPr="00DD2A86" w:rsidRDefault="005906F8" w:rsidP="00865914">
      <w:pPr>
        <w:spacing w:after="120"/>
        <w:ind w:left="1134" w:right="1134"/>
        <w:jc w:val="both"/>
        <w:rPr>
          <w:iCs/>
          <w:lang w:val="de-DE"/>
        </w:rPr>
      </w:pPr>
      <w:r w:rsidRPr="00DD2A86">
        <w:rPr>
          <w:iCs/>
          <w:lang w:val="de-DE"/>
        </w:rPr>
        <w:t>UN 2216 FISCHMEHL (FISCHABFÄLLE), STABILISIERT,</w:t>
      </w:r>
      <w:r w:rsidR="00865914" w:rsidRPr="00DD2A86">
        <w:rPr>
          <w:iCs/>
          <w:lang w:val="de-DE"/>
        </w:rPr>
        <w:t>“.</w:t>
      </w:r>
    </w:p>
    <w:p w:rsidR="00865914" w:rsidRPr="00DD2A86" w:rsidRDefault="00865914" w:rsidP="00865914">
      <w:pPr>
        <w:ind w:left="1134" w:right="1134"/>
        <w:jc w:val="both"/>
        <w:rPr>
          <w:lang w:val="de-DE"/>
        </w:rPr>
      </w:pPr>
      <w:r w:rsidRPr="00DD2A86">
        <w:rPr>
          <w:lang w:val="de-DE"/>
        </w:rPr>
        <w:t>2.2.9.1.14</w:t>
      </w:r>
      <w:r w:rsidRPr="00DD2A86">
        <w:rPr>
          <w:lang w:val="de-DE"/>
        </w:rPr>
        <w:tab/>
        <w:t>In der Bem., streichen:</w:t>
      </w:r>
    </w:p>
    <w:p w:rsidR="00865914" w:rsidRPr="00DD2A86" w:rsidRDefault="00865914" w:rsidP="00865914">
      <w:pPr>
        <w:spacing w:before="120"/>
        <w:ind w:left="1134" w:right="1134"/>
        <w:jc w:val="both"/>
        <w:rPr>
          <w:lang w:val="de-DE"/>
        </w:rPr>
      </w:pPr>
      <w:r w:rsidRPr="00DD2A86">
        <w:rPr>
          <w:lang w:val="de-DE"/>
        </w:rPr>
        <w:t>„, UN 3363 GEFÄHRLICHE GÜTER IN MASCHINEN oder UN 3363 GEFÄHRLICHE GÜTER IN GERÄTEN.“.</w:t>
      </w:r>
    </w:p>
    <w:p w:rsidR="00865914" w:rsidRPr="00DD2A86" w:rsidRDefault="00865914" w:rsidP="00EB6056">
      <w:pPr>
        <w:spacing w:before="120" w:after="120"/>
        <w:ind w:left="1134" w:right="1134"/>
        <w:jc w:val="both"/>
        <w:rPr>
          <w:lang w:val="de-DE"/>
        </w:rPr>
      </w:pPr>
      <w:r w:rsidRPr="00DD2A86">
        <w:rPr>
          <w:lang w:val="de-DE"/>
        </w:rPr>
        <w:t>2.2.9.3, Verzeichnis der Eintragungen</w:t>
      </w:r>
      <w:r w:rsidRPr="00DD2A86">
        <w:rPr>
          <w:lang w:val="de-DE"/>
        </w:rPr>
        <w:tab/>
        <w:t>Unter „Lithiumbatterien M4“ folgende neue Eintragung hinzufügen:</w:t>
      </w:r>
    </w:p>
    <w:p w:rsidR="00865914" w:rsidRPr="00DD2A86" w:rsidRDefault="00865914" w:rsidP="00865914">
      <w:pPr>
        <w:tabs>
          <w:tab w:val="left" w:pos="2268"/>
        </w:tabs>
        <w:spacing w:after="120"/>
        <w:ind w:left="1134" w:right="1134"/>
        <w:jc w:val="both"/>
        <w:rPr>
          <w:lang w:val="de-DE"/>
        </w:rPr>
      </w:pPr>
      <w:r w:rsidRPr="00DD2A86">
        <w:rPr>
          <w:lang w:val="de-DE"/>
        </w:rPr>
        <w:t>„3536</w:t>
      </w:r>
      <w:r w:rsidRPr="00DD2A86">
        <w:rPr>
          <w:lang w:val="de-DE"/>
        </w:rPr>
        <w:tab/>
        <w:t>LITHIUMBATTERIEN, IN GÜTERBEFÖRDERUNGSEINHEITEN EINGEBAUT, Lithium-Ionen-Batterien oder Lithium-Metall-Batterien“.</w:t>
      </w:r>
    </w:p>
    <w:p w:rsidR="00865914" w:rsidRPr="00DD2A86" w:rsidRDefault="00865914" w:rsidP="00865914">
      <w:pPr>
        <w:tabs>
          <w:tab w:val="left" w:pos="2268"/>
        </w:tabs>
        <w:ind w:left="1134" w:right="1134"/>
        <w:jc w:val="both"/>
        <w:rPr>
          <w:lang w:val="de-DE"/>
        </w:rPr>
      </w:pPr>
      <w:r w:rsidRPr="00DD2A86">
        <w:rPr>
          <w:lang w:val="de-DE"/>
        </w:rPr>
        <w:t>2.2.9.3, Verzeichnis der Eintragungen</w:t>
      </w:r>
    </w:p>
    <w:p w:rsidR="00865914" w:rsidRPr="00DD2A86" w:rsidRDefault="00865914" w:rsidP="00865914">
      <w:pPr>
        <w:tabs>
          <w:tab w:val="left" w:pos="2268"/>
        </w:tabs>
        <w:spacing w:before="120" w:after="120"/>
        <w:ind w:left="1134" w:right="1134"/>
        <w:jc w:val="both"/>
        <w:rPr>
          <w:iCs/>
          <w:lang w:val="de-DE"/>
        </w:rPr>
      </w:pPr>
      <w:r w:rsidRPr="00DD2A86">
        <w:rPr>
          <w:lang w:val="de-DE"/>
        </w:rPr>
        <w:t>[Die Änderung zum Titel des Klassifizierungscode M11 in der französischen Fassung hat keine Auswirkungen auf den deutschen Text.]</w:t>
      </w:r>
    </w:p>
    <w:p w:rsidR="00865914" w:rsidRPr="00DD2A86" w:rsidRDefault="00865914" w:rsidP="00865914">
      <w:pPr>
        <w:ind w:left="1134" w:right="1134"/>
        <w:jc w:val="both"/>
        <w:rPr>
          <w:lang w:val="de-DE"/>
        </w:rPr>
      </w:pPr>
      <w:r w:rsidRPr="00DD2A86">
        <w:rPr>
          <w:lang w:val="de-DE"/>
        </w:rPr>
        <w:t>2.2.9.3, Verzeichnis der Eintragungen</w:t>
      </w:r>
    </w:p>
    <w:p w:rsidR="00865914" w:rsidRPr="00DD2A86" w:rsidRDefault="00865914" w:rsidP="00865914">
      <w:pPr>
        <w:spacing w:after="120"/>
        <w:ind w:left="1134" w:right="1134"/>
        <w:jc w:val="both"/>
        <w:rPr>
          <w:iCs/>
          <w:lang w:val="de-DE"/>
        </w:rPr>
      </w:pPr>
      <w:r w:rsidRPr="00DD2A86">
        <w:rPr>
          <w:iCs/>
          <w:lang w:val="de-DE"/>
        </w:rPr>
        <w:t>Unter „andere Stoffe und Gegenstände, die während der Beförderung eine Gefahr darstellen und nicht unter die Definition einer anderen Klasse fallen, M11“ folgende Änderungen vornehmen:</w:t>
      </w:r>
    </w:p>
    <w:p w:rsidR="00865914" w:rsidRPr="00DD2A86" w:rsidRDefault="00865914" w:rsidP="00865914">
      <w:pPr>
        <w:suppressAutoHyphens w:val="0"/>
        <w:spacing w:line="240" w:lineRule="auto"/>
        <w:ind w:left="1418" w:right="1134" w:hanging="284"/>
        <w:jc w:val="both"/>
        <w:rPr>
          <w:iCs/>
          <w:color w:val="000000"/>
          <w:lang w:val="de-DE" w:eastAsia="de-DE"/>
        </w:rPr>
      </w:pPr>
      <w:r w:rsidRPr="00DD2A86">
        <w:rPr>
          <w:iCs/>
          <w:color w:val="000000"/>
          <w:sz w:val="22"/>
          <w:lang w:val="de-DE" w:eastAsia="de-DE"/>
        </w:rPr>
        <w:t>–</w:t>
      </w:r>
      <w:r w:rsidRPr="00DD2A86">
        <w:rPr>
          <w:iCs/>
          <w:color w:val="000000"/>
          <w:sz w:val="22"/>
          <w:lang w:val="de-DE" w:eastAsia="de-DE"/>
        </w:rPr>
        <w:tab/>
      </w:r>
      <w:r w:rsidRPr="00DD2A86">
        <w:rPr>
          <w:iCs/>
          <w:color w:val="000000"/>
          <w:lang w:val="de-DE" w:eastAsia="de-DE"/>
        </w:rPr>
        <w:t>Nach „1990 BENZALDEHYD“ einfügen:</w:t>
      </w:r>
    </w:p>
    <w:p w:rsidR="00865914" w:rsidRPr="00DD2A86" w:rsidRDefault="00865914" w:rsidP="00865914">
      <w:pPr>
        <w:suppressAutoHyphens w:val="0"/>
        <w:spacing w:line="240" w:lineRule="auto"/>
        <w:ind w:left="1418" w:right="1134"/>
        <w:jc w:val="both"/>
        <w:rPr>
          <w:iCs/>
          <w:color w:val="000000"/>
          <w:lang w:val="de-DE" w:eastAsia="de-DE"/>
        </w:rPr>
      </w:pPr>
      <w:r w:rsidRPr="00DD2A86">
        <w:rPr>
          <w:iCs/>
          <w:color w:val="000000"/>
          <w:lang w:val="de-DE" w:eastAsia="de-DE"/>
        </w:rPr>
        <w:t>„2071 AMMONIUMNITRATHALTIGES DÜNGEMITTEL“.</w:t>
      </w:r>
    </w:p>
    <w:p w:rsidR="00865914" w:rsidRPr="00DD2A86" w:rsidRDefault="00865914" w:rsidP="00865914">
      <w:pPr>
        <w:suppressAutoHyphens w:val="0"/>
        <w:spacing w:before="120" w:line="240" w:lineRule="auto"/>
        <w:ind w:left="1418" w:right="1134" w:hanging="284"/>
        <w:jc w:val="both"/>
        <w:rPr>
          <w:iCs/>
          <w:color w:val="000000"/>
          <w:lang w:val="de-DE" w:eastAsia="de-DE"/>
        </w:rPr>
      </w:pPr>
      <w:r w:rsidRPr="00DD2A86">
        <w:rPr>
          <w:iCs/>
          <w:color w:val="000000"/>
          <w:lang w:val="de-DE" w:eastAsia="de-DE"/>
        </w:rPr>
        <w:t>–</w:t>
      </w:r>
      <w:r w:rsidRPr="00DD2A86">
        <w:rPr>
          <w:iCs/>
          <w:color w:val="000000"/>
          <w:lang w:val="de-DE" w:eastAsia="de-DE"/>
        </w:rPr>
        <w:tab/>
        <w:t>Nach „3359 BEGASTE GÜTERBEFÖRDERUNGSEINHEIT(CTU)“ einfügen:</w:t>
      </w:r>
    </w:p>
    <w:p w:rsidR="00865914" w:rsidRPr="00DD2A86" w:rsidRDefault="00865914" w:rsidP="00865914">
      <w:pPr>
        <w:suppressAutoHyphens w:val="0"/>
        <w:spacing w:line="240" w:lineRule="auto"/>
        <w:ind w:left="1418" w:right="1134"/>
        <w:jc w:val="both"/>
        <w:rPr>
          <w:iCs/>
          <w:color w:val="000000"/>
          <w:lang w:val="de-DE" w:eastAsia="de-DE"/>
        </w:rPr>
      </w:pPr>
      <w:r w:rsidRPr="00DD2A86">
        <w:rPr>
          <w:iCs/>
          <w:color w:val="000000"/>
          <w:lang w:val="de-DE" w:eastAsia="de-DE"/>
        </w:rPr>
        <w:t>„3363</w:t>
      </w:r>
      <w:r w:rsidRPr="00DD2A86">
        <w:rPr>
          <w:iCs/>
          <w:color w:val="000000"/>
          <w:lang w:val="de-DE" w:eastAsia="de-DE"/>
        </w:rPr>
        <w:tab/>
      </w:r>
      <w:r w:rsidRPr="00DD2A86">
        <w:rPr>
          <w:iCs/>
          <w:caps/>
          <w:color w:val="000000"/>
          <w:lang w:val="de-DE" w:eastAsia="de-DE"/>
        </w:rPr>
        <w:t>Gefährliche Güter in Maschinen</w:t>
      </w:r>
      <w:r w:rsidRPr="00DD2A86">
        <w:rPr>
          <w:iCs/>
          <w:color w:val="000000"/>
          <w:lang w:val="de-DE" w:eastAsia="de-DE"/>
        </w:rPr>
        <w:t xml:space="preserve"> oder</w:t>
      </w:r>
    </w:p>
    <w:p w:rsidR="00865914" w:rsidRPr="00DD2A86" w:rsidRDefault="00865914" w:rsidP="00865914">
      <w:pPr>
        <w:suppressAutoHyphens w:val="0"/>
        <w:spacing w:line="240" w:lineRule="auto"/>
        <w:ind w:left="1418" w:right="1134"/>
        <w:jc w:val="both"/>
        <w:rPr>
          <w:iCs/>
          <w:color w:val="000000"/>
          <w:lang w:val="de-DE" w:eastAsia="de-DE"/>
        </w:rPr>
      </w:pPr>
      <w:r w:rsidRPr="00DD2A86">
        <w:rPr>
          <w:iCs/>
          <w:color w:val="000000"/>
          <w:lang w:val="de-DE" w:eastAsia="de-DE"/>
        </w:rPr>
        <w:t>3363</w:t>
      </w:r>
      <w:r w:rsidRPr="00DD2A86">
        <w:rPr>
          <w:iCs/>
          <w:color w:val="000000"/>
          <w:lang w:val="de-DE" w:eastAsia="de-DE"/>
        </w:rPr>
        <w:tab/>
      </w:r>
      <w:r w:rsidRPr="00DD2A86">
        <w:rPr>
          <w:iCs/>
          <w:caps/>
          <w:color w:val="000000"/>
          <w:lang w:val="de-DE" w:eastAsia="de-DE"/>
        </w:rPr>
        <w:t>Gefährliche Güter in Geräten“.</w:t>
      </w:r>
    </w:p>
    <w:p w:rsidR="00865914" w:rsidRPr="00DD2A86" w:rsidRDefault="00865914" w:rsidP="00865914">
      <w:pPr>
        <w:suppressAutoHyphens w:val="0"/>
        <w:spacing w:before="120" w:line="240" w:lineRule="auto"/>
        <w:ind w:left="1418" w:right="1134" w:hanging="284"/>
        <w:jc w:val="both"/>
        <w:rPr>
          <w:iCs/>
          <w:color w:val="000000"/>
          <w:lang w:val="de-DE" w:eastAsia="de-DE"/>
        </w:rPr>
      </w:pPr>
      <w:r w:rsidRPr="00DD2A86">
        <w:rPr>
          <w:iCs/>
          <w:color w:val="000000"/>
          <w:lang w:val="de-DE" w:eastAsia="de-DE"/>
        </w:rPr>
        <w:t>–</w:t>
      </w:r>
      <w:r w:rsidRPr="00DD2A86">
        <w:rPr>
          <w:iCs/>
          <w:color w:val="000000"/>
          <w:lang w:val="de-DE" w:eastAsia="de-DE"/>
        </w:rPr>
        <w:tab/>
        <w:t>Am Ende hinzufügen:</w:t>
      </w:r>
    </w:p>
    <w:p w:rsidR="00865914" w:rsidRPr="00DD2A86" w:rsidRDefault="00865914" w:rsidP="00865914">
      <w:pPr>
        <w:suppressAutoHyphens w:val="0"/>
        <w:spacing w:line="240" w:lineRule="auto"/>
        <w:ind w:left="1418" w:right="1134"/>
        <w:jc w:val="both"/>
        <w:rPr>
          <w:iCs/>
          <w:color w:val="000000"/>
          <w:lang w:val="de-DE" w:eastAsia="de-DE"/>
        </w:rPr>
      </w:pPr>
      <w:r w:rsidRPr="00DD2A86">
        <w:rPr>
          <w:iCs/>
          <w:color w:val="000000"/>
          <w:lang w:val="de-DE" w:eastAsia="de-DE"/>
        </w:rPr>
        <w:t>„3548</w:t>
      </w:r>
      <w:r w:rsidRPr="00DD2A86">
        <w:rPr>
          <w:iCs/>
          <w:color w:val="000000"/>
          <w:lang w:val="de-DE" w:eastAsia="de-DE"/>
        </w:rPr>
        <w:tab/>
      </w:r>
      <w:r w:rsidRPr="00DD2A86">
        <w:rPr>
          <w:bCs/>
          <w:iCs/>
          <w:caps/>
          <w:color w:val="000000"/>
          <w:lang w:val="de-DE" w:eastAsia="de-DE"/>
        </w:rPr>
        <w:t>gegenstände, die verschiedene gefährliche güter enthalten, n.a.g.“</w:t>
      </w:r>
      <w:r w:rsidRPr="00DD2A86">
        <w:rPr>
          <w:bCs/>
          <w:iCs/>
          <w:color w:val="000000"/>
          <w:lang w:val="de-DE" w:eastAsia="de-DE"/>
        </w:rPr>
        <w:t>.</w:t>
      </w:r>
    </w:p>
    <w:p w:rsidR="00865914" w:rsidRPr="00DD2A86" w:rsidRDefault="00865914" w:rsidP="0048756D">
      <w:pPr>
        <w:spacing w:before="120"/>
        <w:ind w:left="1134" w:right="1134"/>
        <w:jc w:val="both"/>
        <w:rPr>
          <w:lang w:val="de-DE"/>
        </w:rPr>
      </w:pPr>
      <w:r w:rsidRPr="00DD2A86">
        <w:rPr>
          <w:lang w:val="de-DE"/>
        </w:rPr>
        <w:t>2.2.9.3, Verzeichnis der Eintragungen</w:t>
      </w:r>
    </w:p>
    <w:p w:rsidR="00865914" w:rsidRPr="00DD2A86" w:rsidRDefault="00865914" w:rsidP="00865914">
      <w:pPr>
        <w:spacing w:after="120"/>
        <w:ind w:left="1134" w:right="1134"/>
        <w:jc w:val="both"/>
        <w:rPr>
          <w:iCs/>
          <w:lang w:val="de-DE"/>
        </w:rPr>
      </w:pPr>
      <w:r w:rsidRPr="00DD2A86">
        <w:rPr>
          <w:iCs/>
          <w:lang w:val="de-DE"/>
        </w:rPr>
        <w:t>Unter „andere Stoffe und Gegenstände, die während der Beförderung eine Gefahr darstellen und nicht unter die Definition einer anderen Klasse fallen, M11“, im Text vor der Aufzählung der Stoffe und Gegenstände streichen: „Keine Sammeleintragung vorhanden.“.</w:t>
      </w:r>
    </w:p>
    <w:p w:rsidR="00973598" w:rsidRPr="00DD2A86" w:rsidRDefault="00973598" w:rsidP="00B22D6A">
      <w:pPr>
        <w:keepNext/>
        <w:keepLines/>
        <w:tabs>
          <w:tab w:val="right" w:pos="851"/>
        </w:tabs>
        <w:ind w:left="1134" w:right="1134" w:hanging="1134"/>
        <w:rPr>
          <w:b/>
          <w:sz w:val="24"/>
          <w:lang w:val="de-DE"/>
        </w:rPr>
      </w:pPr>
    </w:p>
    <w:p w:rsidR="00EF7CB7" w:rsidRPr="00DD2A86" w:rsidRDefault="00EF7CB7" w:rsidP="00EF7CB7">
      <w:pPr>
        <w:keepNext/>
        <w:keepLines/>
        <w:tabs>
          <w:tab w:val="right" w:pos="851"/>
        </w:tabs>
        <w:spacing w:before="360" w:after="240" w:line="270" w:lineRule="exact"/>
        <w:ind w:left="1134" w:right="1134" w:hanging="1134"/>
        <w:rPr>
          <w:b/>
          <w:sz w:val="24"/>
          <w:lang w:val="de-DE"/>
        </w:rPr>
      </w:pPr>
      <w:r w:rsidRPr="00DD2A86">
        <w:rPr>
          <w:b/>
          <w:sz w:val="24"/>
          <w:lang w:val="de-DE"/>
        </w:rPr>
        <w:tab/>
      </w:r>
      <w:r w:rsidRPr="00DD2A86">
        <w:rPr>
          <w:b/>
          <w:sz w:val="24"/>
          <w:lang w:val="de-DE"/>
        </w:rPr>
        <w:tab/>
        <w:t>Kapitel 2.4</w:t>
      </w:r>
    </w:p>
    <w:p w:rsidR="00EF7CB7" w:rsidRPr="00DD2A86" w:rsidRDefault="00EF7CB7" w:rsidP="00EF7CB7">
      <w:pPr>
        <w:spacing w:after="120"/>
        <w:ind w:left="1134" w:right="1134"/>
        <w:jc w:val="both"/>
        <w:rPr>
          <w:lang w:val="de-DE"/>
        </w:rPr>
      </w:pPr>
      <w:r w:rsidRPr="00DD2A86">
        <w:rPr>
          <w:lang w:val="de-DE"/>
        </w:rPr>
        <w:t>2.4.4.6.5</w:t>
      </w:r>
      <w:r w:rsidRPr="00DD2A86">
        <w:rPr>
          <w:lang w:val="de-DE"/>
        </w:rPr>
        <w:tab/>
        <w:t>Am Ende streichen: „und mit folgendem Zusatzhinweis versehen: „x Prozent des Gemisches bestehen aus einem Bestandteil (aus Bestandteilen) mit unbekannter Gewässergefährdung““.</w:t>
      </w:r>
    </w:p>
    <w:p w:rsidR="00117856" w:rsidRPr="00DD2A86" w:rsidRDefault="00117856" w:rsidP="008E3F21">
      <w:pPr>
        <w:keepNext/>
        <w:keepLines/>
        <w:tabs>
          <w:tab w:val="right" w:pos="851"/>
        </w:tabs>
        <w:ind w:left="1134" w:right="1134" w:hanging="1134"/>
        <w:rPr>
          <w:b/>
          <w:sz w:val="24"/>
          <w:lang w:val="de-DE"/>
        </w:rPr>
      </w:pPr>
    </w:p>
    <w:p w:rsidR="0038186F" w:rsidRPr="00DD2A86" w:rsidRDefault="0038186F" w:rsidP="0038186F">
      <w:pPr>
        <w:keepNext/>
        <w:keepLines/>
        <w:tabs>
          <w:tab w:val="right" w:pos="851"/>
        </w:tabs>
        <w:spacing w:before="120" w:after="120"/>
        <w:ind w:left="1134" w:right="1134" w:hanging="1134"/>
        <w:rPr>
          <w:b/>
          <w:sz w:val="24"/>
          <w:lang w:val="de-DE"/>
        </w:rPr>
      </w:pPr>
      <w:r w:rsidRPr="00DD2A86">
        <w:rPr>
          <w:b/>
          <w:sz w:val="24"/>
          <w:lang w:val="de-DE"/>
        </w:rPr>
        <w:tab/>
      </w:r>
      <w:r w:rsidRPr="00DD2A86">
        <w:rPr>
          <w:b/>
          <w:sz w:val="24"/>
          <w:lang w:val="de-DE"/>
        </w:rPr>
        <w:tab/>
        <w:t>Kapitel 3.1</w:t>
      </w:r>
    </w:p>
    <w:p w:rsidR="009839AF" w:rsidRPr="00DD2A86" w:rsidRDefault="009839AF" w:rsidP="009839AF">
      <w:pPr>
        <w:spacing w:after="120"/>
        <w:ind w:left="1134" w:right="1134"/>
        <w:jc w:val="both"/>
        <w:rPr>
          <w:iCs/>
          <w:lang w:val="de-DE"/>
        </w:rPr>
      </w:pPr>
      <w:r w:rsidRPr="00DD2A86">
        <w:rPr>
          <w:lang w:val="de-DE"/>
        </w:rPr>
        <w:t>3.1.2.2</w:t>
      </w:r>
      <w:r w:rsidRPr="00DD2A86">
        <w:rPr>
          <w:lang w:val="de-DE"/>
        </w:rPr>
        <w:tab/>
      </w:r>
      <w:r w:rsidRPr="00DD2A86">
        <w:rPr>
          <w:lang w:val="de-DE"/>
        </w:rPr>
        <w:tab/>
      </w:r>
      <w:r w:rsidRPr="00DD2A86">
        <w:rPr>
          <w:iCs/>
          <w:lang w:val="de-DE"/>
        </w:rPr>
        <w:t>Der erste Satz erhält folgenden Wortlaut:</w:t>
      </w:r>
    </w:p>
    <w:p w:rsidR="009839AF" w:rsidRPr="00DD2A86" w:rsidRDefault="009839AF" w:rsidP="009839AF">
      <w:pPr>
        <w:spacing w:after="120"/>
        <w:ind w:left="1134" w:right="1134"/>
        <w:jc w:val="both"/>
        <w:rPr>
          <w:lang w:val="de-DE"/>
        </w:rPr>
      </w:pPr>
      <w:r w:rsidRPr="00DD2A86">
        <w:rPr>
          <w:iCs/>
          <w:lang w:val="de-DE"/>
        </w:rPr>
        <w:t>„</w:t>
      </w:r>
      <w:r w:rsidRPr="00DD2A86">
        <w:rPr>
          <w:lang w:val="de-DE"/>
        </w:rPr>
        <w:t>Wenn unter einer einzelnen UN-Nummer eine Kombination mehrerer unterschiedlicher offizieller Benennungen für die Beförderung aufgeführt ist und diese durch „und“ oder „oder“ in Kleinbuchstaben oder durch Kommas getrennt sind, darf im Beförderungspapier oder auf den Kennzeichen des Versandstücks nur die am besten geeignete offizielle Benennung für die Beförderung angegeben werden.“.</w:t>
      </w:r>
    </w:p>
    <w:p w:rsidR="009839AF" w:rsidRPr="00DD2A86" w:rsidRDefault="009839AF" w:rsidP="009839AF">
      <w:pPr>
        <w:spacing w:after="120"/>
        <w:ind w:left="1134" w:right="1134"/>
        <w:jc w:val="both"/>
        <w:rPr>
          <w:iCs/>
          <w:lang w:val="de-DE"/>
        </w:rPr>
      </w:pPr>
      <w:r w:rsidRPr="00DD2A86">
        <w:rPr>
          <w:lang w:val="de-DE"/>
        </w:rPr>
        <w:t>Den zweiten Satz streichen.</w:t>
      </w:r>
    </w:p>
    <w:p w:rsidR="009839AF" w:rsidRPr="00DD2A86" w:rsidRDefault="009839AF" w:rsidP="009839AF">
      <w:pPr>
        <w:spacing w:after="120"/>
        <w:ind w:left="1134" w:right="1134"/>
        <w:jc w:val="both"/>
        <w:rPr>
          <w:lang w:val="de-DE"/>
        </w:rPr>
      </w:pPr>
      <w:r w:rsidRPr="00DD2A86">
        <w:rPr>
          <w:lang w:val="de-DE"/>
        </w:rPr>
        <w:t>3.1.2.6 a)</w:t>
      </w:r>
      <w:r w:rsidRPr="00DD2A86">
        <w:rPr>
          <w:lang w:val="de-DE"/>
        </w:rPr>
        <w:tab/>
        <w:t>Nach „des Kapitels 3.3,“ einfügen: „des Abschnitts 7.1.7,“.</w:t>
      </w:r>
    </w:p>
    <w:p w:rsidR="00EB6056" w:rsidRPr="00DD2A86" w:rsidRDefault="00EB6056">
      <w:pPr>
        <w:suppressAutoHyphens w:val="0"/>
        <w:spacing w:line="240" w:lineRule="auto"/>
        <w:rPr>
          <w:lang w:val="de-DE"/>
        </w:rPr>
      </w:pPr>
      <w:r w:rsidRPr="00DD2A86">
        <w:rPr>
          <w:lang w:val="de-DE"/>
        </w:rPr>
        <w:br w:type="page"/>
      </w:r>
    </w:p>
    <w:p w:rsidR="009839AF" w:rsidRPr="00DD2A86" w:rsidRDefault="009839AF" w:rsidP="009839AF">
      <w:pPr>
        <w:spacing w:after="120"/>
        <w:ind w:left="1134" w:right="1134"/>
        <w:jc w:val="both"/>
        <w:rPr>
          <w:iCs/>
          <w:lang w:val="de-DE"/>
        </w:rPr>
      </w:pPr>
      <w:r w:rsidRPr="00DD2A86">
        <w:rPr>
          <w:lang w:val="de-DE"/>
        </w:rPr>
        <w:t xml:space="preserve">3.1.2.6 </w:t>
      </w:r>
      <w:r w:rsidRPr="00DD2A86">
        <w:rPr>
          <w:lang w:val="de-DE"/>
        </w:rPr>
        <w:tab/>
      </w:r>
      <w:r w:rsidRPr="00DD2A86">
        <w:rPr>
          <w:iCs/>
          <w:lang w:val="de-DE"/>
        </w:rPr>
        <w:t>Der Absatz b) wird zu Absatz c)</w:t>
      </w:r>
    </w:p>
    <w:p w:rsidR="009839AF" w:rsidRPr="00DD2A86" w:rsidRDefault="009839AF" w:rsidP="009839AF">
      <w:pPr>
        <w:suppressAutoHyphens w:val="0"/>
        <w:spacing w:line="240" w:lineRule="auto"/>
        <w:ind w:left="2268"/>
        <w:jc w:val="both"/>
        <w:rPr>
          <w:iCs/>
          <w:lang w:val="de-DE"/>
        </w:rPr>
      </w:pPr>
      <w:r w:rsidRPr="00DD2A86">
        <w:rPr>
          <w:iCs/>
          <w:lang w:val="de-DE"/>
        </w:rPr>
        <w:t>Einen neuen Absatz b) mit folgendem Wortlaut einfügen:</w:t>
      </w:r>
    </w:p>
    <w:p w:rsidR="009839AF" w:rsidRPr="00DD2A86" w:rsidRDefault="009839AF" w:rsidP="009839AF">
      <w:pPr>
        <w:suppressAutoHyphens w:val="0"/>
        <w:spacing w:before="120" w:line="240" w:lineRule="auto"/>
        <w:ind w:left="2268" w:right="1134"/>
        <w:jc w:val="both"/>
        <w:rPr>
          <w:iCs/>
          <w:lang w:val="de-DE" w:eastAsia="de-DE"/>
        </w:rPr>
      </w:pPr>
      <w:r w:rsidRPr="00DD2A86">
        <w:rPr>
          <w:snapToGrid w:val="0"/>
          <w:lang w:val="de-DE" w:eastAsia="de-DE"/>
        </w:rPr>
        <w:t>„b)</w:t>
      </w:r>
      <w:r w:rsidRPr="00DD2A86">
        <w:rPr>
          <w:snapToGrid w:val="0"/>
          <w:lang w:val="de-DE" w:eastAsia="de-DE"/>
        </w:rPr>
        <w:tab/>
        <w:t>sofern der Ausdruck „TEMPERATURKONTROLLIERT“ nicht bereits in der in Kapitel 3.2 Tabelle A Spalte (2) angegebenen Benennung in Großbuchstaben enthalten ist, ist er als Teil der offiziellen Benennung für die Beförderung hinzuzufügen;“.</w:t>
      </w:r>
    </w:p>
    <w:p w:rsidR="009839AF" w:rsidRPr="00DD2A86" w:rsidRDefault="009839AF" w:rsidP="00B307A1">
      <w:pPr>
        <w:spacing w:before="120" w:after="120"/>
        <w:ind w:left="1134" w:right="1134"/>
        <w:jc w:val="both"/>
        <w:rPr>
          <w:iCs/>
          <w:lang w:val="de-DE"/>
        </w:rPr>
      </w:pPr>
      <w:r w:rsidRPr="00DD2A86">
        <w:rPr>
          <w:lang w:val="de-DE"/>
        </w:rPr>
        <w:t xml:space="preserve">3.1.2.8.1.1 </w:t>
      </w:r>
      <w:r w:rsidRPr="00DD2A86">
        <w:rPr>
          <w:lang w:val="de-DE"/>
        </w:rPr>
        <w:tab/>
        <w:t>[Die Änderung in der französischen Fassung hat keine Auswirkungen auf den deutschen Text.]</w:t>
      </w:r>
    </w:p>
    <w:p w:rsidR="009839AF" w:rsidRPr="00DD2A86" w:rsidRDefault="009839AF" w:rsidP="009839AF">
      <w:pPr>
        <w:ind w:left="1134"/>
        <w:rPr>
          <w:iCs/>
          <w:lang w:val="de-DE"/>
        </w:rPr>
      </w:pPr>
      <w:r w:rsidRPr="00DD2A86">
        <w:rPr>
          <w:iCs/>
          <w:lang w:val="de-DE"/>
        </w:rPr>
        <w:t>3.1.2.8.1.2</w:t>
      </w:r>
      <w:r w:rsidRPr="00DD2A86">
        <w:rPr>
          <w:iCs/>
          <w:lang w:val="de-DE"/>
        </w:rPr>
        <w:tab/>
        <w:t>Der erste Satz erhält folgenden Wortlaut:</w:t>
      </w:r>
    </w:p>
    <w:p w:rsidR="009839AF" w:rsidRPr="00DD2A86" w:rsidRDefault="009839AF" w:rsidP="009839AF">
      <w:pPr>
        <w:suppressAutoHyphens w:val="0"/>
        <w:spacing w:before="120" w:line="240" w:lineRule="auto"/>
        <w:ind w:left="1134" w:right="1134"/>
        <w:jc w:val="both"/>
        <w:rPr>
          <w:iCs/>
          <w:color w:val="000000"/>
          <w:lang w:val="de-DE" w:eastAsia="de-DE"/>
        </w:rPr>
      </w:pPr>
      <w:r w:rsidRPr="00DD2A86">
        <w:rPr>
          <w:iCs/>
          <w:color w:val="000000"/>
          <w:lang w:val="de-DE" w:eastAsia="de-DE"/>
        </w:rPr>
        <w:t>„Wenn ein Gemisch gefährlicher Güter oder Gegenstände, die gefährliche Güter enthalten, durch eine der „n.a.g.-„ oder „Gattungseintragungen“ beschrieben wird (werden), denen in Kapitel 3.2 Tabelle A Spalte (6) die Sondervorschrift 274 zugeordnet ist, müssen nicht mehr als die zwei Komponenten angegeben werden, die für die Gefahr(en) des Gemisches oder der Gegenstände maßgebend sind, ausgenommen Stoffe, die einer Kontrolle unterstehen und deren Offenlegung durch ein nationales Gesetz oder ein internationales Übereinkommen verboten ist.“.</w:t>
      </w:r>
    </w:p>
    <w:p w:rsidR="009839AF" w:rsidRPr="00DD2A86" w:rsidRDefault="009839AF" w:rsidP="009839AF">
      <w:pPr>
        <w:suppressAutoHyphens w:val="0"/>
        <w:spacing w:before="120" w:line="240" w:lineRule="auto"/>
        <w:ind w:left="1134" w:right="1134"/>
        <w:jc w:val="both"/>
        <w:rPr>
          <w:iCs/>
          <w:color w:val="000000"/>
          <w:lang w:val="de-DE" w:eastAsia="de-DE"/>
        </w:rPr>
      </w:pPr>
      <w:r w:rsidRPr="00DD2A86">
        <w:rPr>
          <w:color w:val="000000"/>
          <w:lang w:val="de-DE" w:eastAsia="de-DE"/>
        </w:rPr>
        <w:t>[Die Änderung zum zweiten Satz in der englischen und französischen Fassung hat keine Auswirkungen auf den deutschen Text.]</w:t>
      </w:r>
    </w:p>
    <w:p w:rsidR="009839AF" w:rsidRPr="00DD2A86" w:rsidRDefault="009839AF" w:rsidP="0048756D">
      <w:pPr>
        <w:spacing w:before="120"/>
        <w:ind w:left="1134" w:right="1134"/>
        <w:jc w:val="both"/>
        <w:rPr>
          <w:iCs/>
          <w:lang w:val="de-DE"/>
        </w:rPr>
      </w:pPr>
      <w:r w:rsidRPr="00DD2A86">
        <w:rPr>
          <w:iCs/>
          <w:lang w:val="de-DE"/>
        </w:rPr>
        <w:t>3.1.2.8.1.3</w:t>
      </w:r>
      <w:r w:rsidRPr="00DD2A86">
        <w:rPr>
          <w:iCs/>
          <w:lang w:val="de-DE"/>
        </w:rPr>
        <w:tab/>
        <w:t>Am Ende nach „(Drazoxolon)“ eine neue Zeile mit folgendem Wortlaut hinzufügen:</w:t>
      </w:r>
    </w:p>
    <w:p w:rsidR="009839AF" w:rsidRPr="00DD2A86" w:rsidRDefault="009839AF" w:rsidP="009839AF">
      <w:pPr>
        <w:suppressAutoHyphens w:val="0"/>
        <w:spacing w:before="120" w:line="240" w:lineRule="auto"/>
        <w:ind w:left="1134" w:right="1134"/>
        <w:jc w:val="both"/>
        <w:rPr>
          <w:lang w:val="de-DE"/>
        </w:rPr>
      </w:pPr>
      <w:r w:rsidRPr="00DD2A86">
        <w:rPr>
          <w:iCs/>
          <w:color w:val="000000"/>
          <w:lang w:val="de-DE" w:eastAsia="de-DE"/>
        </w:rPr>
        <w:t>„UN 3540 GEGENSTÄNDE, DIE EINEN ENTZÜNDBAREN FLÜSSIGEN STOFF ENTHALTEN, N.A.G. (Pyrrolidin)“.</w:t>
      </w:r>
    </w:p>
    <w:p w:rsidR="0038186F" w:rsidRPr="00DD2A86" w:rsidRDefault="0038186F" w:rsidP="0048756D">
      <w:pPr>
        <w:suppressAutoHyphens w:val="0"/>
        <w:spacing w:before="120" w:line="240" w:lineRule="auto"/>
        <w:ind w:left="1134" w:right="1134"/>
        <w:jc w:val="both"/>
        <w:rPr>
          <w:lang w:val="de-DE"/>
        </w:rPr>
      </w:pPr>
      <w:r w:rsidRPr="00DD2A86">
        <w:rPr>
          <w:lang w:val="de-DE"/>
        </w:rPr>
        <w:t>3.1.2.8.1.4</w:t>
      </w:r>
      <w:r w:rsidRPr="00DD2A86">
        <w:rPr>
          <w:lang w:val="de-DE"/>
        </w:rPr>
        <w:tab/>
        <w:t>Die Beispiele am Ende erhalten folgenden Wortlaut:</w:t>
      </w:r>
    </w:p>
    <w:p w:rsidR="0038186F" w:rsidRPr="00DD2A86" w:rsidRDefault="0038186F" w:rsidP="0050494E">
      <w:pPr>
        <w:suppressAutoHyphens w:val="0"/>
        <w:spacing w:before="120" w:line="240" w:lineRule="auto"/>
        <w:ind w:left="1134" w:right="1134"/>
        <w:jc w:val="both"/>
        <w:rPr>
          <w:lang w:val="de-DE"/>
        </w:rPr>
      </w:pPr>
      <w:r w:rsidRPr="00DD2A86">
        <w:rPr>
          <w:lang w:val="de-DE"/>
        </w:rPr>
        <w:t xml:space="preserve">„UN 1268 ERDÖLPRODUKTE, N.A.G. (NAPHTA), 110 kPa &lt; pD50 </w:t>
      </w:r>
      <w:r w:rsidRPr="00DD2A86">
        <w:rPr>
          <w:lang w:val="de-DE"/>
        </w:rPr>
        <w:fldChar w:fldCharType="begin"/>
      </w:r>
      <w:r w:rsidRPr="00DD2A86">
        <w:rPr>
          <w:lang w:val="de-DE"/>
        </w:rPr>
        <w:instrText>SYMBOL 163 \f "Symbol" \s 10</w:instrText>
      </w:r>
      <w:r w:rsidRPr="00DD2A86">
        <w:rPr>
          <w:lang w:val="de-DE"/>
        </w:rPr>
        <w:fldChar w:fldCharType="separate"/>
      </w:r>
      <w:r w:rsidRPr="00DD2A86">
        <w:rPr>
          <w:lang w:val="de-DE"/>
        </w:rPr>
        <w:t>£</w:t>
      </w:r>
      <w:r w:rsidRPr="00DD2A86">
        <w:rPr>
          <w:lang w:val="de-DE"/>
        </w:rPr>
        <w:fldChar w:fldCharType="end"/>
      </w:r>
      <w:r w:rsidRPr="00DD2A86">
        <w:rPr>
          <w:lang w:val="de-DE"/>
        </w:rPr>
        <w:t xml:space="preserve"> 150 kPa;</w:t>
      </w:r>
    </w:p>
    <w:p w:rsidR="0038186F" w:rsidRPr="00DD2A86" w:rsidRDefault="0038186F" w:rsidP="00E60953">
      <w:pPr>
        <w:tabs>
          <w:tab w:val="left" w:pos="2268"/>
        </w:tabs>
        <w:suppressAutoHyphens w:val="0"/>
        <w:spacing w:line="240" w:lineRule="auto"/>
        <w:ind w:left="1134" w:right="1134"/>
        <w:jc w:val="both"/>
        <w:rPr>
          <w:lang w:val="de-DE"/>
        </w:rPr>
      </w:pPr>
      <w:r w:rsidRPr="00DD2A86">
        <w:rPr>
          <w:lang w:val="de-DE"/>
        </w:rPr>
        <w:t xml:space="preserve">UN 1993 ENTZÜNDBARER FLÜSSIGER STOFF, N.A.G., MIT MEHR ALS 10 % BENZEN, 60 °C &lt; SIEDEBEGINN </w:t>
      </w:r>
      <w:r w:rsidRPr="00DD2A86">
        <w:rPr>
          <w:lang w:val="de-DE"/>
        </w:rPr>
        <w:fldChar w:fldCharType="begin"/>
      </w:r>
      <w:r w:rsidRPr="00DD2A86">
        <w:rPr>
          <w:lang w:val="de-DE"/>
        </w:rPr>
        <w:instrText>SYMBOL 163 \f "Symbol" \s 10</w:instrText>
      </w:r>
      <w:r w:rsidRPr="00DD2A86">
        <w:rPr>
          <w:lang w:val="de-DE"/>
        </w:rPr>
        <w:fldChar w:fldCharType="separate"/>
      </w:r>
      <w:r w:rsidRPr="00DD2A86">
        <w:rPr>
          <w:lang w:val="de-DE"/>
        </w:rPr>
        <w:t>£</w:t>
      </w:r>
      <w:r w:rsidRPr="00DD2A86">
        <w:rPr>
          <w:lang w:val="de-DE"/>
        </w:rPr>
        <w:fldChar w:fldCharType="end"/>
      </w:r>
      <w:r w:rsidRPr="00DD2A86">
        <w:rPr>
          <w:lang w:val="de-DE"/>
        </w:rPr>
        <w:t xml:space="preserve"> 85 °C (enthält ACETON).“.</w:t>
      </w:r>
    </w:p>
    <w:p w:rsidR="0038186F" w:rsidRPr="00DD2A86" w:rsidRDefault="0038186F" w:rsidP="008924BC">
      <w:pPr>
        <w:kinsoku w:val="0"/>
        <w:overflowPunct w:val="0"/>
        <w:autoSpaceDE w:val="0"/>
        <w:autoSpaceDN w:val="0"/>
        <w:adjustRightInd w:val="0"/>
        <w:snapToGrid w:val="0"/>
        <w:spacing w:before="120" w:after="120"/>
        <w:ind w:left="1134" w:right="1134"/>
        <w:jc w:val="both"/>
        <w:rPr>
          <w:lang w:val="de-DE"/>
        </w:rPr>
      </w:pPr>
    </w:p>
    <w:p w:rsidR="00FC36B8" w:rsidRPr="00DD2A86" w:rsidRDefault="00FC36B8" w:rsidP="00FC36B8">
      <w:pPr>
        <w:pStyle w:val="H1G"/>
        <w:rPr>
          <w:szCs w:val="24"/>
          <w:lang w:val="de-DE"/>
        </w:rPr>
      </w:pPr>
      <w:r w:rsidRPr="00DD2A86">
        <w:rPr>
          <w:lang w:val="de-DE"/>
        </w:rPr>
        <w:tab/>
      </w:r>
      <w:r w:rsidRPr="00DD2A86">
        <w:rPr>
          <w:lang w:val="de-DE"/>
        </w:rPr>
        <w:tab/>
      </w:r>
      <w:r w:rsidRPr="00DD2A86">
        <w:rPr>
          <w:szCs w:val="24"/>
          <w:lang w:val="de-DE"/>
        </w:rPr>
        <w:t>3.2.1, Tabelle A</w:t>
      </w:r>
    </w:p>
    <w:p w:rsidR="00D71F60" w:rsidRPr="00DD2A86" w:rsidRDefault="00D71F60" w:rsidP="00E60953">
      <w:pPr>
        <w:tabs>
          <w:tab w:val="left" w:pos="1701"/>
        </w:tabs>
        <w:spacing w:after="120"/>
        <w:ind w:left="1701" w:right="1134" w:hanging="567"/>
        <w:jc w:val="both"/>
        <w:rPr>
          <w:lang w:val="de-DE"/>
        </w:rPr>
      </w:pPr>
      <w:r w:rsidRPr="00DD2A86">
        <w:rPr>
          <w:lang w:val="de-DE"/>
        </w:rPr>
        <w:t>3.2.1</w:t>
      </w:r>
      <w:r w:rsidRPr="00DD2A86">
        <w:rPr>
          <w:lang w:val="de-DE"/>
        </w:rPr>
        <w:tab/>
        <w:t>In der erläuternden Bemerkung zu Spalte (3b) im dritten Spiegelstrich streichen: „,</w:t>
      </w:r>
      <w:r w:rsidR="00E60953" w:rsidRPr="00DD2A86">
        <w:rPr>
          <w:lang w:val="de-DE"/>
        </w:rPr>
        <w:t> </w:t>
      </w:r>
      <w:r w:rsidRPr="00DD2A86">
        <w:rPr>
          <w:lang w:val="de-DE"/>
        </w:rPr>
        <w:t>8“.</w:t>
      </w:r>
    </w:p>
    <w:p w:rsidR="00D71F60" w:rsidRPr="00DD2A86" w:rsidRDefault="00D71F60" w:rsidP="00E60953">
      <w:pPr>
        <w:tabs>
          <w:tab w:val="left" w:pos="2327"/>
          <w:tab w:val="left" w:pos="3969"/>
          <w:tab w:val="left" w:pos="4111"/>
        </w:tabs>
        <w:spacing w:after="120"/>
        <w:ind w:left="1701" w:right="1134"/>
        <w:jc w:val="both"/>
        <w:rPr>
          <w:lang w:val="de-DE"/>
        </w:rPr>
      </w:pPr>
      <w:r w:rsidRPr="00DD2A86">
        <w:rPr>
          <w:lang w:val="de-DE"/>
        </w:rPr>
        <w:t>In der erläuternden Bemerkung zu Spalte (3b) einen neuen vierten Spiegelstrich mit folgendem Wortlaut einfügen: „-</w:t>
      </w:r>
      <w:r w:rsidRPr="00DD2A86">
        <w:rPr>
          <w:lang w:val="de-DE"/>
        </w:rPr>
        <w:tab/>
        <w:t>Für gefährliche Stoffe oder Gegenstände der Klasse 8 werden die Codes in Absatz 2.2.8.1.4.1 erläutert.“.</w:t>
      </w:r>
    </w:p>
    <w:p w:rsidR="004C26B3" w:rsidRPr="00DD2A86" w:rsidRDefault="00E60953" w:rsidP="004C26B3">
      <w:pPr>
        <w:spacing w:after="120"/>
        <w:ind w:left="1134" w:right="1134"/>
        <w:jc w:val="both"/>
        <w:rPr>
          <w:lang w:val="de-DE"/>
        </w:rPr>
      </w:pPr>
      <w:r w:rsidRPr="00DD2A86">
        <w:rPr>
          <w:lang w:val="de-DE"/>
        </w:rPr>
        <w:t>3.2.1</w:t>
      </w:r>
      <w:r w:rsidRPr="00DD2A86">
        <w:rPr>
          <w:lang w:val="de-DE"/>
        </w:rPr>
        <w:tab/>
      </w:r>
      <w:r w:rsidR="004C26B3" w:rsidRPr="00DD2A86">
        <w:rPr>
          <w:lang w:val="de-DE"/>
        </w:rPr>
        <w:t>Bei den UN-Nrn. 0349, 0367, 0384 und 0481, in Spalte (6), einfügen: „347“.</w:t>
      </w:r>
    </w:p>
    <w:p w:rsidR="00FC36B8" w:rsidRPr="00DD2A86" w:rsidRDefault="00FC36B8" w:rsidP="00E60953">
      <w:pPr>
        <w:tabs>
          <w:tab w:val="left" w:pos="1701"/>
        </w:tabs>
        <w:ind w:left="1701" w:right="1134" w:hanging="567"/>
        <w:jc w:val="both"/>
        <w:rPr>
          <w:rFonts w:eastAsiaTheme="minorHAnsi"/>
          <w:lang w:val="de-DE"/>
        </w:rPr>
      </w:pPr>
      <w:r w:rsidRPr="00DD2A86">
        <w:rPr>
          <w:rFonts w:eastAsiaTheme="minorHAnsi"/>
          <w:lang w:val="de-DE"/>
        </w:rPr>
        <w:t>3.2.1</w:t>
      </w:r>
      <w:r w:rsidRPr="00DD2A86">
        <w:rPr>
          <w:rFonts w:eastAsiaTheme="minorHAnsi"/>
          <w:lang w:val="de-DE"/>
        </w:rPr>
        <w:tab/>
      </w:r>
      <w:r w:rsidR="00B307A1" w:rsidRPr="00DD2A86">
        <w:rPr>
          <w:rFonts w:eastAsiaTheme="minorHAnsi"/>
          <w:iCs/>
          <w:lang w:val="de-DE"/>
        </w:rPr>
        <w:t xml:space="preserve">Bei </w:t>
      </w:r>
      <w:r w:rsidR="00AB330F" w:rsidRPr="00DD2A86">
        <w:rPr>
          <w:rFonts w:eastAsiaTheme="minorHAnsi"/>
          <w:iCs/>
          <w:lang w:val="de-DE"/>
        </w:rPr>
        <w:t xml:space="preserve">der </w:t>
      </w:r>
      <w:r w:rsidR="00B307A1" w:rsidRPr="00DD2A86">
        <w:rPr>
          <w:rFonts w:eastAsiaTheme="minorHAnsi"/>
          <w:iCs/>
          <w:lang w:val="de-DE"/>
        </w:rPr>
        <w:t xml:space="preserve">UN-Nr. </w:t>
      </w:r>
      <w:r w:rsidRPr="00DD2A86">
        <w:rPr>
          <w:rFonts w:eastAsiaTheme="minorHAnsi"/>
          <w:lang w:val="de-DE"/>
        </w:rPr>
        <w:t>0510:</w:t>
      </w:r>
    </w:p>
    <w:p w:rsidR="00FC36B8" w:rsidRPr="00DD2A86" w:rsidRDefault="007A45E3" w:rsidP="00E60953">
      <w:pPr>
        <w:tabs>
          <w:tab w:val="left" w:pos="1701"/>
        </w:tabs>
        <w:ind w:left="1701" w:right="1134"/>
        <w:jc w:val="both"/>
        <w:rPr>
          <w:rFonts w:eastAsiaTheme="minorHAnsi"/>
          <w:lang w:val="de-DE"/>
        </w:rPr>
      </w:pPr>
      <w:r w:rsidRPr="00DD2A86">
        <w:rPr>
          <w:rFonts w:eastAsiaTheme="minorHAnsi"/>
          <w:lang w:val="de-DE"/>
        </w:rPr>
        <w:t>- in Spalte (9) „PP“ einfügen,</w:t>
      </w:r>
    </w:p>
    <w:p w:rsidR="00FC36B8" w:rsidRPr="00DD2A86" w:rsidRDefault="00FC36B8" w:rsidP="00E60953">
      <w:pPr>
        <w:tabs>
          <w:tab w:val="left" w:pos="1701"/>
        </w:tabs>
        <w:ind w:left="1701" w:right="1134"/>
        <w:jc w:val="both"/>
        <w:rPr>
          <w:rFonts w:eastAsiaTheme="minorHAnsi"/>
          <w:lang w:val="de-DE"/>
        </w:rPr>
      </w:pPr>
      <w:r w:rsidRPr="00DD2A86">
        <w:rPr>
          <w:rFonts w:eastAsiaTheme="minorHAnsi"/>
          <w:lang w:val="de-DE"/>
        </w:rPr>
        <w:t>- in Spalte (11) „LO01“ und „HA01, HA03“ einfügen,</w:t>
      </w:r>
    </w:p>
    <w:p w:rsidR="00FC36B8" w:rsidRPr="00DD2A86" w:rsidRDefault="00FC36B8" w:rsidP="00E60953">
      <w:pPr>
        <w:tabs>
          <w:tab w:val="left" w:pos="1701"/>
        </w:tabs>
        <w:ind w:left="1701" w:right="1134"/>
        <w:jc w:val="both"/>
        <w:rPr>
          <w:rFonts w:eastAsiaTheme="minorHAnsi"/>
          <w:lang w:val="de-DE"/>
        </w:rPr>
      </w:pPr>
      <w:r w:rsidRPr="00DD2A86">
        <w:rPr>
          <w:rFonts w:eastAsiaTheme="minorHAnsi"/>
          <w:lang w:val="de-DE"/>
        </w:rPr>
        <w:t>- in Spalte (12) „1“ einfügen.</w:t>
      </w:r>
    </w:p>
    <w:p w:rsidR="004C26B3" w:rsidRPr="00DD2A86" w:rsidRDefault="00E60953" w:rsidP="00B307A1">
      <w:pPr>
        <w:spacing w:before="120" w:after="120"/>
        <w:ind w:left="1134" w:right="1134"/>
        <w:jc w:val="both"/>
        <w:rPr>
          <w:lang w:val="de-DE"/>
        </w:rPr>
      </w:pPr>
      <w:r w:rsidRPr="00DD2A86">
        <w:rPr>
          <w:spacing w:val="-2"/>
          <w:lang w:val="de-DE" w:eastAsia="zh-CN"/>
        </w:rPr>
        <w:t>3.2.1</w:t>
      </w:r>
      <w:r w:rsidRPr="00DD2A86">
        <w:rPr>
          <w:spacing w:val="-2"/>
          <w:lang w:val="de-DE" w:eastAsia="zh-CN"/>
        </w:rPr>
        <w:tab/>
      </w:r>
      <w:r w:rsidR="004C26B3" w:rsidRPr="00DD2A86">
        <w:rPr>
          <w:spacing w:val="-2"/>
          <w:lang w:val="de-DE" w:eastAsia="zh-CN"/>
        </w:rPr>
        <w:t xml:space="preserve">Bei den UN-Nrn. </w:t>
      </w:r>
      <w:r w:rsidR="004C26B3" w:rsidRPr="00DD2A86">
        <w:rPr>
          <w:lang w:val="de-DE"/>
        </w:rPr>
        <w:t>1011, 1049, 1075, 1954, 1965, 1969, 1971, 1972 und 1978</w:t>
      </w:r>
      <w:r w:rsidR="004C26B3" w:rsidRPr="00DD2A86">
        <w:rPr>
          <w:iCs/>
          <w:lang w:val="de-DE"/>
        </w:rPr>
        <w:t>, in Spalte (6), einfügen: „392“ und streichen: „660“.</w:t>
      </w:r>
    </w:p>
    <w:p w:rsidR="00C8363C" w:rsidRPr="00DD2A86" w:rsidRDefault="00C8363C" w:rsidP="00C8363C">
      <w:pPr>
        <w:spacing w:after="120"/>
        <w:ind w:left="1134" w:right="1134"/>
        <w:jc w:val="both"/>
        <w:rPr>
          <w:lang w:val="de-DE"/>
        </w:rPr>
      </w:pPr>
      <w:r w:rsidRPr="00DD2A86">
        <w:rPr>
          <w:lang w:val="de-DE"/>
        </w:rPr>
        <w:t>3.2.1</w:t>
      </w:r>
      <w:r w:rsidRPr="00DD2A86">
        <w:rPr>
          <w:lang w:val="de-DE"/>
        </w:rPr>
        <w:tab/>
        <w:t>Bei den UN-Nrn. 1011, 1075, 1965, 1969 und 1978, in Spalte (6), einfügen: „674“.</w:t>
      </w:r>
    </w:p>
    <w:p w:rsidR="007C000A" w:rsidRPr="00DD2A86" w:rsidRDefault="007C000A">
      <w:pPr>
        <w:suppressAutoHyphens w:val="0"/>
        <w:spacing w:line="240" w:lineRule="auto"/>
        <w:rPr>
          <w:iCs/>
          <w:lang w:val="de-DE"/>
        </w:rPr>
      </w:pPr>
      <w:r w:rsidRPr="00DD2A86">
        <w:rPr>
          <w:iCs/>
          <w:lang w:val="de-DE"/>
        </w:rPr>
        <w:br w:type="page"/>
      </w:r>
    </w:p>
    <w:p w:rsidR="002A6CF0" w:rsidRPr="00DD2A86" w:rsidRDefault="00E60953" w:rsidP="002A6CF0">
      <w:pPr>
        <w:spacing w:after="120"/>
        <w:ind w:left="1134" w:right="1134"/>
        <w:jc w:val="both"/>
        <w:rPr>
          <w:iCs/>
          <w:lang w:val="de-DE"/>
        </w:rPr>
      </w:pPr>
      <w:r w:rsidRPr="00DD2A86">
        <w:rPr>
          <w:iCs/>
          <w:lang w:val="de-DE"/>
        </w:rPr>
        <w:t>3.2.1</w:t>
      </w:r>
      <w:r w:rsidRPr="00DD2A86">
        <w:rPr>
          <w:iCs/>
          <w:lang w:val="de-DE"/>
        </w:rPr>
        <w:tab/>
      </w:r>
      <w:r w:rsidR="002A6CF0" w:rsidRPr="00DD2A86">
        <w:rPr>
          <w:iCs/>
          <w:lang w:val="de-DE"/>
        </w:rPr>
        <w:t xml:space="preserve">Bei </w:t>
      </w:r>
      <w:r w:rsidR="00AB330F" w:rsidRPr="00DD2A86">
        <w:rPr>
          <w:iCs/>
          <w:lang w:val="de-DE"/>
        </w:rPr>
        <w:t xml:space="preserve">der </w:t>
      </w:r>
      <w:r w:rsidR="002A6CF0" w:rsidRPr="00DD2A86">
        <w:rPr>
          <w:iCs/>
          <w:lang w:val="de-DE"/>
        </w:rPr>
        <w:t>UN-Nr. 1148, VG II, in Spalte (2), streichen: „, technisch“.</w:t>
      </w:r>
    </w:p>
    <w:p w:rsidR="002A6CF0" w:rsidRPr="00DD2A86" w:rsidRDefault="002A6CF0" w:rsidP="002A6CF0">
      <w:pPr>
        <w:spacing w:after="120"/>
        <w:ind w:left="1134" w:right="1134"/>
        <w:jc w:val="both"/>
        <w:rPr>
          <w:iCs/>
          <w:lang w:val="de-DE"/>
        </w:rPr>
      </w:pPr>
      <w:r w:rsidRPr="00DD2A86">
        <w:rPr>
          <w:iCs/>
          <w:lang w:val="de-DE"/>
        </w:rPr>
        <w:t>[Betrifft nur die deutsche Sprachfassung]</w:t>
      </w:r>
    </w:p>
    <w:p w:rsidR="002A6CF0" w:rsidRPr="00DD2A86" w:rsidRDefault="00E60953" w:rsidP="002A6CF0">
      <w:pPr>
        <w:spacing w:after="120"/>
        <w:ind w:left="1134" w:right="1134"/>
        <w:jc w:val="both"/>
        <w:rPr>
          <w:iCs/>
          <w:lang w:val="de-DE"/>
        </w:rPr>
      </w:pPr>
      <w:r w:rsidRPr="00DD2A86">
        <w:rPr>
          <w:iCs/>
          <w:lang w:val="de-DE"/>
        </w:rPr>
        <w:t>3.2.1</w:t>
      </w:r>
      <w:r w:rsidRPr="00DD2A86">
        <w:rPr>
          <w:iCs/>
          <w:lang w:val="de-DE"/>
        </w:rPr>
        <w:tab/>
      </w:r>
      <w:r w:rsidR="002A6CF0" w:rsidRPr="00DD2A86">
        <w:rPr>
          <w:iCs/>
          <w:lang w:val="de-DE"/>
        </w:rPr>
        <w:t xml:space="preserve">Bei </w:t>
      </w:r>
      <w:r w:rsidR="00AB330F" w:rsidRPr="00DD2A86">
        <w:rPr>
          <w:iCs/>
          <w:lang w:val="de-DE"/>
        </w:rPr>
        <w:t xml:space="preserve">der </w:t>
      </w:r>
      <w:r w:rsidR="002A6CF0" w:rsidRPr="00DD2A86">
        <w:rPr>
          <w:iCs/>
          <w:lang w:val="de-DE"/>
        </w:rPr>
        <w:t>UN-Nr. 1148, VG III, in Spalte (2), streichen: „, chemisch rein“.</w:t>
      </w:r>
    </w:p>
    <w:p w:rsidR="002A6CF0" w:rsidRPr="00DD2A86" w:rsidRDefault="002A6CF0" w:rsidP="002A6CF0">
      <w:pPr>
        <w:spacing w:after="120"/>
        <w:ind w:left="1134" w:right="1134"/>
        <w:jc w:val="both"/>
        <w:rPr>
          <w:rFonts w:eastAsiaTheme="minorHAnsi"/>
          <w:lang w:val="de-DE"/>
        </w:rPr>
      </w:pPr>
      <w:r w:rsidRPr="00DD2A86">
        <w:rPr>
          <w:iCs/>
          <w:lang w:val="de-DE"/>
        </w:rPr>
        <w:t>[Betrifft nur die deutsche Sprachfassung]</w:t>
      </w:r>
    </w:p>
    <w:p w:rsidR="00FC36B8" w:rsidRPr="00DD2A86" w:rsidRDefault="00FC36B8" w:rsidP="00E60953">
      <w:pPr>
        <w:tabs>
          <w:tab w:val="left" w:pos="1701"/>
        </w:tabs>
        <w:spacing w:before="120" w:after="120"/>
        <w:ind w:left="1134" w:right="1134"/>
        <w:jc w:val="both"/>
        <w:rPr>
          <w:rFonts w:eastAsiaTheme="minorHAnsi"/>
          <w:lang w:val="de-DE"/>
        </w:rPr>
      </w:pPr>
      <w:r w:rsidRPr="00DD2A86">
        <w:rPr>
          <w:rFonts w:eastAsiaTheme="minorHAnsi"/>
          <w:lang w:val="de-DE"/>
        </w:rPr>
        <w:t>3.2.1</w:t>
      </w:r>
      <w:r w:rsidRPr="00DD2A86">
        <w:rPr>
          <w:rFonts w:eastAsiaTheme="minorHAnsi"/>
          <w:lang w:val="de-DE"/>
        </w:rPr>
        <w:tab/>
        <w:t xml:space="preserve">Für </w:t>
      </w:r>
      <w:r w:rsidR="00AB330F" w:rsidRPr="00DD2A86">
        <w:rPr>
          <w:rFonts w:eastAsiaTheme="minorHAnsi"/>
          <w:lang w:val="de-DE"/>
        </w:rPr>
        <w:t xml:space="preserve">der </w:t>
      </w:r>
      <w:r w:rsidRPr="00DD2A86">
        <w:rPr>
          <w:lang w:val="de-DE"/>
        </w:rPr>
        <w:t>UN</w:t>
      </w:r>
      <w:r w:rsidR="00AB330F" w:rsidRPr="00DD2A86">
        <w:rPr>
          <w:lang w:val="de-DE"/>
        </w:rPr>
        <w:t>-Nr.</w:t>
      </w:r>
      <w:r w:rsidRPr="00DD2A86">
        <w:rPr>
          <w:lang w:val="de-DE"/>
        </w:rPr>
        <w:t xml:space="preserve"> 1148, VG III in Spalte (8) ein „T“ einfügen</w:t>
      </w:r>
    </w:p>
    <w:p w:rsidR="003F1756" w:rsidRPr="00DD2A86" w:rsidRDefault="004C2717" w:rsidP="000B365A">
      <w:pPr>
        <w:suppressAutoHyphens w:val="0"/>
        <w:spacing w:line="240" w:lineRule="auto"/>
        <w:ind w:left="1134" w:right="1134"/>
        <w:jc w:val="both"/>
        <w:rPr>
          <w:lang w:val="de-DE"/>
        </w:rPr>
      </w:pPr>
      <w:r w:rsidRPr="00DD2A86">
        <w:rPr>
          <w:lang w:val="de-DE"/>
        </w:rPr>
        <w:t>3.2.1</w:t>
      </w:r>
      <w:r w:rsidRPr="00DD2A86">
        <w:rPr>
          <w:lang w:val="de-DE"/>
        </w:rPr>
        <w:tab/>
      </w:r>
      <w:r w:rsidR="003F1756" w:rsidRPr="00DD2A86">
        <w:rPr>
          <w:lang w:val="de-DE"/>
        </w:rPr>
        <w:t xml:space="preserve">Bei </w:t>
      </w:r>
      <w:r w:rsidR="00AB330F" w:rsidRPr="00DD2A86">
        <w:rPr>
          <w:lang w:val="de-DE"/>
        </w:rPr>
        <w:t xml:space="preserve">der </w:t>
      </w:r>
      <w:r w:rsidR="003F1756" w:rsidRPr="00DD2A86">
        <w:rPr>
          <w:lang w:val="de-DE"/>
        </w:rPr>
        <w:t>UN</w:t>
      </w:r>
      <w:r w:rsidR="00AB330F" w:rsidRPr="00DD2A86">
        <w:rPr>
          <w:lang w:val="de-DE"/>
        </w:rPr>
        <w:t>-Nr.</w:t>
      </w:r>
      <w:r w:rsidR="003F1756" w:rsidRPr="00DD2A86">
        <w:rPr>
          <w:lang w:val="de-DE"/>
        </w:rPr>
        <w:t xml:space="preserve"> 1202, zweite Eintragung</w:t>
      </w:r>
      <w:r w:rsidR="003F1756" w:rsidRPr="00DD2A86">
        <w:rPr>
          <w:lang w:val="de-DE"/>
        </w:rPr>
        <w:tab/>
        <w:t>In Spalte (2) „EN 590:2013 + AC:2014“ ändern in: „EN 590:2013 + A1:2017“ (zweimal).</w:t>
      </w:r>
    </w:p>
    <w:p w:rsidR="000D3105" w:rsidRPr="00DD2A86" w:rsidRDefault="000D3105" w:rsidP="000D3105">
      <w:pPr>
        <w:spacing w:before="120" w:after="120" w:line="240" w:lineRule="auto"/>
        <w:ind w:left="1134" w:right="1134"/>
        <w:jc w:val="both"/>
        <w:rPr>
          <w:iCs/>
          <w:lang w:val="de-DE"/>
        </w:rPr>
      </w:pPr>
      <w:r w:rsidRPr="00DD2A86">
        <w:rPr>
          <w:iCs/>
          <w:lang w:val="de-DE"/>
        </w:rPr>
        <w:t>3.2.1</w:t>
      </w:r>
      <w:r w:rsidRPr="00DD2A86">
        <w:rPr>
          <w:iCs/>
          <w:lang w:val="de-DE"/>
        </w:rPr>
        <w:tab/>
        <w:t xml:space="preserve">Bei der UN-Nr. 2067 erhält die Benennung in Spalte (2) folgenden Wortlaut: „AMMONIUMNITRATHALTIGES DÜNGEMITTEL“. </w:t>
      </w:r>
    </w:p>
    <w:p w:rsidR="0050369C" w:rsidRPr="00DD2A86" w:rsidRDefault="0050369C" w:rsidP="000D3105">
      <w:pPr>
        <w:spacing w:before="120" w:after="120" w:line="240" w:lineRule="auto"/>
        <w:ind w:left="1134" w:right="1134"/>
        <w:jc w:val="both"/>
        <w:rPr>
          <w:iCs/>
          <w:lang w:val="de-DE"/>
        </w:rPr>
      </w:pPr>
      <w:r w:rsidRPr="00DD2A86">
        <w:rPr>
          <w:iCs/>
          <w:lang w:val="de-DE"/>
        </w:rPr>
        <w:t>[Betrifft nur die deutsche Sprachfassung]</w:t>
      </w:r>
    </w:p>
    <w:p w:rsidR="004C26B3" w:rsidRPr="00DD2A86" w:rsidRDefault="00E60953" w:rsidP="004C26B3">
      <w:pPr>
        <w:spacing w:before="120" w:after="120" w:line="240" w:lineRule="auto"/>
        <w:ind w:left="1134" w:right="1134"/>
        <w:jc w:val="both"/>
        <w:rPr>
          <w:iCs/>
          <w:lang w:val="de-DE"/>
        </w:rPr>
      </w:pPr>
      <w:r w:rsidRPr="00DD2A86">
        <w:rPr>
          <w:iCs/>
          <w:lang w:val="de-DE"/>
        </w:rPr>
        <w:t>3.2.1</w:t>
      </w:r>
      <w:r w:rsidRPr="00DD2A86">
        <w:rPr>
          <w:iCs/>
          <w:lang w:val="de-DE"/>
        </w:rPr>
        <w:tab/>
      </w:r>
      <w:r w:rsidR="004C26B3" w:rsidRPr="00DD2A86">
        <w:rPr>
          <w:iCs/>
          <w:lang w:val="de-DE"/>
        </w:rPr>
        <w:t>Bei der UN-Nr. 2067, in Spalte (6), streichen: „186“.</w:t>
      </w:r>
    </w:p>
    <w:p w:rsidR="004C26B3" w:rsidRPr="00DD2A86" w:rsidRDefault="00E60953" w:rsidP="004C26B3">
      <w:pPr>
        <w:spacing w:before="120" w:after="120" w:line="240" w:lineRule="auto"/>
        <w:ind w:left="1134" w:right="1134"/>
        <w:jc w:val="both"/>
        <w:rPr>
          <w:iCs/>
          <w:lang w:val="de-DE"/>
        </w:rPr>
      </w:pPr>
      <w:r w:rsidRPr="00DD2A86">
        <w:rPr>
          <w:iCs/>
          <w:lang w:val="de-DE"/>
        </w:rPr>
        <w:t>3.2.1</w:t>
      </w:r>
      <w:r w:rsidRPr="00DD2A86">
        <w:rPr>
          <w:iCs/>
          <w:lang w:val="de-DE"/>
        </w:rPr>
        <w:tab/>
      </w:r>
      <w:r w:rsidR="004C26B3" w:rsidRPr="00DD2A86">
        <w:rPr>
          <w:iCs/>
          <w:lang w:val="de-DE"/>
        </w:rPr>
        <w:t xml:space="preserve">Bei der UN-Nr. 2071 erhält die Benennung in Spalte (2) folgenden Wortlaut: „AMMONIUMNITRATHALTIGES DÜNGEMITTEL“. </w:t>
      </w:r>
    </w:p>
    <w:p w:rsidR="002A6CF0" w:rsidRPr="00DD2A86" w:rsidRDefault="00E60953" w:rsidP="002A6CF0">
      <w:pPr>
        <w:pStyle w:val="SingleTxtG"/>
        <w:rPr>
          <w:iCs/>
          <w:lang w:val="de-DE"/>
        </w:rPr>
      </w:pPr>
      <w:r w:rsidRPr="00DD2A86">
        <w:rPr>
          <w:iCs/>
          <w:lang w:val="de-DE"/>
        </w:rPr>
        <w:t>3.2.1</w:t>
      </w:r>
      <w:r w:rsidRPr="00DD2A86">
        <w:rPr>
          <w:iCs/>
          <w:lang w:val="de-DE"/>
        </w:rPr>
        <w:tab/>
      </w:r>
      <w:r w:rsidR="002A6CF0" w:rsidRPr="00DD2A86">
        <w:rPr>
          <w:iCs/>
          <w:lang w:val="de-DE"/>
        </w:rPr>
        <w:t xml:space="preserve">Bei </w:t>
      </w:r>
      <w:r w:rsidR="00AB330F" w:rsidRPr="00DD2A86">
        <w:rPr>
          <w:iCs/>
          <w:lang w:val="de-DE"/>
        </w:rPr>
        <w:t xml:space="preserve">der </w:t>
      </w:r>
      <w:r w:rsidR="002A6CF0" w:rsidRPr="00DD2A86">
        <w:rPr>
          <w:iCs/>
          <w:lang w:val="de-DE"/>
        </w:rPr>
        <w:t>UN-Nr. 2647, in Spalte (2), „MALONITRIL“ ändern in: „MALONONITRIL“.</w:t>
      </w:r>
    </w:p>
    <w:p w:rsidR="002A6CF0" w:rsidRPr="00DD2A86" w:rsidRDefault="002A6CF0" w:rsidP="002A6CF0">
      <w:pPr>
        <w:tabs>
          <w:tab w:val="left" w:pos="1498"/>
        </w:tabs>
        <w:spacing w:after="120"/>
        <w:ind w:left="1134" w:right="1134"/>
        <w:jc w:val="both"/>
        <w:rPr>
          <w:bCs/>
          <w:lang w:val="de-DE"/>
        </w:rPr>
      </w:pPr>
      <w:r w:rsidRPr="00DD2A86">
        <w:rPr>
          <w:bCs/>
          <w:lang w:val="de-DE"/>
        </w:rPr>
        <w:t>[Betrifft nur die deutsche Sprachfassung]</w:t>
      </w:r>
    </w:p>
    <w:p w:rsidR="004C2717" w:rsidRPr="00DD2A86" w:rsidRDefault="004C2717" w:rsidP="004C2717">
      <w:pPr>
        <w:spacing w:after="120"/>
        <w:ind w:left="1134" w:right="1134"/>
        <w:jc w:val="both"/>
        <w:rPr>
          <w:lang w:val="de-DE"/>
        </w:rPr>
      </w:pPr>
      <w:r w:rsidRPr="00DD2A86">
        <w:rPr>
          <w:bCs/>
          <w:lang w:val="de-DE"/>
        </w:rPr>
        <w:t>3.2.1</w:t>
      </w:r>
      <w:r w:rsidRPr="00DD2A86">
        <w:rPr>
          <w:bCs/>
          <w:lang w:val="de-DE"/>
        </w:rPr>
        <w:tab/>
        <w:t xml:space="preserve">Bei der UN-Nr. </w:t>
      </w:r>
      <w:r w:rsidRPr="00DD2A86">
        <w:rPr>
          <w:lang w:val="de-DE"/>
        </w:rPr>
        <w:t>2908, in Spalte (6), einfügen: „368“.</w:t>
      </w:r>
    </w:p>
    <w:p w:rsidR="004C2717" w:rsidRPr="00DD2A86" w:rsidRDefault="004C2717" w:rsidP="004C2717">
      <w:pPr>
        <w:spacing w:after="120"/>
        <w:ind w:left="1134" w:right="1134"/>
        <w:jc w:val="both"/>
        <w:rPr>
          <w:lang w:val="de-DE"/>
        </w:rPr>
      </w:pPr>
      <w:r w:rsidRPr="00DD2A86">
        <w:rPr>
          <w:bCs/>
          <w:lang w:val="de-DE"/>
        </w:rPr>
        <w:t>3.2.1</w:t>
      </w:r>
      <w:r w:rsidRPr="00DD2A86">
        <w:rPr>
          <w:bCs/>
          <w:lang w:val="de-DE"/>
        </w:rPr>
        <w:tab/>
        <w:t xml:space="preserve">Bei der UN-Nr. </w:t>
      </w:r>
      <w:r w:rsidRPr="00DD2A86">
        <w:rPr>
          <w:lang w:val="de-DE"/>
        </w:rPr>
        <w:t>2913, in Spalte (6), einfügen: „325“.</w:t>
      </w:r>
    </w:p>
    <w:p w:rsidR="004C2717" w:rsidRPr="00DD2A86" w:rsidRDefault="004C2717" w:rsidP="004C2717">
      <w:pPr>
        <w:spacing w:after="120"/>
        <w:ind w:left="1134" w:right="1134"/>
        <w:jc w:val="both"/>
        <w:rPr>
          <w:lang w:val="de-DE"/>
        </w:rPr>
      </w:pPr>
      <w:r w:rsidRPr="00DD2A86">
        <w:rPr>
          <w:bCs/>
          <w:lang w:val="de-DE"/>
        </w:rPr>
        <w:t>3.2.1</w:t>
      </w:r>
      <w:r w:rsidRPr="00DD2A86">
        <w:rPr>
          <w:bCs/>
          <w:lang w:val="de-DE"/>
        </w:rPr>
        <w:tab/>
        <w:t xml:space="preserve">Bei der UN-Nr. </w:t>
      </w:r>
      <w:r w:rsidRPr="00DD2A86">
        <w:rPr>
          <w:lang w:val="de-DE"/>
        </w:rPr>
        <w:t>2913, in Spalte (6), streichen: „336“.</w:t>
      </w:r>
    </w:p>
    <w:p w:rsidR="004C26B3" w:rsidRPr="00DD2A86" w:rsidRDefault="00E60953" w:rsidP="00E60953">
      <w:pPr>
        <w:widowControl w:val="0"/>
        <w:tabs>
          <w:tab w:val="left" w:pos="567"/>
          <w:tab w:val="left" w:pos="1701"/>
          <w:tab w:val="left" w:pos="3119"/>
        </w:tabs>
        <w:ind w:left="1134" w:right="1134"/>
        <w:rPr>
          <w:iCs/>
          <w:lang w:val="de-DE"/>
        </w:rPr>
      </w:pPr>
      <w:r w:rsidRPr="00DD2A86">
        <w:rPr>
          <w:spacing w:val="-2"/>
          <w:lang w:val="de-DE" w:eastAsia="zh-CN"/>
        </w:rPr>
        <w:t>3.2.1</w:t>
      </w:r>
      <w:r w:rsidRPr="00DD2A86">
        <w:rPr>
          <w:spacing w:val="-2"/>
          <w:lang w:val="de-DE" w:eastAsia="zh-CN"/>
        </w:rPr>
        <w:tab/>
      </w:r>
      <w:r w:rsidR="004C26B3" w:rsidRPr="00DD2A86">
        <w:rPr>
          <w:spacing w:val="-2"/>
          <w:lang w:val="de-DE" w:eastAsia="zh-CN"/>
        </w:rPr>
        <w:t xml:space="preserve">Bei den UN-Nrn. </w:t>
      </w:r>
      <w:r w:rsidR="004C26B3" w:rsidRPr="00DD2A86">
        <w:rPr>
          <w:iCs/>
          <w:lang w:val="de-DE"/>
        </w:rPr>
        <w:t xml:space="preserve">3090, 3091, 3480 und 3481, in Spalte (6), einfügen: „387“. </w:t>
      </w:r>
    </w:p>
    <w:p w:rsidR="004C2717" w:rsidRPr="00DD2A86" w:rsidRDefault="004C2717" w:rsidP="00B307A1">
      <w:pPr>
        <w:spacing w:before="120" w:after="120"/>
        <w:ind w:left="1134" w:right="1134"/>
        <w:jc w:val="both"/>
        <w:rPr>
          <w:rFonts w:eastAsia="MS Mincho"/>
          <w:lang w:val="de-DE" w:eastAsia="nl-NL"/>
        </w:rPr>
      </w:pPr>
      <w:r w:rsidRPr="00DD2A86">
        <w:rPr>
          <w:rFonts w:eastAsia="MS Mincho"/>
          <w:lang w:val="de-DE" w:eastAsia="nl-NL"/>
        </w:rPr>
        <w:t>3.2.1</w:t>
      </w:r>
      <w:r w:rsidRPr="00DD2A86">
        <w:rPr>
          <w:rFonts w:eastAsia="MS Mincho"/>
          <w:lang w:val="de-DE" w:eastAsia="nl-NL"/>
        </w:rPr>
        <w:tab/>
        <w:t xml:space="preserve">Bei den UN-Nrn. 3091 und 3481, </w:t>
      </w:r>
      <w:r w:rsidRPr="00DD2A86">
        <w:rPr>
          <w:lang w:val="de-DE"/>
        </w:rPr>
        <w:t>in Spalte (6), „</w:t>
      </w:r>
      <w:r w:rsidRPr="00DD2A86">
        <w:rPr>
          <w:rFonts w:eastAsia="MS Mincho"/>
          <w:lang w:val="de-DE" w:eastAsia="nl-NL"/>
        </w:rPr>
        <w:t>636“ ändern in: „670“.</w:t>
      </w:r>
    </w:p>
    <w:p w:rsidR="004C26B3" w:rsidRPr="00DD2A86" w:rsidRDefault="001A52BF" w:rsidP="004C26B3">
      <w:pPr>
        <w:spacing w:before="120" w:after="120" w:line="240" w:lineRule="auto"/>
        <w:ind w:left="1134" w:right="1134"/>
        <w:jc w:val="both"/>
        <w:rPr>
          <w:iCs/>
          <w:lang w:val="de-DE"/>
        </w:rPr>
      </w:pPr>
      <w:r w:rsidRPr="00DD2A86">
        <w:rPr>
          <w:iCs/>
          <w:lang w:val="de-DE"/>
        </w:rPr>
        <w:t>3.2.1</w:t>
      </w:r>
      <w:r w:rsidRPr="00DD2A86">
        <w:rPr>
          <w:iCs/>
          <w:lang w:val="de-DE"/>
        </w:rPr>
        <w:tab/>
      </w:r>
      <w:r w:rsidR="004C26B3" w:rsidRPr="00DD2A86">
        <w:rPr>
          <w:iCs/>
          <w:lang w:val="de-DE"/>
        </w:rPr>
        <w:t>Bei der UN-Nr. 3166, in Spalte (6), streichen: „312“ und „385“.</w:t>
      </w:r>
    </w:p>
    <w:p w:rsidR="004C26B3" w:rsidRPr="00DD2A86" w:rsidRDefault="00E60953" w:rsidP="004C26B3">
      <w:pPr>
        <w:spacing w:before="120" w:after="120" w:line="240" w:lineRule="auto"/>
        <w:ind w:left="1134" w:right="1134"/>
        <w:jc w:val="both"/>
        <w:rPr>
          <w:iCs/>
          <w:lang w:val="de-DE"/>
        </w:rPr>
      </w:pPr>
      <w:r w:rsidRPr="00DD2A86">
        <w:rPr>
          <w:spacing w:val="-2"/>
          <w:lang w:val="de-DE" w:eastAsia="zh-CN"/>
        </w:rPr>
        <w:t>3.2.1</w:t>
      </w:r>
      <w:r w:rsidRPr="00DD2A86">
        <w:rPr>
          <w:spacing w:val="-2"/>
          <w:lang w:val="de-DE" w:eastAsia="zh-CN"/>
        </w:rPr>
        <w:tab/>
      </w:r>
      <w:r w:rsidR="004C26B3" w:rsidRPr="00DD2A86">
        <w:rPr>
          <w:spacing w:val="-2"/>
          <w:lang w:val="de-DE" w:eastAsia="zh-CN"/>
        </w:rPr>
        <w:t xml:space="preserve">Bei den UN-Nrn. </w:t>
      </w:r>
      <w:r w:rsidR="004C26B3" w:rsidRPr="00DD2A86">
        <w:rPr>
          <w:iCs/>
          <w:lang w:val="de-DE"/>
        </w:rPr>
        <w:t>3166 und 3171, in Spalte (6), einfügen: „388“.</w:t>
      </w:r>
    </w:p>
    <w:p w:rsidR="00FC36B8" w:rsidRPr="00DD2A86" w:rsidRDefault="00FC36B8" w:rsidP="00E60953">
      <w:pPr>
        <w:tabs>
          <w:tab w:val="left" w:pos="1701"/>
        </w:tabs>
        <w:ind w:left="1134" w:right="1134"/>
        <w:jc w:val="both"/>
        <w:rPr>
          <w:rFonts w:eastAsiaTheme="minorHAnsi"/>
          <w:lang w:val="de-DE"/>
        </w:rPr>
      </w:pPr>
      <w:r w:rsidRPr="00DD2A86">
        <w:rPr>
          <w:rFonts w:eastAsiaTheme="minorHAnsi"/>
          <w:lang w:val="de-DE"/>
        </w:rPr>
        <w:t>3.2.1</w:t>
      </w:r>
      <w:r w:rsidRPr="00DD2A86">
        <w:rPr>
          <w:rFonts w:eastAsiaTheme="minorHAnsi"/>
          <w:lang w:val="de-DE"/>
        </w:rPr>
        <w:tab/>
      </w:r>
      <w:r w:rsidR="00B307A1" w:rsidRPr="00DD2A86">
        <w:rPr>
          <w:rFonts w:eastAsiaTheme="minorHAnsi"/>
          <w:iCs/>
          <w:lang w:val="de-DE"/>
        </w:rPr>
        <w:t xml:space="preserve">Bei den UN-Nrn. </w:t>
      </w:r>
      <w:r w:rsidRPr="00DD2A86">
        <w:rPr>
          <w:rFonts w:eastAsiaTheme="minorHAnsi"/>
          <w:lang w:val="de-DE"/>
        </w:rPr>
        <w:t>3166, 3171, 3527 VG III, 3530, 3531, 3532, 3533 und 3534:</w:t>
      </w:r>
    </w:p>
    <w:p w:rsidR="00FC36B8" w:rsidRPr="00DD2A86" w:rsidRDefault="00FC36B8" w:rsidP="00FC36B8">
      <w:pPr>
        <w:tabs>
          <w:tab w:val="left" w:pos="2268"/>
        </w:tabs>
        <w:ind w:left="2268" w:right="1134"/>
        <w:jc w:val="both"/>
        <w:rPr>
          <w:rFonts w:eastAsiaTheme="minorHAnsi"/>
          <w:lang w:val="de-DE"/>
        </w:rPr>
      </w:pPr>
      <w:r w:rsidRPr="00DD2A86">
        <w:rPr>
          <w:rFonts w:eastAsiaTheme="minorHAnsi"/>
          <w:lang w:val="de-DE"/>
        </w:rPr>
        <w:t>- in Spalte (9) „PP“ einfügen,</w:t>
      </w:r>
    </w:p>
    <w:p w:rsidR="00FC36B8" w:rsidRPr="00DD2A86" w:rsidRDefault="00FC36B8" w:rsidP="00FC36B8">
      <w:pPr>
        <w:tabs>
          <w:tab w:val="left" w:pos="2268"/>
        </w:tabs>
        <w:ind w:left="2268" w:right="1134"/>
        <w:jc w:val="both"/>
        <w:rPr>
          <w:rFonts w:eastAsiaTheme="minorHAnsi"/>
          <w:lang w:val="de-DE"/>
        </w:rPr>
      </w:pPr>
      <w:r w:rsidRPr="00DD2A86">
        <w:rPr>
          <w:rFonts w:eastAsiaTheme="minorHAnsi"/>
          <w:lang w:val="de-DE"/>
        </w:rPr>
        <w:t>- in Spalte (12) „0“ einfügen.</w:t>
      </w:r>
    </w:p>
    <w:p w:rsidR="00D12DA5" w:rsidRPr="00DD2A86" w:rsidRDefault="00D12DA5" w:rsidP="00D12DA5">
      <w:pPr>
        <w:spacing w:before="120" w:after="120" w:line="240" w:lineRule="auto"/>
        <w:ind w:left="1134" w:right="1134"/>
        <w:jc w:val="both"/>
        <w:rPr>
          <w:iCs/>
          <w:lang w:val="de-DE"/>
        </w:rPr>
      </w:pPr>
      <w:r w:rsidRPr="00DD2A86">
        <w:rPr>
          <w:iCs/>
          <w:lang w:val="de-DE"/>
        </w:rPr>
        <w:t>3.2.1</w:t>
      </w:r>
      <w:r w:rsidRPr="00DD2A86">
        <w:rPr>
          <w:iCs/>
          <w:lang w:val="de-DE"/>
        </w:rPr>
        <w:tab/>
        <w:t>Bei der UN-Nr. 3171, in Spalte (6), streichen: „240“.</w:t>
      </w:r>
    </w:p>
    <w:p w:rsidR="004C26B3" w:rsidRPr="00DD2A86" w:rsidRDefault="00E60953" w:rsidP="004C26B3">
      <w:pPr>
        <w:spacing w:after="120"/>
        <w:ind w:left="1134" w:right="1134"/>
        <w:jc w:val="both"/>
        <w:rPr>
          <w:lang w:val="de-DE"/>
        </w:rPr>
      </w:pPr>
      <w:r w:rsidRPr="00DD2A86">
        <w:rPr>
          <w:iCs/>
          <w:lang w:val="de-DE"/>
        </w:rPr>
        <w:t>3.2.1</w:t>
      </w:r>
      <w:r w:rsidRPr="00DD2A86">
        <w:rPr>
          <w:iCs/>
          <w:lang w:val="de-DE"/>
        </w:rPr>
        <w:tab/>
      </w:r>
      <w:r w:rsidR="004C26B3" w:rsidRPr="00DD2A86">
        <w:rPr>
          <w:iCs/>
          <w:lang w:val="de-DE"/>
        </w:rPr>
        <w:t xml:space="preserve">Bei der UN-Nr. </w:t>
      </w:r>
      <w:r w:rsidR="004C26B3" w:rsidRPr="00DD2A86">
        <w:rPr>
          <w:lang w:val="de-DE"/>
        </w:rPr>
        <w:t>3302, in Spalte (2), am Ende hinzufügen: „, STABILISIERT“. In Spalte (6), einfügen: „386“.</w:t>
      </w:r>
    </w:p>
    <w:p w:rsidR="004C26B3" w:rsidRPr="00DD2A86" w:rsidRDefault="00E60953" w:rsidP="004C26B3">
      <w:pPr>
        <w:spacing w:after="120"/>
        <w:ind w:left="1134" w:right="1134"/>
        <w:jc w:val="both"/>
        <w:rPr>
          <w:iCs/>
          <w:lang w:val="de-DE"/>
        </w:rPr>
      </w:pPr>
      <w:r w:rsidRPr="00DD2A86">
        <w:rPr>
          <w:iCs/>
          <w:lang w:val="de-DE"/>
        </w:rPr>
        <w:t>3.2.1</w:t>
      </w:r>
      <w:r w:rsidRPr="00DD2A86">
        <w:rPr>
          <w:iCs/>
          <w:lang w:val="de-DE"/>
        </w:rPr>
        <w:tab/>
      </w:r>
      <w:r w:rsidR="004C26B3" w:rsidRPr="00DD2A86">
        <w:rPr>
          <w:iCs/>
          <w:lang w:val="de-DE"/>
        </w:rPr>
        <w:t>Bei der UN-Nr. 3316, erste Eintragung, die Verpackunggruppe „II“ in Spalte (5) streichen und „671“ in Spalte (6) einfügen. Die gesamte zweite Eintragung für Verpackungsgruppe III streichen.</w:t>
      </w:r>
    </w:p>
    <w:p w:rsidR="004C2717" w:rsidRPr="00DD2A86" w:rsidRDefault="004C2717" w:rsidP="004C2717">
      <w:pPr>
        <w:spacing w:after="120"/>
        <w:ind w:left="1134" w:right="1134"/>
        <w:jc w:val="both"/>
        <w:rPr>
          <w:lang w:val="de-DE"/>
        </w:rPr>
      </w:pPr>
      <w:r w:rsidRPr="00DD2A86">
        <w:rPr>
          <w:bCs/>
          <w:lang w:val="de-DE"/>
        </w:rPr>
        <w:t>3.2.1</w:t>
      </w:r>
      <w:r w:rsidRPr="00DD2A86">
        <w:rPr>
          <w:bCs/>
          <w:lang w:val="de-DE"/>
        </w:rPr>
        <w:tab/>
        <w:t xml:space="preserve">Bei der UN-Nr. </w:t>
      </w:r>
      <w:r w:rsidRPr="00DD2A86">
        <w:rPr>
          <w:lang w:val="de-DE"/>
        </w:rPr>
        <w:t>3326, in Spalte (6), einfügen: „326“.</w:t>
      </w:r>
    </w:p>
    <w:p w:rsidR="004C2717" w:rsidRPr="00DD2A86" w:rsidRDefault="004C2717" w:rsidP="004C2717">
      <w:pPr>
        <w:spacing w:after="120"/>
        <w:ind w:left="1134" w:right="1134"/>
        <w:jc w:val="both"/>
        <w:rPr>
          <w:lang w:val="de-DE"/>
        </w:rPr>
      </w:pPr>
      <w:r w:rsidRPr="00DD2A86">
        <w:rPr>
          <w:bCs/>
          <w:lang w:val="de-DE"/>
        </w:rPr>
        <w:t>3.2.1</w:t>
      </w:r>
      <w:r w:rsidRPr="00DD2A86">
        <w:rPr>
          <w:bCs/>
          <w:lang w:val="de-DE"/>
        </w:rPr>
        <w:tab/>
        <w:t xml:space="preserve">Bei der UN-Nr. </w:t>
      </w:r>
      <w:r w:rsidRPr="00DD2A86">
        <w:rPr>
          <w:lang w:val="de-DE"/>
        </w:rPr>
        <w:t>3326, in Spalte (6), streichen: „336“.</w:t>
      </w:r>
    </w:p>
    <w:p w:rsidR="007C000A" w:rsidRPr="00DD2A86" w:rsidRDefault="007C000A">
      <w:pPr>
        <w:suppressAutoHyphens w:val="0"/>
        <w:spacing w:line="240" w:lineRule="auto"/>
        <w:rPr>
          <w:lang w:val="de-DE"/>
        </w:rPr>
      </w:pPr>
      <w:r w:rsidRPr="00DD2A86">
        <w:rPr>
          <w:lang w:val="de-DE"/>
        </w:rPr>
        <w:br w:type="page"/>
      </w:r>
    </w:p>
    <w:p w:rsidR="00FC5364" w:rsidRPr="00DD2A86" w:rsidRDefault="00A35D19" w:rsidP="00FC5364">
      <w:pPr>
        <w:spacing w:after="120"/>
        <w:ind w:left="1134" w:right="1134"/>
        <w:jc w:val="both"/>
        <w:rPr>
          <w:lang w:val="de-DE"/>
        </w:rPr>
      </w:pPr>
      <w:r w:rsidRPr="00DD2A86">
        <w:rPr>
          <w:lang w:val="de-DE"/>
        </w:rPr>
        <w:t>3.2.1</w:t>
      </w:r>
      <w:r w:rsidRPr="00DD2A86">
        <w:rPr>
          <w:lang w:val="de-DE"/>
        </w:rPr>
        <w:tab/>
      </w:r>
      <w:r w:rsidR="00FC5364" w:rsidRPr="00DD2A86">
        <w:rPr>
          <w:lang w:val="de-DE"/>
        </w:rPr>
        <w:t>Die Zeile für UN 3363 wie folgt ersetzen:</w:t>
      </w:r>
    </w:p>
    <w:p w:rsidR="00FC5364" w:rsidRPr="00DD2A86" w:rsidRDefault="00FC5364" w:rsidP="00FC5364">
      <w:pPr>
        <w:spacing w:after="120"/>
        <w:ind w:left="1134" w:right="1134"/>
        <w:jc w:val="both"/>
        <w:rPr>
          <w:lang w:val="de-DE"/>
        </w:rPr>
      </w:pPr>
      <w:r w:rsidRPr="00DD2A86">
        <w:rPr>
          <w:lang w:val="de-DE"/>
        </w:rPr>
        <w:t>„</w:t>
      </w:r>
    </w:p>
    <w:tbl>
      <w:tblPr>
        <w:tblW w:w="4240" w:type="pct"/>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568"/>
        <w:gridCol w:w="3118"/>
        <w:gridCol w:w="427"/>
        <w:gridCol w:w="423"/>
        <w:gridCol w:w="567"/>
        <w:gridCol w:w="427"/>
        <w:gridCol w:w="709"/>
        <w:gridCol w:w="567"/>
        <w:gridCol w:w="567"/>
        <w:gridCol w:w="848"/>
      </w:tblGrid>
      <w:tr w:rsidR="00FC5364" w:rsidRPr="00DD2A86" w:rsidTr="00FC5364">
        <w:trPr>
          <w:cantSplit/>
          <w:tblHeader/>
        </w:trPr>
        <w:tc>
          <w:tcPr>
            <w:tcW w:w="345" w:type="pct"/>
            <w:tcBorders>
              <w:top w:val="single" w:sz="4" w:space="0" w:color="auto"/>
              <w:left w:val="single" w:sz="4" w:space="0" w:color="auto"/>
              <w:bottom w:val="single" w:sz="4" w:space="0" w:color="auto"/>
              <w:right w:val="single" w:sz="4" w:space="0" w:color="auto"/>
            </w:tcBorders>
            <w:shd w:val="clear" w:color="auto" w:fill="auto"/>
          </w:tcPr>
          <w:p w:rsidR="00FC5364" w:rsidRPr="00DD2A86" w:rsidRDefault="00FC5364" w:rsidP="00FC5364">
            <w:pPr>
              <w:suppressAutoHyphens w:val="0"/>
              <w:spacing w:before="40" w:after="120" w:line="276" w:lineRule="auto"/>
              <w:jc w:val="center"/>
              <w:rPr>
                <w:bCs/>
                <w:sz w:val="18"/>
                <w:szCs w:val="18"/>
                <w:lang w:val="de-DE"/>
              </w:rPr>
            </w:pPr>
            <w:r w:rsidRPr="00DD2A86">
              <w:rPr>
                <w:bCs/>
                <w:sz w:val="18"/>
                <w:szCs w:val="18"/>
                <w:lang w:val="de-DE"/>
              </w:rPr>
              <w:t>(1)</w:t>
            </w:r>
          </w:p>
        </w:tc>
        <w:tc>
          <w:tcPr>
            <w:tcW w:w="1896" w:type="pct"/>
            <w:tcBorders>
              <w:top w:val="single" w:sz="4" w:space="0" w:color="auto"/>
              <w:left w:val="single" w:sz="4" w:space="0" w:color="auto"/>
              <w:bottom w:val="single" w:sz="4" w:space="0" w:color="auto"/>
              <w:right w:val="single" w:sz="4" w:space="0" w:color="auto"/>
            </w:tcBorders>
            <w:shd w:val="clear" w:color="auto" w:fill="auto"/>
          </w:tcPr>
          <w:p w:rsidR="00FC5364" w:rsidRPr="00DD2A86" w:rsidRDefault="00FC5364" w:rsidP="00FC5364">
            <w:pPr>
              <w:suppressAutoHyphens w:val="0"/>
              <w:spacing w:before="40" w:after="120" w:line="276" w:lineRule="auto"/>
              <w:jc w:val="center"/>
              <w:rPr>
                <w:bCs/>
                <w:sz w:val="18"/>
                <w:szCs w:val="18"/>
                <w:lang w:val="de-DE"/>
              </w:rPr>
            </w:pPr>
            <w:r w:rsidRPr="00DD2A86">
              <w:rPr>
                <w:bCs/>
                <w:sz w:val="18"/>
                <w:szCs w:val="18"/>
                <w:lang w:val="de-DE"/>
              </w:rPr>
              <w:t>(2)</w:t>
            </w:r>
          </w:p>
        </w:tc>
        <w:tc>
          <w:tcPr>
            <w:tcW w:w="260" w:type="pct"/>
            <w:tcBorders>
              <w:top w:val="single" w:sz="4" w:space="0" w:color="auto"/>
              <w:left w:val="single" w:sz="4" w:space="0" w:color="auto"/>
              <w:bottom w:val="single" w:sz="4" w:space="0" w:color="auto"/>
              <w:right w:val="single" w:sz="4" w:space="0" w:color="auto"/>
            </w:tcBorders>
            <w:shd w:val="clear" w:color="auto" w:fill="auto"/>
          </w:tcPr>
          <w:p w:rsidR="00FC5364" w:rsidRPr="00DD2A86" w:rsidRDefault="00FC5364" w:rsidP="00FC5364">
            <w:pPr>
              <w:suppressAutoHyphens w:val="0"/>
              <w:spacing w:before="40" w:after="120" w:line="276" w:lineRule="auto"/>
              <w:jc w:val="center"/>
              <w:rPr>
                <w:bCs/>
                <w:sz w:val="18"/>
                <w:szCs w:val="18"/>
                <w:lang w:val="de-DE"/>
              </w:rPr>
            </w:pPr>
            <w:r w:rsidRPr="00DD2A86">
              <w:rPr>
                <w:bCs/>
                <w:sz w:val="18"/>
                <w:szCs w:val="18"/>
                <w:lang w:val="de-DE"/>
              </w:rPr>
              <w:t>(3a)</w:t>
            </w:r>
          </w:p>
        </w:tc>
        <w:tc>
          <w:tcPr>
            <w:tcW w:w="257" w:type="pct"/>
            <w:tcBorders>
              <w:top w:val="single" w:sz="4" w:space="0" w:color="auto"/>
              <w:left w:val="single" w:sz="4" w:space="0" w:color="auto"/>
              <w:bottom w:val="single" w:sz="4" w:space="0" w:color="auto"/>
              <w:right w:val="single" w:sz="4" w:space="0" w:color="auto"/>
            </w:tcBorders>
          </w:tcPr>
          <w:p w:rsidR="00FC5364" w:rsidRPr="00DD2A86" w:rsidRDefault="00FC5364" w:rsidP="00FC5364">
            <w:pPr>
              <w:suppressAutoHyphens w:val="0"/>
              <w:spacing w:before="40" w:after="120" w:line="276" w:lineRule="auto"/>
              <w:jc w:val="center"/>
              <w:rPr>
                <w:bCs/>
                <w:sz w:val="18"/>
                <w:szCs w:val="18"/>
                <w:lang w:val="de-DE"/>
              </w:rPr>
            </w:pPr>
            <w:r w:rsidRPr="00DD2A86">
              <w:rPr>
                <w:bCs/>
                <w:sz w:val="18"/>
                <w:szCs w:val="18"/>
                <w:lang w:val="de-DE"/>
              </w:rPr>
              <w:t>(3b)</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FC5364" w:rsidRPr="00DD2A86" w:rsidRDefault="00FC5364" w:rsidP="00FC5364">
            <w:pPr>
              <w:suppressAutoHyphens w:val="0"/>
              <w:spacing w:before="40" w:after="120" w:line="276" w:lineRule="auto"/>
              <w:jc w:val="center"/>
              <w:rPr>
                <w:bCs/>
                <w:sz w:val="18"/>
                <w:szCs w:val="18"/>
                <w:lang w:val="de-DE"/>
              </w:rPr>
            </w:pPr>
            <w:r w:rsidRPr="00DD2A86">
              <w:rPr>
                <w:bCs/>
                <w:sz w:val="18"/>
                <w:szCs w:val="18"/>
                <w:lang w:val="de-DE"/>
              </w:rPr>
              <w:t>(4)</w:t>
            </w:r>
          </w:p>
        </w:tc>
        <w:tc>
          <w:tcPr>
            <w:tcW w:w="260" w:type="pct"/>
            <w:tcBorders>
              <w:top w:val="single" w:sz="4" w:space="0" w:color="auto"/>
              <w:left w:val="single" w:sz="4" w:space="0" w:color="auto"/>
              <w:bottom w:val="single" w:sz="4" w:space="0" w:color="auto"/>
              <w:right w:val="single" w:sz="4" w:space="0" w:color="auto"/>
            </w:tcBorders>
          </w:tcPr>
          <w:p w:rsidR="00FC5364" w:rsidRPr="00DD2A86" w:rsidRDefault="00FC5364" w:rsidP="00FC5364">
            <w:pPr>
              <w:suppressAutoHyphens w:val="0"/>
              <w:spacing w:before="40" w:after="120" w:line="276" w:lineRule="auto"/>
              <w:jc w:val="center"/>
              <w:rPr>
                <w:bCs/>
                <w:sz w:val="18"/>
                <w:szCs w:val="18"/>
                <w:lang w:val="de-DE"/>
              </w:rPr>
            </w:pPr>
            <w:r w:rsidRPr="00DD2A86">
              <w:rPr>
                <w:bCs/>
                <w:sz w:val="18"/>
                <w:szCs w:val="18"/>
                <w:lang w:val="de-DE"/>
              </w:rPr>
              <w:t>(5)</w:t>
            </w:r>
          </w:p>
        </w:tc>
        <w:tc>
          <w:tcPr>
            <w:tcW w:w="431" w:type="pct"/>
            <w:tcBorders>
              <w:top w:val="single" w:sz="4" w:space="0" w:color="auto"/>
              <w:left w:val="single" w:sz="4" w:space="0" w:color="auto"/>
              <w:bottom w:val="single" w:sz="4" w:space="0" w:color="auto"/>
              <w:right w:val="single" w:sz="4" w:space="0" w:color="auto"/>
            </w:tcBorders>
            <w:shd w:val="clear" w:color="auto" w:fill="auto"/>
          </w:tcPr>
          <w:p w:rsidR="00FC5364" w:rsidRPr="00DD2A86" w:rsidRDefault="00FC5364" w:rsidP="00FC5364">
            <w:pPr>
              <w:suppressAutoHyphens w:val="0"/>
              <w:spacing w:before="40" w:after="120" w:line="276" w:lineRule="auto"/>
              <w:jc w:val="center"/>
              <w:rPr>
                <w:bCs/>
                <w:sz w:val="18"/>
                <w:szCs w:val="18"/>
                <w:lang w:val="de-DE"/>
              </w:rPr>
            </w:pPr>
            <w:r w:rsidRPr="00DD2A86">
              <w:rPr>
                <w:bCs/>
                <w:sz w:val="18"/>
                <w:szCs w:val="18"/>
                <w:lang w:val="de-DE"/>
              </w:rPr>
              <w:t>(6)</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FC5364" w:rsidRPr="00DD2A86" w:rsidRDefault="00FC5364" w:rsidP="00FC5364">
            <w:pPr>
              <w:suppressAutoHyphens w:val="0"/>
              <w:spacing w:before="40" w:after="120" w:line="276" w:lineRule="auto"/>
              <w:jc w:val="center"/>
              <w:rPr>
                <w:bCs/>
                <w:sz w:val="18"/>
                <w:szCs w:val="18"/>
                <w:lang w:val="de-DE"/>
              </w:rPr>
            </w:pPr>
            <w:r w:rsidRPr="00DD2A86">
              <w:rPr>
                <w:bCs/>
                <w:sz w:val="18"/>
                <w:szCs w:val="18"/>
                <w:lang w:val="de-DE"/>
              </w:rPr>
              <w:t>(7a)</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FC5364" w:rsidRPr="00DD2A86" w:rsidRDefault="00FC5364" w:rsidP="00FC5364">
            <w:pPr>
              <w:suppressAutoHyphens w:val="0"/>
              <w:spacing w:before="40" w:after="120" w:line="276" w:lineRule="auto"/>
              <w:jc w:val="center"/>
              <w:rPr>
                <w:bCs/>
                <w:sz w:val="18"/>
                <w:szCs w:val="18"/>
                <w:lang w:val="de-DE"/>
              </w:rPr>
            </w:pPr>
            <w:r w:rsidRPr="00DD2A86">
              <w:rPr>
                <w:bCs/>
                <w:sz w:val="18"/>
                <w:szCs w:val="18"/>
                <w:lang w:val="de-DE"/>
              </w:rPr>
              <w:t>(7b)</w:t>
            </w:r>
          </w:p>
        </w:tc>
        <w:tc>
          <w:tcPr>
            <w:tcW w:w="516" w:type="pct"/>
            <w:tcBorders>
              <w:top w:val="single" w:sz="4" w:space="0" w:color="auto"/>
              <w:left w:val="single" w:sz="4" w:space="0" w:color="auto"/>
              <w:bottom w:val="single" w:sz="4" w:space="0" w:color="auto"/>
              <w:right w:val="single" w:sz="4" w:space="0" w:color="auto"/>
            </w:tcBorders>
          </w:tcPr>
          <w:p w:rsidR="00FC5364" w:rsidRPr="00DD2A86" w:rsidRDefault="00FC5364" w:rsidP="00FC5364">
            <w:pPr>
              <w:suppressAutoHyphens w:val="0"/>
              <w:spacing w:before="40" w:after="120" w:line="276" w:lineRule="auto"/>
              <w:jc w:val="center"/>
              <w:rPr>
                <w:bCs/>
                <w:iCs/>
                <w:sz w:val="18"/>
                <w:szCs w:val="18"/>
                <w:lang w:val="de-DE"/>
              </w:rPr>
            </w:pPr>
            <w:r w:rsidRPr="00DD2A86">
              <w:rPr>
                <w:bCs/>
                <w:iCs/>
                <w:sz w:val="18"/>
                <w:szCs w:val="18"/>
                <w:lang w:val="de-DE"/>
              </w:rPr>
              <w:t>(8) – (13)</w:t>
            </w:r>
          </w:p>
        </w:tc>
      </w:tr>
      <w:tr w:rsidR="00FC5364" w:rsidRPr="00DD2A86" w:rsidTr="00FC5364">
        <w:trPr>
          <w:cantSplit/>
        </w:trPr>
        <w:tc>
          <w:tcPr>
            <w:tcW w:w="345" w:type="pct"/>
            <w:tcBorders>
              <w:top w:val="single" w:sz="4" w:space="0" w:color="auto"/>
              <w:left w:val="single" w:sz="4" w:space="0" w:color="auto"/>
              <w:bottom w:val="single" w:sz="4" w:space="0" w:color="auto"/>
              <w:right w:val="single" w:sz="4" w:space="0" w:color="auto"/>
            </w:tcBorders>
            <w:shd w:val="clear" w:color="auto" w:fill="auto"/>
          </w:tcPr>
          <w:p w:rsidR="00FC5364" w:rsidRPr="00DD2A86" w:rsidRDefault="00FC5364" w:rsidP="00FC5364">
            <w:pPr>
              <w:suppressAutoHyphens w:val="0"/>
              <w:spacing w:line="200" w:lineRule="exact"/>
              <w:jc w:val="center"/>
              <w:rPr>
                <w:sz w:val="18"/>
                <w:szCs w:val="18"/>
                <w:lang w:val="de-DE"/>
              </w:rPr>
            </w:pPr>
            <w:r w:rsidRPr="00DD2A86">
              <w:rPr>
                <w:sz w:val="18"/>
                <w:szCs w:val="18"/>
                <w:lang w:val="de-DE"/>
              </w:rPr>
              <w:t>3363</w:t>
            </w:r>
          </w:p>
        </w:tc>
        <w:tc>
          <w:tcPr>
            <w:tcW w:w="1896" w:type="pct"/>
            <w:tcBorders>
              <w:top w:val="single" w:sz="4" w:space="0" w:color="auto"/>
              <w:left w:val="single" w:sz="4" w:space="0" w:color="auto"/>
              <w:bottom w:val="single" w:sz="4" w:space="0" w:color="auto"/>
              <w:right w:val="single" w:sz="4" w:space="0" w:color="auto"/>
            </w:tcBorders>
            <w:shd w:val="clear" w:color="auto" w:fill="auto"/>
          </w:tcPr>
          <w:p w:rsidR="00FC5364" w:rsidRPr="00DD2A86" w:rsidRDefault="00FC5364" w:rsidP="00FC5364">
            <w:pPr>
              <w:tabs>
                <w:tab w:val="left" w:pos="288"/>
                <w:tab w:val="left" w:pos="576"/>
                <w:tab w:val="left" w:pos="864"/>
                <w:tab w:val="left" w:pos="1152"/>
              </w:tabs>
              <w:spacing w:after="40" w:line="210" w:lineRule="exact"/>
              <w:ind w:right="40"/>
              <w:rPr>
                <w:sz w:val="18"/>
                <w:szCs w:val="18"/>
                <w:lang w:val="de-DE"/>
              </w:rPr>
            </w:pPr>
            <w:r w:rsidRPr="00DD2A86">
              <w:rPr>
                <w:caps/>
                <w:color w:val="000000"/>
                <w:sz w:val="18"/>
                <w:szCs w:val="18"/>
                <w:lang w:val="de-DE" w:eastAsia="de-CH"/>
              </w:rPr>
              <w:t>Gefährliche Güter in Maschinen</w:t>
            </w:r>
            <w:r w:rsidRPr="00DD2A86">
              <w:rPr>
                <w:color w:val="000000"/>
                <w:sz w:val="18"/>
                <w:szCs w:val="18"/>
                <w:lang w:val="de-DE" w:eastAsia="de-CH"/>
              </w:rPr>
              <w:t xml:space="preserve"> oder</w:t>
            </w:r>
            <w:r w:rsidRPr="00DD2A86">
              <w:rPr>
                <w:caps/>
                <w:color w:val="000000"/>
                <w:sz w:val="18"/>
                <w:szCs w:val="18"/>
                <w:lang w:val="de-DE" w:eastAsia="de-CH"/>
              </w:rPr>
              <w:t xml:space="preserve"> Gefährliche Güter in Geräten</w:t>
            </w:r>
          </w:p>
        </w:tc>
        <w:tc>
          <w:tcPr>
            <w:tcW w:w="260" w:type="pct"/>
            <w:tcBorders>
              <w:top w:val="single" w:sz="4" w:space="0" w:color="auto"/>
              <w:left w:val="single" w:sz="4" w:space="0" w:color="auto"/>
              <w:bottom w:val="single" w:sz="4" w:space="0" w:color="auto"/>
              <w:right w:val="single" w:sz="4" w:space="0" w:color="auto"/>
            </w:tcBorders>
            <w:shd w:val="clear" w:color="auto" w:fill="auto"/>
          </w:tcPr>
          <w:p w:rsidR="00FC5364" w:rsidRPr="00DD2A86" w:rsidRDefault="00FC5364" w:rsidP="00FC5364">
            <w:pPr>
              <w:suppressAutoHyphens w:val="0"/>
              <w:spacing w:before="40" w:after="120" w:line="220" w:lineRule="exact"/>
              <w:jc w:val="center"/>
              <w:rPr>
                <w:sz w:val="18"/>
                <w:szCs w:val="18"/>
                <w:lang w:val="de-DE"/>
              </w:rPr>
            </w:pPr>
            <w:r w:rsidRPr="00DD2A86">
              <w:rPr>
                <w:sz w:val="18"/>
                <w:szCs w:val="18"/>
                <w:lang w:val="de-DE"/>
              </w:rPr>
              <w:t>9</w:t>
            </w:r>
          </w:p>
        </w:tc>
        <w:tc>
          <w:tcPr>
            <w:tcW w:w="257" w:type="pct"/>
            <w:tcBorders>
              <w:top w:val="single" w:sz="4" w:space="0" w:color="auto"/>
              <w:left w:val="single" w:sz="4" w:space="0" w:color="auto"/>
              <w:bottom w:val="single" w:sz="4" w:space="0" w:color="auto"/>
              <w:right w:val="single" w:sz="4" w:space="0" w:color="auto"/>
            </w:tcBorders>
          </w:tcPr>
          <w:p w:rsidR="00FC5364" w:rsidRPr="00DD2A86" w:rsidRDefault="00FC5364" w:rsidP="00FC5364">
            <w:pPr>
              <w:suppressAutoHyphens w:val="0"/>
              <w:spacing w:before="40" w:after="120" w:line="220" w:lineRule="exact"/>
              <w:jc w:val="center"/>
              <w:rPr>
                <w:sz w:val="18"/>
                <w:szCs w:val="18"/>
                <w:lang w:val="de-DE"/>
              </w:rPr>
            </w:pPr>
            <w:r w:rsidRPr="00DD2A86">
              <w:rPr>
                <w:sz w:val="18"/>
                <w:szCs w:val="18"/>
                <w:lang w:val="de-DE"/>
              </w:rPr>
              <w:t>M11</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FC5364" w:rsidRPr="00DD2A86" w:rsidRDefault="00FC5364" w:rsidP="00FC5364">
            <w:pPr>
              <w:suppressAutoHyphens w:val="0"/>
              <w:spacing w:before="40" w:after="120" w:line="220" w:lineRule="exact"/>
              <w:jc w:val="center"/>
              <w:rPr>
                <w:sz w:val="18"/>
                <w:szCs w:val="18"/>
                <w:lang w:val="de-DE"/>
              </w:rPr>
            </w:pPr>
          </w:p>
        </w:tc>
        <w:tc>
          <w:tcPr>
            <w:tcW w:w="260" w:type="pct"/>
            <w:tcBorders>
              <w:top w:val="single" w:sz="4" w:space="0" w:color="auto"/>
              <w:left w:val="single" w:sz="4" w:space="0" w:color="auto"/>
              <w:bottom w:val="single" w:sz="4" w:space="0" w:color="auto"/>
              <w:right w:val="single" w:sz="4" w:space="0" w:color="auto"/>
            </w:tcBorders>
          </w:tcPr>
          <w:p w:rsidR="00FC5364" w:rsidRPr="00DD2A86" w:rsidRDefault="00FC5364" w:rsidP="00FC5364">
            <w:pPr>
              <w:suppressAutoHyphens w:val="0"/>
              <w:spacing w:before="40" w:after="120" w:line="220" w:lineRule="exact"/>
              <w:jc w:val="center"/>
              <w:rPr>
                <w:sz w:val="18"/>
                <w:szCs w:val="18"/>
                <w:lang w:val="de-DE"/>
              </w:rPr>
            </w:pPr>
            <w:r w:rsidRPr="00DD2A86">
              <w:rPr>
                <w:sz w:val="18"/>
                <w:szCs w:val="18"/>
                <w:lang w:val="de-DE"/>
              </w:rPr>
              <w:t>9</w:t>
            </w:r>
          </w:p>
        </w:tc>
        <w:tc>
          <w:tcPr>
            <w:tcW w:w="431" w:type="pct"/>
            <w:tcBorders>
              <w:top w:val="single" w:sz="4" w:space="0" w:color="auto"/>
              <w:left w:val="single" w:sz="4" w:space="0" w:color="auto"/>
              <w:bottom w:val="single" w:sz="4" w:space="0" w:color="auto"/>
              <w:right w:val="single" w:sz="4" w:space="0" w:color="auto"/>
            </w:tcBorders>
            <w:shd w:val="clear" w:color="auto" w:fill="auto"/>
          </w:tcPr>
          <w:p w:rsidR="00FC5364" w:rsidRPr="00DD2A86" w:rsidRDefault="00FC5364" w:rsidP="00FC5364">
            <w:pPr>
              <w:suppressAutoHyphens w:val="0"/>
              <w:spacing w:before="40" w:line="220" w:lineRule="exact"/>
              <w:jc w:val="center"/>
              <w:rPr>
                <w:sz w:val="18"/>
                <w:szCs w:val="18"/>
                <w:lang w:val="de-DE"/>
              </w:rPr>
            </w:pPr>
            <w:r w:rsidRPr="00DD2A86">
              <w:rPr>
                <w:sz w:val="18"/>
                <w:szCs w:val="18"/>
                <w:lang w:val="de-DE"/>
              </w:rPr>
              <w:t>301</w:t>
            </w:r>
          </w:p>
          <w:p w:rsidR="00FC5364" w:rsidRPr="00DD2A86" w:rsidRDefault="00FC5364" w:rsidP="00FC5364">
            <w:pPr>
              <w:suppressAutoHyphens w:val="0"/>
              <w:spacing w:before="40" w:after="120" w:line="220" w:lineRule="exact"/>
              <w:jc w:val="center"/>
              <w:rPr>
                <w:sz w:val="18"/>
                <w:szCs w:val="18"/>
                <w:lang w:val="de-DE"/>
              </w:rPr>
            </w:pPr>
            <w:r w:rsidRPr="00DD2A86">
              <w:rPr>
                <w:sz w:val="18"/>
                <w:szCs w:val="18"/>
                <w:lang w:val="de-DE"/>
              </w:rPr>
              <w:t>672</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FC5364" w:rsidRPr="00DD2A86" w:rsidRDefault="00FC5364" w:rsidP="00FC5364">
            <w:pPr>
              <w:suppressAutoHyphens w:val="0"/>
              <w:spacing w:before="40" w:after="120" w:line="220" w:lineRule="exact"/>
              <w:jc w:val="center"/>
              <w:rPr>
                <w:sz w:val="18"/>
                <w:szCs w:val="18"/>
                <w:lang w:val="de-DE"/>
              </w:rPr>
            </w:pPr>
            <w:r w:rsidRPr="00DD2A86">
              <w:rPr>
                <w:sz w:val="18"/>
                <w:szCs w:val="18"/>
                <w:lang w:val="de-DE"/>
              </w:rPr>
              <w:t>0</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FC5364" w:rsidRPr="00DD2A86" w:rsidRDefault="00FC5364" w:rsidP="00FC5364">
            <w:pPr>
              <w:suppressAutoHyphens w:val="0"/>
              <w:spacing w:before="40" w:after="120" w:line="220" w:lineRule="exact"/>
              <w:jc w:val="center"/>
              <w:rPr>
                <w:sz w:val="18"/>
                <w:szCs w:val="18"/>
                <w:lang w:val="de-DE"/>
              </w:rPr>
            </w:pPr>
            <w:r w:rsidRPr="00DD2A86">
              <w:rPr>
                <w:sz w:val="18"/>
                <w:szCs w:val="18"/>
                <w:lang w:val="de-DE"/>
              </w:rPr>
              <w:t>E0</w:t>
            </w:r>
          </w:p>
        </w:tc>
        <w:tc>
          <w:tcPr>
            <w:tcW w:w="516" w:type="pct"/>
            <w:tcBorders>
              <w:top w:val="single" w:sz="4" w:space="0" w:color="auto"/>
              <w:left w:val="single" w:sz="4" w:space="0" w:color="auto"/>
              <w:bottom w:val="single" w:sz="4" w:space="0" w:color="auto"/>
              <w:right w:val="single" w:sz="4" w:space="0" w:color="auto"/>
            </w:tcBorders>
          </w:tcPr>
          <w:p w:rsidR="00FC5364" w:rsidRPr="00DD2A86" w:rsidRDefault="00FC5364" w:rsidP="00FC5364">
            <w:pPr>
              <w:suppressAutoHyphens w:val="0"/>
              <w:spacing w:line="200" w:lineRule="exact"/>
              <w:jc w:val="center"/>
              <w:rPr>
                <w:sz w:val="18"/>
                <w:szCs w:val="18"/>
                <w:lang w:val="de-DE" w:eastAsia="nb-NO"/>
              </w:rPr>
            </w:pPr>
          </w:p>
        </w:tc>
      </w:tr>
    </w:tbl>
    <w:p w:rsidR="00FC5364" w:rsidRPr="00DD2A86" w:rsidRDefault="00FC5364" w:rsidP="00FC5364">
      <w:pPr>
        <w:spacing w:before="120" w:after="120"/>
        <w:ind w:left="1134" w:right="1134"/>
        <w:jc w:val="both"/>
        <w:rPr>
          <w:i/>
          <w:lang w:val="de-DE"/>
        </w:rPr>
      </w:pPr>
      <w:r w:rsidRPr="00DD2A86">
        <w:rPr>
          <w:lang w:val="de-DE"/>
        </w:rPr>
        <w:t>“.</w:t>
      </w:r>
    </w:p>
    <w:p w:rsidR="00FC5364" w:rsidRPr="00DD2A86" w:rsidRDefault="00FC5364" w:rsidP="00FC36B8">
      <w:pPr>
        <w:tabs>
          <w:tab w:val="left" w:pos="1985"/>
          <w:tab w:val="left" w:pos="2268"/>
        </w:tabs>
        <w:ind w:left="1134" w:right="1134"/>
        <w:jc w:val="both"/>
        <w:rPr>
          <w:rFonts w:eastAsiaTheme="minorHAnsi"/>
          <w:lang w:val="de-DE"/>
        </w:rPr>
      </w:pPr>
    </w:p>
    <w:p w:rsidR="00FC36B8" w:rsidRPr="00DD2A86" w:rsidRDefault="00FC36B8" w:rsidP="00FC36B8">
      <w:pPr>
        <w:tabs>
          <w:tab w:val="left" w:pos="1985"/>
          <w:tab w:val="left" w:pos="2268"/>
        </w:tabs>
        <w:ind w:left="1134" w:right="1134"/>
        <w:jc w:val="both"/>
        <w:rPr>
          <w:rFonts w:eastAsiaTheme="minorHAnsi"/>
          <w:lang w:val="de-DE"/>
        </w:rPr>
      </w:pPr>
      <w:r w:rsidRPr="00DD2A86">
        <w:rPr>
          <w:rFonts w:eastAsiaTheme="minorHAnsi"/>
          <w:lang w:val="de-DE"/>
        </w:rPr>
        <w:t>3.2.1</w:t>
      </w:r>
      <w:r w:rsidRPr="00DD2A86">
        <w:rPr>
          <w:rFonts w:eastAsiaTheme="minorHAnsi"/>
          <w:lang w:val="de-DE"/>
        </w:rPr>
        <w:tab/>
      </w:r>
      <w:r w:rsidR="00B307A1" w:rsidRPr="00DD2A86">
        <w:rPr>
          <w:rFonts w:eastAsiaTheme="minorHAnsi"/>
          <w:iCs/>
          <w:lang w:val="de-DE"/>
        </w:rPr>
        <w:t xml:space="preserve">Bei </w:t>
      </w:r>
      <w:r w:rsidR="00AB330F" w:rsidRPr="00DD2A86">
        <w:rPr>
          <w:rFonts w:eastAsiaTheme="minorHAnsi"/>
          <w:iCs/>
          <w:lang w:val="de-DE"/>
        </w:rPr>
        <w:t xml:space="preserve">der </w:t>
      </w:r>
      <w:r w:rsidR="00B307A1" w:rsidRPr="00DD2A86">
        <w:rPr>
          <w:rFonts w:eastAsiaTheme="minorHAnsi"/>
          <w:iCs/>
          <w:lang w:val="de-DE"/>
        </w:rPr>
        <w:t xml:space="preserve">UN-Nr. </w:t>
      </w:r>
      <w:r w:rsidRPr="00DD2A86">
        <w:rPr>
          <w:rFonts w:eastAsiaTheme="minorHAnsi"/>
          <w:lang w:val="de-DE"/>
        </w:rPr>
        <w:t>3527 VG II:</w:t>
      </w:r>
    </w:p>
    <w:p w:rsidR="00FC36B8" w:rsidRPr="00DD2A86" w:rsidRDefault="00FC36B8" w:rsidP="00FC36B8">
      <w:pPr>
        <w:tabs>
          <w:tab w:val="left" w:pos="2268"/>
        </w:tabs>
        <w:ind w:left="2268" w:right="1134"/>
        <w:jc w:val="both"/>
        <w:rPr>
          <w:rFonts w:eastAsiaTheme="minorHAnsi"/>
          <w:lang w:val="de-DE"/>
        </w:rPr>
      </w:pPr>
      <w:r w:rsidRPr="00DD2A86">
        <w:rPr>
          <w:rFonts w:eastAsiaTheme="minorHAnsi"/>
          <w:lang w:val="de-DE"/>
        </w:rPr>
        <w:t>- in Spalte (9) „PP“ einfügen,</w:t>
      </w:r>
    </w:p>
    <w:p w:rsidR="00FC36B8" w:rsidRPr="00DD2A86" w:rsidRDefault="00FC36B8" w:rsidP="00FC36B8">
      <w:pPr>
        <w:tabs>
          <w:tab w:val="left" w:pos="2268"/>
        </w:tabs>
        <w:ind w:left="2268" w:right="1134"/>
        <w:jc w:val="both"/>
        <w:rPr>
          <w:rFonts w:eastAsiaTheme="minorHAnsi"/>
          <w:lang w:val="de-DE"/>
        </w:rPr>
      </w:pPr>
      <w:r w:rsidRPr="00DD2A86">
        <w:rPr>
          <w:rFonts w:eastAsiaTheme="minorHAnsi"/>
          <w:lang w:val="de-DE"/>
        </w:rPr>
        <w:t>- in Spalte (12) „1“ einfügen.</w:t>
      </w:r>
    </w:p>
    <w:p w:rsidR="00FC36B8" w:rsidRPr="00DD2A86" w:rsidRDefault="00FC36B8" w:rsidP="0048756D">
      <w:pPr>
        <w:tabs>
          <w:tab w:val="left" w:pos="1985"/>
          <w:tab w:val="left" w:pos="2268"/>
        </w:tabs>
        <w:spacing w:before="120"/>
        <w:ind w:left="1134" w:right="1134"/>
        <w:jc w:val="both"/>
        <w:rPr>
          <w:rFonts w:eastAsiaTheme="minorHAnsi"/>
          <w:lang w:val="de-DE"/>
        </w:rPr>
      </w:pPr>
      <w:r w:rsidRPr="00DD2A86">
        <w:rPr>
          <w:rFonts w:eastAsiaTheme="minorHAnsi"/>
          <w:lang w:val="de-DE"/>
        </w:rPr>
        <w:t>3.2.1</w:t>
      </w:r>
      <w:r w:rsidRPr="00DD2A86">
        <w:rPr>
          <w:rFonts w:eastAsiaTheme="minorHAnsi"/>
          <w:lang w:val="de-DE"/>
        </w:rPr>
        <w:tab/>
      </w:r>
      <w:r w:rsidR="00B307A1" w:rsidRPr="00DD2A86">
        <w:rPr>
          <w:rFonts w:eastAsiaTheme="minorHAnsi"/>
          <w:iCs/>
          <w:lang w:val="de-DE"/>
        </w:rPr>
        <w:t xml:space="preserve">Bei </w:t>
      </w:r>
      <w:r w:rsidR="00AB330F" w:rsidRPr="00DD2A86">
        <w:rPr>
          <w:rFonts w:eastAsiaTheme="minorHAnsi"/>
          <w:iCs/>
          <w:lang w:val="de-DE"/>
        </w:rPr>
        <w:t xml:space="preserve">der </w:t>
      </w:r>
      <w:r w:rsidR="00B307A1" w:rsidRPr="00DD2A86">
        <w:rPr>
          <w:rFonts w:eastAsiaTheme="minorHAnsi"/>
          <w:iCs/>
          <w:lang w:val="de-DE"/>
        </w:rPr>
        <w:t xml:space="preserve">UN-Nr. </w:t>
      </w:r>
      <w:r w:rsidRPr="00DD2A86">
        <w:rPr>
          <w:rFonts w:eastAsiaTheme="minorHAnsi"/>
          <w:lang w:val="de-DE"/>
        </w:rPr>
        <w:t>3528 und UN 3529:</w:t>
      </w:r>
    </w:p>
    <w:p w:rsidR="00FC36B8" w:rsidRPr="00DD2A86" w:rsidRDefault="00FC36B8" w:rsidP="00FC36B8">
      <w:pPr>
        <w:tabs>
          <w:tab w:val="left" w:pos="2268"/>
        </w:tabs>
        <w:ind w:left="2268" w:right="1134"/>
        <w:jc w:val="both"/>
        <w:rPr>
          <w:rFonts w:eastAsiaTheme="minorHAnsi"/>
          <w:lang w:val="de-DE"/>
        </w:rPr>
      </w:pPr>
      <w:r w:rsidRPr="00DD2A86">
        <w:rPr>
          <w:rFonts w:eastAsiaTheme="minorHAnsi"/>
          <w:lang w:val="de-DE"/>
        </w:rPr>
        <w:t>- in Spalte (9) „PP, EX, A“ einfügen,</w:t>
      </w:r>
    </w:p>
    <w:p w:rsidR="00FC36B8" w:rsidRPr="00DD2A86" w:rsidRDefault="00FC36B8" w:rsidP="00FC36B8">
      <w:pPr>
        <w:tabs>
          <w:tab w:val="left" w:pos="2268"/>
        </w:tabs>
        <w:ind w:left="2268" w:right="1134"/>
        <w:jc w:val="both"/>
        <w:rPr>
          <w:rFonts w:eastAsiaTheme="minorHAnsi"/>
          <w:lang w:val="de-DE"/>
        </w:rPr>
      </w:pPr>
      <w:r w:rsidRPr="00DD2A86">
        <w:rPr>
          <w:rFonts w:eastAsiaTheme="minorHAnsi"/>
          <w:lang w:val="de-DE"/>
        </w:rPr>
        <w:t>- in Spalte (10) „VE01“ einfügen,</w:t>
      </w:r>
    </w:p>
    <w:p w:rsidR="00FC36B8" w:rsidRPr="00DD2A86" w:rsidRDefault="00FC36B8" w:rsidP="00FC36B8">
      <w:pPr>
        <w:tabs>
          <w:tab w:val="left" w:pos="2268"/>
        </w:tabs>
        <w:ind w:left="2268" w:right="1134"/>
        <w:jc w:val="both"/>
        <w:rPr>
          <w:rFonts w:eastAsiaTheme="minorHAnsi"/>
          <w:lang w:val="de-DE"/>
        </w:rPr>
      </w:pPr>
      <w:r w:rsidRPr="00DD2A86">
        <w:rPr>
          <w:rFonts w:eastAsiaTheme="minorHAnsi"/>
          <w:lang w:val="de-DE"/>
        </w:rPr>
        <w:t>- in Spalte (12) „0“ einfügen.</w:t>
      </w:r>
    </w:p>
    <w:p w:rsidR="00FC36B8" w:rsidRPr="00DD2A86" w:rsidRDefault="00FC36B8" w:rsidP="00FC36B8">
      <w:pPr>
        <w:kinsoku w:val="0"/>
        <w:overflowPunct w:val="0"/>
        <w:autoSpaceDE w:val="0"/>
        <w:autoSpaceDN w:val="0"/>
        <w:adjustRightInd w:val="0"/>
        <w:snapToGrid w:val="0"/>
        <w:spacing w:before="120" w:after="120"/>
        <w:ind w:left="1134" w:right="1134"/>
        <w:jc w:val="both"/>
        <w:rPr>
          <w:rFonts w:eastAsiaTheme="minorHAnsi"/>
          <w:i/>
          <w:lang w:val="de-DE"/>
        </w:rPr>
      </w:pPr>
    </w:p>
    <w:p w:rsidR="00481745" w:rsidRPr="00DD2A86" w:rsidRDefault="00481745" w:rsidP="004C26B3">
      <w:pPr>
        <w:spacing w:after="120"/>
        <w:ind w:left="1134" w:right="1134"/>
        <w:jc w:val="both"/>
        <w:rPr>
          <w:lang w:val="de-DE"/>
        </w:rPr>
        <w:sectPr w:rsidR="00481745" w:rsidRPr="00DD2A86" w:rsidSect="009F66E5">
          <w:endnotePr>
            <w:numFmt w:val="decimal"/>
          </w:endnotePr>
          <w:pgSz w:w="11907" w:h="16840" w:code="9"/>
          <w:pgMar w:top="1701" w:right="1134" w:bottom="2268" w:left="1134" w:header="567" w:footer="567" w:gutter="0"/>
          <w:cols w:space="720"/>
          <w:titlePg/>
          <w:docGrid w:linePitch="272"/>
        </w:sectPr>
      </w:pPr>
    </w:p>
    <w:p w:rsidR="004C26B3" w:rsidRPr="00DD2A86" w:rsidRDefault="004C26B3" w:rsidP="004C26B3">
      <w:pPr>
        <w:spacing w:after="120"/>
        <w:ind w:left="1134" w:right="1134"/>
        <w:jc w:val="both"/>
        <w:rPr>
          <w:i/>
          <w:lang w:val="de-DE"/>
        </w:rPr>
      </w:pPr>
      <w:r w:rsidRPr="00DD2A86">
        <w:rPr>
          <w:lang w:val="de-DE"/>
        </w:rPr>
        <w:t xml:space="preserve">Folgende neue Eintragungen einfügen: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416"/>
        <w:gridCol w:w="4999"/>
        <w:gridCol w:w="708"/>
        <w:gridCol w:w="851"/>
        <w:gridCol w:w="425"/>
        <w:gridCol w:w="776"/>
        <w:gridCol w:w="826"/>
        <w:gridCol w:w="452"/>
        <w:gridCol w:w="356"/>
        <w:gridCol w:w="266"/>
        <w:gridCol w:w="1158"/>
        <w:gridCol w:w="476"/>
        <w:gridCol w:w="506"/>
        <w:gridCol w:w="356"/>
        <w:gridCol w:w="356"/>
      </w:tblGrid>
      <w:tr w:rsidR="004C26B3" w:rsidRPr="00DD2A86" w:rsidTr="00573B62">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rsidR="004C26B3" w:rsidRPr="00DD2A86" w:rsidRDefault="004C26B3" w:rsidP="004C26B3">
            <w:pPr>
              <w:suppressAutoHyphens w:val="0"/>
              <w:spacing w:line="276" w:lineRule="auto"/>
              <w:jc w:val="center"/>
              <w:rPr>
                <w:bCs/>
                <w:sz w:val="18"/>
                <w:szCs w:val="18"/>
                <w:lang w:val="de-DE"/>
              </w:rPr>
            </w:pPr>
            <w:r w:rsidRPr="00DD2A86">
              <w:rPr>
                <w:bCs/>
                <w:sz w:val="18"/>
                <w:szCs w:val="18"/>
                <w:lang w:val="de-DE"/>
              </w:rPr>
              <w:t>(1)</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4C26B3" w:rsidRPr="00DD2A86" w:rsidRDefault="004C26B3" w:rsidP="004C26B3">
            <w:pPr>
              <w:suppressAutoHyphens w:val="0"/>
              <w:spacing w:line="276" w:lineRule="auto"/>
              <w:jc w:val="center"/>
              <w:rPr>
                <w:bCs/>
                <w:sz w:val="18"/>
                <w:szCs w:val="18"/>
                <w:lang w:val="de-DE"/>
              </w:rPr>
            </w:pPr>
            <w:r w:rsidRPr="00DD2A86">
              <w:rPr>
                <w:bCs/>
                <w:sz w:val="18"/>
                <w:szCs w:val="18"/>
                <w:lang w:val="de-DE"/>
              </w:rPr>
              <w:t>(2)</w:t>
            </w:r>
          </w:p>
        </w:tc>
        <w:tc>
          <w:tcPr>
            <w:tcW w:w="708"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uppressAutoHyphens w:val="0"/>
              <w:spacing w:line="276" w:lineRule="auto"/>
              <w:jc w:val="center"/>
              <w:rPr>
                <w:bCs/>
                <w:sz w:val="18"/>
                <w:szCs w:val="18"/>
                <w:lang w:val="de-DE"/>
              </w:rPr>
            </w:pPr>
            <w:r w:rsidRPr="00DD2A86">
              <w:rPr>
                <w:bCs/>
                <w:sz w:val="18"/>
                <w:szCs w:val="18"/>
                <w:lang w:val="de-DE"/>
              </w:rPr>
              <w:t>(3a)</w:t>
            </w:r>
          </w:p>
        </w:tc>
        <w:tc>
          <w:tcPr>
            <w:tcW w:w="851"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uppressAutoHyphens w:val="0"/>
              <w:spacing w:line="276" w:lineRule="auto"/>
              <w:jc w:val="center"/>
              <w:rPr>
                <w:bCs/>
                <w:sz w:val="18"/>
                <w:szCs w:val="18"/>
                <w:lang w:val="de-DE"/>
              </w:rPr>
            </w:pPr>
            <w:r w:rsidRPr="00DD2A86">
              <w:rPr>
                <w:bCs/>
                <w:sz w:val="18"/>
                <w:szCs w:val="18"/>
                <w:lang w:val="de-DE"/>
              </w:rPr>
              <w:t>(3b)</w:t>
            </w:r>
          </w:p>
        </w:tc>
        <w:tc>
          <w:tcPr>
            <w:tcW w:w="425"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uppressAutoHyphens w:val="0"/>
              <w:spacing w:line="276" w:lineRule="auto"/>
              <w:jc w:val="center"/>
              <w:rPr>
                <w:bCs/>
                <w:sz w:val="18"/>
                <w:szCs w:val="18"/>
                <w:lang w:val="de-DE"/>
              </w:rPr>
            </w:pPr>
            <w:r w:rsidRPr="00DD2A86">
              <w:rPr>
                <w:bCs/>
                <w:sz w:val="18"/>
                <w:szCs w:val="18"/>
                <w:lang w:val="de-DE"/>
              </w:rPr>
              <w:t>(4)</w:t>
            </w:r>
          </w:p>
        </w:tc>
        <w:tc>
          <w:tcPr>
            <w:tcW w:w="776"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uppressAutoHyphens w:val="0"/>
              <w:spacing w:line="276" w:lineRule="auto"/>
              <w:jc w:val="center"/>
              <w:rPr>
                <w:bCs/>
                <w:sz w:val="18"/>
                <w:szCs w:val="18"/>
                <w:lang w:val="de-DE"/>
              </w:rPr>
            </w:pPr>
            <w:r w:rsidRPr="00DD2A86">
              <w:rPr>
                <w:bCs/>
                <w:sz w:val="18"/>
                <w:szCs w:val="18"/>
                <w:lang w:val="de-DE"/>
              </w:rPr>
              <w:t>(5)</w:t>
            </w:r>
          </w:p>
        </w:tc>
        <w:tc>
          <w:tcPr>
            <w:tcW w:w="826"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uppressAutoHyphens w:val="0"/>
              <w:spacing w:line="276" w:lineRule="auto"/>
              <w:jc w:val="center"/>
              <w:rPr>
                <w:bCs/>
                <w:sz w:val="18"/>
                <w:szCs w:val="18"/>
                <w:lang w:val="de-DE"/>
              </w:rPr>
            </w:pPr>
            <w:r w:rsidRPr="00DD2A86">
              <w:rPr>
                <w:bCs/>
                <w:sz w:val="18"/>
                <w:szCs w:val="18"/>
                <w:lang w:val="de-DE"/>
              </w:rPr>
              <w:t>(6)</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uppressAutoHyphens w:val="0"/>
              <w:spacing w:line="276" w:lineRule="auto"/>
              <w:jc w:val="center"/>
              <w:rPr>
                <w:bCs/>
                <w:sz w:val="18"/>
                <w:szCs w:val="18"/>
                <w:lang w:val="de-DE"/>
              </w:rPr>
            </w:pPr>
            <w:r w:rsidRPr="00DD2A86">
              <w:rPr>
                <w:bCs/>
                <w:sz w:val="18"/>
                <w:szCs w:val="18"/>
                <w:lang w:val="de-DE"/>
              </w:rPr>
              <w:t>(7a)</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uppressAutoHyphens w:val="0"/>
              <w:spacing w:line="276" w:lineRule="auto"/>
              <w:jc w:val="center"/>
              <w:rPr>
                <w:bCs/>
                <w:sz w:val="18"/>
                <w:szCs w:val="18"/>
                <w:lang w:val="de-DE"/>
              </w:rPr>
            </w:pPr>
            <w:r w:rsidRPr="00DD2A86">
              <w:rPr>
                <w:bCs/>
                <w:sz w:val="18"/>
                <w:szCs w:val="18"/>
                <w:lang w:val="de-DE"/>
              </w:rPr>
              <w:t>(7b)</w:t>
            </w:r>
          </w:p>
        </w:tc>
        <w:tc>
          <w:tcPr>
            <w:tcW w:w="266"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uppressAutoHyphens w:val="0"/>
              <w:spacing w:line="276" w:lineRule="auto"/>
              <w:jc w:val="center"/>
              <w:rPr>
                <w:bCs/>
                <w:sz w:val="18"/>
                <w:szCs w:val="18"/>
                <w:lang w:val="de-DE"/>
              </w:rPr>
            </w:pPr>
            <w:r w:rsidRPr="00DD2A86">
              <w:rPr>
                <w:bCs/>
                <w:sz w:val="18"/>
                <w:szCs w:val="18"/>
                <w:lang w:val="de-DE"/>
              </w:rPr>
              <w:t>(8)</w:t>
            </w:r>
          </w:p>
        </w:tc>
        <w:tc>
          <w:tcPr>
            <w:tcW w:w="1158"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uppressAutoHyphens w:val="0"/>
              <w:spacing w:line="276" w:lineRule="auto"/>
              <w:jc w:val="center"/>
              <w:rPr>
                <w:bCs/>
                <w:sz w:val="18"/>
                <w:szCs w:val="18"/>
                <w:lang w:val="de-DE"/>
              </w:rPr>
            </w:pPr>
            <w:r w:rsidRPr="00DD2A86">
              <w:rPr>
                <w:bCs/>
                <w:sz w:val="18"/>
                <w:szCs w:val="18"/>
                <w:lang w:val="de-DE"/>
              </w:rPr>
              <w:t>(9)</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uppressAutoHyphens w:val="0"/>
              <w:spacing w:line="276" w:lineRule="auto"/>
              <w:jc w:val="center"/>
              <w:rPr>
                <w:bCs/>
                <w:sz w:val="18"/>
                <w:szCs w:val="18"/>
                <w:lang w:val="de-DE"/>
              </w:rPr>
            </w:pPr>
            <w:r w:rsidRPr="00DD2A86">
              <w:rPr>
                <w:bCs/>
                <w:sz w:val="18"/>
                <w:szCs w:val="18"/>
                <w:lang w:val="de-DE"/>
              </w:rPr>
              <w:t>(10)</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uppressAutoHyphens w:val="0"/>
              <w:spacing w:line="276" w:lineRule="auto"/>
              <w:jc w:val="center"/>
              <w:rPr>
                <w:bCs/>
                <w:sz w:val="18"/>
                <w:szCs w:val="18"/>
                <w:lang w:val="de-DE"/>
              </w:rPr>
            </w:pPr>
            <w:r w:rsidRPr="00DD2A86">
              <w:rPr>
                <w:bCs/>
                <w:sz w:val="18"/>
                <w:szCs w:val="18"/>
                <w:lang w:val="de-DE"/>
              </w:rPr>
              <w:t>(11)</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uppressAutoHyphens w:val="0"/>
              <w:spacing w:line="276" w:lineRule="auto"/>
              <w:jc w:val="center"/>
              <w:rPr>
                <w:bCs/>
                <w:sz w:val="18"/>
                <w:szCs w:val="18"/>
                <w:lang w:val="de-DE"/>
              </w:rPr>
            </w:pPr>
            <w:r w:rsidRPr="00DD2A86">
              <w:rPr>
                <w:bCs/>
                <w:iCs/>
                <w:sz w:val="18"/>
                <w:szCs w:val="18"/>
                <w:lang w:val="de-DE"/>
              </w:rPr>
              <w:t>(12)</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uppressAutoHyphens w:val="0"/>
              <w:spacing w:line="276" w:lineRule="auto"/>
              <w:jc w:val="center"/>
              <w:rPr>
                <w:bCs/>
                <w:sz w:val="18"/>
                <w:szCs w:val="18"/>
                <w:lang w:val="de-DE"/>
              </w:rPr>
            </w:pPr>
            <w:r w:rsidRPr="00DD2A86">
              <w:rPr>
                <w:bCs/>
                <w:iCs/>
                <w:sz w:val="18"/>
                <w:szCs w:val="18"/>
                <w:lang w:val="de-DE"/>
              </w:rPr>
              <w:t>(13)</w:t>
            </w:r>
          </w:p>
        </w:tc>
      </w:tr>
      <w:tr w:rsidR="004C26B3" w:rsidRPr="00DD2A86" w:rsidTr="00573B62">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4C26B3" w:rsidRPr="00DD2A86" w:rsidRDefault="004C26B3" w:rsidP="004C26B3">
            <w:pPr>
              <w:suppressAutoHyphens w:val="0"/>
              <w:spacing w:line="200" w:lineRule="exact"/>
              <w:jc w:val="center"/>
              <w:rPr>
                <w:sz w:val="18"/>
                <w:szCs w:val="18"/>
                <w:lang w:val="de-DE"/>
              </w:rPr>
            </w:pPr>
            <w:r w:rsidRPr="00DD2A86">
              <w:rPr>
                <w:sz w:val="18"/>
                <w:szCs w:val="18"/>
                <w:lang w:val="de-DE"/>
              </w:rPr>
              <w:t>3535</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4C26B3" w:rsidRPr="00DD2A86" w:rsidRDefault="004C26B3" w:rsidP="004C26B3">
            <w:pPr>
              <w:tabs>
                <w:tab w:val="left" w:pos="1418"/>
                <w:tab w:val="left" w:pos="1701"/>
                <w:tab w:val="left" w:pos="1985"/>
                <w:tab w:val="left" w:pos="2268"/>
              </w:tabs>
              <w:rPr>
                <w:caps/>
                <w:sz w:val="18"/>
                <w:szCs w:val="18"/>
                <w:lang w:val="de-DE" w:eastAsia="de-CH"/>
              </w:rPr>
            </w:pPr>
            <w:r w:rsidRPr="00DD2A86">
              <w:rPr>
                <w:caps/>
                <w:sz w:val="18"/>
                <w:szCs w:val="18"/>
                <w:lang w:val="de-DE" w:eastAsia="de-CH"/>
              </w:rPr>
              <w:t>GIFTIGER ANORGANISCHER FESTER STOFF, ENTZÜNDBAR, N.A.G.</w:t>
            </w:r>
          </w:p>
        </w:tc>
        <w:tc>
          <w:tcPr>
            <w:tcW w:w="708"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6.1</w:t>
            </w:r>
          </w:p>
        </w:tc>
        <w:tc>
          <w:tcPr>
            <w:tcW w:w="851"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TF3</w:t>
            </w:r>
          </w:p>
        </w:tc>
        <w:tc>
          <w:tcPr>
            <w:tcW w:w="425"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I</w:t>
            </w:r>
          </w:p>
        </w:tc>
        <w:tc>
          <w:tcPr>
            <w:tcW w:w="776"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uppressAutoHyphens w:val="0"/>
              <w:spacing w:line="220" w:lineRule="exact"/>
              <w:jc w:val="center"/>
              <w:rPr>
                <w:sz w:val="18"/>
                <w:szCs w:val="18"/>
                <w:lang w:val="de-DE" w:eastAsia="zh-CN"/>
              </w:rPr>
            </w:pPr>
            <w:r w:rsidRPr="00DD2A86">
              <w:rPr>
                <w:sz w:val="18"/>
                <w:szCs w:val="18"/>
                <w:lang w:val="de-DE"/>
              </w:rPr>
              <w:t>6.1</w:t>
            </w:r>
            <w:r w:rsidRPr="00DD2A86">
              <w:rPr>
                <w:sz w:val="18"/>
                <w:szCs w:val="18"/>
                <w:lang w:val="de-DE"/>
              </w:rPr>
              <w:br/>
              <w:t>+4.1</w:t>
            </w:r>
          </w:p>
        </w:tc>
        <w:tc>
          <w:tcPr>
            <w:tcW w:w="826"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274</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E5</w:t>
            </w:r>
          </w:p>
        </w:tc>
        <w:tc>
          <w:tcPr>
            <w:tcW w:w="266"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p>
        </w:tc>
        <w:tc>
          <w:tcPr>
            <w:tcW w:w="1158" w:type="dxa"/>
            <w:tcBorders>
              <w:top w:val="single" w:sz="4" w:space="0" w:color="auto"/>
              <w:left w:val="single" w:sz="4" w:space="0" w:color="auto"/>
              <w:bottom w:val="single" w:sz="4" w:space="0" w:color="auto"/>
              <w:right w:val="single" w:sz="4" w:space="0" w:color="auto"/>
            </w:tcBorders>
            <w:vAlign w:val="center"/>
          </w:tcPr>
          <w:p w:rsidR="004C26B3" w:rsidRPr="00DD2A86" w:rsidRDefault="004C26B3" w:rsidP="004C26B3">
            <w:pPr>
              <w:spacing w:line="200" w:lineRule="exact"/>
              <w:jc w:val="center"/>
              <w:rPr>
                <w:sz w:val="18"/>
                <w:szCs w:val="18"/>
                <w:lang w:val="de-DE" w:eastAsia="nb-NO"/>
              </w:rPr>
            </w:pPr>
            <w:r w:rsidRPr="00DD2A86">
              <w:rPr>
                <w:sz w:val="18"/>
                <w:szCs w:val="18"/>
                <w:lang w:val="de-DE" w:eastAsia="nb-NO"/>
              </w:rPr>
              <w:t>PP, EP, EX, A</w:t>
            </w:r>
          </w:p>
        </w:tc>
        <w:tc>
          <w:tcPr>
            <w:tcW w:w="0" w:type="auto"/>
            <w:tcBorders>
              <w:top w:val="single" w:sz="4" w:space="0" w:color="auto"/>
              <w:left w:val="single" w:sz="4" w:space="0" w:color="auto"/>
              <w:bottom w:val="single" w:sz="4" w:space="0" w:color="auto"/>
              <w:right w:val="single" w:sz="4" w:space="0" w:color="auto"/>
            </w:tcBorders>
            <w:vAlign w:val="center"/>
          </w:tcPr>
          <w:p w:rsidR="004C26B3" w:rsidRPr="00DD2A86" w:rsidRDefault="004C26B3" w:rsidP="004C26B3">
            <w:pPr>
              <w:spacing w:line="200" w:lineRule="exact"/>
              <w:jc w:val="center"/>
              <w:rPr>
                <w:sz w:val="18"/>
                <w:szCs w:val="18"/>
                <w:lang w:val="de-DE" w:eastAsia="nb-NO"/>
              </w:rPr>
            </w:pPr>
            <w:r w:rsidRPr="00DD2A86">
              <w:rPr>
                <w:sz w:val="18"/>
                <w:szCs w:val="18"/>
                <w:lang w:val="de-DE" w:eastAsia="nb-NO"/>
              </w:rPr>
              <w:t>VE01</w:t>
            </w:r>
          </w:p>
        </w:tc>
        <w:tc>
          <w:tcPr>
            <w:tcW w:w="0" w:type="auto"/>
            <w:tcBorders>
              <w:top w:val="single" w:sz="4" w:space="0" w:color="auto"/>
              <w:left w:val="single" w:sz="4" w:space="0" w:color="auto"/>
              <w:bottom w:val="single" w:sz="4" w:space="0" w:color="auto"/>
              <w:right w:val="single" w:sz="4" w:space="0" w:color="auto"/>
            </w:tcBorders>
            <w:vAlign w:val="center"/>
          </w:tcPr>
          <w:p w:rsidR="004C26B3" w:rsidRPr="00DD2A86" w:rsidRDefault="004C26B3" w:rsidP="004C26B3">
            <w:pPr>
              <w:spacing w:line="200" w:lineRule="exact"/>
              <w:jc w:val="center"/>
              <w:rPr>
                <w:b/>
                <w:sz w:val="18"/>
                <w:szCs w:val="18"/>
                <w:lang w:val="de-DE" w:eastAsia="nb-NO"/>
              </w:rPr>
            </w:pPr>
          </w:p>
        </w:tc>
        <w:tc>
          <w:tcPr>
            <w:tcW w:w="0" w:type="auto"/>
            <w:tcBorders>
              <w:top w:val="single" w:sz="4" w:space="0" w:color="auto"/>
              <w:left w:val="single" w:sz="4" w:space="0" w:color="auto"/>
              <w:bottom w:val="single" w:sz="4" w:space="0" w:color="auto"/>
              <w:right w:val="single" w:sz="4" w:space="0" w:color="auto"/>
            </w:tcBorders>
            <w:vAlign w:val="center"/>
          </w:tcPr>
          <w:p w:rsidR="004C26B3" w:rsidRPr="00DD2A86" w:rsidRDefault="004C26B3" w:rsidP="004C26B3">
            <w:pPr>
              <w:spacing w:line="200" w:lineRule="exact"/>
              <w:jc w:val="center"/>
              <w:rPr>
                <w:sz w:val="18"/>
                <w:szCs w:val="18"/>
                <w:lang w:val="de-DE" w:eastAsia="nb-NO"/>
              </w:rPr>
            </w:pPr>
            <w:r w:rsidRPr="00DD2A86">
              <w:rPr>
                <w:sz w:val="18"/>
                <w:szCs w:val="18"/>
                <w:lang w:val="de-DE" w:eastAsia="nb-NO"/>
              </w:rPr>
              <w:t>2</w:t>
            </w:r>
          </w:p>
        </w:tc>
        <w:tc>
          <w:tcPr>
            <w:tcW w:w="0" w:type="auto"/>
            <w:tcBorders>
              <w:top w:val="single" w:sz="4" w:space="0" w:color="auto"/>
              <w:left w:val="single" w:sz="4" w:space="0" w:color="auto"/>
              <w:bottom w:val="single" w:sz="4" w:space="0" w:color="auto"/>
              <w:right w:val="single" w:sz="4" w:space="0" w:color="auto"/>
            </w:tcBorders>
            <w:vAlign w:val="center"/>
          </w:tcPr>
          <w:p w:rsidR="004C26B3" w:rsidRPr="00DD2A86" w:rsidRDefault="004C26B3" w:rsidP="004C26B3">
            <w:pPr>
              <w:spacing w:line="200" w:lineRule="exact"/>
              <w:jc w:val="center"/>
              <w:rPr>
                <w:b/>
                <w:sz w:val="18"/>
                <w:szCs w:val="18"/>
                <w:lang w:val="de-DE" w:eastAsia="nb-NO"/>
              </w:rPr>
            </w:pPr>
          </w:p>
        </w:tc>
      </w:tr>
      <w:tr w:rsidR="004C26B3" w:rsidRPr="00DD2A86" w:rsidTr="00573B62">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4C26B3" w:rsidRPr="00DD2A86" w:rsidRDefault="004C26B3" w:rsidP="004C26B3">
            <w:pPr>
              <w:suppressAutoHyphens w:val="0"/>
              <w:spacing w:line="200" w:lineRule="exact"/>
              <w:jc w:val="center"/>
              <w:rPr>
                <w:sz w:val="18"/>
                <w:szCs w:val="18"/>
                <w:lang w:val="de-DE"/>
              </w:rPr>
            </w:pPr>
            <w:r w:rsidRPr="00DD2A86">
              <w:rPr>
                <w:sz w:val="18"/>
                <w:szCs w:val="18"/>
                <w:lang w:val="de-DE"/>
              </w:rPr>
              <w:t>3535</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4C26B3" w:rsidRPr="00DD2A86" w:rsidRDefault="004C26B3" w:rsidP="004C26B3">
            <w:pPr>
              <w:tabs>
                <w:tab w:val="left" w:pos="1418"/>
                <w:tab w:val="left" w:pos="1701"/>
                <w:tab w:val="left" w:pos="1985"/>
                <w:tab w:val="left" w:pos="2268"/>
              </w:tabs>
              <w:rPr>
                <w:caps/>
                <w:sz w:val="18"/>
                <w:szCs w:val="18"/>
                <w:lang w:val="de-DE" w:eastAsia="de-CH"/>
              </w:rPr>
            </w:pPr>
            <w:r w:rsidRPr="00DD2A86">
              <w:rPr>
                <w:caps/>
                <w:sz w:val="18"/>
                <w:szCs w:val="18"/>
                <w:lang w:val="de-DE" w:eastAsia="de-CH"/>
              </w:rPr>
              <w:t>GIFTIGER ANORGANISCHER FESTER STOFF, ENTZÜNDBAR, N.A.G.</w:t>
            </w:r>
          </w:p>
        </w:tc>
        <w:tc>
          <w:tcPr>
            <w:tcW w:w="708"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6.1</w:t>
            </w:r>
          </w:p>
        </w:tc>
        <w:tc>
          <w:tcPr>
            <w:tcW w:w="851"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TF3</w:t>
            </w:r>
          </w:p>
        </w:tc>
        <w:tc>
          <w:tcPr>
            <w:tcW w:w="425"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II</w:t>
            </w:r>
          </w:p>
        </w:tc>
        <w:tc>
          <w:tcPr>
            <w:tcW w:w="776"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uppressAutoHyphens w:val="0"/>
              <w:spacing w:line="220" w:lineRule="exact"/>
              <w:jc w:val="center"/>
              <w:rPr>
                <w:sz w:val="18"/>
                <w:szCs w:val="18"/>
                <w:lang w:val="de-DE" w:eastAsia="zh-CN"/>
              </w:rPr>
            </w:pPr>
            <w:r w:rsidRPr="00DD2A86">
              <w:rPr>
                <w:sz w:val="18"/>
                <w:szCs w:val="18"/>
                <w:lang w:val="de-DE"/>
              </w:rPr>
              <w:t>6.1</w:t>
            </w:r>
            <w:r w:rsidRPr="00DD2A86">
              <w:rPr>
                <w:sz w:val="18"/>
                <w:szCs w:val="18"/>
                <w:lang w:val="de-DE"/>
              </w:rPr>
              <w:br/>
              <w:t>+4.1</w:t>
            </w:r>
          </w:p>
        </w:tc>
        <w:tc>
          <w:tcPr>
            <w:tcW w:w="826"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274</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500 g</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E4</w:t>
            </w:r>
          </w:p>
        </w:tc>
        <w:tc>
          <w:tcPr>
            <w:tcW w:w="266"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p>
        </w:tc>
        <w:tc>
          <w:tcPr>
            <w:tcW w:w="1158"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sz w:val="18"/>
                <w:szCs w:val="18"/>
                <w:lang w:val="de-DE" w:eastAsia="nb-NO"/>
              </w:rPr>
            </w:pPr>
            <w:r w:rsidRPr="00DD2A86">
              <w:rPr>
                <w:sz w:val="18"/>
                <w:szCs w:val="18"/>
                <w:lang w:val="de-DE" w:eastAsia="nb-NO"/>
              </w:rPr>
              <w:t>PP, EP, EX, A</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sz w:val="18"/>
                <w:szCs w:val="18"/>
                <w:lang w:val="de-DE" w:eastAsia="nb-NO"/>
              </w:rPr>
            </w:pPr>
            <w:r w:rsidRPr="00DD2A86">
              <w:rPr>
                <w:sz w:val="18"/>
                <w:szCs w:val="18"/>
                <w:lang w:val="de-DE"/>
              </w:rPr>
              <w:t>VE01</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b/>
                <w:sz w:val="18"/>
                <w:szCs w:val="18"/>
                <w:lang w:val="de-DE" w:eastAsia="nb-NO"/>
              </w:rPr>
            </w:pP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sz w:val="18"/>
                <w:szCs w:val="18"/>
                <w:lang w:val="de-DE" w:eastAsia="nb-NO"/>
              </w:rPr>
            </w:pPr>
            <w:r w:rsidRPr="00DD2A86">
              <w:rPr>
                <w:sz w:val="18"/>
                <w:szCs w:val="18"/>
                <w:lang w:val="de-DE"/>
              </w:rPr>
              <w:t>2</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b/>
                <w:sz w:val="18"/>
                <w:szCs w:val="18"/>
                <w:lang w:val="de-DE" w:eastAsia="nb-NO"/>
              </w:rPr>
            </w:pPr>
          </w:p>
        </w:tc>
      </w:tr>
      <w:tr w:rsidR="004C26B3" w:rsidRPr="00DD2A86" w:rsidTr="00573B62">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4C26B3" w:rsidRPr="00DD2A86" w:rsidRDefault="004C26B3" w:rsidP="004C26B3">
            <w:pPr>
              <w:suppressAutoHyphens w:val="0"/>
              <w:spacing w:line="200" w:lineRule="exact"/>
              <w:jc w:val="center"/>
              <w:rPr>
                <w:sz w:val="18"/>
                <w:szCs w:val="18"/>
                <w:lang w:val="de-DE"/>
              </w:rPr>
            </w:pPr>
            <w:r w:rsidRPr="00DD2A86">
              <w:rPr>
                <w:sz w:val="18"/>
                <w:szCs w:val="18"/>
                <w:lang w:val="de-DE"/>
              </w:rPr>
              <w:t>3536</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4C26B3" w:rsidRPr="00DD2A86" w:rsidRDefault="004C26B3" w:rsidP="004C26B3">
            <w:pPr>
              <w:spacing w:line="240" w:lineRule="auto"/>
              <w:rPr>
                <w:sz w:val="18"/>
                <w:szCs w:val="18"/>
                <w:lang w:val="de-DE" w:eastAsia="zh-CN"/>
              </w:rPr>
            </w:pPr>
            <w:r w:rsidRPr="00DD2A86">
              <w:rPr>
                <w:caps/>
                <w:color w:val="000000"/>
                <w:sz w:val="18"/>
                <w:szCs w:val="18"/>
                <w:lang w:val="de-DE" w:eastAsia="de-CH"/>
              </w:rPr>
              <w:t xml:space="preserve">LithiumBatterien, in </w:t>
            </w:r>
            <w:r w:rsidRPr="00DD2A86">
              <w:rPr>
                <w:caps/>
                <w:color w:val="000000"/>
                <w:sz w:val="18"/>
                <w:szCs w:val="18"/>
                <w:lang w:val="de-DE" w:eastAsia="de-CH"/>
              </w:rPr>
              <w:br/>
              <w:t>güterbeförderungseinheiten eingebaut</w:t>
            </w:r>
            <w:r w:rsidRPr="00DD2A86">
              <w:rPr>
                <w:color w:val="000000"/>
                <w:sz w:val="18"/>
                <w:szCs w:val="18"/>
                <w:lang w:val="de-DE" w:eastAsia="de-CH"/>
              </w:rPr>
              <w:t>, Lithium-Ionen-Batterien oder Lithium-Metall-Batterien</w:t>
            </w:r>
          </w:p>
        </w:tc>
        <w:tc>
          <w:tcPr>
            <w:tcW w:w="708"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rPr>
            </w:pPr>
            <w:r w:rsidRPr="00DD2A86">
              <w:rPr>
                <w:sz w:val="18"/>
                <w:szCs w:val="18"/>
                <w:lang w:val="de-DE"/>
              </w:rPr>
              <w:t>9</w:t>
            </w:r>
          </w:p>
        </w:tc>
        <w:tc>
          <w:tcPr>
            <w:tcW w:w="851"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rPr>
            </w:pPr>
            <w:r w:rsidRPr="00DD2A86">
              <w:rPr>
                <w:sz w:val="18"/>
                <w:szCs w:val="18"/>
                <w:lang w:val="de-DE"/>
              </w:rPr>
              <w:t>M4</w:t>
            </w:r>
          </w:p>
        </w:tc>
        <w:tc>
          <w:tcPr>
            <w:tcW w:w="425"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rPr>
            </w:pPr>
          </w:p>
        </w:tc>
        <w:tc>
          <w:tcPr>
            <w:tcW w:w="776"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rPr>
            </w:pPr>
            <w:r w:rsidRPr="00DD2A86">
              <w:rPr>
                <w:sz w:val="18"/>
                <w:szCs w:val="18"/>
                <w:lang w:val="de-DE" w:eastAsia="nb-NO"/>
              </w:rPr>
              <w:t>9</w:t>
            </w:r>
          </w:p>
        </w:tc>
        <w:tc>
          <w:tcPr>
            <w:tcW w:w="826"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rPr>
            </w:pPr>
            <w:r w:rsidRPr="00DD2A86">
              <w:rPr>
                <w:sz w:val="18"/>
                <w:szCs w:val="18"/>
                <w:lang w:val="de-DE" w:eastAsia="nb-NO"/>
              </w:rPr>
              <w:t>389</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rPr>
            </w:pPr>
            <w:r w:rsidRPr="00DD2A86">
              <w:rPr>
                <w:sz w:val="18"/>
                <w:szCs w:val="18"/>
                <w:lang w:val="de-DE" w:eastAsia="nb-NO"/>
              </w:rPr>
              <w:t>0</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rPr>
            </w:pPr>
            <w:r w:rsidRPr="00DD2A86">
              <w:rPr>
                <w:sz w:val="18"/>
                <w:szCs w:val="18"/>
                <w:lang w:val="de-DE" w:eastAsia="nb-NO"/>
              </w:rPr>
              <w:t>E0</w:t>
            </w:r>
          </w:p>
        </w:tc>
        <w:tc>
          <w:tcPr>
            <w:tcW w:w="266"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rPr>
            </w:pPr>
          </w:p>
        </w:tc>
        <w:tc>
          <w:tcPr>
            <w:tcW w:w="1158"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sz w:val="18"/>
                <w:szCs w:val="18"/>
                <w:lang w:val="de-DE" w:eastAsia="nb-NO"/>
              </w:rPr>
            </w:pPr>
            <w:r w:rsidRPr="00DD2A86">
              <w:rPr>
                <w:sz w:val="18"/>
                <w:szCs w:val="18"/>
                <w:lang w:val="de-DE" w:eastAsia="nb-NO"/>
              </w:rPr>
              <w:t>PP</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sz w:val="18"/>
                <w:szCs w:val="18"/>
                <w:lang w:val="de-DE" w:eastAsia="nb-NO"/>
              </w:rPr>
            </w:pP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b/>
                <w:sz w:val="18"/>
                <w:szCs w:val="18"/>
                <w:lang w:val="de-DE" w:eastAsia="nb-NO"/>
              </w:rPr>
            </w:pP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sz w:val="18"/>
                <w:szCs w:val="18"/>
                <w:lang w:val="de-DE" w:eastAsia="nb-NO"/>
              </w:rPr>
            </w:pPr>
            <w:r w:rsidRPr="00DD2A86">
              <w:rPr>
                <w:sz w:val="18"/>
                <w:szCs w:val="18"/>
                <w:lang w:val="de-DE" w:eastAsia="nb-NO"/>
              </w:rPr>
              <w:t>0</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b/>
                <w:sz w:val="18"/>
                <w:szCs w:val="18"/>
                <w:lang w:val="de-DE" w:eastAsia="nb-NO"/>
              </w:rPr>
            </w:pPr>
          </w:p>
        </w:tc>
      </w:tr>
      <w:tr w:rsidR="004C26B3" w:rsidRPr="00DD2A86" w:rsidTr="00573B62">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4C26B3" w:rsidRPr="00DD2A86" w:rsidRDefault="004C26B3" w:rsidP="004C26B3">
            <w:pPr>
              <w:suppressAutoHyphens w:val="0"/>
              <w:spacing w:line="200" w:lineRule="exact"/>
              <w:jc w:val="center"/>
              <w:rPr>
                <w:sz w:val="18"/>
                <w:szCs w:val="18"/>
                <w:lang w:val="de-DE"/>
              </w:rPr>
            </w:pPr>
            <w:r w:rsidRPr="00DD2A86">
              <w:rPr>
                <w:sz w:val="18"/>
                <w:szCs w:val="18"/>
                <w:lang w:val="de-DE"/>
              </w:rPr>
              <w:t>3537</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4C26B3" w:rsidRPr="00DD2A86" w:rsidRDefault="004C26B3" w:rsidP="004C26B3">
            <w:pPr>
              <w:spacing w:line="240" w:lineRule="auto"/>
              <w:rPr>
                <w:sz w:val="18"/>
                <w:szCs w:val="18"/>
                <w:lang w:val="de-DE" w:eastAsia="zh-CN"/>
              </w:rPr>
            </w:pPr>
            <w:r w:rsidRPr="00DD2A86">
              <w:rPr>
                <w:caps/>
                <w:color w:val="000000"/>
                <w:sz w:val="18"/>
                <w:szCs w:val="18"/>
                <w:lang w:val="de-DE" w:eastAsia="de-CH"/>
              </w:rPr>
              <w:t>GEGenstände, die entzündbares Gas enthalten, n.a.g.</w:t>
            </w:r>
          </w:p>
        </w:tc>
        <w:tc>
          <w:tcPr>
            <w:tcW w:w="708"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2</w:t>
            </w:r>
          </w:p>
        </w:tc>
        <w:tc>
          <w:tcPr>
            <w:tcW w:w="851"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bCs/>
                <w:sz w:val="18"/>
                <w:szCs w:val="18"/>
                <w:lang w:val="de-DE"/>
              </w:rPr>
              <w:t>6F</w:t>
            </w:r>
          </w:p>
        </w:tc>
        <w:tc>
          <w:tcPr>
            <w:tcW w:w="425"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p>
        </w:tc>
        <w:tc>
          <w:tcPr>
            <w:tcW w:w="776"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uppressAutoHyphens w:val="0"/>
              <w:spacing w:line="220" w:lineRule="exact"/>
              <w:jc w:val="center"/>
              <w:rPr>
                <w:sz w:val="18"/>
                <w:szCs w:val="18"/>
                <w:lang w:val="de-DE"/>
              </w:rPr>
            </w:pPr>
            <w:r w:rsidRPr="00DD2A86">
              <w:rPr>
                <w:bCs/>
                <w:sz w:val="18"/>
                <w:szCs w:val="18"/>
                <w:lang w:val="de-DE"/>
              </w:rPr>
              <w:t>Siehe</w:t>
            </w:r>
          </w:p>
          <w:p w:rsidR="004C26B3" w:rsidRPr="00DD2A86" w:rsidRDefault="004C26B3" w:rsidP="004C26B3">
            <w:pPr>
              <w:spacing w:line="240" w:lineRule="auto"/>
              <w:jc w:val="center"/>
              <w:rPr>
                <w:sz w:val="18"/>
                <w:szCs w:val="18"/>
                <w:lang w:val="de-DE" w:eastAsia="zh-CN"/>
              </w:rPr>
            </w:pPr>
            <w:r w:rsidRPr="00DD2A86">
              <w:rPr>
                <w:sz w:val="18"/>
                <w:szCs w:val="18"/>
                <w:lang w:val="de-DE"/>
              </w:rPr>
              <w:t>5.2.2.1.12</w:t>
            </w:r>
          </w:p>
        </w:tc>
        <w:tc>
          <w:tcPr>
            <w:tcW w:w="826"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uppressAutoHyphens w:val="0"/>
              <w:spacing w:line="220" w:lineRule="exact"/>
              <w:jc w:val="center"/>
              <w:rPr>
                <w:sz w:val="18"/>
                <w:szCs w:val="18"/>
                <w:lang w:val="de-DE" w:eastAsia="zh-CN"/>
              </w:rPr>
            </w:pPr>
            <w:r w:rsidRPr="00DD2A86">
              <w:rPr>
                <w:sz w:val="18"/>
                <w:szCs w:val="18"/>
                <w:lang w:val="de-DE"/>
              </w:rPr>
              <w:t>274</w:t>
            </w:r>
            <w:r w:rsidRPr="00DD2A86">
              <w:rPr>
                <w:sz w:val="18"/>
                <w:szCs w:val="18"/>
                <w:lang w:val="de-DE"/>
              </w:rPr>
              <w:br/>
              <w:t>667</w:t>
            </w:r>
            <w:r w:rsidRPr="00DD2A86">
              <w:rPr>
                <w:sz w:val="18"/>
                <w:szCs w:val="18"/>
                <w:lang w:val="de-DE"/>
              </w:rPr>
              <w:br/>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E0</w:t>
            </w:r>
          </w:p>
        </w:tc>
        <w:tc>
          <w:tcPr>
            <w:tcW w:w="266"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p>
        </w:tc>
        <w:tc>
          <w:tcPr>
            <w:tcW w:w="1158"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sz w:val="18"/>
                <w:szCs w:val="18"/>
                <w:lang w:val="de-DE"/>
              </w:rPr>
            </w:pPr>
            <w:r w:rsidRPr="00DD2A86">
              <w:rPr>
                <w:sz w:val="18"/>
                <w:szCs w:val="18"/>
                <w:lang w:val="de-DE"/>
              </w:rPr>
              <w:t>PP, EX,A</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sz w:val="18"/>
                <w:szCs w:val="18"/>
                <w:lang w:val="de-DE"/>
              </w:rPr>
            </w:pPr>
            <w:r w:rsidRPr="00DD2A86">
              <w:rPr>
                <w:sz w:val="18"/>
                <w:szCs w:val="18"/>
                <w:lang w:val="de-DE"/>
              </w:rPr>
              <w:t>VE01</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b/>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sz w:val="18"/>
                <w:szCs w:val="18"/>
                <w:lang w:val="de-DE"/>
              </w:rPr>
            </w:pPr>
            <w:r w:rsidRPr="00DD2A86">
              <w:rPr>
                <w:sz w:val="18"/>
                <w:szCs w:val="18"/>
                <w:lang w:val="de-DE"/>
              </w:rPr>
              <w:t>1</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b/>
                <w:sz w:val="18"/>
                <w:szCs w:val="18"/>
                <w:lang w:val="de-DE"/>
              </w:rPr>
            </w:pPr>
          </w:p>
        </w:tc>
      </w:tr>
      <w:tr w:rsidR="004C26B3" w:rsidRPr="00DD2A86" w:rsidTr="00573B62">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4C26B3" w:rsidRPr="00DD2A86" w:rsidRDefault="004C26B3" w:rsidP="004C26B3">
            <w:pPr>
              <w:suppressAutoHyphens w:val="0"/>
              <w:spacing w:line="200" w:lineRule="exact"/>
              <w:jc w:val="center"/>
              <w:rPr>
                <w:sz w:val="18"/>
                <w:szCs w:val="18"/>
                <w:lang w:val="de-DE"/>
              </w:rPr>
            </w:pPr>
            <w:r w:rsidRPr="00DD2A86">
              <w:rPr>
                <w:sz w:val="18"/>
                <w:szCs w:val="18"/>
                <w:lang w:val="de-DE"/>
              </w:rPr>
              <w:t>3538</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4C26B3" w:rsidRPr="00DD2A86" w:rsidRDefault="004C26B3" w:rsidP="004C26B3">
            <w:pPr>
              <w:tabs>
                <w:tab w:val="left" w:pos="1418"/>
                <w:tab w:val="left" w:pos="1701"/>
                <w:tab w:val="left" w:pos="1985"/>
                <w:tab w:val="left" w:pos="2268"/>
              </w:tabs>
              <w:rPr>
                <w:sz w:val="18"/>
                <w:szCs w:val="18"/>
                <w:lang w:val="de-DE" w:eastAsia="de-CH"/>
              </w:rPr>
            </w:pPr>
            <w:r w:rsidRPr="00DD2A86">
              <w:rPr>
                <w:sz w:val="18"/>
                <w:szCs w:val="18"/>
                <w:lang w:val="de-DE" w:eastAsia="de-CH"/>
              </w:rPr>
              <w:t>GEGENSTÄNDE, DIE NICHT ENTZÜNDBARES, NICHT GIFTIGES GAS ENTHALTEN, N.A.G.</w:t>
            </w:r>
          </w:p>
        </w:tc>
        <w:tc>
          <w:tcPr>
            <w:tcW w:w="708"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2</w:t>
            </w:r>
          </w:p>
        </w:tc>
        <w:tc>
          <w:tcPr>
            <w:tcW w:w="851"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bCs/>
                <w:sz w:val="18"/>
                <w:szCs w:val="18"/>
                <w:lang w:val="de-DE"/>
              </w:rPr>
              <w:t>6A</w:t>
            </w:r>
          </w:p>
        </w:tc>
        <w:tc>
          <w:tcPr>
            <w:tcW w:w="425"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p>
        </w:tc>
        <w:tc>
          <w:tcPr>
            <w:tcW w:w="776"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uppressAutoHyphens w:val="0"/>
              <w:spacing w:line="220" w:lineRule="exact"/>
              <w:jc w:val="center"/>
              <w:rPr>
                <w:sz w:val="18"/>
                <w:szCs w:val="18"/>
                <w:lang w:val="de-DE"/>
              </w:rPr>
            </w:pPr>
            <w:r w:rsidRPr="00DD2A86">
              <w:rPr>
                <w:bCs/>
                <w:sz w:val="18"/>
                <w:szCs w:val="18"/>
                <w:lang w:val="de-DE"/>
              </w:rPr>
              <w:t>Siehe</w:t>
            </w:r>
          </w:p>
          <w:p w:rsidR="004C26B3" w:rsidRPr="00DD2A86" w:rsidRDefault="004C26B3" w:rsidP="004C26B3">
            <w:pPr>
              <w:spacing w:line="240" w:lineRule="auto"/>
              <w:jc w:val="center"/>
              <w:rPr>
                <w:sz w:val="18"/>
                <w:szCs w:val="18"/>
                <w:lang w:val="de-DE" w:eastAsia="zh-CN"/>
              </w:rPr>
            </w:pPr>
            <w:r w:rsidRPr="00DD2A86">
              <w:rPr>
                <w:sz w:val="18"/>
                <w:szCs w:val="18"/>
                <w:lang w:val="de-DE"/>
              </w:rPr>
              <w:t>5.2.2.1.12</w:t>
            </w:r>
          </w:p>
        </w:tc>
        <w:tc>
          <w:tcPr>
            <w:tcW w:w="826"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uppressAutoHyphens w:val="0"/>
              <w:spacing w:line="220" w:lineRule="exact"/>
              <w:jc w:val="center"/>
              <w:rPr>
                <w:sz w:val="18"/>
                <w:szCs w:val="18"/>
                <w:lang w:val="de-DE" w:eastAsia="zh-CN"/>
              </w:rPr>
            </w:pPr>
            <w:r w:rsidRPr="00DD2A86">
              <w:rPr>
                <w:sz w:val="18"/>
                <w:szCs w:val="18"/>
                <w:lang w:val="de-DE"/>
              </w:rPr>
              <w:t>274</w:t>
            </w:r>
            <w:r w:rsidRPr="00DD2A86">
              <w:rPr>
                <w:sz w:val="18"/>
                <w:szCs w:val="18"/>
                <w:lang w:val="de-DE"/>
              </w:rPr>
              <w:br/>
              <w:t>667</w:t>
            </w:r>
            <w:r w:rsidRPr="00DD2A86">
              <w:rPr>
                <w:sz w:val="18"/>
                <w:szCs w:val="18"/>
                <w:lang w:val="de-DE"/>
              </w:rPr>
              <w:br/>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E0</w:t>
            </w:r>
          </w:p>
        </w:tc>
        <w:tc>
          <w:tcPr>
            <w:tcW w:w="266"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p>
        </w:tc>
        <w:tc>
          <w:tcPr>
            <w:tcW w:w="1158"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sz w:val="18"/>
                <w:szCs w:val="18"/>
                <w:lang w:val="de-DE"/>
              </w:rPr>
            </w:pPr>
            <w:r w:rsidRPr="00DD2A86">
              <w:rPr>
                <w:sz w:val="18"/>
                <w:szCs w:val="18"/>
                <w:lang w:val="de-DE"/>
              </w:rPr>
              <w:t>PP</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b/>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sz w:val="18"/>
                <w:szCs w:val="18"/>
                <w:lang w:val="de-DE"/>
              </w:rPr>
            </w:pPr>
            <w:r w:rsidRPr="00DD2A86">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b/>
                <w:sz w:val="18"/>
                <w:szCs w:val="18"/>
                <w:lang w:val="de-DE"/>
              </w:rPr>
            </w:pPr>
          </w:p>
        </w:tc>
      </w:tr>
      <w:tr w:rsidR="004C26B3" w:rsidRPr="00DD2A86" w:rsidTr="00573B62">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4C26B3" w:rsidRPr="00DD2A86" w:rsidRDefault="004C26B3" w:rsidP="004C26B3">
            <w:pPr>
              <w:suppressAutoHyphens w:val="0"/>
              <w:spacing w:line="200" w:lineRule="exact"/>
              <w:jc w:val="center"/>
              <w:rPr>
                <w:sz w:val="18"/>
                <w:szCs w:val="18"/>
                <w:lang w:val="de-DE"/>
              </w:rPr>
            </w:pPr>
            <w:r w:rsidRPr="00DD2A86">
              <w:rPr>
                <w:sz w:val="18"/>
                <w:szCs w:val="18"/>
                <w:lang w:val="de-DE"/>
              </w:rPr>
              <w:t>3539</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4C26B3" w:rsidRPr="00DD2A86" w:rsidRDefault="004C26B3" w:rsidP="004C26B3">
            <w:pPr>
              <w:tabs>
                <w:tab w:val="left" w:pos="1418"/>
                <w:tab w:val="left" w:pos="1701"/>
                <w:tab w:val="left" w:pos="1985"/>
                <w:tab w:val="left" w:pos="2268"/>
              </w:tabs>
              <w:rPr>
                <w:sz w:val="18"/>
                <w:szCs w:val="18"/>
                <w:lang w:val="de-DE" w:eastAsia="de-CH"/>
              </w:rPr>
            </w:pPr>
            <w:r w:rsidRPr="00DD2A86">
              <w:rPr>
                <w:sz w:val="18"/>
                <w:szCs w:val="18"/>
                <w:lang w:val="de-DE" w:eastAsia="de-CH"/>
              </w:rPr>
              <w:t>GEGENSTÄNDE, DIE GIFTIGES GAS ENTHALTEN, N.A.G.</w:t>
            </w:r>
          </w:p>
        </w:tc>
        <w:tc>
          <w:tcPr>
            <w:tcW w:w="708"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2</w:t>
            </w:r>
          </w:p>
        </w:tc>
        <w:tc>
          <w:tcPr>
            <w:tcW w:w="851"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bCs/>
                <w:sz w:val="18"/>
                <w:szCs w:val="18"/>
                <w:lang w:val="de-DE"/>
              </w:rPr>
              <w:t>6T</w:t>
            </w:r>
          </w:p>
        </w:tc>
        <w:tc>
          <w:tcPr>
            <w:tcW w:w="425"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p>
        </w:tc>
        <w:tc>
          <w:tcPr>
            <w:tcW w:w="776"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uppressAutoHyphens w:val="0"/>
              <w:spacing w:line="220" w:lineRule="exact"/>
              <w:jc w:val="center"/>
              <w:rPr>
                <w:sz w:val="18"/>
                <w:szCs w:val="18"/>
                <w:lang w:val="de-DE"/>
              </w:rPr>
            </w:pPr>
            <w:r w:rsidRPr="00DD2A86">
              <w:rPr>
                <w:bCs/>
                <w:sz w:val="18"/>
                <w:szCs w:val="18"/>
                <w:lang w:val="de-DE"/>
              </w:rPr>
              <w:t>Siehe</w:t>
            </w:r>
          </w:p>
          <w:p w:rsidR="004C26B3" w:rsidRPr="00DD2A86" w:rsidRDefault="004C26B3" w:rsidP="004C26B3">
            <w:pPr>
              <w:spacing w:line="240" w:lineRule="auto"/>
              <w:jc w:val="center"/>
              <w:rPr>
                <w:sz w:val="18"/>
                <w:szCs w:val="18"/>
                <w:lang w:val="de-DE" w:eastAsia="zh-CN"/>
              </w:rPr>
            </w:pPr>
            <w:r w:rsidRPr="00DD2A86">
              <w:rPr>
                <w:sz w:val="18"/>
                <w:szCs w:val="18"/>
                <w:lang w:val="de-DE"/>
              </w:rPr>
              <w:t>5.2.2.1.12</w:t>
            </w:r>
          </w:p>
        </w:tc>
        <w:tc>
          <w:tcPr>
            <w:tcW w:w="826"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uppressAutoHyphens w:val="0"/>
              <w:spacing w:line="220" w:lineRule="exact"/>
              <w:jc w:val="center"/>
              <w:rPr>
                <w:sz w:val="18"/>
                <w:szCs w:val="18"/>
                <w:lang w:val="de-DE" w:eastAsia="zh-CN"/>
              </w:rPr>
            </w:pPr>
            <w:r w:rsidRPr="00DD2A86">
              <w:rPr>
                <w:sz w:val="18"/>
                <w:szCs w:val="18"/>
                <w:lang w:val="de-DE"/>
              </w:rPr>
              <w:t>274</w:t>
            </w:r>
            <w:r w:rsidRPr="00DD2A86">
              <w:rPr>
                <w:sz w:val="18"/>
                <w:szCs w:val="18"/>
                <w:lang w:val="de-DE"/>
              </w:rPr>
              <w:br/>
              <w:t>667</w:t>
            </w:r>
            <w:r w:rsidRPr="00DD2A86">
              <w:rPr>
                <w:sz w:val="18"/>
                <w:szCs w:val="18"/>
                <w:lang w:val="de-DE"/>
              </w:rPr>
              <w:br/>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E0</w:t>
            </w:r>
          </w:p>
        </w:tc>
        <w:tc>
          <w:tcPr>
            <w:tcW w:w="266"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p>
        </w:tc>
        <w:tc>
          <w:tcPr>
            <w:tcW w:w="1158"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sz w:val="18"/>
                <w:szCs w:val="18"/>
                <w:lang w:val="de-DE"/>
              </w:rPr>
            </w:pPr>
            <w:r w:rsidRPr="00DD2A86">
              <w:rPr>
                <w:sz w:val="18"/>
                <w:szCs w:val="18"/>
                <w:lang w:val="de-DE"/>
              </w:rPr>
              <w:t>PP, EP, TOX, A</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sz w:val="18"/>
                <w:szCs w:val="18"/>
                <w:lang w:val="de-DE"/>
              </w:rPr>
            </w:pPr>
            <w:r w:rsidRPr="00DD2A86">
              <w:rPr>
                <w:sz w:val="18"/>
                <w:szCs w:val="18"/>
                <w:lang w:val="de-DE"/>
              </w:rPr>
              <w:t>VE02</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b/>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sz w:val="18"/>
                <w:szCs w:val="18"/>
                <w:lang w:val="de-DE"/>
              </w:rPr>
            </w:pPr>
            <w:r w:rsidRPr="00DD2A86">
              <w:rPr>
                <w:sz w:val="18"/>
                <w:szCs w:val="18"/>
                <w:lang w:val="de-DE"/>
              </w:rPr>
              <w:t>2</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b/>
                <w:sz w:val="18"/>
                <w:szCs w:val="18"/>
                <w:lang w:val="de-DE"/>
              </w:rPr>
            </w:pPr>
          </w:p>
        </w:tc>
      </w:tr>
      <w:tr w:rsidR="004C26B3" w:rsidRPr="00DD2A86" w:rsidTr="00573B62">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4C26B3" w:rsidRPr="00DD2A86" w:rsidRDefault="004C26B3" w:rsidP="004C26B3">
            <w:pPr>
              <w:suppressAutoHyphens w:val="0"/>
              <w:spacing w:line="200" w:lineRule="exact"/>
              <w:jc w:val="center"/>
              <w:rPr>
                <w:sz w:val="18"/>
                <w:szCs w:val="18"/>
                <w:lang w:val="de-DE"/>
              </w:rPr>
            </w:pPr>
            <w:r w:rsidRPr="00DD2A86">
              <w:rPr>
                <w:sz w:val="18"/>
                <w:szCs w:val="18"/>
                <w:lang w:val="de-DE"/>
              </w:rPr>
              <w:t>3540</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4C26B3" w:rsidRPr="00DD2A86" w:rsidRDefault="004C26B3" w:rsidP="004C26B3">
            <w:pPr>
              <w:tabs>
                <w:tab w:val="left" w:pos="1418"/>
                <w:tab w:val="left" w:pos="1701"/>
                <w:tab w:val="left" w:pos="1985"/>
                <w:tab w:val="left" w:pos="2268"/>
              </w:tabs>
              <w:rPr>
                <w:sz w:val="18"/>
                <w:szCs w:val="18"/>
                <w:lang w:val="de-DE" w:eastAsia="de-CH"/>
              </w:rPr>
            </w:pPr>
            <w:r w:rsidRPr="00DD2A86">
              <w:rPr>
                <w:sz w:val="18"/>
                <w:szCs w:val="18"/>
                <w:lang w:val="de-DE" w:eastAsia="de-CH"/>
              </w:rPr>
              <w:t>GEGENSTÄNDE, DIE EINEN ENTZÜNDBAREN FLÜSSIGEN STOFF ENTHALTEN, N.A.G.</w:t>
            </w:r>
          </w:p>
        </w:tc>
        <w:tc>
          <w:tcPr>
            <w:tcW w:w="708"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3</w:t>
            </w:r>
          </w:p>
        </w:tc>
        <w:tc>
          <w:tcPr>
            <w:tcW w:w="851"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bCs/>
                <w:sz w:val="18"/>
                <w:szCs w:val="18"/>
                <w:lang w:val="de-DE"/>
              </w:rPr>
              <w:t>F3</w:t>
            </w:r>
          </w:p>
        </w:tc>
        <w:tc>
          <w:tcPr>
            <w:tcW w:w="425"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p>
        </w:tc>
        <w:tc>
          <w:tcPr>
            <w:tcW w:w="776"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uppressAutoHyphens w:val="0"/>
              <w:spacing w:line="220" w:lineRule="exact"/>
              <w:jc w:val="center"/>
              <w:rPr>
                <w:sz w:val="18"/>
                <w:szCs w:val="18"/>
                <w:lang w:val="de-DE"/>
              </w:rPr>
            </w:pPr>
            <w:r w:rsidRPr="00DD2A86">
              <w:rPr>
                <w:bCs/>
                <w:sz w:val="18"/>
                <w:szCs w:val="18"/>
                <w:lang w:val="de-DE"/>
              </w:rPr>
              <w:t>Siehe</w:t>
            </w:r>
          </w:p>
          <w:p w:rsidR="004C26B3" w:rsidRPr="00DD2A86" w:rsidRDefault="004C26B3" w:rsidP="004C26B3">
            <w:pPr>
              <w:spacing w:line="240" w:lineRule="auto"/>
              <w:jc w:val="center"/>
              <w:rPr>
                <w:sz w:val="18"/>
                <w:szCs w:val="18"/>
                <w:lang w:val="de-DE" w:eastAsia="zh-CN"/>
              </w:rPr>
            </w:pPr>
            <w:r w:rsidRPr="00DD2A86">
              <w:rPr>
                <w:sz w:val="18"/>
                <w:szCs w:val="18"/>
                <w:lang w:val="de-DE"/>
              </w:rPr>
              <w:t>5.2.2.1.12</w:t>
            </w:r>
          </w:p>
        </w:tc>
        <w:tc>
          <w:tcPr>
            <w:tcW w:w="826"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uppressAutoHyphens w:val="0"/>
              <w:spacing w:line="220" w:lineRule="exact"/>
              <w:jc w:val="center"/>
              <w:rPr>
                <w:sz w:val="18"/>
                <w:szCs w:val="18"/>
                <w:lang w:val="de-DE" w:eastAsia="zh-CN"/>
              </w:rPr>
            </w:pPr>
            <w:r w:rsidRPr="00DD2A86">
              <w:rPr>
                <w:sz w:val="18"/>
                <w:szCs w:val="18"/>
                <w:lang w:val="de-DE"/>
              </w:rPr>
              <w:t>274</w:t>
            </w:r>
            <w:r w:rsidRPr="00DD2A86">
              <w:rPr>
                <w:sz w:val="18"/>
                <w:szCs w:val="18"/>
                <w:lang w:val="de-DE"/>
              </w:rPr>
              <w:br/>
              <w:t>667</w:t>
            </w:r>
            <w:r w:rsidRPr="00DD2A86">
              <w:rPr>
                <w:sz w:val="18"/>
                <w:szCs w:val="18"/>
                <w:lang w:val="de-DE"/>
              </w:rPr>
              <w:br/>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E0</w:t>
            </w:r>
          </w:p>
        </w:tc>
        <w:tc>
          <w:tcPr>
            <w:tcW w:w="266"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p>
        </w:tc>
        <w:tc>
          <w:tcPr>
            <w:tcW w:w="1158"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sz w:val="18"/>
                <w:szCs w:val="18"/>
                <w:lang w:val="de-DE"/>
              </w:rPr>
            </w:pPr>
            <w:r w:rsidRPr="00DD2A86">
              <w:rPr>
                <w:sz w:val="18"/>
                <w:szCs w:val="18"/>
                <w:lang w:val="de-DE"/>
              </w:rPr>
              <w:t>PP, EX, A</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sz w:val="18"/>
                <w:szCs w:val="18"/>
                <w:lang w:val="de-DE"/>
              </w:rPr>
            </w:pPr>
            <w:r w:rsidRPr="00DD2A86">
              <w:rPr>
                <w:sz w:val="18"/>
                <w:szCs w:val="18"/>
                <w:lang w:val="de-DE"/>
              </w:rPr>
              <w:t>VE01</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b/>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sz w:val="18"/>
                <w:szCs w:val="18"/>
                <w:lang w:val="de-DE"/>
              </w:rPr>
            </w:pPr>
            <w:r w:rsidRPr="00DD2A86">
              <w:rPr>
                <w:sz w:val="18"/>
                <w:szCs w:val="18"/>
                <w:lang w:val="de-DE"/>
              </w:rPr>
              <w:t>1</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b/>
                <w:sz w:val="18"/>
                <w:szCs w:val="18"/>
                <w:lang w:val="de-DE"/>
              </w:rPr>
            </w:pPr>
          </w:p>
        </w:tc>
      </w:tr>
      <w:tr w:rsidR="004C26B3" w:rsidRPr="00DD2A86" w:rsidTr="00573B62">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4C26B3" w:rsidRPr="00DD2A86" w:rsidRDefault="004C26B3" w:rsidP="004C26B3">
            <w:pPr>
              <w:suppressAutoHyphens w:val="0"/>
              <w:spacing w:line="200" w:lineRule="exact"/>
              <w:jc w:val="center"/>
              <w:rPr>
                <w:sz w:val="18"/>
                <w:szCs w:val="18"/>
                <w:lang w:val="de-DE"/>
              </w:rPr>
            </w:pPr>
            <w:r w:rsidRPr="00DD2A86">
              <w:rPr>
                <w:sz w:val="18"/>
                <w:szCs w:val="18"/>
                <w:lang w:val="de-DE"/>
              </w:rPr>
              <w:t>3541</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4C26B3" w:rsidRPr="00DD2A86" w:rsidRDefault="004C26B3" w:rsidP="004C26B3">
            <w:pPr>
              <w:tabs>
                <w:tab w:val="left" w:pos="1418"/>
                <w:tab w:val="left" w:pos="1701"/>
                <w:tab w:val="left" w:pos="1985"/>
                <w:tab w:val="left" w:pos="2268"/>
              </w:tabs>
              <w:rPr>
                <w:caps/>
                <w:sz w:val="18"/>
                <w:szCs w:val="18"/>
                <w:lang w:val="de-DE" w:eastAsia="de-CH"/>
              </w:rPr>
            </w:pPr>
            <w:r w:rsidRPr="00DD2A86">
              <w:rPr>
                <w:sz w:val="18"/>
                <w:szCs w:val="18"/>
                <w:lang w:val="de-DE" w:eastAsia="de-CH"/>
              </w:rPr>
              <w:t>GEGENSTÄNDE, DIE EINEN ENTZÜNDBAREN FESTEN STOFF ENTHALTEN, N.A.G.</w:t>
            </w:r>
          </w:p>
        </w:tc>
        <w:tc>
          <w:tcPr>
            <w:tcW w:w="708"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4.1</w:t>
            </w:r>
          </w:p>
        </w:tc>
        <w:tc>
          <w:tcPr>
            <w:tcW w:w="851"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bCs/>
                <w:sz w:val="18"/>
                <w:szCs w:val="18"/>
                <w:lang w:val="de-DE"/>
              </w:rPr>
              <w:t>F4</w:t>
            </w:r>
          </w:p>
        </w:tc>
        <w:tc>
          <w:tcPr>
            <w:tcW w:w="425"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p>
        </w:tc>
        <w:tc>
          <w:tcPr>
            <w:tcW w:w="776"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uppressAutoHyphens w:val="0"/>
              <w:spacing w:line="220" w:lineRule="exact"/>
              <w:jc w:val="center"/>
              <w:rPr>
                <w:sz w:val="18"/>
                <w:szCs w:val="18"/>
                <w:lang w:val="de-DE"/>
              </w:rPr>
            </w:pPr>
            <w:r w:rsidRPr="00DD2A86">
              <w:rPr>
                <w:bCs/>
                <w:sz w:val="18"/>
                <w:szCs w:val="18"/>
                <w:lang w:val="de-DE"/>
              </w:rPr>
              <w:t>Siehe</w:t>
            </w:r>
          </w:p>
          <w:p w:rsidR="004C26B3" w:rsidRPr="00DD2A86" w:rsidRDefault="004C26B3" w:rsidP="004C26B3">
            <w:pPr>
              <w:spacing w:line="240" w:lineRule="auto"/>
              <w:jc w:val="center"/>
              <w:rPr>
                <w:sz w:val="18"/>
                <w:szCs w:val="18"/>
                <w:lang w:val="de-DE" w:eastAsia="zh-CN"/>
              </w:rPr>
            </w:pPr>
            <w:r w:rsidRPr="00DD2A86">
              <w:rPr>
                <w:sz w:val="18"/>
                <w:szCs w:val="18"/>
                <w:lang w:val="de-DE"/>
              </w:rPr>
              <w:t>5.2.2.1.12</w:t>
            </w:r>
          </w:p>
        </w:tc>
        <w:tc>
          <w:tcPr>
            <w:tcW w:w="826"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uppressAutoHyphens w:val="0"/>
              <w:spacing w:line="220" w:lineRule="exact"/>
              <w:jc w:val="center"/>
              <w:rPr>
                <w:sz w:val="18"/>
                <w:szCs w:val="18"/>
                <w:lang w:val="de-DE" w:eastAsia="zh-CN"/>
              </w:rPr>
            </w:pPr>
            <w:r w:rsidRPr="00DD2A86">
              <w:rPr>
                <w:sz w:val="18"/>
                <w:szCs w:val="18"/>
                <w:lang w:val="de-DE"/>
              </w:rPr>
              <w:t>274</w:t>
            </w:r>
            <w:r w:rsidRPr="00DD2A86">
              <w:rPr>
                <w:sz w:val="18"/>
                <w:szCs w:val="18"/>
                <w:lang w:val="de-DE"/>
              </w:rPr>
              <w:br/>
              <w:t>667</w:t>
            </w:r>
            <w:r w:rsidRPr="00DD2A86">
              <w:rPr>
                <w:sz w:val="18"/>
                <w:szCs w:val="18"/>
                <w:lang w:val="de-DE"/>
              </w:rPr>
              <w:br/>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E0</w:t>
            </w:r>
          </w:p>
        </w:tc>
        <w:tc>
          <w:tcPr>
            <w:tcW w:w="266"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p>
        </w:tc>
        <w:tc>
          <w:tcPr>
            <w:tcW w:w="1158"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sz w:val="18"/>
                <w:szCs w:val="18"/>
                <w:lang w:val="de-DE"/>
              </w:rPr>
            </w:pPr>
            <w:r w:rsidRPr="00DD2A86">
              <w:rPr>
                <w:sz w:val="18"/>
                <w:szCs w:val="18"/>
                <w:lang w:val="de-DE"/>
              </w:rPr>
              <w:t>PP</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b/>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sz w:val="18"/>
                <w:szCs w:val="18"/>
                <w:lang w:val="de-DE"/>
              </w:rPr>
            </w:pPr>
            <w:r w:rsidRPr="00DD2A86">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b/>
                <w:sz w:val="18"/>
                <w:szCs w:val="18"/>
                <w:lang w:val="de-DE"/>
              </w:rPr>
            </w:pPr>
          </w:p>
        </w:tc>
      </w:tr>
      <w:tr w:rsidR="004C26B3" w:rsidRPr="00DD2A86" w:rsidTr="00573B62">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4C26B3" w:rsidRPr="00DD2A86" w:rsidRDefault="004C26B3" w:rsidP="004C26B3">
            <w:pPr>
              <w:suppressAutoHyphens w:val="0"/>
              <w:spacing w:line="200" w:lineRule="exact"/>
              <w:jc w:val="center"/>
              <w:rPr>
                <w:sz w:val="18"/>
                <w:szCs w:val="18"/>
                <w:lang w:val="de-DE"/>
              </w:rPr>
            </w:pPr>
            <w:r w:rsidRPr="00DD2A86">
              <w:rPr>
                <w:sz w:val="18"/>
                <w:szCs w:val="18"/>
                <w:lang w:val="de-DE"/>
              </w:rPr>
              <w:t>3542</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4C26B3" w:rsidRPr="00DD2A86" w:rsidRDefault="004C26B3" w:rsidP="004C26B3">
            <w:pPr>
              <w:spacing w:line="240" w:lineRule="auto"/>
              <w:rPr>
                <w:sz w:val="18"/>
                <w:szCs w:val="18"/>
                <w:lang w:val="de-DE" w:eastAsia="zh-CN"/>
              </w:rPr>
            </w:pPr>
            <w:r w:rsidRPr="00DD2A86">
              <w:rPr>
                <w:color w:val="000000"/>
                <w:sz w:val="18"/>
                <w:szCs w:val="18"/>
                <w:lang w:val="de-DE" w:eastAsia="de-CH"/>
              </w:rPr>
              <w:t>GEGENSTÄNDE, DIE EINEN SELBSTENTZÜNDLICHEN STOFF ENTHALTEN, N.A.G.</w:t>
            </w:r>
          </w:p>
        </w:tc>
        <w:tc>
          <w:tcPr>
            <w:tcW w:w="708"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4.2</w:t>
            </w:r>
          </w:p>
        </w:tc>
        <w:tc>
          <w:tcPr>
            <w:tcW w:w="851"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bCs/>
                <w:sz w:val="18"/>
                <w:szCs w:val="18"/>
                <w:lang w:val="de-DE"/>
              </w:rPr>
              <w:t>S6</w:t>
            </w:r>
          </w:p>
        </w:tc>
        <w:tc>
          <w:tcPr>
            <w:tcW w:w="425"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p>
        </w:tc>
        <w:tc>
          <w:tcPr>
            <w:tcW w:w="776"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uppressAutoHyphens w:val="0"/>
              <w:spacing w:line="220" w:lineRule="exact"/>
              <w:jc w:val="center"/>
              <w:rPr>
                <w:sz w:val="18"/>
                <w:szCs w:val="18"/>
                <w:lang w:val="de-DE"/>
              </w:rPr>
            </w:pPr>
            <w:r w:rsidRPr="00DD2A86">
              <w:rPr>
                <w:bCs/>
                <w:sz w:val="18"/>
                <w:szCs w:val="18"/>
                <w:lang w:val="de-DE"/>
              </w:rPr>
              <w:t>Siehe</w:t>
            </w:r>
          </w:p>
          <w:p w:rsidR="004C26B3" w:rsidRPr="00DD2A86" w:rsidRDefault="004C26B3" w:rsidP="004C26B3">
            <w:pPr>
              <w:spacing w:line="240" w:lineRule="auto"/>
              <w:jc w:val="center"/>
              <w:rPr>
                <w:sz w:val="18"/>
                <w:szCs w:val="18"/>
                <w:lang w:val="de-DE" w:eastAsia="zh-CN"/>
              </w:rPr>
            </w:pPr>
            <w:r w:rsidRPr="00DD2A86">
              <w:rPr>
                <w:sz w:val="18"/>
                <w:szCs w:val="18"/>
                <w:lang w:val="de-DE"/>
              </w:rPr>
              <w:t>5.2.2.1.12</w:t>
            </w:r>
          </w:p>
        </w:tc>
        <w:tc>
          <w:tcPr>
            <w:tcW w:w="826"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uppressAutoHyphens w:val="0"/>
              <w:spacing w:line="220" w:lineRule="exact"/>
              <w:jc w:val="center"/>
              <w:rPr>
                <w:sz w:val="18"/>
                <w:szCs w:val="18"/>
                <w:lang w:val="de-DE" w:eastAsia="zh-CN"/>
              </w:rPr>
            </w:pPr>
            <w:r w:rsidRPr="00DD2A86">
              <w:rPr>
                <w:sz w:val="18"/>
                <w:szCs w:val="18"/>
                <w:lang w:val="de-DE"/>
              </w:rPr>
              <w:t>274</w:t>
            </w:r>
            <w:r w:rsidRPr="00DD2A86">
              <w:rPr>
                <w:sz w:val="18"/>
                <w:szCs w:val="18"/>
                <w:lang w:val="de-DE"/>
              </w:rPr>
              <w:br/>
              <w:t>667</w:t>
            </w:r>
            <w:r w:rsidRPr="00DD2A86">
              <w:rPr>
                <w:sz w:val="18"/>
                <w:szCs w:val="18"/>
                <w:lang w:val="de-DE"/>
              </w:rPr>
              <w:br/>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E0</w:t>
            </w:r>
          </w:p>
        </w:tc>
        <w:tc>
          <w:tcPr>
            <w:tcW w:w="266"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p>
        </w:tc>
        <w:tc>
          <w:tcPr>
            <w:tcW w:w="1158"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sz w:val="18"/>
                <w:szCs w:val="18"/>
                <w:lang w:val="de-DE"/>
              </w:rPr>
            </w:pPr>
            <w:r w:rsidRPr="00DD2A86">
              <w:rPr>
                <w:sz w:val="18"/>
                <w:szCs w:val="18"/>
                <w:lang w:val="de-DE"/>
              </w:rPr>
              <w:t>PP</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b/>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sz w:val="18"/>
                <w:szCs w:val="18"/>
                <w:lang w:val="de-DE"/>
              </w:rPr>
            </w:pPr>
            <w:r w:rsidRPr="00DD2A86">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b/>
                <w:sz w:val="18"/>
                <w:szCs w:val="18"/>
                <w:lang w:val="de-DE"/>
              </w:rPr>
            </w:pPr>
          </w:p>
        </w:tc>
      </w:tr>
      <w:tr w:rsidR="004C26B3" w:rsidRPr="00DD2A86" w:rsidTr="00573B62">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4C26B3" w:rsidRPr="00DD2A86" w:rsidRDefault="004C26B3" w:rsidP="004C26B3">
            <w:pPr>
              <w:suppressAutoHyphens w:val="0"/>
              <w:spacing w:line="200" w:lineRule="exact"/>
              <w:jc w:val="center"/>
              <w:rPr>
                <w:sz w:val="18"/>
                <w:szCs w:val="18"/>
                <w:lang w:val="de-DE"/>
              </w:rPr>
            </w:pPr>
            <w:r w:rsidRPr="00DD2A86">
              <w:rPr>
                <w:sz w:val="18"/>
                <w:szCs w:val="18"/>
                <w:lang w:val="de-DE"/>
              </w:rPr>
              <w:t>3543</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4C26B3" w:rsidRPr="00DD2A86" w:rsidRDefault="004C26B3" w:rsidP="004C26B3">
            <w:pPr>
              <w:spacing w:line="240" w:lineRule="auto"/>
              <w:rPr>
                <w:sz w:val="18"/>
                <w:szCs w:val="18"/>
                <w:lang w:val="de-DE" w:eastAsia="zh-CN"/>
              </w:rPr>
            </w:pPr>
            <w:r w:rsidRPr="00DD2A86">
              <w:rPr>
                <w:caps/>
                <w:color w:val="000000"/>
                <w:sz w:val="18"/>
                <w:szCs w:val="18"/>
                <w:lang w:val="de-DE" w:eastAsia="de-CH"/>
              </w:rPr>
              <w:t>Gegenstände, die einen stoff enthalten, der in berührung mit wasser entzündbare gase entwickelT, n.a.g.</w:t>
            </w:r>
          </w:p>
        </w:tc>
        <w:tc>
          <w:tcPr>
            <w:tcW w:w="708"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4.3</w:t>
            </w:r>
          </w:p>
        </w:tc>
        <w:tc>
          <w:tcPr>
            <w:tcW w:w="851"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bCs/>
                <w:sz w:val="18"/>
                <w:szCs w:val="18"/>
                <w:lang w:val="de-DE"/>
              </w:rPr>
              <w:t>W3</w:t>
            </w:r>
          </w:p>
        </w:tc>
        <w:tc>
          <w:tcPr>
            <w:tcW w:w="425"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p>
        </w:tc>
        <w:tc>
          <w:tcPr>
            <w:tcW w:w="776"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uppressAutoHyphens w:val="0"/>
              <w:spacing w:line="220" w:lineRule="exact"/>
              <w:jc w:val="center"/>
              <w:rPr>
                <w:sz w:val="18"/>
                <w:szCs w:val="18"/>
                <w:lang w:val="de-DE"/>
              </w:rPr>
            </w:pPr>
            <w:r w:rsidRPr="00DD2A86">
              <w:rPr>
                <w:bCs/>
                <w:sz w:val="18"/>
                <w:szCs w:val="18"/>
                <w:lang w:val="de-DE"/>
              </w:rPr>
              <w:t>Siehe</w:t>
            </w:r>
          </w:p>
          <w:p w:rsidR="004C26B3" w:rsidRPr="00DD2A86" w:rsidRDefault="004C26B3" w:rsidP="004C26B3">
            <w:pPr>
              <w:spacing w:line="240" w:lineRule="auto"/>
              <w:jc w:val="center"/>
              <w:rPr>
                <w:sz w:val="18"/>
                <w:szCs w:val="18"/>
                <w:lang w:val="de-DE" w:eastAsia="zh-CN"/>
              </w:rPr>
            </w:pPr>
            <w:r w:rsidRPr="00DD2A86">
              <w:rPr>
                <w:sz w:val="18"/>
                <w:szCs w:val="18"/>
                <w:lang w:val="de-DE"/>
              </w:rPr>
              <w:t>5.2.2.1.12</w:t>
            </w:r>
          </w:p>
        </w:tc>
        <w:tc>
          <w:tcPr>
            <w:tcW w:w="826"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uppressAutoHyphens w:val="0"/>
              <w:spacing w:line="220" w:lineRule="exact"/>
              <w:jc w:val="center"/>
              <w:rPr>
                <w:sz w:val="18"/>
                <w:szCs w:val="18"/>
                <w:lang w:val="de-DE" w:eastAsia="zh-CN"/>
              </w:rPr>
            </w:pPr>
            <w:r w:rsidRPr="00DD2A86">
              <w:rPr>
                <w:sz w:val="18"/>
                <w:szCs w:val="18"/>
                <w:lang w:val="de-DE"/>
              </w:rPr>
              <w:t>274</w:t>
            </w:r>
            <w:r w:rsidRPr="00DD2A86">
              <w:rPr>
                <w:sz w:val="18"/>
                <w:szCs w:val="18"/>
                <w:lang w:val="de-DE"/>
              </w:rPr>
              <w:br/>
              <w:t>667</w:t>
            </w:r>
            <w:r w:rsidRPr="00DD2A86">
              <w:rPr>
                <w:sz w:val="18"/>
                <w:szCs w:val="18"/>
                <w:lang w:val="de-DE"/>
              </w:rPr>
              <w:br/>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E0</w:t>
            </w:r>
          </w:p>
        </w:tc>
        <w:tc>
          <w:tcPr>
            <w:tcW w:w="266"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p>
        </w:tc>
        <w:tc>
          <w:tcPr>
            <w:tcW w:w="1158"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sz w:val="18"/>
                <w:szCs w:val="18"/>
                <w:lang w:val="de-DE"/>
              </w:rPr>
            </w:pPr>
            <w:r w:rsidRPr="00DD2A86">
              <w:rPr>
                <w:sz w:val="18"/>
                <w:szCs w:val="18"/>
                <w:lang w:val="de-DE"/>
              </w:rPr>
              <w:t>PP, EX, A</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sz w:val="18"/>
                <w:szCs w:val="18"/>
                <w:lang w:val="de-DE"/>
              </w:rPr>
            </w:pPr>
            <w:r w:rsidRPr="00DD2A86">
              <w:rPr>
                <w:sz w:val="18"/>
                <w:szCs w:val="18"/>
                <w:lang w:val="de-DE"/>
              </w:rPr>
              <w:t>VE01</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b/>
                <w:sz w:val="18"/>
                <w:szCs w:val="18"/>
                <w:lang w:val="de-DE"/>
              </w:rPr>
            </w:pPr>
            <w:r w:rsidRPr="00DD2A86">
              <w:rPr>
                <w:b/>
                <w:sz w:val="18"/>
                <w:szCs w:val="18"/>
                <w:lang w:val="de-DE"/>
              </w:rPr>
              <w:t>HA08</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sz w:val="18"/>
                <w:szCs w:val="18"/>
                <w:lang w:val="de-DE"/>
              </w:rPr>
            </w:pPr>
            <w:r w:rsidRPr="00DD2A86">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b/>
                <w:sz w:val="18"/>
                <w:szCs w:val="18"/>
                <w:lang w:val="de-DE"/>
              </w:rPr>
            </w:pPr>
          </w:p>
        </w:tc>
      </w:tr>
      <w:tr w:rsidR="004C26B3" w:rsidRPr="00DD2A86" w:rsidTr="00573B62">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4C26B3" w:rsidRPr="00DD2A86" w:rsidRDefault="004C26B3" w:rsidP="004C26B3">
            <w:pPr>
              <w:suppressAutoHyphens w:val="0"/>
              <w:spacing w:line="200" w:lineRule="exact"/>
              <w:jc w:val="center"/>
              <w:rPr>
                <w:sz w:val="18"/>
                <w:szCs w:val="18"/>
                <w:lang w:val="de-DE"/>
              </w:rPr>
            </w:pPr>
            <w:r w:rsidRPr="00DD2A86">
              <w:rPr>
                <w:sz w:val="18"/>
                <w:szCs w:val="18"/>
                <w:lang w:val="de-DE"/>
              </w:rPr>
              <w:t>3544</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4C26B3" w:rsidRPr="00DD2A86" w:rsidRDefault="004C26B3" w:rsidP="004C26B3">
            <w:pPr>
              <w:spacing w:line="240" w:lineRule="auto"/>
              <w:rPr>
                <w:sz w:val="18"/>
                <w:szCs w:val="18"/>
                <w:lang w:val="de-DE" w:eastAsia="zh-CN"/>
              </w:rPr>
            </w:pPr>
            <w:r w:rsidRPr="00DD2A86">
              <w:rPr>
                <w:caps/>
                <w:color w:val="000000"/>
                <w:sz w:val="18"/>
                <w:szCs w:val="18"/>
                <w:lang w:val="de-DE" w:eastAsia="de-CH"/>
              </w:rPr>
              <w:t>gegenstände, die einen entzündend (oxidierend) wirkenden stoff enthalten, n.a.g.</w:t>
            </w:r>
          </w:p>
        </w:tc>
        <w:tc>
          <w:tcPr>
            <w:tcW w:w="708"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5.1</w:t>
            </w:r>
          </w:p>
        </w:tc>
        <w:tc>
          <w:tcPr>
            <w:tcW w:w="851"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bCs/>
                <w:sz w:val="18"/>
                <w:szCs w:val="18"/>
                <w:lang w:val="de-DE"/>
              </w:rPr>
              <w:t>O3</w:t>
            </w:r>
          </w:p>
        </w:tc>
        <w:tc>
          <w:tcPr>
            <w:tcW w:w="425"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p>
        </w:tc>
        <w:tc>
          <w:tcPr>
            <w:tcW w:w="776"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uppressAutoHyphens w:val="0"/>
              <w:spacing w:line="220" w:lineRule="exact"/>
              <w:jc w:val="center"/>
              <w:rPr>
                <w:sz w:val="18"/>
                <w:szCs w:val="18"/>
                <w:lang w:val="de-DE"/>
              </w:rPr>
            </w:pPr>
            <w:r w:rsidRPr="00DD2A86">
              <w:rPr>
                <w:bCs/>
                <w:sz w:val="18"/>
                <w:szCs w:val="18"/>
                <w:lang w:val="de-DE"/>
              </w:rPr>
              <w:t>Siehe</w:t>
            </w:r>
          </w:p>
          <w:p w:rsidR="004C26B3" w:rsidRPr="00DD2A86" w:rsidRDefault="004C26B3" w:rsidP="004C26B3">
            <w:pPr>
              <w:spacing w:line="240" w:lineRule="auto"/>
              <w:jc w:val="center"/>
              <w:rPr>
                <w:sz w:val="18"/>
                <w:szCs w:val="18"/>
                <w:lang w:val="de-DE" w:eastAsia="zh-CN"/>
              </w:rPr>
            </w:pPr>
            <w:r w:rsidRPr="00DD2A86">
              <w:rPr>
                <w:sz w:val="18"/>
                <w:szCs w:val="18"/>
                <w:lang w:val="de-DE"/>
              </w:rPr>
              <w:t>5.2.2.1.12</w:t>
            </w:r>
          </w:p>
        </w:tc>
        <w:tc>
          <w:tcPr>
            <w:tcW w:w="826"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uppressAutoHyphens w:val="0"/>
              <w:spacing w:line="220" w:lineRule="exact"/>
              <w:jc w:val="center"/>
              <w:rPr>
                <w:sz w:val="18"/>
                <w:szCs w:val="18"/>
                <w:lang w:val="de-DE" w:eastAsia="zh-CN"/>
              </w:rPr>
            </w:pPr>
            <w:r w:rsidRPr="00DD2A86">
              <w:rPr>
                <w:sz w:val="18"/>
                <w:szCs w:val="18"/>
                <w:lang w:val="de-DE"/>
              </w:rPr>
              <w:t>274</w:t>
            </w:r>
            <w:r w:rsidRPr="00DD2A86">
              <w:rPr>
                <w:sz w:val="18"/>
                <w:szCs w:val="18"/>
                <w:lang w:val="de-DE"/>
              </w:rPr>
              <w:br/>
              <w:t>667</w:t>
            </w:r>
            <w:r w:rsidRPr="00DD2A86">
              <w:rPr>
                <w:sz w:val="18"/>
                <w:szCs w:val="18"/>
                <w:lang w:val="de-DE"/>
              </w:rPr>
              <w:br/>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E0</w:t>
            </w:r>
          </w:p>
        </w:tc>
        <w:tc>
          <w:tcPr>
            <w:tcW w:w="266"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p>
        </w:tc>
        <w:tc>
          <w:tcPr>
            <w:tcW w:w="1158"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sz w:val="18"/>
                <w:szCs w:val="18"/>
                <w:lang w:val="de-DE"/>
              </w:rPr>
            </w:pPr>
            <w:r w:rsidRPr="00DD2A86">
              <w:rPr>
                <w:sz w:val="18"/>
                <w:szCs w:val="18"/>
                <w:lang w:val="de-DE"/>
              </w:rPr>
              <w:t>PP</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b/>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sz w:val="18"/>
                <w:szCs w:val="18"/>
                <w:lang w:val="de-DE"/>
              </w:rPr>
            </w:pPr>
            <w:r w:rsidRPr="00DD2A86">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b/>
                <w:sz w:val="18"/>
                <w:szCs w:val="18"/>
                <w:lang w:val="de-DE"/>
              </w:rPr>
            </w:pPr>
          </w:p>
        </w:tc>
      </w:tr>
      <w:tr w:rsidR="004C26B3" w:rsidRPr="00DD2A86" w:rsidTr="00573B62">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4C26B3" w:rsidRPr="00DD2A86" w:rsidRDefault="004C26B3" w:rsidP="004C26B3">
            <w:pPr>
              <w:suppressAutoHyphens w:val="0"/>
              <w:spacing w:line="200" w:lineRule="exact"/>
              <w:jc w:val="center"/>
              <w:rPr>
                <w:sz w:val="18"/>
                <w:szCs w:val="18"/>
                <w:lang w:val="de-DE"/>
              </w:rPr>
            </w:pPr>
            <w:r w:rsidRPr="00DD2A86">
              <w:rPr>
                <w:sz w:val="18"/>
                <w:szCs w:val="18"/>
                <w:lang w:val="de-DE"/>
              </w:rPr>
              <w:t>3545</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4C26B3" w:rsidRPr="00DD2A86" w:rsidRDefault="004C26B3" w:rsidP="004C26B3">
            <w:pPr>
              <w:spacing w:line="240" w:lineRule="auto"/>
              <w:rPr>
                <w:sz w:val="18"/>
                <w:szCs w:val="18"/>
                <w:lang w:val="de-DE" w:eastAsia="zh-CN"/>
              </w:rPr>
            </w:pPr>
            <w:r w:rsidRPr="00DD2A86">
              <w:rPr>
                <w:caps/>
                <w:color w:val="000000"/>
                <w:sz w:val="18"/>
                <w:szCs w:val="18"/>
                <w:lang w:val="de-DE" w:eastAsia="de-CH"/>
              </w:rPr>
              <w:t>gegenstände, die organisches peroxid enthalten, n.a.g.</w:t>
            </w:r>
          </w:p>
        </w:tc>
        <w:tc>
          <w:tcPr>
            <w:tcW w:w="708"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5.2</w:t>
            </w:r>
          </w:p>
        </w:tc>
        <w:tc>
          <w:tcPr>
            <w:tcW w:w="851"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bCs/>
                <w:sz w:val="18"/>
                <w:szCs w:val="18"/>
                <w:lang w:val="de-DE"/>
              </w:rPr>
              <w:t>P1 oder P2</w:t>
            </w:r>
          </w:p>
        </w:tc>
        <w:tc>
          <w:tcPr>
            <w:tcW w:w="425"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p>
        </w:tc>
        <w:tc>
          <w:tcPr>
            <w:tcW w:w="776"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uppressAutoHyphens w:val="0"/>
              <w:spacing w:line="220" w:lineRule="exact"/>
              <w:jc w:val="center"/>
              <w:rPr>
                <w:sz w:val="18"/>
                <w:szCs w:val="18"/>
                <w:lang w:val="de-DE"/>
              </w:rPr>
            </w:pPr>
            <w:r w:rsidRPr="00DD2A86">
              <w:rPr>
                <w:bCs/>
                <w:sz w:val="18"/>
                <w:szCs w:val="18"/>
                <w:lang w:val="de-DE"/>
              </w:rPr>
              <w:t>Siehe</w:t>
            </w:r>
          </w:p>
          <w:p w:rsidR="004C26B3" w:rsidRPr="00DD2A86" w:rsidRDefault="004C26B3" w:rsidP="004C26B3">
            <w:pPr>
              <w:spacing w:line="240" w:lineRule="auto"/>
              <w:jc w:val="center"/>
              <w:rPr>
                <w:sz w:val="18"/>
                <w:szCs w:val="18"/>
                <w:lang w:val="de-DE" w:eastAsia="zh-CN"/>
              </w:rPr>
            </w:pPr>
            <w:r w:rsidRPr="00DD2A86">
              <w:rPr>
                <w:sz w:val="18"/>
                <w:szCs w:val="18"/>
                <w:lang w:val="de-DE"/>
              </w:rPr>
              <w:t>5.2.2.1.12</w:t>
            </w:r>
          </w:p>
        </w:tc>
        <w:tc>
          <w:tcPr>
            <w:tcW w:w="826"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uppressAutoHyphens w:val="0"/>
              <w:spacing w:line="220" w:lineRule="exact"/>
              <w:jc w:val="center"/>
              <w:rPr>
                <w:sz w:val="18"/>
                <w:szCs w:val="18"/>
                <w:lang w:val="de-DE" w:eastAsia="zh-CN"/>
              </w:rPr>
            </w:pPr>
            <w:r w:rsidRPr="00DD2A86">
              <w:rPr>
                <w:sz w:val="18"/>
                <w:szCs w:val="18"/>
                <w:lang w:val="de-DE"/>
              </w:rPr>
              <w:t>274</w:t>
            </w:r>
            <w:r w:rsidRPr="00DD2A86">
              <w:rPr>
                <w:sz w:val="18"/>
                <w:szCs w:val="18"/>
                <w:lang w:val="de-DE"/>
              </w:rPr>
              <w:br/>
              <w:t>667</w:t>
            </w:r>
            <w:r w:rsidRPr="00DD2A86">
              <w:rPr>
                <w:sz w:val="18"/>
                <w:szCs w:val="18"/>
                <w:lang w:val="de-DE"/>
              </w:rPr>
              <w:br/>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E0</w:t>
            </w:r>
          </w:p>
        </w:tc>
        <w:tc>
          <w:tcPr>
            <w:tcW w:w="266"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p>
        </w:tc>
        <w:tc>
          <w:tcPr>
            <w:tcW w:w="1158"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sz w:val="18"/>
                <w:szCs w:val="18"/>
                <w:lang w:val="de-DE"/>
              </w:rPr>
            </w:pPr>
            <w:r w:rsidRPr="00DD2A86">
              <w:rPr>
                <w:sz w:val="18"/>
                <w:szCs w:val="18"/>
                <w:lang w:val="de-DE"/>
              </w:rPr>
              <w:t>PP, EX, A</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sz w:val="18"/>
                <w:szCs w:val="18"/>
                <w:lang w:val="de-DE"/>
              </w:rPr>
            </w:pPr>
            <w:r w:rsidRPr="00DD2A86">
              <w:rPr>
                <w:sz w:val="18"/>
                <w:szCs w:val="18"/>
                <w:lang w:val="de-DE"/>
              </w:rPr>
              <w:t>VE01</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b/>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sz w:val="18"/>
                <w:szCs w:val="18"/>
                <w:lang w:val="de-DE"/>
              </w:rPr>
            </w:pPr>
            <w:r w:rsidRPr="00DD2A86">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b/>
                <w:sz w:val="18"/>
                <w:szCs w:val="18"/>
                <w:lang w:val="de-DE"/>
              </w:rPr>
            </w:pPr>
          </w:p>
        </w:tc>
      </w:tr>
      <w:tr w:rsidR="004C26B3" w:rsidRPr="00DD2A86" w:rsidTr="00573B62">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4C26B3" w:rsidRPr="00DD2A86" w:rsidRDefault="004C26B3" w:rsidP="004C26B3">
            <w:pPr>
              <w:suppressAutoHyphens w:val="0"/>
              <w:spacing w:line="200" w:lineRule="exact"/>
              <w:jc w:val="center"/>
              <w:rPr>
                <w:sz w:val="18"/>
                <w:szCs w:val="18"/>
                <w:lang w:val="de-DE"/>
              </w:rPr>
            </w:pPr>
            <w:r w:rsidRPr="00DD2A86">
              <w:rPr>
                <w:sz w:val="18"/>
                <w:szCs w:val="18"/>
                <w:lang w:val="de-DE"/>
              </w:rPr>
              <w:t>3546</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4C26B3" w:rsidRPr="00DD2A86" w:rsidRDefault="004C26B3" w:rsidP="004C26B3">
            <w:pPr>
              <w:tabs>
                <w:tab w:val="left" w:pos="1418"/>
                <w:tab w:val="left" w:pos="1701"/>
                <w:tab w:val="left" w:pos="1985"/>
                <w:tab w:val="left" w:pos="2268"/>
              </w:tabs>
              <w:rPr>
                <w:caps/>
                <w:sz w:val="18"/>
                <w:szCs w:val="18"/>
                <w:lang w:val="de-DE" w:eastAsia="de-CH"/>
              </w:rPr>
            </w:pPr>
            <w:r w:rsidRPr="00DD2A86">
              <w:rPr>
                <w:caps/>
                <w:sz w:val="18"/>
                <w:szCs w:val="18"/>
                <w:lang w:val="de-DE" w:eastAsia="de-CH"/>
              </w:rPr>
              <w:t>gegenstände, die einen giftigen stoff enthalten, n.a.g.</w:t>
            </w:r>
          </w:p>
        </w:tc>
        <w:tc>
          <w:tcPr>
            <w:tcW w:w="708"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6.1</w:t>
            </w:r>
          </w:p>
        </w:tc>
        <w:tc>
          <w:tcPr>
            <w:tcW w:w="851"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bCs/>
                <w:sz w:val="18"/>
                <w:szCs w:val="18"/>
                <w:lang w:val="de-DE"/>
              </w:rPr>
              <w:t>T10</w:t>
            </w:r>
          </w:p>
        </w:tc>
        <w:tc>
          <w:tcPr>
            <w:tcW w:w="425"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p>
        </w:tc>
        <w:tc>
          <w:tcPr>
            <w:tcW w:w="776" w:type="dxa"/>
            <w:tcBorders>
              <w:top w:val="single" w:sz="4" w:space="0" w:color="auto"/>
              <w:left w:val="single" w:sz="4" w:space="0" w:color="auto"/>
              <w:bottom w:val="single" w:sz="4" w:space="0" w:color="auto"/>
              <w:right w:val="single" w:sz="4" w:space="0" w:color="auto"/>
            </w:tcBorders>
          </w:tcPr>
          <w:p w:rsidR="004C26B3" w:rsidRPr="00DD2A86" w:rsidRDefault="002079D0" w:rsidP="004C26B3">
            <w:pPr>
              <w:suppressAutoHyphens w:val="0"/>
              <w:spacing w:line="220" w:lineRule="exact"/>
              <w:jc w:val="center"/>
              <w:rPr>
                <w:sz w:val="18"/>
                <w:szCs w:val="18"/>
                <w:lang w:val="de-DE"/>
              </w:rPr>
            </w:pPr>
            <w:r w:rsidRPr="00DD2A86">
              <w:rPr>
                <w:bCs/>
                <w:sz w:val="18"/>
                <w:szCs w:val="18"/>
                <w:lang w:val="de-DE"/>
              </w:rPr>
              <w:t>Siehe</w:t>
            </w:r>
          </w:p>
          <w:p w:rsidR="004C26B3" w:rsidRPr="00DD2A86" w:rsidRDefault="004C26B3" w:rsidP="004C26B3">
            <w:pPr>
              <w:spacing w:line="240" w:lineRule="auto"/>
              <w:jc w:val="center"/>
              <w:rPr>
                <w:sz w:val="18"/>
                <w:szCs w:val="18"/>
                <w:lang w:val="de-DE" w:eastAsia="zh-CN"/>
              </w:rPr>
            </w:pPr>
            <w:r w:rsidRPr="00DD2A86">
              <w:rPr>
                <w:sz w:val="18"/>
                <w:szCs w:val="18"/>
                <w:lang w:val="de-DE"/>
              </w:rPr>
              <w:t>5.2.2.1.12</w:t>
            </w:r>
          </w:p>
        </w:tc>
        <w:tc>
          <w:tcPr>
            <w:tcW w:w="826"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uppressAutoHyphens w:val="0"/>
              <w:spacing w:line="220" w:lineRule="exact"/>
              <w:jc w:val="center"/>
              <w:rPr>
                <w:sz w:val="18"/>
                <w:szCs w:val="18"/>
                <w:lang w:val="de-DE" w:eastAsia="zh-CN"/>
              </w:rPr>
            </w:pPr>
            <w:r w:rsidRPr="00DD2A86">
              <w:rPr>
                <w:sz w:val="18"/>
                <w:szCs w:val="18"/>
                <w:lang w:val="de-DE"/>
              </w:rPr>
              <w:t>274</w:t>
            </w:r>
            <w:r w:rsidRPr="00DD2A86">
              <w:rPr>
                <w:sz w:val="18"/>
                <w:szCs w:val="18"/>
                <w:lang w:val="de-DE"/>
              </w:rPr>
              <w:br/>
              <w:t>667</w:t>
            </w:r>
            <w:r w:rsidRPr="00DD2A86">
              <w:rPr>
                <w:sz w:val="18"/>
                <w:szCs w:val="18"/>
                <w:lang w:val="de-DE"/>
              </w:rPr>
              <w:br/>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E0</w:t>
            </w:r>
          </w:p>
        </w:tc>
        <w:tc>
          <w:tcPr>
            <w:tcW w:w="266"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p>
        </w:tc>
        <w:tc>
          <w:tcPr>
            <w:tcW w:w="1158"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sz w:val="18"/>
                <w:szCs w:val="18"/>
                <w:lang w:val="de-DE"/>
              </w:rPr>
            </w:pPr>
            <w:r w:rsidRPr="00DD2A86">
              <w:rPr>
                <w:sz w:val="18"/>
                <w:szCs w:val="18"/>
                <w:lang w:val="de-DE"/>
              </w:rPr>
              <w:t>PP, EP, TOX, A</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sz w:val="18"/>
                <w:szCs w:val="18"/>
                <w:lang w:val="de-DE"/>
              </w:rPr>
            </w:pPr>
            <w:r w:rsidRPr="00DD2A86">
              <w:rPr>
                <w:sz w:val="18"/>
                <w:szCs w:val="18"/>
                <w:lang w:val="de-DE"/>
              </w:rPr>
              <w:t>VE02</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b/>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sz w:val="18"/>
                <w:szCs w:val="18"/>
                <w:lang w:val="de-DE"/>
              </w:rPr>
            </w:pPr>
            <w:r w:rsidRPr="00DD2A86">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b/>
                <w:sz w:val="18"/>
                <w:szCs w:val="18"/>
                <w:lang w:val="de-DE"/>
              </w:rPr>
            </w:pPr>
          </w:p>
        </w:tc>
      </w:tr>
      <w:tr w:rsidR="004C26B3" w:rsidRPr="00DD2A86" w:rsidTr="00573B62">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4C26B3" w:rsidRPr="00DD2A86" w:rsidRDefault="004C26B3" w:rsidP="004C26B3">
            <w:pPr>
              <w:suppressAutoHyphens w:val="0"/>
              <w:spacing w:line="200" w:lineRule="exact"/>
              <w:jc w:val="center"/>
              <w:rPr>
                <w:sz w:val="18"/>
                <w:szCs w:val="18"/>
                <w:lang w:val="de-DE"/>
              </w:rPr>
            </w:pPr>
            <w:r w:rsidRPr="00DD2A86">
              <w:rPr>
                <w:sz w:val="18"/>
                <w:szCs w:val="18"/>
                <w:lang w:val="de-DE"/>
              </w:rPr>
              <w:t>3547</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4C26B3" w:rsidRPr="00DD2A86" w:rsidRDefault="004C26B3" w:rsidP="004C26B3">
            <w:pPr>
              <w:tabs>
                <w:tab w:val="left" w:pos="1418"/>
                <w:tab w:val="left" w:pos="1701"/>
                <w:tab w:val="left" w:pos="1985"/>
                <w:tab w:val="left" w:pos="2268"/>
              </w:tabs>
              <w:rPr>
                <w:caps/>
                <w:sz w:val="18"/>
                <w:szCs w:val="18"/>
                <w:lang w:val="de-DE" w:eastAsia="de-CH"/>
              </w:rPr>
            </w:pPr>
            <w:r w:rsidRPr="00DD2A86">
              <w:rPr>
                <w:caps/>
                <w:sz w:val="18"/>
                <w:szCs w:val="18"/>
                <w:lang w:val="de-DE" w:eastAsia="de-CH"/>
              </w:rPr>
              <w:t>gegenstände, die einen ätzenden stoff enthalten, n.a.g.</w:t>
            </w:r>
          </w:p>
        </w:tc>
        <w:tc>
          <w:tcPr>
            <w:tcW w:w="708"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8</w:t>
            </w:r>
          </w:p>
        </w:tc>
        <w:tc>
          <w:tcPr>
            <w:tcW w:w="851"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bCs/>
                <w:sz w:val="18"/>
                <w:szCs w:val="18"/>
                <w:lang w:val="de-DE"/>
              </w:rPr>
              <w:t>C11</w:t>
            </w:r>
          </w:p>
        </w:tc>
        <w:tc>
          <w:tcPr>
            <w:tcW w:w="425"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p>
        </w:tc>
        <w:tc>
          <w:tcPr>
            <w:tcW w:w="776" w:type="dxa"/>
            <w:tcBorders>
              <w:top w:val="single" w:sz="4" w:space="0" w:color="auto"/>
              <w:left w:val="single" w:sz="4" w:space="0" w:color="auto"/>
              <w:bottom w:val="single" w:sz="4" w:space="0" w:color="auto"/>
              <w:right w:val="single" w:sz="4" w:space="0" w:color="auto"/>
            </w:tcBorders>
          </w:tcPr>
          <w:p w:rsidR="004C26B3" w:rsidRPr="00DD2A86" w:rsidRDefault="002079D0" w:rsidP="004C26B3">
            <w:pPr>
              <w:suppressAutoHyphens w:val="0"/>
              <w:spacing w:line="220" w:lineRule="exact"/>
              <w:jc w:val="center"/>
              <w:rPr>
                <w:sz w:val="18"/>
                <w:szCs w:val="18"/>
                <w:lang w:val="de-DE"/>
              </w:rPr>
            </w:pPr>
            <w:r w:rsidRPr="00DD2A86">
              <w:rPr>
                <w:bCs/>
                <w:sz w:val="18"/>
                <w:szCs w:val="18"/>
                <w:lang w:val="de-DE"/>
              </w:rPr>
              <w:t>Siehe</w:t>
            </w:r>
          </w:p>
          <w:p w:rsidR="004C26B3" w:rsidRPr="00DD2A86" w:rsidRDefault="004C26B3" w:rsidP="004C26B3">
            <w:pPr>
              <w:spacing w:line="240" w:lineRule="auto"/>
              <w:jc w:val="center"/>
              <w:rPr>
                <w:sz w:val="18"/>
                <w:szCs w:val="18"/>
                <w:lang w:val="de-DE" w:eastAsia="zh-CN"/>
              </w:rPr>
            </w:pPr>
            <w:r w:rsidRPr="00DD2A86">
              <w:rPr>
                <w:sz w:val="18"/>
                <w:szCs w:val="18"/>
                <w:lang w:val="de-DE"/>
              </w:rPr>
              <w:t>5.2.2.1.12</w:t>
            </w:r>
          </w:p>
        </w:tc>
        <w:tc>
          <w:tcPr>
            <w:tcW w:w="826"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uppressAutoHyphens w:val="0"/>
              <w:spacing w:line="220" w:lineRule="exact"/>
              <w:jc w:val="center"/>
              <w:rPr>
                <w:sz w:val="18"/>
                <w:szCs w:val="18"/>
                <w:lang w:val="de-DE" w:eastAsia="zh-CN"/>
              </w:rPr>
            </w:pPr>
            <w:r w:rsidRPr="00DD2A86">
              <w:rPr>
                <w:sz w:val="18"/>
                <w:szCs w:val="18"/>
                <w:lang w:val="de-DE"/>
              </w:rPr>
              <w:t>274</w:t>
            </w:r>
            <w:r w:rsidRPr="00DD2A86">
              <w:rPr>
                <w:sz w:val="18"/>
                <w:szCs w:val="18"/>
                <w:lang w:val="de-DE"/>
              </w:rPr>
              <w:br/>
              <w:t>667</w:t>
            </w:r>
            <w:r w:rsidRPr="00DD2A86">
              <w:rPr>
                <w:sz w:val="18"/>
                <w:szCs w:val="18"/>
                <w:lang w:val="de-DE"/>
              </w:rPr>
              <w:br/>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E0</w:t>
            </w:r>
          </w:p>
        </w:tc>
        <w:tc>
          <w:tcPr>
            <w:tcW w:w="266"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p>
        </w:tc>
        <w:tc>
          <w:tcPr>
            <w:tcW w:w="1158"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sz w:val="18"/>
                <w:szCs w:val="18"/>
                <w:lang w:val="de-DE"/>
              </w:rPr>
            </w:pPr>
            <w:r w:rsidRPr="00DD2A86">
              <w:rPr>
                <w:sz w:val="18"/>
                <w:szCs w:val="18"/>
                <w:lang w:val="de-DE"/>
              </w:rPr>
              <w:t>PP, EP</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b/>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sz w:val="18"/>
                <w:szCs w:val="18"/>
                <w:lang w:val="de-DE"/>
              </w:rPr>
            </w:pPr>
            <w:r w:rsidRPr="00DD2A86">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b/>
                <w:sz w:val="18"/>
                <w:szCs w:val="18"/>
                <w:lang w:val="de-DE"/>
              </w:rPr>
            </w:pPr>
          </w:p>
        </w:tc>
      </w:tr>
      <w:tr w:rsidR="004C26B3" w:rsidRPr="00DD2A86" w:rsidTr="00573B62">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4C26B3" w:rsidRPr="00DD2A86" w:rsidRDefault="004C26B3" w:rsidP="004C26B3">
            <w:pPr>
              <w:suppressAutoHyphens w:val="0"/>
              <w:spacing w:line="200" w:lineRule="exact"/>
              <w:jc w:val="center"/>
              <w:rPr>
                <w:sz w:val="18"/>
                <w:szCs w:val="18"/>
                <w:lang w:val="de-DE"/>
              </w:rPr>
            </w:pPr>
            <w:r w:rsidRPr="00DD2A86">
              <w:rPr>
                <w:sz w:val="18"/>
                <w:szCs w:val="18"/>
                <w:lang w:val="de-DE"/>
              </w:rPr>
              <w:t>3548</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4C26B3" w:rsidRPr="00DD2A86" w:rsidRDefault="004C26B3" w:rsidP="004C26B3">
            <w:pPr>
              <w:spacing w:line="240" w:lineRule="auto"/>
              <w:rPr>
                <w:sz w:val="18"/>
                <w:szCs w:val="18"/>
                <w:lang w:val="de-DE" w:eastAsia="zh-CN"/>
              </w:rPr>
            </w:pPr>
            <w:r w:rsidRPr="00DD2A86">
              <w:rPr>
                <w:caps/>
                <w:color w:val="000000"/>
                <w:sz w:val="18"/>
                <w:szCs w:val="18"/>
                <w:lang w:val="de-DE" w:eastAsia="de-CH"/>
              </w:rPr>
              <w:t>gegenstände, die verschiedene gefährliche güter enthalten, n.a.g.</w:t>
            </w:r>
          </w:p>
        </w:tc>
        <w:tc>
          <w:tcPr>
            <w:tcW w:w="708"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9</w:t>
            </w:r>
          </w:p>
        </w:tc>
        <w:tc>
          <w:tcPr>
            <w:tcW w:w="851"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bCs/>
                <w:sz w:val="18"/>
                <w:szCs w:val="18"/>
                <w:lang w:val="de-DE"/>
              </w:rPr>
              <w:t>M11</w:t>
            </w:r>
          </w:p>
        </w:tc>
        <w:tc>
          <w:tcPr>
            <w:tcW w:w="425"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p>
        </w:tc>
        <w:tc>
          <w:tcPr>
            <w:tcW w:w="776" w:type="dxa"/>
            <w:tcBorders>
              <w:top w:val="single" w:sz="4" w:space="0" w:color="auto"/>
              <w:left w:val="single" w:sz="4" w:space="0" w:color="auto"/>
              <w:bottom w:val="single" w:sz="4" w:space="0" w:color="auto"/>
              <w:right w:val="single" w:sz="4" w:space="0" w:color="auto"/>
            </w:tcBorders>
          </w:tcPr>
          <w:p w:rsidR="004C26B3" w:rsidRPr="00DD2A86" w:rsidRDefault="002079D0" w:rsidP="004C26B3">
            <w:pPr>
              <w:suppressAutoHyphens w:val="0"/>
              <w:spacing w:line="220" w:lineRule="exact"/>
              <w:jc w:val="center"/>
              <w:rPr>
                <w:sz w:val="18"/>
                <w:szCs w:val="18"/>
                <w:lang w:val="de-DE"/>
              </w:rPr>
            </w:pPr>
            <w:r w:rsidRPr="00DD2A86">
              <w:rPr>
                <w:bCs/>
                <w:sz w:val="18"/>
                <w:szCs w:val="18"/>
                <w:lang w:val="de-DE"/>
              </w:rPr>
              <w:t>Siehe</w:t>
            </w:r>
          </w:p>
          <w:p w:rsidR="004C26B3" w:rsidRPr="00DD2A86" w:rsidRDefault="004C26B3" w:rsidP="004C26B3">
            <w:pPr>
              <w:spacing w:line="240" w:lineRule="auto"/>
              <w:jc w:val="center"/>
              <w:rPr>
                <w:sz w:val="18"/>
                <w:szCs w:val="18"/>
                <w:lang w:val="de-DE" w:eastAsia="zh-CN"/>
              </w:rPr>
            </w:pPr>
            <w:r w:rsidRPr="00DD2A86">
              <w:rPr>
                <w:sz w:val="18"/>
                <w:szCs w:val="18"/>
                <w:lang w:val="de-DE"/>
              </w:rPr>
              <w:t>5.2.2.1.12</w:t>
            </w:r>
          </w:p>
        </w:tc>
        <w:tc>
          <w:tcPr>
            <w:tcW w:w="826"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uppressAutoHyphens w:val="0"/>
              <w:spacing w:line="220" w:lineRule="exact"/>
              <w:jc w:val="center"/>
              <w:rPr>
                <w:sz w:val="18"/>
                <w:szCs w:val="18"/>
                <w:lang w:val="de-DE" w:eastAsia="zh-CN"/>
              </w:rPr>
            </w:pPr>
            <w:r w:rsidRPr="00DD2A86">
              <w:rPr>
                <w:sz w:val="18"/>
                <w:szCs w:val="18"/>
                <w:lang w:val="de-DE"/>
              </w:rPr>
              <w:t>274</w:t>
            </w:r>
            <w:r w:rsidRPr="00DD2A86">
              <w:rPr>
                <w:sz w:val="18"/>
                <w:szCs w:val="18"/>
                <w:lang w:val="de-DE"/>
              </w:rPr>
              <w:br/>
              <w:t>667</w:t>
            </w:r>
            <w:r w:rsidRPr="00DD2A86">
              <w:rPr>
                <w:sz w:val="18"/>
                <w:szCs w:val="18"/>
                <w:lang w:val="de-DE"/>
              </w:rPr>
              <w:br/>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r w:rsidRPr="00DD2A86">
              <w:rPr>
                <w:sz w:val="18"/>
                <w:szCs w:val="18"/>
                <w:lang w:val="de-DE"/>
              </w:rPr>
              <w:t>E0</w:t>
            </w:r>
          </w:p>
        </w:tc>
        <w:tc>
          <w:tcPr>
            <w:tcW w:w="266"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40" w:lineRule="auto"/>
              <w:jc w:val="center"/>
              <w:rPr>
                <w:sz w:val="18"/>
                <w:szCs w:val="18"/>
                <w:lang w:val="de-DE" w:eastAsia="zh-CN"/>
              </w:rPr>
            </w:pPr>
          </w:p>
        </w:tc>
        <w:tc>
          <w:tcPr>
            <w:tcW w:w="1158" w:type="dxa"/>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sz w:val="18"/>
                <w:szCs w:val="18"/>
                <w:lang w:val="de-DE"/>
              </w:rPr>
            </w:pPr>
            <w:r w:rsidRPr="00DD2A86">
              <w:rPr>
                <w:sz w:val="18"/>
                <w:szCs w:val="18"/>
                <w:lang w:val="de-DE"/>
              </w:rPr>
              <w:t>PP</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b/>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sz w:val="18"/>
                <w:szCs w:val="18"/>
                <w:lang w:val="de-DE"/>
              </w:rPr>
            </w:pPr>
            <w:r w:rsidRPr="00DD2A86">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4C26B3" w:rsidRPr="00DD2A86" w:rsidRDefault="004C26B3" w:rsidP="004C26B3">
            <w:pPr>
              <w:spacing w:line="200" w:lineRule="exact"/>
              <w:jc w:val="center"/>
              <w:rPr>
                <w:b/>
                <w:sz w:val="18"/>
                <w:szCs w:val="18"/>
                <w:lang w:val="de-DE"/>
              </w:rPr>
            </w:pPr>
          </w:p>
        </w:tc>
      </w:tr>
    </w:tbl>
    <w:p w:rsidR="004C26B3" w:rsidRPr="00DD2A86" w:rsidRDefault="004C26B3" w:rsidP="004C26B3">
      <w:pPr>
        <w:spacing w:after="120"/>
        <w:ind w:left="1134" w:right="1134"/>
        <w:jc w:val="both"/>
        <w:rPr>
          <w:i/>
          <w:lang w:val="de-DE"/>
        </w:rPr>
      </w:pPr>
    </w:p>
    <w:p w:rsidR="004C26B3" w:rsidRPr="00DD2A86" w:rsidRDefault="004C26B3" w:rsidP="004C26B3">
      <w:pPr>
        <w:spacing w:after="120"/>
        <w:ind w:left="1134" w:right="1134"/>
        <w:jc w:val="both"/>
        <w:rPr>
          <w:i/>
          <w:lang w:val="de-DE"/>
        </w:rPr>
      </w:pPr>
    </w:p>
    <w:p w:rsidR="004C26B3" w:rsidRPr="00DD2A86" w:rsidRDefault="004C26B3" w:rsidP="004C26B3">
      <w:pPr>
        <w:keepNext/>
        <w:keepLines/>
        <w:tabs>
          <w:tab w:val="right" w:pos="851"/>
        </w:tabs>
        <w:spacing w:before="360" w:after="240" w:line="270" w:lineRule="exact"/>
        <w:ind w:left="1134" w:right="1134" w:hanging="1134"/>
        <w:rPr>
          <w:b/>
          <w:sz w:val="24"/>
          <w:lang w:val="de-DE"/>
        </w:rPr>
        <w:sectPr w:rsidR="004C26B3" w:rsidRPr="00DD2A86" w:rsidSect="00573B62">
          <w:endnotePr>
            <w:numFmt w:val="decimal"/>
          </w:endnotePr>
          <w:pgSz w:w="16840" w:h="11907" w:orient="landscape" w:code="9"/>
          <w:pgMar w:top="1134" w:right="1701" w:bottom="1134" w:left="2268" w:header="567" w:footer="567" w:gutter="0"/>
          <w:cols w:space="720"/>
          <w:docGrid w:linePitch="272"/>
        </w:sectPr>
      </w:pPr>
    </w:p>
    <w:p w:rsidR="004C26B3" w:rsidRPr="00DD2A86" w:rsidRDefault="004C26B3" w:rsidP="004C26B3">
      <w:pPr>
        <w:keepNext/>
        <w:keepLines/>
        <w:tabs>
          <w:tab w:val="right" w:pos="851"/>
        </w:tabs>
        <w:spacing w:before="360" w:after="240" w:line="270" w:lineRule="exact"/>
        <w:ind w:left="1134" w:right="1134" w:hanging="1134"/>
        <w:rPr>
          <w:b/>
          <w:sz w:val="24"/>
          <w:lang w:val="de-DE"/>
        </w:rPr>
      </w:pPr>
      <w:r w:rsidRPr="00DD2A86">
        <w:rPr>
          <w:b/>
          <w:sz w:val="24"/>
          <w:lang w:val="de-DE"/>
        </w:rPr>
        <w:tab/>
      </w:r>
      <w:r w:rsidRPr="00DD2A86">
        <w:rPr>
          <w:b/>
          <w:sz w:val="24"/>
          <w:lang w:val="de-DE"/>
        </w:rPr>
        <w:tab/>
        <w:t>3.2.2, Tabelle B</w:t>
      </w:r>
    </w:p>
    <w:p w:rsidR="004C26B3" w:rsidRPr="00DD2A86" w:rsidRDefault="004C26B3" w:rsidP="000B365A">
      <w:pPr>
        <w:spacing w:before="120" w:after="120"/>
        <w:ind w:left="1134" w:right="1133" w:hanging="2"/>
        <w:rPr>
          <w:i/>
          <w:lang w:val="de-DE"/>
        </w:rPr>
      </w:pPr>
      <w:r w:rsidRPr="00DD2A86">
        <w:rPr>
          <w:szCs w:val="22"/>
          <w:lang w:val="fr-CH"/>
        </w:rPr>
        <w:t>Folgende Änderungen vornehmen:</w:t>
      </w:r>
    </w:p>
    <w:tbl>
      <w:tblPr>
        <w:tblW w:w="7655"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992"/>
        <w:gridCol w:w="2977"/>
      </w:tblGrid>
      <w:tr w:rsidR="004C26B3" w:rsidRPr="00DD2A86" w:rsidTr="00573B62">
        <w:trPr>
          <w:cantSplit/>
          <w:tblHeader/>
        </w:trPr>
        <w:tc>
          <w:tcPr>
            <w:tcW w:w="3686" w:type="dxa"/>
          </w:tcPr>
          <w:p w:rsidR="004C26B3" w:rsidRPr="00DD2A86" w:rsidRDefault="004C26B3" w:rsidP="004C26B3">
            <w:pPr>
              <w:widowControl w:val="0"/>
              <w:tabs>
                <w:tab w:val="left" w:pos="1985"/>
              </w:tabs>
              <w:suppressAutoHyphens w:val="0"/>
              <w:spacing w:line="240" w:lineRule="auto"/>
              <w:rPr>
                <w:b/>
                <w:color w:val="000000"/>
                <w:sz w:val="18"/>
                <w:szCs w:val="18"/>
                <w:lang w:val="de-DE" w:eastAsia="de-DE"/>
              </w:rPr>
            </w:pPr>
            <w:r w:rsidRPr="00DD2A86">
              <w:rPr>
                <w:b/>
                <w:color w:val="000000"/>
                <w:sz w:val="18"/>
                <w:szCs w:val="18"/>
                <w:lang w:val="de-DE" w:eastAsia="de-DE"/>
              </w:rPr>
              <w:t>Benennung und Beschreibung</w:t>
            </w:r>
          </w:p>
        </w:tc>
        <w:tc>
          <w:tcPr>
            <w:tcW w:w="992" w:type="dxa"/>
          </w:tcPr>
          <w:p w:rsidR="004C26B3" w:rsidRPr="00DD2A86" w:rsidRDefault="004C26B3" w:rsidP="004C26B3">
            <w:pPr>
              <w:widowControl w:val="0"/>
              <w:tabs>
                <w:tab w:val="left" w:pos="1985"/>
              </w:tabs>
              <w:suppressAutoHyphens w:val="0"/>
              <w:spacing w:line="240" w:lineRule="auto"/>
              <w:rPr>
                <w:b/>
                <w:color w:val="000000"/>
                <w:sz w:val="18"/>
                <w:szCs w:val="18"/>
                <w:lang w:val="de-DE" w:eastAsia="de-DE"/>
              </w:rPr>
            </w:pPr>
            <w:r w:rsidRPr="00DD2A86">
              <w:rPr>
                <w:b/>
                <w:color w:val="000000"/>
                <w:sz w:val="18"/>
                <w:szCs w:val="18"/>
                <w:lang w:val="de-DE" w:eastAsia="de-DE"/>
              </w:rPr>
              <w:t>Stoff-nummer/ UN-Nummer</w:t>
            </w:r>
          </w:p>
        </w:tc>
        <w:tc>
          <w:tcPr>
            <w:tcW w:w="2977" w:type="dxa"/>
          </w:tcPr>
          <w:p w:rsidR="004C26B3" w:rsidRPr="00DD2A86" w:rsidRDefault="004C26B3" w:rsidP="004C26B3">
            <w:pPr>
              <w:widowControl w:val="0"/>
              <w:tabs>
                <w:tab w:val="left" w:pos="1985"/>
              </w:tabs>
              <w:suppressAutoHyphens w:val="0"/>
              <w:spacing w:line="240" w:lineRule="auto"/>
              <w:rPr>
                <w:b/>
                <w:color w:val="000000"/>
                <w:sz w:val="18"/>
                <w:szCs w:val="18"/>
                <w:lang w:val="de-DE" w:eastAsia="de-DE"/>
              </w:rPr>
            </w:pPr>
            <w:r w:rsidRPr="00DD2A86">
              <w:rPr>
                <w:b/>
                <w:color w:val="000000"/>
                <w:sz w:val="18"/>
                <w:szCs w:val="18"/>
                <w:lang w:val="de-DE" w:eastAsia="de-DE"/>
              </w:rPr>
              <w:t>Änderung</w:t>
            </w:r>
          </w:p>
        </w:tc>
      </w:tr>
      <w:tr w:rsidR="0015105A" w:rsidRPr="00E139A8" w:rsidTr="00573B62">
        <w:trPr>
          <w:cantSplit/>
        </w:trPr>
        <w:tc>
          <w:tcPr>
            <w:tcW w:w="3686" w:type="dxa"/>
          </w:tcPr>
          <w:p w:rsidR="0015105A" w:rsidRPr="00DD2A86" w:rsidRDefault="0015105A" w:rsidP="004C26B3">
            <w:pPr>
              <w:suppressAutoHyphens w:val="0"/>
              <w:autoSpaceDE w:val="0"/>
              <w:autoSpaceDN w:val="0"/>
              <w:adjustRightInd w:val="0"/>
              <w:spacing w:line="240" w:lineRule="auto"/>
              <w:rPr>
                <w:color w:val="000000"/>
                <w:sz w:val="18"/>
                <w:szCs w:val="18"/>
                <w:lang w:val="de-DE" w:eastAsia="de-DE"/>
              </w:rPr>
            </w:pPr>
            <w:r w:rsidRPr="00DD2A86">
              <w:rPr>
                <w:color w:val="000000"/>
                <w:sz w:val="18"/>
                <w:szCs w:val="18"/>
                <w:lang w:val="de-DE" w:eastAsia="de-DE"/>
              </w:rPr>
              <w:t>AMMONIUMNITRATHALTIGE DÜNGEMITTEL</w:t>
            </w:r>
          </w:p>
        </w:tc>
        <w:tc>
          <w:tcPr>
            <w:tcW w:w="992" w:type="dxa"/>
          </w:tcPr>
          <w:p w:rsidR="0015105A" w:rsidRPr="00DD2A86" w:rsidRDefault="0015105A" w:rsidP="004C26B3">
            <w:pPr>
              <w:widowControl w:val="0"/>
              <w:tabs>
                <w:tab w:val="left" w:pos="1985"/>
              </w:tabs>
              <w:suppressAutoHyphens w:val="0"/>
              <w:spacing w:line="240" w:lineRule="auto"/>
              <w:rPr>
                <w:color w:val="000000"/>
                <w:sz w:val="18"/>
                <w:szCs w:val="18"/>
                <w:lang w:val="de-DE" w:eastAsia="de-DE"/>
              </w:rPr>
            </w:pPr>
            <w:r w:rsidRPr="00DD2A86">
              <w:rPr>
                <w:color w:val="000000"/>
                <w:sz w:val="18"/>
                <w:szCs w:val="18"/>
                <w:lang w:val="de-DE" w:eastAsia="de-DE"/>
              </w:rPr>
              <w:t>2067</w:t>
            </w:r>
          </w:p>
        </w:tc>
        <w:tc>
          <w:tcPr>
            <w:tcW w:w="2977" w:type="dxa"/>
          </w:tcPr>
          <w:p w:rsidR="0015105A" w:rsidRPr="00DD2A86" w:rsidRDefault="0015105A" w:rsidP="0015105A">
            <w:pPr>
              <w:widowControl w:val="0"/>
              <w:tabs>
                <w:tab w:val="left" w:pos="1985"/>
              </w:tabs>
              <w:suppressAutoHyphens w:val="0"/>
              <w:spacing w:line="240" w:lineRule="auto"/>
              <w:rPr>
                <w:color w:val="000000"/>
                <w:sz w:val="18"/>
                <w:szCs w:val="18"/>
                <w:lang w:val="de-DE" w:eastAsia="de-DE"/>
              </w:rPr>
            </w:pPr>
            <w:r w:rsidRPr="00DD2A86">
              <w:rPr>
                <w:color w:val="000000"/>
                <w:sz w:val="18"/>
                <w:szCs w:val="18"/>
                <w:lang w:val="de-DE" w:eastAsia="de-DE"/>
              </w:rPr>
              <w:t>Die Benennung in Spalte (1) erhält folgenden Wortlaut:</w:t>
            </w:r>
          </w:p>
          <w:p w:rsidR="0015105A" w:rsidRPr="00DD2A86" w:rsidRDefault="0015105A" w:rsidP="0015105A">
            <w:pPr>
              <w:widowControl w:val="0"/>
              <w:tabs>
                <w:tab w:val="left" w:pos="1985"/>
              </w:tabs>
              <w:suppressAutoHyphens w:val="0"/>
              <w:spacing w:line="240" w:lineRule="auto"/>
              <w:rPr>
                <w:color w:val="000000"/>
                <w:sz w:val="18"/>
                <w:szCs w:val="18"/>
                <w:lang w:val="de-DE" w:eastAsia="de-DE"/>
              </w:rPr>
            </w:pPr>
            <w:r w:rsidRPr="00DD2A86">
              <w:rPr>
                <w:color w:val="000000"/>
                <w:sz w:val="18"/>
                <w:szCs w:val="18"/>
                <w:lang w:val="de-DE" w:eastAsia="de-DE"/>
              </w:rPr>
              <w:t>„AMMONIUMNITRATHALTIGES DÜNGEMITTEL“.</w:t>
            </w:r>
          </w:p>
          <w:p w:rsidR="007B1F2D" w:rsidRPr="00DD2A86" w:rsidRDefault="007B1F2D" w:rsidP="0015105A">
            <w:pPr>
              <w:widowControl w:val="0"/>
              <w:tabs>
                <w:tab w:val="left" w:pos="1985"/>
              </w:tabs>
              <w:suppressAutoHyphens w:val="0"/>
              <w:spacing w:line="240" w:lineRule="auto"/>
              <w:rPr>
                <w:color w:val="000000"/>
                <w:sz w:val="18"/>
                <w:szCs w:val="18"/>
                <w:lang w:val="de-DE" w:eastAsia="de-DE"/>
              </w:rPr>
            </w:pPr>
            <w:r w:rsidRPr="00DD2A86">
              <w:rPr>
                <w:color w:val="000000"/>
                <w:sz w:val="18"/>
                <w:szCs w:val="18"/>
                <w:lang w:val="de-DE" w:eastAsia="de-DE"/>
              </w:rPr>
              <w:t>[Betrifft nur die deutsche Sprachfassung]</w:t>
            </w:r>
          </w:p>
        </w:tc>
      </w:tr>
      <w:tr w:rsidR="004C26B3" w:rsidRPr="00DD2A86" w:rsidTr="00573B62">
        <w:trPr>
          <w:cantSplit/>
        </w:trPr>
        <w:tc>
          <w:tcPr>
            <w:tcW w:w="3686" w:type="dxa"/>
          </w:tcPr>
          <w:p w:rsidR="004C26B3" w:rsidRPr="00DD2A86" w:rsidRDefault="004C26B3" w:rsidP="004C26B3">
            <w:pPr>
              <w:suppressAutoHyphens w:val="0"/>
              <w:autoSpaceDE w:val="0"/>
              <w:autoSpaceDN w:val="0"/>
              <w:adjustRightInd w:val="0"/>
              <w:spacing w:line="240" w:lineRule="auto"/>
              <w:rPr>
                <w:color w:val="000000"/>
                <w:sz w:val="18"/>
                <w:szCs w:val="18"/>
                <w:lang w:val="de-DE" w:eastAsia="de-DE"/>
              </w:rPr>
            </w:pPr>
            <w:r w:rsidRPr="00DD2A86">
              <w:rPr>
                <w:color w:val="000000"/>
                <w:sz w:val="18"/>
                <w:szCs w:val="18"/>
                <w:lang w:val="de-DE" w:eastAsia="de-DE"/>
              </w:rPr>
              <w:t>Ammoniumnitrathaltige Düngemittel, einheitliche Gemische des Stickstoff/Phosphat-, des Stickstoff/Kali- oder des Stickstoff/Phosphat/Kalityps mit höchstens 70 % Ammoniumnitrat und höchstens 0,4 % Gesamtmenge brennbarer/organischer Stoffe, ausgedrückt als Kohlenstoff-Äquivalent, oder höchstens 45 % Ammoniumnitrat ohne Beschränkung ihres Gehalts an brennbaren Stoffen</w:t>
            </w:r>
          </w:p>
        </w:tc>
        <w:tc>
          <w:tcPr>
            <w:tcW w:w="992" w:type="dxa"/>
          </w:tcPr>
          <w:p w:rsidR="004C26B3" w:rsidRPr="00DD2A86" w:rsidRDefault="004C26B3" w:rsidP="004C26B3">
            <w:pPr>
              <w:widowControl w:val="0"/>
              <w:tabs>
                <w:tab w:val="left" w:pos="1985"/>
              </w:tabs>
              <w:suppressAutoHyphens w:val="0"/>
              <w:spacing w:line="240" w:lineRule="auto"/>
              <w:rPr>
                <w:color w:val="000000"/>
                <w:sz w:val="18"/>
                <w:szCs w:val="18"/>
                <w:lang w:val="de-DE" w:eastAsia="de-DE"/>
              </w:rPr>
            </w:pPr>
            <w:r w:rsidRPr="00DD2A86">
              <w:rPr>
                <w:color w:val="000000"/>
                <w:sz w:val="18"/>
                <w:szCs w:val="18"/>
                <w:lang w:val="de-DE" w:eastAsia="de-DE"/>
              </w:rPr>
              <w:t>2071</w:t>
            </w:r>
          </w:p>
        </w:tc>
        <w:tc>
          <w:tcPr>
            <w:tcW w:w="2977" w:type="dxa"/>
          </w:tcPr>
          <w:p w:rsidR="004C26B3" w:rsidRPr="00DD2A86" w:rsidRDefault="004C26B3" w:rsidP="004C26B3">
            <w:pPr>
              <w:widowControl w:val="0"/>
              <w:tabs>
                <w:tab w:val="left" w:pos="1985"/>
              </w:tabs>
              <w:suppressAutoHyphens w:val="0"/>
              <w:spacing w:line="240" w:lineRule="auto"/>
              <w:rPr>
                <w:color w:val="000000"/>
                <w:sz w:val="18"/>
                <w:szCs w:val="18"/>
                <w:lang w:val="de-DE" w:eastAsia="de-DE"/>
              </w:rPr>
            </w:pPr>
            <w:r w:rsidRPr="00DD2A86">
              <w:rPr>
                <w:color w:val="000000"/>
                <w:sz w:val="18"/>
                <w:szCs w:val="18"/>
                <w:lang w:val="de-DE" w:eastAsia="de-DE"/>
              </w:rPr>
              <w:t>Die Benennung in Spalte (1) erhält folgenden Wortlaut:</w:t>
            </w:r>
          </w:p>
          <w:p w:rsidR="004C26B3" w:rsidRPr="00DD2A86" w:rsidRDefault="004C26B3" w:rsidP="004C26B3">
            <w:pPr>
              <w:widowControl w:val="0"/>
              <w:tabs>
                <w:tab w:val="left" w:pos="1985"/>
              </w:tabs>
              <w:suppressAutoHyphens w:val="0"/>
              <w:spacing w:line="240" w:lineRule="auto"/>
              <w:rPr>
                <w:color w:val="000000"/>
                <w:sz w:val="18"/>
                <w:szCs w:val="18"/>
                <w:lang w:val="de-DE" w:eastAsia="de-DE"/>
              </w:rPr>
            </w:pPr>
            <w:r w:rsidRPr="00DD2A86">
              <w:rPr>
                <w:color w:val="000000"/>
                <w:sz w:val="18"/>
                <w:szCs w:val="18"/>
                <w:lang w:val="de-DE" w:eastAsia="de-DE"/>
              </w:rPr>
              <w:t>„AMMONIUMNITRATHALTIGES DÜNGEMITTEL“.</w:t>
            </w:r>
          </w:p>
        </w:tc>
      </w:tr>
      <w:tr w:rsidR="004C26B3" w:rsidRPr="00DD2A86" w:rsidTr="00573B62">
        <w:trPr>
          <w:cantSplit/>
        </w:trPr>
        <w:tc>
          <w:tcPr>
            <w:tcW w:w="3686" w:type="dxa"/>
          </w:tcPr>
          <w:p w:rsidR="004C26B3" w:rsidRPr="00DD2A86" w:rsidRDefault="004C26B3" w:rsidP="004C26B3">
            <w:pPr>
              <w:widowControl w:val="0"/>
              <w:tabs>
                <w:tab w:val="left" w:pos="1985"/>
              </w:tabs>
              <w:suppressAutoHyphens w:val="0"/>
              <w:spacing w:line="240" w:lineRule="auto"/>
              <w:rPr>
                <w:color w:val="000000"/>
                <w:sz w:val="18"/>
                <w:szCs w:val="18"/>
                <w:lang w:val="de-DE" w:eastAsia="de-DE"/>
              </w:rPr>
            </w:pPr>
            <w:r w:rsidRPr="00DD2A86">
              <w:rPr>
                <w:color w:val="000000"/>
                <w:sz w:val="18"/>
                <w:szCs w:val="18"/>
                <w:lang w:val="de-DE" w:eastAsia="de-DE"/>
              </w:rPr>
              <w:t>2-DIMETHYLAMINOETHYL</w:t>
            </w:r>
            <w:r w:rsidRPr="00DD2A86">
              <w:rPr>
                <w:color w:val="000000"/>
                <w:sz w:val="18"/>
                <w:szCs w:val="18"/>
                <w:lang w:val="de-DE" w:eastAsia="de-DE"/>
              </w:rPr>
              <w:softHyphen/>
              <w:t>ACRYLAT</w:t>
            </w:r>
          </w:p>
        </w:tc>
        <w:tc>
          <w:tcPr>
            <w:tcW w:w="992" w:type="dxa"/>
          </w:tcPr>
          <w:p w:rsidR="004C26B3" w:rsidRPr="00DD2A86" w:rsidRDefault="004C26B3" w:rsidP="004C26B3">
            <w:pPr>
              <w:widowControl w:val="0"/>
              <w:tabs>
                <w:tab w:val="left" w:pos="1985"/>
              </w:tabs>
              <w:suppressAutoHyphens w:val="0"/>
              <w:spacing w:line="240" w:lineRule="auto"/>
              <w:rPr>
                <w:color w:val="000000"/>
                <w:sz w:val="18"/>
                <w:szCs w:val="18"/>
                <w:lang w:val="de-DE" w:eastAsia="de-DE"/>
              </w:rPr>
            </w:pPr>
            <w:r w:rsidRPr="00DD2A86">
              <w:rPr>
                <w:color w:val="000000"/>
                <w:sz w:val="18"/>
                <w:szCs w:val="18"/>
                <w:lang w:val="de-DE" w:eastAsia="de-DE"/>
              </w:rPr>
              <w:t>3302</w:t>
            </w:r>
          </w:p>
        </w:tc>
        <w:tc>
          <w:tcPr>
            <w:tcW w:w="2977" w:type="dxa"/>
          </w:tcPr>
          <w:p w:rsidR="004C26B3" w:rsidRPr="00DD2A86" w:rsidRDefault="004C26B3" w:rsidP="004C26B3">
            <w:pPr>
              <w:widowControl w:val="0"/>
              <w:tabs>
                <w:tab w:val="left" w:pos="1985"/>
              </w:tabs>
              <w:suppressAutoHyphens w:val="0"/>
              <w:spacing w:line="240" w:lineRule="auto"/>
              <w:rPr>
                <w:color w:val="000000"/>
                <w:sz w:val="18"/>
                <w:szCs w:val="18"/>
                <w:lang w:val="de-DE" w:eastAsia="de-DE"/>
              </w:rPr>
            </w:pPr>
            <w:r w:rsidRPr="00DD2A86">
              <w:rPr>
                <w:color w:val="000000"/>
                <w:sz w:val="18"/>
                <w:szCs w:val="18"/>
                <w:lang w:val="de-DE" w:eastAsia="de-DE"/>
              </w:rPr>
              <w:t>In Spalte (1) am Ende hinzufügen:</w:t>
            </w:r>
          </w:p>
          <w:p w:rsidR="004C26B3" w:rsidRPr="00DD2A86" w:rsidRDefault="004C26B3" w:rsidP="004C26B3">
            <w:pPr>
              <w:widowControl w:val="0"/>
              <w:tabs>
                <w:tab w:val="left" w:pos="1985"/>
              </w:tabs>
              <w:suppressAutoHyphens w:val="0"/>
              <w:spacing w:line="240" w:lineRule="auto"/>
              <w:rPr>
                <w:color w:val="000000"/>
                <w:sz w:val="18"/>
                <w:szCs w:val="18"/>
                <w:lang w:val="de-DE" w:eastAsia="de-DE"/>
              </w:rPr>
            </w:pPr>
            <w:r w:rsidRPr="00DD2A86">
              <w:rPr>
                <w:color w:val="000000"/>
                <w:sz w:val="18"/>
                <w:szCs w:val="18"/>
                <w:lang w:val="de-DE" w:eastAsia="de-DE"/>
              </w:rPr>
              <w:t>„, STABILISIERT“.</w:t>
            </w:r>
          </w:p>
        </w:tc>
      </w:tr>
      <w:tr w:rsidR="004C26B3" w:rsidRPr="00E139A8" w:rsidTr="00573B62">
        <w:trPr>
          <w:cantSplit/>
        </w:trPr>
        <w:tc>
          <w:tcPr>
            <w:tcW w:w="3686" w:type="dxa"/>
          </w:tcPr>
          <w:p w:rsidR="004C26B3" w:rsidRPr="00DD2A86" w:rsidRDefault="004C26B3" w:rsidP="004C26B3">
            <w:pPr>
              <w:widowControl w:val="0"/>
              <w:tabs>
                <w:tab w:val="left" w:pos="1985"/>
              </w:tabs>
              <w:suppressAutoHyphens w:val="0"/>
              <w:spacing w:line="240" w:lineRule="auto"/>
              <w:rPr>
                <w:color w:val="000000"/>
                <w:sz w:val="18"/>
                <w:szCs w:val="18"/>
                <w:lang w:val="de-DE" w:eastAsia="de-DE"/>
              </w:rPr>
            </w:pPr>
            <w:r w:rsidRPr="00DD2A86">
              <w:rPr>
                <w:color w:val="000000"/>
                <w:sz w:val="18"/>
                <w:szCs w:val="18"/>
                <w:lang w:val="de-DE" w:eastAsia="de-DE"/>
              </w:rPr>
              <w:t>Gefährliche Güter in Geräten</w:t>
            </w:r>
          </w:p>
        </w:tc>
        <w:tc>
          <w:tcPr>
            <w:tcW w:w="992" w:type="dxa"/>
          </w:tcPr>
          <w:p w:rsidR="004C26B3" w:rsidRPr="00DD2A86" w:rsidRDefault="004C26B3" w:rsidP="004C26B3">
            <w:pPr>
              <w:widowControl w:val="0"/>
              <w:tabs>
                <w:tab w:val="left" w:pos="1985"/>
              </w:tabs>
              <w:suppressAutoHyphens w:val="0"/>
              <w:spacing w:line="240" w:lineRule="auto"/>
              <w:rPr>
                <w:color w:val="000000"/>
                <w:sz w:val="18"/>
                <w:szCs w:val="18"/>
                <w:lang w:val="de-DE" w:eastAsia="de-DE"/>
              </w:rPr>
            </w:pPr>
            <w:r w:rsidRPr="00DD2A86">
              <w:rPr>
                <w:color w:val="000000"/>
                <w:sz w:val="18"/>
                <w:szCs w:val="18"/>
                <w:lang w:val="de-DE" w:eastAsia="de-DE"/>
              </w:rPr>
              <w:t>3363</w:t>
            </w:r>
          </w:p>
        </w:tc>
        <w:tc>
          <w:tcPr>
            <w:tcW w:w="2977" w:type="dxa"/>
          </w:tcPr>
          <w:p w:rsidR="004C26B3" w:rsidRPr="00DD2A86" w:rsidRDefault="004C26B3" w:rsidP="004C26B3">
            <w:pPr>
              <w:widowControl w:val="0"/>
              <w:tabs>
                <w:tab w:val="left" w:pos="1985"/>
              </w:tabs>
              <w:suppressAutoHyphens w:val="0"/>
              <w:spacing w:line="240" w:lineRule="auto"/>
              <w:rPr>
                <w:color w:val="000000"/>
                <w:sz w:val="18"/>
                <w:szCs w:val="18"/>
                <w:lang w:val="de-DE" w:eastAsia="de-DE"/>
              </w:rPr>
            </w:pPr>
            <w:r w:rsidRPr="00DD2A86">
              <w:rPr>
                <w:color w:val="000000"/>
                <w:sz w:val="18"/>
                <w:szCs w:val="18"/>
                <w:lang w:val="de-DE" w:eastAsia="de-DE"/>
              </w:rPr>
              <w:t>In Spalte (1) die Benennung in Großbuchstaben darstellen.</w:t>
            </w:r>
          </w:p>
        </w:tc>
      </w:tr>
      <w:tr w:rsidR="004C26B3" w:rsidRPr="00E139A8" w:rsidTr="00573B62">
        <w:trPr>
          <w:cantSplit/>
        </w:trPr>
        <w:tc>
          <w:tcPr>
            <w:tcW w:w="3686" w:type="dxa"/>
          </w:tcPr>
          <w:p w:rsidR="004C26B3" w:rsidRPr="00DD2A86" w:rsidRDefault="004C26B3" w:rsidP="004C26B3">
            <w:pPr>
              <w:widowControl w:val="0"/>
              <w:tabs>
                <w:tab w:val="left" w:pos="1985"/>
              </w:tabs>
              <w:suppressAutoHyphens w:val="0"/>
              <w:spacing w:line="240" w:lineRule="auto"/>
              <w:rPr>
                <w:color w:val="000000"/>
                <w:sz w:val="18"/>
                <w:szCs w:val="18"/>
                <w:lang w:val="de-DE" w:eastAsia="de-DE"/>
              </w:rPr>
            </w:pPr>
            <w:r w:rsidRPr="00DD2A86">
              <w:rPr>
                <w:color w:val="000000"/>
                <w:sz w:val="18"/>
                <w:szCs w:val="18"/>
                <w:lang w:val="de-DE" w:eastAsia="de-DE"/>
              </w:rPr>
              <w:t>Gefährliche Güter in Maschinen</w:t>
            </w:r>
          </w:p>
        </w:tc>
        <w:tc>
          <w:tcPr>
            <w:tcW w:w="992" w:type="dxa"/>
          </w:tcPr>
          <w:p w:rsidR="004C26B3" w:rsidRPr="00DD2A86" w:rsidRDefault="004C26B3" w:rsidP="004C26B3">
            <w:pPr>
              <w:widowControl w:val="0"/>
              <w:tabs>
                <w:tab w:val="left" w:pos="1985"/>
              </w:tabs>
              <w:suppressAutoHyphens w:val="0"/>
              <w:spacing w:line="240" w:lineRule="auto"/>
              <w:rPr>
                <w:color w:val="000000"/>
                <w:sz w:val="18"/>
                <w:szCs w:val="18"/>
                <w:lang w:val="de-DE" w:eastAsia="de-DE"/>
              </w:rPr>
            </w:pPr>
            <w:r w:rsidRPr="00DD2A86">
              <w:rPr>
                <w:color w:val="000000"/>
                <w:sz w:val="18"/>
                <w:szCs w:val="18"/>
                <w:lang w:val="de-DE" w:eastAsia="de-DE"/>
              </w:rPr>
              <w:t>3363</w:t>
            </w:r>
          </w:p>
        </w:tc>
        <w:tc>
          <w:tcPr>
            <w:tcW w:w="2977" w:type="dxa"/>
          </w:tcPr>
          <w:p w:rsidR="004C26B3" w:rsidRPr="00DD2A86" w:rsidRDefault="004C26B3" w:rsidP="004C26B3">
            <w:pPr>
              <w:widowControl w:val="0"/>
              <w:tabs>
                <w:tab w:val="left" w:pos="1985"/>
              </w:tabs>
              <w:suppressAutoHyphens w:val="0"/>
              <w:spacing w:line="240" w:lineRule="auto"/>
              <w:rPr>
                <w:color w:val="000000"/>
                <w:sz w:val="18"/>
                <w:szCs w:val="18"/>
                <w:lang w:val="de-DE" w:eastAsia="de-DE"/>
              </w:rPr>
            </w:pPr>
            <w:r w:rsidRPr="00DD2A86">
              <w:rPr>
                <w:color w:val="000000"/>
                <w:sz w:val="18"/>
                <w:szCs w:val="18"/>
                <w:lang w:val="de-DE" w:eastAsia="de-DE"/>
              </w:rPr>
              <w:t>In Spalte (1) die Benennung in Großbuchstaben darstellen.</w:t>
            </w:r>
          </w:p>
        </w:tc>
      </w:tr>
    </w:tbl>
    <w:p w:rsidR="004C26B3" w:rsidRPr="00DD2A86" w:rsidRDefault="004C26B3" w:rsidP="004C26B3">
      <w:pPr>
        <w:spacing w:after="120"/>
        <w:ind w:left="1134" w:right="1134"/>
        <w:jc w:val="both"/>
        <w:rPr>
          <w:lang w:val="de-DE"/>
        </w:rPr>
      </w:pPr>
    </w:p>
    <w:p w:rsidR="002A6CF0" w:rsidRPr="00DD2A86" w:rsidRDefault="002A6CF0" w:rsidP="001E4C24">
      <w:pPr>
        <w:spacing w:after="120"/>
        <w:ind w:left="1134" w:hanging="2"/>
        <w:jc w:val="both"/>
        <w:rPr>
          <w:szCs w:val="22"/>
          <w:lang w:val="de-DE"/>
        </w:rPr>
      </w:pPr>
      <w:r w:rsidRPr="00DD2A86">
        <w:rPr>
          <w:szCs w:val="22"/>
          <w:lang w:val="de-DE"/>
        </w:rPr>
        <w:t>Folgende Änderungen vornehmen:</w:t>
      </w:r>
    </w:p>
    <w:tbl>
      <w:tblPr>
        <w:tblW w:w="833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992"/>
        <w:gridCol w:w="3652"/>
      </w:tblGrid>
      <w:tr w:rsidR="002A6CF0" w:rsidRPr="00DD2A86" w:rsidTr="00F37EBF">
        <w:trPr>
          <w:cantSplit/>
          <w:tblHeader/>
        </w:trPr>
        <w:tc>
          <w:tcPr>
            <w:tcW w:w="3686" w:type="dxa"/>
          </w:tcPr>
          <w:p w:rsidR="002A6CF0" w:rsidRPr="00DD2A86" w:rsidRDefault="002A6CF0" w:rsidP="00F37EBF">
            <w:pPr>
              <w:widowControl w:val="0"/>
              <w:tabs>
                <w:tab w:val="left" w:pos="1985"/>
              </w:tabs>
              <w:suppressAutoHyphens w:val="0"/>
              <w:spacing w:before="120" w:after="120" w:line="240" w:lineRule="auto"/>
              <w:jc w:val="both"/>
              <w:rPr>
                <w:b/>
                <w:color w:val="000000"/>
                <w:lang w:val="de-DE" w:eastAsia="de-DE"/>
              </w:rPr>
            </w:pPr>
            <w:r w:rsidRPr="00DD2A86">
              <w:rPr>
                <w:b/>
                <w:color w:val="000000"/>
                <w:lang w:val="de-DE" w:eastAsia="de-DE"/>
              </w:rPr>
              <w:t>Benennung und Beschreibung</w:t>
            </w:r>
          </w:p>
        </w:tc>
        <w:tc>
          <w:tcPr>
            <w:tcW w:w="992" w:type="dxa"/>
          </w:tcPr>
          <w:p w:rsidR="002A6CF0" w:rsidRPr="00DD2A86" w:rsidRDefault="002A6CF0" w:rsidP="00F37EBF">
            <w:pPr>
              <w:widowControl w:val="0"/>
              <w:tabs>
                <w:tab w:val="left" w:pos="1985"/>
              </w:tabs>
              <w:suppressAutoHyphens w:val="0"/>
              <w:spacing w:before="120" w:after="120" w:line="240" w:lineRule="auto"/>
              <w:jc w:val="both"/>
              <w:rPr>
                <w:b/>
                <w:color w:val="000000"/>
                <w:lang w:val="de-DE" w:eastAsia="de-DE"/>
              </w:rPr>
            </w:pPr>
            <w:r w:rsidRPr="00DD2A86">
              <w:rPr>
                <w:b/>
                <w:color w:val="000000"/>
                <w:lang w:val="de-DE" w:eastAsia="de-DE"/>
              </w:rPr>
              <w:t>Stoff-nummer/ UN-Nummer</w:t>
            </w:r>
          </w:p>
        </w:tc>
        <w:tc>
          <w:tcPr>
            <w:tcW w:w="3652" w:type="dxa"/>
          </w:tcPr>
          <w:p w:rsidR="002A6CF0" w:rsidRPr="00DD2A86" w:rsidRDefault="002A6CF0" w:rsidP="00F37EBF">
            <w:pPr>
              <w:widowControl w:val="0"/>
              <w:tabs>
                <w:tab w:val="left" w:pos="1985"/>
              </w:tabs>
              <w:suppressAutoHyphens w:val="0"/>
              <w:spacing w:before="120" w:after="120" w:line="240" w:lineRule="auto"/>
              <w:jc w:val="both"/>
              <w:rPr>
                <w:b/>
                <w:color w:val="000000"/>
                <w:lang w:val="de-DE" w:eastAsia="de-DE"/>
              </w:rPr>
            </w:pPr>
            <w:r w:rsidRPr="00DD2A86">
              <w:rPr>
                <w:b/>
                <w:color w:val="000000"/>
                <w:lang w:val="de-DE" w:eastAsia="de-DE"/>
              </w:rPr>
              <w:t>Änderung</w:t>
            </w:r>
          </w:p>
        </w:tc>
      </w:tr>
      <w:tr w:rsidR="002A6CF0" w:rsidRPr="00E139A8" w:rsidTr="00F37EBF">
        <w:trPr>
          <w:cantSplit/>
        </w:trPr>
        <w:tc>
          <w:tcPr>
            <w:tcW w:w="3686" w:type="dxa"/>
          </w:tcPr>
          <w:p w:rsidR="002A6CF0" w:rsidRPr="00DD2A86" w:rsidRDefault="002A6CF0" w:rsidP="00F37EBF">
            <w:pPr>
              <w:suppressAutoHyphens w:val="0"/>
              <w:autoSpaceDE w:val="0"/>
              <w:autoSpaceDN w:val="0"/>
              <w:adjustRightInd w:val="0"/>
              <w:spacing w:before="120" w:after="120" w:line="240" w:lineRule="auto"/>
              <w:jc w:val="both"/>
              <w:rPr>
                <w:lang w:val="de-DE" w:eastAsia="de-DE"/>
              </w:rPr>
            </w:pPr>
            <w:r w:rsidRPr="00DD2A86">
              <w:rPr>
                <w:lang w:val="de-DE" w:eastAsia="de-DE"/>
              </w:rPr>
              <w:t>DIACETONALKOHOL, chemisch rein</w:t>
            </w:r>
          </w:p>
        </w:tc>
        <w:tc>
          <w:tcPr>
            <w:tcW w:w="992" w:type="dxa"/>
          </w:tcPr>
          <w:p w:rsidR="002A6CF0" w:rsidRPr="00DD2A86" w:rsidRDefault="002A6CF0" w:rsidP="00F37EBF">
            <w:pPr>
              <w:widowControl w:val="0"/>
              <w:tabs>
                <w:tab w:val="left" w:pos="1985"/>
              </w:tabs>
              <w:suppressAutoHyphens w:val="0"/>
              <w:spacing w:before="120" w:after="120" w:line="240" w:lineRule="auto"/>
              <w:jc w:val="both"/>
              <w:rPr>
                <w:lang w:val="de-DE" w:eastAsia="de-DE"/>
              </w:rPr>
            </w:pPr>
            <w:r w:rsidRPr="00DD2A86">
              <w:rPr>
                <w:lang w:val="de-DE" w:eastAsia="de-DE"/>
              </w:rPr>
              <w:t>1148</w:t>
            </w:r>
          </w:p>
        </w:tc>
        <w:tc>
          <w:tcPr>
            <w:tcW w:w="3652" w:type="dxa"/>
          </w:tcPr>
          <w:p w:rsidR="002A6CF0" w:rsidRPr="00DD2A86" w:rsidRDefault="002A6CF0" w:rsidP="00F37EBF">
            <w:pPr>
              <w:widowControl w:val="0"/>
              <w:tabs>
                <w:tab w:val="left" w:pos="1985"/>
              </w:tabs>
              <w:suppressAutoHyphens w:val="0"/>
              <w:spacing w:before="120" w:after="120" w:line="240" w:lineRule="auto"/>
              <w:jc w:val="both"/>
              <w:rPr>
                <w:lang w:val="de-DE" w:eastAsia="de-DE"/>
              </w:rPr>
            </w:pPr>
            <w:r w:rsidRPr="00DD2A86">
              <w:rPr>
                <w:lang w:val="de-DE" w:eastAsia="de-DE"/>
              </w:rPr>
              <w:t>In Spalte (2) streichen: „, chemisch rein“.</w:t>
            </w:r>
          </w:p>
        </w:tc>
      </w:tr>
      <w:tr w:rsidR="002A6CF0" w:rsidRPr="00DD2A86" w:rsidTr="00F37EBF">
        <w:trPr>
          <w:cantSplit/>
        </w:trPr>
        <w:tc>
          <w:tcPr>
            <w:tcW w:w="3686" w:type="dxa"/>
          </w:tcPr>
          <w:p w:rsidR="002A6CF0" w:rsidRPr="00DD2A86" w:rsidRDefault="002A6CF0" w:rsidP="00F37EBF">
            <w:pPr>
              <w:suppressAutoHyphens w:val="0"/>
              <w:autoSpaceDE w:val="0"/>
              <w:autoSpaceDN w:val="0"/>
              <w:adjustRightInd w:val="0"/>
              <w:spacing w:before="120" w:after="120" w:line="240" w:lineRule="auto"/>
              <w:jc w:val="both"/>
              <w:rPr>
                <w:lang w:val="de-DE" w:eastAsia="de-DE"/>
              </w:rPr>
            </w:pPr>
            <w:r w:rsidRPr="00DD2A86">
              <w:rPr>
                <w:lang w:val="de-DE" w:eastAsia="de-DE"/>
              </w:rPr>
              <w:t>DIACETONALKOHOL, technisch</w:t>
            </w:r>
          </w:p>
        </w:tc>
        <w:tc>
          <w:tcPr>
            <w:tcW w:w="992" w:type="dxa"/>
          </w:tcPr>
          <w:p w:rsidR="002A6CF0" w:rsidRPr="00DD2A86" w:rsidRDefault="002A6CF0" w:rsidP="00F37EBF">
            <w:pPr>
              <w:widowControl w:val="0"/>
              <w:tabs>
                <w:tab w:val="left" w:pos="1985"/>
              </w:tabs>
              <w:suppressAutoHyphens w:val="0"/>
              <w:spacing w:before="120" w:after="120" w:line="240" w:lineRule="auto"/>
              <w:jc w:val="both"/>
              <w:rPr>
                <w:lang w:val="de-DE" w:eastAsia="de-DE"/>
              </w:rPr>
            </w:pPr>
            <w:r w:rsidRPr="00DD2A86">
              <w:rPr>
                <w:lang w:val="de-DE" w:eastAsia="de-DE"/>
              </w:rPr>
              <w:t>1148</w:t>
            </w:r>
          </w:p>
        </w:tc>
        <w:tc>
          <w:tcPr>
            <w:tcW w:w="3652" w:type="dxa"/>
          </w:tcPr>
          <w:p w:rsidR="002A6CF0" w:rsidRPr="00DD2A86" w:rsidRDefault="002A6CF0" w:rsidP="00F37EBF">
            <w:pPr>
              <w:widowControl w:val="0"/>
              <w:tabs>
                <w:tab w:val="left" w:pos="1985"/>
              </w:tabs>
              <w:suppressAutoHyphens w:val="0"/>
              <w:spacing w:before="120" w:after="120" w:line="240" w:lineRule="auto"/>
              <w:jc w:val="both"/>
              <w:rPr>
                <w:lang w:val="de-DE" w:eastAsia="de-DE"/>
              </w:rPr>
            </w:pPr>
            <w:r w:rsidRPr="00DD2A86">
              <w:rPr>
                <w:lang w:val="de-DE" w:eastAsia="de-DE"/>
              </w:rPr>
              <w:t>Die komplette Zeile streichen</w:t>
            </w:r>
          </w:p>
        </w:tc>
      </w:tr>
      <w:tr w:rsidR="002A6CF0" w:rsidRPr="00E139A8" w:rsidTr="00F37EBF">
        <w:trPr>
          <w:cantSplit/>
        </w:trPr>
        <w:tc>
          <w:tcPr>
            <w:tcW w:w="3686" w:type="dxa"/>
          </w:tcPr>
          <w:p w:rsidR="002A6CF0" w:rsidRPr="00DD2A86" w:rsidRDefault="002A6CF0" w:rsidP="00F37EBF">
            <w:pPr>
              <w:widowControl w:val="0"/>
              <w:tabs>
                <w:tab w:val="left" w:pos="1985"/>
              </w:tabs>
              <w:suppressAutoHyphens w:val="0"/>
              <w:spacing w:before="120" w:after="120" w:line="240" w:lineRule="auto"/>
              <w:jc w:val="both"/>
              <w:rPr>
                <w:color w:val="000000"/>
                <w:lang w:val="de-DE" w:eastAsia="de-DE"/>
              </w:rPr>
            </w:pPr>
            <w:r w:rsidRPr="00DD2A86">
              <w:rPr>
                <w:color w:val="000000"/>
                <w:lang w:val="de-DE" w:eastAsia="de-DE"/>
              </w:rPr>
              <w:t>MALONITRIL</w:t>
            </w:r>
          </w:p>
        </w:tc>
        <w:tc>
          <w:tcPr>
            <w:tcW w:w="992" w:type="dxa"/>
          </w:tcPr>
          <w:p w:rsidR="002A6CF0" w:rsidRPr="00DD2A86" w:rsidRDefault="002A6CF0" w:rsidP="00F37EBF">
            <w:pPr>
              <w:widowControl w:val="0"/>
              <w:tabs>
                <w:tab w:val="left" w:pos="1985"/>
              </w:tabs>
              <w:suppressAutoHyphens w:val="0"/>
              <w:spacing w:before="120" w:after="120" w:line="240" w:lineRule="auto"/>
              <w:jc w:val="both"/>
              <w:rPr>
                <w:color w:val="000000"/>
                <w:lang w:val="de-DE" w:eastAsia="de-DE"/>
              </w:rPr>
            </w:pPr>
            <w:r w:rsidRPr="00DD2A86">
              <w:rPr>
                <w:color w:val="000000"/>
                <w:lang w:val="de-DE" w:eastAsia="de-DE"/>
              </w:rPr>
              <w:t>2647</w:t>
            </w:r>
          </w:p>
        </w:tc>
        <w:tc>
          <w:tcPr>
            <w:tcW w:w="3652" w:type="dxa"/>
          </w:tcPr>
          <w:p w:rsidR="002A6CF0" w:rsidRPr="00DD2A86" w:rsidRDefault="002A6CF0" w:rsidP="00F37EBF">
            <w:pPr>
              <w:widowControl w:val="0"/>
              <w:tabs>
                <w:tab w:val="left" w:pos="567"/>
                <w:tab w:val="left" w:pos="1418"/>
                <w:tab w:val="left" w:pos="3119"/>
              </w:tabs>
              <w:suppressAutoHyphens w:val="0"/>
              <w:spacing w:before="120" w:after="120" w:line="240" w:lineRule="auto"/>
              <w:jc w:val="both"/>
              <w:rPr>
                <w:color w:val="000000"/>
                <w:lang w:val="de-DE" w:eastAsia="de-DE"/>
              </w:rPr>
            </w:pPr>
            <w:r w:rsidRPr="00DD2A86">
              <w:rPr>
                <w:color w:val="000000"/>
                <w:lang w:val="de-DE" w:eastAsia="de-DE"/>
              </w:rPr>
              <w:t>In Spalte (1) erhält die Benennung folgenden Wortlaut: „MALONONITRIL“.</w:t>
            </w:r>
          </w:p>
        </w:tc>
      </w:tr>
    </w:tbl>
    <w:p w:rsidR="002A6CF0" w:rsidRPr="00DD2A86" w:rsidRDefault="002A6CF0" w:rsidP="004C26B3">
      <w:pPr>
        <w:spacing w:after="120"/>
        <w:ind w:left="1134" w:right="1134"/>
        <w:jc w:val="both"/>
        <w:rPr>
          <w:lang w:val="de-DE"/>
        </w:rPr>
      </w:pPr>
      <w:r w:rsidRPr="00DD2A86">
        <w:rPr>
          <w:lang w:val="de-DE"/>
        </w:rPr>
        <w:t>[Betrifft nur die deutsche Sprachfassung]</w:t>
      </w:r>
    </w:p>
    <w:p w:rsidR="00672848" w:rsidRPr="00DD2A86" w:rsidRDefault="00672848">
      <w:pPr>
        <w:suppressAutoHyphens w:val="0"/>
        <w:spacing w:line="240" w:lineRule="auto"/>
        <w:rPr>
          <w:iCs/>
          <w:lang w:val="de-DE"/>
        </w:rPr>
      </w:pPr>
      <w:r w:rsidRPr="00DD2A86">
        <w:rPr>
          <w:iCs/>
          <w:lang w:val="de-DE"/>
        </w:rPr>
        <w:br w:type="page"/>
      </w:r>
    </w:p>
    <w:p w:rsidR="004C26B3" w:rsidRPr="00DD2A86" w:rsidRDefault="004C26B3" w:rsidP="004C26B3">
      <w:pPr>
        <w:spacing w:before="120" w:after="120" w:line="240" w:lineRule="auto"/>
        <w:ind w:left="1134" w:right="1134"/>
        <w:jc w:val="both"/>
        <w:rPr>
          <w:iCs/>
          <w:lang w:val="de-DE"/>
        </w:rPr>
      </w:pPr>
      <w:r w:rsidRPr="00DD2A86">
        <w:rPr>
          <w:iCs/>
          <w:lang w:val="de-DE"/>
        </w:rPr>
        <w:t>Folgende neue Eintragungen in alphabetischer Reihenfolge einfügen:</w:t>
      </w:r>
    </w:p>
    <w:tbl>
      <w:tblPr>
        <w:tblpPr w:leftFromText="141" w:rightFromText="141" w:vertAnchor="text" w:tblpX="1207" w:tblpY="1"/>
        <w:tblOverlap w:val="neve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1"/>
        <w:gridCol w:w="1667"/>
      </w:tblGrid>
      <w:tr w:rsidR="004C26B3" w:rsidRPr="00DD2A86" w:rsidTr="00573B62">
        <w:trPr>
          <w:cantSplit/>
          <w:tblHeader/>
        </w:trPr>
        <w:tc>
          <w:tcPr>
            <w:tcW w:w="5671" w:type="dxa"/>
          </w:tcPr>
          <w:p w:rsidR="004C26B3" w:rsidRPr="00DD2A86" w:rsidRDefault="004C26B3" w:rsidP="004C26B3">
            <w:pPr>
              <w:widowControl w:val="0"/>
              <w:tabs>
                <w:tab w:val="left" w:pos="1985"/>
              </w:tabs>
              <w:suppressAutoHyphens w:val="0"/>
              <w:spacing w:after="40" w:line="240" w:lineRule="auto"/>
              <w:rPr>
                <w:b/>
                <w:color w:val="000000"/>
                <w:sz w:val="18"/>
                <w:szCs w:val="18"/>
                <w:lang w:val="de-DE" w:eastAsia="de-DE"/>
              </w:rPr>
            </w:pPr>
            <w:r w:rsidRPr="00DD2A86">
              <w:rPr>
                <w:b/>
                <w:color w:val="000000"/>
                <w:sz w:val="18"/>
                <w:szCs w:val="18"/>
                <w:lang w:val="de-DE" w:eastAsia="de-DE"/>
              </w:rPr>
              <w:t xml:space="preserve">Benennung und Beschreibung </w:t>
            </w:r>
          </w:p>
        </w:tc>
        <w:tc>
          <w:tcPr>
            <w:tcW w:w="1667" w:type="dxa"/>
          </w:tcPr>
          <w:p w:rsidR="004C26B3" w:rsidRPr="00DD2A86" w:rsidRDefault="004C26B3" w:rsidP="004C26B3">
            <w:pPr>
              <w:widowControl w:val="0"/>
              <w:tabs>
                <w:tab w:val="left" w:pos="1985"/>
              </w:tabs>
              <w:suppressAutoHyphens w:val="0"/>
              <w:spacing w:after="40" w:line="240" w:lineRule="auto"/>
              <w:jc w:val="both"/>
              <w:rPr>
                <w:b/>
                <w:color w:val="000000"/>
                <w:sz w:val="18"/>
                <w:szCs w:val="18"/>
                <w:lang w:val="de-DE" w:eastAsia="de-DE"/>
              </w:rPr>
            </w:pPr>
            <w:r w:rsidRPr="00DD2A86">
              <w:rPr>
                <w:b/>
                <w:color w:val="000000"/>
                <w:sz w:val="18"/>
                <w:szCs w:val="18"/>
                <w:lang w:val="de-DE" w:eastAsia="de-DE"/>
              </w:rPr>
              <w:t>Stoffnummer/</w:t>
            </w:r>
            <w:r w:rsidRPr="00DD2A86">
              <w:rPr>
                <w:b/>
                <w:color w:val="000000"/>
                <w:sz w:val="18"/>
                <w:szCs w:val="18"/>
                <w:lang w:val="de-DE" w:eastAsia="de-DE"/>
              </w:rPr>
              <w:br/>
              <w:t>UN-Nummer</w:t>
            </w:r>
          </w:p>
        </w:tc>
      </w:tr>
      <w:tr w:rsidR="004C26B3" w:rsidRPr="00DD2A86" w:rsidTr="00573B62">
        <w:trPr>
          <w:cantSplit/>
        </w:trPr>
        <w:tc>
          <w:tcPr>
            <w:tcW w:w="5671" w:type="dxa"/>
          </w:tcPr>
          <w:p w:rsidR="004C26B3" w:rsidRPr="00DD2A86" w:rsidRDefault="004C26B3" w:rsidP="004C26B3">
            <w:pPr>
              <w:tabs>
                <w:tab w:val="left" w:pos="1418"/>
                <w:tab w:val="left" w:pos="1701"/>
                <w:tab w:val="left" w:pos="1985"/>
                <w:tab w:val="left" w:pos="2268"/>
              </w:tabs>
              <w:suppressAutoHyphens w:val="0"/>
              <w:spacing w:after="40" w:line="240" w:lineRule="auto"/>
              <w:rPr>
                <w:bCs/>
                <w:caps/>
                <w:color w:val="000000"/>
                <w:sz w:val="18"/>
                <w:szCs w:val="18"/>
                <w:lang w:val="de-DE" w:eastAsia="de-CH"/>
              </w:rPr>
            </w:pPr>
            <w:r w:rsidRPr="00DD2A86">
              <w:rPr>
                <w:bCs/>
                <w:caps/>
                <w:color w:val="000000"/>
                <w:sz w:val="18"/>
                <w:szCs w:val="18"/>
                <w:lang w:val="de-DE" w:eastAsia="de-CH"/>
              </w:rPr>
              <w:t>GEGENSTÄNDE, DIE EINEN ÄTZENDEN STOFF ENTHALTEN, N.A.G.</w:t>
            </w:r>
          </w:p>
        </w:tc>
        <w:tc>
          <w:tcPr>
            <w:tcW w:w="1667" w:type="dxa"/>
          </w:tcPr>
          <w:p w:rsidR="004C26B3" w:rsidRPr="00DD2A86" w:rsidRDefault="004C26B3" w:rsidP="004C26B3">
            <w:pPr>
              <w:widowControl w:val="0"/>
              <w:tabs>
                <w:tab w:val="left" w:pos="1985"/>
              </w:tabs>
              <w:suppressAutoHyphens w:val="0"/>
              <w:spacing w:after="40" w:line="240" w:lineRule="auto"/>
              <w:jc w:val="both"/>
              <w:rPr>
                <w:color w:val="000000"/>
                <w:sz w:val="18"/>
                <w:szCs w:val="18"/>
                <w:lang w:val="de-DE" w:eastAsia="de-DE"/>
              </w:rPr>
            </w:pPr>
            <w:r w:rsidRPr="00DD2A86">
              <w:rPr>
                <w:color w:val="000000"/>
                <w:sz w:val="18"/>
                <w:szCs w:val="18"/>
                <w:lang w:val="de-DE" w:eastAsia="de-DE"/>
              </w:rPr>
              <w:t>3547</w:t>
            </w:r>
          </w:p>
        </w:tc>
      </w:tr>
      <w:tr w:rsidR="004C26B3" w:rsidRPr="00DD2A86" w:rsidTr="00573B62">
        <w:trPr>
          <w:cantSplit/>
        </w:trPr>
        <w:tc>
          <w:tcPr>
            <w:tcW w:w="5671" w:type="dxa"/>
          </w:tcPr>
          <w:p w:rsidR="004C26B3" w:rsidRPr="00DD2A86" w:rsidRDefault="004C26B3" w:rsidP="004C26B3">
            <w:pPr>
              <w:tabs>
                <w:tab w:val="left" w:pos="1418"/>
                <w:tab w:val="left" w:pos="1701"/>
                <w:tab w:val="left" w:pos="1985"/>
                <w:tab w:val="left" w:pos="2268"/>
              </w:tabs>
              <w:suppressAutoHyphens w:val="0"/>
              <w:spacing w:after="40" w:line="240" w:lineRule="auto"/>
              <w:rPr>
                <w:bCs/>
                <w:caps/>
                <w:color w:val="000000"/>
                <w:sz w:val="18"/>
                <w:szCs w:val="18"/>
                <w:lang w:val="de-DE" w:eastAsia="de-CH"/>
              </w:rPr>
            </w:pPr>
            <w:r w:rsidRPr="00DD2A86">
              <w:rPr>
                <w:bCs/>
                <w:caps/>
                <w:color w:val="000000"/>
                <w:sz w:val="18"/>
                <w:szCs w:val="18"/>
                <w:lang w:val="de-DE" w:eastAsia="de-CH"/>
              </w:rPr>
              <w:t>GEGENSTÄNDE, DIE EINEN ENTZÜNDBAREN FESTEN STOFF ENTHALTEN, N.A.G.</w:t>
            </w:r>
          </w:p>
        </w:tc>
        <w:tc>
          <w:tcPr>
            <w:tcW w:w="1667" w:type="dxa"/>
          </w:tcPr>
          <w:p w:rsidR="004C26B3" w:rsidRPr="00DD2A86" w:rsidRDefault="004C26B3" w:rsidP="004C26B3">
            <w:pPr>
              <w:widowControl w:val="0"/>
              <w:tabs>
                <w:tab w:val="left" w:pos="1985"/>
              </w:tabs>
              <w:suppressAutoHyphens w:val="0"/>
              <w:spacing w:after="40" w:line="240" w:lineRule="auto"/>
              <w:jc w:val="both"/>
              <w:rPr>
                <w:color w:val="000000"/>
                <w:sz w:val="18"/>
                <w:szCs w:val="18"/>
                <w:lang w:val="de-DE" w:eastAsia="de-DE"/>
              </w:rPr>
            </w:pPr>
            <w:r w:rsidRPr="00DD2A86">
              <w:rPr>
                <w:color w:val="000000"/>
                <w:sz w:val="18"/>
                <w:szCs w:val="18"/>
                <w:lang w:val="de-DE" w:eastAsia="de-DE"/>
              </w:rPr>
              <w:t>3541</w:t>
            </w:r>
          </w:p>
        </w:tc>
      </w:tr>
      <w:tr w:rsidR="004C26B3" w:rsidRPr="00DD2A86" w:rsidTr="00573B62">
        <w:trPr>
          <w:cantSplit/>
        </w:trPr>
        <w:tc>
          <w:tcPr>
            <w:tcW w:w="5671" w:type="dxa"/>
          </w:tcPr>
          <w:p w:rsidR="004C26B3" w:rsidRPr="00DD2A86" w:rsidRDefault="004C26B3" w:rsidP="004C26B3">
            <w:pPr>
              <w:tabs>
                <w:tab w:val="left" w:pos="1418"/>
                <w:tab w:val="left" w:pos="1701"/>
                <w:tab w:val="left" w:pos="1985"/>
                <w:tab w:val="left" w:pos="2268"/>
              </w:tabs>
              <w:suppressAutoHyphens w:val="0"/>
              <w:spacing w:after="40" w:line="240" w:lineRule="auto"/>
              <w:rPr>
                <w:bCs/>
                <w:caps/>
                <w:color w:val="000000"/>
                <w:sz w:val="18"/>
                <w:szCs w:val="18"/>
                <w:lang w:val="de-DE" w:eastAsia="de-CH"/>
              </w:rPr>
            </w:pPr>
            <w:r w:rsidRPr="00DD2A86">
              <w:rPr>
                <w:bCs/>
                <w:caps/>
                <w:color w:val="000000"/>
                <w:sz w:val="18"/>
                <w:szCs w:val="18"/>
                <w:lang w:val="de-DE" w:eastAsia="de-CH"/>
              </w:rPr>
              <w:t>GEGENSTÄNDE, DIE EINEN ENTZÜNDBAREN FLÜSSIGEN STOFF ENTHALTEN, N.A.G.</w:t>
            </w:r>
          </w:p>
        </w:tc>
        <w:tc>
          <w:tcPr>
            <w:tcW w:w="1667" w:type="dxa"/>
          </w:tcPr>
          <w:p w:rsidR="004C26B3" w:rsidRPr="00DD2A86" w:rsidRDefault="004C26B3" w:rsidP="004C26B3">
            <w:pPr>
              <w:widowControl w:val="0"/>
              <w:tabs>
                <w:tab w:val="left" w:pos="1985"/>
              </w:tabs>
              <w:suppressAutoHyphens w:val="0"/>
              <w:spacing w:after="40" w:line="240" w:lineRule="auto"/>
              <w:jc w:val="both"/>
              <w:rPr>
                <w:color w:val="000000"/>
                <w:sz w:val="18"/>
                <w:szCs w:val="18"/>
                <w:lang w:val="de-DE" w:eastAsia="de-DE"/>
              </w:rPr>
            </w:pPr>
            <w:r w:rsidRPr="00DD2A86">
              <w:rPr>
                <w:color w:val="000000"/>
                <w:sz w:val="18"/>
                <w:szCs w:val="18"/>
                <w:lang w:val="de-DE" w:eastAsia="de-DE"/>
              </w:rPr>
              <w:t>3540</w:t>
            </w:r>
          </w:p>
        </w:tc>
      </w:tr>
      <w:tr w:rsidR="004C26B3" w:rsidRPr="00DD2A86" w:rsidTr="00573B62">
        <w:trPr>
          <w:cantSplit/>
        </w:trPr>
        <w:tc>
          <w:tcPr>
            <w:tcW w:w="5671" w:type="dxa"/>
          </w:tcPr>
          <w:p w:rsidR="004C26B3" w:rsidRPr="00DD2A86" w:rsidRDefault="004C26B3" w:rsidP="004C26B3">
            <w:pPr>
              <w:tabs>
                <w:tab w:val="left" w:pos="1418"/>
                <w:tab w:val="left" w:pos="1701"/>
                <w:tab w:val="left" w:pos="1985"/>
                <w:tab w:val="left" w:pos="2268"/>
              </w:tabs>
              <w:suppressAutoHyphens w:val="0"/>
              <w:spacing w:after="40" w:line="240" w:lineRule="auto"/>
              <w:rPr>
                <w:bCs/>
                <w:color w:val="000000"/>
                <w:sz w:val="18"/>
                <w:szCs w:val="18"/>
                <w:lang w:val="de-DE" w:eastAsia="de-CH"/>
              </w:rPr>
            </w:pPr>
            <w:r w:rsidRPr="00DD2A86">
              <w:rPr>
                <w:bCs/>
                <w:color w:val="000000"/>
                <w:sz w:val="18"/>
                <w:szCs w:val="18"/>
                <w:lang w:val="de-DE" w:eastAsia="de-CH"/>
              </w:rPr>
              <w:t>GEGENSTÄNDE, DIE EINEN ENTZÜNDEND (OXIDIEREND) WIRKENDEN STOFF ENTHALTEN, N.A.G.</w:t>
            </w:r>
          </w:p>
        </w:tc>
        <w:tc>
          <w:tcPr>
            <w:tcW w:w="1667" w:type="dxa"/>
          </w:tcPr>
          <w:p w:rsidR="004C26B3" w:rsidRPr="00DD2A86" w:rsidRDefault="004C26B3" w:rsidP="004C26B3">
            <w:pPr>
              <w:widowControl w:val="0"/>
              <w:tabs>
                <w:tab w:val="left" w:pos="1985"/>
              </w:tabs>
              <w:suppressAutoHyphens w:val="0"/>
              <w:spacing w:after="40" w:line="240" w:lineRule="auto"/>
              <w:jc w:val="both"/>
              <w:rPr>
                <w:color w:val="000000"/>
                <w:sz w:val="18"/>
                <w:szCs w:val="18"/>
                <w:lang w:val="de-DE" w:eastAsia="de-DE"/>
              </w:rPr>
            </w:pPr>
            <w:r w:rsidRPr="00DD2A86">
              <w:rPr>
                <w:color w:val="000000"/>
                <w:sz w:val="18"/>
                <w:szCs w:val="18"/>
                <w:lang w:val="de-DE" w:eastAsia="de-DE"/>
              </w:rPr>
              <w:t>3544</w:t>
            </w:r>
          </w:p>
        </w:tc>
      </w:tr>
      <w:tr w:rsidR="004C26B3" w:rsidRPr="00DD2A86" w:rsidTr="00573B62">
        <w:trPr>
          <w:cantSplit/>
        </w:trPr>
        <w:tc>
          <w:tcPr>
            <w:tcW w:w="5671" w:type="dxa"/>
          </w:tcPr>
          <w:p w:rsidR="004C26B3" w:rsidRPr="00DD2A86" w:rsidRDefault="004C26B3" w:rsidP="004C26B3">
            <w:pPr>
              <w:tabs>
                <w:tab w:val="left" w:pos="1418"/>
                <w:tab w:val="left" w:pos="1701"/>
                <w:tab w:val="left" w:pos="1985"/>
                <w:tab w:val="left" w:pos="2268"/>
              </w:tabs>
              <w:suppressAutoHyphens w:val="0"/>
              <w:spacing w:after="40" w:line="240" w:lineRule="auto"/>
              <w:rPr>
                <w:bCs/>
                <w:caps/>
                <w:color w:val="000000"/>
                <w:sz w:val="18"/>
                <w:szCs w:val="18"/>
                <w:lang w:val="de-DE" w:eastAsia="de-CH"/>
              </w:rPr>
            </w:pPr>
            <w:r w:rsidRPr="00DD2A86">
              <w:rPr>
                <w:bCs/>
                <w:caps/>
                <w:color w:val="000000"/>
                <w:sz w:val="18"/>
                <w:szCs w:val="18"/>
                <w:lang w:val="de-DE" w:eastAsia="de-CH"/>
              </w:rPr>
              <w:t>GEGENSTÄNDE, DIE EINEN GIFTIGEN STOFF ENTHALTEN, N.A.G.</w:t>
            </w:r>
          </w:p>
        </w:tc>
        <w:tc>
          <w:tcPr>
            <w:tcW w:w="1667" w:type="dxa"/>
          </w:tcPr>
          <w:p w:rsidR="004C26B3" w:rsidRPr="00DD2A86" w:rsidRDefault="004C26B3" w:rsidP="004C26B3">
            <w:pPr>
              <w:widowControl w:val="0"/>
              <w:tabs>
                <w:tab w:val="left" w:pos="1985"/>
              </w:tabs>
              <w:suppressAutoHyphens w:val="0"/>
              <w:spacing w:after="40" w:line="240" w:lineRule="auto"/>
              <w:jc w:val="both"/>
              <w:rPr>
                <w:color w:val="000000"/>
                <w:sz w:val="18"/>
                <w:szCs w:val="18"/>
                <w:lang w:val="de-DE" w:eastAsia="de-DE"/>
              </w:rPr>
            </w:pPr>
            <w:r w:rsidRPr="00DD2A86">
              <w:rPr>
                <w:color w:val="000000"/>
                <w:sz w:val="18"/>
                <w:szCs w:val="18"/>
                <w:lang w:val="de-DE" w:eastAsia="de-DE"/>
              </w:rPr>
              <w:t>3546</w:t>
            </w:r>
          </w:p>
        </w:tc>
      </w:tr>
      <w:tr w:rsidR="004C26B3" w:rsidRPr="00DD2A86" w:rsidTr="00573B62">
        <w:trPr>
          <w:cantSplit/>
        </w:trPr>
        <w:tc>
          <w:tcPr>
            <w:tcW w:w="5671" w:type="dxa"/>
          </w:tcPr>
          <w:p w:rsidR="004C26B3" w:rsidRPr="00DD2A86" w:rsidRDefault="004C26B3" w:rsidP="004C26B3">
            <w:pPr>
              <w:tabs>
                <w:tab w:val="left" w:pos="1418"/>
                <w:tab w:val="left" w:pos="1701"/>
                <w:tab w:val="left" w:pos="1985"/>
                <w:tab w:val="left" w:pos="2268"/>
              </w:tabs>
              <w:suppressAutoHyphens w:val="0"/>
              <w:spacing w:after="40" w:line="240" w:lineRule="auto"/>
              <w:rPr>
                <w:bCs/>
                <w:caps/>
                <w:color w:val="000000"/>
                <w:sz w:val="18"/>
                <w:szCs w:val="18"/>
                <w:lang w:val="de-DE" w:eastAsia="de-CH"/>
              </w:rPr>
            </w:pPr>
            <w:r w:rsidRPr="00DD2A86">
              <w:rPr>
                <w:bCs/>
                <w:caps/>
                <w:color w:val="000000"/>
                <w:sz w:val="18"/>
                <w:szCs w:val="18"/>
                <w:lang w:val="de-DE" w:eastAsia="de-CH"/>
              </w:rPr>
              <w:t>GEGENSTÄNDE, DIE EINEN SELBSTENTZÜNDLICHEN STOFF ENTHALTEN, N.A.G.</w:t>
            </w:r>
          </w:p>
        </w:tc>
        <w:tc>
          <w:tcPr>
            <w:tcW w:w="1667" w:type="dxa"/>
          </w:tcPr>
          <w:p w:rsidR="004C26B3" w:rsidRPr="00DD2A86" w:rsidRDefault="004C26B3" w:rsidP="004C26B3">
            <w:pPr>
              <w:widowControl w:val="0"/>
              <w:tabs>
                <w:tab w:val="left" w:pos="1985"/>
              </w:tabs>
              <w:suppressAutoHyphens w:val="0"/>
              <w:spacing w:after="40" w:line="240" w:lineRule="auto"/>
              <w:jc w:val="both"/>
              <w:rPr>
                <w:color w:val="000000"/>
                <w:sz w:val="18"/>
                <w:szCs w:val="18"/>
                <w:lang w:val="de-DE" w:eastAsia="de-DE"/>
              </w:rPr>
            </w:pPr>
            <w:r w:rsidRPr="00DD2A86">
              <w:rPr>
                <w:color w:val="000000"/>
                <w:sz w:val="18"/>
                <w:szCs w:val="18"/>
                <w:lang w:val="de-DE" w:eastAsia="de-DE"/>
              </w:rPr>
              <w:t>3542</w:t>
            </w:r>
          </w:p>
        </w:tc>
      </w:tr>
      <w:tr w:rsidR="004C26B3" w:rsidRPr="00DD2A86" w:rsidTr="00573B62">
        <w:trPr>
          <w:cantSplit/>
        </w:trPr>
        <w:tc>
          <w:tcPr>
            <w:tcW w:w="5671" w:type="dxa"/>
          </w:tcPr>
          <w:p w:rsidR="004C26B3" w:rsidRPr="00DD2A86" w:rsidRDefault="004C26B3" w:rsidP="004C26B3">
            <w:pPr>
              <w:tabs>
                <w:tab w:val="left" w:pos="1418"/>
                <w:tab w:val="left" w:pos="1701"/>
                <w:tab w:val="left" w:pos="1985"/>
                <w:tab w:val="left" w:pos="2268"/>
              </w:tabs>
              <w:suppressAutoHyphens w:val="0"/>
              <w:spacing w:after="40" w:line="240" w:lineRule="auto"/>
              <w:rPr>
                <w:snapToGrid w:val="0"/>
                <w:color w:val="000000"/>
                <w:sz w:val="18"/>
                <w:szCs w:val="18"/>
                <w:lang w:val="de-DE" w:eastAsia="de-DE"/>
              </w:rPr>
            </w:pPr>
            <w:r w:rsidRPr="00DD2A86">
              <w:rPr>
                <w:snapToGrid w:val="0"/>
                <w:color w:val="000000"/>
                <w:sz w:val="18"/>
                <w:szCs w:val="18"/>
                <w:lang w:val="de-DE" w:eastAsia="de-DE"/>
              </w:rPr>
              <w:t>GEGENSTÄNDE, DIE EINEN STOFF ENTHALTEN, DER IN BERÜHRUNG MIT WASSER ENTZÜNDBARE GASE ENTWICKELT, N.A.G.</w:t>
            </w:r>
          </w:p>
        </w:tc>
        <w:tc>
          <w:tcPr>
            <w:tcW w:w="1667" w:type="dxa"/>
          </w:tcPr>
          <w:p w:rsidR="004C26B3" w:rsidRPr="00DD2A86" w:rsidRDefault="004C26B3" w:rsidP="004C26B3">
            <w:pPr>
              <w:widowControl w:val="0"/>
              <w:tabs>
                <w:tab w:val="left" w:pos="1985"/>
              </w:tabs>
              <w:suppressAutoHyphens w:val="0"/>
              <w:spacing w:after="40" w:line="240" w:lineRule="auto"/>
              <w:jc w:val="both"/>
              <w:rPr>
                <w:color w:val="000000"/>
                <w:sz w:val="18"/>
                <w:szCs w:val="18"/>
                <w:lang w:val="de-DE" w:eastAsia="de-DE"/>
              </w:rPr>
            </w:pPr>
            <w:r w:rsidRPr="00DD2A86">
              <w:rPr>
                <w:color w:val="000000"/>
                <w:sz w:val="18"/>
                <w:szCs w:val="18"/>
                <w:lang w:val="de-DE" w:eastAsia="de-DE"/>
              </w:rPr>
              <w:t>3543</w:t>
            </w:r>
          </w:p>
        </w:tc>
      </w:tr>
      <w:tr w:rsidR="004C26B3" w:rsidRPr="00DD2A86" w:rsidTr="00573B62">
        <w:trPr>
          <w:cantSplit/>
        </w:trPr>
        <w:tc>
          <w:tcPr>
            <w:tcW w:w="5671" w:type="dxa"/>
          </w:tcPr>
          <w:p w:rsidR="004C26B3" w:rsidRPr="00DD2A86" w:rsidRDefault="004C26B3" w:rsidP="004C26B3">
            <w:pPr>
              <w:tabs>
                <w:tab w:val="left" w:pos="1418"/>
                <w:tab w:val="left" w:pos="1701"/>
                <w:tab w:val="left" w:pos="1985"/>
                <w:tab w:val="left" w:pos="2268"/>
              </w:tabs>
              <w:suppressAutoHyphens w:val="0"/>
              <w:spacing w:after="40" w:line="240" w:lineRule="auto"/>
              <w:rPr>
                <w:bCs/>
                <w:caps/>
                <w:color w:val="000000"/>
                <w:sz w:val="18"/>
                <w:szCs w:val="18"/>
                <w:lang w:val="de-DE" w:eastAsia="de-CH"/>
              </w:rPr>
            </w:pPr>
            <w:r w:rsidRPr="00DD2A86">
              <w:rPr>
                <w:bCs/>
                <w:caps/>
                <w:color w:val="000000"/>
                <w:sz w:val="18"/>
                <w:szCs w:val="18"/>
                <w:lang w:val="de-DE" w:eastAsia="de-CH"/>
              </w:rPr>
              <w:t>GEGenstände, die entzündbares Gas enthalten, n.a.g.</w:t>
            </w:r>
          </w:p>
        </w:tc>
        <w:tc>
          <w:tcPr>
            <w:tcW w:w="1667" w:type="dxa"/>
          </w:tcPr>
          <w:p w:rsidR="004C26B3" w:rsidRPr="00DD2A86" w:rsidRDefault="004C26B3" w:rsidP="004C26B3">
            <w:pPr>
              <w:widowControl w:val="0"/>
              <w:tabs>
                <w:tab w:val="left" w:pos="1985"/>
              </w:tabs>
              <w:suppressAutoHyphens w:val="0"/>
              <w:spacing w:after="40" w:line="240" w:lineRule="auto"/>
              <w:jc w:val="both"/>
              <w:rPr>
                <w:color w:val="000000"/>
                <w:sz w:val="18"/>
                <w:szCs w:val="18"/>
                <w:lang w:val="de-DE" w:eastAsia="de-DE"/>
              </w:rPr>
            </w:pPr>
            <w:r w:rsidRPr="00DD2A86">
              <w:rPr>
                <w:color w:val="000000"/>
                <w:sz w:val="18"/>
                <w:szCs w:val="18"/>
                <w:lang w:val="de-DE" w:eastAsia="de-DE"/>
              </w:rPr>
              <w:t>3537</w:t>
            </w:r>
          </w:p>
        </w:tc>
      </w:tr>
      <w:tr w:rsidR="004C26B3" w:rsidRPr="00DD2A86" w:rsidTr="00573B62">
        <w:trPr>
          <w:cantSplit/>
        </w:trPr>
        <w:tc>
          <w:tcPr>
            <w:tcW w:w="5671" w:type="dxa"/>
          </w:tcPr>
          <w:p w:rsidR="004C26B3" w:rsidRPr="00DD2A86" w:rsidRDefault="004C26B3" w:rsidP="004C26B3">
            <w:pPr>
              <w:tabs>
                <w:tab w:val="left" w:pos="1418"/>
                <w:tab w:val="left" w:pos="1701"/>
                <w:tab w:val="left" w:pos="1985"/>
                <w:tab w:val="left" w:pos="2268"/>
              </w:tabs>
              <w:suppressAutoHyphens w:val="0"/>
              <w:spacing w:after="40" w:line="240" w:lineRule="auto"/>
              <w:rPr>
                <w:bCs/>
                <w:caps/>
                <w:color w:val="000000"/>
                <w:sz w:val="18"/>
                <w:szCs w:val="18"/>
                <w:lang w:val="de-DE" w:eastAsia="de-CH"/>
              </w:rPr>
            </w:pPr>
            <w:r w:rsidRPr="00DD2A86">
              <w:rPr>
                <w:bCs/>
                <w:caps/>
                <w:color w:val="000000"/>
                <w:sz w:val="18"/>
                <w:szCs w:val="18"/>
                <w:lang w:val="de-DE" w:eastAsia="de-CH"/>
              </w:rPr>
              <w:t>GEGENSTÄNDE, DIE GIFTIGES GAS ENTHALTEN, N.A.G.</w:t>
            </w:r>
          </w:p>
        </w:tc>
        <w:tc>
          <w:tcPr>
            <w:tcW w:w="1667" w:type="dxa"/>
          </w:tcPr>
          <w:p w:rsidR="004C26B3" w:rsidRPr="00DD2A86" w:rsidRDefault="004C26B3" w:rsidP="004C26B3">
            <w:pPr>
              <w:widowControl w:val="0"/>
              <w:tabs>
                <w:tab w:val="left" w:pos="1985"/>
              </w:tabs>
              <w:suppressAutoHyphens w:val="0"/>
              <w:spacing w:after="40" w:line="240" w:lineRule="auto"/>
              <w:jc w:val="both"/>
              <w:rPr>
                <w:color w:val="000000"/>
                <w:sz w:val="18"/>
                <w:szCs w:val="18"/>
                <w:lang w:val="de-DE" w:eastAsia="de-DE"/>
              </w:rPr>
            </w:pPr>
            <w:r w:rsidRPr="00DD2A86">
              <w:rPr>
                <w:color w:val="000000"/>
                <w:sz w:val="18"/>
                <w:szCs w:val="18"/>
                <w:lang w:val="de-DE" w:eastAsia="de-DE"/>
              </w:rPr>
              <w:t>3539</w:t>
            </w:r>
          </w:p>
        </w:tc>
      </w:tr>
      <w:tr w:rsidR="004C26B3" w:rsidRPr="00DD2A86" w:rsidTr="00573B62">
        <w:trPr>
          <w:cantSplit/>
        </w:trPr>
        <w:tc>
          <w:tcPr>
            <w:tcW w:w="5671" w:type="dxa"/>
          </w:tcPr>
          <w:p w:rsidR="004C26B3" w:rsidRPr="00DD2A86" w:rsidRDefault="004C26B3" w:rsidP="004C26B3">
            <w:pPr>
              <w:tabs>
                <w:tab w:val="left" w:pos="1418"/>
                <w:tab w:val="left" w:pos="1701"/>
                <w:tab w:val="left" w:pos="1985"/>
                <w:tab w:val="left" w:pos="2268"/>
              </w:tabs>
              <w:suppressAutoHyphens w:val="0"/>
              <w:spacing w:after="40" w:line="240" w:lineRule="auto"/>
              <w:rPr>
                <w:bCs/>
                <w:color w:val="000000"/>
                <w:sz w:val="18"/>
                <w:szCs w:val="18"/>
                <w:lang w:val="de-DE" w:eastAsia="de-CH"/>
              </w:rPr>
            </w:pPr>
            <w:r w:rsidRPr="00DD2A86">
              <w:rPr>
                <w:bCs/>
                <w:color w:val="000000"/>
                <w:sz w:val="18"/>
                <w:szCs w:val="18"/>
                <w:lang w:val="de-DE" w:eastAsia="de-CH"/>
              </w:rPr>
              <w:t>GEGENSTÄNDE, DIE NICHT ENTZÜNDBARES, NICHT GIFTIGES GAS ENTHALTEN, N.A.G.</w:t>
            </w:r>
          </w:p>
        </w:tc>
        <w:tc>
          <w:tcPr>
            <w:tcW w:w="1667" w:type="dxa"/>
          </w:tcPr>
          <w:p w:rsidR="004C26B3" w:rsidRPr="00DD2A86" w:rsidRDefault="004C26B3" w:rsidP="004C26B3">
            <w:pPr>
              <w:widowControl w:val="0"/>
              <w:tabs>
                <w:tab w:val="left" w:pos="1985"/>
              </w:tabs>
              <w:suppressAutoHyphens w:val="0"/>
              <w:spacing w:after="40" w:line="240" w:lineRule="auto"/>
              <w:jc w:val="both"/>
              <w:rPr>
                <w:color w:val="000000"/>
                <w:sz w:val="18"/>
                <w:szCs w:val="18"/>
                <w:lang w:val="de-DE" w:eastAsia="de-DE"/>
              </w:rPr>
            </w:pPr>
            <w:r w:rsidRPr="00DD2A86">
              <w:rPr>
                <w:color w:val="000000"/>
                <w:sz w:val="18"/>
                <w:szCs w:val="18"/>
                <w:lang w:val="de-DE" w:eastAsia="de-DE"/>
              </w:rPr>
              <w:t>3538</w:t>
            </w:r>
          </w:p>
        </w:tc>
      </w:tr>
      <w:tr w:rsidR="004C26B3" w:rsidRPr="00DD2A86" w:rsidTr="00573B62">
        <w:trPr>
          <w:cantSplit/>
        </w:trPr>
        <w:tc>
          <w:tcPr>
            <w:tcW w:w="5671" w:type="dxa"/>
          </w:tcPr>
          <w:p w:rsidR="004C26B3" w:rsidRPr="00DD2A86" w:rsidRDefault="004C26B3" w:rsidP="004C26B3">
            <w:pPr>
              <w:tabs>
                <w:tab w:val="left" w:pos="1418"/>
                <w:tab w:val="left" w:pos="1701"/>
                <w:tab w:val="left" w:pos="1985"/>
                <w:tab w:val="left" w:pos="2268"/>
              </w:tabs>
              <w:suppressAutoHyphens w:val="0"/>
              <w:spacing w:after="40" w:line="240" w:lineRule="auto"/>
              <w:rPr>
                <w:bCs/>
                <w:caps/>
                <w:color w:val="000000"/>
                <w:sz w:val="18"/>
                <w:szCs w:val="18"/>
                <w:lang w:val="de-DE" w:eastAsia="de-CH"/>
              </w:rPr>
            </w:pPr>
            <w:r w:rsidRPr="00DD2A86">
              <w:rPr>
                <w:bCs/>
                <w:caps/>
                <w:color w:val="000000"/>
                <w:sz w:val="18"/>
                <w:szCs w:val="18"/>
                <w:lang w:val="de-DE" w:eastAsia="de-CH"/>
              </w:rPr>
              <w:t>GEGENSTÄNDE, DIE ORGANISCHES PEROXID ENTHALTEN, N.A.G.</w:t>
            </w:r>
          </w:p>
        </w:tc>
        <w:tc>
          <w:tcPr>
            <w:tcW w:w="1667" w:type="dxa"/>
          </w:tcPr>
          <w:p w:rsidR="004C26B3" w:rsidRPr="00DD2A86" w:rsidRDefault="004C26B3" w:rsidP="004C26B3">
            <w:pPr>
              <w:widowControl w:val="0"/>
              <w:tabs>
                <w:tab w:val="left" w:pos="1985"/>
              </w:tabs>
              <w:suppressAutoHyphens w:val="0"/>
              <w:spacing w:after="40" w:line="240" w:lineRule="auto"/>
              <w:jc w:val="both"/>
              <w:rPr>
                <w:color w:val="000000"/>
                <w:sz w:val="18"/>
                <w:szCs w:val="18"/>
                <w:lang w:val="de-DE" w:eastAsia="de-DE"/>
              </w:rPr>
            </w:pPr>
            <w:r w:rsidRPr="00DD2A86">
              <w:rPr>
                <w:color w:val="000000"/>
                <w:sz w:val="18"/>
                <w:szCs w:val="18"/>
                <w:lang w:val="de-DE" w:eastAsia="de-DE"/>
              </w:rPr>
              <w:t>3545</w:t>
            </w:r>
          </w:p>
        </w:tc>
      </w:tr>
      <w:tr w:rsidR="004C26B3" w:rsidRPr="00DD2A86" w:rsidTr="00573B62">
        <w:trPr>
          <w:cantSplit/>
        </w:trPr>
        <w:tc>
          <w:tcPr>
            <w:tcW w:w="5671" w:type="dxa"/>
          </w:tcPr>
          <w:p w:rsidR="004C26B3" w:rsidRPr="00DD2A86" w:rsidRDefault="004C26B3" w:rsidP="004C26B3">
            <w:pPr>
              <w:tabs>
                <w:tab w:val="left" w:pos="1418"/>
                <w:tab w:val="left" w:pos="1701"/>
                <w:tab w:val="left" w:pos="1985"/>
                <w:tab w:val="left" w:pos="2268"/>
              </w:tabs>
              <w:suppressAutoHyphens w:val="0"/>
              <w:spacing w:after="40" w:line="240" w:lineRule="auto"/>
              <w:rPr>
                <w:bCs/>
                <w:caps/>
                <w:color w:val="000000"/>
                <w:sz w:val="18"/>
                <w:szCs w:val="18"/>
                <w:lang w:val="de-DE" w:eastAsia="de-CH"/>
              </w:rPr>
            </w:pPr>
            <w:r w:rsidRPr="00DD2A86">
              <w:rPr>
                <w:bCs/>
                <w:caps/>
                <w:color w:val="000000"/>
                <w:sz w:val="18"/>
                <w:szCs w:val="18"/>
                <w:lang w:val="de-DE" w:eastAsia="de-CH"/>
              </w:rPr>
              <w:t>GEGENSTÄNDE, DIE VERSCHIEDENE GEFÄHRLICHE GÜTER ENTHALTEN, N.A.G.</w:t>
            </w:r>
          </w:p>
        </w:tc>
        <w:tc>
          <w:tcPr>
            <w:tcW w:w="1667" w:type="dxa"/>
          </w:tcPr>
          <w:p w:rsidR="004C26B3" w:rsidRPr="00DD2A86" w:rsidRDefault="004C26B3" w:rsidP="004C26B3">
            <w:pPr>
              <w:widowControl w:val="0"/>
              <w:tabs>
                <w:tab w:val="left" w:pos="1985"/>
              </w:tabs>
              <w:suppressAutoHyphens w:val="0"/>
              <w:spacing w:after="40" w:line="240" w:lineRule="auto"/>
              <w:jc w:val="both"/>
              <w:rPr>
                <w:color w:val="000000"/>
                <w:sz w:val="18"/>
                <w:szCs w:val="18"/>
                <w:lang w:val="de-DE" w:eastAsia="de-DE"/>
              </w:rPr>
            </w:pPr>
            <w:r w:rsidRPr="00DD2A86">
              <w:rPr>
                <w:color w:val="000000"/>
                <w:sz w:val="18"/>
                <w:szCs w:val="18"/>
                <w:lang w:val="de-DE" w:eastAsia="de-DE"/>
              </w:rPr>
              <w:t>3548</w:t>
            </w:r>
          </w:p>
        </w:tc>
      </w:tr>
      <w:tr w:rsidR="004C26B3" w:rsidRPr="00DD2A86" w:rsidTr="00573B62">
        <w:trPr>
          <w:cantSplit/>
        </w:trPr>
        <w:tc>
          <w:tcPr>
            <w:tcW w:w="5671" w:type="dxa"/>
          </w:tcPr>
          <w:p w:rsidR="004C26B3" w:rsidRPr="00DD2A86" w:rsidRDefault="004C26B3" w:rsidP="004C26B3">
            <w:pPr>
              <w:tabs>
                <w:tab w:val="left" w:pos="1418"/>
                <w:tab w:val="left" w:pos="1701"/>
                <w:tab w:val="left" w:pos="1985"/>
                <w:tab w:val="left" w:pos="2268"/>
              </w:tabs>
              <w:suppressAutoHyphens w:val="0"/>
              <w:spacing w:after="40" w:line="240" w:lineRule="auto"/>
              <w:rPr>
                <w:bCs/>
                <w:caps/>
                <w:color w:val="000000"/>
                <w:sz w:val="18"/>
                <w:szCs w:val="18"/>
                <w:lang w:val="de-DE" w:eastAsia="de-CH"/>
              </w:rPr>
            </w:pPr>
            <w:r w:rsidRPr="00DD2A86">
              <w:rPr>
                <w:bCs/>
                <w:caps/>
                <w:color w:val="000000"/>
                <w:sz w:val="18"/>
                <w:szCs w:val="18"/>
                <w:lang w:val="de-DE" w:eastAsia="de-CH"/>
              </w:rPr>
              <w:t>GIFTIGER ANORGANISCHER FESTER STOFF, ENTZÜNDBAR, N.A.G.</w:t>
            </w:r>
          </w:p>
        </w:tc>
        <w:tc>
          <w:tcPr>
            <w:tcW w:w="1667" w:type="dxa"/>
          </w:tcPr>
          <w:p w:rsidR="004C26B3" w:rsidRPr="00DD2A86" w:rsidRDefault="004C26B3" w:rsidP="004C26B3">
            <w:pPr>
              <w:widowControl w:val="0"/>
              <w:tabs>
                <w:tab w:val="left" w:pos="1985"/>
              </w:tabs>
              <w:suppressAutoHyphens w:val="0"/>
              <w:spacing w:after="40" w:line="240" w:lineRule="auto"/>
              <w:jc w:val="both"/>
              <w:rPr>
                <w:color w:val="000000"/>
                <w:sz w:val="18"/>
                <w:szCs w:val="18"/>
                <w:lang w:val="de-DE" w:eastAsia="de-DE"/>
              </w:rPr>
            </w:pPr>
            <w:r w:rsidRPr="00DD2A86">
              <w:rPr>
                <w:color w:val="000000"/>
                <w:sz w:val="18"/>
                <w:szCs w:val="18"/>
                <w:lang w:val="de-DE" w:eastAsia="de-DE"/>
              </w:rPr>
              <w:t>3535</w:t>
            </w:r>
          </w:p>
        </w:tc>
      </w:tr>
      <w:tr w:rsidR="004C26B3" w:rsidRPr="00DD2A86" w:rsidTr="00573B62">
        <w:trPr>
          <w:cantSplit/>
        </w:trPr>
        <w:tc>
          <w:tcPr>
            <w:tcW w:w="5671" w:type="dxa"/>
          </w:tcPr>
          <w:p w:rsidR="004C26B3" w:rsidRPr="00DD2A86" w:rsidRDefault="004C26B3" w:rsidP="004C26B3">
            <w:pPr>
              <w:tabs>
                <w:tab w:val="left" w:pos="1418"/>
                <w:tab w:val="left" w:pos="1701"/>
                <w:tab w:val="left" w:pos="1985"/>
                <w:tab w:val="left" w:pos="2268"/>
              </w:tabs>
              <w:suppressAutoHyphens w:val="0"/>
              <w:spacing w:after="40" w:line="240" w:lineRule="auto"/>
              <w:rPr>
                <w:caps/>
                <w:color w:val="000000"/>
                <w:sz w:val="18"/>
                <w:szCs w:val="18"/>
                <w:lang w:val="de-DE" w:eastAsia="de-DE"/>
              </w:rPr>
            </w:pPr>
            <w:r w:rsidRPr="00DD2A86">
              <w:rPr>
                <w:bCs/>
                <w:caps/>
                <w:color w:val="000000"/>
                <w:sz w:val="18"/>
                <w:szCs w:val="18"/>
                <w:lang w:val="de-DE" w:eastAsia="de-DE"/>
              </w:rPr>
              <w:t>LithiumBatterien, in güterbeförderungseinheiten eingebaut</w:t>
            </w:r>
            <w:r w:rsidRPr="00DD2A86">
              <w:rPr>
                <w:bCs/>
                <w:color w:val="000000"/>
                <w:sz w:val="18"/>
                <w:szCs w:val="18"/>
                <w:lang w:val="de-DE" w:eastAsia="de-DE"/>
              </w:rPr>
              <w:t>, Lithium-Ionen-Batterien oder Lithium-Metall-Batterien</w:t>
            </w:r>
          </w:p>
        </w:tc>
        <w:tc>
          <w:tcPr>
            <w:tcW w:w="1667" w:type="dxa"/>
          </w:tcPr>
          <w:p w:rsidR="004C26B3" w:rsidRPr="00DD2A86" w:rsidRDefault="004C26B3" w:rsidP="004C26B3">
            <w:pPr>
              <w:widowControl w:val="0"/>
              <w:tabs>
                <w:tab w:val="left" w:pos="1985"/>
              </w:tabs>
              <w:suppressAutoHyphens w:val="0"/>
              <w:spacing w:after="40" w:line="240" w:lineRule="auto"/>
              <w:jc w:val="both"/>
              <w:rPr>
                <w:color w:val="000000"/>
                <w:sz w:val="18"/>
                <w:szCs w:val="18"/>
                <w:lang w:val="de-DE" w:eastAsia="de-DE"/>
              </w:rPr>
            </w:pPr>
            <w:r w:rsidRPr="00DD2A86">
              <w:rPr>
                <w:color w:val="000000"/>
                <w:sz w:val="18"/>
                <w:szCs w:val="18"/>
                <w:lang w:val="de-DE" w:eastAsia="de-DE"/>
              </w:rPr>
              <w:t>3536</w:t>
            </w:r>
          </w:p>
        </w:tc>
      </w:tr>
    </w:tbl>
    <w:p w:rsidR="004C26B3" w:rsidRPr="00DD2A86" w:rsidRDefault="004C26B3" w:rsidP="004C26B3">
      <w:pPr>
        <w:spacing w:before="120" w:after="120" w:line="240" w:lineRule="auto"/>
        <w:ind w:left="1134" w:right="1134"/>
        <w:jc w:val="both"/>
        <w:rPr>
          <w:iCs/>
          <w:lang w:val="de-DE"/>
        </w:rPr>
      </w:pPr>
    </w:p>
    <w:p w:rsidR="004C26B3" w:rsidRPr="00DD2A86" w:rsidRDefault="004C26B3" w:rsidP="004C26B3">
      <w:pPr>
        <w:spacing w:after="120"/>
        <w:ind w:left="1134" w:right="1134"/>
        <w:jc w:val="both"/>
        <w:rPr>
          <w:lang w:val="fr-FR"/>
        </w:rPr>
      </w:pPr>
    </w:p>
    <w:p w:rsidR="004C26B3" w:rsidRPr="00DD2A86" w:rsidRDefault="004C26B3" w:rsidP="004C26B3">
      <w:pPr>
        <w:suppressAutoHyphens w:val="0"/>
        <w:spacing w:line="240" w:lineRule="auto"/>
        <w:rPr>
          <w:b/>
          <w:sz w:val="24"/>
          <w:szCs w:val="24"/>
          <w:lang w:val="fr-FR"/>
        </w:rPr>
      </w:pPr>
    </w:p>
    <w:p w:rsidR="004C26B3" w:rsidRPr="00DD2A86" w:rsidRDefault="004C26B3" w:rsidP="004C26B3">
      <w:pPr>
        <w:suppressAutoHyphens w:val="0"/>
        <w:spacing w:line="240" w:lineRule="auto"/>
        <w:rPr>
          <w:b/>
          <w:sz w:val="24"/>
          <w:szCs w:val="24"/>
          <w:lang w:val="fr-FR"/>
        </w:rPr>
      </w:pPr>
    </w:p>
    <w:p w:rsidR="004C26B3" w:rsidRPr="00DD2A86" w:rsidRDefault="004C26B3" w:rsidP="004C26B3">
      <w:pPr>
        <w:suppressAutoHyphens w:val="0"/>
        <w:spacing w:line="240" w:lineRule="auto"/>
        <w:rPr>
          <w:b/>
          <w:sz w:val="24"/>
          <w:szCs w:val="24"/>
          <w:lang w:val="fr-FR"/>
        </w:rPr>
      </w:pPr>
    </w:p>
    <w:p w:rsidR="004C26B3" w:rsidRPr="00DD2A86" w:rsidRDefault="004C26B3" w:rsidP="004C26B3">
      <w:pPr>
        <w:suppressAutoHyphens w:val="0"/>
        <w:spacing w:line="240" w:lineRule="auto"/>
        <w:rPr>
          <w:b/>
          <w:sz w:val="24"/>
          <w:szCs w:val="24"/>
          <w:lang w:val="fr-FR"/>
        </w:rPr>
      </w:pPr>
    </w:p>
    <w:p w:rsidR="004C26B3" w:rsidRPr="00DD2A86" w:rsidRDefault="004C26B3" w:rsidP="004C26B3">
      <w:pPr>
        <w:suppressAutoHyphens w:val="0"/>
        <w:spacing w:line="240" w:lineRule="auto"/>
        <w:rPr>
          <w:b/>
          <w:sz w:val="24"/>
          <w:szCs w:val="24"/>
          <w:lang w:val="fr-FR"/>
        </w:rPr>
      </w:pPr>
    </w:p>
    <w:p w:rsidR="004C26B3" w:rsidRPr="00DD2A86" w:rsidRDefault="004C26B3" w:rsidP="004C26B3">
      <w:pPr>
        <w:suppressAutoHyphens w:val="0"/>
        <w:spacing w:line="240" w:lineRule="auto"/>
        <w:rPr>
          <w:b/>
          <w:sz w:val="24"/>
          <w:szCs w:val="24"/>
          <w:lang w:val="fr-FR"/>
        </w:rPr>
      </w:pPr>
    </w:p>
    <w:p w:rsidR="004C26B3" w:rsidRPr="00DD2A86" w:rsidRDefault="004C26B3" w:rsidP="004C26B3">
      <w:pPr>
        <w:suppressAutoHyphens w:val="0"/>
        <w:spacing w:line="240" w:lineRule="auto"/>
        <w:rPr>
          <w:b/>
          <w:sz w:val="24"/>
          <w:szCs w:val="24"/>
          <w:lang w:val="fr-FR"/>
        </w:rPr>
      </w:pPr>
    </w:p>
    <w:p w:rsidR="004C26B3" w:rsidRPr="00DD2A86" w:rsidRDefault="004C26B3" w:rsidP="004C26B3">
      <w:pPr>
        <w:suppressAutoHyphens w:val="0"/>
        <w:spacing w:line="240" w:lineRule="auto"/>
        <w:rPr>
          <w:b/>
          <w:sz w:val="24"/>
          <w:szCs w:val="24"/>
          <w:lang w:val="fr-FR"/>
        </w:rPr>
      </w:pPr>
    </w:p>
    <w:p w:rsidR="004C26B3" w:rsidRPr="00DD2A86" w:rsidRDefault="004C26B3" w:rsidP="004C26B3">
      <w:pPr>
        <w:suppressAutoHyphens w:val="0"/>
        <w:spacing w:line="240" w:lineRule="auto"/>
        <w:rPr>
          <w:b/>
          <w:sz w:val="24"/>
          <w:szCs w:val="24"/>
          <w:lang w:val="fr-FR"/>
        </w:rPr>
      </w:pPr>
    </w:p>
    <w:p w:rsidR="004C26B3" w:rsidRPr="00DD2A86" w:rsidRDefault="004C26B3" w:rsidP="004C26B3">
      <w:pPr>
        <w:suppressAutoHyphens w:val="0"/>
        <w:spacing w:line="240" w:lineRule="auto"/>
        <w:rPr>
          <w:b/>
          <w:sz w:val="24"/>
          <w:szCs w:val="24"/>
          <w:lang w:val="fr-FR"/>
        </w:rPr>
      </w:pPr>
    </w:p>
    <w:p w:rsidR="004C26B3" w:rsidRPr="00DD2A86" w:rsidRDefault="004C26B3" w:rsidP="004C26B3">
      <w:pPr>
        <w:suppressAutoHyphens w:val="0"/>
        <w:spacing w:line="240" w:lineRule="auto"/>
        <w:rPr>
          <w:b/>
          <w:sz w:val="24"/>
          <w:szCs w:val="24"/>
          <w:lang w:val="fr-FR"/>
        </w:rPr>
      </w:pPr>
    </w:p>
    <w:p w:rsidR="004C26B3" w:rsidRPr="00DD2A86" w:rsidRDefault="004C26B3" w:rsidP="004C26B3">
      <w:pPr>
        <w:suppressAutoHyphens w:val="0"/>
        <w:spacing w:line="240" w:lineRule="auto"/>
        <w:rPr>
          <w:b/>
          <w:sz w:val="24"/>
          <w:szCs w:val="24"/>
          <w:lang w:val="fr-FR"/>
        </w:rPr>
      </w:pPr>
    </w:p>
    <w:p w:rsidR="004F7853" w:rsidRPr="00DD2A86" w:rsidRDefault="004F7853" w:rsidP="00B61A90">
      <w:pPr>
        <w:keepNext/>
        <w:keepLines/>
        <w:tabs>
          <w:tab w:val="right" w:pos="851"/>
        </w:tabs>
        <w:spacing w:before="360" w:after="240" w:line="270" w:lineRule="exact"/>
        <w:ind w:left="1134" w:right="521" w:hanging="1134"/>
        <w:rPr>
          <w:b/>
          <w:sz w:val="24"/>
          <w:lang w:val="de-DE"/>
        </w:rPr>
      </w:pPr>
      <w:r w:rsidRPr="00DD2A86">
        <w:rPr>
          <w:b/>
          <w:sz w:val="24"/>
          <w:lang w:val="de-DE"/>
        </w:rPr>
        <w:t xml:space="preserve">Kapitel 3.2, </w:t>
      </w:r>
      <w:r w:rsidR="00C331A8" w:rsidRPr="00DD2A86">
        <w:rPr>
          <w:b/>
          <w:sz w:val="24"/>
          <w:lang w:val="de-DE"/>
        </w:rPr>
        <w:t xml:space="preserve">Erläuterungen zur </w:t>
      </w:r>
      <w:r w:rsidRPr="00DD2A86">
        <w:rPr>
          <w:b/>
          <w:sz w:val="24"/>
          <w:lang w:val="de-DE"/>
        </w:rPr>
        <w:t>Tabelle C</w:t>
      </w:r>
    </w:p>
    <w:p w:rsidR="009E1FDA" w:rsidRPr="00DD2A86" w:rsidRDefault="009E1FDA" w:rsidP="009E1FDA">
      <w:pPr>
        <w:tabs>
          <w:tab w:val="left" w:pos="2268"/>
        </w:tabs>
        <w:spacing w:before="120" w:after="120"/>
        <w:ind w:left="1134" w:right="1133"/>
        <w:jc w:val="both"/>
        <w:rPr>
          <w:rFonts w:eastAsia="SimSun"/>
          <w:lang w:val="de-DE" w:eastAsia="zh-CN"/>
        </w:rPr>
      </w:pPr>
      <w:r w:rsidRPr="00DD2A86">
        <w:rPr>
          <w:rFonts w:eastAsiaTheme="minorHAnsi"/>
          <w:lang w:val="de-DE"/>
        </w:rPr>
        <w:t>3.2.3.1</w:t>
      </w:r>
      <w:r w:rsidRPr="00DD2A86">
        <w:rPr>
          <w:rFonts w:eastAsiaTheme="minorHAnsi"/>
          <w:lang w:val="de-DE"/>
        </w:rPr>
        <w:tab/>
      </w:r>
      <w:r w:rsidR="005C157C" w:rsidRPr="00DD2A86">
        <w:rPr>
          <w:bCs/>
          <w:lang w:val="de-DE"/>
        </w:rPr>
        <w:t>D</w:t>
      </w:r>
      <w:r w:rsidRPr="00DD2A86">
        <w:rPr>
          <w:bCs/>
          <w:lang w:val="de-DE"/>
        </w:rPr>
        <w:t xml:space="preserve">er letzte Anstrich des zweiten Absatzes </w:t>
      </w:r>
      <w:r w:rsidR="005C157C" w:rsidRPr="00DD2A86">
        <w:rPr>
          <w:bCs/>
          <w:lang w:val="de-DE"/>
        </w:rPr>
        <w:t xml:space="preserve">erhält </w:t>
      </w:r>
      <w:r w:rsidRPr="00DD2A86">
        <w:rPr>
          <w:bCs/>
          <w:lang w:val="de-DE"/>
        </w:rPr>
        <w:t>folgenden Wortlaut:</w:t>
      </w:r>
    </w:p>
    <w:p w:rsidR="009E1FDA" w:rsidRPr="00DD2A86" w:rsidRDefault="009E1FDA" w:rsidP="009E1FDA">
      <w:pPr>
        <w:suppressAutoHyphens w:val="0"/>
        <w:spacing w:line="240" w:lineRule="auto"/>
        <w:ind w:left="1134" w:right="1133"/>
        <w:jc w:val="both"/>
        <w:rPr>
          <w:bCs/>
          <w:lang w:val="de-DE"/>
        </w:rPr>
      </w:pPr>
      <w:r w:rsidRPr="00DD2A86">
        <w:rPr>
          <w:bCs/>
          <w:lang w:val="de-DE"/>
        </w:rPr>
        <w:t>„- ist in einer Zelle ein „*“ angegeben, so sind die anzuwendenden Vorschriften in Anwendung von 3.2.3.3 zu ermitteln. Der Ermittlung der anzuwendenden Vorschriften in Anwendung von 3.2.3.3 ist gegenüber der Nutzung der Einträge für Gemische mit Mangel an Daten der Vorrang zu geben.“.</w:t>
      </w:r>
    </w:p>
    <w:p w:rsidR="00DE078B" w:rsidRPr="00DD2A86" w:rsidRDefault="00DE078B" w:rsidP="00DE078B">
      <w:pPr>
        <w:spacing w:before="120" w:after="120"/>
        <w:ind w:left="1134" w:right="1134"/>
        <w:jc w:val="both"/>
        <w:rPr>
          <w:iCs/>
          <w:lang w:val="de-DE"/>
        </w:rPr>
      </w:pPr>
      <w:r w:rsidRPr="00DD2A86">
        <w:rPr>
          <w:iCs/>
          <w:lang w:val="de-DE"/>
        </w:rPr>
        <w:t>3.2.3.1</w:t>
      </w:r>
      <w:r w:rsidR="005C157C" w:rsidRPr="00DD2A86">
        <w:rPr>
          <w:iCs/>
          <w:lang w:val="de-DE"/>
        </w:rPr>
        <w:t>,</w:t>
      </w:r>
      <w:r w:rsidRPr="00DD2A86">
        <w:rPr>
          <w:rFonts w:eastAsia="SimSun"/>
          <w:bCs/>
          <w:iCs/>
          <w:lang w:val="de-DE" w:eastAsia="zh-CN"/>
        </w:rPr>
        <w:t xml:space="preserve"> Spalte </w:t>
      </w:r>
      <w:r w:rsidRPr="00DD2A86">
        <w:rPr>
          <w:rFonts w:eastAsia="SimSun"/>
          <w:lang w:val="de-DE" w:eastAsia="zh-CN"/>
        </w:rPr>
        <w:t>(5)</w:t>
      </w:r>
      <w:r w:rsidR="005C157C" w:rsidRPr="00DD2A86">
        <w:rPr>
          <w:rFonts w:eastAsia="SimSun"/>
          <w:lang w:val="de-DE" w:eastAsia="zh-CN"/>
        </w:rPr>
        <w:tab/>
        <w:t>D</w:t>
      </w:r>
      <w:r w:rsidRPr="00DD2A86">
        <w:rPr>
          <w:rFonts w:eastAsia="SimSun"/>
          <w:lang w:val="de-DE" w:eastAsia="zh-CN"/>
        </w:rPr>
        <w:t xml:space="preserve">ie dritten und vierten Absätze </w:t>
      </w:r>
      <w:r w:rsidR="005C157C" w:rsidRPr="00DD2A86">
        <w:rPr>
          <w:rFonts w:eastAsia="SimSun"/>
          <w:lang w:val="de-DE" w:eastAsia="zh-CN"/>
        </w:rPr>
        <w:t xml:space="preserve">erhalten </w:t>
      </w:r>
      <w:r w:rsidRPr="00DD2A86">
        <w:rPr>
          <w:rFonts w:eastAsia="SimSun"/>
          <w:lang w:val="de-DE" w:eastAsia="zh-CN"/>
        </w:rPr>
        <w:t>folgenden Wortlaut:</w:t>
      </w:r>
    </w:p>
    <w:p w:rsidR="0051303B" w:rsidRPr="00DD2A86" w:rsidRDefault="0051303B" w:rsidP="0051303B">
      <w:pPr>
        <w:spacing w:after="120"/>
        <w:ind w:left="1134" w:right="1134"/>
        <w:jc w:val="both"/>
        <w:rPr>
          <w:lang w:val="de-DE"/>
        </w:rPr>
      </w:pPr>
      <w:r w:rsidRPr="00DD2A86">
        <w:rPr>
          <w:lang w:val="de-DE"/>
        </w:rPr>
        <w:t>„Handelt es sich um einen Stoff oder um eine Mischung mit CMR-Eigenschaften  werden diese Angaben durch den Code „CMR“ ergänzt.“</w:t>
      </w:r>
    </w:p>
    <w:p w:rsidR="00DE078B" w:rsidRPr="00DD2A86" w:rsidRDefault="00DE078B" w:rsidP="00DE078B">
      <w:pPr>
        <w:spacing w:after="120"/>
        <w:ind w:left="1134" w:right="1134"/>
        <w:jc w:val="both"/>
        <w:rPr>
          <w:iCs/>
          <w:lang w:val="de-DE"/>
        </w:rPr>
      </w:pPr>
      <w:r w:rsidRPr="00DD2A86">
        <w:rPr>
          <w:iCs/>
          <w:lang w:val="de-DE"/>
        </w:rPr>
        <w:t>CMR dient zur Kennzeichnung von Stoffen mit längerfristigen Wirkungen (</w:t>
      </w:r>
      <w:r w:rsidRPr="00DD2A86">
        <w:rPr>
          <w:i/>
          <w:iCs/>
          <w:lang w:val="de-DE"/>
        </w:rPr>
        <w:t>krebserzeugend, erbgutverändernd oder fortpflanzungsgefährdend</w:t>
      </w:r>
      <w:r w:rsidRPr="00DD2A86">
        <w:rPr>
          <w:iCs/>
          <w:lang w:val="de-DE"/>
        </w:rPr>
        <w:t>, Kategorien 1A und 1B gemäß den Kriterien der Kapitel 3.5, 3.6 und 3.7 des GHS).</w:t>
      </w:r>
    </w:p>
    <w:p w:rsidR="00DE078B" w:rsidRPr="00DD2A86" w:rsidRDefault="00DE078B" w:rsidP="00DE078B">
      <w:pPr>
        <w:spacing w:after="120"/>
        <w:ind w:left="1134" w:right="1134"/>
        <w:jc w:val="both"/>
        <w:rPr>
          <w:iCs/>
          <w:lang w:val="de-DE"/>
        </w:rPr>
      </w:pPr>
      <w:r w:rsidRPr="00DD2A86">
        <w:rPr>
          <w:iCs/>
          <w:lang w:val="de-DE"/>
        </w:rPr>
        <w:t>Handelt es sich um einen wasserverunreinigenden Stoff oder eine wasserverunreinigende Mischung, werden diese Angaben durch den Code „N1“, „N2“ oder „N3“ ergänzt (</w:t>
      </w:r>
      <w:r w:rsidR="00057507" w:rsidRPr="00DD2A86">
        <w:rPr>
          <w:iCs/>
          <w:lang w:val="de-DE"/>
        </w:rPr>
        <w:t>s</w:t>
      </w:r>
      <w:r w:rsidRPr="00DD2A86">
        <w:rPr>
          <w:bCs/>
          <w:iCs/>
          <w:lang w:val="de-DE"/>
        </w:rPr>
        <w:t>iehe Absatz 2.2.9.1.10).“.</w:t>
      </w:r>
    </w:p>
    <w:p w:rsidR="004F7853" w:rsidRPr="00DD2A86" w:rsidRDefault="004F7853" w:rsidP="00B61A90">
      <w:pPr>
        <w:spacing w:before="240" w:after="120" w:line="240" w:lineRule="auto"/>
        <w:ind w:left="1134" w:right="1134"/>
        <w:jc w:val="both"/>
        <w:rPr>
          <w:lang w:val="de-DE"/>
        </w:rPr>
      </w:pPr>
      <w:r w:rsidRPr="00DD2A86">
        <w:rPr>
          <w:lang w:val="de-DE"/>
        </w:rPr>
        <w:t>3.2.3.1, Spalte (10)</w:t>
      </w:r>
      <w:r w:rsidRPr="00DD2A86">
        <w:rPr>
          <w:lang w:val="de-DE"/>
        </w:rPr>
        <w:tab/>
      </w:r>
      <w:r w:rsidR="00FC1FB6" w:rsidRPr="00DD2A86">
        <w:rPr>
          <w:lang w:val="de-DE"/>
        </w:rPr>
        <w:t>„</w:t>
      </w:r>
      <w:r w:rsidRPr="00DD2A86">
        <w:rPr>
          <w:rFonts w:eastAsia="Calibri"/>
          <w:lang w:val="de-DE"/>
        </w:rPr>
        <w:t>Hochgeschwindigkeitsventils“ ändern in</w:t>
      </w:r>
      <w:r w:rsidRPr="00DD2A86">
        <w:rPr>
          <w:lang w:val="de-DE"/>
        </w:rPr>
        <w:t>: „Überdruck-/Hochgeschwindigkeitsventils“ (zweimal: einmal im Titel und einmal im Text).</w:t>
      </w:r>
    </w:p>
    <w:p w:rsidR="004F7853" w:rsidRPr="00DD2A86" w:rsidRDefault="004F7853" w:rsidP="000D1BDB">
      <w:pPr>
        <w:spacing w:before="240" w:after="120"/>
        <w:ind w:left="1134" w:right="1134"/>
        <w:jc w:val="both"/>
        <w:rPr>
          <w:lang w:val="de-DE"/>
        </w:rPr>
      </w:pPr>
      <w:r w:rsidRPr="00DD2A86">
        <w:rPr>
          <w:lang w:val="de-DE"/>
        </w:rPr>
        <w:t>3.2.3.1, Spalte (16)</w:t>
      </w:r>
      <w:r w:rsidRPr="00DD2A86">
        <w:rPr>
          <w:lang w:val="de-DE"/>
        </w:rPr>
        <w:tab/>
        <w:t xml:space="preserve">Der </w:t>
      </w:r>
      <w:r w:rsidR="005D6358" w:rsidRPr="00DD2A86">
        <w:rPr>
          <w:lang w:val="de-DE"/>
        </w:rPr>
        <w:t xml:space="preserve">Text zwischen Klammern vor der </w:t>
      </w:r>
      <w:r w:rsidR="00960D95" w:rsidRPr="00DD2A86">
        <w:rPr>
          <w:lang w:val="de-DE"/>
        </w:rPr>
        <w:t>„</w:t>
      </w:r>
      <w:r w:rsidR="005D6358" w:rsidRPr="00DD2A86">
        <w:rPr>
          <w:lang w:val="de-DE"/>
        </w:rPr>
        <w:t>Bem</w:t>
      </w:r>
      <w:r w:rsidR="00434EB9" w:rsidRPr="00DD2A86">
        <w:rPr>
          <w:lang w:val="de-DE"/>
        </w:rPr>
        <w:t>.</w:t>
      </w:r>
      <w:r w:rsidR="00960D95" w:rsidRPr="00DD2A86">
        <w:rPr>
          <w:lang w:val="de-DE"/>
        </w:rPr>
        <w:t>“</w:t>
      </w:r>
      <w:r w:rsidRPr="00DD2A86">
        <w:rPr>
          <w:lang w:val="de-DE"/>
        </w:rPr>
        <w:t xml:space="preserve"> erhält folgenden Wortlaut:</w:t>
      </w:r>
    </w:p>
    <w:p w:rsidR="004F7853" w:rsidRPr="00DD2A86" w:rsidRDefault="004F7853" w:rsidP="000D1BDB">
      <w:pPr>
        <w:spacing w:after="120"/>
        <w:ind w:left="2268" w:right="1134"/>
        <w:jc w:val="both"/>
        <w:rPr>
          <w:rFonts w:eastAsia="Calibri"/>
          <w:lang w:val="de-DE"/>
        </w:rPr>
      </w:pPr>
      <w:r w:rsidRPr="00DD2A86">
        <w:rPr>
          <w:lang w:val="de-DE"/>
        </w:rPr>
        <w:t>„</w:t>
      </w:r>
      <w:r w:rsidRPr="00DD2A86">
        <w:rPr>
          <w:rFonts w:eastAsia="Calibri"/>
          <w:lang w:val="de-DE"/>
        </w:rPr>
        <w:t xml:space="preserve">(Flammendurchschlagsicherungen, Unterdruckventile, </w:t>
      </w:r>
      <w:r w:rsidR="008E08E6" w:rsidRPr="00DD2A86">
        <w:rPr>
          <w:rFonts w:eastAsia="Calibri"/>
          <w:lang w:val="de-AT"/>
        </w:rPr>
        <w:t>Überdruck-/</w:t>
      </w:r>
      <w:r w:rsidRPr="00DD2A86">
        <w:rPr>
          <w:rFonts w:eastAsia="Calibri"/>
          <w:lang w:val="de-DE"/>
        </w:rPr>
        <w:t xml:space="preserve">Hochgeschwindigkeitsventile und Vorrichtungen zum gefahrlosen </w:t>
      </w:r>
      <w:r w:rsidR="00E3493D" w:rsidRPr="00DD2A86">
        <w:rPr>
          <w:rFonts w:eastAsia="Calibri"/>
          <w:lang w:val="de-DE"/>
        </w:rPr>
        <w:t xml:space="preserve">Entspannen </w:t>
      </w:r>
      <w:r w:rsidRPr="00DD2A86">
        <w:rPr>
          <w:rFonts w:eastAsia="Calibri"/>
          <w:lang w:val="de-DE"/>
        </w:rPr>
        <w:t>der Ladetanks mit integrierter Flammensperre).“.</w:t>
      </w:r>
    </w:p>
    <w:p w:rsidR="004F7853" w:rsidRPr="00DD2A86" w:rsidRDefault="004F7853" w:rsidP="000D1BDB">
      <w:pPr>
        <w:spacing w:before="240" w:after="120" w:line="240" w:lineRule="auto"/>
        <w:ind w:left="1134" w:right="1134"/>
        <w:jc w:val="both"/>
        <w:rPr>
          <w:lang w:val="de-DE"/>
        </w:rPr>
      </w:pPr>
      <w:r w:rsidRPr="00DD2A86">
        <w:rPr>
          <w:lang w:val="de-DE"/>
        </w:rPr>
        <w:t>3.2.3.1, Spalte (17)</w:t>
      </w:r>
      <w:r w:rsidRPr="00DD2A86">
        <w:rPr>
          <w:lang w:val="de-DE"/>
        </w:rPr>
        <w:tab/>
        <w:t xml:space="preserve">„einen Code“ </w:t>
      </w:r>
      <w:r w:rsidRPr="00DD2A86">
        <w:rPr>
          <w:rFonts w:eastAsia="Calibri"/>
          <w:lang w:val="de-DE"/>
        </w:rPr>
        <w:t>ändern in</w:t>
      </w:r>
      <w:r w:rsidRPr="00DD2A86">
        <w:rPr>
          <w:lang w:val="de-DE"/>
        </w:rPr>
        <w:t>: „die Angabe“.</w:t>
      </w:r>
    </w:p>
    <w:p w:rsidR="004F7853" w:rsidRPr="00DD2A86" w:rsidRDefault="004F7853" w:rsidP="000D1BDB">
      <w:pPr>
        <w:spacing w:before="240" w:after="120"/>
        <w:ind w:left="1134" w:right="1134"/>
        <w:jc w:val="both"/>
        <w:rPr>
          <w:lang w:val="de-DE"/>
        </w:rPr>
      </w:pPr>
      <w:r w:rsidRPr="00DD2A86">
        <w:rPr>
          <w:lang w:val="de-DE"/>
        </w:rPr>
        <w:t>3.2.3.1, Spalte (20)</w:t>
      </w:r>
      <w:r w:rsidRPr="00DD2A86">
        <w:rPr>
          <w:lang w:val="de-DE"/>
        </w:rPr>
        <w:tab/>
        <w:t>Die zusätzliche Anforderung oder Bemerkung 5. erhält folgenden Wortlaut:</w:t>
      </w:r>
    </w:p>
    <w:p w:rsidR="004F7853" w:rsidRPr="00DD2A86" w:rsidRDefault="004F7853" w:rsidP="000D1BDB">
      <w:pPr>
        <w:suppressAutoHyphens w:val="0"/>
        <w:autoSpaceDE w:val="0"/>
        <w:autoSpaceDN w:val="0"/>
        <w:adjustRightInd w:val="0"/>
        <w:spacing w:line="240" w:lineRule="auto"/>
        <w:ind w:left="2268" w:right="1134"/>
        <w:jc w:val="both"/>
        <w:rPr>
          <w:rFonts w:eastAsia="Calibri"/>
          <w:lang w:val="de-DE" w:eastAsia="de-DE"/>
        </w:rPr>
      </w:pPr>
      <w:r w:rsidRPr="00DD2A86">
        <w:rPr>
          <w:rFonts w:eastAsia="Calibri"/>
          <w:lang w:val="de-DE" w:eastAsia="de-DE"/>
        </w:rPr>
        <w:t>„5.</w:t>
      </w:r>
      <w:r w:rsidRPr="00DD2A86">
        <w:rPr>
          <w:rFonts w:eastAsia="Calibri"/>
          <w:lang w:val="de-DE" w:eastAsia="de-DE"/>
        </w:rPr>
        <w:tab/>
        <w:t>Dieser Stoff kann gegebenenfalls die Gasabfuhrleitung und ihre Armaturen bzw. die Armaturen der Ladetanks zusetzen. Eine gute Überwachung sollte gewährleistet sein.</w:t>
      </w:r>
    </w:p>
    <w:p w:rsidR="004F7853" w:rsidRPr="00DD2A86" w:rsidRDefault="004F7853" w:rsidP="00B307A1">
      <w:pPr>
        <w:suppressAutoHyphens w:val="0"/>
        <w:autoSpaceDE w:val="0"/>
        <w:autoSpaceDN w:val="0"/>
        <w:adjustRightInd w:val="0"/>
        <w:spacing w:before="120" w:line="240" w:lineRule="auto"/>
        <w:ind w:left="2268" w:right="1134"/>
        <w:jc w:val="both"/>
        <w:rPr>
          <w:rFonts w:eastAsia="Calibri"/>
          <w:lang w:val="de-DE" w:eastAsia="de-DE"/>
        </w:rPr>
      </w:pPr>
      <w:r w:rsidRPr="00DD2A86">
        <w:rPr>
          <w:rFonts w:eastAsia="Calibri"/>
          <w:lang w:val="de-DE" w:eastAsia="de-DE"/>
        </w:rPr>
        <w:t>Ist für die Beförderung dieses Stoffes ein geschlossener Ladetank und Explosionsschutz erforderlich oder wird dieser Stoff, für den Explosionsschutz gefordert ist</w:t>
      </w:r>
      <w:r w:rsidR="008E08E6" w:rsidRPr="00DD2A86">
        <w:rPr>
          <w:rFonts w:eastAsia="Calibri"/>
          <w:lang w:val="de-DE" w:eastAsia="de-DE"/>
        </w:rPr>
        <w:t>,</w:t>
      </w:r>
      <w:r w:rsidRPr="00DD2A86">
        <w:rPr>
          <w:rFonts w:eastAsia="Calibri"/>
          <w:lang w:val="de-DE" w:eastAsia="de-DE"/>
        </w:rPr>
        <w:t xml:space="preserve"> in einem geschlossenen Ladetank befördert, muss der Ladetank nach Absatz 9.3.2.22.4 oder Absatz 9.3.3.22.4 bzw. die Gasabfuhrleitung nach Absatz 9.3.2.22.5 a) bzw. 9.3.2.22.5 b)</w:t>
      </w:r>
      <w:r w:rsidRPr="00DD2A86">
        <w:rPr>
          <w:rFonts w:eastAsia="TimesNewRomanPSMT"/>
          <w:lang w:val="de-DE" w:eastAsia="de-DE"/>
        </w:rPr>
        <w:t xml:space="preserve"> </w:t>
      </w:r>
      <w:r w:rsidRPr="00DD2A86">
        <w:rPr>
          <w:rFonts w:eastAsia="Calibri"/>
          <w:lang w:val="de-DE" w:eastAsia="de-DE"/>
        </w:rPr>
        <w:t>oder Absatz 9.3.3.22.5 a) bzw. 9.3.3.22.5 b)</w:t>
      </w:r>
      <w:r w:rsidRPr="00DD2A86">
        <w:rPr>
          <w:rFonts w:eastAsia="TimesNewRomanPSMT"/>
          <w:lang w:val="de-DE" w:eastAsia="de-DE"/>
        </w:rPr>
        <w:t xml:space="preserve"> </w:t>
      </w:r>
      <w:r w:rsidRPr="00DD2A86">
        <w:rPr>
          <w:rFonts w:eastAsia="Calibri"/>
          <w:lang w:val="de-DE" w:eastAsia="de-DE"/>
        </w:rPr>
        <w:t>ausgeführt sein.</w:t>
      </w:r>
    </w:p>
    <w:p w:rsidR="004F7853" w:rsidRPr="00DD2A86" w:rsidRDefault="004F7853" w:rsidP="00B307A1">
      <w:pPr>
        <w:spacing w:before="120"/>
        <w:ind w:left="2268" w:right="1134"/>
        <w:jc w:val="both"/>
        <w:rPr>
          <w:rFonts w:eastAsia="Calibri"/>
          <w:lang w:val="de-DE" w:eastAsia="de-DE"/>
        </w:rPr>
      </w:pPr>
      <w:r w:rsidRPr="00DD2A86">
        <w:rPr>
          <w:rFonts w:eastAsia="Calibri"/>
          <w:lang w:val="de-DE" w:eastAsia="de-DE"/>
        </w:rPr>
        <w:t>Dies gilt nicht, wenn die Ladetanks und die zugehörigen Leitungen gemäß Unterabschnitt 7.2.4.18 inertisiert sind.“.</w:t>
      </w:r>
    </w:p>
    <w:p w:rsidR="004F7853" w:rsidRPr="00DD2A86" w:rsidRDefault="004F7853" w:rsidP="000D1BDB">
      <w:pPr>
        <w:spacing w:before="240" w:after="120"/>
        <w:ind w:left="1134" w:right="1134"/>
        <w:jc w:val="both"/>
        <w:rPr>
          <w:lang w:val="de-DE"/>
        </w:rPr>
      </w:pPr>
      <w:r w:rsidRPr="00DD2A86">
        <w:rPr>
          <w:lang w:val="de-DE"/>
        </w:rPr>
        <w:t>3.2.3.1, Spalte (20)</w:t>
      </w:r>
      <w:r w:rsidRPr="00DD2A86">
        <w:rPr>
          <w:lang w:val="de-DE"/>
        </w:rPr>
        <w:tab/>
        <w:t>Die zusätzliche Anforderung oder Bemerkung 6. erhält folgenden Wortlaut:</w:t>
      </w:r>
    </w:p>
    <w:p w:rsidR="004F7853" w:rsidRPr="00DD2A86" w:rsidRDefault="004F7853" w:rsidP="00B307A1">
      <w:pPr>
        <w:suppressAutoHyphens w:val="0"/>
        <w:autoSpaceDE w:val="0"/>
        <w:autoSpaceDN w:val="0"/>
        <w:adjustRightInd w:val="0"/>
        <w:spacing w:before="120" w:line="240" w:lineRule="auto"/>
        <w:ind w:left="2268" w:right="1134"/>
        <w:jc w:val="both"/>
        <w:rPr>
          <w:rFonts w:eastAsia="Calibri"/>
          <w:lang w:val="de-DE" w:eastAsia="de-DE"/>
        </w:rPr>
      </w:pPr>
      <w:r w:rsidRPr="00DD2A86">
        <w:rPr>
          <w:rFonts w:eastAsia="Calibri"/>
          <w:lang w:val="de-DE" w:eastAsia="de-DE"/>
        </w:rPr>
        <w:t>„</w:t>
      </w:r>
      <w:r w:rsidR="00346D9F" w:rsidRPr="00DD2A86">
        <w:rPr>
          <w:rFonts w:eastAsia="Calibri"/>
          <w:lang w:val="de-DE" w:eastAsia="de-DE"/>
        </w:rPr>
        <w:t>6.</w:t>
      </w:r>
      <w:r w:rsidR="00346D9F" w:rsidRPr="00DD2A86">
        <w:rPr>
          <w:rFonts w:eastAsia="Calibri"/>
          <w:lang w:val="de-DE" w:eastAsia="de-DE"/>
        </w:rPr>
        <w:tab/>
      </w:r>
      <w:r w:rsidRPr="00DD2A86">
        <w:rPr>
          <w:rFonts w:eastAsia="Calibri"/>
          <w:lang w:val="de-DE" w:eastAsia="de-DE"/>
        </w:rPr>
        <w:t>Bei Außentemperaturen, wie sie in Spalte (20) angegeben sind und darunter, darf die Beförderung dieses Stoffes nur in Tankschiffen erfolgen, die über eine Ladungsheizmöglichkeit verfügen.</w:t>
      </w:r>
    </w:p>
    <w:p w:rsidR="004F7853" w:rsidRPr="00DD2A86" w:rsidRDefault="004F7853" w:rsidP="00B307A1">
      <w:pPr>
        <w:suppressAutoHyphens w:val="0"/>
        <w:autoSpaceDE w:val="0"/>
        <w:autoSpaceDN w:val="0"/>
        <w:adjustRightInd w:val="0"/>
        <w:spacing w:before="120" w:line="240" w:lineRule="auto"/>
        <w:ind w:left="2268" w:right="1134"/>
        <w:jc w:val="both"/>
        <w:rPr>
          <w:rFonts w:eastAsia="Calibri"/>
          <w:lang w:val="de-DE" w:eastAsia="de-DE"/>
        </w:rPr>
      </w:pPr>
      <w:r w:rsidRPr="00DD2A86">
        <w:rPr>
          <w:rFonts w:eastAsia="Calibri"/>
          <w:lang w:val="de-DE" w:eastAsia="de-DE"/>
        </w:rPr>
        <w:t>Darüber hinaus müssen bei der Beförderung in einem geschlossenen Ladetank die Gasabfuhrleitung, die Sicherheitsventile und die Flammendurchschlagsicherungen beheizbar ausgeführt sein.</w:t>
      </w:r>
    </w:p>
    <w:p w:rsidR="004F7853" w:rsidRPr="00DD2A86" w:rsidRDefault="004F7853" w:rsidP="00B307A1">
      <w:pPr>
        <w:spacing w:before="120"/>
        <w:ind w:left="2268" w:right="1134"/>
        <w:jc w:val="both"/>
        <w:rPr>
          <w:rFonts w:eastAsia="Calibri"/>
          <w:lang w:val="de-DE" w:eastAsia="de-DE"/>
        </w:rPr>
      </w:pPr>
      <w:r w:rsidRPr="00DD2A86">
        <w:rPr>
          <w:rFonts w:eastAsia="Calibri"/>
          <w:lang w:val="de-DE" w:eastAsia="de-DE"/>
        </w:rPr>
        <w:t xml:space="preserve">Die Temperatur der Gasabfuhrleitung, der Sicherheitsventile und der Flammendurchschlagsicherungen muss mindestens </w:t>
      </w:r>
      <w:r w:rsidR="00862686" w:rsidRPr="00DD2A86">
        <w:rPr>
          <w:rFonts w:eastAsia="Calibri"/>
          <w:lang w:val="de-DE" w:eastAsia="de-DE"/>
        </w:rPr>
        <w:t>über</w:t>
      </w:r>
      <w:r w:rsidRPr="00DD2A86">
        <w:rPr>
          <w:rFonts w:eastAsia="Calibri"/>
          <w:lang w:val="de-DE" w:eastAsia="de-DE"/>
        </w:rPr>
        <w:t xml:space="preserve"> dem Schmelzpunkt des Stoffes gehalten werden.“.</w:t>
      </w:r>
    </w:p>
    <w:p w:rsidR="004F7853" w:rsidRPr="00DD2A86" w:rsidRDefault="004F7853" w:rsidP="000D1BDB">
      <w:pPr>
        <w:spacing w:before="240"/>
        <w:ind w:left="1134" w:right="1134"/>
        <w:jc w:val="both"/>
        <w:rPr>
          <w:rFonts w:eastAsia="Calibri"/>
          <w:lang w:val="de-DE" w:eastAsia="de-DE"/>
        </w:rPr>
      </w:pPr>
      <w:r w:rsidRPr="00DD2A86">
        <w:rPr>
          <w:rFonts w:eastAsia="Calibri"/>
          <w:lang w:val="de-DE" w:eastAsia="de-DE"/>
        </w:rPr>
        <w:t>3.2.3.1, Spalte (20)</w:t>
      </w:r>
      <w:r w:rsidRPr="00DD2A86">
        <w:rPr>
          <w:rFonts w:eastAsia="Calibri"/>
          <w:lang w:val="de-DE" w:eastAsia="de-DE"/>
        </w:rPr>
        <w:tab/>
        <w:t>Die zusätzliche Anforderung oder Bemerkung 7. erhält folgenden Wortlaut:</w:t>
      </w:r>
    </w:p>
    <w:p w:rsidR="004F7853" w:rsidRPr="00DD2A86" w:rsidRDefault="004F7853" w:rsidP="000D1BDB">
      <w:pPr>
        <w:spacing w:before="120"/>
        <w:ind w:left="2268" w:right="1134"/>
        <w:jc w:val="both"/>
        <w:rPr>
          <w:rFonts w:eastAsia="Calibri"/>
          <w:lang w:val="de-DE" w:eastAsia="de-DE"/>
        </w:rPr>
      </w:pPr>
      <w:r w:rsidRPr="00DD2A86">
        <w:rPr>
          <w:rFonts w:eastAsia="Calibri"/>
          <w:lang w:val="de-DE" w:eastAsia="de-DE"/>
        </w:rPr>
        <w:t>„</w:t>
      </w:r>
      <w:r w:rsidR="00346D9F" w:rsidRPr="00DD2A86">
        <w:rPr>
          <w:rFonts w:eastAsia="Calibri"/>
          <w:lang w:val="de-DE" w:eastAsia="de-DE"/>
        </w:rPr>
        <w:t>7.</w:t>
      </w:r>
      <w:r w:rsidR="00346D9F" w:rsidRPr="00DD2A86">
        <w:rPr>
          <w:rFonts w:eastAsia="Calibri"/>
          <w:lang w:val="de-DE" w:eastAsia="de-DE"/>
        </w:rPr>
        <w:tab/>
      </w:r>
      <w:r w:rsidRPr="00DD2A86">
        <w:rPr>
          <w:rFonts w:eastAsia="Calibri"/>
          <w:lang w:val="de-DE" w:eastAsia="de-DE"/>
        </w:rPr>
        <w:t>Ist für die Beförderung dieses Stoffes ein geschlossener Ladetank erforderlich oder wird dieser Stoff in einem geschlossenen Ladetank befördert, müssen die Gasabfuhrleitung, die Sicherheitsventile und die Flammendurchschlagsicherungen beheizbar ausgeführt sein.</w:t>
      </w:r>
    </w:p>
    <w:p w:rsidR="004F7853" w:rsidRPr="00DD2A86" w:rsidRDefault="004F7853" w:rsidP="000D1BDB">
      <w:pPr>
        <w:spacing w:before="120"/>
        <w:ind w:left="2268" w:right="1134"/>
        <w:jc w:val="both"/>
        <w:rPr>
          <w:rFonts w:eastAsia="Calibri"/>
          <w:lang w:val="de-DE" w:eastAsia="de-DE"/>
        </w:rPr>
      </w:pPr>
      <w:r w:rsidRPr="00DD2A86">
        <w:rPr>
          <w:rFonts w:eastAsia="Calibri"/>
          <w:lang w:val="de-DE" w:eastAsia="de-DE"/>
        </w:rPr>
        <w:t>Die Temperatur der Gasabfuhrleitungen, der Sicherheitsventile und der Flammendurchschlagsicherungen muss mindestens über dem Schmelzpunkt des Stoffes gehalten werden.“.</w:t>
      </w:r>
    </w:p>
    <w:p w:rsidR="009E1FDA" w:rsidRPr="00DD2A86" w:rsidRDefault="009E1FDA" w:rsidP="000D1BDB">
      <w:pPr>
        <w:tabs>
          <w:tab w:val="left" w:pos="2268"/>
        </w:tabs>
        <w:kinsoku w:val="0"/>
        <w:overflowPunct w:val="0"/>
        <w:autoSpaceDE w:val="0"/>
        <w:autoSpaceDN w:val="0"/>
        <w:adjustRightInd w:val="0"/>
        <w:snapToGrid w:val="0"/>
        <w:spacing w:before="120" w:after="120"/>
        <w:ind w:left="1134" w:right="1134"/>
        <w:jc w:val="both"/>
        <w:rPr>
          <w:rFonts w:eastAsiaTheme="minorHAnsi"/>
          <w:lang w:val="de-DE"/>
        </w:rPr>
      </w:pPr>
      <w:r w:rsidRPr="00DD2A86">
        <w:rPr>
          <w:rFonts w:eastAsiaTheme="minorHAnsi"/>
          <w:lang w:val="de-DE"/>
        </w:rPr>
        <w:t>3.2.3.1, Spalte (20), Bemerkung 12</w:t>
      </w:r>
      <w:r w:rsidRPr="00DD2A86">
        <w:rPr>
          <w:rFonts w:eastAsiaTheme="minorHAnsi"/>
          <w:lang w:val="de-DE"/>
        </w:rPr>
        <w:tab/>
      </w:r>
      <w:r w:rsidR="005C157C" w:rsidRPr="00DD2A86">
        <w:rPr>
          <w:rFonts w:eastAsiaTheme="minorHAnsi"/>
          <w:lang w:val="de-DE"/>
        </w:rPr>
        <w:t>.</w:t>
      </w:r>
      <w:r w:rsidRPr="00DD2A86">
        <w:rPr>
          <w:rFonts w:eastAsiaTheme="minorHAnsi"/>
          <w:lang w:val="de-DE"/>
        </w:rPr>
        <w:tab/>
        <w:t>Der Absatz e) erhält folgenden Wortlaut:</w:t>
      </w:r>
    </w:p>
    <w:p w:rsidR="009E1FDA" w:rsidRPr="00DD2A86" w:rsidRDefault="009E1FDA" w:rsidP="000D1BDB">
      <w:pPr>
        <w:tabs>
          <w:tab w:val="left" w:pos="2268"/>
        </w:tabs>
        <w:spacing w:after="120"/>
        <w:ind w:left="1134" w:right="1134"/>
        <w:jc w:val="both"/>
        <w:rPr>
          <w:rFonts w:eastAsia="SimSun"/>
          <w:color w:val="313131"/>
          <w:lang w:val="de-DE" w:eastAsia="zh-CN"/>
        </w:rPr>
      </w:pPr>
      <w:r w:rsidRPr="00DD2A86">
        <w:rPr>
          <w:rFonts w:eastAsia="SimSun"/>
          <w:color w:val="313131"/>
          <w:lang w:val="de-DE" w:eastAsia="zh-CN"/>
        </w:rPr>
        <w:t>„e)</w:t>
      </w:r>
      <w:r w:rsidRPr="00DD2A86">
        <w:rPr>
          <w:rFonts w:eastAsia="SimSun"/>
          <w:color w:val="313131"/>
          <w:lang w:val="de-DE" w:eastAsia="zh-CN"/>
        </w:rPr>
        <w:tab/>
        <w:t xml:space="preserve">Die Ladetanks müssen vor jeder neuen Beladung mit diesen Stoffen begangen und besichtigt werden, um sicherzustellen, dass keine Verunreinigungen, größere Rostablagerungen und sichtbare bauliche Schäden vorhanden sind. </w:t>
      </w:r>
    </w:p>
    <w:p w:rsidR="009E1FDA" w:rsidRPr="00DD2A86" w:rsidRDefault="009E1FDA" w:rsidP="000D1BDB">
      <w:pPr>
        <w:tabs>
          <w:tab w:val="left" w:pos="2268"/>
        </w:tabs>
        <w:spacing w:after="120"/>
        <w:ind w:left="1134" w:right="1134"/>
        <w:jc w:val="both"/>
        <w:rPr>
          <w:rFonts w:eastAsia="SimSun"/>
          <w:lang w:val="de-DE" w:eastAsia="zh-CN"/>
        </w:rPr>
      </w:pPr>
      <w:r w:rsidRPr="00DD2A86">
        <w:rPr>
          <w:rFonts w:eastAsia="SimSun"/>
          <w:lang w:val="de-DE" w:eastAsia="zh-CN"/>
        </w:rPr>
        <w:t>Wenn die Ladetanks in Tankschiffe des Typs C mit Ladetankzustand 1 und Ladetanktyp 1 eingebaut sind und diese Stoffe ständig in den Ladetanks befördert werden, müssen solche Besichtigungen in Abständen von höchstens zweieinhalb Jahren durchgeführt werden.</w:t>
      </w:r>
    </w:p>
    <w:p w:rsidR="009E1FDA" w:rsidRPr="00DD2A86" w:rsidRDefault="009E1FDA" w:rsidP="000D1BDB">
      <w:pPr>
        <w:tabs>
          <w:tab w:val="left" w:pos="2268"/>
        </w:tabs>
        <w:spacing w:after="120"/>
        <w:ind w:left="1134" w:right="1134"/>
        <w:jc w:val="both"/>
        <w:rPr>
          <w:rFonts w:eastAsia="SimSun"/>
          <w:lang w:val="de-DE" w:eastAsia="zh-CN"/>
        </w:rPr>
      </w:pPr>
      <w:r w:rsidRPr="00DD2A86">
        <w:rPr>
          <w:rFonts w:eastAsia="SimSun"/>
          <w:lang w:val="de-DE" w:eastAsia="zh-CN"/>
        </w:rPr>
        <w:t>Wenn die Ladetanks in Tankschiffe des Typs G mit Ladetankzustand 1 und Ladetanktyp 1 eingebaut sind und diese Stoffe ständig in den Ladetanks befördert werden, müssen solche Besichtigungen gemäß Abschnitt 1.16.10 während der Wiederholungsuntersuchung für die Erneuerung des Zulassungszeugnisses durchgeführt werden.“.</w:t>
      </w:r>
    </w:p>
    <w:p w:rsidR="00DE078B" w:rsidRPr="00DD2A86" w:rsidRDefault="00DE078B" w:rsidP="00DE078B">
      <w:pPr>
        <w:tabs>
          <w:tab w:val="left" w:pos="1701"/>
        </w:tabs>
        <w:spacing w:before="120" w:after="120"/>
        <w:ind w:left="1134" w:right="1134"/>
        <w:jc w:val="both"/>
        <w:rPr>
          <w:rFonts w:eastAsia="SimSun"/>
          <w:lang w:val="de-DE" w:eastAsia="zh-CN"/>
        </w:rPr>
      </w:pPr>
      <w:r w:rsidRPr="00DD2A86">
        <w:rPr>
          <w:rFonts w:eastAsia="SimSun"/>
          <w:lang w:val="de-DE" w:eastAsia="zh-CN"/>
        </w:rPr>
        <w:t>3.2.3.1</w:t>
      </w:r>
      <w:r w:rsidRPr="00DD2A86">
        <w:rPr>
          <w:rFonts w:eastAsia="SimSun"/>
          <w:bCs/>
          <w:iCs/>
          <w:lang w:val="de-DE" w:eastAsia="zh-CN"/>
        </w:rPr>
        <w:t>, Spalte </w:t>
      </w:r>
      <w:r w:rsidRPr="00DD2A86">
        <w:rPr>
          <w:rFonts w:eastAsia="SimSun"/>
          <w:lang w:val="de-DE" w:eastAsia="zh-CN"/>
        </w:rPr>
        <w:t>(20), Bemerkung 31.</w:t>
      </w:r>
      <w:r w:rsidRPr="00DD2A86">
        <w:rPr>
          <w:rFonts w:eastAsia="SimSun"/>
          <w:lang w:val="de-DE" w:eastAsia="zh-CN"/>
        </w:rPr>
        <w:tab/>
        <w:t>[Die Änderung in der französischen und englischen Fassung hat keine Auswirkungen auf den deutschen Text.]</w:t>
      </w:r>
    </w:p>
    <w:p w:rsidR="0071717E" w:rsidRPr="00DD2A86" w:rsidRDefault="0071717E" w:rsidP="00482560">
      <w:pPr>
        <w:tabs>
          <w:tab w:val="left" w:pos="1985"/>
        </w:tabs>
        <w:spacing w:before="240" w:after="120"/>
        <w:ind w:left="1134" w:right="1134"/>
        <w:jc w:val="both"/>
        <w:rPr>
          <w:rFonts w:eastAsia="SimSun"/>
          <w:lang w:val="de-DE" w:eastAsia="zh-CN"/>
        </w:rPr>
      </w:pPr>
      <w:r w:rsidRPr="00DD2A86">
        <w:rPr>
          <w:lang w:val="de-DE"/>
        </w:rPr>
        <w:t>3.2.3.1</w:t>
      </w:r>
      <w:r w:rsidRPr="00DD2A86">
        <w:rPr>
          <w:rFonts w:eastAsia="SimSun"/>
          <w:bCs/>
          <w:iCs/>
          <w:lang w:val="de-DE" w:eastAsia="zh-CN"/>
        </w:rPr>
        <w:t xml:space="preserve">, </w:t>
      </w:r>
      <w:r w:rsidRPr="00DD2A86">
        <w:rPr>
          <w:lang w:val="de-DE"/>
        </w:rPr>
        <w:t>Spalte (20), Bemerkung 33. i)</w:t>
      </w:r>
      <w:r w:rsidRPr="00DD2A86">
        <w:rPr>
          <w:lang w:val="de-DE"/>
        </w:rPr>
        <w:tab/>
      </w:r>
      <w:r w:rsidRPr="00DD2A86">
        <w:rPr>
          <w:rFonts w:eastAsia="SimSun"/>
          <w:lang w:val="de-DE" w:eastAsia="zh-CN"/>
        </w:rPr>
        <w:t>[Die Änderung in der französischen Fassung hat keine Auswirkungen auf den deutschen Text.]</w:t>
      </w:r>
    </w:p>
    <w:p w:rsidR="00DE078B" w:rsidRPr="00DD2A86" w:rsidRDefault="00DE078B" w:rsidP="00482560">
      <w:pPr>
        <w:tabs>
          <w:tab w:val="left" w:pos="1985"/>
        </w:tabs>
        <w:spacing w:before="240" w:after="120"/>
        <w:ind w:left="1134" w:right="1134"/>
        <w:jc w:val="both"/>
        <w:rPr>
          <w:rFonts w:eastAsia="SimSun"/>
          <w:lang w:val="de-DE" w:eastAsia="zh-CN"/>
        </w:rPr>
      </w:pPr>
      <w:r w:rsidRPr="00DD2A86">
        <w:rPr>
          <w:lang w:val="de-DE"/>
        </w:rPr>
        <w:t>3.2.3.1</w:t>
      </w:r>
      <w:r w:rsidRPr="00DD2A86">
        <w:rPr>
          <w:rFonts w:eastAsia="SimSun"/>
          <w:bCs/>
          <w:iCs/>
          <w:lang w:val="de-DE" w:eastAsia="zh-CN"/>
        </w:rPr>
        <w:t xml:space="preserve">, </w:t>
      </w:r>
      <w:r w:rsidRPr="00DD2A86">
        <w:rPr>
          <w:lang w:val="de-DE"/>
        </w:rPr>
        <w:t>Spalte (20), Bemerkung 33. j)</w:t>
      </w:r>
      <w:r w:rsidRPr="00DD2A86">
        <w:rPr>
          <w:lang w:val="de-DE"/>
        </w:rPr>
        <w:tab/>
      </w:r>
      <w:r w:rsidRPr="00DD2A86">
        <w:rPr>
          <w:rFonts w:eastAsia="SimSun"/>
          <w:lang w:val="de-DE" w:eastAsia="zh-CN"/>
        </w:rPr>
        <w:t>[Die Änderung in der englischen Fassung hat keine Auswirkungen auf den deutschen Text.]</w:t>
      </w:r>
    </w:p>
    <w:p w:rsidR="00C323D4" w:rsidRPr="00DD2A86" w:rsidRDefault="00C323D4" w:rsidP="005C157C">
      <w:pPr>
        <w:tabs>
          <w:tab w:val="left" w:pos="1985"/>
          <w:tab w:val="left" w:pos="2268"/>
          <w:tab w:val="left" w:pos="3402"/>
        </w:tabs>
        <w:spacing w:before="120" w:after="120"/>
        <w:ind w:left="1134" w:right="1134"/>
        <w:jc w:val="both"/>
        <w:rPr>
          <w:rFonts w:eastAsiaTheme="minorHAnsi"/>
          <w:bCs/>
          <w:lang w:val="de-DE"/>
        </w:rPr>
      </w:pPr>
      <w:r w:rsidRPr="00DD2A86">
        <w:rPr>
          <w:rFonts w:eastAsiaTheme="minorHAnsi"/>
          <w:lang w:val="de-DE"/>
        </w:rPr>
        <w:t>3.2.3.1</w:t>
      </w:r>
      <w:r w:rsidR="004C4F4B" w:rsidRPr="00DD2A86">
        <w:rPr>
          <w:rFonts w:eastAsiaTheme="minorHAnsi"/>
          <w:lang w:val="de-DE"/>
        </w:rPr>
        <w:t>,</w:t>
      </w:r>
      <w:r w:rsidRPr="00DD2A86">
        <w:rPr>
          <w:rFonts w:eastAsiaTheme="minorHAnsi"/>
          <w:bCs/>
          <w:lang w:val="de-DE"/>
        </w:rPr>
        <w:t xml:space="preserve"> Spalte (20)</w:t>
      </w:r>
      <w:r w:rsidR="005C157C" w:rsidRPr="00DD2A86">
        <w:rPr>
          <w:rFonts w:eastAsiaTheme="minorHAnsi"/>
          <w:bCs/>
          <w:lang w:val="de-DE"/>
        </w:rPr>
        <w:tab/>
        <w:t>F</w:t>
      </w:r>
      <w:r w:rsidRPr="00DD2A86">
        <w:rPr>
          <w:rFonts w:eastAsiaTheme="minorHAnsi"/>
          <w:bCs/>
          <w:lang w:val="de-DE"/>
        </w:rPr>
        <w:t>olgende neue Bemerkung am Ende hinzufügen:</w:t>
      </w:r>
    </w:p>
    <w:p w:rsidR="00C323D4" w:rsidRPr="00DD2A86" w:rsidRDefault="00C323D4" w:rsidP="00C323D4">
      <w:pPr>
        <w:kinsoku w:val="0"/>
        <w:overflowPunct w:val="0"/>
        <w:autoSpaceDE w:val="0"/>
        <w:autoSpaceDN w:val="0"/>
        <w:adjustRightInd w:val="0"/>
        <w:snapToGrid w:val="0"/>
        <w:spacing w:before="120" w:after="120"/>
        <w:ind w:left="1134" w:right="1134"/>
        <w:jc w:val="both"/>
        <w:rPr>
          <w:rFonts w:eastAsiaTheme="minorHAnsi"/>
          <w:bCs/>
          <w:lang w:val="de-DE"/>
        </w:rPr>
      </w:pPr>
      <w:r w:rsidRPr="00DD2A86">
        <w:rPr>
          <w:rFonts w:eastAsiaTheme="minorHAnsi"/>
          <w:bCs/>
          <w:lang w:val="de-DE"/>
        </w:rPr>
        <w:t>„44.</w:t>
      </w:r>
      <w:r w:rsidRPr="00DD2A86">
        <w:rPr>
          <w:rFonts w:eastAsiaTheme="minorHAnsi"/>
          <w:bCs/>
          <w:lang w:val="de-DE"/>
        </w:rPr>
        <w:tab/>
        <w:t>Ein Stoff darf diesem Eintrag nur zugeordnet werden, wenn Messdaten oder verifizierte Informationen gemäß IEC 60079-20-1 oder vergleichbar vorliegen, die eine Zuordnung zur Untergruppe II B3 der Explosionsgruppe II B erlauben.“.</w:t>
      </w:r>
    </w:p>
    <w:p w:rsidR="004C4F4B" w:rsidRPr="00DD2A86" w:rsidRDefault="004C4F4B" w:rsidP="005C157C">
      <w:pPr>
        <w:spacing w:before="240"/>
        <w:ind w:right="1134"/>
        <w:jc w:val="both"/>
        <w:rPr>
          <w:rFonts w:eastAsia="Calibri"/>
          <w:b/>
          <w:sz w:val="24"/>
          <w:szCs w:val="24"/>
          <w:lang w:val="de-DE" w:eastAsia="de-DE"/>
        </w:rPr>
      </w:pPr>
      <w:r w:rsidRPr="00DD2A86">
        <w:rPr>
          <w:rFonts w:eastAsia="Calibri"/>
          <w:b/>
          <w:sz w:val="24"/>
          <w:szCs w:val="24"/>
          <w:lang w:val="de-DE" w:eastAsia="de-DE"/>
        </w:rPr>
        <w:t>Kapitel 3.2, Tabelle C</w:t>
      </w:r>
    </w:p>
    <w:p w:rsidR="004F7853" w:rsidRPr="00DD2A86" w:rsidRDefault="004F7853" w:rsidP="000D1BDB">
      <w:pPr>
        <w:spacing w:before="240"/>
        <w:ind w:left="1134" w:right="1134"/>
        <w:jc w:val="both"/>
        <w:rPr>
          <w:rFonts w:eastAsia="Calibri"/>
          <w:lang w:val="de-DE" w:eastAsia="de-DE"/>
        </w:rPr>
      </w:pPr>
      <w:r w:rsidRPr="00DD2A86">
        <w:rPr>
          <w:rFonts w:eastAsia="Calibri"/>
          <w:lang w:val="de-DE" w:eastAsia="de-DE"/>
        </w:rPr>
        <w:t>3.2.3.2</w:t>
      </w:r>
      <w:r w:rsidRPr="00DD2A86">
        <w:rPr>
          <w:rFonts w:eastAsia="Calibri"/>
          <w:lang w:val="de-DE" w:eastAsia="de-DE"/>
        </w:rPr>
        <w:tab/>
      </w:r>
      <w:r w:rsidR="005C157C" w:rsidRPr="00DD2A86">
        <w:rPr>
          <w:rFonts w:eastAsia="Calibri"/>
          <w:lang w:val="de-DE" w:eastAsia="de-DE"/>
        </w:rPr>
        <w:tab/>
      </w:r>
      <w:r w:rsidRPr="00DD2A86">
        <w:rPr>
          <w:rFonts w:eastAsia="Calibri"/>
          <w:lang w:val="de-DE" w:eastAsia="de-DE"/>
        </w:rPr>
        <w:t xml:space="preserve">Die Überschrift der Spalte </w:t>
      </w:r>
      <w:r w:rsidR="004C4F4B" w:rsidRPr="00DD2A86">
        <w:rPr>
          <w:rFonts w:eastAsia="Calibri"/>
          <w:lang w:val="de-DE" w:eastAsia="de-DE"/>
        </w:rPr>
        <w:t>(</w:t>
      </w:r>
      <w:r w:rsidRPr="00DD2A86">
        <w:rPr>
          <w:rFonts w:eastAsia="Calibri"/>
          <w:lang w:val="de-DE" w:eastAsia="de-DE"/>
        </w:rPr>
        <w:t>10</w:t>
      </w:r>
      <w:r w:rsidR="004C4F4B" w:rsidRPr="00DD2A86">
        <w:rPr>
          <w:rFonts w:eastAsia="Calibri"/>
          <w:lang w:val="de-DE" w:eastAsia="de-DE"/>
        </w:rPr>
        <w:t>)</w:t>
      </w:r>
      <w:r w:rsidRPr="00DD2A86">
        <w:rPr>
          <w:rFonts w:eastAsia="Calibri"/>
          <w:lang w:val="de-DE" w:eastAsia="de-DE"/>
        </w:rPr>
        <w:t xml:space="preserve"> erhält folgenden Wortlaut: „Öffnungsdruck des Überdruck-/Hochgeschwindigkeitsventils in kPa“.</w:t>
      </w:r>
    </w:p>
    <w:p w:rsidR="00DB03BD" w:rsidRPr="00DD2A86" w:rsidRDefault="00DB03BD" w:rsidP="00DB03BD">
      <w:pPr>
        <w:tabs>
          <w:tab w:val="left" w:pos="1985"/>
        </w:tabs>
        <w:spacing w:before="120" w:after="120"/>
        <w:ind w:left="1134" w:right="1134"/>
        <w:jc w:val="both"/>
        <w:rPr>
          <w:rFonts w:eastAsia="SimSun"/>
          <w:lang w:val="de-DE" w:eastAsia="zh-CN"/>
        </w:rPr>
      </w:pPr>
      <w:r w:rsidRPr="00DD2A86">
        <w:rPr>
          <w:rFonts w:eastAsia="SimSun"/>
          <w:lang w:val="de-DE" w:eastAsia="zh-CN"/>
        </w:rPr>
        <w:t>3.2.3.2</w:t>
      </w:r>
      <w:r w:rsidRPr="00DD2A86">
        <w:rPr>
          <w:rFonts w:eastAsia="SimSun"/>
          <w:lang w:val="de-DE" w:eastAsia="zh-CN"/>
        </w:rPr>
        <w:tab/>
      </w:r>
      <w:r w:rsidR="00F8655E" w:rsidRPr="00DD2A86">
        <w:rPr>
          <w:rFonts w:eastAsia="SimSun"/>
          <w:iCs/>
          <w:lang w:val="de-DE" w:eastAsia="zh-CN"/>
        </w:rPr>
        <w:t xml:space="preserve">Bei </w:t>
      </w:r>
      <w:r w:rsidR="00AB330F" w:rsidRPr="00DD2A86">
        <w:rPr>
          <w:rFonts w:eastAsia="SimSun"/>
          <w:iCs/>
          <w:lang w:val="de-DE" w:eastAsia="zh-CN"/>
        </w:rPr>
        <w:t xml:space="preserve">der </w:t>
      </w:r>
      <w:r w:rsidR="00F8655E" w:rsidRPr="00DD2A86">
        <w:rPr>
          <w:rFonts w:eastAsia="SimSun"/>
          <w:iCs/>
          <w:lang w:val="de-DE" w:eastAsia="zh-CN"/>
        </w:rPr>
        <w:t xml:space="preserve">UN-Nr. </w:t>
      </w:r>
      <w:r w:rsidRPr="00DD2A86">
        <w:rPr>
          <w:rFonts w:eastAsia="SimSun"/>
          <w:lang w:val="de-DE" w:eastAsia="zh-CN"/>
        </w:rPr>
        <w:t>1202, alle Eintragungen [Die Änderung für „HEIZÖL, LEICHT“ in der französischen und englischen Fassung hat keine Auswirkungen auf den deutschen Text.]</w:t>
      </w:r>
    </w:p>
    <w:p w:rsidR="00DB03BD" w:rsidRPr="00DD2A86" w:rsidRDefault="00DB03BD" w:rsidP="00DB03BD">
      <w:pPr>
        <w:tabs>
          <w:tab w:val="left" w:pos="1985"/>
        </w:tabs>
        <w:suppressAutoHyphens w:val="0"/>
        <w:spacing w:before="120" w:line="240" w:lineRule="auto"/>
        <w:ind w:left="1134" w:right="1134"/>
        <w:jc w:val="both"/>
        <w:rPr>
          <w:lang w:val="de-DE"/>
        </w:rPr>
      </w:pPr>
      <w:r w:rsidRPr="00DD2A86">
        <w:rPr>
          <w:lang w:val="de-DE"/>
        </w:rPr>
        <w:t>3.2.3.2</w:t>
      </w:r>
      <w:r w:rsidRPr="00DD2A86">
        <w:rPr>
          <w:lang w:val="de-DE"/>
        </w:rPr>
        <w:tab/>
      </w:r>
      <w:r w:rsidR="00F8655E" w:rsidRPr="00DD2A86">
        <w:rPr>
          <w:iCs/>
          <w:lang w:val="de-DE"/>
        </w:rPr>
        <w:t xml:space="preserve">Bei </w:t>
      </w:r>
      <w:r w:rsidR="00AB330F" w:rsidRPr="00DD2A86">
        <w:rPr>
          <w:iCs/>
          <w:lang w:val="de-DE"/>
        </w:rPr>
        <w:t xml:space="preserve">der </w:t>
      </w:r>
      <w:r w:rsidR="00F8655E" w:rsidRPr="00DD2A86">
        <w:rPr>
          <w:iCs/>
          <w:lang w:val="de-DE"/>
        </w:rPr>
        <w:t xml:space="preserve">UN-Nr. </w:t>
      </w:r>
      <w:r w:rsidRPr="00DD2A86">
        <w:rPr>
          <w:lang w:val="de-DE"/>
        </w:rPr>
        <w:t>1202, zweite Eintragung</w:t>
      </w:r>
      <w:r w:rsidRPr="00DD2A86">
        <w:rPr>
          <w:lang w:val="de-DE"/>
        </w:rPr>
        <w:tab/>
        <w:t>In Spalte (2) „EN 590:2009 + A1:2010“ ändern in: „EN 590:2013 + A1:2017“ (zweimal).</w:t>
      </w:r>
    </w:p>
    <w:p w:rsidR="00C323D4" w:rsidRPr="00DD2A86" w:rsidRDefault="00C323D4" w:rsidP="00C323D4">
      <w:pPr>
        <w:tabs>
          <w:tab w:val="left" w:pos="1985"/>
          <w:tab w:val="left" w:pos="2268"/>
        </w:tabs>
        <w:spacing w:before="120" w:after="120"/>
        <w:ind w:left="1134" w:right="1134"/>
        <w:jc w:val="both"/>
        <w:rPr>
          <w:rFonts w:eastAsiaTheme="minorHAnsi"/>
          <w:lang w:val="de-DE"/>
        </w:rPr>
      </w:pPr>
      <w:r w:rsidRPr="00DD2A86">
        <w:rPr>
          <w:rFonts w:eastAsiaTheme="minorHAnsi"/>
          <w:lang w:val="de-DE"/>
        </w:rPr>
        <w:t>3.2.3.2</w:t>
      </w:r>
      <w:r w:rsidRPr="00DD2A86">
        <w:rPr>
          <w:rFonts w:eastAsiaTheme="minorHAnsi"/>
          <w:lang w:val="de-DE"/>
        </w:rPr>
        <w:tab/>
      </w:r>
      <w:r w:rsidR="00B307A1" w:rsidRPr="00DD2A86">
        <w:rPr>
          <w:rFonts w:eastAsiaTheme="minorHAnsi"/>
          <w:iCs/>
          <w:lang w:val="de-DE"/>
        </w:rPr>
        <w:t xml:space="preserve">Bei </w:t>
      </w:r>
      <w:r w:rsidR="00AB330F" w:rsidRPr="00DD2A86">
        <w:rPr>
          <w:rFonts w:eastAsiaTheme="minorHAnsi"/>
          <w:iCs/>
          <w:lang w:val="de-DE"/>
        </w:rPr>
        <w:t xml:space="preserve">der </w:t>
      </w:r>
      <w:r w:rsidR="00B307A1" w:rsidRPr="00DD2A86">
        <w:rPr>
          <w:rFonts w:eastAsiaTheme="minorHAnsi"/>
          <w:iCs/>
          <w:lang w:val="de-DE"/>
        </w:rPr>
        <w:t xml:space="preserve">UN-Nr. </w:t>
      </w:r>
      <w:r w:rsidRPr="00DD2A86">
        <w:rPr>
          <w:rFonts w:eastAsiaTheme="minorHAnsi"/>
          <w:lang w:val="de-DE"/>
        </w:rPr>
        <w:t>1206, in Spalte (12) „0,68“ ändern in: „0,67 – 0,70“.</w:t>
      </w:r>
    </w:p>
    <w:p w:rsidR="00C323D4" w:rsidRPr="00DD2A86" w:rsidRDefault="00C323D4" w:rsidP="00C323D4">
      <w:pPr>
        <w:tabs>
          <w:tab w:val="left" w:pos="1985"/>
          <w:tab w:val="left" w:pos="2268"/>
        </w:tabs>
        <w:spacing w:before="120" w:after="120"/>
        <w:ind w:left="1134" w:right="1134"/>
        <w:jc w:val="both"/>
        <w:rPr>
          <w:rFonts w:eastAsiaTheme="minorHAnsi"/>
          <w:bCs/>
          <w:lang w:val="de-DE"/>
        </w:rPr>
      </w:pPr>
      <w:r w:rsidRPr="00DD2A86">
        <w:rPr>
          <w:rFonts w:eastAsiaTheme="minorHAnsi"/>
          <w:lang w:val="de-DE"/>
        </w:rPr>
        <w:t>3.2.3.2</w:t>
      </w:r>
      <w:r w:rsidRPr="00DD2A86">
        <w:rPr>
          <w:rFonts w:eastAsiaTheme="minorHAnsi"/>
          <w:lang w:val="de-DE"/>
        </w:rPr>
        <w:tab/>
      </w:r>
      <w:r w:rsidR="00B307A1" w:rsidRPr="00DD2A86">
        <w:rPr>
          <w:rFonts w:eastAsiaTheme="minorHAnsi"/>
          <w:iCs/>
          <w:lang w:val="de-DE"/>
        </w:rPr>
        <w:t xml:space="preserve">Bei </w:t>
      </w:r>
      <w:r w:rsidR="00AB330F" w:rsidRPr="00DD2A86">
        <w:rPr>
          <w:rFonts w:eastAsiaTheme="minorHAnsi"/>
          <w:iCs/>
          <w:lang w:val="de-DE"/>
        </w:rPr>
        <w:t xml:space="preserve">der </w:t>
      </w:r>
      <w:r w:rsidR="00B307A1" w:rsidRPr="00DD2A86">
        <w:rPr>
          <w:rFonts w:eastAsiaTheme="minorHAnsi"/>
          <w:iCs/>
          <w:lang w:val="de-DE"/>
        </w:rPr>
        <w:t xml:space="preserve">UN-Nr. </w:t>
      </w:r>
      <w:r w:rsidRPr="00DD2A86">
        <w:rPr>
          <w:rFonts w:eastAsiaTheme="minorHAnsi"/>
          <w:bCs/>
          <w:lang w:val="de-DE"/>
        </w:rPr>
        <w:t>1208, erste Zeile, in Spalte (12) „0,66“ ändern in: „0,65 – 0,70“.</w:t>
      </w:r>
    </w:p>
    <w:p w:rsidR="00C323D4" w:rsidRPr="00DD2A86" w:rsidRDefault="00C323D4" w:rsidP="00C323D4">
      <w:pPr>
        <w:tabs>
          <w:tab w:val="left" w:pos="1985"/>
          <w:tab w:val="left" w:pos="2268"/>
        </w:tabs>
        <w:spacing w:before="120" w:after="120"/>
        <w:ind w:left="1134" w:right="1134"/>
        <w:jc w:val="both"/>
        <w:rPr>
          <w:rFonts w:eastAsiaTheme="minorHAnsi"/>
          <w:bCs/>
          <w:lang w:val="de-DE"/>
        </w:rPr>
      </w:pPr>
      <w:r w:rsidRPr="00DD2A86">
        <w:rPr>
          <w:rFonts w:eastAsiaTheme="minorHAnsi"/>
          <w:lang w:val="de-DE"/>
        </w:rPr>
        <w:t>3.2.3.2</w:t>
      </w:r>
      <w:r w:rsidRPr="00DD2A86">
        <w:rPr>
          <w:rFonts w:eastAsiaTheme="minorHAnsi"/>
          <w:lang w:val="de-DE"/>
        </w:rPr>
        <w:tab/>
      </w:r>
      <w:r w:rsidR="00B307A1" w:rsidRPr="00DD2A86">
        <w:rPr>
          <w:rFonts w:eastAsiaTheme="minorHAnsi"/>
          <w:iCs/>
          <w:lang w:val="de-DE"/>
        </w:rPr>
        <w:t xml:space="preserve">Bei </w:t>
      </w:r>
      <w:r w:rsidR="00AB330F" w:rsidRPr="00DD2A86">
        <w:rPr>
          <w:rFonts w:eastAsiaTheme="minorHAnsi"/>
          <w:iCs/>
          <w:lang w:val="de-DE"/>
        </w:rPr>
        <w:t xml:space="preserve">der </w:t>
      </w:r>
      <w:r w:rsidR="00B307A1" w:rsidRPr="00DD2A86">
        <w:rPr>
          <w:rFonts w:eastAsiaTheme="minorHAnsi"/>
          <w:iCs/>
          <w:lang w:val="de-DE"/>
        </w:rPr>
        <w:t xml:space="preserve">UN-Nr. </w:t>
      </w:r>
      <w:r w:rsidRPr="00DD2A86">
        <w:rPr>
          <w:rFonts w:eastAsiaTheme="minorHAnsi"/>
          <w:bCs/>
          <w:lang w:val="de-DE"/>
        </w:rPr>
        <w:t>1262, in Spalte (12) „0,7“ ändern in: „0,69 – 0,71“.</w:t>
      </w:r>
    </w:p>
    <w:p w:rsidR="00C323D4" w:rsidRPr="00DD2A86" w:rsidRDefault="00C323D4" w:rsidP="00C323D4">
      <w:pPr>
        <w:tabs>
          <w:tab w:val="left" w:pos="1985"/>
        </w:tabs>
        <w:ind w:left="1134"/>
        <w:rPr>
          <w:rFonts w:eastAsiaTheme="minorHAnsi"/>
          <w:lang w:val="de-DE"/>
        </w:rPr>
      </w:pPr>
      <w:r w:rsidRPr="00DD2A86">
        <w:rPr>
          <w:rFonts w:eastAsiaTheme="minorHAnsi"/>
          <w:lang w:val="de-DE"/>
        </w:rPr>
        <w:t>3.2.3.2</w:t>
      </w:r>
      <w:r w:rsidRPr="00DD2A86">
        <w:rPr>
          <w:rFonts w:eastAsiaTheme="minorHAnsi"/>
          <w:lang w:val="de-DE"/>
        </w:rPr>
        <w:tab/>
      </w:r>
      <w:r w:rsidR="00B307A1" w:rsidRPr="00DD2A86">
        <w:rPr>
          <w:rFonts w:eastAsiaTheme="minorHAnsi"/>
          <w:iCs/>
          <w:lang w:val="de-DE"/>
        </w:rPr>
        <w:t xml:space="preserve">Bei </w:t>
      </w:r>
      <w:r w:rsidR="00AB330F" w:rsidRPr="00DD2A86">
        <w:rPr>
          <w:rFonts w:eastAsiaTheme="minorHAnsi"/>
          <w:iCs/>
          <w:lang w:val="de-DE"/>
        </w:rPr>
        <w:t xml:space="preserve">der </w:t>
      </w:r>
      <w:r w:rsidR="00B307A1" w:rsidRPr="00DD2A86">
        <w:rPr>
          <w:rFonts w:eastAsiaTheme="minorHAnsi"/>
          <w:iCs/>
          <w:lang w:val="de-DE"/>
        </w:rPr>
        <w:t xml:space="preserve">UN-Nr. </w:t>
      </w:r>
      <w:r w:rsidRPr="00DD2A86">
        <w:rPr>
          <w:rFonts w:eastAsiaTheme="minorHAnsi"/>
          <w:lang w:val="de-DE"/>
        </w:rPr>
        <w:t>1664, in Spalte (20) streichen: „17“.</w:t>
      </w:r>
    </w:p>
    <w:p w:rsidR="00C323D4" w:rsidRPr="00DD2A86" w:rsidRDefault="00C323D4" w:rsidP="0048756D">
      <w:pPr>
        <w:tabs>
          <w:tab w:val="left" w:pos="1985"/>
        </w:tabs>
        <w:suppressAutoHyphens w:val="0"/>
        <w:spacing w:before="120" w:line="240" w:lineRule="auto"/>
        <w:ind w:left="1134" w:right="566"/>
        <w:jc w:val="both"/>
        <w:rPr>
          <w:bCs/>
          <w:lang w:val="de-DE"/>
        </w:rPr>
      </w:pPr>
      <w:r w:rsidRPr="00DD2A86">
        <w:rPr>
          <w:rFonts w:eastAsiaTheme="minorHAnsi"/>
          <w:lang w:val="de-DE"/>
        </w:rPr>
        <w:t>3.2.3.2</w:t>
      </w:r>
      <w:r w:rsidRPr="00DD2A86">
        <w:rPr>
          <w:rFonts w:eastAsiaTheme="minorHAnsi"/>
          <w:lang w:val="de-DE"/>
        </w:rPr>
        <w:tab/>
      </w:r>
      <w:r w:rsidR="00B307A1" w:rsidRPr="00DD2A86">
        <w:rPr>
          <w:rFonts w:eastAsiaTheme="minorHAnsi"/>
          <w:iCs/>
          <w:lang w:val="de-DE"/>
        </w:rPr>
        <w:t xml:space="preserve">Bei </w:t>
      </w:r>
      <w:r w:rsidR="00AB330F" w:rsidRPr="00DD2A86">
        <w:rPr>
          <w:rFonts w:eastAsiaTheme="minorHAnsi"/>
          <w:iCs/>
          <w:lang w:val="de-DE"/>
        </w:rPr>
        <w:t xml:space="preserve">der </w:t>
      </w:r>
      <w:r w:rsidR="00B307A1" w:rsidRPr="00DD2A86">
        <w:rPr>
          <w:rFonts w:eastAsiaTheme="minorHAnsi"/>
          <w:iCs/>
          <w:lang w:val="de-DE"/>
        </w:rPr>
        <w:t xml:space="preserve">UN-Nr. </w:t>
      </w:r>
      <w:r w:rsidRPr="00DD2A86">
        <w:rPr>
          <w:bCs/>
          <w:lang w:val="de-DE"/>
        </w:rPr>
        <w:t>1764, in Spalte (20) „6: +13 °C;“ vor „17“ einfügen.</w:t>
      </w:r>
    </w:p>
    <w:p w:rsidR="00C323D4" w:rsidRPr="00DD2A86" w:rsidRDefault="00C323D4" w:rsidP="00C323D4">
      <w:pPr>
        <w:tabs>
          <w:tab w:val="left" w:pos="1985"/>
          <w:tab w:val="left" w:pos="2268"/>
        </w:tabs>
        <w:spacing w:before="60" w:after="60"/>
        <w:ind w:left="1134" w:right="1134"/>
        <w:jc w:val="both"/>
        <w:rPr>
          <w:rFonts w:eastAsiaTheme="minorHAnsi"/>
          <w:lang w:val="de-DE"/>
        </w:rPr>
      </w:pPr>
      <w:r w:rsidRPr="00DD2A86">
        <w:rPr>
          <w:rFonts w:eastAsiaTheme="minorHAnsi"/>
          <w:lang w:val="de-DE"/>
        </w:rPr>
        <w:t>3.2.3.2</w:t>
      </w:r>
      <w:r w:rsidRPr="00DD2A86">
        <w:rPr>
          <w:rFonts w:eastAsiaTheme="minorHAnsi"/>
          <w:lang w:val="de-DE"/>
        </w:rPr>
        <w:tab/>
      </w:r>
      <w:r w:rsidR="00B307A1" w:rsidRPr="00DD2A86">
        <w:rPr>
          <w:rFonts w:eastAsiaTheme="minorHAnsi"/>
          <w:iCs/>
          <w:lang w:val="de-DE"/>
        </w:rPr>
        <w:t xml:space="preserve">Bei </w:t>
      </w:r>
      <w:r w:rsidR="00AB330F" w:rsidRPr="00DD2A86">
        <w:rPr>
          <w:rFonts w:eastAsiaTheme="minorHAnsi"/>
          <w:iCs/>
          <w:lang w:val="de-DE"/>
        </w:rPr>
        <w:t xml:space="preserve">der </w:t>
      </w:r>
      <w:r w:rsidR="00B307A1" w:rsidRPr="00DD2A86">
        <w:rPr>
          <w:rFonts w:eastAsiaTheme="minorHAnsi"/>
          <w:iCs/>
          <w:lang w:val="de-DE"/>
        </w:rPr>
        <w:t xml:space="preserve">UN-Nr. </w:t>
      </w:r>
      <w:r w:rsidRPr="00DD2A86">
        <w:rPr>
          <w:rFonts w:eastAsiaTheme="minorHAnsi"/>
          <w:lang w:val="de-DE"/>
        </w:rPr>
        <w:t>2057, Verpackungsgruppe II:</w:t>
      </w:r>
    </w:p>
    <w:p w:rsidR="00C323D4" w:rsidRPr="00DD2A86" w:rsidRDefault="00C323D4" w:rsidP="00C323D4">
      <w:pPr>
        <w:tabs>
          <w:tab w:val="left" w:pos="4253"/>
        </w:tabs>
        <w:kinsoku w:val="0"/>
        <w:overflowPunct w:val="0"/>
        <w:autoSpaceDE w:val="0"/>
        <w:autoSpaceDN w:val="0"/>
        <w:adjustRightInd w:val="0"/>
        <w:snapToGrid w:val="0"/>
        <w:spacing w:before="60" w:after="60"/>
        <w:ind w:left="1985" w:right="1134"/>
        <w:jc w:val="both"/>
        <w:rPr>
          <w:rFonts w:eastAsiaTheme="minorHAnsi"/>
          <w:lang w:val="de-DE"/>
        </w:rPr>
      </w:pPr>
      <w:r w:rsidRPr="00DD2A86">
        <w:rPr>
          <w:rFonts w:eastAsiaTheme="minorHAnsi"/>
          <w:lang w:val="de-DE"/>
        </w:rPr>
        <w:t>In Spalte (5)</w:t>
      </w:r>
      <w:r w:rsidRPr="00DD2A86">
        <w:rPr>
          <w:rFonts w:eastAsiaTheme="minorHAnsi"/>
          <w:lang w:val="de-DE"/>
        </w:rPr>
        <w:tab/>
        <w:t>„3 +N3“ ändern in: „3 + N1“.</w:t>
      </w:r>
    </w:p>
    <w:p w:rsidR="00C323D4" w:rsidRPr="00DD2A86" w:rsidRDefault="00C323D4" w:rsidP="00C323D4">
      <w:pPr>
        <w:tabs>
          <w:tab w:val="left" w:pos="4253"/>
        </w:tabs>
        <w:kinsoku w:val="0"/>
        <w:overflowPunct w:val="0"/>
        <w:autoSpaceDE w:val="0"/>
        <w:autoSpaceDN w:val="0"/>
        <w:adjustRightInd w:val="0"/>
        <w:snapToGrid w:val="0"/>
        <w:spacing w:before="60" w:after="60"/>
        <w:ind w:left="1985" w:right="1134"/>
        <w:jc w:val="both"/>
        <w:rPr>
          <w:rFonts w:eastAsiaTheme="minorHAnsi"/>
          <w:lang w:val="de-DE"/>
        </w:rPr>
      </w:pPr>
      <w:r w:rsidRPr="00DD2A86">
        <w:rPr>
          <w:rFonts w:eastAsiaTheme="minorHAnsi"/>
          <w:lang w:val="de-DE"/>
        </w:rPr>
        <w:t>In Spalte (6)</w:t>
      </w:r>
      <w:r w:rsidRPr="00DD2A86">
        <w:rPr>
          <w:rFonts w:eastAsiaTheme="minorHAnsi"/>
          <w:lang w:val="de-DE"/>
        </w:rPr>
        <w:tab/>
        <w:t>„N“ ändern in: „C“.</w:t>
      </w:r>
    </w:p>
    <w:p w:rsidR="00C323D4" w:rsidRPr="00DD2A86" w:rsidRDefault="00C323D4" w:rsidP="00C323D4">
      <w:pPr>
        <w:tabs>
          <w:tab w:val="left" w:pos="4253"/>
        </w:tabs>
        <w:kinsoku w:val="0"/>
        <w:overflowPunct w:val="0"/>
        <w:autoSpaceDE w:val="0"/>
        <w:autoSpaceDN w:val="0"/>
        <w:adjustRightInd w:val="0"/>
        <w:snapToGrid w:val="0"/>
        <w:spacing w:before="60" w:after="60"/>
        <w:ind w:left="1985" w:right="1134"/>
        <w:jc w:val="both"/>
        <w:rPr>
          <w:rFonts w:eastAsiaTheme="minorHAnsi"/>
          <w:lang w:val="de-DE"/>
        </w:rPr>
      </w:pPr>
      <w:r w:rsidRPr="00DD2A86">
        <w:rPr>
          <w:rFonts w:eastAsiaTheme="minorHAnsi"/>
          <w:lang w:val="de-DE"/>
        </w:rPr>
        <w:t>In Spalte (8)</w:t>
      </w:r>
      <w:r w:rsidRPr="00DD2A86">
        <w:rPr>
          <w:rFonts w:eastAsiaTheme="minorHAnsi"/>
          <w:lang w:val="de-DE"/>
        </w:rPr>
        <w:tab/>
        <w:t>„3“ ändern in: „2“.</w:t>
      </w:r>
    </w:p>
    <w:p w:rsidR="00C323D4" w:rsidRPr="00DD2A86" w:rsidRDefault="00C323D4" w:rsidP="00C323D4">
      <w:pPr>
        <w:tabs>
          <w:tab w:val="left" w:pos="4253"/>
        </w:tabs>
        <w:kinsoku w:val="0"/>
        <w:overflowPunct w:val="0"/>
        <w:autoSpaceDE w:val="0"/>
        <w:autoSpaceDN w:val="0"/>
        <w:adjustRightInd w:val="0"/>
        <w:snapToGrid w:val="0"/>
        <w:spacing w:before="60" w:after="60"/>
        <w:ind w:left="1985" w:right="1134"/>
        <w:jc w:val="both"/>
        <w:rPr>
          <w:rFonts w:eastAsiaTheme="minorHAnsi"/>
          <w:lang w:val="de-DE"/>
        </w:rPr>
      </w:pPr>
      <w:r w:rsidRPr="00DD2A86">
        <w:rPr>
          <w:rFonts w:eastAsiaTheme="minorHAnsi"/>
          <w:lang w:val="de-DE"/>
        </w:rPr>
        <w:t>In Spalte (13)</w:t>
      </w:r>
      <w:r w:rsidRPr="00DD2A86">
        <w:rPr>
          <w:rFonts w:eastAsiaTheme="minorHAnsi"/>
          <w:lang w:val="de-DE"/>
        </w:rPr>
        <w:tab/>
        <w:t>„3“ ändern in: „2“.</w:t>
      </w:r>
    </w:p>
    <w:p w:rsidR="00C323D4" w:rsidRPr="00DD2A86" w:rsidRDefault="00C323D4" w:rsidP="00C323D4">
      <w:pPr>
        <w:tabs>
          <w:tab w:val="left" w:pos="1985"/>
          <w:tab w:val="left" w:pos="2268"/>
        </w:tabs>
        <w:spacing w:before="60" w:after="60"/>
        <w:ind w:left="1134" w:right="1134"/>
        <w:jc w:val="both"/>
        <w:rPr>
          <w:rFonts w:eastAsiaTheme="minorHAnsi"/>
          <w:lang w:val="de-DE"/>
        </w:rPr>
      </w:pPr>
      <w:r w:rsidRPr="00DD2A86">
        <w:rPr>
          <w:rFonts w:eastAsiaTheme="minorHAnsi"/>
          <w:lang w:val="de-DE"/>
        </w:rPr>
        <w:t>3.2.3.2</w:t>
      </w:r>
      <w:r w:rsidRPr="00DD2A86">
        <w:rPr>
          <w:rFonts w:eastAsiaTheme="minorHAnsi"/>
          <w:lang w:val="de-DE"/>
        </w:rPr>
        <w:tab/>
      </w:r>
      <w:r w:rsidR="00B307A1" w:rsidRPr="00DD2A86">
        <w:rPr>
          <w:rFonts w:eastAsiaTheme="minorHAnsi"/>
          <w:iCs/>
          <w:lang w:val="de-DE"/>
        </w:rPr>
        <w:t xml:space="preserve">Bei </w:t>
      </w:r>
      <w:r w:rsidR="00AB330F" w:rsidRPr="00DD2A86">
        <w:rPr>
          <w:rFonts w:eastAsiaTheme="minorHAnsi"/>
          <w:iCs/>
          <w:lang w:val="de-DE"/>
        </w:rPr>
        <w:t xml:space="preserve">der </w:t>
      </w:r>
      <w:r w:rsidR="00B307A1" w:rsidRPr="00DD2A86">
        <w:rPr>
          <w:rFonts w:eastAsiaTheme="minorHAnsi"/>
          <w:iCs/>
          <w:lang w:val="de-DE"/>
        </w:rPr>
        <w:t xml:space="preserve">UN-Nr. </w:t>
      </w:r>
      <w:r w:rsidRPr="00DD2A86">
        <w:rPr>
          <w:rFonts w:eastAsiaTheme="minorHAnsi"/>
          <w:lang w:val="de-DE"/>
        </w:rPr>
        <w:t>2057, Verpackungsgruppe III:</w:t>
      </w:r>
    </w:p>
    <w:p w:rsidR="00C323D4" w:rsidRPr="00DD2A86" w:rsidRDefault="00C323D4" w:rsidP="00C323D4">
      <w:pPr>
        <w:tabs>
          <w:tab w:val="left" w:pos="4253"/>
        </w:tabs>
        <w:kinsoku w:val="0"/>
        <w:overflowPunct w:val="0"/>
        <w:autoSpaceDE w:val="0"/>
        <w:autoSpaceDN w:val="0"/>
        <w:adjustRightInd w:val="0"/>
        <w:snapToGrid w:val="0"/>
        <w:spacing w:before="60" w:after="60"/>
        <w:ind w:left="1985" w:right="1134"/>
        <w:jc w:val="both"/>
        <w:rPr>
          <w:rFonts w:eastAsiaTheme="minorHAnsi"/>
          <w:lang w:val="de-DE"/>
        </w:rPr>
      </w:pPr>
      <w:r w:rsidRPr="00DD2A86">
        <w:rPr>
          <w:rFonts w:eastAsiaTheme="minorHAnsi"/>
          <w:lang w:val="de-DE"/>
        </w:rPr>
        <w:t>In Spalte (5)</w:t>
      </w:r>
      <w:r w:rsidRPr="00DD2A86">
        <w:rPr>
          <w:rFonts w:eastAsiaTheme="minorHAnsi"/>
          <w:lang w:val="de-DE"/>
        </w:rPr>
        <w:tab/>
        <w:t>„3 +N3“ ändern in: „3 + N1“.</w:t>
      </w:r>
    </w:p>
    <w:p w:rsidR="00C323D4" w:rsidRPr="00DD2A86" w:rsidRDefault="00C323D4" w:rsidP="00C323D4">
      <w:pPr>
        <w:tabs>
          <w:tab w:val="left" w:pos="4253"/>
        </w:tabs>
        <w:kinsoku w:val="0"/>
        <w:overflowPunct w:val="0"/>
        <w:autoSpaceDE w:val="0"/>
        <w:autoSpaceDN w:val="0"/>
        <w:adjustRightInd w:val="0"/>
        <w:snapToGrid w:val="0"/>
        <w:spacing w:before="60" w:after="60"/>
        <w:ind w:left="1985" w:right="1134"/>
        <w:jc w:val="both"/>
        <w:rPr>
          <w:rFonts w:eastAsiaTheme="minorHAnsi"/>
          <w:lang w:val="de-DE"/>
        </w:rPr>
      </w:pPr>
      <w:r w:rsidRPr="00DD2A86">
        <w:rPr>
          <w:rFonts w:eastAsiaTheme="minorHAnsi"/>
          <w:lang w:val="de-DE"/>
        </w:rPr>
        <w:t>In Spalte (6)</w:t>
      </w:r>
      <w:r w:rsidRPr="00DD2A86">
        <w:rPr>
          <w:rFonts w:eastAsiaTheme="minorHAnsi"/>
          <w:lang w:val="de-DE"/>
        </w:rPr>
        <w:tab/>
        <w:t>„N“ ändern in: „C“.</w:t>
      </w:r>
    </w:p>
    <w:p w:rsidR="00C323D4" w:rsidRPr="00DD2A86" w:rsidRDefault="00C323D4" w:rsidP="00C323D4">
      <w:pPr>
        <w:tabs>
          <w:tab w:val="left" w:pos="4253"/>
        </w:tabs>
        <w:kinsoku w:val="0"/>
        <w:overflowPunct w:val="0"/>
        <w:autoSpaceDE w:val="0"/>
        <w:autoSpaceDN w:val="0"/>
        <w:adjustRightInd w:val="0"/>
        <w:snapToGrid w:val="0"/>
        <w:spacing w:before="60" w:after="60"/>
        <w:ind w:left="1985" w:right="1134"/>
        <w:jc w:val="both"/>
        <w:rPr>
          <w:rFonts w:eastAsiaTheme="minorHAnsi"/>
          <w:lang w:val="de-DE"/>
        </w:rPr>
      </w:pPr>
      <w:r w:rsidRPr="00DD2A86">
        <w:rPr>
          <w:rFonts w:eastAsiaTheme="minorHAnsi"/>
          <w:lang w:val="de-DE"/>
        </w:rPr>
        <w:t>In Spalte (7)</w:t>
      </w:r>
      <w:r w:rsidRPr="00DD2A86">
        <w:rPr>
          <w:rFonts w:eastAsiaTheme="minorHAnsi"/>
          <w:lang w:val="de-DE"/>
        </w:rPr>
        <w:tab/>
        <w:t>„3“ ändern in: „2“.</w:t>
      </w:r>
    </w:p>
    <w:p w:rsidR="00C323D4" w:rsidRPr="00DD2A86" w:rsidRDefault="00C323D4" w:rsidP="00C323D4">
      <w:pPr>
        <w:tabs>
          <w:tab w:val="left" w:pos="4253"/>
        </w:tabs>
        <w:kinsoku w:val="0"/>
        <w:overflowPunct w:val="0"/>
        <w:autoSpaceDE w:val="0"/>
        <w:autoSpaceDN w:val="0"/>
        <w:adjustRightInd w:val="0"/>
        <w:snapToGrid w:val="0"/>
        <w:spacing w:before="60" w:after="60"/>
        <w:ind w:left="1985" w:right="1134"/>
        <w:jc w:val="both"/>
        <w:rPr>
          <w:rFonts w:eastAsiaTheme="minorHAnsi"/>
          <w:lang w:val="de-DE"/>
        </w:rPr>
      </w:pPr>
      <w:r w:rsidRPr="00DD2A86">
        <w:rPr>
          <w:rFonts w:eastAsiaTheme="minorHAnsi"/>
          <w:lang w:val="de-DE"/>
        </w:rPr>
        <w:t>In Spalte (8)</w:t>
      </w:r>
      <w:r w:rsidRPr="00DD2A86">
        <w:rPr>
          <w:rFonts w:eastAsiaTheme="minorHAnsi"/>
          <w:lang w:val="de-DE"/>
        </w:rPr>
        <w:tab/>
        <w:t>„3“ ändern in: „2“.</w:t>
      </w:r>
    </w:p>
    <w:p w:rsidR="00C323D4" w:rsidRPr="00DD2A86" w:rsidRDefault="00C323D4" w:rsidP="00C323D4">
      <w:pPr>
        <w:tabs>
          <w:tab w:val="left" w:pos="4253"/>
        </w:tabs>
        <w:kinsoku w:val="0"/>
        <w:overflowPunct w:val="0"/>
        <w:autoSpaceDE w:val="0"/>
        <w:autoSpaceDN w:val="0"/>
        <w:adjustRightInd w:val="0"/>
        <w:snapToGrid w:val="0"/>
        <w:spacing w:before="60" w:after="60"/>
        <w:ind w:left="1985" w:right="1134"/>
        <w:jc w:val="both"/>
        <w:rPr>
          <w:rFonts w:eastAsiaTheme="minorHAnsi"/>
          <w:lang w:val="de-DE"/>
        </w:rPr>
      </w:pPr>
      <w:r w:rsidRPr="00DD2A86">
        <w:rPr>
          <w:rFonts w:eastAsiaTheme="minorHAnsi"/>
          <w:lang w:val="de-DE"/>
        </w:rPr>
        <w:t>In Spalte (13)</w:t>
      </w:r>
      <w:r w:rsidRPr="00DD2A86">
        <w:rPr>
          <w:rFonts w:eastAsiaTheme="minorHAnsi"/>
          <w:lang w:val="de-DE"/>
        </w:rPr>
        <w:tab/>
        <w:t>„3“ ändern in: „2“.</w:t>
      </w:r>
    </w:p>
    <w:p w:rsidR="00C323D4" w:rsidRPr="00DD2A86" w:rsidRDefault="00C323D4" w:rsidP="00C323D4">
      <w:pPr>
        <w:tabs>
          <w:tab w:val="left" w:pos="1985"/>
          <w:tab w:val="left" w:pos="2268"/>
        </w:tabs>
        <w:spacing w:before="120" w:after="120"/>
        <w:ind w:left="1134" w:right="1134"/>
        <w:jc w:val="both"/>
        <w:rPr>
          <w:rFonts w:eastAsiaTheme="minorHAnsi"/>
          <w:lang w:val="de-DE"/>
        </w:rPr>
      </w:pPr>
      <w:r w:rsidRPr="00DD2A86">
        <w:rPr>
          <w:rFonts w:eastAsiaTheme="minorHAnsi"/>
          <w:lang w:val="de-DE"/>
        </w:rPr>
        <w:t>3.2.3.2</w:t>
      </w:r>
      <w:r w:rsidRPr="00DD2A86">
        <w:rPr>
          <w:rFonts w:eastAsiaTheme="minorHAnsi"/>
          <w:lang w:val="de-DE"/>
        </w:rPr>
        <w:tab/>
      </w:r>
      <w:r w:rsidR="00B307A1" w:rsidRPr="00DD2A86">
        <w:rPr>
          <w:rFonts w:eastAsiaTheme="minorHAnsi"/>
          <w:iCs/>
          <w:lang w:val="de-DE"/>
        </w:rPr>
        <w:t xml:space="preserve">Bei den UN-Nrn. </w:t>
      </w:r>
      <w:r w:rsidRPr="00DD2A86">
        <w:rPr>
          <w:rFonts w:eastAsiaTheme="minorHAnsi"/>
          <w:lang w:val="de-DE"/>
        </w:rPr>
        <w:t>2448, 3256 (alle Eintragungen) und 3257 (alle Eintragungen), in Spalte (20) „; 17“ nach „7“ einfügen.</w:t>
      </w:r>
    </w:p>
    <w:p w:rsidR="00EB6056" w:rsidRPr="00DD2A86" w:rsidRDefault="00EB6056">
      <w:pPr>
        <w:suppressAutoHyphens w:val="0"/>
        <w:spacing w:line="240" w:lineRule="auto"/>
        <w:rPr>
          <w:rFonts w:eastAsiaTheme="minorHAnsi"/>
          <w:lang w:val="de-DE"/>
        </w:rPr>
      </w:pPr>
      <w:r w:rsidRPr="00DD2A86">
        <w:rPr>
          <w:rFonts w:eastAsiaTheme="minorHAnsi"/>
          <w:lang w:val="de-DE"/>
        </w:rPr>
        <w:br w:type="page"/>
      </w:r>
    </w:p>
    <w:p w:rsidR="00C323D4" w:rsidRPr="00DD2A86" w:rsidRDefault="00C323D4" w:rsidP="00C323D4">
      <w:pPr>
        <w:tabs>
          <w:tab w:val="left" w:pos="2268"/>
        </w:tabs>
        <w:spacing w:before="120" w:after="120"/>
        <w:ind w:left="1134" w:right="1134"/>
        <w:jc w:val="both"/>
        <w:rPr>
          <w:rFonts w:eastAsiaTheme="minorHAnsi"/>
          <w:bCs/>
          <w:lang w:val="de-DE"/>
        </w:rPr>
      </w:pPr>
      <w:r w:rsidRPr="00DD2A86">
        <w:rPr>
          <w:rFonts w:eastAsiaTheme="minorHAnsi"/>
          <w:lang w:val="de-DE"/>
        </w:rPr>
        <w:t>3.2.3.2</w:t>
      </w:r>
      <w:r w:rsidRPr="00DD2A86">
        <w:rPr>
          <w:rFonts w:eastAsiaTheme="minorHAnsi"/>
          <w:lang w:val="de-DE"/>
        </w:rPr>
        <w:tab/>
        <w:t>F</w:t>
      </w:r>
      <w:r w:rsidRPr="00DD2A86">
        <w:rPr>
          <w:rFonts w:eastAsiaTheme="minorHAnsi"/>
          <w:bCs/>
          <w:lang w:val="de-DE"/>
        </w:rPr>
        <w:t xml:space="preserve">ür folgende Einträge erhält die Spalte (16) folgenden Wortlaut: „II A“: </w:t>
      </w:r>
    </w:p>
    <w:p w:rsidR="00C323D4" w:rsidRPr="00DD2A86" w:rsidRDefault="00C323D4" w:rsidP="00C323D4">
      <w:pPr>
        <w:tabs>
          <w:tab w:val="left" w:pos="2268"/>
        </w:tabs>
        <w:spacing w:before="60" w:after="60"/>
        <w:ind w:left="1134" w:right="1134"/>
        <w:jc w:val="both"/>
        <w:rPr>
          <w:rFonts w:eastAsiaTheme="minorHAnsi"/>
          <w:bCs/>
          <w:lang w:val="fr-FR"/>
        </w:rPr>
      </w:pPr>
      <w:r w:rsidRPr="00DD2A86">
        <w:rPr>
          <w:rFonts w:eastAsiaTheme="minorHAnsi"/>
          <w:bCs/>
          <w:lang w:val="fr-FR"/>
        </w:rPr>
        <w:t>UN 1120</w:t>
      </w:r>
      <w:r w:rsidRPr="00DD2A86">
        <w:rPr>
          <w:rFonts w:eastAsiaTheme="minorHAnsi"/>
          <w:bCs/>
          <w:lang w:val="fr-FR"/>
        </w:rPr>
        <w:tab/>
        <w:t>BUTANOLE (sec.-BUTYLALKOHOL)</w:t>
      </w:r>
    </w:p>
    <w:p w:rsidR="00C323D4" w:rsidRPr="00DD2A86" w:rsidRDefault="00C323D4" w:rsidP="00C323D4">
      <w:pPr>
        <w:tabs>
          <w:tab w:val="left" w:pos="2268"/>
        </w:tabs>
        <w:spacing w:before="60" w:after="60"/>
        <w:ind w:left="1134" w:right="1134"/>
        <w:jc w:val="both"/>
        <w:rPr>
          <w:rFonts w:eastAsiaTheme="minorHAnsi"/>
          <w:bCs/>
          <w:lang w:val="fr-FR"/>
        </w:rPr>
      </w:pPr>
      <w:r w:rsidRPr="00DD2A86">
        <w:rPr>
          <w:rFonts w:eastAsiaTheme="minorHAnsi"/>
          <w:bCs/>
          <w:lang w:val="fr-FR"/>
        </w:rPr>
        <w:t>UN 1191</w:t>
      </w:r>
      <w:r w:rsidRPr="00DD2A86">
        <w:rPr>
          <w:rFonts w:eastAsiaTheme="minorHAnsi"/>
          <w:bCs/>
          <w:lang w:val="fr-FR"/>
        </w:rPr>
        <w:tab/>
        <w:t>OCTYLALDEHYDE (n-OCTYLALDEHYD)</w:t>
      </w:r>
    </w:p>
    <w:p w:rsidR="00C323D4" w:rsidRPr="00DD2A86" w:rsidRDefault="00C323D4" w:rsidP="00C323D4">
      <w:pPr>
        <w:tabs>
          <w:tab w:val="left" w:pos="2268"/>
        </w:tabs>
        <w:spacing w:before="60" w:after="60"/>
        <w:ind w:left="1134" w:right="1134"/>
        <w:jc w:val="both"/>
        <w:rPr>
          <w:rFonts w:eastAsiaTheme="minorHAnsi"/>
          <w:bCs/>
          <w:lang w:val="fr-FR"/>
        </w:rPr>
      </w:pPr>
      <w:r w:rsidRPr="00DD2A86">
        <w:rPr>
          <w:rFonts w:eastAsiaTheme="minorHAnsi"/>
          <w:bCs/>
          <w:lang w:val="fr-FR"/>
        </w:rPr>
        <w:t>UN 1229</w:t>
      </w:r>
      <w:r w:rsidRPr="00DD2A86">
        <w:rPr>
          <w:rFonts w:eastAsiaTheme="minorHAnsi"/>
          <w:bCs/>
          <w:lang w:val="fr-FR"/>
        </w:rPr>
        <w:tab/>
        <w:t>MESITYLOXID</w:t>
      </w:r>
    </w:p>
    <w:p w:rsidR="00C323D4" w:rsidRPr="00DD2A86" w:rsidRDefault="00C323D4" w:rsidP="00C323D4">
      <w:pPr>
        <w:tabs>
          <w:tab w:val="left" w:pos="2268"/>
        </w:tabs>
        <w:spacing w:before="60" w:after="60"/>
        <w:ind w:left="1134" w:right="1134"/>
        <w:jc w:val="both"/>
        <w:rPr>
          <w:rFonts w:eastAsiaTheme="minorHAnsi"/>
          <w:bCs/>
          <w:lang w:val="fr-FR"/>
        </w:rPr>
      </w:pPr>
      <w:r w:rsidRPr="00DD2A86">
        <w:rPr>
          <w:rFonts w:eastAsiaTheme="minorHAnsi"/>
          <w:bCs/>
          <w:lang w:val="fr-FR"/>
        </w:rPr>
        <w:t>UN 1783</w:t>
      </w:r>
      <w:r w:rsidRPr="00DD2A86">
        <w:rPr>
          <w:rFonts w:eastAsiaTheme="minorHAnsi"/>
          <w:bCs/>
          <w:lang w:val="fr-FR"/>
        </w:rPr>
        <w:tab/>
        <w:t>HEXAMETHYLENDIAMIN, LÖSUNG, VG II</w:t>
      </w:r>
    </w:p>
    <w:p w:rsidR="00C323D4" w:rsidRPr="00DD2A86" w:rsidRDefault="00C323D4" w:rsidP="00C323D4">
      <w:pPr>
        <w:tabs>
          <w:tab w:val="left" w:pos="2268"/>
        </w:tabs>
        <w:spacing w:before="60" w:after="60"/>
        <w:ind w:left="1134" w:right="1134"/>
        <w:jc w:val="both"/>
        <w:rPr>
          <w:rFonts w:eastAsiaTheme="minorHAnsi"/>
          <w:bCs/>
          <w:lang w:val="fr-FR"/>
        </w:rPr>
      </w:pPr>
      <w:r w:rsidRPr="00DD2A86">
        <w:rPr>
          <w:rFonts w:eastAsiaTheme="minorHAnsi"/>
          <w:bCs/>
          <w:lang w:val="fr-FR"/>
        </w:rPr>
        <w:t>UN 1783</w:t>
      </w:r>
      <w:r w:rsidRPr="00DD2A86">
        <w:rPr>
          <w:rFonts w:eastAsiaTheme="minorHAnsi"/>
          <w:bCs/>
          <w:lang w:val="fr-FR"/>
        </w:rPr>
        <w:tab/>
        <w:t>HEXAMETHYLENDIAMIN, LÖSUNG, VG III</w:t>
      </w:r>
    </w:p>
    <w:p w:rsidR="00C323D4" w:rsidRPr="00DD2A86" w:rsidRDefault="00C323D4" w:rsidP="00C323D4">
      <w:pPr>
        <w:tabs>
          <w:tab w:val="left" w:pos="2268"/>
        </w:tabs>
        <w:spacing w:before="60" w:after="60"/>
        <w:ind w:left="1134" w:right="1134"/>
        <w:jc w:val="both"/>
        <w:rPr>
          <w:rFonts w:eastAsiaTheme="minorHAnsi"/>
          <w:bCs/>
          <w:lang w:val="fr-FR"/>
        </w:rPr>
      </w:pPr>
      <w:r w:rsidRPr="00DD2A86">
        <w:rPr>
          <w:rFonts w:eastAsiaTheme="minorHAnsi"/>
          <w:bCs/>
          <w:lang w:val="fr-FR"/>
        </w:rPr>
        <w:t>UN 2048</w:t>
      </w:r>
      <w:r w:rsidRPr="00DD2A86">
        <w:rPr>
          <w:rFonts w:eastAsiaTheme="minorHAnsi"/>
          <w:bCs/>
          <w:lang w:val="fr-FR"/>
        </w:rPr>
        <w:tab/>
        <w:t>DICYCLOPENTADIEN</w:t>
      </w:r>
    </w:p>
    <w:p w:rsidR="00C323D4" w:rsidRPr="00DD2A86" w:rsidRDefault="00C323D4" w:rsidP="00C323D4">
      <w:pPr>
        <w:tabs>
          <w:tab w:val="left" w:pos="2268"/>
        </w:tabs>
        <w:spacing w:before="60" w:after="60"/>
        <w:ind w:left="1134" w:right="1134"/>
        <w:jc w:val="both"/>
        <w:rPr>
          <w:rFonts w:eastAsiaTheme="minorHAnsi"/>
          <w:bCs/>
          <w:lang w:val="fr-FR"/>
        </w:rPr>
      </w:pPr>
      <w:r w:rsidRPr="00DD2A86">
        <w:rPr>
          <w:rFonts w:eastAsiaTheme="minorHAnsi"/>
          <w:bCs/>
          <w:lang w:val="fr-FR"/>
        </w:rPr>
        <w:t>UN 2053</w:t>
      </w:r>
      <w:r w:rsidRPr="00DD2A86">
        <w:rPr>
          <w:rFonts w:eastAsiaTheme="minorHAnsi"/>
          <w:bCs/>
          <w:lang w:val="fr-FR"/>
        </w:rPr>
        <w:tab/>
        <w:t>METHYLISOBUTYLCARBINOL</w:t>
      </w:r>
    </w:p>
    <w:p w:rsidR="00C323D4" w:rsidRPr="00DD2A86" w:rsidRDefault="00C323D4" w:rsidP="00C323D4">
      <w:pPr>
        <w:tabs>
          <w:tab w:val="left" w:pos="2268"/>
        </w:tabs>
        <w:spacing w:before="60" w:after="60"/>
        <w:ind w:left="1134" w:right="1134"/>
        <w:jc w:val="both"/>
        <w:rPr>
          <w:rFonts w:eastAsiaTheme="minorHAnsi"/>
          <w:bCs/>
          <w:lang w:val="fr-FR"/>
        </w:rPr>
      </w:pPr>
      <w:r w:rsidRPr="00DD2A86">
        <w:rPr>
          <w:rFonts w:eastAsiaTheme="minorHAnsi"/>
          <w:bCs/>
          <w:lang w:val="fr-FR"/>
        </w:rPr>
        <w:t>UN 2057</w:t>
      </w:r>
      <w:r w:rsidRPr="00DD2A86">
        <w:rPr>
          <w:rFonts w:eastAsiaTheme="minorHAnsi"/>
          <w:bCs/>
          <w:lang w:val="fr-FR"/>
        </w:rPr>
        <w:tab/>
        <w:t>TRIPROPYLEN, VG II</w:t>
      </w:r>
    </w:p>
    <w:p w:rsidR="00C323D4" w:rsidRPr="00DD2A86" w:rsidRDefault="00C323D4" w:rsidP="00C323D4">
      <w:pPr>
        <w:tabs>
          <w:tab w:val="left" w:pos="2268"/>
        </w:tabs>
        <w:spacing w:before="60" w:after="60"/>
        <w:ind w:left="1134" w:right="1134"/>
        <w:jc w:val="both"/>
        <w:rPr>
          <w:rFonts w:eastAsiaTheme="minorHAnsi"/>
          <w:bCs/>
          <w:lang w:val="fr-FR"/>
        </w:rPr>
      </w:pPr>
      <w:r w:rsidRPr="00DD2A86">
        <w:rPr>
          <w:rFonts w:eastAsiaTheme="minorHAnsi"/>
          <w:bCs/>
          <w:lang w:val="fr-FR"/>
        </w:rPr>
        <w:t>UN 2057</w:t>
      </w:r>
      <w:r w:rsidRPr="00DD2A86">
        <w:rPr>
          <w:rFonts w:eastAsiaTheme="minorHAnsi"/>
          <w:bCs/>
          <w:lang w:val="fr-FR"/>
        </w:rPr>
        <w:tab/>
        <w:t>TRIPROPYLEN, VG III</w:t>
      </w:r>
    </w:p>
    <w:p w:rsidR="00C323D4" w:rsidRPr="00DD2A86" w:rsidRDefault="00C323D4" w:rsidP="00C323D4">
      <w:pPr>
        <w:tabs>
          <w:tab w:val="left" w:pos="2268"/>
        </w:tabs>
        <w:spacing w:before="60" w:after="60"/>
        <w:ind w:left="1134" w:right="1134"/>
        <w:jc w:val="both"/>
        <w:rPr>
          <w:rFonts w:eastAsiaTheme="minorHAnsi"/>
          <w:bCs/>
          <w:lang w:val="fr-FR"/>
        </w:rPr>
      </w:pPr>
      <w:r w:rsidRPr="00DD2A86">
        <w:rPr>
          <w:rFonts w:eastAsiaTheme="minorHAnsi"/>
          <w:bCs/>
          <w:lang w:val="fr-FR"/>
        </w:rPr>
        <w:t>UN 2357</w:t>
      </w:r>
      <w:r w:rsidRPr="00DD2A86">
        <w:rPr>
          <w:rFonts w:eastAsiaTheme="minorHAnsi"/>
          <w:bCs/>
          <w:lang w:val="fr-FR"/>
        </w:rPr>
        <w:tab/>
        <w:t>CYCLOHEXYLAMIN</w:t>
      </w:r>
    </w:p>
    <w:p w:rsidR="00C323D4" w:rsidRPr="00DD2A86" w:rsidRDefault="00C323D4" w:rsidP="00C323D4">
      <w:pPr>
        <w:tabs>
          <w:tab w:val="left" w:pos="2268"/>
        </w:tabs>
        <w:spacing w:before="60" w:after="60"/>
        <w:ind w:left="1134" w:right="1134"/>
        <w:jc w:val="both"/>
        <w:rPr>
          <w:rFonts w:eastAsiaTheme="minorHAnsi"/>
          <w:bCs/>
          <w:lang w:val="fr-FR"/>
        </w:rPr>
      </w:pPr>
      <w:r w:rsidRPr="00DD2A86">
        <w:rPr>
          <w:rFonts w:eastAsiaTheme="minorHAnsi"/>
          <w:bCs/>
          <w:lang w:val="fr-FR"/>
        </w:rPr>
        <w:t>UN 2485</w:t>
      </w:r>
      <w:r w:rsidRPr="00DD2A86">
        <w:rPr>
          <w:rFonts w:eastAsiaTheme="minorHAnsi"/>
          <w:bCs/>
          <w:lang w:val="fr-FR"/>
        </w:rPr>
        <w:tab/>
        <w:t>n-BUTYLISOCYANAT</w:t>
      </w:r>
    </w:p>
    <w:p w:rsidR="00C323D4" w:rsidRPr="00DD2A86" w:rsidRDefault="00C323D4" w:rsidP="00C323D4">
      <w:pPr>
        <w:tabs>
          <w:tab w:val="left" w:pos="2268"/>
        </w:tabs>
        <w:spacing w:before="60" w:after="60"/>
        <w:ind w:left="1134" w:right="1134"/>
        <w:jc w:val="both"/>
        <w:rPr>
          <w:rFonts w:eastAsiaTheme="minorHAnsi"/>
          <w:bCs/>
          <w:lang w:val="fr-FR"/>
        </w:rPr>
      </w:pPr>
      <w:r w:rsidRPr="00DD2A86">
        <w:rPr>
          <w:rFonts w:eastAsiaTheme="minorHAnsi"/>
          <w:bCs/>
          <w:lang w:val="fr-FR"/>
        </w:rPr>
        <w:t>UN 2486</w:t>
      </w:r>
      <w:r w:rsidRPr="00DD2A86">
        <w:rPr>
          <w:rFonts w:eastAsiaTheme="minorHAnsi"/>
          <w:bCs/>
          <w:lang w:val="fr-FR"/>
        </w:rPr>
        <w:tab/>
        <w:t xml:space="preserve">ISOBUTYLISOCYANAT </w:t>
      </w:r>
    </w:p>
    <w:p w:rsidR="00C323D4" w:rsidRPr="00DD2A86" w:rsidRDefault="00C323D4" w:rsidP="00C323D4">
      <w:pPr>
        <w:tabs>
          <w:tab w:val="left" w:pos="2268"/>
        </w:tabs>
        <w:spacing w:before="60"/>
        <w:ind w:left="1134" w:right="1134"/>
        <w:jc w:val="both"/>
        <w:rPr>
          <w:rFonts w:eastAsiaTheme="minorHAnsi"/>
          <w:bCs/>
          <w:lang w:val="fr-FR"/>
        </w:rPr>
      </w:pPr>
      <w:r w:rsidRPr="00DD2A86">
        <w:rPr>
          <w:rFonts w:eastAsiaTheme="minorHAnsi"/>
          <w:bCs/>
          <w:lang w:val="fr-FR"/>
        </w:rPr>
        <w:t>UN 2531</w:t>
      </w:r>
      <w:r w:rsidRPr="00DD2A86">
        <w:rPr>
          <w:rFonts w:eastAsiaTheme="minorHAnsi"/>
          <w:bCs/>
          <w:lang w:val="fr-FR"/>
        </w:rPr>
        <w:tab/>
        <w:t>METHACRYLSÄURE, STABILISIERT</w:t>
      </w:r>
    </w:p>
    <w:p w:rsidR="00C323D4" w:rsidRPr="00DD2A86" w:rsidRDefault="00C323D4" w:rsidP="00C323D4">
      <w:pPr>
        <w:tabs>
          <w:tab w:val="left" w:pos="2268"/>
        </w:tabs>
        <w:spacing w:before="60" w:after="60"/>
        <w:ind w:left="2268" w:right="1134" w:hanging="1134"/>
        <w:jc w:val="both"/>
        <w:rPr>
          <w:rFonts w:eastAsiaTheme="minorHAnsi"/>
          <w:bCs/>
          <w:lang w:val="fr-FR"/>
        </w:rPr>
      </w:pPr>
      <w:r w:rsidRPr="00DD2A86">
        <w:rPr>
          <w:rFonts w:eastAsiaTheme="minorHAnsi"/>
          <w:bCs/>
          <w:lang w:val="fr-FR"/>
        </w:rPr>
        <w:t>UN 2381</w:t>
      </w:r>
      <w:r w:rsidRPr="00DD2A86">
        <w:rPr>
          <w:rFonts w:eastAsiaTheme="minorHAnsi"/>
          <w:bCs/>
          <w:lang w:val="fr-FR"/>
        </w:rPr>
        <w:tab/>
        <w:t>DIMETHYLDISULPHID</w:t>
      </w:r>
    </w:p>
    <w:p w:rsidR="00C323D4" w:rsidRPr="00DD2A86" w:rsidRDefault="00C323D4" w:rsidP="00C323D4">
      <w:pPr>
        <w:tabs>
          <w:tab w:val="left" w:pos="2268"/>
        </w:tabs>
        <w:spacing w:after="120"/>
        <w:ind w:left="2268" w:right="1134" w:hanging="1134"/>
        <w:jc w:val="both"/>
        <w:rPr>
          <w:rFonts w:eastAsiaTheme="minorHAnsi"/>
          <w:lang w:val="fr-FR"/>
        </w:rPr>
      </w:pPr>
      <w:r w:rsidRPr="00DD2A86">
        <w:rPr>
          <w:rFonts w:eastAsiaTheme="minorHAnsi"/>
          <w:bCs/>
          <w:lang w:val="fr-FR"/>
        </w:rPr>
        <w:t>UN 2618</w:t>
      </w:r>
      <w:r w:rsidRPr="00DD2A86">
        <w:rPr>
          <w:rFonts w:eastAsiaTheme="minorHAnsi"/>
          <w:bCs/>
          <w:lang w:val="fr-FR"/>
        </w:rPr>
        <w:tab/>
        <w:t>VINYLTOLUENE, STABILISIERT</w:t>
      </w:r>
    </w:p>
    <w:p w:rsidR="00C323D4" w:rsidRPr="00DD2A86" w:rsidRDefault="00C323D4" w:rsidP="00C323D4">
      <w:pPr>
        <w:tabs>
          <w:tab w:val="left" w:pos="2268"/>
        </w:tabs>
        <w:spacing w:before="120" w:after="120"/>
        <w:ind w:left="1134" w:right="1134"/>
        <w:jc w:val="both"/>
        <w:rPr>
          <w:rFonts w:eastAsiaTheme="minorHAnsi"/>
          <w:i/>
          <w:lang w:val="de-DE"/>
        </w:rPr>
      </w:pPr>
      <w:r w:rsidRPr="00DD2A86">
        <w:rPr>
          <w:rFonts w:eastAsiaTheme="minorHAnsi"/>
          <w:lang w:val="de-DE"/>
        </w:rPr>
        <w:t>3.2.3.2</w:t>
      </w:r>
      <w:r w:rsidRPr="00DD2A86">
        <w:rPr>
          <w:rFonts w:eastAsiaTheme="minorHAnsi"/>
          <w:lang w:val="de-DE"/>
        </w:rPr>
        <w:tab/>
        <w:t>Für folgende Einträge erhält die Spalte (16) folgenden Wortlaut: „II B (II B1)“:</w:t>
      </w:r>
    </w:p>
    <w:p w:rsidR="00C323D4" w:rsidRPr="00DD2A86" w:rsidRDefault="00C323D4" w:rsidP="00C323D4">
      <w:pPr>
        <w:tabs>
          <w:tab w:val="left" w:pos="2268"/>
        </w:tabs>
        <w:spacing w:before="120" w:after="120"/>
        <w:ind w:left="1134" w:right="1134"/>
        <w:jc w:val="both"/>
        <w:rPr>
          <w:rFonts w:eastAsiaTheme="minorHAnsi"/>
          <w:lang w:val="de-DE"/>
        </w:rPr>
      </w:pPr>
      <w:r w:rsidRPr="00DD2A86">
        <w:rPr>
          <w:rFonts w:eastAsiaTheme="minorHAnsi"/>
          <w:lang w:val="de-DE"/>
        </w:rPr>
        <w:t>UN 1163</w:t>
      </w:r>
      <w:r w:rsidRPr="00DD2A86">
        <w:rPr>
          <w:rFonts w:eastAsiaTheme="minorHAnsi"/>
          <w:lang w:val="de-DE"/>
        </w:rPr>
        <w:tab/>
        <w:t>DIMETHYLHYDRAZIN, ASYMMETRISCH</w:t>
      </w:r>
    </w:p>
    <w:p w:rsidR="00C323D4" w:rsidRPr="00DD2A86" w:rsidRDefault="00C323D4" w:rsidP="00C323D4">
      <w:pPr>
        <w:tabs>
          <w:tab w:val="left" w:pos="2268"/>
        </w:tabs>
        <w:spacing w:before="120" w:after="120"/>
        <w:ind w:left="1134" w:right="1134"/>
        <w:jc w:val="both"/>
        <w:rPr>
          <w:rFonts w:eastAsiaTheme="minorHAnsi"/>
          <w:lang w:val="de-DE"/>
        </w:rPr>
      </w:pPr>
      <w:r w:rsidRPr="00DD2A86">
        <w:rPr>
          <w:rFonts w:eastAsiaTheme="minorHAnsi"/>
          <w:lang w:val="de-DE"/>
        </w:rPr>
        <w:t>UN 1274</w:t>
      </w:r>
      <w:r w:rsidRPr="00DD2A86">
        <w:rPr>
          <w:rFonts w:eastAsiaTheme="minorHAnsi"/>
          <w:lang w:val="de-DE"/>
        </w:rPr>
        <w:tab/>
        <w:t>n-PROPANOL (n-PROPYLALKOHOL), VG II</w:t>
      </w:r>
    </w:p>
    <w:p w:rsidR="00C323D4" w:rsidRPr="00DD2A86" w:rsidRDefault="00C323D4" w:rsidP="00C323D4">
      <w:pPr>
        <w:tabs>
          <w:tab w:val="left" w:pos="2268"/>
        </w:tabs>
        <w:spacing w:before="120" w:after="120"/>
        <w:ind w:left="1134" w:right="1134"/>
        <w:jc w:val="both"/>
        <w:rPr>
          <w:rFonts w:eastAsiaTheme="minorHAnsi"/>
          <w:lang w:val="de-DE"/>
        </w:rPr>
      </w:pPr>
      <w:r w:rsidRPr="00DD2A86">
        <w:rPr>
          <w:rFonts w:eastAsiaTheme="minorHAnsi"/>
          <w:lang w:val="de-DE"/>
        </w:rPr>
        <w:t>UN 1274</w:t>
      </w:r>
      <w:r w:rsidRPr="00DD2A86">
        <w:rPr>
          <w:rFonts w:eastAsiaTheme="minorHAnsi"/>
          <w:lang w:val="de-DE"/>
        </w:rPr>
        <w:tab/>
        <w:t xml:space="preserve">n-PROPANOL (n-PROPYLALKOHOL), VG III </w:t>
      </w:r>
    </w:p>
    <w:p w:rsidR="00C323D4" w:rsidRPr="00DD2A86" w:rsidRDefault="00C323D4" w:rsidP="00C323D4">
      <w:pPr>
        <w:tabs>
          <w:tab w:val="left" w:pos="2268"/>
        </w:tabs>
        <w:spacing w:before="120" w:after="120"/>
        <w:ind w:left="2268" w:right="1134" w:hanging="1134"/>
        <w:jc w:val="both"/>
        <w:rPr>
          <w:rFonts w:eastAsiaTheme="minorHAnsi"/>
          <w:lang w:val="de-DE"/>
        </w:rPr>
      </w:pPr>
      <w:r w:rsidRPr="00DD2A86">
        <w:rPr>
          <w:rFonts w:eastAsiaTheme="minorHAnsi"/>
          <w:lang w:val="de-DE"/>
        </w:rPr>
        <w:t>UN 3475</w:t>
      </w:r>
      <w:r w:rsidRPr="00DD2A86">
        <w:rPr>
          <w:rFonts w:eastAsiaTheme="minorHAnsi"/>
          <w:lang w:val="de-DE"/>
        </w:rPr>
        <w:tab/>
        <w:t xml:space="preserve">ETHANOL UND BENZIN, GEMISCH oder ETHANOL UND OTTOKRAFTSTOFF, GEMISCH mit mehr als 90 % Ethanol </w:t>
      </w:r>
    </w:p>
    <w:p w:rsidR="00C323D4" w:rsidRPr="00DD2A86" w:rsidRDefault="00C323D4" w:rsidP="00C323D4">
      <w:pPr>
        <w:tabs>
          <w:tab w:val="left" w:pos="2268"/>
        </w:tabs>
        <w:spacing w:before="120" w:after="120"/>
        <w:ind w:left="1134" w:right="1134"/>
        <w:jc w:val="both"/>
        <w:rPr>
          <w:rFonts w:eastAsiaTheme="minorHAnsi"/>
          <w:bCs/>
          <w:lang w:val="de-DE"/>
        </w:rPr>
      </w:pPr>
      <w:r w:rsidRPr="00DD2A86">
        <w:rPr>
          <w:rFonts w:eastAsiaTheme="minorHAnsi"/>
          <w:lang w:val="de-DE"/>
        </w:rPr>
        <w:t>3.2.3.2</w:t>
      </w:r>
      <w:r w:rsidRPr="00DD2A86">
        <w:rPr>
          <w:rFonts w:eastAsiaTheme="minorHAnsi"/>
          <w:lang w:val="de-DE"/>
        </w:rPr>
        <w:tab/>
        <w:t>F</w:t>
      </w:r>
      <w:r w:rsidRPr="00DD2A86">
        <w:rPr>
          <w:bCs/>
          <w:lang w:val="de-DE"/>
        </w:rPr>
        <w:t>ür folgende Einträge erhält die Spalte (16) folgenden Wortlaut: „II B (II B2)“:</w:t>
      </w:r>
    </w:p>
    <w:p w:rsidR="00C323D4" w:rsidRPr="00DD2A86" w:rsidRDefault="00C323D4" w:rsidP="00C323D4">
      <w:pPr>
        <w:tabs>
          <w:tab w:val="left" w:pos="2268"/>
        </w:tabs>
        <w:spacing w:before="120" w:after="120"/>
        <w:ind w:left="1134" w:right="1134"/>
        <w:jc w:val="both"/>
        <w:rPr>
          <w:rFonts w:eastAsiaTheme="minorHAnsi"/>
          <w:lang w:val="de-DE"/>
        </w:rPr>
      </w:pPr>
      <w:r w:rsidRPr="00DD2A86">
        <w:rPr>
          <w:rFonts w:eastAsiaTheme="minorHAnsi"/>
          <w:lang w:val="de-DE"/>
        </w:rPr>
        <w:t>UN 1188</w:t>
      </w:r>
      <w:r w:rsidRPr="00DD2A86">
        <w:rPr>
          <w:rFonts w:eastAsiaTheme="minorHAnsi"/>
          <w:lang w:val="de-DE"/>
        </w:rPr>
        <w:tab/>
        <w:t xml:space="preserve">ETHYLENGLYCOLMONO-METHYLETHER </w:t>
      </w:r>
    </w:p>
    <w:p w:rsidR="00C323D4" w:rsidRPr="00DD2A86" w:rsidRDefault="00C323D4" w:rsidP="00C323D4">
      <w:pPr>
        <w:tabs>
          <w:tab w:val="left" w:pos="2268"/>
        </w:tabs>
        <w:spacing w:before="120" w:after="120"/>
        <w:ind w:left="1134" w:right="1134"/>
        <w:jc w:val="both"/>
        <w:rPr>
          <w:rFonts w:eastAsiaTheme="minorHAnsi"/>
          <w:lang w:val="de-DE"/>
        </w:rPr>
      </w:pPr>
      <w:r w:rsidRPr="00DD2A86">
        <w:rPr>
          <w:rFonts w:eastAsiaTheme="minorHAnsi"/>
          <w:lang w:val="de-DE"/>
        </w:rPr>
        <w:t>UN 1275</w:t>
      </w:r>
      <w:r w:rsidRPr="00DD2A86">
        <w:rPr>
          <w:rFonts w:eastAsiaTheme="minorHAnsi"/>
          <w:lang w:val="de-DE"/>
        </w:rPr>
        <w:tab/>
        <w:t>PROPIONALDEHYD</w:t>
      </w:r>
    </w:p>
    <w:p w:rsidR="00C323D4" w:rsidRPr="00DD2A86" w:rsidRDefault="00C323D4" w:rsidP="00C323D4">
      <w:pPr>
        <w:tabs>
          <w:tab w:val="left" w:pos="2268"/>
        </w:tabs>
        <w:spacing w:before="120" w:after="120"/>
        <w:ind w:left="1134" w:right="1134"/>
        <w:jc w:val="both"/>
        <w:rPr>
          <w:rFonts w:eastAsiaTheme="minorHAnsi"/>
          <w:lang w:val="de-DE"/>
        </w:rPr>
      </w:pPr>
      <w:r w:rsidRPr="00DD2A86">
        <w:rPr>
          <w:rFonts w:eastAsiaTheme="minorHAnsi"/>
          <w:lang w:val="de-DE"/>
        </w:rPr>
        <w:t>3.2.3.2</w:t>
      </w:r>
      <w:r w:rsidRPr="00DD2A86">
        <w:rPr>
          <w:rFonts w:eastAsiaTheme="minorHAnsi"/>
          <w:lang w:val="de-DE"/>
        </w:rPr>
        <w:tab/>
        <w:t>Für folgende Einträge erhält die Spalte (16) folgenden Wortlaut: „II B (II B3)“:</w:t>
      </w:r>
    </w:p>
    <w:p w:rsidR="00C323D4" w:rsidRPr="00DD2A86" w:rsidRDefault="00C323D4" w:rsidP="00C323D4">
      <w:pPr>
        <w:tabs>
          <w:tab w:val="left" w:pos="2268"/>
        </w:tabs>
        <w:spacing w:before="120" w:after="120"/>
        <w:ind w:left="1134" w:right="1134"/>
        <w:jc w:val="both"/>
        <w:rPr>
          <w:rFonts w:eastAsiaTheme="minorHAnsi"/>
          <w:bCs/>
          <w:lang w:val="fr-FR"/>
        </w:rPr>
      </w:pPr>
      <w:r w:rsidRPr="00DD2A86">
        <w:rPr>
          <w:rFonts w:eastAsiaTheme="minorHAnsi"/>
          <w:bCs/>
          <w:lang w:val="fr-FR"/>
        </w:rPr>
        <w:t>UN 1280</w:t>
      </w:r>
      <w:r w:rsidRPr="00DD2A86">
        <w:rPr>
          <w:rFonts w:eastAsiaTheme="minorHAnsi"/>
          <w:bCs/>
          <w:lang w:val="fr-FR"/>
        </w:rPr>
        <w:tab/>
        <w:t>PROPYLENOXID</w:t>
      </w:r>
    </w:p>
    <w:p w:rsidR="00C323D4" w:rsidRPr="00DD2A86" w:rsidRDefault="00C323D4" w:rsidP="00C323D4">
      <w:pPr>
        <w:tabs>
          <w:tab w:val="left" w:pos="2268"/>
        </w:tabs>
        <w:spacing w:before="120" w:after="120"/>
        <w:ind w:left="1134" w:right="1134"/>
        <w:jc w:val="both"/>
        <w:rPr>
          <w:rFonts w:eastAsiaTheme="minorHAnsi"/>
          <w:bCs/>
          <w:lang w:val="fr-FR"/>
        </w:rPr>
      </w:pPr>
      <w:r w:rsidRPr="00DD2A86">
        <w:rPr>
          <w:rFonts w:eastAsiaTheme="minorHAnsi"/>
          <w:bCs/>
          <w:lang w:val="fr-FR"/>
        </w:rPr>
        <w:t>UN 1991</w:t>
      </w:r>
      <w:r w:rsidRPr="00DD2A86">
        <w:rPr>
          <w:rFonts w:eastAsiaTheme="minorHAnsi"/>
          <w:bCs/>
          <w:lang w:val="fr-FR"/>
        </w:rPr>
        <w:tab/>
        <w:t>CHLOROPREN, STABILISIERT</w:t>
      </w:r>
    </w:p>
    <w:p w:rsidR="00C323D4" w:rsidRPr="00DD2A86" w:rsidRDefault="00C323D4" w:rsidP="00C323D4">
      <w:pPr>
        <w:tabs>
          <w:tab w:val="left" w:pos="2268"/>
        </w:tabs>
        <w:spacing w:before="120" w:after="120"/>
        <w:ind w:left="1134" w:right="1134"/>
        <w:jc w:val="both"/>
        <w:rPr>
          <w:rFonts w:eastAsiaTheme="minorHAnsi"/>
          <w:bCs/>
          <w:lang w:val="fr-FR"/>
        </w:rPr>
      </w:pPr>
      <w:r w:rsidRPr="00DD2A86">
        <w:rPr>
          <w:rFonts w:eastAsiaTheme="minorHAnsi"/>
          <w:bCs/>
          <w:lang w:val="fr-FR"/>
        </w:rPr>
        <w:t>UN 2309</w:t>
      </w:r>
      <w:r w:rsidRPr="00DD2A86">
        <w:rPr>
          <w:rFonts w:eastAsiaTheme="minorHAnsi"/>
          <w:bCs/>
          <w:lang w:val="fr-FR"/>
        </w:rPr>
        <w:tab/>
        <w:t xml:space="preserve">OCTADIENE (1,7-OCTADIEN) </w:t>
      </w:r>
    </w:p>
    <w:p w:rsidR="00C323D4" w:rsidRPr="00DD2A86" w:rsidRDefault="00C323D4" w:rsidP="00C323D4">
      <w:pPr>
        <w:tabs>
          <w:tab w:val="left" w:pos="2268"/>
        </w:tabs>
        <w:spacing w:before="120" w:after="120"/>
        <w:ind w:left="2268" w:right="1134" w:hanging="1134"/>
        <w:jc w:val="both"/>
        <w:rPr>
          <w:rFonts w:eastAsiaTheme="minorHAnsi"/>
          <w:bCs/>
          <w:lang w:val="de-DE"/>
        </w:rPr>
      </w:pPr>
      <w:r w:rsidRPr="00DD2A86">
        <w:rPr>
          <w:rFonts w:eastAsiaTheme="minorHAnsi"/>
          <w:bCs/>
          <w:lang w:val="de-DE"/>
        </w:rPr>
        <w:t>UN 2983</w:t>
      </w:r>
      <w:r w:rsidRPr="00DD2A86">
        <w:rPr>
          <w:rFonts w:eastAsiaTheme="minorHAnsi"/>
          <w:bCs/>
          <w:lang w:val="de-DE"/>
        </w:rPr>
        <w:tab/>
        <w:t>ETHYLENOXID UND PROPYLENOXID, MISCHUNG, mit höchstens 30 % Ethylenoxid</w:t>
      </w:r>
    </w:p>
    <w:p w:rsidR="00EB6056" w:rsidRPr="00DD2A86" w:rsidRDefault="00EB6056">
      <w:pPr>
        <w:suppressAutoHyphens w:val="0"/>
        <w:spacing w:line="240" w:lineRule="auto"/>
        <w:rPr>
          <w:rFonts w:eastAsiaTheme="minorHAnsi"/>
          <w:lang w:val="de-DE"/>
        </w:rPr>
      </w:pPr>
      <w:r w:rsidRPr="00DD2A86">
        <w:rPr>
          <w:rFonts w:eastAsiaTheme="minorHAnsi"/>
          <w:lang w:val="de-DE"/>
        </w:rPr>
        <w:br w:type="page"/>
      </w:r>
    </w:p>
    <w:p w:rsidR="00C323D4" w:rsidRPr="00DD2A86" w:rsidRDefault="00C323D4" w:rsidP="00C323D4">
      <w:pPr>
        <w:tabs>
          <w:tab w:val="left" w:pos="2268"/>
        </w:tabs>
        <w:ind w:left="1134" w:right="566"/>
        <w:jc w:val="both"/>
        <w:rPr>
          <w:bCs/>
          <w:lang w:val="de-DE"/>
        </w:rPr>
      </w:pPr>
      <w:r w:rsidRPr="00DD2A86">
        <w:rPr>
          <w:rFonts w:eastAsiaTheme="minorHAnsi"/>
          <w:lang w:val="de-DE"/>
        </w:rPr>
        <w:t>3.2.3.2</w:t>
      </w:r>
      <w:r w:rsidRPr="00DD2A86">
        <w:rPr>
          <w:rFonts w:eastAsiaTheme="minorHAnsi"/>
          <w:lang w:val="de-DE"/>
        </w:rPr>
        <w:tab/>
        <w:t>F</w:t>
      </w:r>
      <w:r w:rsidRPr="00DD2A86">
        <w:rPr>
          <w:bCs/>
          <w:lang w:val="de-DE"/>
        </w:rPr>
        <w:t>ür folgende Einträge erhält die Spalte (16) folgenden Wortlaut: „II B (II B3</w:t>
      </w:r>
      <w:r w:rsidRPr="00DD2A86">
        <w:rPr>
          <w:bCs/>
          <w:vertAlign w:val="superscript"/>
          <w:lang w:val="de-DE"/>
        </w:rPr>
        <w:t>14)</w:t>
      </w:r>
      <w:r w:rsidRPr="00DD2A86">
        <w:rPr>
          <w:bCs/>
          <w:lang w:val="de-DE"/>
        </w:rPr>
        <w:t>)“:</w:t>
      </w:r>
    </w:p>
    <w:p w:rsidR="00C323D4" w:rsidRPr="00DD2A86" w:rsidRDefault="00C323D4" w:rsidP="00C323D4">
      <w:pPr>
        <w:tabs>
          <w:tab w:val="left" w:pos="2268"/>
        </w:tabs>
        <w:spacing w:before="120" w:after="120"/>
        <w:ind w:left="2268" w:right="1134" w:hanging="1134"/>
        <w:jc w:val="both"/>
        <w:rPr>
          <w:rFonts w:eastAsiaTheme="minorHAnsi"/>
          <w:bCs/>
          <w:lang w:val="de-DE"/>
        </w:rPr>
      </w:pPr>
      <w:r w:rsidRPr="00DD2A86">
        <w:rPr>
          <w:rFonts w:eastAsiaTheme="minorHAnsi"/>
          <w:bCs/>
          <w:lang w:val="de-DE"/>
        </w:rPr>
        <w:t>UN 1578</w:t>
      </w:r>
      <w:r w:rsidRPr="00DD2A86">
        <w:rPr>
          <w:rFonts w:eastAsiaTheme="minorHAnsi"/>
          <w:bCs/>
          <w:lang w:val="de-DE"/>
        </w:rPr>
        <w:tab/>
        <w:t>CHLORNITROBENZENE, FEST, GESCHMOLZEN</w:t>
      </w:r>
    </w:p>
    <w:p w:rsidR="00C323D4" w:rsidRPr="00DD2A86" w:rsidRDefault="00C323D4" w:rsidP="00C323D4">
      <w:pPr>
        <w:tabs>
          <w:tab w:val="left" w:pos="2268"/>
        </w:tabs>
        <w:spacing w:before="120" w:after="120"/>
        <w:ind w:left="2268" w:right="1134" w:hanging="1134"/>
        <w:jc w:val="both"/>
        <w:rPr>
          <w:rFonts w:eastAsiaTheme="minorHAnsi"/>
          <w:bCs/>
          <w:lang w:val="de-DE"/>
        </w:rPr>
      </w:pPr>
      <w:r w:rsidRPr="00DD2A86">
        <w:rPr>
          <w:rFonts w:eastAsiaTheme="minorHAnsi"/>
          <w:bCs/>
          <w:lang w:val="de-DE"/>
        </w:rPr>
        <w:t>UN 1663</w:t>
      </w:r>
      <w:r w:rsidRPr="00DD2A86">
        <w:rPr>
          <w:rFonts w:eastAsiaTheme="minorHAnsi"/>
          <w:bCs/>
          <w:lang w:val="de-DE"/>
        </w:rPr>
        <w:tab/>
        <w:t>NITROPHENOLE</w:t>
      </w:r>
    </w:p>
    <w:p w:rsidR="00C323D4" w:rsidRPr="00DD2A86" w:rsidRDefault="00C323D4" w:rsidP="00C323D4">
      <w:pPr>
        <w:tabs>
          <w:tab w:val="left" w:pos="2268"/>
        </w:tabs>
        <w:spacing w:before="120" w:after="120"/>
        <w:ind w:left="2268" w:right="1134" w:hanging="1134"/>
        <w:jc w:val="both"/>
        <w:rPr>
          <w:rFonts w:eastAsiaTheme="minorHAnsi"/>
          <w:bCs/>
          <w:lang w:val="fr-FR"/>
        </w:rPr>
      </w:pPr>
      <w:r w:rsidRPr="00DD2A86">
        <w:rPr>
          <w:rFonts w:eastAsiaTheme="minorHAnsi"/>
          <w:bCs/>
          <w:lang w:val="fr-FR"/>
        </w:rPr>
        <w:t>UN 2078</w:t>
      </w:r>
      <w:r w:rsidRPr="00DD2A86">
        <w:rPr>
          <w:rFonts w:eastAsiaTheme="minorHAnsi"/>
          <w:bCs/>
          <w:lang w:val="fr-FR"/>
        </w:rPr>
        <w:tab/>
        <w:t>TOLUENDIISOCYANAT (und isomere Gemische) (2,4-TOLUENDIISOCYANAT)</w:t>
      </w:r>
    </w:p>
    <w:p w:rsidR="00C323D4" w:rsidRPr="00DD2A86" w:rsidRDefault="00C323D4" w:rsidP="00C323D4">
      <w:pPr>
        <w:tabs>
          <w:tab w:val="left" w:pos="2268"/>
        </w:tabs>
        <w:spacing w:before="120" w:after="120"/>
        <w:ind w:left="2268" w:right="1134" w:hanging="1134"/>
        <w:jc w:val="both"/>
        <w:rPr>
          <w:rFonts w:eastAsiaTheme="minorHAnsi"/>
          <w:bCs/>
          <w:lang w:val="fr-FR"/>
        </w:rPr>
      </w:pPr>
      <w:r w:rsidRPr="00DD2A86">
        <w:rPr>
          <w:rFonts w:eastAsiaTheme="minorHAnsi"/>
          <w:bCs/>
          <w:lang w:val="fr-FR"/>
        </w:rPr>
        <w:t>UN 2205</w:t>
      </w:r>
      <w:r w:rsidRPr="00DD2A86">
        <w:rPr>
          <w:rFonts w:eastAsiaTheme="minorHAnsi"/>
          <w:bCs/>
          <w:lang w:val="fr-FR"/>
        </w:rPr>
        <w:tab/>
        <w:t xml:space="preserve">ADIPONITRIL </w:t>
      </w:r>
    </w:p>
    <w:p w:rsidR="00C323D4" w:rsidRPr="00DD2A86" w:rsidRDefault="00C323D4" w:rsidP="00C323D4">
      <w:pPr>
        <w:tabs>
          <w:tab w:val="left" w:pos="2268"/>
        </w:tabs>
        <w:spacing w:before="120" w:after="120"/>
        <w:ind w:left="2268" w:right="1134" w:hanging="1134"/>
        <w:jc w:val="both"/>
        <w:rPr>
          <w:rFonts w:eastAsiaTheme="minorHAnsi"/>
          <w:bCs/>
          <w:lang w:val="fr-FR"/>
        </w:rPr>
      </w:pPr>
      <w:r w:rsidRPr="00DD2A86">
        <w:rPr>
          <w:rFonts w:eastAsiaTheme="minorHAnsi"/>
          <w:bCs/>
          <w:lang w:val="fr-FR"/>
        </w:rPr>
        <w:t>UN 2259</w:t>
      </w:r>
      <w:r w:rsidRPr="00DD2A86">
        <w:rPr>
          <w:rFonts w:eastAsiaTheme="minorHAnsi"/>
          <w:bCs/>
          <w:lang w:val="fr-FR"/>
        </w:rPr>
        <w:tab/>
        <w:t>TRIETHYLENTETRAMIN</w:t>
      </w:r>
    </w:p>
    <w:p w:rsidR="00C323D4" w:rsidRPr="00DD2A86" w:rsidRDefault="00C323D4" w:rsidP="00C323D4">
      <w:pPr>
        <w:tabs>
          <w:tab w:val="left" w:pos="2268"/>
        </w:tabs>
        <w:spacing w:before="120" w:after="120"/>
        <w:ind w:left="2268" w:right="1134" w:hanging="1134"/>
        <w:jc w:val="both"/>
        <w:rPr>
          <w:rFonts w:eastAsiaTheme="minorHAnsi"/>
          <w:bCs/>
          <w:lang w:val="fr-FR"/>
        </w:rPr>
      </w:pPr>
      <w:r w:rsidRPr="00DD2A86">
        <w:rPr>
          <w:rFonts w:eastAsiaTheme="minorHAnsi"/>
          <w:bCs/>
          <w:lang w:val="fr-FR"/>
        </w:rPr>
        <w:t>UN 2280</w:t>
      </w:r>
      <w:r w:rsidRPr="00DD2A86">
        <w:rPr>
          <w:rFonts w:eastAsiaTheme="minorHAnsi"/>
          <w:bCs/>
          <w:lang w:val="fr-FR"/>
        </w:rPr>
        <w:tab/>
        <w:t xml:space="preserve">HEXAMETHYLENDIAMIN, FEST, GESCHMOLZEN </w:t>
      </w:r>
    </w:p>
    <w:p w:rsidR="00C323D4" w:rsidRPr="00DD2A86" w:rsidRDefault="00C323D4" w:rsidP="00C323D4">
      <w:pPr>
        <w:tabs>
          <w:tab w:val="left" w:pos="2268"/>
        </w:tabs>
        <w:spacing w:before="120" w:after="120"/>
        <w:ind w:left="2268" w:right="1134" w:hanging="1134"/>
        <w:jc w:val="both"/>
        <w:rPr>
          <w:rFonts w:eastAsiaTheme="minorHAnsi"/>
          <w:bCs/>
          <w:lang w:val="de-DE"/>
        </w:rPr>
      </w:pPr>
      <w:r w:rsidRPr="00DD2A86">
        <w:rPr>
          <w:rFonts w:eastAsiaTheme="minorHAnsi"/>
          <w:bCs/>
          <w:lang w:val="de-DE"/>
        </w:rPr>
        <w:t>UN 3446</w:t>
      </w:r>
      <w:r w:rsidRPr="00DD2A86">
        <w:rPr>
          <w:rFonts w:eastAsiaTheme="minorHAnsi"/>
          <w:bCs/>
          <w:lang w:val="de-DE"/>
        </w:rPr>
        <w:tab/>
        <w:t>NITROTOLUENE, FEST, GESCHMOLZEN</w:t>
      </w:r>
    </w:p>
    <w:p w:rsidR="008D32EE" w:rsidRPr="00DD2A86" w:rsidRDefault="008D32EE" w:rsidP="008D32EE">
      <w:pPr>
        <w:tabs>
          <w:tab w:val="left" w:pos="2268"/>
        </w:tabs>
        <w:spacing w:before="120" w:after="120"/>
        <w:ind w:left="1134" w:right="1134"/>
        <w:jc w:val="both"/>
        <w:rPr>
          <w:rFonts w:eastAsia="SimSun"/>
          <w:lang w:val="de-DE" w:eastAsia="zh-CN"/>
        </w:rPr>
      </w:pPr>
      <w:r w:rsidRPr="00DD2A86">
        <w:rPr>
          <w:lang w:val="de-DE"/>
        </w:rPr>
        <w:t>3.2.3.2</w:t>
      </w:r>
      <w:r w:rsidRPr="00DD2A86">
        <w:rPr>
          <w:lang w:val="de-DE"/>
        </w:rPr>
        <w:tab/>
      </w:r>
      <w:r w:rsidR="00B307A1" w:rsidRPr="00DD2A86">
        <w:rPr>
          <w:iCs/>
          <w:lang w:val="de-DE"/>
        </w:rPr>
        <w:t xml:space="preserve">Bei </w:t>
      </w:r>
      <w:r w:rsidR="00AB330F" w:rsidRPr="00DD2A86">
        <w:rPr>
          <w:iCs/>
          <w:lang w:val="de-DE"/>
        </w:rPr>
        <w:t xml:space="preserve">der </w:t>
      </w:r>
      <w:r w:rsidR="00B307A1" w:rsidRPr="00DD2A86">
        <w:rPr>
          <w:iCs/>
          <w:lang w:val="de-DE"/>
        </w:rPr>
        <w:t xml:space="preserve">UN-Nr. </w:t>
      </w:r>
      <w:r w:rsidRPr="00DD2A86">
        <w:rPr>
          <w:lang w:val="de-DE"/>
        </w:rPr>
        <w:t>3295 (</w:t>
      </w:r>
      <w:r w:rsidR="00F4114A" w:rsidRPr="00DD2A86">
        <w:rPr>
          <w:lang w:val="de-DE"/>
        </w:rPr>
        <w:t xml:space="preserve">9 </w:t>
      </w:r>
      <w:r w:rsidRPr="00DD2A86">
        <w:rPr>
          <w:lang w:val="de-DE"/>
        </w:rPr>
        <w:t>Eintragungen</w:t>
      </w:r>
      <w:r w:rsidR="00F4114A" w:rsidRPr="00DD2A86">
        <w:rPr>
          <w:lang w:val="de-DE"/>
        </w:rPr>
        <w:t xml:space="preserve">: von Eintragung Nr. </w:t>
      </w:r>
      <w:r w:rsidR="00057507" w:rsidRPr="00DD2A86">
        <w:rPr>
          <w:lang w:val="de-DE"/>
        </w:rPr>
        <w:t>6</w:t>
      </w:r>
      <w:r w:rsidR="00F4114A" w:rsidRPr="00DD2A86">
        <w:rPr>
          <w:lang w:val="de-DE"/>
        </w:rPr>
        <w:t xml:space="preserve"> bis einschließlich Eintragung Nr. 14</w:t>
      </w:r>
      <w:r w:rsidRPr="00DD2A86">
        <w:rPr>
          <w:lang w:val="de-DE"/>
        </w:rPr>
        <w:t>) in Spalte (5) „F“ in den jeweiligen Klammern einfügen.</w:t>
      </w:r>
    </w:p>
    <w:p w:rsidR="00595B31" w:rsidRPr="00DD2A86" w:rsidRDefault="00595B31" w:rsidP="00595B31">
      <w:pPr>
        <w:tabs>
          <w:tab w:val="left" w:pos="2268"/>
        </w:tabs>
        <w:spacing w:before="120" w:after="120"/>
        <w:ind w:left="1134" w:right="1134"/>
        <w:jc w:val="both"/>
        <w:rPr>
          <w:lang w:val="de-DE"/>
        </w:rPr>
      </w:pPr>
      <w:r w:rsidRPr="00DD2A86">
        <w:rPr>
          <w:rFonts w:eastAsiaTheme="minorHAnsi"/>
          <w:lang w:val="de-DE"/>
        </w:rPr>
        <w:t>3.2.3.2</w:t>
      </w:r>
      <w:r w:rsidRPr="00DD2A86">
        <w:rPr>
          <w:rFonts w:eastAsiaTheme="minorHAnsi"/>
          <w:lang w:val="de-DE"/>
        </w:rPr>
        <w:tab/>
      </w:r>
      <w:r w:rsidRPr="00DD2A86">
        <w:rPr>
          <w:rFonts w:eastAsiaTheme="minorHAnsi"/>
          <w:lang w:val="de-DE"/>
        </w:rPr>
        <w:tab/>
      </w:r>
      <w:r w:rsidR="00B307A1" w:rsidRPr="00DD2A86">
        <w:rPr>
          <w:rFonts w:eastAsiaTheme="minorHAnsi"/>
          <w:iCs/>
          <w:lang w:val="de-DE"/>
        </w:rPr>
        <w:t xml:space="preserve">Bei </w:t>
      </w:r>
      <w:r w:rsidR="00AB330F" w:rsidRPr="00DD2A86">
        <w:rPr>
          <w:rFonts w:eastAsiaTheme="minorHAnsi"/>
          <w:iCs/>
          <w:lang w:val="de-DE"/>
        </w:rPr>
        <w:t xml:space="preserve">der </w:t>
      </w:r>
      <w:r w:rsidR="00B307A1" w:rsidRPr="00DD2A86">
        <w:rPr>
          <w:rFonts w:eastAsiaTheme="minorHAnsi"/>
          <w:iCs/>
          <w:lang w:val="de-DE"/>
        </w:rPr>
        <w:t xml:space="preserve">UN-Nr. </w:t>
      </w:r>
      <w:r w:rsidRPr="00DD2A86">
        <w:rPr>
          <w:lang w:val="de-DE"/>
        </w:rPr>
        <w:t>3295 „KOHLENWASSERSTOFFE, FLÜSSIG, N.A.G., ISOPREN UND PENTADIEN ENTHALTEND, STABILISIERT“ in Spalte (18) „EP“ und „TOX“ einfügen.</w:t>
      </w:r>
    </w:p>
    <w:p w:rsidR="00636788" w:rsidRPr="00DD2A86" w:rsidRDefault="00636788" w:rsidP="00636788">
      <w:pPr>
        <w:tabs>
          <w:tab w:val="left" w:pos="2268"/>
        </w:tabs>
        <w:spacing w:before="120" w:after="120"/>
        <w:ind w:left="1134" w:right="1134"/>
        <w:jc w:val="both"/>
        <w:rPr>
          <w:rFonts w:eastAsia="SimSun"/>
          <w:b/>
          <w:lang w:val="de-DE" w:eastAsia="zh-CN"/>
        </w:rPr>
      </w:pPr>
      <w:r w:rsidRPr="00DD2A86">
        <w:rPr>
          <w:rFonts w:eastAsiaTheme="minorHAnsi"/>
          <w:lang w:val="de-DE"/>
        </w:rPr>
        <w:t>3.2.3.2</w:t>
      </w:r>
      <w:r w:rsidRPr="00DD2A86">
        <w:rPr>
          <w:rFonts w:eastAsiaTheme="minorHAnsi"/>
          <w:lang w:val="de-DE"/>
        </w:rPr>
        <w:tab/>
      </w:r>
      <w:r w:rsidR="00B307A1" w:rsidRPr="00DD2A86">
        <w:rPr>
          <w:rFonts w:eastAsiaTheme="minorHAnsi"/>
          <w:iCs/>
          <w:lang w:val="de-DE"/>
        </w:rPr>
        <w:t xml:space="preserve">Bei </w:t>
      </w:r>
      <w:r w:rsidR="00AB330F" w:rsidRPr="00DD2A86">
        <w:rPr>
          <w:rFonts w:eastAsiaTheme="minorHAnsi"/>
          <w:iCs/>
          <w:lang w:val="de-DE"/>
        </w:rPr>
        <w:t xml:space="preserve">der </w:t>
      </w:r>
      <w:r w:rsidR="00B307A1" w:rsidRPr="00DD2A86">
        <w:rPr>
          <w:rFonts w:eastAsiaTheme="minorHAnsi"/>
          <w:iCs/>
          <w:lang w:val="de-DE"/>
        </w:rPr>
        <w:t xml:space="preserve">UN-Nr. </w:t>
      </w:r>
      <w:r w:rsidRPr="00DD2A86">
        <w:rPr>
          <w:lang w:val="de-DE"/>
        </w:rPr>
        <w:t>3295 „KOHLENWASSERSTOFFE, FLÜSSIG, N.A.G. (1-OCTEN)“ in Spalte(18) „EP“ und „TOX“ streichen.</w:t>
      </w:r>
    </w:p>
    <w:p w:rsidR="00C323D4" w:rsidRPr="00DD2A86" w:rsidRDefault="00C323D4" w:rsidP="00C323D4">
      <w:pPr>
        <w:tabs>
          <w:tab w:val="left" w:pos="2268"/>
        </w:tabs>
        <w:spacing w:before="120" w:after="120"/>
        <w:ind w:left="1134" w:right="1134"/>
        <w:jc w:val="both"/>
        <w:rPr>
          <w:rFonts w:eastAsiaTheme="minorHAnsi"/>
          <w:bCs/>
          <w:lang w:val="de-DE"/>
        </w:rPr>
      </w:pPr>
      <w:r w:rsidRPr="00DD2A86">
        <w:rPr>
          <w:rFonts w:eastAsiaTheme="minorHAnsi"/>
          <w:lang w:val="de-DE"/>
        </w:rPr>
        <w:t>3.2.3.2</w:t>
      </w:r>
      <w:r w:rsidRPr="00DD2A86">
        <w:rPr>
          <w:rFonts w:eastAsiaTheme="minorHAnsi"/>
          <w:lang w:val="de-DE"/>
        </w:rPr>
        <w:tab/>
        <w:t>Folgende neue Eintragungen einfügen:</w:t>
      </w:r>
    </w:p>
    <w:p w:rsidR="00C323D4" w:rsidRPr="00DD2A86" w:rsidRDefault="00C323D4" w:rsidP="00C323D4">
      <w:pPr>
        <w:kinsoku w:val="0"/>
        <w:overflowPunct w:val="0"/>
        <w:autoSpaceDE w:val="0"/>
        <w:autoSpaceDN w:val="0"/>
        <w:adjustRightInd w:val="0"/>
        <w:snapToGrid w:val="0"/>
        <w:spacing w:before="120" w:after="120"/>
        <w:ind w:right="113"/>
        <w:rPr>
          <w:rFonts w:eastAsiaTheme="minorHAnsi"/>
          <w:lang w:val="de-DE"/>
        </w:rPr>
      </w:pPr>
    </w:p>
    <w:p w:rsidR="00C323D4" w:rsidRPr="00DD2A86" w:rsidRDefault="00C323D4" w:rsidP="00C323D4">
      <w:pPr>
        <w:kinsoku w:val="0"/>
        <w:overflowPunct w:val="0"/>
        <w:autoSpaceDE w:val="0"/>
        <w:autoSpaceDN w:val="0"/>
        <w:adjustRightInd w:val="0"/>
        <w:snapToGrid w:val="0"/>
        <w:spacing w:before="120" w:after="120"/>
        <w:ind w:right="113"/>
        <w:rPr>
          <w:rFonts w:eastAsiaTheme="minorHAnsi"/>
          <w:lang w:val="de-DE"/>
        </w:rPr>
        <w:sectPr w:rsidR="00C323D4" w:rsidRPr="00DD2A86" w:rsidSect="00E941A1">
          <w:headerReference w:type="even" r:id="rId47"/>
          <w:headerReference w:type="default" r:id="rId48"/>
          <w:footerReference w:type="even" r:id="rId49"/>
          <w:footerReference w:type="default" r:id="rId50"/>
          <w:endnotePr>
            <w:numFmt w:val="decimal"/>
          </w:endnotePr>
          <w:pgSz w:w="11906" w:h="16838" w:code="9"/>
          <w:pgMar w:top="1417" w:right="1134" w:bottom="1134" w:left="1134" w:header="850" w:footer="567" w:gutter="0"/>
          <w:cols w:space="708"/>
          <w:titlePg/>
          <w:docGrid w:linePitch="360"/>
        </w:sectPr>
      </w:pPr>
    </w:p>
    <w:p w:rsidR="00C323D4" w:rsidRPr="00DD2A86" w:rsidRDefault="00C323D4" w:rsidP="00C323D4">
      <w:pPr>
        <w:kinsoku w:val="0"/>
        <w:overflowPunct w:val="0"/>
        <w:autoSpaceDE w:val="0"/>
        <w:autoSpaceDN w:val="0"/>
        <w:adjustRightInd w:val="0"/>
        <w:snapToGrid w:val="0"/>
        <w:spacing w:before="120" w:after="120"/>
        <w:ind w:left="1134" w:right="1134"/>
        <w:jc w:val="both"/>
        <w:rPr>
          <w:rFonts w:eastAsiaTheme="minorHAnsi"/>
          <w:i/>
          <w:lang w:val="de-DE"/>
        </w:rPr>
      </w:pPr>
    </w:p>
    <w:p w:rsidR="00C323D4" w:rsidRPr="00DD2A86" w:rsidRDefault="00C323D4" w:rsidP="00C323D4">
      <w:pPr>
        <w:kinsoku w:val="0"/>
        <w:overflowPunct w:val="0"/>
        <w:autoSpaceDE w:val="0"/>
        <w:autoSpaceDN w:val="0"/>
        <w:adjustRightInd w:val="0"/>
        <w:snapToGrid w:val="0"/>
        <w:spacing w:before="120" w:after="120"/>
        <w:ind w:left="1134" w:right="1134"/>
        <w:jc w:val="both"/>
        <w:rPr>
          <w:rFonts w:eastAsiaTheme="minorHAnsi"/>
          <w:i/>
          <w:lang w:val="de-DE"/>
        </w:rPr>
      </w:pPr>
    </w:p>
    <w:tbl>
      <w:tblPr>
        <w:tblW w:w="14960" w:type="dxa"/>
        <w:tblInd w:w="55" w:type="dxa"/>
        <w:tblCellMar>
          <w:left w:w="70" w:type="dxa"/>
          <w:right w:w="70" w:type="dxa"/>
        </w:tblCellMar>
        <w:tblLook w:val="04A0" w:firstRow="1" w:lastRow="0" w:firstColumn="1" w:lastColumn="0" w:noHBand="0" w:noVBand="1"/>
      </w:tblPr>
      <w:tblGrid>
        <w:gridCol w:w="540"/>
        <w:gridCol w:w="3375"/>
        <w:gridCol w:w="425"/>
        <w:gridCol w:w="452"/>
        <w:gridCol w:w="400"/>
        <w:gridCol w:w="1440"/>
        <w:gridCol w:w="400"/>
        <w:gridCol w:w="400"/>
        <w:gridCol w:w="400"/>
        <w:gridCol w:w="400"/>
        <w:gridCol w:w="524"/>
        <w:gridCol w:w="524"/>
        <w:gridCol w:w="700"/>
        <w:gridCol w:w="524"/>
        <w:gridCol w:w="524"/>
        <w:gridCol w:w="469"/>
        <w:gridCol w:w="599"/>
        <w:gridCol w:w="524"/>
        <w:gridCol w:w="660"/>
        <w:gridCol w:w="440"/>
        <w:gridCol w:w="1240"/>
      </w:tblGrid>
      <w:tr w:rsidR="00C323D4" w:rsidRPr="00DD2A86" w:rsidTr="00E941A1">
        <w:trPr>
          <w:trHeight w:val="255"/>
          <w:tblHeader/>
        </w:trPr>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rsidR="00C323D4" w:rsidRPr="00DD2A86" w:rsidRDefault="00C323D4" w:rsidP="00C323D4">
            <w:pPr>
              <w:suppressAutoHyphens w:val="0"/>
              <w:spacing w:line="240" w:lineRule="auto"/>
              <w:jc w:val="center"/>
              <w:rPr>
                <w:rFonts w:ascii="Arial" w:hAnsi="Arial" w:cs="Arial"/>
                <w:color w:val="000000"/>
                <w:sz w:val="16"/>
                <w:szCs w:val="16"/>
                <w:lang w:val="de-DE" w:eastAsia="de-DE"/>
              </w:rPr>
            </w:pPr>
            <w:r w:rsidRPr="00DD2A86">
              <w:rPr>
                <w:rFonts w:ascii="Arial" w:hAnsi="Arial" w:cs="Arial"/>
                <w:color w:val="000000"/>
                <w:sz w:val="16"/>
                <w:szCs w:val="16"/>
                <w:lang w:val="de-DE" w:eastAsia="de-DE"/>
              </w:rPr>
              <w:t>(1)</w:t>
            </w:r>
          </w:p>
        </w:tc>
        <w:tc>
          <w:tcPr>
            <w:tcW w:w="3375" w:type="dxa"/>
            <w:tcBorders>
              <w:top w:val="single" w:sz="4" w:space="0" w:color="auto"/>
              <w:left w:val="nil"/>
              <w:bottom w:val="single" w:sz="4" w:space="0" w:color="auto"/>
              <w:right w:val="single" w:sz="4" w:space="0" w:color="auto"/>
            </w:tcBorders>
            <w:shd w:val="clear" w:color="auto" w:fill="auto"/>
            <w:hideMark/>
          </w:tcPr>
          <w:p w:rsidR="00C323D4" w:rsidRPr="00DD2A86" w:rsidRDefault="00C323D4" w:rsidP="00C323D4">
            <w:pPr>
              <w:suppressAutoHyphens w:val="0"/>
              <w:spacing w:line="240" w:lineRule="auto"/>
              <w:jc w:val="center"/>
              <w:rPr>
                <w:rFonts w:ascii="Arial" w:hAnsi="Arial" w:cs="Arial"/>
                <w:color w:val="000000"/>
                <w:sz w:val="16"/>
                <w:szCs w:val="16"/>
                <w:lang w:val="de-DE" w:eastAsia="de-DE"/>
              </w:rPr>
            </w:pPr>
            <w:r w:rsidRPr="00DD2A86">
              <w:rPr>
                <w:rFonts w:ascii="Arial" w:hAnsi="Arial" w:cs="Arial"/>
                <w:color w:val="000000"/>
                <w:sz w:val="16"/>
                <w:szCs w:val="16"/>
                <w:lang w:val="de-DE" w:eastAsia="de-DE"/>
              </w:rPr>
              <w:t>(2)</w:t>
            </w:r>
          </w:p>
        </w:tc>
        <w:tc>
          <w:tcPr>
            <w:tcW w:w="425" w:type="dxa"/>
            <w:tcBorders>
              <w:top w:val="single" w:sz="4" w:space="0" w:color="auto"/>
              <w:left w:val="nil"/>
              <w:bottom w:val="single" w:sz="4" w:space="0" w:color="auto"/>
              <w:right w:val="single" w:sz="4" w:space="0" w:color="auto"/>
            </w:tcBorders>
            <w:shd w:val="clear" w:color="auto" w:fill="auto"/>
            <w:noWrap/>
            <w:hideMark/>
          </w:tcPr>
          <w:p w:rsidR="00C323D4" w:rsidRPr="00DD2A86" w:rsidRDefault="00C323D4" w:rsidP="00C323D4">
            <w:pPr>
              <w:suppressAutoHyphens w:val="0"/>
              <w:spacing w:line="240" w:lineRule="auto"/>
              <w:jc w:val="center"/>
              <w:rPr>
                <w:rFonts w:ascii="Arial" w:hAnsi="Arial" w:cs="Arial"/>
                <w:color w:val="000000"/>
                <w:sz w:val="16"/>
                <w:szCs w:val="16"/>
                <w:lang w:val="de-DE" w:eastAsia="de-DE"/>
              </w:rPr>
            </w:pPr>
            <w:r w:rsidRPr="00DD2A86">
              <w:rPr>
                <w:rFonts w:ascii="Arial" w:hAnsi="Arial" w:cs="Arial"/>
                <w:color w:val="000000"/>
                <w:sz w:val="16"/>
                <w:szCs w:val="16"/>
                <w:lang w:val="de-DE" w:eastAsia="de-DE"/>
              </w:rPr>
              <w:t>(3a)</w:t>
            </w:r>
          </w:p>
        </w:tc>
        <w:tc>
          <w:tcPr>
            <w:tcW w:w="452" w:type="dxa"/>
            <w:tcBorders>
              <w:top w:val="single" w:sz="4" w:space="0" w:color="auto"/>
              <w:left w:val="nil"/>
              <w:bottom w:val="single" w:sz="4" w:space="0" w:color="auto"/>
              <w:right w:val="single" w:sz="4" w:space="0" w:color="auto"/>
            </w:tcBorders>
            <w:shd w:val="clear" w:color="auto" w:fill="auto"/>
            <w:noWrap/>
            <w:hideMark/>
          </w:tcPr>
          <w:p w:rsidR="00C323D4" w:rsidRPr="00DD2A86" w:rsidRDefault="00C323D4" w:rsidP="00C323D4">
            <w:pPr>
              <w:suppressAutoHyphens w:val="0"/>
              <w:spacing w:line="240" w:lineRule="auto"/>
              <w:jc w:val="center"/>
              <w:rPr>
                <w:rFonts w:ascii="Arial" w:hAnsi="Arial" w:cs="Arial"/>
                <w:color w:val="000000"/>
                <w:sz w:val="16"/>
                <w:szCs w:val="16"/>
                <w:lang w:val="de-DE" w:eastAsia="de-DE"/>
              </w:rPr>
            </w:pPr>
            <w:r w:rsidRPr="00DD2A86">
              <w:rPr>
                <w:rFonts w:ascii="Arial" w:hAnsi="Arial" w:cs="Arial"/>
                <w:color w:val="000000"/>
                <w:sz w:val="16"/>
                <w:szCs w:val="16"/>
                <w:lang w:val="de-DE" w:eastAsia="de-DE"/>
              </w:rPr>
              <w:t>(3b)</w:t>
            </w:r>
          </w:p>
        </w:tc>
        <w:tc>
          <w:tcPr>
            <w:tcW w:w="400" w:type="dxa"/>
            <w:tcBorders>
              <w:top w:val="single" w:sz="4" w:space="0" w:color="auto"/>
              <w:left w:val="nil"/>
              <w:bottom w:val="single" w:sz="4" w:space="0" w:color="auto"/>
              <w:right w:val="single" w:sz="4" w:space="0" w:color="auto"/>
            </w:tcBorders>
            <w:shd w:val="clear" w:color="auto" w:fill="auto"/>
            <w:noWrap/>
            <w:hideMark/>
          </w:tcPr>
          <w:p w:rsidR="00C323D4" w:rsidRPr="00DD2A86" w:rsidRDefault="00C323D4" w:rsidP="00C323D4">
            <w:pPr>
              <w:suppressAutoHyphens w:val="0"/>
              <w:spacing w:line="240" w:lineRule="auto"/>
              <w:jc w:val="center"/>
              <w:rPr>
                <w:rFonts w:ascii="Arial" w:hAnsi="Arial" w:cs="Arial"/>
                <w:color w:val="000000"/>
                <w:sz w:val="16"/>
                <w:szCs w:val="16"/>
                <w:lang w:val="de-DE" w:eastAsia="de-DE"/>
              </w:rPr>
            </w:pPr>
            <w:r w:rsidRPr="00DD2A86">
              <w:rPr>
                <w:rFonts w:ascii="Arial" w:hAnsi="Arial" w:cs="Arial"/>
                <w:color w:val="000000"/>
                <w:sz w:val="16"/>
                <w:szCs w:val="16"/>
                <w:lang w:val="de-DE" w:eastAsia="de-DE"/>
              </w:rPr>
              <w:t>(4)</w:t>
            </w:r>
          </w:p>
        </w:tc>
        <w:tc>
          <w:tcPr>
            <w:tcW w:w="1440" w:type="dxa"/>
            <w:tcBorders>
              <w:top w:val="single" w:sz="4" w:space="0" w:color="auto"/>
              <w:left w:val="nil"/>
              <w:bottom w:val="single" w:sz="4" w:space="0" w:color="auto"/>
              <w:right w:val="single" w:sz="4" w:space="0" w:color="auto"/>
            </w:tcBorders>
            <w:shd w:val="clear" w:color="auto" w:fill="auto"/>
            <w:noWrap/>
            <w:hideMark/>
          </w:tcPr>
          <w:p w:rsidR="00C323D4" w:rsidRPr="00DD2A86" w:rsidRDefault="00C323D4" w:rsidP="00C323D4">
            <w:pPr>
              <w:suppressAutoHyphens w:val="0"/>
              <w:spacing w:line="240" w:lineRule="auto"/>
              <w:jc w:val="center"/>
              <w:rPr>
                <w:rFonts w:ascii="Arial" w:hAnsi="Arial" w:cs="Arial"/>
                <w:sz w:val="16"/>
                <w:szCs w:val="16"/>
                <w:lang w:val="de-DE" w:eastAsia="de-DE"/>
              </w:rPr>
            </w:pPr>
            <w:r w:rsidRPr="00DD2A86">
              <w:rPr>
                <w:rFonts w:ascii="Arial" w:hAnsi="Arial" w:cs="Arial"/>
                <w:sz w:val="16"/>
                <w:szCs w:val="16"/>
                <w:lang w:val="de-DE" w:eastAsia="de-DE"/>
              </w:rPr>
              <w:t>(5)</w:t>
            </w:r>
          </w:p>
        </w:tc>
        <w:tc>
          <w:tcPr>
            <w:tcW w:w="400" w:type="dxa"/>
            <w:tcBorders>
              <w:top w:val="single" w:sz="4" w:space="0" w:color="auto"/>
              <w:left w:val="nil"/>
              <w:bottom w:val="single" w:sz="4" w:space="0" w:color="auto"/>
              <w:right w:val="single" w:sz="4" w:space="0" w:color="auto"/>
            </w:tcBorders>
            <w:shd w:val="clear" w:color="auto" w:fill="auto"/>
            <w:noWrap/>
            <w:hideMark/>
          </w:tcPr>
          <w:p w:rsidR="00C323D4" w:rsidRPr="00DD2A86" w:rsidRDefault="00C323D4" w:rsidP="00C323D4">
            <w:pPr>
              <w:suppressAutoHyphens w:val="0"/>
              <w:spacing w:line="240" w:lineRule="auto"/>
              <w:jc w:val="center"/>
              <w:rPr>
                <w:rFonts w:ascii="Arial" w:hAnsi="Arial" w:cs="Arial"/>
                <w:color w:val="000000"/>
                <w:sz w:val="16"/>
                <w:szCs w:val="16"/>
                <w:lang w:val="de-DE" w:eastAsia="de-DE"/>
              </w:rPr>
            </w:pPr>
            <w:r w:rsidRPr="00DD2A86">
              <w:rPr>
                <w:rFonts w:ascii="Arial" w:hAnsi="Arial" w:cs="Arial"/>
                <w:color w:val="000000"/>
                <w:sz w:val="16"/>
                <w:szCs w:val="16"/>
                <w:lang w:val="de-DE" w:eastAsia="de-DE"/>
              </w:rPr>
              <w:t>(6)</w:t>
            </w:r>
          </w:p>
        </w:tc>
        <w:tc>
          <w:tcPr>
            <w:tcW w:w="400" w:type="dxa"/>
            <w:tcBorders>
              <w:top w:val="single" w:sz="4" w:space="0" w:color="auto"/>
              <w:left w:val="nil"/>
              <w:bottom w:val="single" w:sz="4" w:space="0" w:color="auto"/>
              <w:right w:val="single" w:sz="4" w:space="0" w:color="auto"/>
            </w:tcBorders>
            <w:shd w:val="clear" w:color="auto" w:fill="auto"/>
            <w:noWrap/>
            <w:hideMark/>
          </w:tcPr>
          <w:p w:rsidR="00C323D4" w:rsidRPr="00DD2A86" w:rsidRDefault="00C323D4" w:rsidP="00C323D4">
            <w:pPr>
              <w:suppressAutoHyphens w:val="0"/>
              <w:spacing w:line="240" w:lineRule="auto"/>
              <w:jc w:val="center"/>
              <w:rPr>
                <w:rFonts w:ascii="Arial" w:hAnsi="Arial" w:cs="Arial"/>
                <w:color w:val="000000"/>
                <w:sz w:val="16"/>
                <w:szCs w:val="16"/>
                <w:lang w:val="de-DE" w:eastAsia="de-DE"/>
              </w:rPr>
            </w:pPr>
            <w:r w:rsidRPr="00DD2A86">
              <w:rPr>
                <w:rFonts w:ascii="Arial" w:hAnsi="Arial" w:cs="Arial"/>
                <w:color w:val="000000"/>
                <w:sz w:val="16"/>
                <w:szCs w:val="16"/>
                <w:lang w:val="de-DE" w:eastAsia="de-DE"/>
              </w:rPr>
              <w:t>(7)</w:t>
            </w:r>
          </w:p>
        </w:tc>
        <w:tc>
          <w:tcPr>
            <w:tcW w:w="400" w:type="dxa"/>
            <w:tcBorders>
              <w:top w:val="single" w:sz="4" w:space="0" w:color="auto"/>
              <w:left w:val="nil"/>
              <w:bottom w:val="single" w:sz="4" w:space="0" w:color="auto"/>
              <w:right w:val="single" w:sz="4" w:space="0" w:color="auto"/>
            </w:tcBorders>
            <w:shd w:val="clear" w:color="auto" w:fill="auto"/>
            <w:noWrap/>
            <w:hideMark/>
          </w:tcPr>
          <w:p w:rsidR="00C323D4" w:rsidRPr="00DD2A86" w:rsidRDefault="00C323D4" w:rsidP="00C323D4">
            <w:pPr>
              <w:suppressAutoHyphens w:val="0"/>
              <w:spacing w:line="240" w:lineRule="auto"/>
              <w:jc w:val="center"/>
              <w:rPr>
                <w:rFonts w:ascii="Arial" w:hAnsi="Arial" w:cs="Arial"/>
                <w:color w:val="000000"/>
                <w:sz w:val="16"/>
                <w:szCs w:val="16"/>
                <w:lang w:val="de-DE" w:eastAsia="de-DE"/>
              </w:rPr>
            </w:pPr>
            <w:r w:rsidRPr="00DD2A86">
              <w:rPr>
                <w:rFonts w:ascii="Arial" w:hAnsi="Arial" w:cs="Arial"/>
                <w:color w:val="000000"/>
                <w:sz w:val="16"/>
                <w:szCs w:val="16"/>
                <w:lang w:val="de-DE" w:eastAsia="de-DE"/>
              </w:rPr>
              <w:t>(8)</w:t>
            </w:r>
          </w:p>
        </w:tc>
        <w:tc>
          <w:tcPr>
            <w:tcW w:w="400" w:type="dxa"/>
            <w:tcBorders>
              <w:top w:val="single" w:sz="4" w:space="0" w:color="auto"/>
              <w:left w:val="nil"/>
              <w:bottom w:val="single" w:sz="4" w:space="0" w:color="auto"/>
              <w:right w:val="single" w:sz="4" w:space="0" w:color="auto"/>
            </w:tcBorders>
            <w:shd w:val="clear" w:color="auto" w:fill="auto"/>
            <w:hideMark/>
          </w:tcPr>
          <w:p w:rsidR="00C323D4" w:rsidRPr="00DD2A86" w:rsidRDefault="00C323D4" w:rsidP="00C323D4">
            <w:pPr>
              <w:suppressAutoHyphens w:val="0"/>
              <w:spacing w:line="240" w:lineRule="auto"/>
              <w:jc w:val="center"/>
              <w:rPr>
                <w:rFonts w:ascii="Arial" w:hAnsi="Arial" w:cs="Arial"/>
                <w:color w:val="000000"/>
                <w:sz w:val="16"/>
                <w:szCs w:val="16"/>
                <w:lang w:val="de-DE" w:eastAsia="de-DE"/>
              </w:rPr>
            </w:pPr>
            <w:r w:rsidRPr="00DD2A86">
              <w:rPr>
                <w:rFonts w:ascii="Arial" w:hAnsi="Arial" w:cs="Arial"/>
                <w:color w:val="000000"/>
                <w:sz w:val="16"/>
                <w:szCs w:val="16"/>
                <w:lang w:val="de-DE" w:eastAsia="de-DE"/>
              </w:rPr>
              <w:t>(9)</w:t>
            </w:r>
          </w:p>
        </w:tc>
        <w:tc>
          <w:tcPr>
            <w:tcW w:w="524" w:type="dxa"/>
            <w:tcBorders>
              <w:top w:val="single" w:sz="4" w:space="0" w:color="auto"/>
              <w:left w:val="nil"/>
              <w:bottom w:val="single" w:sz="4" w:space="0" w:color="auto"/>
              <w:right w:val="single" w:sz="4" w:space="0" w:color="auto"/>
            </w:tcBorders>
            <w:shd w:val="clear" w:color="auto" w:fill="auto"/>
            <w:hideMark/>
          </w:tcPr>
          <w:p w:rsidR="00C323D4" w:rsidRPr="00DD2A86" w:rsidRDefault="00C323D4" w:rsidP="00C323D4">
            <w:pPr>
              <w:suppressAutoHyphens w:val="0"/>
              <w:spacing w:line="240" w:lineRule="auto"/>
              <w:jc w:val="center"/>
              <w:rPr>
                <w:rFonts w:ascii="Arial" w:hAnsi="Arial" w:cs="Arial"/>
                <w:color w:val="000000"/>
                <w:sz w:val="16"/>
                <w:szCs w:val="16"/>
                <w:lang w:val="de-DE" w:eastAsia="de-DE"/>
              </w:rPr>
            </w:pPr>
            <w:r w:rsidRPr="00DD2A86">
              <w:rPr>
                <w:rFonts w:ascii="Arial" w:hAnsi="Arial" w:cs="Arial"/>
                <w:color w:val="000000"/>
                <w:sz w:val="16"/>
                <w:szCs w:val="16"/>
                <w:lang w:val="de-DE" w:eastAsia="de-DE"/>
              </w:rPr>
              <w:t>(10)</w:t>
            </w:r>
          </w:p>
        </w:tc>
        <w:tc>
          <w:tcPr>
            <w:tcW w:w="524" w:type="dxa"/>
            <w:tcBorders>
              <w:top w:val="single" w:sz="4" w:space="0" w:color="auto"/>
              <w:left w:val="nil"/>
              <w:bottom w:val="single" w:sz="4" w:space="0" w:color="auto"/>
              <w:right w:val="single" w:sz="4" w:space="0" w:color="auto"/>
            </w:tcBorders>
            <w:shd w:val="clear" w:color="auto" w:fill="auto"/>
            <w:noWrap/>
            <w:hideMark/>
          </w:tcPr>
          <w:p w:rsidR="00C323D4" w:rsidRPr="00DD2A86" w:rsidRDefault="00C323D4" w:rsidP="00C323D4">
            <w:pPr>
              <w:suppressAutoHyphens w:val="0"/>
              <w:spacing w:line="240" w:lineRule="auto"/>
              <w:jc w:val="center"/>
              <w:rPr>
                <w:rFonts w:ascii="Arial" w:hAnsi="Arial" w:cs="Arial"/>
                <w:color w:val="000000"/>
                <w:sz w:val="16"/>
                <w:szCs w:val="16"/>
                <w:lang w:val="de-DE" w:eastAsia="de-DE"/>
              </w:rPr>
            </w:pPr>
            <w:r w:rsidRPr="00DD2A86">
              <w:rPr>
                <w:rFonts w:ascii="Arial" w:hAnsi="Arial" w:cs="Arial"/>
                <w:color w:val="000000"/>
                <w:sz w:val="16"/>
                <w:szCs w:val="16"/>
                <w:lang w:val="de-DE" w:eastAsia="de-DE"/>
              </w:rPr>
              <w:t>(11)</w:t>
            </w:r>
          </w:p>
        </w:tc>
        <w:tc>
          <w:tcPr>
            <w:tcW w:w="700" w:type="dxa"/>
            <w:tcBorders>
              <w:top w:val="single" w:sz="4" w:space="0" w:color="auto"/>
              <w:left w:val="nil"/>
              <w:bottom w:val="single" w:sz="4" w:space="0" w:color="auto"/>
              <w:right w:val="single" w:sz="4" w:space="0" w:color="auto"/>
            </w:tcBorders>
            <w:shd w:val="clear" w:color="auto" w:fill="auto"/>
            <w:noWrap/>
            <w:hideMark/>
          </w:tcPr>
          <w:p w:rsidR="00C323D4" w:rsidRPr="00DD2A86" w:rsidRDefault="00C323D4" w:rsidP="00C323D4">
            <w:pPr>
              <w:suppressAutoHyphens w:val="0"/>
              <w:spacing w:line="240" w:lineRule="auto"/>
              <w:jc w:val="center"/>
              <w:rPr>
                <w:rFonts w:ascii="Arial" w:hAnsi="Arial" w:cs="Arial"/>
                <w:color w:val="000000"/>
                <w:sz w:val="16"/>
                <w:szCs w:val="16"/>
                <w:lang w:val="de-DE" w:eastAsia="de-DE"/>
              </w:rPr>
            </w:pPr>
            <w:r w:rsidRPr="00DD2A86">
              <w:rPr>
                <w:rFonts w:ascii="Arial" w:hAnsi="Arial" w:cs="Arial"/>
                <w:color w:val="000000"/>
                <w:sz w:val="16"/>
                <w:szCs w:val="16"/>
                <w:lang w:val="de-DE" w:eastAsia="de-DE"/>
              </w:rPr>
              <w:t>(12)</w:t>
            </w:r>
          </w:p>
        </w:tc>
        <w:tc>
          <w:tcPr>
            <w:tcW w:w="524" w:type="dxa"/>
            <w:tcBorders>
              <w:top w:val="single" w:sz="4" w:space="0" w:color="auto"/>
              <w:left w:val="nil"/>
              <w:bottom w:val="single" w:sz="4" w:space="0" w:color="auto"/>
              <w:right w:val="single" w:sz="4" w:space="0" w:color="auto"/>
            </w:tcBorders>
            <w:shd w:val="clear" w:color="auto" w:fill="auto"/>
            <w:noWrap/>
            <w:hideMark/>
          </w:tcPr>
          <w:p w:rsidR="00C323D4" w:rsidRPr="00DD2A86" w:rsidRDefault="00C323D4" w:rsidP="00C323D4">
            <w:pPr>
              <w:suppressAutoHyphens w:val="0"/>
              <w:spacing w:line="240" w:lineRule="auto"/>
              <w:jc w:val="center"/>
              <w:rPr>
                <w:rFonts w:ascii="Arial" w:hAnsi="Arial" w:cs="Arial"/>
                <w:color w:val="000000"/>
                <w:sz w:val="16"/>
                <w:szCs w:val="16"/>
                <w:lang w:val="de-DE" w:eastAsia="de-DE"/>
              </w:rPr>
            </w:pPr>
            <w:r w:rsidRPr="00DD2A86">
              <w:rPr>
                <w:rFonts w:ascii="Arial" w:hAnsi="Arial" w:cs="Arial"/>
                <w:color w:val="000000"/>
                <w:sz w:val="16"/>
                <w:szCs w:val="16"/>
                <w:lang w:val="de-DE" w:eastAsia="de-DE"/>
              </w:rPr>
              <w:t>(13)</w:t>
            </w:r>
          </w:p>
        </w:tc>
        <w:tc>
          <w:tcPr>
            <w:tcW w:w="524" w:type="dxa"/>
            <w:tcBorders>
              <w:top w:val="single" w:sz="4" w:space="0" w:color="auto"/>
              <w:left w:val="nil"/>
              <w:bottom w:val="single" w:sz="4" w:space="0" w:color="auto"/>
              <w:right w:val="single" w:sz="4" w:space="0" w:color="auto"/>
            </w:tcBorders>
            <w:shd w:val="clear" w:color="auto" w:fill="auto"/>
            <w:noWrap/>
            <w:hideMark/>
          </w:tcPr>
          <w:p w:rsidR="00C323D4" w:rsidRPr="00DD2A86" w:rsidRDefault="00C323D4" w:rsidP="00C323D4">
            <w:pPr>
              <w:suppressAutoHyphens w:val="0"/>
              <w:spacing w:line="240" w:lineRule="auto"/>
              <w:jc w:val="center"/>
              <w:rPr>
                <w:rFonts w:ascii="Arial" w:hAnsi="Arial" w:cs="Arial"/>
                <w:color w:val="000000"/>
                <w:sz w:val="16"/>
                <w:szCs w:val="16"/>
                <w:lang w:val="de-DE" w:eastAsia="de-DE"/>
              </w:rPr>
            </w:pPr>
            <w:r w:rsidRPr="00DD2A86">
              <w:rPr>
                <w:rFonts w:ascii="Arial" w:hAnsi="Arial" w:cs="Arial"/>
                <w:color w:val="000000"/>
                <w:sz w:val="16"/>
                <w:szCs w:val="16"/>
                <w:lang w:val="de-DE" w:eastAsia="de-DE"/>
              </w:rPr>
              <w:t>(14)</w:t>
            </w:r>
          </w:p>
        </w:tc>
        <w:tc>
          <w:tcPr>
            <w:tcW w:w="469" w:type="dxa"/>
            <w:tcBorders>
              <w:top w:val="single" w:sz="4" w:space="0" w:color="auto"/>
              <w:left w:val="nil"/>
              <w:bottom w:val="single" w:sz="4" w:space="0" w:color="auto"/>
              <w:right w:val="single" w:sz="4" w:space="0" w:color="auto"/>
            </w:tcBorders>
            <w:shd w:val="clear" w:color="auto" w:fill="auto"/>
            <w:noWrap/>
            <w:hideMark/>
          </w:tcPr>
          <w:p w:rsidR="00C323D4" w:rsidRPr="00DD2A86" w:rsidRDefault="00C323D4" w:rsidP="00C323D4">
            <w:pPr>
              <w:suppressAutoHyphens w:val="0"/>
              <w:spacing w:line="240" w:lineRule="auto"/>
              <w:jc w:val="center"/>
              <w:rPr>
                <w:rFonts w:ascii="Arial" w:hAnsi="Arial" w:cs="Arial"/>
                <w:color w:val="000000"/>
                <w:sz w:val="16"/>
                <w:szCs w:val="16"/>
                <w:lang w:val="de-DE" w:eastAsia="de-DE"/>
              </w:rPr>
            </w:pPr>
            <w:r w:rsidRPr="00DD2A86">
              <w:rPr>
                <w:rFonts w:ascii="Arial" w:hAnsi="Arial" w:cs="Arial"/>
                <w:color w:val="000000"/>
                <w:sz w:val="16"/>
                <w:szCs w:val="16"/>
                <w:lang w:val="de-DE" w:eastAsia="de-DE"/>
              </w:rPr>
              <w:t>(15)</w:t>
            </w:r>
          </w:p>
        </w:tc>
        <w:tc>
          <w:tcPr>
            <w:tcW w:w="599" w:type="dxa"/>
            <w:tcBorders>
              <w:top w:val="single" w:sz="4" w:space="0" w:color="auto"/>
              <w:left w:val="nil"/>
              <w:bottom w:val="single" w:sz="4" w:space="0" w:color="auto"/>
              <w:right w:val="single" w:sz="4" w:space="0" w:color="auto"/>
            </w:tcBorders>
            <w:shd w:val="clear" w:color="auto" w:fill="auto"/>
            <w:noWrap/>
            <w:hideMark/>
          </w:tcPr>
          <w:p w:rsidR="00C323D4" w:rsidRPr="00DD2A86" w:rsidRDefault="00C323D4" w:rsidP="00C323D4">
            <w:pPr>
              <w:suppressAutoHyphens w:val="0"/>
              <w:spacing w:line="240" w:lineRule="auto"/>
              <w:jc w:val="center"/>
              <w:rPr>
                <w:rFonts w:ascii="Arial" w:hAnsi="Arial" w:cs="Arial"/>
                <w:color w:val="000000"/>
                <w:sz w:val="16"/>
                <w:szCs w:val="16"/>
                <w:lang w:val="de-DE" w:eastAsia="de-DE"/>
              </w:rPr>
            </w:pPr>
            <w:r w:rsidRPr="00DD2A86">
              <w:rPr>
                <w:rFonts w:ascii="Arial" w:hAnsi="Arial" w:cs="Arial"/>
                <w:color w:val="000000"/>
                <w:sz w:val="16"/>
                <w:szCs w:val="16"/>
                <w:lang w:val="de-DE" w:eastAsia="de-DE"/>
              </w:rPr>
              <w:t>(16)</w:t>
            </w:r>
          </w:p>
        </w:tc>
        <w:tc>
          <w:tcPr>
            <w:tcW w:w="524" w:type="dxa"/>
            <w:tcBorders>
              <w:top w:val="single" w:sz="4" w:space="0" w:color="auto"/>
              <w:left w:val="nil"/>
              <w:bottom w:val="single" w:sz="4" w:space="0" w:color="auto"/>
              <w:right w:val="single" w:sz="4" w:space="0" w:color="auto"/>
            </w:tcBorders>
            <w:shd w:val="clear" w:color="auto" w:fill="auto"/>
            <w:noWrap/>
            <w:hideMark/>
          </w:tcPr>
          <w:p w:rsidR="00C323D4" w:rsidRPr="00DD2A86" w:rsidRDefault="00C323D4" w:rsidP="00C323D4">
            <w:pPr>
              <w:suppressAutoHyphens w:val="0"/>
              <w:spacing w:line="240" w:lineRule="auto"/>
              <w:jc w:val="center"/>
              <w:rPr>
                <w:rFonts w:ascii="Arial" w:hAnsi="Arial" w:cs="Arial"/>
                <w:color w:val="000000"/>
                <w:sz w:val="16"/>
                <w:szCs w:val="16"/>
                <w:lang w:val="de-DE" w:eastAsia="de-DE"/>
              </w:rPr>
            </w:pPr>
            <w:r w:rsidRPr="00DD2A86">
              <w:rPr>
                <w:rFonts w:ascii="Arial" w:hAnsi="Arial" w:cs="Arial"/>
                <w:color w:val="000000"/>
                <w:sz w:val="16"/>
                <w:szCs w:val="16"/>
                <w:lang w:val="de-DE" w:eastAsia="de-DE"/>
              </w:rPr>
              <w:t>(17)</w:t>
            </w:r>
          </w:p>
        </w:tc>
        <w:tc>
          <w:tcPr>
            <w:tcW w:w="660" w:type="dxa"/>
            <w:tcBorders>
              <w:top w:val="single" w:sz="4" w:space="0" w:color="auto"/>
              <w:left w:val="nil"/>
              <w:bottom w:val="single" w:sz="4" w:space="0" w:color="auto"/>
              <w:right w:val="single" w:sz="4" w:space="0" w:color="auto"/>
            </w:tcBorders>
            <w:shd w:val="clear" w:color="auto" w:fill="auto"/>
            <w:noWrap/>
            <w:hideMark/>
          </w:tcPr>
          <w:p w:rsidR="00C323D4" w:rsidRPr="00DD2A86" w:rsidRDefault="00C323D4" w:rsidP="00C323D4">
            <w:pPr>
              <w:suppressAutoHyphens w:val="0"/>
              <w:spacing w:line="240" w:lineRule="auto"/>
              <w:jc w:val="center"/>
              <w:rPr>
                <w:rFonts w:ascii="Arial" w:hAnsi="Arial" w:cs="Arial"/>
                <w:color w:val="000000"/>
                <w:sz w:val="16"/>
                <w:szCs w:val="16"/>
                <w:lang w:val="de-DE" w:eastAsia="de-DE"/>
              </w:rPr>
            </w:pPr>
            <w:r w:rsidRPr="00DD2A86">
              <w:rPr>
                <w:rFonts w:ascii="Arial" w:hAnsi="Arial" w:cs="Arial"/>
                <w:color w:val="000000"/>
                <w:sz w:val="16"/>
                <w:szCs w:val="16"/>
                <w:lang w:val="de-DE" w:eastAsia="de-DE"/>
              </w:rPr>
              <w:t>(18)</w:t>
            </w:r>
          </w:p>
        </w:tc>
        <w:tc>
          <w:tcPr>
            <w:tcW w:w="440" w:type="dxa"/>
            <w:tcBorders>
              <w:top w:val="single" w:sz="4" w:space="0" w:color="auto"/>
              <w:left w:val="nil"/>
              <w:bottom w:val="single" w:sz="4" w:space="0" w:color="auto"/>
              <w:right w:val="single" w:sz="4" w:space="0" w:color="auto"/>
            </w:tcBorders>
            <w:shd w:val="clear" w:color="auto" w:fill="auto"/>
            <w:noWrap/>
            <w:hideMark/>
          </w:tcPr>
          <w:p w:rsidR="00C323D4" w:rsidRPr="00DD2A86" w:rsidRDefault="00C323D4" w:rsidP="00C323D4">
            <w:pPr>
              <w:suppressAutoHyphens w:val="0"/>
              <w:spacing w:line="240" w:lineRule="auto"/>
              <w:jc w:val="center"/>
              <w:rPr>
                <w:rFonts w:ascii="Arial" w:hAnsi="Arial" w:cs="Arial"/>
                <w:color w:val="000000"/>
                <w:sz w:val="16"/>
                <w:szCs w:val="16"/>
                <w:lang w:val="de-DE" w:eastAsia="de-DE"/>
              </w:rPr>
            </w:pPr>
            <w:r w:rsidRPr="00DD2A86">
              <w:rPr>
                <w:rFonts w:ascii="Arial" w:hAnsi="Arial" w:cs="Arial"/>
                <w:color w:val="000000"/>
                <w:sz w:val="16"/>
                <w:szCs w:val="16"/>
                <w:lang w:val="de-DE" w:eastAsia="de-DE"/>
              </w:rPr>
              <w:t>(19)</w:t>
            </w:r>
          </w:p>
        </w:tc>
        <w:tc>
          <w:tcPr>
            <w:tcW w:w="1240" w:type="dxa"/>
            <w:tcBorders>
              <w:top w:val="single" w:sz="4" w:space="0" w:color="auto"/>
              <w:left w:val="nil"/>
              <w:bottom w:val="single" w:sz="4" w:space="0" w:color="auto"/>
              <w:right w:val="single" w:sz="4" w:space="0" w:color="auto"/>
            </w:tcBorders>
            <w:shd w:val="clear" w:color="auto" w:fill="auto"/>
            <w:noWrap/>
            <w:hideMark/>
          </w:tcPr>
          <w:p w:rsidR="00C323D4" w:rsidRPr="00DD2A86" w:rsidRDefault="00C323D4" w:rsidP="00C323D4">
            <w:pPr>
              <w:suppressAutoHyphens w:val="0"/>
              <w:spacing w:line="240" w:lineRule="auto"/>
              <w:jc w:val="center"/>
              <w:rPr>
                <w:rFonts w:ascii="Arial" w:hAnsi="Arial" w:cs="Arial"/>
                <w:color w:val="000000"/>
                <w:sz w:val="16"/>
                <w:szCs w:val="16"/>
                <w:lang w:val="de-DE" w:eastAsia="de-DE"/>
              </w:rPr>
            </w:pPr>
            <w:r w:rsidRPr="00DD2A86">
              <w:rPr>
                <w:rFonts w:ascii="Arial" w:hAnsi="Arial" w:cs="Arial"/>
                <w:color w:val="000000"/>
                <w:sz w:val="16"/>
                <w:szCs w:val="16"/>
                <w:lang w:val="de-DE" w:eastAsia="de-DE"/>
              </w:rPr>
              <w:t>(20)</w:t>
            </w:r>
          </w:p>
        </w:tc>
      </w:tr>
      <w:tr w:rsidR="00C323D4" w:rsidRPr="00DD2A86" w:rsidTr="00E941A1">
        <w:trPr>
          <w:trHeight w:val="3199"/>
        </w:trPr>
        <w:tc>
          <w:tcPr>
            <w:tcW w:w="540" w:type="dxa"/>
            <w:tcBorders>
              <w:top w:val="nil"/>
              <w:left w:val="single" w:sz="4" w:space="0" w:color="auto"/>
              <w:bottom w:val="single" w:sz="4" w:space="0" w:color="auto"/>
              <w:right w:val="single" w:sz="4" w:space="0" w:color="auto"/>
            </w:tcBorders>
            <w:shd w:val="clear" w:color="auto" w:fill="auto"/>
            <w:textDirection w:val="tbRl"/>
            <w:vAlign w:val="center"/>
            <w:hideMark/>
          </w:tcPr>
          <w:p w:rsidR="00C323D4" w:rsidRPr="00DD2A86" w:rsidRDefault="00C323D4" w:rsidP="00C323D4">
            <w:pPr>
              <w:suppressAutoHyphens w:val="0"/>
              <w:spacing w:line="240" w:lineRule="auto"/>
              <w:jc w:val="center"/>
              <w:rPr>
                <w:rFonts w:ascii="Arial" w:hAnsi="Arial" w:cs="Arial"/>
                <w:color w:val="000000"/>
                <w:sz w:val="16"/>
                <w:szCs w:val="16"/>
                <w:lang w:val="de-DE" w:eastAsia="de-DE"/>
              </w:rPr>
            </w:pPr>
            <w:r w:rsidRPr="00DD2A86">
              <w:rPr>
                <w:rFonts w:ascii="Arial" w:hAnsi="Arial" w:cs="Arial"/>
                <w:color w:val="000000"/>
                <w:sz w:val="16"/>
                <w:szCs w:val="16"/>
                <w:lang w:val="de-DE" w:eastAsia="de-DE"/>
              </w:rPr>
              <w:t xml:space="preserve">UN-Nummer </w:t>
            </w:r>
            <w:r w:rsidRPr="00DD2A86">
              <w:rPr>
                <w:rFonts w:ascii="Arial" w:hAnsi="Arial" w:cs="Arial"/>
                <w:color w:val="000000"/>
                <w:sz w:val="16"/>
                <w:szCs w:val="16"/>
                <w:lang w:val="de-DE" w:eastAsia="de-DE"/>
              </w:rPr>
              <w:br/>
              <w:t>oder Stoffnummer</w:t>
            </w:r>
          </w:p>
        </w:tc>
        <w:tc>
          <w:tcPr>
            <w:tcW w:w="3375" w:type="dxa"/>
            <w:tcBorders>
              <w:top w:val="nil"/>
              <w:left w:val="nil"/>
              <w:bottom w:val="single" w:sz="4" w:space="0" w:color="auto"/>
              <w:right w:val="single" w:sz="4" w:space="0" w:color="auto"/>
            </w:tcBorders>
            <w:shd w:val="clear" w:color="auto" w:fill="auto"/>
            <w:vAlign w:val="center"/>
            <w:hideMark/>
          </w:tcPr>
          <w:p w:rsidR="00C323D4" w:rsidRPr="00DD2A86" w:rsidRDefault="00C323D4" w:rsidP="00C323D4">
            <w:pPr>
              <w:suppressAutoHyphens w:val="0"/>
              <w:spacing w:line="240" w:lineRule="auto"/>
              <w:jc w:val="center"/>
              <w:rPr>
                <w:rFonts w:ascii="Arial" w:hAnsi="Arial" w:cs="Arial"/>
                <w:color w:val="000000"/>
                <w:sz w:val="16"/>
                <w:szCs w:val="16"/>
                <w:lang w:val="de-DE" w:eastAsia="de-DE"/>
              </w:rPr>
            </w:pPr>
            <w:r w:rsidRPr="00DD2A86">
              <w:rPr>
                <w:rFonts w:ascii="Arial" w:hAnsi="Arial" w:cs="Arial"/>
                <w:color w:val="000000"/>
                <w:sz w:val="16"/>
                <w:szCs w:val="16"/>
                <w:lang w:val="de-DE" w:eastAsia="de-DE"/>
              </w:rPr>
              <w:t>Benennung und Beschreibung</w:t>
            </w:r>
          </w:p>
        </w:tc>
        <w:tc>
          <w:tcPr>
            <w:tcW w:w="425" w:type="dxa"/>
            <w:tcBorders>
              <w:top w:val="nil"/>
              <w:left w:val="nil"/>
              <w:bottom w:val="single" w:sz="4" w:space="0" w:color="auto"/>
              <w:right w:val="single" w:sz="4" w:space="0" w:color="auto"/>
            </w:tcBorders>
            <w:shd w:val="clear" w:color="auto" w:fill="auto"/>
            <w:noWrap/>
            <w:textDirection w:val="tbRl"/>
            <w:vAlign w:val="center"/>
            <w:hideMark/>
          </w:tcPr>
          <w:p w:rsidR="00C323D4" w:rsidRPr="00DD2A86" w:rsidRDefault="00C323D4" w:rsidP="00C323D4">
            <w:pPr>
              <w:suppressAutoHyphens w:val="0"/>
              <w:spacing w:line="240" w:lineRule="auto"/>
              <w:jc w:val="center"/>
              <w:rPr>
                <w:rFonts w:ascii="Arial" w:hAnsi="Arial" w:cs="Arial"/>
                <w:color w:val="000000"/>
                <w:sz w:val="16"/>
                <w:szCs w:val="16"/>
                <w:lang w:val="de-DE" w:eastAsia="de-DE"/>
              </w:rPr>
            </w:pPr>
            <w:r w:rsidRPr="00DD2A86">
              <w:rPr>
                <w:rFonts w:ascii="Arial" w:hAnsi="Arial" w:cs="Arial"/>
                <w:color w:val="000000"/>
                <w:sz w:val="16"/>
                <w:szCs w:val="16"/>
                <w:lang w:val="de-DE" w:eastAsia="de-DE"/>
              </w:rPr>
              <w:t>Klasse</w:t>
            </w:r>
          </w:p>
        </w:tc>
        <w:tc>
          <w:tcPr>
            <w:tcW w:w="452" w:type="dxa"/>
            <w:tcBorders>
              <w:top w:val="nil"/>
              <w:left w:val="nil"/>
              <w:bottom w:val="single" w:sz="4" w:space="0" w:color="auto"/>
              <w:right w:val="single" w:sz="4" w:space="0" w:color="auto"/>
            </w:tcBorders>
            <w:shd w:val="clear" w:color="auto" w:fill="auto"/>
            <w:textDirection w:val="tbRl"/>
            <w:vAlign w:val="center"/>
            <w:hideMark/>
          </w:tcPr>
          <w:p w:rsidR="00C323D4" w:rsidRPr="00DD2A86" w:rsidRDefault="00C323D4" w:rsidP="00C323D4">
            <w:pPr>
              <w:suppressAutoHyphens w:val="0"/>
              <w:spacing w:line="240" w:lineRule="auto"/>
              <w:jc w:val="center"/>
              <w:rPr>
                <w:rFonts w:ascii="Arial" w:hAnsi="Arial" w:cs="Arial"/>
                <w:color w:val="000000"/>
                <w:sz w:val="16"/>
                <w:szCs w:val="16"/>
                <w:lang w:val="de-DE" w:eastAsia="de-DE"/>
              </w:rPr>
            </w:pPr>
            <w:r w:rsidRPr="00DD2A86">
              <w:rPr>
                <w:rFonts w:ascii="Arial" w:hAnsi="Arial" w:cs="Arial"/>
                <w:color w:val="000000"/>
                <w:sz w:val="16"/>
                <w:szCs w:val="16"/>
                <w:lang w:val="de-DE" w:eastAsia="de-DE"/>
              </w:rPr>
              <w:t>Klassifizierungscode</w:t>
            </w:r>
          </w:p>
        </w:tc>
        <w:tc>
          <w:tcPr>
            <w:tcW w:w="400" w:type="dxa"/>
            <w:tcBorders>
              <w:top w:val="nil"/>
              <w:left w:val="nil"/>
              <w:bottom w:val="single" w:sz="4" w:space="0" w:color="auto"/>
              <w:right w:val="single" w:sz="4" w:space="0" w:color="auto"/>
            </w:tcBorders>
            <w:shd w:val="clear" w:color="auto" w:fill="auto"/>
            <w:textDirection w:val="tbRl"/>
            <w:vAlign w:val="center"/>
            <w:hideMark/>
          </w:tcPr>
          <w:p w:rsidR="00C323D4" w:rsidRPr="00DD2A86" w:rsidRDefault="00C323D4" w:rsidP="00C323D4">
            <w:pPr>
              <w:suppressAutoHyphens w:val="0"/>
              <w:spacing w:line="240" w:lineRule="auto"/>
              <w:jc w:val="center"/>
              <w:rPr>
                <w:rFonts w:ascii="Arial" w:hAnsi="Arial" w:cs="Arial"/>
                <w:color w:val="000000"/>
                <w:sz w:val="16"/>
                <w:szCs w:val="16"/>
                <w:lang w:val="de-DE" w:eastAsia="de-DE"/>
              </w:rPr>
            </w:pPr>
            <w:r w:rsidRPr="00DD2A86">
              <w:rPr>
                <w:rFonts w:ascii="Arial" w:hAnsi="Arial" w:cs="Arial"/>
                <w:color w:val="000000"/>
                <w:sz w:val="16"/>
                <w:szCs w:val="16"/>
                <w:lang w:val="de-DE" w:eastAsia="de-DE"/>
              </w:rPr>
              <w:t>Verpackungsgruppe</w:t>
            </w:r>
          </w:p>
        </w:tc>
        <w:tc>
          <w:tcPr>
            <w:tcW w:w="1440" w:type="dxa"/>
            <w:tcBorders>
              <w:top w:val="nil"/>
              <w:left w:val="nil"/>
              <w:bottom w:val="single" w:sz="4" w:space="0" w:color="auto"/>
              <w:right w:val="single" w:sz="4" w:space="0" w:color="auto"/>
            </w:tcBorders>
            <w:shd w:val="clear" w:color="auto" w:fill="auto"/>
            <w:textDirection w:val="tbRl"/>
            <w:vAlign w:val="center"/>
            <w:hideMark/>
          </w:tcPr>
          <w:p w:rsidR="00C323D4" w:rsidRPr="00DD2A86" w:rsidRDefault="00C323D4" w:rsidP="00C323D4">
            <w:pPr>
              <w:suppressAutoHyphens w:val="0"/>
              <w:spacing w:line="240" w:lineRule="auto"/>
              <w:jc w:val="center"/>
              <w:rPr>
                <w:rFonts w:ascii="Arial" w:hAnsi="Arial" w:cs="Arial"/>
                <w:sz w:val="16"/>
                <w:szCs w:val="16"/>
                <w:lang w:val="de-DE" w:eastAsia="de-DE"/>
              </w:rPr>
            </w:pPr>
            <w:r w:rsidRPr="00DD2A86">
              <w:rPr>
                <w:rFonts w:ascii="Arial" w:hAnsi="Arial" w:cs="Arial"/>
                <w:sz w:val="16"/>
                <w:szCs w:val="16"/>
                <w:lang w:val="de-DE" w:eastAsia="de-DE"/>
              </w:rPr>
              <w:t>Gefahren</w:t>
            </w:r>
          </w:p>
        </w:tc>
        <w:tc>
          <w:tcPr>
            <w:tcW w:w="400" w:type="dxa"/>
            <w:tcBorders>
              <w:top w:val="nil"/>
              <w:left w:val="nil"/>
              <w:bottom w:val="single" w:sz="4" w:space="0" w:color="auto"/>
              <w:right w:val="single" w:sz="4" w:space="0" w:color="auto"/>
            </w:tcBorders>
            <w:shd w:val="clear" w:color="auto" w:fill="auto"/>
            <w:textDirection w:val="tbRl"/>
            <w:vAlign w:val="center"/>
            <w:hideMark/>
          </w:tcPr>
          <w:p w:rsidR="00C323D4" w:rsidRPr="00DD2A86" w:rsidRDefault="00C323D4" w:rsidP="00C323D4">
            <w:pPr>
              <w:suppressAutoHyphens w:val="0"/>
              <w:spacing w:line="240" w:lineRule="auto"/>
              <w:jc w:val="center"/>
              <w:rPr>
                <w:rFonts w:ascii="Arial" w:hAnsi="Arial" w:cs="Arial"/>
                <w:color w:val="000000"/>
                <w:sz w:val="16"/>
                <w:szCs w:val="16"/>
                <w:lang w:val="de-DE" w:eastAsia="de-DE"/>
              </w:rPr>
            </w:pPr>
            <w:r w:rsidRPr="00DD2A86">
              <w:rPr>
                <w:rFonts w:ascii="Arial" w:hAnsi="Arial" w:cs="Arial"/>
                <w:color w:val="000000"/>
                <w:sz w:val="16"/>
                <w:szCs w:val="16"/>
                <w:lang w:val="de-DE" w:eastAsia="de-DE"/>
              </w:rPr>
              <w:t>Tankschiffstyp</w:t>
            </w:r>
          </w:p>
        </w:tc>
        <w:tc>
          <w:tcPr>
            <w:tcW w:w="400" w:type="dxa"/>
            <w:tcBorders>
              <w:top w:val="nil"/>
              <w:left w:val="nil"/>
              <w:bottom w:val="single" w:sz="4" w:space="0" w:color="auto"/>
              <w:right w:val="single" w:sz="4" w:space="0" w:color="auto"/>
            </w:tcBorders>
            <w:shd w:val="clear" w:color="auto" w:fill="auto"/>
            <w:textDirection w:val="tbRl"/>
            <w:vAlign w:val="center"/>
            <w:hideMark/>
          </w:tcPr>
          <w:p w:rsidR="00C323D4" w:rsidRPr="00DD2A86" w:rsidRDefault="00C323D4" w:rsidP="00C323D4">
            <w:pPr>
              <w:suppressAutoHyphens w:val="0"/>
              <w:spacing w:line="240" w:lineRule="auto"/>
              <w:jc w:val="center"/>
              <w:rPr>
                <w:rFonts w:ascii="Arial" w:hAnsi="Arial" w:cs="Arial"/>
                <w:color w:val="000000"/>
                <w:sz w:val="16"/>
                <w:szCs w:val="16"/>
                <w:lang w:val="de-DE" w:eastAsia="de-DE"/>
              </w:rPr>
            </w:pPr>
            <w:r w:rsidRPr="00DD2A86">
              <w:rPr>
                <w:rFonts w:ascii="Arial" w:hAnsi="Arial" w:cs="Arial"/>
                <w:color w:val="000000"/>
                <w:sz w:val="16"/>
                <w:szCs w:val="16"/>
                <w:lang w:val="de-DE" w:eastAsia="de-DE"/>
              </w:rPr>
              <w:t>Ladetankzustand</w:t>
            </w:r>
          </w:p>
        </w:tc>
        <w:tc>
          <w:tcPr>
            <w:tcW w:w="400" w:type="dxa"/>
            <w:tcBorders>
              <w:top w:val="nil"/>
              <w:left w:val="nil"/>
              <w:bottom w:val="single" w:sz="4" w:space="0" w:color="auto"/>
              <w:right w:val="single" w:sz="4" w:space="0" w:color="auto"/>
            </w:tcBorders>
            <w:shd w:val="clear" w:color="auto" w:fill="auto"/>
            <w:textDirection w:val="tbRl"/>
            <w:vAlign w:val="center"/>
            <w:hideMark/>
          </w:tcPr>
          <w:p w:rsidR="00C323D4" w:rsidRPr="00DD2A86" w:rsidRDefault="00C323D4" w:rsidP="00C323D4">
            <w:pPr>
              <w:suppressAutoHyphens w:val="0"/>
              <w:spacing w:line="240" w:lineRule="auto"/>
              <w:jc w:val="center"/>
              <w:rPr>
                <w:rFonts w:ascii="Arial" w:hAnsi="Arial" w:cs="Arial"/>
                <w:color w:val="000000"/>
                <w:sz w:val="16"/>
                <w:szCs w:val="16"/>
                <w:lang w:val="de-DE" w:eastAsia="de-DE"/>
              </w:rPr>
            </w:pPr>
            <w:r w:rsidRPr="00DD2A86">
              <w:rPr>
                <w:rFonts w:ascii="Arial" w:hAnsi="Arial" w:cs="Arial"/>
                <w:color w:val="000000"/>
                <w:sz w:val="16"/>
                <w:szCs w:val="16"/>
                <w:lang w:val="de-DE" w:eastAsia="de-DE"/>
              </w:rPr>
              <w:t>Ladetanktyp</w:t>
            </w:r>
          </w:p>
        </w:tc>
        <w:tc>
          <w:tcPr>
            <w:tcW w:w="400" w:type="dxa"/>
            <w:tcBorders>
              <w:top w:val="nil"/>
              <w:left w:val="nil"/>
              <w:bottom w:val="single" w:sz="4" w:space="0" w:color="auto"/>
              <w:right w:val="single" w:sz="4" w:space="0" w:color="auto"/>
            </w:tcBorders>
            <w:shd w:val="clear" w:color="auto" w:fill="auto"/>
            <w:textDirection w:val="tbRl"/>
            <w:vAlign w:val="center"/>
            <w:hideMark/>
          </w:tcPr>
          <w:p w:rsidR="00C323D4" w:rsidRPr="00DD2A86" w:rsidRDefault="00C323D4" w:rsidP="00C323D4">
            <w:pPr>
              <w:suppressAutoHyphens w:val="0"/>
              <w:spacing w:line="240" w:lineRule="auto"/>
              <w:jc w:val="center"/>
              <w:rPr>
                <w:rFonts w:ascii="Arial" w:hAnsi="Arial" w:cs="Arial"/>
                <w:color w:val="000000"/>
                <w:sz w:val="16"/>
                <w:szCs w:val="16"/>
                <w:lang w:val="de-DE" w:eastAsia="de-DE"/>
              </w:rPr>
            </w:pPr>
            <w:r w:rsidRPr="00DD2A86">
              <w:rPr>
                <w:rFonts w:ascii="Arial" w:hAnsi="Arial" w:cs="Arial"/>
                <w:color w:val="000000"/>
                <w:sz w:val="16"/>
                <w:szCs w:val="16"/>
                <w:lang w:val="de-DE" w:eastAsia="de-DE"/>
              </w:rPr>
              <w:t>Ladetankausrüstung</w:t>
            </w:r>
          </w:p>
        </w:tc>
        <w:tc>
          <w:tcPr>
            <w:tcW w:w="524" w:type="dxa"/>
            <w:tcBorders>
              <w:top w:val="nil"/>
              <w:left w:val="nil"/>
              <w:bottom w:val="single" w:sz="4" w:space="0" w:color="auto"/>
              <w:right w:val="single" w:sz="4" w:space="0" w:color="auto"/>
            </w:tcBorders>
            <w:shd w:val="clear" w:color="auto" w:fill="auto"/>
            <w:textDirection w:val="tbRl"/>
            <w:vAlign w:val="center"/>
            <w:hideMark/>
          </w:tcPr>
          <w:p w:rsidR="00C323D4" w:rsidRPr="00DD2A86" w:rsidRDefault="00C323D4" w:rsidP="00C323D4">
            <w:pPr>
              <w:suppressAutoHyphens w:val="0"/>
              <w:spacing w:line="240" w:lineRule="auto"/>
              <w:jc w:val="center"/>
              <w:rPr>
                <w:rFonts w:ascii="Arial" w:hAnsi="Arial" w:cs="Arial"/>
                <w:color w:val="000000"/>
                <w:sz w:val="16"/>
                <w:szCs w:val="16"/>
                <w:lang w:val="de-DE" w:eastAsia="de-DE"/>
              </w:rPr>
            </w:pPr>
            <w:r w:rsidRPr="00DD2A86">
              <w:rPr>
                <w:rFonts w:ascii="Arial" w:hAnsi="Arial" w:cs="Arial"/>
                <w:color w:val="000000"/>
                <w:sz w:val="16"/>
                <w:szCs w:val="16"/>
                <w:lang w:val="de-DE" w:eastAsia="de-DE"/>
              </w:rPr>
              <w:t>Öffnungsdruck des</w:t>
            </w:r>
            <w:r w:rsidRPr="00DD2A86">
              <w:rPr>
                <w:rFonts w:ascii="Arial" w:hAnsi="Arial" w:cs="Arial"/>
                <w:color w:val="000000"/>
                <w:sz w:val="16"/>
                <w:szCs w:val="16"/>
                <w:lang w:val="de-DE" w:eastAsia="de-DE"/>
              </w:rPr>
              <w:br/>
              <w:t>H.-J.-Ventils in kPa</w:t>
            </w:r>
          </w:p>
        </w:tc>
        <w:tc>
          <w:tcPr>
            <w:tcW w:w="524" w:type="dxa"/>
            <w:tcBorders>
              <w:top w:val="nil"/>
              <w:left w:val="nil"/>
              <w:bottom w:val="single" w:sz="4" w:space="0" w:color="auto"/>
              <w:right w:val="single" w:sz="4" w:space="0" w:color="auto"/>
            </w:tcBorders>
            <w:shd w:val="clear" w:color="auto" w:fill="auto"/>
            <w:textDirection w:val="tbRl"/>
            <w:vAlign w:val="center"/>
            <w:hideMark/>
          </w:tcPr>
          <w:p w:rsidR="00C323D4" w:rsidRPr="00DD2A86" w:rsidRDefault="00C323D4" w:rsidP="00C323D4">
            <w:pPr>
              <w:suppressAutoHyphens w:val="0"/>
              <w:spacing w:line="240" w:lineRule="auto"/>
              <w:jc w:val="center"/>
              <w:rPr>
                <w:rFonts w:ascii="Arial" w:hAnsi="Arial" w:cs="Arial"/>
                <w:color w:val="000000"/>
                <w:sz w:val="16"/>
                <w:szCs w:val="16"/>
                <w:lang w:val="de-DE" w:eastAsia="de-DE"/>
              </w:rPr>
            </w:pPr>
            <w:r w:rsidRPr="00DD2A86">
              <w:rPr>
                <w:rFonts w:ascii="Arial" w:hAnsi="Arial" w:cs="Arial"/>
                <w:color w:val="000000"/>
                <w:sz w:val="16"/>
                <w:szCs w:val="16"/>
                <w:lang w:val="de-DE" w:eastAsia="de-DE"/>
              </w:rPr>
              <w:t>max. zul. Tankfüllungsgrad</w:t>
            </w:r>
            <w:r w:rsidRPr="00DD2A86">
              <w:rPr>
                <w:rFonts w:ascii="Arial" w:hAnsi="Arial" w:cs="Arial"/>
                <w:color w:val="000000"/>
                <w:sz w:val="16"/>
                <w:szCs w:val="16"/>
                <w:lang w:val="de-DE" w:eastAsia="de-DE"/>
              </w:rPr>
              <w:br/>
              <w:t>in %</w:t>
            </w:r>
          </w:p>
        </w:tc>
        <w:tc>
          <w:tcPr>
            <w:tcW w:w="700" w:type="dxa"/>
            <w:tcBorders>
              <w:top w:val="nil"/>
              <w:left w:val="nil"/>
              <w:bottom w:val="single" w:sz="4" w:space="0" w:color="auto"/>
              <w:right w:val="single" w:sz="4" w:space="0" w:color="auto"/>
            </w:tcBorders>
            <w:shd w:val="clear" w:color="auto" w:fill="auto"/>
            <w:noWrap/>
            <w:textDirection w:val="tbRl"/>
            <w:vAlign w:val="center"/>
            <w:hideMark/>
          </w:tcPr>
          <w:p w:rsidR="00C323D4" w:rsidRPr="00DD2A86" w:rsidRDefault="00C323D4" w:rsidP="00C323D4">
            <w:pPr>
              <w:suppressAutoHyphens w:val="0"/>
              <w:spacing w:line="240" w:lineRule="auto"/>
              <w:jc w:val="center"/>
              <w:rPr>
                <w:rFonts w:ascii="Arial" w:hAnsi="Arial" w:cs="Arial"/>
                <w:color w:val="000000"/>
                <w:sz w:val="16"/>
                <w:szCs w:val="16"/>
                <w:lang w:val="de-DE" w:eastAsia="de-DE"/>
              </w:rPr>
            </w:pPr>
            <w:r w:rsidRPr="00DD2A86">
              <w:rPr>
                <w:rFonts w:ascii="Arial" w:hAnsi="Arial" w:cs="Arial"/>
                <w:color w:val="000000"/>
                <w:sz w:val="16"/>
                <w:szCs w:val="16"/>
                <w:lang w:val="de-DE" w:eastAsia="de-DE"/>
              </w:rPr>
              <w:t>relative Dichte bei 20 ºC</w:t>
            </w:r>
          </w:p>
        </w:tc>
        <w:tc>
          <w:tcPr>
            <w:tcW w:w="524" w:type="dxa"/>
            <w:tcBorders>
              <w:top w:val="nil"/>
              <w:left w:val="nil"/>
              <w:bottom w:val="single" w:sz="4" w:space="0" w:color="auto"/>
              <w:right w:val="single" w:sz="4" w:space="0" w:color="auto"/>
            </w:tcBorders>
            <w:shd w:val="clear" w:color="auto" w:fill="auto"/>
            <w:textDirection w:val="tbRl"/>
            <w:vAlign w:val="center"/>
            <w:hideMark/>
          </w:tcPr>
          <w:p w:rsidR="00C323D4" w:rsidRPr="00DD2A86" w:rsidRDefault="00C323D4" w:rsidP="00C323D4">
            <w:pPr>
              <w:suppressAutoHyphens w:val="0"/>
              <w:spacing w:line="240" w:lineRule="auto"/>
              <w:jc w:val="center"/>
              <w:rPr>
                <w:rFonts w:ascii="Arial" w:hAnsi="Arial" w:cs="Arial"/>
                <w:color w:val="000000"/>
                <w:sz w:val="16"/>
                <w:szCs w:val="16"/>
                <w:lang w:val="de-DE" w:eastAsia="de-DE"/>
              </w:rPr>
            </w:pPr>
            <w:r w:rsidRPr="00DD2A86">
              <w:rPr>
                <w:rFonts w:ascii="Arial" w:hAnsi="Arial" w:cs="Arial"/>
                <w:color w:val="000000"/>
                <w:sz w:val="16"/>
                <w:szCs w:val="16"/>
                <w:lang w:val="de-DE" w:eastAsia="de-DE"/>
              </w:rPr>
              <w:t>Art der</w:t>
            </w:r>
            <w:r w:rsidRPr="00DD2A86">
              <w:rPr>
                <w:rFonts w:ascii="Arial" w:hAnsi="Arial" w:cs="Arial"/>
                <w:color w:val="000000"/>
                <w:sz w:val="16"/>
                <w:szCs w:val="16"/>
                <w:lang w:val="de-DE" w:eastAsia="de-DE"/>
              </w:rPr>
              <w:br/>
              <w:t>Probeentnahmeeinrichtung</w:t>
            </w:r>
          </w:p>
        </w:tc>
        <w:tc>
          <w:tcPr>
            <w:tcW w:w="524" w:type="dxa"/>
            <w:tcBorders>
              <w:top w:val="nil"/>
              <w:left w:val="nil"/>
              <w:bottom w:val="single" w:sz="4" w:space="0" w:color="auto"/>
              <w:right w:val="single" w:sz="4" w:space="0" w:color="auto"/>
            </w:tcBorders>
            <w:shd w:val="clear" w:color="auto" w:fill="auto"/>
            <w:textDirection w:val="tbRl"/>
            <w:vAlign w:val="center"/>
            <w:hideMark/>
          </w:tcPr>
          <w:p w:rsidR="00C323D4" w:rsidRPr="00DD2A86" w:rsidRDefault="00C323D4" w:rsidP="00C323D4">
            <w:pPr>
              <w:suppressAutoHyphens w:val="0"/>
              <w:spacing w:line="240" w:lineRule="auto"/>
              <w:jc w:val="center"/>
              <w:rPr>
                <w:rFonts w:ascii="Arial" w:hAnsi="Arial" w:cs="Arial"/>
                <w:color w:val="000000"/>
                <w:sz w:val="16"/>
                <w:szCs w:val="16"/>
                <w:lang w:val="de-DE" w:eastAsia="de-DE"/>
              </w:rPr>
            </w:pPr>
            <w:r w:rsidRPr="00DD2A86">
              <w:rPr>
                <w:rFonts w:ascii="Arial" w:hAnsi="Arial" w:cs="Arial"/>
                <w:color w:val="000000"/>
                <w:sz w:val="16"/>
                <w:szCs w:val="16"/>
                <w:lang w:val="de-DE" w:eastAsia="de-DE"/>
              </w:rPr>
              <w:t>Pumpenraum unter Deck</w:t>
            </w:r>
            <w:r w:rsidRPr="00DD2A86">
              <w:rPr>
                <w:rFonts w:ascii="Arial" w:hAnsi="Arial" w:cs="Arial"/>
                <w:color w:val="000000"/>
                <w:sz w:val="16"/>
                <w:szCs w:val="16"/>
                <w:lang w:val="de-DE" w:eastAsia="de-DE"/>
              </w:rPr>
              <w:br/>
              <w:t>erlaubt</w:t>
            </w:r>
          </w:p>
        </w:tc>
        <w:tc>
          <w:tcPr>
            <w:tcW w:w="469" w:type="dxa"/>
            <w:tcBorders>
              <w:top w:val="nil"/>
              <w:left w:val="nil"/>
              <w:bottom w:val="single" w:sz="4" w:space="0" w:color="auto"/>
              <w:right w:val="single" w:sz="4" w:space="0" w:color="auto"/>
            </w:tcBorders>
            <w:shd w:val="clear" w:color="auto" w:fill="auto"/>
            <w:noWrap/>
            <w:textDirection w:val="tbRl"/>
            <w:vAlign w:val="center"/>
            <w:hideMark/>
          </w:tcPr>
          <w:p w:rsidR="00C323D4" w:rsidRPr="00DD2A86" w:rsidRDefault="00C323D4" w:rsidP="00C323D4">
            <w:pPr>
              <w:suppressAutoHyphens w:val="0"/>
              <w:spacing w:line="240" w:lineRule="auto"/>
              <w:jc w:val="center"/>
              <w:rPr>
                <w:rFonts w:ascii="Arial" w:hAnsi="Arial" w:cs="Arial"/>
                <w:color w:val="000000"/>
                <w:sz w:val="16"/>
                <w:szCs w:val="16"/>
                <w:lang w:val="de-DE" w:eastAsia="de-DE"/>
              </w:rPr>
            </w:pPr>
            <w:r w:rsidRPr="00DD2A86">
              <w:rPr>
                <w:rFonts w:ascii="Arial" w:hAnsi="Arial" w:cs="Arial"/>
                <w:color w:val="000000"/>
                <w:sz w:val="16"/>
                <w:szCs w:val="16"/>
                <w:lang w:val="de-DE" w:eastAsia="de-DE"/>
              </w:rPr>
              <w:t>Temperaturklasse</w:t>
            </w:r>
          </w:p>
        </w:tc>
        <w:tc>
          <w:tcPr>
            <w:tcW w:w="599" w:type="dxa"/>
            <w:tcBorders>
              <w:top w:val="nil"/>
              <w:left w:val="nil"/>
              <w:bottom w:val="single" w:sz="4" w:space="0" w:color="auto"/>
              <w:right w:val="single" w:sz="4" w:space="0" w:color="auto"/>
            </w:tcBorders>
            <w:shd w:val="clear" w:color="auto" w:fill="auto"/>
            <w:noWrap/>
            <w:textDirection w:val="tbRl"/>
            <w:vAlign w:val="center"/>
            <w:hideMark/>
          </w:tcPr>
          <w:p w:rsidR="00C323D4" w:rsidRPr="00DD2A86" w:rsidRDefault="00C323D4" w:rsidP="00C323D4">
            <w:pPr>
              <w:suppressAutoHyphens w:val="0"/>
              <w:spacing w:line="240" w:lineRule="auto"/>
              <w:jc w:val="center"/>
              <w:rPr>
                <w:rFonts w:ascii="Arial" w:hAnsi="Arial" w:cs="Arial"/>
                <w:color w:val="000000"/>
                <w:sz w:val="16"/>
                <w:szCs w:val="16"/>
                <w:lang w:val="de-DE" w:eastAsia="de-DE"/>
              </w:rPr>
            </w:pPr>
            <w:r w:rsidRPr="00DD2A86">
              <w:rPr>
                <w:rFonts w:ascii="Arial" w:hAnsi="Arial" w:cs="Arial"/>
                <w:color w:val="000000"/>
                <w:sz w:val="16"/>
                <w:szCs w:val="16"/>
                <w:lang w:val="de-DE" w:eastAsia="de-DE"/>
              </w:rPr>
              <w:t>Explosionsgruppe</w:t>
            </w:r>
          </w:p>
        </w:tc>
        <w:tc>
          <w:tcPr>
            <w:tcW w:w="524" w:type="dxa"/>
            <w:tcBorders>
              <w:top w:val="nil"/>
              <w:left w:val="nil"/>
              <w:bottom w:val="single" w:sz="4" w:space="0" w:color="auto"/>
              <w:right w:val="single" w:sz="4" w:space="0" w:color="auto"/>
            </w:tcBorders>
            <w:shd w:val="clear" w:color="auto" w:fill="auto"/>
            <w:textDirection w:val="tbRl"/>
            <w:vAlign w:val="center"/>
            <w:hideMark/>
          </w:tcPr>
          <w:p w:rsidR="00C323D4" w:rsidRPr="00DD2A86" w:rsidRDefault="00C323D4" w:rsidP="00C323D4">
            <w:pPr>
              <w:suppressAutoHyphens w:val="0"/>
              <w:spacing w:line="240" w:lineRule="auto"/>
              <w:jc w:val="center"/>
              <w:rPr>
                <w:rFonts w:ascii="Arial" w:hAnsi="Arial" w:cs="Arial"/>
                <w:color w:val="000000"/>
                <w:sz w:val="16"/>
                <w:szCs w:val="16"/>
                <w:lang w:val="de-DE" w:eastAsia="de-DE"/>
              </w:rPr>
            </w:pPr>
            <w:r w:rsidRPr="00DD2A86">
              <w:rPr>
                <w:rFonts w:ascii="Arial" w:hAnsi="Arial" w:cs="Arial"/>
                <w:color w:val="000000"/>
                <w:sz w:val="16"/>
                <w:szCs w:val="16"/>
                <w:lang w:val="de-DE" w:eastAsia="de-DE"/>
              </w:rPr>
              <w:t>Explosionsschutz</w:t>
            </w:r>
            <w:r w:rsidRPr="00DD2A86">
              <w:rPr>
                <w:rFonts w:ascii="Arial" w:hAnsi="Arial" w:cs="Arial"/>
                <w:color w:val="000000"/>
                <w:sz w:val="16"/>
                <w:szCs w:val="16"/>
                <w:lang w:val="de-DE" w:eastAsia="de-DE"/>
              </w:rPr>
              <w:br/>
              <w:t>erforderlich</w:t>
            </w:r>
          </w:p>
        </w:tc>
        <w:tc>
          <w:tcPr>
            <w:tcW w:w="660" w:type="dxa"/>
            <w:tcBorders>
              <w:top w:val="nil"/>
              <w:left w:val="nil"/>
              <w:bottom w:val="single" w:sz="4" w:space="0" w:color="auto"/>
              <w:right w:val="single" w:sz="4" w:space="0" w:color="auto"/>
            </w:tcBorders>
            <w:shd w:val="clear" w:color="auto" w:fill="auto"/>
            <w:textDirection w:val="tbRl"/>
            <w:vAlign w:val="center"/>
            <w:hideMark/>
          </w:tcPr>
          <w:p w:rsidR="00C323D4" w:rsidRPr="00DD2A86" w:rsidRDefault="00C323D4" w:rsidP="00C323D4">
            <w:pPr>
              <w:suppressAutoHyphens w:val="0"/>
              <w:spacing w:line="240" w:lineRule="auto"/>
              <w:jc w:val="center"/>
              <w:rPr>
                <w:rFonts w:ascii="Arial" w:hAnsi="Arial" w:cs="Arial"/>
                <w:color w:val="000000"/>
                <w:sz w:val="16"/>
                <w:szCs w:val="16"/>
                <w:lang w:val="de-DE" w:eastAsia="de-DE"/>
              </w:rPr>
            </w:pPr>
            <w:r w:rsidRPr="00DD2A86">
              <w:rPr>
                <w:rFonts w:ascii="Arial" w:hAnsi="Arial" w:cs="Arial"/>
                <w:color w:val="000000"/>
                <w:sz w:val="16"/>
                <w:szCs w:val="16"/>
                <w:lang w:val="de-DE" w:eastAsia="de-DE"/>
              </w:rPr>
              <w:t>Ausrüstung</w:t>
            </w:r>
            <w:r w:rsidRPr="00DD2A86">
              <w:rPr>
                <w:rFonts w:ascii="Arial" w:hAnsi="Arial" w:cs="Arial"/>
                <w:color w:val="000000"/>
                <w:sz w:val="16"/>
                <w:szCs w:val="16"/>
                <w:lang w:val="de-DE" w:eastAsia="de-DE"/>
              </w:rPr>
              <w:br/>
              <w:t>erforderlich</w:t>
            </w:r>
          </w:p>
        </w:tc>
        <w:tc>
          <w:tcPr>
            <w:tcW w:w="440" w:type="dxa"/>
            <w:tcBorders>
              <w:top w:val="nil"/>
              <w:left w:val="nil"/>
              <w:bottom w:val="single" w:sz="4" w:space="0" w:color="auto"/>
              <w:right w:val="single" w:sz="4" w:space="0" w:color="auto"/>
            </w:tcBorders>
            <w:shd w:val="clear" w:color="auto" w:fill="auto"/>
            <w:textDirection w:val="tbRl"/>
            <w:vAlign w:val="center"/>
            <w:hideMark/>
          </w:tcPr>
          <w:p w:rsidR="00C323D4" w:rsidRPr="00DD2A86" w:rsidRDefault="00C323D4" w:rsidP="00C323D4">
            <w:pPr>
              <w:suppressAutoHyphens w:val="0"/>
              <w:spacing w:line="240" w:lineRule="auto"/>
              <w:jc w:val="center"/>
              <w:rPr>
                <w:rFonts w:ascii="Arial" w:hAnsi="Arial" w:cs="Arial"/>
                <w:color w:val="000000"/>
                <w:sz w:val="16"/>
                <w:szCs w:val="16"/>
                <w:lang w:val="de-DE" w:eastAsia="de-DE"/>
              </w:rPr>
            </w:pPr>
            <w:r w:rsidRPr="00DD2A86">
              <w:rPr>
                <w:rFonts w:ascii="Arial" w:hAnsi="Arial" w:cs="Arial"/>
                <w:color w:val="000000"/>
                <w:sz w:val="16"/>
                <w:szCs w:val="16"/>
                <w:lang w:val="de-DE" w:eastAsia="de-DE"/>
              </w:rPr>
              <w:t>Anzahl der Kegel/Lichter</w:t>
            </w:r>
          </w:p>
        </w:tc>
        <w:tc>
          <w:tcPr>
            <w:tcW w:w="1240" w:type="dxa"/>
            <w:tcBorders>
              <w:top w:val="nil"/>
              <w:left w:val="nil"/>
              <w:bottom w:val="single" w:sz="4" w:space="0" w:color="auto"/>
              <w:right w:val="single" w:sz="4" w:space="0" w:color="auto"/>
            </w:tcBorders>
            <w:shd w:val="clear" w:color="auto" w:fill="auto"/>
            <w:textDirection w:val="tbRl"/>
            <w:vAlign w:val="center"/>
            <w:hideMark/>
          </w:tcPr>
          <w:p w:rsidR="00C323D4" w:rsidRPr="00DD2A86" w:rsidRDefault="00C323D4" w:rsidP="00C323D4">
            <w:pPr>
              <w:suppressAutoHyphens w:val="0"/>
              <w:spacing w:line="240" w:lineRule="auto"/>
              <w:jc w:val="center"/>
              <w:rPr>
                <w:rFonts w:ascii="Arial" w:hAnsi="Arial" w:cs="Arial"/>
                <w:color w:val="000000"/>
                <w:sz w:val="16"/>
                <w:szCs w:val="16"/>
                <w:lang w:val="de-DE" w:eastAsia="de-DE"/>
              </w:rPr>
            </w:pPr>
            <w:r w:rsidRPr="00DD2A86">
              <w:rPr>
                <w:rFonts w:ascii="Arial" w:hAnsi="Arial" w:cs="Arial"/>
                <w:color w:val="000000"/>
                <w:sz w:val="16"/>
                <w:szCs w:val="16"/>
                <w:lang w:val="de-DE" w:eastAsia="de-DE"/>
              </w:rPr>
              <w:t>zusätzliche Anforderungen</w:t>
            </w:r>
            <w:r w:rsidRPr="00DD2A86">
              <w:rPr>
                <w:rFonts w:ascii="Arial" w:hAnsi="Arial" w:cs="Arial"/>
                <w:color w:val="000000"/>
                <w:sz w:val="16"/>
                <w:szCs w:val="16"/>
                <w:lang w:val="de-DE" w:eastAsia="de-DE"/>
              </w:rPr>
              <w:br/>
              <w:t>oder Bemerkungen</w:t>
            </w:r>
          </w:p>
        </w:tc>
      </w:tr>
      <w:tr w:rsidR="00C323D4" w:rsidRPr="00DD2A86" w:rsidTr="00E941A1">
        <w:trPr>
          <w:cantSplit/>
          <w:trHeight w:val="675"/>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1148</w:t>
            </w:r>
          </w:p>
        </w:tc>
        <w:tc>
          <w:tcPr>
            <w:tcW w:w="3375"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DIACETONALKOHOL, chemisch rein</w:t>
            </w:r>
          </w:p>
        </w:tc>
        <w:tc>
          <w:tcPr>
            <w:tcW w:w="425"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III</w:t>
            </w:r>
          </w:p>
        </w:tc>
        <w:tc>
          <w:tcPr>
            <w:tcW w:w="14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N</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97</w:t>
            </w:r>
          </w:p>
        </w:tc>
        <w:tc>
          <w:tcPr>
            <w:tcW w:w="70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0,93</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T1</w:t>
            </w:r>
          </w:p>
        </w:tc>
        <w:tc>
          <w:tcPr>
            <w:tcW w:w="59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A</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PP, EX, A</w:t>
            </w:r>
          </w:p>
        </w:tc>
        <w:tc>
          <w:tcPr>
            <w:tcW w:w="44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0</w:t>
            </w:r>
          </w:p>
        </w:tc>
        <w:tc>
          <w:tcPr>
            <w:tcW w:w="12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p>
        </w:tc>
      </w:tr>
      <w:tr w:rsidR="00C323D4" w:rsidRPr="00DD2A86" w:rsidTr="00E941A1">
        <w:trPr>
          <w:cantSplit/>
          <w:trHeight w:val="675"/>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1203</w:t>
            </w:r>
          </w:p>
        </w:tc>
        <w:tc>
          <w:tcPr>
            <w:tcW w:w="3375"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 xml:space="preserve">BENZIN oder OTTOKRAFTSTOFF, </w:t>
            </w:r>
            <w:r w:rsidRPr="00DD2A86">
              <w:rPr>
                <w:rFonts w:ascii="Arial" w:hAnsi="Arial" w:cs="Arial"/>
                <w:sz w:val="16"/>
                <w:szCs w:val="16"/>
                <w:lang w:val="de-DE"/>
              </w:rPr>
              <w:br/>
              <w:t>MIT MEHR ALS 10 % BENZEN</w:t>
            </w:r>
          </w:p>
        </w:tc>
        <w:tc>
          <w:tcPr>
            <w:tcW w:w="425"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w:t>
            </w:r>
          </w:p>
        </w:tc>
        <w:tc>
          <w:tcPr>
            <w:tcW w:w="14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3+N2+CMR+F</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T3</w:t>
            </w:r>
          </w:p>
        </w:tc>
        <w:tc>
          <w:tcPr>
            <w:tcW w:w="59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A</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4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*siehe 3.2.3.3</w:t>
            </w:r>
          </w:p>
        </w:tc>
      </w:tr>
      <w:tr w:rsidR="00C323D4" w:rsidRPr="00DD2A86" w:rsidTr="00E941A1">
        <w:trPr>
          <w:cantSplit/>
          <w:trHeight w:val="675"/>
        </w:trPr>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1224</w:t>
            </w:r>
          </w:p>
        </w:tc>
        <w:tc>
          <w:tcPr>
            <w:tcW w:w="3375" w:type="dxa"/>
            <w:tcBorders>
              <w:top w:val="single" w:sz="4" w:space="0" w:color="auto"/>
              <w:left w:val="nil"/>
              <w:bottom w:val="single" w:sz="4" w:space="0" w:color="auto"/>
              <w:right w:val="single" w:sz="4" w:space="0" w:color="auto"/>
            </w:tcBorders>
            <w:shd w:val="clear" w:color="auto" w:fill="auto"/>
            <w:hideMark/>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 xml:space="preserve">KETONE, FLÜSSIG, N.A.G. </w:t>
            </w:r>
          </w:p>
        </w:tc>
        <w:tc>
          <w:tcPr>
            <w:tcW w:w="425" w:type="dxa"/>
            <w:tcBorders>
              <w:top w:val="single" w:sz="4" w:space="0" w:color="auto"/>
              <w:left w:val="nil"/>
              <w:bottom w:val="single" w:sz="4" w:space="0" w:color="auto"/>
              <w:right w:val="single" w:sz="4" w:space="0" w:color="auto"/>
            </w:tcBorders>
            <w:shd w:val="clear" w:color="auto" w:fill="auto"/>
            <w:noWrap/>
            <w:hideMark/>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single" w:sz="4" w:space="0" w:color="auto"/>
              <w:left w:val="nil"/>
              <w:bottom w:val="single" w:sz="4" w:space="0" w:color="auto"/>
              <w:right w:val="single" w:sz="4" w:space="0" w:color="auto"/>
            </w:tcBorders>
            <w:shd w:val="clear" w:color="auto" w:fill="auto"/>
            <w:noWrap/>
            <w:hideMark/>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single" w:sz="4" w:space="0" w:color="auto"/>
              <w:left w:val="nil"/>
              <w:bottom w:val="single" w:sz="4" w:space="0" w:color="auto"/>
              <w:right w:val="single" w:sz="4" w:space="0" w:color="auto"/>
            </w:tcBorders>
            <w:shd w:val="clear" w:color="auto" w:fill="auto"/>
            <w:noWrap/>
            <w:hideMark/>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w:t>
            </w:r>
          </w:p>
        </w:tc>
        <w:tc>
          <w:tcPr>
            <w:tcW w:w="1440" w:type="dxa"/>
            <w:tcBorders>
              <w:top w:val="single" w:sz="4" w:space="0" w:color="auto"/>
              <w:left w:val="nil"/>
              <w:bottom w:val="single" w:sz="4" w:space="0" w:color="auto"/>
              <w:right w:val="single" w:sz="4" w:space="0" w:color="auto"/>
            </w:tcBorders>
            <w:shd w:val="clear" w:color="auto" w:fill="auto"/>
            <w:hideMark/>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3+(N1, N2, N3, </w:t>
            </w:r>
            <w:r w:rsidRPr="00DD2A86">
              <w:rPr>
                <w:rFonts w:ascii="Arial" w:hAnsi="Arial" w:cs="Arial"/>
                <w:sz w:val="16"/>
                <w:szCs w:val="16"/>
              </w:rPr>
              <w:br/>
              <w:t>CMR, F oder S)</w:t>
            </w:r>
          </w:p>
        </w:tc>
        <w:tc>
          <w:tcPr>
            <w:tcW w:w="400" w:type="dxa"/>
            <w:tcBorders>
              <w:top w:val="single" w:sz="4" w:space="0" w:color="auto"/>
              <w:left w:val="nil"/>
              <w:bottom w:val="single" w:sz="4" w:space="0" w:color="auto"/>
              <w:right w:val="single" w:sz="4" w:space="0" w:color="auto"/>
            </w:tcBorders>
            <w:shd w:val="clear" w:color="auto" w:fill="auto"/>
            <w:noWrap/>
            <w:hideMark/>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single" w:sz="4" w:space="0" w:color="auto"/>
              <w:left w:val="nil"/>
              <w:bottom w:val="single" w:sz="4" w:space="0" w:color="auto"/>
              <w:right w:val="single" w:sz="4" w:space="0" w:color="auto"/>
            </w:tcBorders>
            <w:shd w:val="clear" w:color="auto" w:fill="auto"/>
            <w:noWrap/>
            <w:hideMark/>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single" w:sz="4" w:space="0" w:color="auto"/>
              <w:left w:val="nil"/>
              <w:bottom w:val="single" w:sz="4" w:space="0" w:color="auto"/>
              <w:right w:val="single" w:sz="4" w:space="0" w:color="auto"/>
            </w:tcBorders>
            <w:shd w:val="clear" w:color="auto" w:fill="auto"/>
            <w:noWrap/>
            <w:hideMark/>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single" w:sz="4" w:space="0" w:color="auto"/>
              <w:left w:val="nil"/>
              <w:bottom w:val="single" w:sz="4" w:space="0" w:color="auto"/>
              <w:right w:val="single" w:sz="4" w:space="0" w:color="auto"/>
            </w:tcBorders>
            <w:shd w:val="clear" w:color="auto" w:fill="auto"/>
            <w:noWrap/>
            <w:hideMark/>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hideMark/>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hideMark/>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single" w:sz="4" w:space="0" w:color="auto"/>
              <w:left w:val="nil"/>
              <w:bottom w:val="single" w:sz="4" w:space="0" w:color="auto"/>
              <w:right w:val="single" w:sz="4" w:space="0" w:color="auto"/>
            </w:tcBorders>
            <w:shd w:val="clear" w:color="auto" w:fill="auto"/>
            <w:hideMark/>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single" w:sz="4" w:space="0" w:color="auto"/>
              <w:left w:val="nil"/>
              <w:bottom w:val="single" w:sz="4" w:space="0" w:color="auto"/>
              <w:right w:val="single" w:sz="4" w:space="0" w:color="auto"/>
            </w:tcBorders>
            <w:shd w:val="clear" w:color="auto" w:fill="auto"/>
            <w:noWrap/>
            <w:hideMark/>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noWrap/>
            <w:hideMark/>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single" w:sz="4" w:space="0" w:color="auto"/>
              <w:left w:val="nil"/>
              <w:bottom w:val="single" w:sz="4" w:space="0" w:color="auto"/>
              <w:right w:val="single" w:sz="4" w:space="0" w:color="auto"/>
            </w:tcBorders>
            <w:shd w:val="clear" w:color="auto" w:fill="auto"/>
            <w:noWrap/>
            <w:hideMark/>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single" w:sz="4" w:space="0" w:color="auto"/>
              <w:left w:val="nil"/>
              <w:bottom w:val="single" w:sz="4" w:space="0" w:color="auto"/>
              <w:right w:val="single" w:sz="4" w:space="0" w:color="auto"/>
            </w:tcBorders>
            <w:shd w:val="clear" w:color="auto" w:fill="auto"/>
            <w:noWrap/>
            <w:hideMark/>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single" w:sz="4" w:space="0" w:color="auto"/>
              <w:left w:val="nil"/>
              <w:bottom w:val="single" w:sz="4" w:space="0" w:color="auto"/>
              <w:right w:val="single" w:sz="4" w:space="0" w:color="auto"/>
            </w:tcBorders>
            <w:shd w:val="clear" w:color="auto" w:fill="auto"/>
            <w:noWrap/>
            <w:hideMark/>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single" w:sz="4" w:space="0" w:color="auto"/>
              <w:left w:val="nil"/>
              <w:bottom w:val="single" w:sz="4" w:space="0" w:color="auto"/>
              <w:right w:val="single" w:sz="4" w:space="0" w:color="auto"/>
            </w:tcBorders>
            <w:shd w:val="clear" w:color="auto" w:fill="auto"/>
            <w:hideMark/>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40" w:type="dxa"/>
            <w:tcBorders>
              <w:top w:val="single" w:sz="4" w:space="0" w:color="auto"/>
              <w:left w:val="nil"/>
              <w:bottom w:val="single" w:sz="4" w:space="0" w:color="auto"/>
              <w:right w:val="single" w:sz="4" w:space="0" w:color="auto"/>
            </w:tcBorders>
            <w:shd w:val="clear" w:color="auto" w:fill="auto"/>
            <w:noWrap/>
            <w:hideMark/>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single" w:sz="4" w:space="0" w:color="auto"/>
              <w:left w:val="nil"/>
              <w:bottom w:val="single" w:sz="4" w:space="0" w:color="auto"/>
              <w:right w:val="single" w:sz="4" w:space="0" w:color="auto"/>
            </w:tcBorders>
            <w:shd w:val="clear" w:color="auto" w:fill="auto"/>
            <w:hideMark/>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14; 27; 29; 44</w:t>
            </w:r>
            <w:r w:rsidRPr="00DD2A86">
              <w:rPr>
                <w:rFonts w:ascii="Arial" w:hAnsi="Arial" w:cs="Arial"/>
                <w:sz w:val="16"/>
                <w:szCs w:val="16"/>
              </w:rPr>
              <w:br/>
              <w:t>*siehe 3.2.3.3</w:t>
            </w:r>
          </w:p>
        </w:tc>
      </w:tr>
      <w:tr w:rsidR="00C323D4" w:rsidRPr="00DD2A86" w:rsidTr="00E941A1">
        <w:trPr>
          <w:cantSplit/>
          <w:trHeight w:val="675"/>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1224</w:t>
            </w:r>
          </w:p>
        </w:tc>
        <w:tc>
          <w:tcPr>
            <w:tcW w:w="3375"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 xml:space="preserve">KETONE, FLÜSSIG, N.A.G. </w:t>
            </w:r>
          </w:p>
        </w:tc>
        <w:tc>
          <w:tcPr>
            <w:tcW w:w="425"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III</w:t>
            </w:r>
          </w:p>
        </w:tc>
        <w:tc>
          <w:tcPr>
            <w:tcW w:w="14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3+(N1, N2, N3, </w:t>
            </w:r>
            <w:r w:rsidRPr="00DD2A86">
              <w:rPr>
                <w:rFonts w:ascii="Arial" w:hAnsi="Arial" w:cs="Arial"/>
                <w:sz w:val="16"/>
                <w:szCs w:val="16"/>
              </w:rPr>
              <w:br/>
              <w:t>CMR, F oder S)</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4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0</w:t>
            </w:r>
          </w:p>
        </w:tc>
        <w:tc>
          <w:tcPr>
            <w:tcW w:w="12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14; 27; 44</w:t>
            </w:r>
            <w:r w:rsidRPr="00DD2A86">
              <w:rPr>
                <w:rFonts w:ascii="Arial" w:hAnsi="Arial" w:cs="Arial"/>
                <w:sz w:val="16"/>
                <w:szCs w:val="16"/>
              </w:rPr>
              <w:br/>
              <w:t>*siehe 3.2.3.3</w:t>
            </w:r>
          </w:p>
        </w:tc>
      </w:tr>
      <w:tr w:rsidR="00C323D4" w:rsidRPr="00DD2A86" w:rsidTr="00E941A1">
        <w:trPr>
          <w:cantSplit/>
          <w:trHeight w:val="675"/>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1267</w:t>
            </w:r>
          </w:p>
        </w:tc>
        <w:tc>
          <w:tcPr>
            <w:tcW w:w="3375"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ROHERDÖL</w:t>
            </w:r>
          </w:p>
        </w:tc>
        <w:tc>
          <w:tcPr>
            <w:tcW w:w="425"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w:t>
            </w:r>
          </w:p>
        </w:tc>
        <w:tc>
          <w:tcPr>
            <w:tcW w:w="14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3+(N1, N2, N3, </w:t>
            </w:r>
            <w:r w:rsidRPr="00DD2A86">
              <w:rPr>
                <w:rFonts w:ascii="Arial" w:hAnsi="Arial" w:cs="Arial"/>
                <w:sz w:val="16"/>
                <w:szCs w:val="16"/>
              </w:rPr>
              <w:br/>
              <w:t>CMR, F)</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4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14; 44</w:t>
            </w:r>
            <w:r w:rsidRPr="00DD2A86">
              <w:rPr>
                <w:rFonts w:ascii="Arial" w:hAnsi="Arial" w:cs="Arial"/>
                <w:sz w:val="16"/>
                <w:szCs w:val="16"/>
              </w:rPr>
              <w:br/>
              <w:t>*siehe 3.2.3.3</w:t>
            </w:r>
          </w:p>
        </w:tc>
      </w:tr>
      <w:tr w:rsidR="00C323D4" w:rsidRPr="00DD2A86" w:rsidTr="00E941A1">
        <w:trPr>
          <w:cantSplit/>
          <w:trHeight w:val="675"/>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1267</w:t>
            </w:r>
          </w:p>
        </w:tc>
        <w:tc>
          <w:tcPr>
            <w:tcW w:w="3375"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ROHERDÖL</w:t>
            </w:r>
          </w:p>
        </w:tc>
        <w:tc>
          <w:tcPr>
            <w:tcW w:w="425"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w:t>
            </w:r>
          </w:p>
        </w:tc>
        <w:tc>
          <w:tcPr>
            <w:tcW w:w="14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3+(N1, N2, N3, </w:t>
            </w:r>
            <w:r w:rsidRPr="00DD2A86">
              <w:rPr>
                <w:rFonts w:ascii="Arial" w:hAnsi="Arial" w:cs="Arial"/>
                <w:sz w:val="16"/>
                <w:szCs w:val="16"/>
              </w:rPr>
              <w:br/>
              <w:t>CMR, F)</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4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14; 44</w:t>
            </w:r>
            <w:r w:rsidRPr="00DD2A86">
              <w:rPr>
                <w:rFonts w:ascii="Arial" w:hAnsi="Arial" w:cs="Arial"/>
                <w:sz w:val="16"/>
                <w:szCs w:val="16"/>
              </w:rPr>
              <w:b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1267</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ROHERDÖL</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3+(N1, N2, N3, </w:t>
            </w:r>
            <w:r w:rsidRPr="00DD2A86">
              <w:rPr>
                <w:rFonts w:ascii="Arial" w:hAnsi="Arial" w:cs="Arial"/>
                <w:sz w:val="16"/>
                <w:szCs w:val="16"/>
              </w:rPr>
              <w:br/>
              <w:t>CMR, F)</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0</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14; 44</w:t>
            </w:r>
            <w:r w:rsidRPr="00DD2A86">
              <w:rPr>
                <w:rFonts w:ascii="Arial" w:hAnsi="Arial" w:cs="Arial"/>
                <w:sz w:val="16"/>
                <w:szCs w:val="16"/>
              </w:rPr>
              <w:b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1267</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ROHERDÖL MIT MEHR ALS 10 % BENZEN</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3+CMR+F+(N1, N2, N3)</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1267</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ROHERDÖL MIT MEHR ALS 10 % BENZEN</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3+CMR+F+(N1, N2, N3)</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44</w:t>
            </w:r>
            <w:r w:rsidRPr="00DD2A86">
              <w:rPr>
                <w:rFonts w:ascii="Arial" w:hAnsi="Arial" w:cs="Arial"/>
                <w:sz w:val="16"/>
                <w:szCs w:val="16"/>
              </w:rPr>
              <w:b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1267</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ROHERDÖL MIT MEHR ALS 10 % BENZEN</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3+CMR+F+(N1, N2, N3)</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1267</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ROHERDÖL MIT MEHR ALS 10 % BENZEN</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3+CMR+F+(N1, N2, N3)</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44</w:t>
            </w:r>
            <w:r w:rsidRPr="00DD2A86">
              <w:rPr>
                <w:rFonts w:ascii="Arial" w:hAnsi="Arial" w:cs="Arial"/>
                <w:sz w:val="16"/>
                <w:szCs w:val="16"/>
              </w:rPr>
              <w:b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1267</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ROHERDÖL MIT MEHR ALS 10 % BENZEN</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3+CMR+F+(N1, N2, N3)</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0</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1267</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ROHERDÖL MIT MEHR ALS 10 % BENZEN</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3+CMR+F+(N1, N2, N3)</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0</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44</w:t>
            </w:r>
            <w:r w:rsidRPr="00DD2A86">
              <w:rPr>
                <w:rFonts w:ascii="Arial" w:hAnsi="Arial" w:cs="Arial"/>
                <w:sz w:val="16"/>
                <w:szCs w:val="16"/>
              </w:rPr>
              <w:b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1267</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ROHERDÖL MIT MEHR ALS 10 % BENZEN</w:t>
            </w:r>
            <w:r w:rsidRPr="00DD2A86">
              <w:rPr>
                <w:rFonts w:ascii="Arial" w:hAnsi="Arial" w:cs="Arial"/>
                <w:sz w:val="16"/>
                <w:szCs w:val="16"/>
                <w:lang w:val="de-DE"/>
              </w:rPr>
              <w:br/>
              <w:t>SIEDEBEGINN ≤ 60 °C</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3+CMR+F+(N1, N2, N3)</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29; 43; 44</w:t>
            </w:r>
          </w:p>
        </w:tc>
      </w:tr>
      <w:tr w:rsidR="00C323D4" w:rsidRPr="00DD2A86" w:rsidTr="00E941A1">
        <w:trPr>
          <w:cantSplit/>
          <w:trHeight w:val="675"/>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1267</w:t>
            </w:r>
          </w:p>
        </w:tc>
        <w:tc>
          <w:tcPr>
            <w:tcW w:w="3375"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ROHERDÖL MIT MEHR ALS 10 % BENZEN</w:t>
            </w:r>
            <w:r w:rsidRPr="00DD2A86">
              <w:rPr>
                <w:rFonts w:ascii="Arial" w:hAnsi="Arial" w:cs="Arial"/>
                <w:sz w:val="16"/>
                <w:szCs w:val="16"/>
                <w:lang w:val="de-DE"/>
              </w:rPr>
              <w:br/>
              <w:t>SIEDEBEGINN ≤ 60 °C</w:t>
            </w:r>
          </w:p>
        </w:tc>
        <w:tc>
          <w:tcPr>
            <w:tcW w:w="425"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w:t>
            </w:r>
          </w:p>
        </w:tc>
        <w:tc>
          <w:tcPr>
            <w:tcW w:w="14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3+CMR+F+(N1, N2, N3)</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 </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 </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29; 44</w:t>
            </w:r>
          </w:p>
        </w:tc>
      </w:tr>
      <w:tr w:rsidR="00C323D4" w:rsidRPr="00DD2A86" w:rsidTr="00E941A1">
        <w:trPr>
          <w:cantSplit/>
          <w:trHeight w:val="675"/>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1267</w:t>
            </w:r>
          </w:p>
        </w:tc>
        <w:tc>
          <w:tcPr>
            <w:tcW w:w="3375"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ROHERDÖL MIT MEHR ALS 10 % BENZEN</w:t>
            </w:r>
            <w:r w:rsidRPr="00DD2A86">
              <w:rPr>
                <w:rFonts w:ascii="Arial" w:hAnsi="Arial" w:cs="Arial"/>
                <w:sz w:val="16"/>
                <w:szCs w:val="16"/>
                <w:lang w:val="de-DE"/>
              </w:rPr>
              <w:br/>
              <w:t>SIEDEBEGINN  ≤ 60 °C</w:t>
            </w:r>
          </w:p>
        </w:tc>
        <w:tc>
          <w:tcPr>
            <w:tcW w:w="425"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III</w:t>
            </w:r>
          </w:p>
        </w:tc>
        <w:tc>
          <w:tcPr>
            <w:tcW w:w="14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3+CMR+F+(N1, N2, N3)</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0</w:t>
            </w:r>
          </w:p>
        </w:tc>
        <w:tc>
          <w:tcPr>
            <w:tcW w:w="12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29; 44</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1267</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ROHERDÖL MIT MEHR ALS 10 % BENZEN</w:t>
            </w:r>
            <w:r w:rsidRPr="00DD2A86">
              <w:rPr>
                <w:rFonts w:ascii="Arial" w:hAnsi="Arial" w:cs="Arial"/>
                <w:sz w:val="16"/>
                <w:szCs w:val="16"/>
                <w:lang w:val="de-DE"/>
              </w:rPr>
              <w:br/>
              <w:t>60 °C &lt; SIEDEBEGINN ≤ 85 °C</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3+CMR+F+(N1, N2, N3)</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50</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23; 29; 38; 44</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1267</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ROHERDÖL MIT MEHR ALS 10 % BENZEN</w:t>
            </w:r>
            <w:r w:rsidRPr="00DD2A86">
              <w:rPr>
                <w:rFonts w:ascii="Arial" w:hAnsi="Arial" w:cs="Arial"/>
                <w:sz w:val="16"/>
                <w:szCs w:val="16"/>
                <w:lang w:val="de-DE"/>
              </w:rPr>
              <w:br/>
              <w:t>60 °C &lt; SIEDEBEGINN ≤ 85 °C</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3+CMR+F+(N1, N2, N3)</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50</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23; 29; 38; 44</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1267</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ROHERDÖL MIT MEHR ALS 10 % BENZEN</w:t>
            </w:r>
            <w:r w:rsidRPr="00DD2A86">
              <w:rPr>
                <w:rFonts w:ascii="Arial" w:hAnsi="Arial" w:cs="Arial"/>
                <w:sz w:val="16"/>
                <w:szCs w:val="16"/>
                <w:lang w:val="de-DE"/>
              </w:rPr>
              <w:br/>
              <w:t>85 °C &lt; SIEDEBEGINN ≤ 115 °C</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3+CMR+F+(N1, N2, N3)</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50</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29; 44</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1267</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 xml:space="preserve">ROHERDÖL MIT MEHR ALS 10 % BENZEN </w:t>
            </w:r>
            <w:r w:rsidRPr="00DD2A86">
              <w:rPr>
                <w:rFonts w:ascii="Arial" w:hAnsi="Arial" w:cs="Arial"/>
                <w:sz w:val="16"/>
                <w:szCs w:val="16"/>
                <w:lang w:val="de-DE"/>
              </w:rPr>
              <w:br/>
              <w:t>85 °C &lt; SIEDEBEGINN ≤ 115 °C</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3+CMR+F+(N1, N2, N3)</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50</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0</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29; 44</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1267</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ROHERDÖL MIT MEHR ALS 10 % BENZEN</w:t>
            </w:r>
            <w:r w:rsidRPr="00DD2A86">
              <w:rPr>
                <w:rFonts w:ascii="Arial" w:hAnsi="Arial" w:cs="Arial"/>
                <w:sz w:val="16"/>
                <w:szCs w:val="16"/>
                <w:lang w:val="de-DE"/>
              </w:rPr>
              <w:br w:type="page"/>
              <w:t>SIEDEBEGINN  &gt; 115 °C</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3+CMR+F+(N1, N2, N3)</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35</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29; 44</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1267</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ROHERDÖL MIT MEHR ALS 10 % BENZEN</w:t>
            </w:r>
            <w:r w:rsidRPr="00DD2A86">
              <w:rPr>
                <w:rFonts w:ascii="Arial" w:hAnsi="Arial" w:cs="Arial"/>
                <w:sz w:val="16"/>
                <w:szCs w:val="16"/>
                <w:lang w:val="de-DE"/>
              </w:rPr>
              <w:br/>
              <w:t>SIEDEBEGINN &gt; 115 °C</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3+CMR+F+(N1, N2, N3)</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35</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0</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29; 44</w:t>
            </w:r>
          </w:p>
        </w:tc>
      </w:tr>
      <w:tr w:rsidR="00C323D4" w:rsidRPr="00DD2A86" w:rsidTr="00E941A1">
        <w:trPr>
          <w:cantSplit/>
          <w:trHeight w:val="675"/>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1268</w:t>
            </w:r>
          </w:p>
        </w:tc>
        <w:tc>
          <w:tcPr>
            <w:tcW w:w="3375"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ERDÖLDESTILLATE, N.A.G. oder ERDÖLPRODUKTE, N.A.G.</w:t>
            </w:r>
          </w:p>
        </w:tc>
        <w:tc>
          <w:tcPr>
            <w:tcW w:w="425"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w:t>
            </w:r>
          </w:p>
        </w:tc>
        <w:tc>
          <w:tcPr>
            <w:tcW w:w="14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3+(N1, N2, N3, </w:t>
            </w:r>
            <w:r w:rsidRPr="00DD2A86">
              <w:rPr>
                <w:rFonts w:ascii="Arial" w:hAnsi="Arial" w:cs="Arial"/>
                <w:sz w:val="16"/>
                <w:szCs w:val="16"/>
              </w:rPr>
              <w:br/>
              <w:t>CMR, F)</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4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14; 27; 44</w:t>
            </w:r>
            <w:r w:rsidRPr="00DD2A86">
              <w:rPr>
                <w:rFonts w:ascii="Arial" w:hAnsi="Arial" w:cs="Arial"/>
                <w:sz w:val="16"/>
                <w:szCs w:val="16"/>
              </w:rPr>
              <w:br/>
              <w:t>*siehe 3.2.3.3</w:t>
            </w:r>
          </w:p>
        </w:tc>
      </w:tr>
      <w:tr w:rsidR="00C323D4" w:rsidRPr="00DD2A86" w:rsidTr="00E941A1">
        <w:trPr>
          <w:cantSplit/>
          <w:trHeight w:val="675"/>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1268</w:t>
            </w:r>
          </w:p>
        </w:tc>
        <w:tc>
          <w:tcPr>
            <w:tcW w:w="3375"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ERDÖLDESTILLATE, N.A.G. oder ERDÖLPRODUKTE, N.A.G</w:t>
            </w:r>
          </w:p>
        </w:tc>
        <w:tc>
          <w:tcPr>
            <w:tcW w:w="425"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w:t>
            </w:r>
          </w:p>
        </w:tc>
        <w:tc>
          <w:tcPr>
            <w:tcW w:w="14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3+(N1, N2, N3, </w:t>
            </w:r>
            <w:r w:rsidRPr="00DD2A86">
              <w:rPr>
                <w:rFonts w:ascii="Arial" w:hAnsi="Arial" w:cs="Arial"/>
                <w:sz w:val="16"/>
                <w:szCs w:val="16"/>
              </w:rPr>
              <w:br/>
              <w:t>CMR, F)</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4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14; 27; 44</w:t>
            </w:r>
            <w:r w:rsidRPr="00DD2A86">
              <w:rPr>
                <w:rFonts w:ascii="Arial" w:hAnsi="Arial" w:cs="Arial"/>
                <w:sz w:val="16"/>
                <w:szCs w:val="16"/>
              </w:rPr>
              <w:br/>
              <w:t>*siehe 3.2.3.3</w:t>
            </w:r>
          </w:p>
        </w:tc>
      </w:tr>
      <w:tr w:rsidR="00C323D4" w:rsidRPr="00DD2A86" w:rsidTr="00E941A1">
        <w:trPr>
          <w:cantSplit/>
          <w:trHeight w:val="675"/>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1268</w:t>
            </w:r>
          </w:p>
        </w:tc>
        <w:tc>
          <w:tcPr>
            <w:tcW w:w="3375"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 xml:space="preserve">ERDÖLDESTILLATE, N.A.G. oder ERDÖLPRODUKTE, N.A.G   </w:t>
            </w:r>
          </w:p>
        </w:tc>
        <w:tc>
          <w:tcPr>
            <w:tcW w:w="425"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III</w:t>
            </w:r>
          </w:p>
        </w:tc>
        <w:tc>
          <w:tcPr>
            <w:tcW w:w="14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3+(N1, N2, N3, </w:t>
            </w:r>
            <w:r w:rsidRPr="00DD2A86">
              <w:rPr>
                <w:rFonts w:ascii="Arial" w:hAnsi="Arial" w:cs="Arial"/>
                <w:sz w:val="16"/>
                <w:szCs w:val="16"/>
              </w:rPr>
              <w:br/>
              <w:t>CMR, F)</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4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0</w:t>
            </w:r>
          </w:p>
        </w:tc>
        <w:tc>
          <w:tcPr>
            <w:tcW w:w="12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14; 27; 44</w:t>
            </w:r>
            <w:r w:rsidRPr="00DD2A86">
              <w:rPr>
                <w:rFonts w:ascii="Arial" w:hAnsi="Arial" w:cs="Arial"/>
                <w:sz w:val="16"/>
                <w:szCs w:val="16"/>
              </w:rPr>
              <w:b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1268</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ERDÖLDESTILLATE, N.A.G. MIT MEHR ALS 10 % BENZEN oder ERDÖLPRODUKTE, N.A.G. MIT MEHR ALS 10 % BENZEN</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3+CMR+F+(N1, N2, N3)</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27</w:t>
            </w:r>
            <w:r w:rsidRPr="00DD2A86">
              <w:rPr>
                <w:rFonts w:ascii="Arial" w:hAnsi="Arial" w:cs="Arial"/>
                <w:sz w:val="16"/>
                <w:szCs w:val="16"/>
              </w:rPr>
              <w:b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1268</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ERDÖLDESTILLATE, N.A.G. MIT MEHR ALS 10 % BENZEN oder ERDÖLPRODUKTE, N.A.G. MIT MEHR ALS 10 % BENZEN</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3+CMR+F+(N1, N2, N3)</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27; 44</w:t>
            </w:r>
            <w:r w:rsidRPr="00DD2A86">
              <w:rPr>
                <w:rFonts w:ascii="Arial" w:hAnsi="Arial" w:cs="Arial"/>
                <w:sz w:val="16"/>
                <w:szCs w:val="16"/>
              </w:rPr>
              <w:b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1268</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ERDÖLDESTILLATE, N.A.G. MIT MEHR ALS 10 % BENZEN oder ERDÖLPRODUKTE, N.A.G. MIT MEHR ALS 10 % BENZEN</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3+CMR+F+(N1, N2, N3)</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27</w:t>
            </w:r>
            <w:r w:rsidRPr="00DD2A86">
              <w:rPr>
                <w:rFonts w:ascii="Arial" w:hAnsi="Arial" w:cs="Arial"/>
                <w:sz w:val="16"/>
                <w:szCs w:val="16"/>
              </w:rPr>
              <w:b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1268</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ERDÖLDESTILLATE, N.A.G. MIT MEHR ALS 10 % BENZEN oder ERDÖLPRODUKTE, N.A.G. MIT MEHR ALS 10 % BENZEN</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3+CMR+F+(N1, N2, N3)</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27; 44</w:t>
            </w:r>
            <w:r w:rsidRPr="00DD2A86">
              <w:rPr>
                <w:rFonts w:ascii="Arial" w:hAnsi="Arial" w:cs="Arial"/>
                <w:sz w:val="16"/>
                <w:szCs w:val="16"/>
              </w:rPr>
              <w:b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1268</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ERDÖLDESTILLATE, N.A.G. MIT MEHR ALS 10 % BENZEN oder ERDÖLPRODUKTE, N.A.G. MIT MEHR ALS 10 % BENZEN</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3+CMR+F+(N1, N2, N3)</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0</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27</w:t>
            </w:r>
            <w:r w:rsidRPr="00DD2A86">
              <w:rPr>
                <w:rFonts w:ascii="Arial" w:hAnsi="Arial" w:cs="Arial"/>
                <w:sz w:val="16"/>
                <w:szCs w:val="16"/>
              </w:rPr>
              <w:b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1268</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ERDÖLDESTILLATE, N.A.G. MIT MEHR ALS 10 % BENZEN oder ERDÖLPRODUKTE, N.A.G. MIT MEHR ALS 10 % BENZEN</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3+CMR+F+(N1, N2, N3)</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0</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27; 44</w:t>
            </w:r>
            <w:r w:rsidRPr="00DD2A86">
              <w:rPr>
                <w:rFonts w:ascii="Arial" w:hAnsi="Arial" w:cs="Arial"/>
                <w:sz w:val="16"/>
                <w:szCs w:val="16"/>
              </w:rPr>
              <w:b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1268</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 xml:space="preserve">ERDÖLDESTILLATE, N.A.G. MIT MEHR ALS 10 % BENZEN oder ERDÖLPRODUKTE, N.A.G. </w:t>
            </w:r>
            <w:r w:rsidRPr="00DD2A86">
              <w:rPr>
                <w:rFonts w:ascii="Arial" w:hAnsi="Arial" w:cs="Arial"/>
                <w:sz w:val="16"/>
                <w:szCs w:val="16"/>
                <w:lang w:val="de-DE"/>
              </w:rPr>
              <w:br/>
              <w:t>MIT MEHR ALS 10 % BENZEN</w:t>
            </w:r>
            <w:r w:rsidRPr="00DD2A86">
              <w:rPr>
                <w:rFonts w:ascii="Arial" w:hAnsi="Arial" w:cs="Arial"/>
                <w:sz w:val="16"/>
                <w:szCs w:val="16"/>
                <w:lang w:val="de-DE"/>
              </w:rPr>
              <w:br/>
              <w:t>SIEDEBEGINN ≤ 60 °C</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3+CMR+F+(N1, N2, N3)</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 </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 </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27; 29; 43; 44</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1268</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 xml:space="preserve">ERDÖLDESTILLATE, N.A.G. MIT MEHR ALS 10 % BENZEN oder ERDÖLPRODUKTE, N.A.G. </w:t>
            </w:r>
            <w:r w:rsidRPr="00DD2A86">
              <w:rPr>
                <w:rFonts w:ascii="Arial" w:hAnsi="Arial" w:cs="Arial"/>
                <w:sz w:val="16"/>
                <w:szCs w:val="16"/>
                <w:lang w:val="de-DE"/>
              </w:rPr>
              <w:br/>
              <w:t>MIT MEHR ALS 10 % BENZEN</w:t>
            </w:r>
            <w:r w:rsidRPr="00DD2A86">
              <w:rPr>
                <w:rFonts w:ascii="Arial" w:hAnsi="Arial" w:cs="Arial"/>
                <w:sz w:val="16"/>
                <w:szCs w:val="16"/>
                <w:lang w:val="de-DE"/>
              </w:rPr>
              <w:br/>
              <w:t>SIEDEBEGINN ≤ 60 °C</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3+CMR+F+(N1, N2, N3)</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27; 29; 44</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1268</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 xml:space="preserve">ERDÖLDESTILLATE, N.A.G. MIT MEHR ALS 10 % BENZEN oder ERDÖLPRODUKTE, N.A.G. </w:t>
            </w:r>
            <w:r w:rsidRPr="00DD2A86">
              <w:rPr>
                <w:rFonts w:ascii="Arial" w:hAnsi="Arial" w:cs="Arial"/>
                <w:sz w:val="16"/>
                <w:szCs w:val="16"/>
                <w:lang w:val="de-DE"/>
              </w:rPr>
              <w:br/>
              <w:t>MIT MEHR ALS 10 % BENZEN</w:t>
            </w:r>
            <w:r w:rsidRPr="00DD2A86">
              <w:rPr>
                <w:rFonts w:ascii="Arial" w:hAnsi="Arial" w:cs="Arial"/>
                <w:sz w:val="16"/>
                <w:szCs w:val="16"/>
                <w:lang w:val="de-DE"/>
              </w:rPr>
              <w:br/>
              <w:t>60 °C &lt; SIEDEBEGINN ≤ 85 °C</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3+CMR+F+(N1, N2, N3)</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50</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23; 27; 29; 38; 44</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1268</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 xml:space="preserve">ERDÖLDESTILLATE, N.A.G. MIT MEHR ALS </w:t>
            </w:r>
            <w:r w:rsidRPr="00DD2A86">
              <w:rPr>
                <w:rFonts w:ascii="Arial" w:hAnsi="Arial" w:cs="Arial"/>
                <w:sz w:val="16"/>
                <w:szCs w:val="16"/>
                <w:lang w:val="de-DE"/>
              </w:rPr>
              <w:br w:type="page"/>
              <w:t xml:space="preserve">10% BENZEN oder ERDÖLPRODUKTE, N.A.G. </w:t>
            </w:r>
            <w:r w:rsidRPr="00DD2A86">
              <w:rPr>
                <w:rFonts w:ascii="Arial" w:hAnsi="Arial" w:cs="Arial"/>
                <w:sz w:val="16"/>
                <w:szCs w:val="16"/>
                <w:lang w:val="de-DE"/>
              </w:rPr>
              <w:br w:type="page"/>
              <w:t>MIT MEHR ALS 10 % BENZEN</w:t>
            </w:r>
            <w:r w:rsidRPr="00DD2A86">
              <w:rPr>
                <w:rFonts w:ascii="Arial" w:hAnsi="Arial" w:cs="Arial"/>
                <w:sz w:val="16"/>
                <w:szCs w:val="16"/>
                <w:lang w:val="de-DE"/>
              </w:rPr>
              <w:br w:type="page"/>
            </w:r>
            <w:r w:rsidRPr="00DD2A86">
              <w:rPr>
                <w:rFonts w:ascii="Arial" w:hAnsi="Arial" w:cs="Arial"/>
                <w:sz w:val="16"/>
                <w:szCs w:val="16"/>
                <w:lang w:val="de-DE"/>
              </w:rPr>
              <w:br/>
              <w:t>85 ºC &lt; SIEDEPUNKT ≤ 115 °C</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3+CMR+F+(N1, N2, N3)</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50</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27; 29; 44</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1268</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ERDÖLDESTILLATE, N.A.G. MIT MEHR ALS 10 % BENZEN oder ERDÖLPRODUKTE, N.A.G. MIT MEHR ALS 10 % BENZEN</w:t>
            </w:r>
            <w:r w:rsidRPr="00DD2A86">
              <w:rPr>
                <w:rFonts w:ascii="Arial" w:hAnsi="Arial" w:cs="Arial"/>
                <w:sz w:val="16"/>
                <w:szCs w:val="16"/>
                <w:lang w:val="de-DE"/>
              </w:rPr>
              <w:br/>
              <w:t>SIEDEBEGINN &gt; 115 °C</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3+CMR+F+(N1, N2, N3)</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35</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27; 29; 44</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1863</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DÜSENKRAFTSTOFF</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3+(N1, N2, N3, </w:t>
            </w:r>
            <w:r w:rsidRPr="00DD2A86">
              <w:rPr>
                <w:rFonts w:ascii="Arial" w:hAnsi="Arial" w:cs="Arial"/>
                <w:sz w:val="16"/>
                <w:szCs w:val="16"/>
              </w:rPr>
              <w:br/>
              <w:t>CMR, F)</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14; 44</w:t>
            </w:r>
            <w:r w:rsidRPr="00DD2A86">
              <w:rPr>
                <w:rFonts w:ascii="Arial" w:hAnsi="Arial" w:cs="Arial"/>
                <w:sz w:val="16"/>
                <w:szCs w:val="16"/>
              </w:rPr>
              <w:br/>
              <w:t>*siehe 3.2.3.3</w:t>
            </w:r>
          </w:p>
        </w:tc>
      </w:tr>
      <w:tr w:rsidR="00C323D4" w:rsidRPr="00DD2A86" w:rsidTr="00E941A1">
        <w:trPr>
          <w:cantSplit/>
          <w:trHeight w:val="675"/>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1863</w:t>
            </w:r>
          </w:p>
        </w:tc>
        <w:tc>
          <w:tcPr>
            <w:tcW w:w="3375"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DÜSENKRAFTSTOFF</w:t>
            </w:r>
          </w:p>
        </w:tc>
        <w:tc>
          <w:tcPr>
            <w:tcW w:w="425"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w:t>
            </w:r>
          </w:p>
        </w:tc>
        <w:tc>
          <w:tcPr>
            <w:tcW w:w="14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3+(N1, N2, N3, </w:t>
            </w:r>
            <w:r w:rsidRPr="00DD2A86">
              <w:rPr>
                <w:rFonts w:ascii="Arial" w:hAnsi="Arial" w:cs="Arial"/>
                <w:sz w:val="16"/>
                <w:szCs w:val="16"/>
              </w:rPr>
              <w:br/>
              <w:t>CMR, F)</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4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14; 44</w:t>
            </w:r>
            <w:r w:rsidRPr="00DD2A86">
              <w:rPr>
                <w:rFonts w:ascii="Arial" w:hAnsi="Arial" w:cs="Arial"/>
                <w:sz w:val="16"/>
                <w:szCs w:val="16"/>
              </w:rPr>
              <w:br/>
              <w:t>*siehe 3.2.3.3</w:t>
            </w:r>
          </w:p>
        </w:tc>
      </w:tr>
      <w:tr w:rsidR="00C323D4" w:rsidRPr="00DD2A86" w:rsidTr="00E941A1">
        <w:trPr>
          <w:cantSplit/>
          <w:trHeight w:val="675"/>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1863</w:t>
            </w:r>
          </w:p>
        </w:tc>
        <w:tc>
          <w:tcPr>
            <w:tcW w:w="3375"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DÜSENKRAFTSTOFF</w:t>
            </w:r>
          </w:p>
        </w:tc>
        <w:tc>
          <w:tcPr>
            <w:tcW w:w="425"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III</w:t>
            </w:r>
          </w:p>
        </w:tc>
        <w:tc>
          <w:tcPr>
            <w:tcW w:w="14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3+(N1, N2, N3, </w:t>
            </w:r>
            <w:r w:rsidRPr="00DD2A86">
              <w:rPr>
                <w:rFonts w:ascii="Arial" w:hAnsi="Arial" w:cs="Arial"/>
                <w:sz w:val="16"/>
                <w:szCs w:val="16"/>
              </w:rPr>
              <w:br/>
              <w:t>CMR, F)</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4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0</w:t>
            </w:r>
          </w:p>
        </w:tc>
        <w:tc>
          <w:tcPr>
            <w:tcW w:w="12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14; 44</w:t>
            </w:r>
            <w:r w:rsidRPr="00DD2A86">
              <w:rPr>
                <w:rFonts w:ascii="Arial" w:hAnsi="Arial" w:cs="Arial"/>
                <w:sz w:val="16"/>
                <w:szCs w:val="16"/>
              </w:rPr>
              <w:b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1863</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DÜSENKRAFTSTOFF MIT MEHR ALS 10 % BENZEN</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3+CMR+F+(N1, N2, N3)</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1863</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DÜSENKRAFTSTOFF MIT MEHR ALS 10 % BENZEN</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3+CMR+F+(N1, N2, N3)</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44</w:t>
            </w:r>
            <w:r w:rsidRPr="00DD2A86">
              <w:rPr>
                <w:rFonts w:ascii="Arial" w:hAnsi="Arial" w:cs="Arial"/>
                <w:sz w:val="16"/>
                <w:szCs w:val="16"/>
              </w:rPr>
              <w:b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1863</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DÜSENKRAFTSTOFF MIT MEHR ALS 10 % BENZEN</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3+CMR+F+(N1, N2, N3)</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1863</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DÜSENKRAFTSTOFF MIT MEHR ALS 10 % BENZEN</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3+CMR+F+(N1, N2, N3)</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44</w:t>
            </w:r>
            <w:r w:rsidRPr="00DD2A86">
              <w:rPr>
                <w:rFonts w:ascii="Arial" w:hAnsi="Arial" w:cs="Arial"/>
                <w:sz w:val="16"/>
                <w:szCs w:val="16"/>
              </w:rPr>
              <w:b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1863</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DÜSENKRAFTSTOFF MIT MEHR ALS 10 % BENZEN</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3+CMR+F+(N1, N2, N3)</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0</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1863</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DÜSENKRAFTSTOFF MIT MEHR ALS 10 % BENZEN</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3+CMR+F+(N1, N2, N3)</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0</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44</w:t>
            </w:r>
            <w:r w:rsidRPr="00DD2A86">
              <w:rPr>
                <w:rFonts w:ascii="Arial" w:hAnsi="Arial" w:cs="Arial"/>
                <w:sz w:val="16"/>
                <w:szCs w:val="16"/>
              </w:rPr>
              <w:b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1863</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 xml:space="preserve">DÜSENKRAFTSTOFF MIT MEHR ALS 10 % BENZEN </w:t>
            </w:r>
            <w:r w:rsidRPr="00DD2A86">
              <w:rPr>
                <w:rFonts w:ascii="Arial" w:hAnsi="Arial" w:cs="Arial"/>
                <w:sz w:val="16"/>
                <w:szCs w:val="16"/>
                <w:lang w:val="de-DE"/>
              </w:rPr>
              <w:br/>
              <w:t>SIEDEBEGINN ≤ 60 °C</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3+CMR+F+(N1, N2, N3)</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29; 43; 44</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1863</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DÜSENKRAFTSTOFF MIT MEHR ALS 10 % BENZEN</w:t>
            </w:r>
            <w:r w:rsidRPr="00DD2A86">
              <w:rPr>
                <w:rFonts w:ascii="Arial" w:hAnsi="Arial" w:cs="Arial"/>
                <w:sz w:val="16"/>
                <w:szCs w:val="16"/>
                <w:lang w:val="de-DE"/>
              </w:rPr>
              <w:br/>
              <w:t>SIEDEBEGINN ≤ 60 °C</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3+CMR+F+(N1, N2, N3)</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29; 44</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1863</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DÜSENKRAFTSTOFF MIT MEHR ALS 10 % BENZEN</w:t>
            </w:r>
            <w:r w:rsidRPr="00DD2A86">
              <w:rPr>
                <w:rFonts w:ascii="Arial" w:hAnsi="Arial" w:cs="Arial"/>
                <w:sz w:val="16"/>
                <w:szCs w:val="16"/>
                <w:lang w:val="de-DE"/>
              </w:rPr>
              <w:br/>
              <w:t>60 ºC &lt; SIEDEBEGINN ≤ 85 °C</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3+CMR+F+(N1, N2, N3)</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50</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0</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23; 29; 38; 44</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jc w:val="center"/>
              <w:rPr>
                <w:rFonts w:ascii="Arial" w:hAnsi="Arial" w:cs="Arial"/>
                <w:sz w:val="16"/>
                <w:szCs w:val="16"/>
              </w:rPr>
            </w:pPr>
            <w:r w:rsidRPr="00DD2A86">
              <w:rPr>
                <w:rFonts w:ascii="Arial" w:hAnsi="Arial" w:cs="Arial"/>
                <w:sz w:val="16"/>
                <w:szCs w:val="16"/>
              </w:rPr>
              <w:t>1863</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DÜSENKRAFTSTOFF MIT MEHR ALS 10 % BENZEN</w:t>
            </w:r>
            <w:r w:rsidRPr="00DD2A86">
              <w:rPr>
                <w:rFonts w:ascii="Arial" w:hAnsi="Arial" w:cs="Arial"/>
                <w:sz w:val="16"/>
                <w:szCs w:val="16"/>
                <w:lang w:val="de-DE"/>
              </w:rPr>
              <w:br w:type="page"/>
            </w:r>
            <w:r w:rsidRPr="00DD2A86">
              <w:rPr>
                <w:rFonts w:ascii="Arial" w:hAnsi="Arial" w:cs="Arial"/>
                <w:sz w:val="16"/>
                <w:szCs w:val="16"/>
                <w:lang w:val="de-DE"/>
              </w:rPr>
              <w:br/>
              <w:t>85 ºC &lt; SIEDEBEGINN ≤ 115 °C</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jc w:val="center"/>
              <w:rPr>
                <w:rFonts w:ascii="Arial" w:hAnsi="Arial" w:cs="Arial"/>
                <w:sz w:val="16"/>
                <w:szCs w:val="16"/>
                <w:lang w:val="de-DE"/>
              </w:rPr>
            </w:pPr>
            <w:r w:rsidRPr="00DD2A86">
              <w:rPr>
                <w:rFonts w:ascii="Arial" w:hAnsi="Arial" w:cs="Arial"/>
                <w:sz w:val="16"/>
                <w:szCs w:val="16"/>
                <w:lang w:val="de-DE"/>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jc w:val="center"/>
              <w:rPr>
                <w:rFonts w:ascii="Arial" w:hAnsi="Arial" w:cs="Arial"/>
                <w:sz w:val="16"/>
                <w:szCs w:val="16"/>
                <w:lang w:val="de-DE"/>
              </w:rPr>
            </w:pPr>
            <w:r w:rsidRPr="00DD2A86">
              <w:rPr>
                <w:rFonts w:ascii="Arial" w:hAnsi="Arial" w:cs="Arial"/>
                <w:sz w:val="16"/>
                <w:szCs w:val="16"/>
                <w:lang w:val="de-DE"/>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jc w:val="center"/>
              <w:rPr>
                <w:rFonts w:ascii="Arial" w:hAnsi="Arial" w:cs="Arial"/>
                <w:sz w:val="16"/>
                <w:szCs w:val="16"/>
                <w:lang w:val="de-DE"/>
              </w:rPr>
            </w:pPr>
            <w:r w:rsidRPr="00DD2A86">
              <w:rPr>
                <w:rFonts w:ascii="Arial" w:hAnsi="Arial" w:cs="Arial"/>
                <w:sz w:val="16"/>
                <w:szCs w:val="16"/>
                <w:lang w:val="de-DE"/>
              </w:rPr>
              <w:t>III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3+CMR+F+(N1, N2, N3)</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jc w:val="center"/>
              <w:rPr>
                <w:rFonts w:ascii="Arial" w:hAnsi="Arial" w:cs="Arial"/>
                <w:sz w:val="16"/>
                <w:szCs w:val="16"/>
                <w:lang w:val="de-DE"/>
              </w:rPr>
            </w:pPr>
            <w:r w:rsidRPr="00DD2A86">
              <w:rPr>
                <w:rFonts w:ascii="Arial" w:hAnsi="Arial" w:cs="Arial"/>
                <w:sz w:val="16"/>
                <w:szCs w:val="16"/>
                <w:lang w:val="de-DE"/>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jc w:val="center"/>
              <w:rPr>
                <w:rFonts w:ascii="Arial" w:hAnsi="Arial" w:cs="Arial"/>
                <w:sz w:val="16"/>
                <w:szCs w:val="16"/>
                <w:lang w:val="de-DE"/>
              </w:rPr>
            </w:pPr>
            <w:r w:rsidRPr="00DD2A86">
              <w:rPr>
                <w:rFonts w:ascii="Arial" w:hAnsi="Arial" w:cs="Arial"/>
                <w:sz w:val="16"/>
                <w:szCs w:val="16"/>
                <w:lang w:val="de-DE"/>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jc w:val="center"/>
              <w:rPr>
                <w:rFonts w:ascii="Arial" w:hAnsi="Arial" w:cs="Arial"/>
                <w:sz w:val="16"/>
                <w:szCs w:val="16"/>
                <w:lang w:val="de-DE"/>
              </w:rPr>
            </w:pPr>
            <w:r w:rsidRPr="00DD2A86">
              <w:rPr>
                <w:rFonts w:ascii="Arial" w:hAnsi="Arial" w:cs="Arial"/>
                <w:sz w:val="16"/>
                <w:szCs w:val="16"/>
                <w:lang w:val="de-DE"/>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jc w:val="center"/>
              <w:rPr>
                <w:rFonts w:ascii="Arial" w:hAnsi="Arial" w:cs="Arial"/>
                <w:sz w:val="16"/>
                <w:szCs w:val="16"/>
                <w:lang w:val="de-DE"/>
              </w:rPr>
            </w:pP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jc w:val="center"/>
              <w:rPr>
                <w:rFonts w:ascii="Arial" w:hAnsi="Arial" w:cs="Arial"/>
                <w:sz w:val="16"/>
                <w:szCs w:val="16"/>
                <w:lang w:val="de-DE"/>
              </w:rPr>
            </w:pPr>
            <w:r w:rsidRPr="00DD2A86">
              <w:rPr>
                <w:rFonts w:ascii="Arial" w:hAnsi="Arial" w:cs="Arial"/>
                <w:sz w:val="16"/>
                <w:szCs w:val="16"/>
                <w:lang w:val="de-DE"/>
              </w:rPr>
              <w:t>50</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jc w:val="center"/>
              <w:rPr>
                <w:rFonts w:ascii="Arial" w:hAnsi="Arial" w:cs="Arial"/>
                <w:sz w:val="16"/>
                <w:szCs w:val="16"/>
                <w:lang w:val="de-DE"/>
              </w:rPr>
            </w:pPr>
            <w:r w:rsidRPr="00DD2A86">
              <w:rPr>
                <w:rFonts w:ascii="Arial" w:hAnsi="Arial" w:cs="Arial"/>
                <w:sz w:val="16"/>
                <w:szCs w:val="16"/>
                <w:lang w:val="de-DE"/>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jc w:val="center"/>
              <w:rPr>
                <w:rFonts w:ascii="Arial" w:hAnsi="Arial" w:cs="Arial"/>
                <w:sz w:val="16"/>
                <w:szCs w:val="16"/>
                <w:lang w:val="de-DE"/>
              </w:rPr>
            </w:pP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jc w:val="center"/>
              <w:rPr>
                <w:rFonts w:ascii="Arial" w:hAnsi="Arial" w:cs="Arial"/>
                <w:sz w:val="16"/>
                <w:szCs w:val="16"/>
                <w:lang w:val="de-DE"/>
              </w:rPr>
            </w:pPr>
            <w:r w:rsidRPr="00DD2A86">
              <w:rPr>
                <w:rFonts w:ascii="Arial" w:hAnsi="Arial" w:cs="Arial"/>
                <w:sz w:val="16"/>
                <w:szCs w:val="16"/>
                <w:lang w:val="de-DE"/>
              </w:rPr>
              <w:t>2</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jc w:val="center"/>
              <w:rPr>
                <w:rFonts w:ascii="Arial" w:hAnsi="Arial" w:cs="Arial"/>
                <w:sz w:val="16"/>
                <w:szCs w:val="16"/>
                <w:lang w:val="de-DE"/>
              </w:rPr>
            </w:pPr>
            <w:r w:rsidRPr="00DD2A86">
              <w:rPr>
                <w:rFonts w:ascii="Arial" w:hAnsi="Arial" w:cs="Arial"/>
                <w:sz w:val="16"/>
                <w:szCs w:val="16"/>
                <w:lang w:val="de-DE"/>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 xml:space="preserve">T4 </w:t>
            </w:r>
            <w:r w:rsidRPr="00DD2A86">
              <w:rPr>
                <w:rFonts w:ascii="Arial" w:hAnsi="Arial" w:cs="Arial"/>
                <w:sz w:val="16"/>
                <w:szCs w:val="16"/>
                <w:vertAlign w:val="superscript"/>
                <w:lang w:val="de-DE"/>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II B</w:t>
            </w:r>
            <w:r w:rsidRPr="00DD2A86">
              <w:rPr>
                <w:rFonts w:ascii="Arial" w:hAnsi="Arial" w:cs="Arial"/>
                <w:sz w:val="16"/>
                <w:szCs w:val="16"/>
                <w:vertAlign w:val="superscript"/>
                <w:lang w:val="de-DE"/>
              </w:rPr>
              <w:t>4)</w:t>
            </w:r>
            <w:r w:rsidRPr="00DD2A86">
              <w:rPr>
                <w:rFonts w:ascii="Arial" w:hAnsi="Arial" w:cs="Arial"/>
                <w:sz w:val="16"/>
                <w:szCs w:val="16"/>
                <w:lang w:val="de-DE"/>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jc w:val="center"/>
              <w:rPr>
                <w:rFonts w:ascii="Arial" w:hAnsi="Arial" w:cs="Arial"/>
                <w:sz w:val="16"/>
                <w:szCs w:val="16"/>
                <w:lang w:val="de-DE"/>
              </w:rPr>
            </w:pPr>
            <w:r w:rsidRPr="00DD2A86">
              <w:rPr>
                <w:rFonts w:ascii="Arial" w:hAnsi="Arial" w:cs="Arial"/>
                <w:sz w:val="16"/>
                <w:szCs w:val="16"/>
                <w:lang w:val="de-DE"/>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jc w:val="center"/>
              <w:rPr>
                <w:rFonts w:ascii="Arial" w:hAnsi="Arial" w:cs="Arial"/>
                <w:sz w:val="16"/>
                <w:szCs w:val="16"/>
                <w:lang w:val="de-DE"/>
              </w:rPr>
            </w:pPr>
            <w:r w:rsidRPr="00DD2A86">
              <w:rPr>
                <w:rFonts w:ascii="Arial" w:hAnsi="Arial" w:cs="Arial"/>
                <w:sz w:val="16"/>
                <w:szCs w:val="16"/>
                <w:lang w:val="de-DE"/>
              </w:rPr>
              <w:t>0</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29; 44</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1863</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DÜSENKRAFTSTOFF MIT MEHR ALS 10 % BENZEN</w:t>
            </w:r>
            <w:r w:rsidRPr="00DD2A86">
              <w:rPr>
                <w:rFonts w:ascii="Arial" w:hAnsi="Arial" w:cs="Arial"/>
                <w:sz w:val="16"/>
                <w:szCs w:val="16"/>
                <w:lang w:val="de-DE"/>
              </w:rPr>
              <w:br/>
              <w:t>SIEDEBEGINN &gt; 115 °C</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3+CMR+F+(N1, N2, N3)</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35</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0</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29; 44</w:t>
            </w:r>
          </w:p>
        </w:tc>
      </w:tr>
      <w:tr w:rsidR="009E0F3B" w:rsidRPr="00DD2A86" w:rsidTr="00A047EF">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9E0F3B" w:rsidRPr="00DD2A86" w:rsidRDefault="009E0F3B" w:rsidP="00A047EF">
            <w:pPr>
              <w:suppressAutoHyphens w:val="0"/>
              <w:spacing w:after="240" w:line="240" w:lineRule="auto"/>
              <w:rPr>
                <w:rFonts w:ascii="Arial" w:hAnsi="Arial" w:cs="Arial"/>
                <w:sz w:val="16"/>
                <w:szCs w:val="16"/>
              </w:rPr>
            </w:pPr>
            <w:r w:rsidRPr="00DD2A86">
              <w:rPr>
                <w:rFonts w:ascii="Arial" w:hAnsi="Arial" w:cs="Arial"/>
                <w:sz w:val="16"/>
                <w:szCs w:val="16"/>
              </w:rPr>
              <w:t>1965</w:t>
            </w:r>
          </w:p>
        </w:tc>
        <w:tc>
          <w:tcPr>
            <w:tcW w:w="3375" w:type="dxa"/>
            <w:tcBorders>
              <w:top w:val="nil"/>
              <w:left w:val="nil"/>
              <w:bottom w:val="single" w:sz="4" w:space="0" w:color="auto"/>
              <w:right w:val="single" w:sz="4" w:space="0" w:color="auto"/>
            </w:tcBorders>
            <w:shd w:val="clear" w:color="auto" w:fill="auto"/>
          </w:tcPr>
          <w:p w:rsidR="009E0F3B" w:rsidRPr="00DD2A86" w:rsidRDefault="009E0F3B" w:rsidP="00A047EF">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KOHLENWASSERSTOFF</w:t>
            </w:r>
            <w:r w:rsidRPr="00DD2A86">
              <w:rPr>
                <w:rFonts w:ascii="Arial" w:hAnsi="Arial" w:cs="Arial"/>
                <w:sz w:val="16"/>
                <w:szCs w:val="16"/>
                <w:lang w:val="de-DE"/>
              </w:rPr>
              <w:softHyphen/>
              <w:t>GAS, GEMISCH, VERFLÜSSIGT, N.A.G.</w:t>
            </w:r>
          </w:p>
        </w:tc>
        <w:tc>
          <w:tcPr>
            <w:tcW w:w="425" w:type="dxa"/>
            <w:tcBorders>
              <w:top w:val="nil"/>
              <w:left w:val="nil"/>
              <w:bottom w:val="single" w:sz="4" w:space="0" w:color="auto"/>
              <w:right w:val="single" w:sz="4" w:space="0" w:color="auto"/>
            </w:tcBorders>
            <w:shd w:val="clear" w:color="auto" w:fill="auto"/>
            <w:noWrap/>
          </w:tcPr>
          <w:p w:rsidR="009E0F3B" w:rsidRPr="00DD2A86" w:rsidRDefault="009E0F3B" w:rsidP="00A047EF">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52" w:type="dxa"/>
            <w:tcBorders>
              <w:top w:val="nil"/>
              <w:left w:val="nil"/>
              <w:bottom w:val="single" w:sz="4" w:space="0" w:color="auto"/>
              <w:right w:val="single" w:sz="4" w:space="0" w:color="auto"/>
            </w:tcBorders>
            <w:shd w:val="clear" w:color="auto" w:fill="auto"/>
            <w:noWrap/>
          </w:tcPr>
          <w:p w:rsidR="009E0F3B" w:rsidRPr="00DD2A86" w:rsidRDefault="009E0F3B" w:rsidP="00A047EF">
            <w:pPr>
              <w:suppressAutoHyphens w:val="0"/>
              <w:spacing w:after="240" w:line="240" w:lineRule="auto"/>
              <w:rPr>
                <w:rFonts w:ascii="Arial" w:hAnsi="Arial" w:cs="Arial"/>
                <w:sz w:val="16"/>
                <w:szCs w:val="16"/>
              </w:rPr>
            </w:pPr>
            <w:r w:rsidRPr="00DD2A86">
              <w:rPr>
                <w:rFonts w:ascii="Arial" w:hAnsi="Arial" w:cs="Arial"/>
                <w:sz w:val="16"/>
                <w:szCs w:val="16"/>
              </w:rPr>
              <w:t>2F</w:t>
            </w:r>
          </w:p>
        </w:tc>
        <w:tc>
          <w:tcPr>
            <w:tcW w:w="400" w:type="dxa"/>
            <w:tcBorders>
              <w:top w:val="nil"/>
              <w:left w:val="nil"/>
              <w:bottom w:val="single" w:sz="4" w:space="0" w:color="auto"/>
              <w:right w:val="single" w:sz="4" w:space="0" w:color="auto"/>
            </w:tcBorders>
            <w:shd w:val="clear" w:color="auto" w:fill="auto"/>
            <w:noWrap/>
          </w:tcPr>
          <w:p w:rsidR="009E0F3B" w:rsidRPr="00DD2A86" w:rsidRDefault="009E0F3B" w:rsidP="00A047EF">
            <w:pPr>
              <w:suppressAutoHyphens w:val="0"/>
              <w:spacing w:after="240" w:line="240" w:lineRule="auto"/>
              <w:rPr>
                <w:rFonts w:ascii="Arial" w:hAnsi="Arial" w:cs="Arial"/>
                <w:sz w:val="16"/>
                <w:szCs w:val="16"/>
              </w:rPr>
            </w:pPr>
          </w:p>
        </w:tc>
        <w:tc>
          <w:tcPr>
            <w:tcW w:w="1440" w:type="dxa"/>
            <w:tcBorders>
              <w:top w:val="nil"/>
              <w:left w:val="nil"/>
              <w:bottom w:val="single" w:sz="4" w:space="0" w:color="auto"/>
              <w:right w:val="single" w:sz="4" w:space="0" w:color="auto"/>
            </w:tcBorders>
            <w:shd w:val="clear" w:color="auto" w:fill="auto"/>
          </w:tcPr>
          <w:p w:rsidR="009E0F3B" w:rsidRPr="00DD2A86" w:rsidRDefault="009E0F3B" w:rsidP="00A047EF">
            <w:pPr>
              <w:suppressAutoHyphens w:val="0"/>
              <w:spacing w:after="240" w:line="240" w:lineRule="auto"/>
              <w:rPr>
                <w:rFonts w:ascii="Arial" w:hAnsi="Arial" w:cs="Arial"/>
                <w:sz w:val="16"/>
                <w:szCs w:val="16"/>
              </w:rPr>
            </w:pPr>
            <w:r w:rsidRPr="00DD2A86">
              <w:rPr>
                <w:rFonts w:ascii="Arial" w:hAnsi="Arial" w:cs="Arial"/>
                <w:sz w:val="16"/>
                <w:szCs w:val="16"/>
              </w:rPr>
              <w:t>2.1</w:t>
            </w:r>
            <w:r w:rsidRPr="00DD2A86">
              <w:rPr>
                <w:rFonts w:ascii="Arial" w:hAnsi="Arial" w:cs="Arial"/>
                <w:sz w:val="16"/>
                <w:szCs w:val="16"/>
              </w:rPr>
              <w:br/>
              <w:t>+ CMR</w:t>
            </w:r>
          </w:p>
        </w:tc>
        <w:tc>
          <w:tcPr>
            <w:tcW w:w="400" w:type="dxa"/>
            <w:tcBorders>
              <w:top w:val="nil"/>
              <w:left w:val="nil"/>
              <w:bottom w:val="single" w:sz="4" w:space="0" w:color="auto"/>
              <w:right w:val="single" w:sz="4" w:space="0" w:color="auto"/>
            </w:tcBorders>
            <w:shd w:val="clear" w:color="auto" w:fill="auto"/>
            <w:noWrap/>
          </w:tcPr>
          <w:p w:rsidR="009E0F3B" w:rsidRPr="00DD2A86" w:rsidRDefault="009E0F3B" w:rsidP="00A047EF">
            <w:pPr>
              <w:suppressAutoHyphens w:val="0"/>
              <w:spacing w:after="240" w:line="240" w:lineRule="auto"/>
              <w:rPr>
                <w:rFonts w:ascii="Arial" w:hAnsi="Arial" w:cs="Arial"/>
                <w:sz w:val="16"/>
                <w:szCs w:val="16"/>
              </w:rPr>
            </w:pPr>
            <w:r w:rsidRPr="00DD2A86">
              <w:rPr>
                <w:rFonts w:ascii="Arial" w:hAnsi="Arial" w:cs="Arial"/>
                <w:sz w:val="16"/>
                <w:szCs w:val="16"/>
              </w:rPr>
              <w:t>G</w:t>
            </w:r>
          </w:p>
        </w:tc>
        <w:tc>
          <w:tcPr>
            <w:tcW w:w="400" w:type="dxa"/>
            <w:tcBorders>
              <w:top w:val="nil"/>
              <w:left w:val="nil"/>
              <w:bottom w:val="single" w:sz="4" w:space="0" w:color="auto"/>
              <w:right w:val="single" w:sz="4" w:space="0" w:color="auto"/>
            </w:tcBorders>
            <w:shd w:val="clear" w:color="auto" w:fill="auto"/>
            <w:noWrap/>
          </w:tcPr>
          <w:p w:rsidR="009E0F3B" w:rsidRPr="00DD2A86" w:rsidRDefault="009E0F3B" w:rsidP="00A047EF">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400" w:type="dxa"/>
            <w:tcBorders>
              <w:top w:val="nil"/>
              <w:left w:val="nil"/>
              <w:bottom w:val="single" w:sz="4" w:space="0" w:color="auto"/>
              <w:right w:val="single" w:sz="4" w:space="0" w:color="auto"/>
            </w:tcBorders>
            <w:shd w:val="clear" w:color="auto" w:fill="auto"/>
            <w:noWrap/>
          </w:tcPr>
          <w:p w:rsidR="009E0F3B" w:rsidRPr="00DD2A86" w:rsidRDefault="009E0F3B" w:rsidP="00A047EF">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400" w:type="dxa"/>
            <w:tcBorders>
              <w:top w:val="nil"/>
              <w:left w:val="nil"/>
              <w:bottom w:val="single" w:sz="4" w:space="0" w:color="auto"/>
              <w:right w:val="single" w:sz="4" w:space="0" w:color="auto"/>
            </w:tcBorders>
            <w:shd w:val="clear" w:color="auto" w:fill="auto"/>
            <w:noWrap/>
          </w:tcPr>
          <w:p w:rsidR="009E0F3B" w:rsidRPr="00DD2A86" w:rsidRDefault="009E0F3B" w:rsidP="00A047EF">
            <w:pPr>
              <w:suppressAutoHyphens w:val="0"/>
              <w:spacing w:after="240" w:line="240" w:lineRule="auto"/>
              <w:rPr>
                <w:rFonts w:ascii="Arial" w:hAnsi="Arial" w:cs="Arial"/>
                <w:sz w:val="16"/>
                <w:szCs w:val="16"/>
              </w:rPr>
            </w:pPr>
          </w:p>
        </w:tc>
        <w:tc>
          <w:tcPr>
            <w:tcW w:w="524" w:type="dxa"/>
            <w:tcBorders>
              <w:top w:val="nil"/>
              <w:left w:val="nil"/>
              <w:bottom w:val="single" w:sz="4" w:space="0" w:color="auto"/>
              <w:right w:val="single" w:sz="4" w:space="0" w:color="auto"/>
            </w:tcBorders>
            <w:shd w:val="clear" w:color="auto" w:fill="auto"/>
          </w:tcPr>
          <w:p w:rsidR="009E0F3B" w:rsidRPr="00DD2A86" w:rsidRDefault="009E0F3B" w:rsidP="00A047EF">
            <w:pPr>
              <w:suppressAutoHyphens w:val="0"/>
              <w:spacing w:after="240" w:line="240" w:lineRule="auto"/>
              <w:rPr>
                <w:rFonts w:ascii="Arial" w:hAnsi="Arial" w:cs="Arial"/>
                <w:sz w:val="16"/>
                <w:szCs w:val="16"/>
              </w:rPr>
            </w:pPr>
          </w:p>
        </w:tc>
        <w:tc>
          <w:tcPr>
            <w:tcW w:w="524" w:type="dxa"/>
            <w:tcBorders>
              <w:top w:val="nil"/>
              <w:left w:val="nil"/>
              <w:bottom w:val="single" w:sz="4" w:space="0" w:color="auto"/>
              <w:right w:val="single" w:sz="4" w:space="0" w:color="auto"/>
            </w:tcBorders>
            <w:shd w:val="clear" w:color="auto" w:fill="auto"/>
          </w:tcPr>
          <w:p w:rsidR="009E0F3B" w:rsidRPr="00DD2A86" w:rsidRDefault="009E0F3B" w:rsidP="00A047EF">
            <w:pPr>
              <w:suppressAutoHyphens w:val="0"/>
              <w:spacing w:after="240" w:line="240" w:lineRule="auto"/>
              <w:rPr>
                <w:rFonts w:ascii="Arial" w:hAnsi="Arial" w:cs="Arial"/>
                <w:sz w:val="16"/>
                <w:szCs w:val="16"/>
              </w:rPr>
            </w:pPr>
            <w:r w:rsidRPr="00DD2A86">
              <w:rPr>
                <w:rFonts w:ascii="Arial" w:hAnsi="Arial" w:cs="Arial"/>
                <w:sz w:val="16"/>
                <w:szCs w:val="16"/>
              </w:rPr>
              <w:t>91</w:t>
            </w:r>
          </w:p>
        </w:tc>
        <w:tc>
          <w:tcPr>
            <w:tcW w:w="700" w:type="dxa"/>
            <w:tcBorders>
              <w:top w:val="nil"/>
              <w:left w:val="nil"/>
              <w:bottom w:val="single" w:sz="4" w:space="0" w:color="auto"/>
              <w:right w:val="single" w:sz="4" w:space="0" w:color="auto"/>
            </w:tcBorders>
            <w:shd w:val="clear" w:color="auto" w:fill="auto"/>
          </w:tcPr>
          <w:p w:rsidR="009E0F3B" w:rsidRPr="00DD2A86" w:rsidRDefault="009E0F3B" w:rsidP="00A047EF">
            <w:pPr>
              <w:suppressAutoHyphens w:val="0"/>
              <w:spacing w:after="240" w:line="240" w:lineRule="auto"/>
              <w:rPr>
                <w:rFonts w:ascii="Arial" w:hAnsi="Arial" w:cs="Arial"/>
                <w:sz w:val="16"/>
                <w:szCs w:val="16"/>
              </w:rPr>
            </w:pPr>
          </w:p>
        </w:tc>
        <w:tc>
          <w:tcPr>
            <w:tcW w:w="524" w:type="dxa"/>
            <w:tcBorders>
              <w:top w:val="nil"/>
              <w:left w:val="nil"/>
              <w:bottom w:val="single" w:sz="4" w:space="0" w:color="auto"/>
              <w:right w:val="single" w:sz="4" w:space="0" w:color="auto"/>
            </w:tcBorders>
            <w:shd w:val="clear" w:color="auto" w:fill="auto"/>
            <w:noWrap/>
          </w:tcPr>
          <w:p w:rsidR="009E0F3B" w:rsidRPr="00DD2A86" w:rsidRDefault="009E0F3B" w:rsidP="00A047EF">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524" w:type="dxa"/>
            <w:tcBorders>
              <w:top w:val="nil"/>
              <w:left w:val="nil"/>
              <w:bottom w:val="single" w:sz="4" w:space="0" w:color="auto"/>
              <w:right w:val="single" w:sz="4" w:space="0" w:color="auto"/>
            </w:tcBorders>
            <w:shd w:val="clear" w:color="auto" w:fill="auto"/>
            <w:noWrap/>
          </w:tcPr>
          <w:p w:rsidR="009E0F3B" w:rsidRPr="00DD2A86" w:rsidRDefault="009E0F3B" w:rsidP="00A047EF">
            <w:pPr>
              <w:suppressAutoHyphens w:val="0"/>
              <w:spacing w:after="240" w:line="240" w:lineRule="auto"/>
              <w:rPr>
                <w:rFonts w:ascii="Arial" w:hAnsi="Arial" w:cs="Arial"/>
                <w:sz w:val="16"/>
                <w:szCs w:val="16"/>
              </w:rPr>
            </w:pPr>
            <w:r w:rsidRPr="00DD2A86">
              <w:rPr>
                <w:rFonts w:ascii="Arial" w:hAnsi="Arial" w:cs="Arial"/>
                <w:sz w:val="16"/>
                <w:szCs w:val="16"/>
              </w:rPr>
              <w:t>nein</w:t>
            </w:r>
          </w:p>
        </w:tc>
        <w:tc>
          <w:tcPr>
            <w:tcW w:w="469" w:type="dxa"/>
            <w:tcBorders>
              <w:top w:val="nil"/>
              <w:left w:val="nil"/>
              <w:bottom w:val="single" w:sz="4" w:space="0" w:color="auto"/>
              <w:right w:val="single" w:sz="4" w:space="0" w:color="auto"/>
            </w:tcBorders>
            <w:shd w:val="clear" w:color="auto" w:fill="auto"/>
            <w:noWrap/>
          </w:tcPr>
          <w:p w:rsidR="009E0F3B" w:rsidRPr="00DD2A86" w:rsidRDefault="009E0F3B" w:rsidP="00A047EF">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9E0F3B" w:rsidRPr="00DD2A86" w:rsidRDefault="009E0F3B" w:rsidP="00A047EF">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p>
        </w:tc>
        <w:tc>
          <w:tcPr>
            <w:tcW w:w="524" w:type="dxa"/>
            <w:tcBorders>
              <w:top w:val="nil"/>
              <w:left w:val="nil"/>
              <w:bottom w:val="single" w:sz="4" w:space="0" w:color="auto"/>
              <w:right w:val="single" w:sz="4" w:space="0" w:color="auto"/>
            </w:tcBorders>
            <w:shd w:val="clear" w:color="auto" w:fill="auto"/>
            <w:noWrap/>
          </w:tcPr>
          <w:p w:rsidR="009E0F3B" w:rsidRPr="00DD2A86" w:rsidRDefault="009E0F3B" w:rsidP="00A047EF">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9E0F3B" w:rsidRPr="00DD2A86" w:rsidRDefault="009E0F3B" w:rsidP="00A047EF">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nil"/>
              <w:left w:val="nil"/>
              <w:bottom w:val="single" w:sz="4" w:space="0" w:color="auto"/>
              <w:right w:val="single" w:sz="4" w:space="0" w:color="auto"/>
            </w:tcBorders>
            <w:shd w:val="clear" w:color="auto" w:fill="auto"/>
            <w:noWrap/>
          </w:tcPr>
          <w:p w:rsidR="009E0F3B" w:rsidRPr="00DD2A86" w:rsidRDefault="009E0F3B" w:rsidP="00A047EF">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9E0F3B" w:rsidRPr="00DD2A86" w:rsidRDefault="009E0F3B" w:rsidP="00A047EF">
            <w:pPr>
              <w:suppressAutoHyphens w:val="0"/>
              <w:spacing w:after="240" w:line="240" w:lineRule="auto"/>
              <w:rPr>
                <w:rFonts w:ascii="Arial" w:hAnsi="Arial" w:cs="Arial"/>
                <w:sz w:val="16"/>
                <w:szCs w:val="16"/>
              </w:rPr>
            </w:pPr>
            <w:r w:rsidRPr="00DD2A86">
              <w:rPr>
                <w:rFonts w:ascii="Arial" w:hAnsi="Arial" w:cs="Arial"/>
                <w:sz w:val="16"/>
                <w:szCs w:val="16"/>
              </w:rPr>
              <w:t>2; 31</w:t>
            </w:r>
          </w:p>
        </w:tc>
      </w:tr>
      <w:tr w:rsidR="00C323D4" w:rsidRPr="00DD2A86" w:rsidTr="00E941A1">
        <w:trPr>
          <w:cantSplit/>
          <w:trHeight w:val="675"/>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1986</w:t>
            </w:r>
          </w:p>
        </w:tc>
        <w:tc>
          <w:tcPr>
            <w:tcW w:w="3375"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 xml:space="preserve">ALKOHOLE, ENTZÜNDBAR, GIFTIG, N.A.G. </w:t>
            </w:r>
          </w:p>
        </w:tc>
        <w:tc>
          <w:tcPr>
            <w:tcW w:w="425"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FT1</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w:t>
            </w:r>
          </w:p>
        </w:tc>
        <w:tc>
          <w:tcPr>
            <w:tcW w:w="14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3+6.1+(N1, N2, N3, CMR, F oder S)</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nein</w:t>
            </w:r>
          </w:p>
        </w:tc>
        <w:tc>
          <w:tcPr>
            <w:tcW w:w="46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12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27; 29; 44</w:t>
            </w:r>
            <w:r w:rsidRPr="00DD2A86">
              <w:rPr>
                <w:rFonts w:ascii="Arial" w:hAnsi="Arial" w:cs="Arial"/>
                <w:sz w:val="16"/>
                <w:szCs w:val="16"/>
              </w:rPr>
              <w:b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1986</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ALKOHOLE, ENTZÜNDBAR, GIFTIG, N.A.G.</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FT1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3+6.1+(N1, N2, N3, CMR, F oder S)</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nein</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27; 29; 44</w:t>
            </w:r>
            <w:r w:rsidRPr="00DD2A86">
              <w:rPr>
                <w:rFonts w:ascii="Arial" w:hAnsi="Arial" w:cs="Arial"/>
                <w:sz w:val="16"/>
                <w:szCs w:val="16"/>
              </w:rPr>
              <w:b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1986</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ALKOHOLE, ENTZÜNDBAR, GIFTIG, N.A.G.</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FT1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3+6.1+(N1, N2, N3, CMR, F oder S)</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nein</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27; 29; 44</w:t>
            </w:r>
            <w:r w:rsidRPr="00DD2A86">
              <w:rPr>
                <w:rFonts w:ascii="Arial" w:hAnsi="Arial" w:cs="Arial"/>
                <w:sz w:val="16"/>
                <w:szCs w:val="16"/>
              </w:rPr>
              <w:b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1986</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ALKOHOLE, ENTZÜNDBAR, GIFTIG, N.A.G.</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FT1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3+6.1+(N1, N2, N3, CMR, F oder S)</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nein</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0</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27; 29; 44</w:t>
            </w:r>
            <w:r w:rsidRPr="00DD2A86">
              <w:rPr>
                <w:rFonts w:ascii="Arial" w:hAnsi="Arial" w:cs="Arial"/>
                <w:sz w:val="16"/>
                <w:szCs w:val="16"/>
              </w:rPr>
              <w:b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1987</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ALKOHOLE, N.A.G.</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3+(N1, N2, N3, </w:t>
            </w:r>
            <w:r w:rsidRPr="00DD2A86">
              <w:rPr>
                <w:rFonts w:ascii="Arial" w:hAnsi="Arial" w:cs="Arial"/>
                <w:sz w:val="16"/>
                <w:szCs w:val="16"/>
              </w:rPr>
              <w:br w:type="page"/>
              <w:t>CMR, F oder S)</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14; 27; 29; 44</w:t>
            </w:r>
            <w:r w:rsidRPr="00DD2A86">
              <w:rPr>
                <w:rFonts w:ascii="Arial" w:hAnsi="Arial" w:cs="Arial"/>
                <w:sz w:val="16"/>
                <w:szCs w:val="16"/>
              </w:rPr>
              <w:br w:type="page"/>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1987</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ALKOHOLE, N.A.G.</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3+(N1, N2, N3, </w:t>
            </w:r>
            <w:r w:rsidRPr="00DD2A86">
              <w:rPr>
                <w:rFonts w:ascii="Arial" w:hAnsi="Arial" w:cs="Arial"/>
                <w:sz w:val="16"/>
                <w:szCs w:val="16"/>
              </w:rPr>
              <w:br/>
              <w:t>CMR, F oder S)</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0</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14; 27; 44</w:t>
            </w:r>
            <w:r w:rsidRPr="00DD2A86">
              <w:rPr>
                <w:rFonts w:ascii="Arial" w:hAnsi="Arial" w:cs="Arial"/>
                <w:sz w:val="16"/>
                <w:szCs w:val="16"/>
              </w:rPr>
              <w:b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1989</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ALDEHYDE, N.A.G.</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3+(N1, N2, N3, </w:t>
            </w:r>
            <w:r w:rsidRPr="00DD2A86">
              <w:rPr>
                <w:rFonts w:ascii="Arial" w:hAnsi="Arial" w:cs="Arial"/>
                <w:sz w:val="16"/>
                <w:szCs w:val="16"/>
              </w:rPr>
              <w:br/>
              <w:t>CMR, F oder S)</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14; 27; 29; 44</w:t>
            </w:r>
            <w:r w:rsidRPr="00DD2A86">
              <w:rPr>
                <w:rFonts w:ascii="Arial" w:hAnsi="Arial" w:cs="Arial"/>
                <w:sz w:val="16"/>
                <w:szCs w:val="16"/>
              </w:rPr>
              <w:br/>
              <w:t>*siehe 3.2.3.3</w:t>
            </w:r>
          </w:p>
        </w:tc>
      </w:tr>
      <w:tr w:rsidR="00C323D4" w:rsidRPr="00DD2A86" w:rsidTr="00E941A1">
        <w:trPr>
          <w:cantSplit/>
          <w:trHeight w:val="675"/>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1989</w:t>
            </w:r>
          </w:p>
        </w:tc>
        <w:tc>
          <w:tcPr>
            <w:tcW w:w="3375"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ALDEHYDE, N.A.G.</w:t>
            </w:r>
          </w:p>
        </w:tc>
        <w:tc>
          <w:tcPr>
            <w:tcW w:w="425"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III</w:t>
            </w:r>
          </w:p>
        </w:tc>
        <w:tc>
          <w:tcPr>
            <w:tcW w:w="14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3+(N1, N2, N3, </w:t>
            </w:r>
            <w:r w:rsidRPr="00DD2A86">
              <w:rPr>
                <w:rFonts w:ascii="Arial" w:hAnsi="Arial" w:cs="Arial"/>
                <w:sz w:val="16"/>
                <w:szCs w:val="16"/>
              </w:rPr>
              <w:br/>
              <w:t>CMR, F oder S)</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4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0</w:t>
            </w:r>
          </w:p>
        </w:tc>
        <w:tc>
          <w:tcPr>
            <w:tcW w:w="12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14; 27; 44</w:t>
            </w:r>
            <w:r w:rsidRPr="00DD2A86">
              <w:rPr>
                <w:rFonts w:ascii="Arial" w:hAnsi="Arial" w:cs="Arial"/>
                <w:sz w:val="16"/>
                <w:szCs w:val="16"/>
              </w:rPr>
              <w:br/>
              <w:t>*siehe 3.2.3.3</w:t>
            </w:r>
          </w:p>
        </w:tc>
      </w:tr>
      <w:tr w:rsidR="00C323D4" w:rsidRPr="00DD2A86" w:rsidTr="00E941A1">
        <w:trPr>
          <w:cantSplit/>
          <w:trHeight w:val="675"/>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1992</w:t>
            </w:r>
          </w:p>
        </w:tc>
        <w:tc>
          <w:tcPr>
            <w:tcW w:w="3375"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ENTZÜNDBARER FLÜSSIGER STOFF, GIFTIG, N.A.G.</w:t>
            </w:r>
          </w:p>
        </w:tc>
        <w:tc>
          <w:tcPr>
            <w:tcW w:w="425"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FT1</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w:t>
            </w:r>
          </w:p>
        </w:tc>
        <w:tc>
          <w:tcPr>
            <w:tcW w:w="14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3+6.1+(N1, N2, N3, CMR, F oder S)</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nein</w:t>
            </w:r>
          </w:p>
        </w:tc>
        <w:tc>
          <w:tcPr>
            <w:tcW w:w="46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12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27; 29; 44</w:t>
            </w:r>
            <w:r w:rsidRPr="00DD2A86">
              <w:rPr>
                <w:rFonts w:ascii="Arial" w:hAnsi="Arial" w:cs="Arial"/>
                <w:sz w:val="16"/>
                <w:szCs w:val="16"/>
              </w:rPr>
              <w:b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1992</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ENTZÜNDBARER FLÜSSIGER STOFF, GIFTIG, N.A.G.</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FT1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3+6.1+(N1, N2, N3, CMR, F oder S)</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nein</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27; 29; 44</w:t>
            </w:r>
            <w:r w:rsidRPr="00DD2A86">
              <w:rPr>
                <w:rFonts w:ascii="Arial" w:hAnsi="Arial" w:cs="Arial"/>
                <w:sz w:val="16"/>
                <w:szCs w:val="16"/>
              </w:rPr>
              <w:b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1992</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 xml:space="preserve">ENTZÜNDBARER FLÜSSIGER STOFF, GIFTIG, N.A.G. </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FT1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3+6.1+(N1, N2, N3, CMR, F oder S)</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nein</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27; 29; 44</w:t>
            </w:r>
            <w:r w:rsidRPr="00DD2A86">
              <w:rPr>
                <w:rFonts w:ascii="Arial" w:hAnsi="Arial" w:cs="Arial"/>
                <w:sz w:val="16"/>
                <w:szCs w:val="16"/>
              </w:rPr>
              <w:b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1992</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ENTZÜNDBARER FLÜSSIGER STOFF, GIFTIG, N.A.G.</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FT1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3+6.1+(N1, N2, N3, CMR, F oder S)</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nein</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0</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27; 29; 44</w:t>
            </w:r>
            <w:r w:rsidRPr="00DD2A86">
              <w:rPr>
                <w:rFonts w:ascii="Arial" w:hAnsi="Arial" w:cs="Arial"/>
                <w:sz w:val="16"/>
                <w:szCs w:val="16"/>
              </w:rPr>
              <w:b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1993</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 xml:space="preserve">ENTZÜNDBARER FLÜSSIGER STOFF, N.A.G. </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3+(N1, N2, N3, </w:t>
            </w:r>
            <w:r w:rsidRPr="00DD2A86">
              <w:rPr>
                <w:rFonts w:ascii="Arial" w:hAnsi="Arial" w:cs="Arial"/>
                <w:sz w:val="16"/>
                <w:szCs w:val="16"/>
              </w:rPr>
              <w:br w:type="page"/>
              <w:t>CMR, F)</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14; 44</w:t>
            </w:r>
            <w:r w:rsidRPr="00DD2A86">
              <w:rPr>
                <w:rFonts w:ascii="Arial" w:hAnsi="Arial" w:cs="Arial"/>
                <w:sz w:val="16"/>
                <w:szCs w:val="16"/>
              </w:rPr>
              <w:br w:type="page"/>
              <w:t>*siehe 3.2.3.3</w:t>
            </w:r>
          </w:p>
        </w:tc>
      </w:tr>
      <w:tr w:rsidR="00C323D4" w:rsidRPr="00DD2A86" w:rsidTr="00E941A1">
        <w:trPr>
          <w:cantSplit/>
          <w:trHeight w:val="675"/>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1993</w:t>
            </w:r>
          </w:p>
        </w:tc>
        <w:tc>
          <w:tcPr>
            <w:tcW w:w="3375"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ENTZÜNDBARER FLÜSSIGER STOFF, N.A.G.</w:t>
            </w:r>
          </w:p>
        </w:tc>
        <w:tc>
          <w:tcPr>
            <w:tcW w:w="425"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w:t>
            </w:r>
          </w:p>
        </w:tc>
        <w:tc>
          <w:tcPr>
            <w:tcW w:w="14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3+(N1, N2, N3, </w:t>
            </w:r>
            <w:r w:rsidRPr="00DD2A86">
              <w:rPr>
                <w:rFonts w:ascii="Arial" w:hAnsi="Arial" w:cs="Arial"/>
                <w:sz w:val="16"/>
                <w:szCs w:val="16"/>
              </w:rPr>
              <w:br/>
              <w:t>CMR, F)</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4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14; 44</w:t>
            </w:r>
            <w:r w:rsidRPr="00DD2A86">
              <w:rPr>
                <w:rFonts w:ascii="Arial" w:hAnsi="Arial" w:cs="Arial"/>
                <w:sz w:val="16"/>
                <w:szCs w:val="16"/>
              </w:rPr>
              <w:br/>
              <w:t>*siehe 3.2.3.3</w:t>
            </w:r>
          </w:p>
        </w:tc>
      </w:tr>
      <w:tr w:rsidR="00C323D4" w:rsidRPr="00DD2A86" w:rsidTr="00E941A1">
        <w:trPr>
          <w:cantSplit/>
          <w:trHeight w:val="675"/>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1993</w:t>
            </w:r>
          </w:p>
        </w:tc>
        <w:tc>
          <w:tcPr>
            <w:tcW w:w="3375"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ENTZÜNDBARER FLÜSSIGER STOFF, N.A.G.</w:t>
            </w:r>
          </w:p>
        </w:tc>
        <w:tc>
          <w:tcPr>
            <w:tcW w:w="425"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III</w:t>
            </w:r>
          </w:p>
        </w:tc>
        <w:tc>
          <w:tcPr>
            <w:tcW w:w="14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3+(N1, N2, N3, </w:t>
            </w:r>
            <w:r w:rsidRPr="00DD2A86">
              <w:rPr>
                <w:rFonts w:ascii="Arial" w:hAnsi="Arial" w:cs="Arial"/>
                <w:sz w:val="16"/>
                <w:szCs w:val="16"/>
              </w:rPr>
              <w:br/>
              <w:t>CMR, F)</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4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0</w:t>
            </w:r>
          </w:p>
        </w:tc>
        <w:tc>
          <w:tcPr>
            <w:tcW w:w="12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14; 44</w:t>
            </w:r>
            <w:r w:rsidRPr="00DD2A86">
              <w:rPr>
                <w:rFonts w:ascii="Arial" w:hAnsi="Arial" w:cs="Arial"/>
                <w:sz w:val="16"/>
                <w:szCs w:val="16"/>
              </w:rPr>
              <w:b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1993</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ENTZÜNDBARER FLÜSSIGER STOFF, N.A.G. MIT MEHR ALS 10 % BENZEN</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3+(N1, N2, N3, CMR, F)</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1993</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ENTZÜNDBARER FLÜSSIGER STOFF, N.A.G. MIT MEHR ALS 10 % BENZEN</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3+(N1, N2, N3, </w:t>
            </w:r>
            <w:r w:rsidRPr="00DD2A86">
              <w:rPr>
                <w:rFonts w:ascii="Arial" w:hAnsi="Arial" w:cs="Arial"/>
                <w:sz w:val="16"/>
                <w:szCs w:val="16"/>
              </w:rPr>
              <w:br w:type="page"/>
              <w:t>CMR, F)</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44</w:t>
            </w:r>
            <w:r w:rsidRPr="00DD2A86">
              <w:rPr>
                <w:rFonts w:ascii="Arial" w:hAnsi="Arial" w:cs="Arial"/>
                <w:sz w:val="16"/>
                <w:szCs w:val="16"/>
              </w:rPr>
              <w:br w:type="page"/>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1993</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ENTZÜNDBARER FLÜSSIGER STOFF, N.A.G. MIT MEHR ALS 10 % BENZEN</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3+(N1, N2, N3, CMR, F)</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1993</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ENTZÜNDBARER FLÜSSIGER STOFF, N.A.G. MIT MEHR ALS 10 % BENZEN</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3+(N1, N2, N3, </w:t>
            </w:r>
            <w:r w:rsidRPr="00DD2A86">
              <w:rPr>
                <w:rFonts w:ascii="Arial" w:hAnsi="Arial" w:cs="Arial"/>
                <w:sz w:val="16"/>
                <w:szCs w:val="16"/>
              </w:rPr>
              <w:br/>
              <w:t>CMR, F)</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44</w:t>
            </w:r>
            <w:r w:rsidRPr="00DD2A86">
              <w:rPr>
                <w:rFonts w:ascii="Arial" w:hAnsi="Arial" w:cs="Arial"/>
                <w:sz w:val="16"/>
                <w:szCs w:val="16"/>
              </w:rPr>
              <w:b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1993</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ENTZÜNDBARER FLÜSSIGER STOFF, N.A.G. MIT MEHR ALS 10 % BENZEN</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3+(N1, N2, N3, CMR, F)</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0</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1993</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ENTZÜNDBARER FLÜSSIGER STOFF, N.A.G. MIT MEHR ALS 10 % BENZEN</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3+(N1, N2, N3, </w:t>
            </w:r>
            <w:r w:rsidRPr="00DD2A86">
              <w:rPr>
                <w:rFonts w:ascii="Arial" w:hAnsi="Arial" w:cs="Arial"/>
                <w:sz w:val="16"/>
                <w:szCs w:val="16"/>
              </w:rPr>
              <w:br/>
              <w:t>CMR, F)</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0</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44</w:t>
            </w:r>
            <w:r w:rsidRPr="00DD2A86">
              <w:rPr>
                <w:rFonts w:ascii="Arial" w:hAnsi="Arial" w:cs="Arial"/>
                <w:sz w:val="16"/>
                <w:szCs w:val="16"/>
              </w:rPr>
              <w:b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1993</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 xml:space="preserve">ENTZÜNDBARER FLÜSSIGER STOFF, N.A.G. MIT MEHR ALS 10 % BENZEN </w:t>
            </w:r>
            <w:r w:rsidRPr="00DD2A86">
              <w:rPr>
                <w:rFonts w:ascii="Arial" w:hAnsi="Arial" w:cs="Arial"/>
                <w:sz w:val="16"/>
                <w:szCs w:val="16"/>
                <w:lang w:val="de-DE"/>
              </w:rPr>
              <w:br/>
              <w:t>SIEDEBEGINN ≤ 60 °C</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3+(N1, N2, N3, CMR, F)</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29; 44</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1993</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ENTZÜNDBARER FLÜSSIGER STOFF, N.A.G.</w:t>
            </w:r>
            <w:r w:rsidRPr="00DD2A86">
              <w:rPr>
                <w:rFonts w:ascii="Arial" w:hAnsi="Arial" w:cs="Arial"/>
                <w:sz w:val="16"/>
                <w:szCs w:val="16"/>
                <w:lang w:val="de-DE"/>
              </w:rPr>
              <w:br w:type="page"/>
              <w:t xml:space="preserve">MIT MEHR ALS 10 % BENZEN </w:t>
            </w:r>
            <w:r w:rsidRPr="00DD2A86">
              <w:rPr>
                <w:rFonts w:ascii="Arial" w:hAnsi="Arial" w:cs="Arial"/>
                <w:sz w:val="16"/>
                <w:szCs w:val="16"/>
                <w:lang w:val="de-DE"/>
              </w:rPr>
              <w:br w:type="page"/>
              <w:t>SIEDEBEGINN ≤ 60 °C</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3+(N1, N2, N3, CMR, F)</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29; 44</w:t>
            </w:r>
          </w:p>
        </w:tc>
      </w:tr>
      <w:tr w:rsidR="00C323D4" w:rsidRPr="00DD2A86" w:rsidTr="00E941A1">
        <w:trPr>
          <w:cantSplit/>
          <w:trHeight w:val="675"/>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1993</w:t>
            </w:r>
          </w:p>
        </w:tc>
        <w:tc>
          <w:tcPr>
            <w:tcW w:w="3375"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 xml:space="preserve">ENTZÜNDBARER FLÜSSIGER STOFF, N.A.G. MIT MEHR ALS 10 % BENZEN </w:t>
            </w:r>
            <w:r w:rsidRPr="00DD2A86">
              <w:rPr>
                <w:rFonts w:ascii="Arial" w:hAnsi="Arial" w:cs="Arial"/>
                <w:sz w:val="16"/>
                <w:szCs w:val="16"/>
                <w:lang w:val="de-DE"/>
              </w:rPr>
              <w:br/>
              <w:t>SIEDEBEGINN ≤ 60 °C</w:t>
            </w:r>
          </w:p>
        </w:tc>
        <w:tc>
          <w:tcPr>
            <w:tcW w:w="425"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III</w:t>
            </w:r>
          </w:p>
        </w:tc>
        <w:tc>
          <w:tcPr>
            <w:tcW w:w="14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3+(N1, N2, N3, CMR, F)</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0</w:t>
            </w:r>
          </w:p>
        </w:tc>
        <w:tc>
          <w:tcPr>
            <w:tcW w:w="12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29; 44</w:t>
            </w:r>
          </w:p>
        </w:tc>
      </w:tr>
      <w:tr w:rsidR="00C323D4" w:rsidRPr="00DD2A86" w:rsidTr="00E941A1">
        <w:trPr>
          <w:cantSplit/>
          <w:trHeight w:val="675"/>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1993</w:t>
            </w:r>
          </w:p>
        </w:tc>
        <w:tc>
          <w:tcPr>
            <w:tcW w:w="3375"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ENTZÜNDBARER FLÜSSIGER STOFF, N.A.G. MIT MEHR ALS 10 % BENZEN</w:t>
            </w:r>
            <w:r w:rsidRPr="00DD2A86">
              <w:rPr>
                <w:rFonts w:ascii="Arial" w:hAnsi="Arial" w:cs="Arial"/>
                <w:sz w:val="16"/>
                <w:szCs w:val="16"/>
                <w:lang w:val="de-DE"/>
              </w:rPr>
              <w:br/>
              <w:t>60 °C &lt; SIEDEBEGINN ≤ 85 °C</w:t>
            </w:r>
          </w:p>
        </w:tc>
        <w:tc>
          <w:tcPr>
            <w:tcW w:w="425"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w:t>
            </w:r>
          </w:p>
        </w:tc>
        <w:tc>
          <w:tcPr>
            <w:tcW w:w="14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3+(N1, N2, N3, CMR, F)</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50</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23; 29; 38; 44</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1993</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ENTZÜNDBARER FLÜSSIGER STOFF, N.A.G. MIT MEHR ALS 10 % BENZEN</w:t>
            </w:r>
            <w:r w:rsidRPr="00DD2A86">
              <w:rPr>
                <w:rFonts w:ascii="Arial" w:hAnsi="Arial" w:cs="Arial"/>
                <w:sz w:val="16"/>
                <w:szCs w:val="16"/>
                <w:lang w:val="de-DE"/>
              </w:rPr>
              <w:br/>
              <w:t>60 °C &lt; SIEDEBEGINN ≤ 85 °C</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3+(N1, N2, N3, CMR, F)</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50</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0</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23; 29; 38; 44</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1993</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ENTZÜNDBARER FLÜSSIGER STOFF, N.A.G. MIT MEHR ALS 10 % BENZEN</w:t>
            </w:r>
            <w:r w:rsidRPr="00DD2A86">
              <w:rPr>
                <w:rFonts w:ascii="Arial" w:hAnsi="Arial" w:cs="Arial"/>
                <w:sz w:val="16"/>
                <w:szCs w:val="16"/>
                <w:lang w:val="de-DE"/>
              </w:rPr>
              <w:br/>
              <w:t>85 °C &lt; SIEDEBEGINN ≤ 115 °C</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3+(N1, N2, N3, CMR, F)</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50</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29; 44</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1993</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ENTZÜNDBARER FLÜSSIGER STOFF, N.A.G. MIT MEHR ALS 10 % BENZEN</w:t>
            </w:r>
            <w:r w:rsidRPr="00DD2A86">
              <w:rPr>
                <w:rFonts w:ascii="Arial" w:hAnsi="Arial" w:cs="Arial"/>
                <w:sz w:val="16"/>
                <w:szCs w:val="16"/>
                <w:lang w:val="de-DE"/>
              </w:rPr>
              <w:br/>
              <w:t>85 °C &lt; SIEDEGEGINN ≤ 115 °C</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3+(N1, N2, N3, CMR, F)</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50</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0</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29; 44</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1993</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ENTZÜNDBARER FLÜSSIGER STOFF, N.A.G. MIT MEHR ALS 10 % BENZEN</w:t>
            </w:r>
            <w:r w:rsidRPr="00DD2A86">
              <w:rPr>
                <w:rFonts w:ascii="Arial" w:hAnsi="Arial" w:cs="Arial"/>
                <w:sz w:val="16"/>
                <w:szCs w:val="16"/>
                <w:lang w:val="de-DE"/>
              </w:rPr>
              <w:br/>
              <w:t>SIEDEBEGINN &gt; 115 °C</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3+(N1, N2, N3, CMR, F)</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35</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29; 44</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1993</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ENTZÜNDBARER FLÜSSIGER STOFF, N.A.G. MIT MEHR ALS 10 % BENZEN</w:t>
            </w:r>
            <w:r w:rsidRPr="00DD2A86">
              <w:rPr>
                <w:rFonts w:ascii="Arial" w:hAnsi="Arial" w:cs="Arial"/>
                <w:sz w:val="16"/>
                <w:szCs w:val="16"/>
                <w:lang w:val="de-DE"/>
              </w:rPr>
              <w:br/>
              <w:t>SIEDEBEGINN &gt; 115 °C</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3+(N1, N2, N3, CMR, F)</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35</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0</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29; 44</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2920</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ÄTZENDER FLÜSSIGER STOFF, ENTZÜNDBAR, N.A.G. (WÄSSERIGE LÖSUNG VON HEXADECYLTRIMETHYLAMINECHLORID (50 %) UND ETHANOL (35 %))</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8</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8+3+F</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N</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10</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0,9</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T2</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PP, EP, EX, A</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6: +7 ºC; 17; 34; 44</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2924</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 xml:space="preserve">ENTZÜNDBARER FLÜSSIGER STOFF, ÄTZEND, N.A.G. </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3+8+(N1, N2, N3, CMR, F oder S)</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27; 29; 44</w:t>
            </w:r>
            <w:r w:rsidRPr="00DD2A86">
              <w:rPr>
                <w:rFonts w:ascii="Arial" w:hAnsi="Arial" w:cs="Arial"/>
                <w:sz w:val="16"/>
                <w:szCs w:val="16"/>
              </w:rPr>
              <w:b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2924</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 xml:space="preserve">ENTZÜNDBARER FLÜSSIGER STOFF, ÄTZEND, N.A.G. </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3+8+(N1, N2, N3, CMR, F oder S)</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27; 29; 44</w:t>
            </w:r>
            <w:r w:rsidRPr="00DD2A86">
              <w:rPr>
                <w:rFonts w:ascii="Arial" w:hAnsi="Arial" w:cs="Arial"/>
                <w:sz w:val="16"/>
                <w:szCs w:val="16"/>
              </w:rPr>
              <w:b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2924</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ENTZÜNDBARER FLÜSSIGER STOFF, ÄTZEND, N.A.G.</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3+8+(N1, N2, N3, CMR, F oder S)</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27; 29; 44</w:t>
            </w:r>
            <w:r w:rsidRPr="00DD2A86">
              <w:rPr>
                <w:rFonts w:ascii="Arial" w:hAnsi="Arial" w:cs="Arial"/>
                <w:sz w:val="16"/>
                <w:szCs w:val="16"/>
              </w:rPr>
              <w:b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2924</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ENTZÜNDBARER FLÜSSIGER STOFF, ÄTZEND, N.A.G.</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3+8+(N1, N2, N3, </w:t>
            </w:r>
            <w:r w:rsidRPr="00DD2A86">
              <w:rPr>
                <w:rFonts w:ascii="Arial" w:hAnsi="Arial" w:cs="Arial"/>
                <w:sz w:val="16"/>
                <w:szCs w:val="16"/>
              </w:rPr>
              <w:br/>
              <w:t>CMR, F oder S)</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0</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27; 34</w:t>
            </w:r>
            <w:r w:rsidRPr="00DD2A86">
              <w:rPr>
                <w:rFonts w:ascii="Arial" w:hAnsi="Arial" w:cs="Arial"/>
                <w:sz w:val="16"/>
                <w:szCs w:val="16"/>
              </w:rPr>
              <w:b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2929</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 xml:space="preserve">GIFTIGER ORGANISCHER FLÜSSIGER STOFF, ENTZÜNDBAR, N.A.G. </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6.1</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6.1+3+(N1, N2, N3, CMR, F oder S)</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nein</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27; 29; 44</w:t>
            </w:r>
            <w:r w:rsidRPr="00DD2A86">
              <w:rPr>
                <w:rFonts w:ascii="Arial" w:hAnsi="Arial" w:cs="Arial"/>
                <w:sz w:val="16"/>
                <w:szCs w:val="16"/>
              </w:rPr>
              <w:b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2929</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 xml:space="preserve">GIFTIGER ORGANISCHER FLÜSSIGER STOFF, ENTZÜNDBAR, N.A.G. </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6.1</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6.1+3+(N1, N2, N3, CMR, F oder S)</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nein</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27; 29; 44</w:t>
            </w:r>
            <w:r w:rsidRPr="00DD2A86">
              <w:rPr>
                <w:rFonts w:ascii="Arial" w:hAnsi="Arial" w:cs="Arial"/>
                <w:sz w:val="16"/>
                <w:szCs w:val="16"/>
              </w:rPr>
              <w:b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3256</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ERWÄRMTER FLÜSSIGER STOFF, ENTZÜNDBAR, N.A.G., mit einem Flammpunkt über 60°C, bei oder über seinem Flammpunkt</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3+(N1, N2, N3, </w:t>
            </w:r>
            <w:r w:rsidRPr="00DD2A86">
              <w:rPr>
                <w:rFonts w:ascii="Arial" w:hAnsi="Arial" w:cs="Arial"/>
                <w:sz w:val="16"/>
                <w:szCs w:val="16"/>
              </w:rPr>
              <w:br w:type="page"/>
              <w:t>CMR, F oder S)</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0</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7; 17; 27; 44</w:t>
            </w:r>
            <w:r w:rsidRPr="00DD2A86">
              <w:rPr>
                <w:rFonts w:ascii="Arial" w:hAnsi="Arial" w:cs="Arial"/>
                <w:sz w:val="16"/>
                <w:szCs w:val="16"/>
              </w:rPr>
              <w:br w:type="page"/>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3271</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 xml:space="preserve">ETHER, N.A.G. </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3+(N1, N2, N3, </w:t>
            </w:r>
            <w:r w:rsidRPr="00DD2A86">
              <w:rPr>
                <w:rFonts w:ascii="Arial" w:hAnsi="Arial" w:cs="Arial"/>
                <w:sz w:val="16"/>
                <w:szCs w:val="16"/>
              </w:rPr>
              <w:br/>
              <w:t>CMR, F oder S)</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14, 27; 29; 44</w:t>
            </w:r>
            <w:r w:rsidRPr="00DD2A86">
              <w:rPr>
                <w:rFonts w:ascii="Arial" w:hAnsi="Arial" w:cs="Arial"/>
                <w:sz w:val="16"/>
                <w:szCs w:val="16"/>
              </w:rPr>
              <w:br/>
              <w:t>*siehe 3.2.3.3</w:t>
            </w:r>
          </w:p>
        </w:tc>
      </w:tr>
      <w:tr w:rsidR="00C323D4" w:rsidRPr="00DD2A86" w:rsidTr="00E941A1">
        <w:trPr>
          <w:cantSplit/>
          <w:trHeight w:val="675"/>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3271</w:t>
            </w:r>
          </w:p>
        </w:tc>
        <w:tc>
          <w:tcPr>
            <w:tcW w:w="3375"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ETHER, N.A.G.</w:t>
            </w:r>
          </w:p>
        </w:tc>
        <w:tc>
          <w:tcPr>
            <w:tcW w:w="425"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III</w:t>
            </w:r>
          </w:p>
        </w:tc>
        <w:tc>
          <w:tcPr>
            <w:tcW w:w="14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3+(N1, N2, N3, </w:t>
            </w:r>
            <w:r w:rsidRPr="00DD2A86">
              <w:rPr>
                <w:rFonts w:ascii="Arial" w:hAnsi="Arial" w:cs="Arial"/>
                <w:sz w:val="16"/>
                <w:szCs w:val="16"/>
              </w:rPr>
              <w:br/>
              <w:t>CMR, F oder S)</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4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0</w:t>
            </w:r>
          </w:p>
        </w:tc>
        <w:tc>
          <w:tcPr>
            <w:tcW w:w="12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14; 27; 44</w:t>
            </w:r>
            <w:r w:rsidRPr="00DD2A86">
              <w:rPr>
                <w:rFonts w:ascii="Arial" w:hAnsi="Arial" w:cs="Arial"/>
                <w:sz w:val="16"/>
                <w:szCs w:val="16"/>
              </w:rPr>
              <w:br/>
              <w:t>*siehe 3.2.3.3</w:t>
            </w:r>
          </w:p>
        </w:tc>
      </w:tr>
      <w:tr w:rsidR="00C323D4" w:rsidRPr="00DD2A86" w:rsidTr="00E941A1">
        <w:trPr>
          <w:cantSplit/>
          <w:trHeight w:val="675"/>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3272</w:t>
            </w:r>
          </w:p>
        </w:tc>
        <w:tc>
          <w:tcPr>
            <w:tcW w:w="3375"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 xml:space="preserve">ESTER, N.A.G. </w:t>
            </w:r>
          </w:p>
        </w:tc>
        <w:tc>
          <w:tcPr>
            <w:tcW w:w="425"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w:t>
            </w:r>
          </w:p>
        </w:tc>
        <w:tc>
          <w:tcPr>
            <w:tcW w:w="14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3+(N1, N2, N3, </w:t>
            </w:r>
            <w:r w:rsidRPr="00DD2A86">
              <w:rPr>
                <w:rFonts w:ascii="Arial" w:hAnsi="Arial" w:cs="Arial"/>
                <w:sz w:val="16"/>
                <w:szCs w:val="16"/>
              </w:rPr>
              <w:br/>
              <w:t>CMR, F oder S)</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T2</w:t>
            </w:r>
          </w:p>
        </w:tc>
        <w:tc>
          <w:tcPr>
            <w:tcW w:w="59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4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14, 27; 29; 44</w:t>
            </w:r>
            <w:r w:rsidRPr="00DD2A86">
              <w:rPr>
                <w:rFonts w:ascii="Arial" w:hAnsi="Arial" w:cs="Arial"/>
                <w:sz w:val="16"/>
                <w:szCs w:val="16"/>
              </w:rPr>
              <w:b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3272</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ESTER, N.A.G.</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3+(N1, N2, N3, </w:t>
            </w:r>
            <w:r w:rsidRPr="00DD2A86">
              <w:rPr>
                <w:rFonts w:ascii="Arial" w:hAnsi="Arial" w:cs="Arial"/>
                <w:sz w:val="16"/>
                <w:szCs w:val="16"/>
              </w:rPr>
              <w:br/>
              <w:t>CMR, F oder S)</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0</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14; 27; 44</w:t>
            </w:r>
            <w:r w:rsidRPr="00DD2A86">
              <w:rPr>
                <w:rFonts w:ascii="Arial" w:hAnsi="Arial" w:cs="Arial"/>
                <w:sz w:val="16"/>
                <w:szCs w:val="16"/>
              </w:rPr>
              <w:b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3286</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ENTZÜNDBARER FLÜSSIGER STOFF, GIFTIG, ÄTZEND, N.A.G.</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3+6.1+8+(N1, N2, N3, CMR, F oder S)</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nein</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27; 29; 44</w:t>
            </w:r>
            <w:r w:rsidRPr="00DD2A86">
              <w:rPr>
                <w:rFonts w:ascii="Arial" w:hAnsi="Arial" w:cs="Arial"/>
                <w:sz w:val="16"/>
                <w:szCs w:val="16"/>
              </w:rPr>
              <w:b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3286</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ENTZÜNDBARER FLÜSSIGER STOFF, GIFTIG, ÄTZEND, N.A.G.</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3+6.1+8+(N1, N2, N3, CMR, F oder S)</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nein</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27; 29; 44</w:t>
            </w:r>
            <w:r w:rsidRPr="00DD2A86">
              <w:rPr>
                <w:rFonts w:ascii="Arial" w:hAnsi="Arial" w:cs="Arial"/>
                <w:sz w:val="16"/>
                <w:szCs w:val="16"/>
              </w:rPr>
              <w:b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3286</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ENTZÜNDBARER FLÜSSIGER STOFF, GIFTIG, ÄTZEND, N.A.G.</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3+6.1+8+(N1, N2, N3, CMR, F oder S)</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nein</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27; 29; 44</w:t>
            </w:r>
            <w:r w:rsidRPr="00DD2A86">
              <w:rPr>
                <w:rFonts w:ascii="Arial" w:hAnsi="Arial" w:cs="Arial"/>
                <w:sz w:val="16"/>
                <w:szCs w:val="16"/>
              </w:rPr>
              <w:b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3295</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KOHLENWASSERSTOFFE, FLÜSSIG, N.A.G.</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3+(N1, N2, N3, </w:t>
            </w:r>
            <w:r w:rsidRPr="00DD2A86">
              <w:rPr>
                <w:rFonts w:ascii="Arial" w:hAnsi="Arial" w:cs="Arial"/>
                <w:sz w:val="16"/>
                <w:szCs w:val="16"/>
              </w:rPr>
              <w:br/>
              <w:t>CMR, F)</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14; 44</w:t>
            </w:r>
            <w:r w:rsidRPr="00DD2A86">
              <w:rPr>
                <w:rFonts w:ascii="Arial" w:hAnsi="Arial" w:cs="Arial"/>
                <w:sz w:val="16"/>
                <w:szCs w:val="16"/>
              </w:rPr>
              <w:b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3295</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 xml:space="preserve">KOHLENWASSERSTOFFE, FLÜSSIG, N.A.G. </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3+(N1, N2, N3, </w:t>
            </w:r>
            <w:r w:rsidRPr="00DD2A86">
              <w:rPr>
                <w:rFonts w:ascii="Arial" w:hAnsi="Arial" w:cs="Arial"/>
                <w:sz w:val="16"/>
                <w:szCs w:val="16"/>
              </w:rPr>
              <w:br/>
              <w:t>CMR, F)</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14; 44</w:t>
            </w:r>
            <w:r w:rsidRPr="00DD2A86">
              <w:rPr>
                <w:rFonts w:ascii="Arial" w:hAnsi="Arial" w:cs="Arial"/>
                <w:sz w:val="16"/>
                <w:szCs w:val="16"/>
              </w:rPr>
              <w:b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3295</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KOHLENWASSERSTOFFE, FLÜSSIG, N.A.G.</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3+(N1, N2, N3, </w:t>
            </w:r>
            <w:r w:rsidRPr="00DD2A86">
              <w:rPr>
                <w:rFonts w:ascii="Arial" w:hAnsi="Arial" w:cs="Arial"/>
                <w:sz w:val="16"/>
                <w:szCs w:val="16"/>
              </w:rPr>
              <w:br w:type="page"/>
              <w:t>CMR, F)</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0</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14; 44</w:t>
            </w:r>
            <w:r w:rsidRPr="00DD2A86">
              <w:rPr>
                <w:rFonts w:ascii="Arial" w:hAnsi="Arial" w:cs="Arial"/>
                <w:sz w:val="16"/>
                <w:szCs w:val="16"/>
              </w:rPr>
              <w:br w:type="page"/>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3295</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KOHLENWASSERSTOFFE, FLÜSSIG, N.A.G. MIT MEHR ALS 10 % BENZEN</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3+CMR+(N1, N2, N3)</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3295</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KOHLENWASSERSTOFFE, FLÜSSIG, N.A.G. MIT MEHR ALS 10 % BENZEN</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3+CMR+(N1, N2, N3)</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44</w:t>
            </w:r>
            <w:r w:rsidRPr="00DD2A86">
              <w:rPr>
                <w:rFonts w:ascii="Arial" w:hAnsi="Arial" w:cs="Arial"/>
                <w:sz w:val="16"/>
                <w:szCs w:val="16"/>
              </w:rPr>
              <w:b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3295</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KOHLENWASSERSTOFFE, FLÜSSIG, N.A.G. MIT MEHR ALS 10 % BENZEN</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3+CMR+(N1, N2, N3)</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3295</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KOHLENWASSERSTOFFE, FLÜSSIG, N.A.G. MIT MEHR ALS 10 % BENZEN</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3+CMR+(N1, N2, N3)</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44</w:t>
            </w:r>
            <w:r w:rsidRPr="00DD2A86">
              <w:rPr>
                <w:rFonts w:ascii="Arial" w:hAnsi="Arial" w:cs="Arial"/>
                <w:sz w:val="16"/>
                <w:szCs w:val="16"/>
              </w:rPr>
              <w:b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3295</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KOHLENWASSERSTOFFE, FLÜSSIG, N.A.G. MIT MEHR ALS 10 % BENZEN</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3+CMR+(N1, N2, N3)</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0</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3295</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KOHLENWASSERSTOFFE, FLÜSSIG, N.A.G. MIT MEHR ALS 10 % BENZEN</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3+CMR+(N1, N2, N3)</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0</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44</w:t>
            </w:r>
            <w:r w:rsidRPr="00DD2A86">
              <w:rPr>
                <w:rFonts w:ascii="Arial" w:hAnsi="Arial" w:cs="Arial"/>
                <w:sz w:val="16"/>
                <w:szCs w:val="16"/>
              </w:rPr>
              <w:br/>
              <w:t>*siehe 3.2.3.3</w:t>
            </w:r>
          </w:p>
        </w:tc>
      </w:tr>
      <w:tr w:rsidR="00C323D4" w:rsidRPr="00DD2A86" w:rsidTr="00E941A1">
        <w:trPr>
          <w:cantSplit/>
          <w:trHeight w:val="675"/>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3295</w:t>
            </w:r>
          </w:p>
        </w:tc>
        <w:tc>
          <w:tcPr>
            <w:tcW w:w="3375"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 xml:space="preserve">KOHLENWASSERSTOFFE, FLÜSSIG, N.A.G. MIT MEHR ALS 10 % BENZEN </w:t>
            </w:r>
            <w:r w:rsidRPr="00DD2A86">
              <w:rPr>
                <w:rFonts w:ascii="Arial" w:hAnsi="Arial" w:cs="Arial"/>
                <w:sz w:val="16"/>
                <w:szCs w:val="16"/>
                <w:lang w:val="de-DE"/>
              </w:rPr>
              <w:br/>
              <w:t>SIEDEBEGINN ≤ 60 °C</w:t>
            </w:r>
          </w:p>
        </w:tc>
        <w:tc>
          <w:tcPr>
            <w:tcW w:w="425"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w:t>
            </w:r>
          </w:p>
        </w:tc>
        <w:tc>
          <w:tcPr>
            <w:tcW w:w="14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3+CMR+(N1, N2, N3)</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29; 44</w:t>
            </w:r>
          </w:p>
        </w:tc>
      </w:tr>
      <w:tr w:rsidR="00C323D4" w:rsidRPr="00DD2A86" w:rsidTr="00E941A1">
        <w:trPr>
          <w:cantSplit/>
          <w:trHeight w:val="675"/>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3295</w:t>
            </w:r>
          </w:p>
        </w:tc>
        <w:tc>
          <w:tcPr>
            <w:tcW w:w="3375"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 xml:space="preserve">KOHLENWASSERSTOFFE, FLÜSSIG, N.A.G MIT MEHR ALS 10 % BENZEN </w:t>
            </w:r>
            <w:r w:rsidRPr="00DD2A86">
              <w:rPr>
                <w:rFonts w:ascii="Arial" w:hAnsi="Arial" w:cs="Arial"/>
                <w:sz w:val="16"/>
                <w:szCs w:val="16"/>
                <w:lang w:val="de-DE"/>
              </w:rPr>
              <w:br/>
              <w:t>SIEDEBEGINN ≤ 60 °C</w:t>
            </w:r>
          </w:p>
        </w:tc>
        <w:tc>
          <w:tcPr>
            <w:tcW w:w="425"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w:t>
            </w:r>
          </w:p>
        </w:tc>
        <w:tc>
          <w:tcPr>
            <w:tcW w:w="14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3+CMR+(N1, N2, N3)</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 </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 </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29; 44</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3295</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 xml:space="preserve">KOHLENWASSERSTOFFE, FLÜSSIG, N.A.G. MIT MEHR ALS 10 % BENZEN </w:t>
            </w:r>
            <w:r w:rsidRPr="00DD2A86">
              <w:rPr>
                <w:rFonts w:ascii="Arial" w:hAnsi="Arial" w:cs="Arial"/>
                <w:sz w:val="16"/>
                <w:szCs w:val="16"/>
                <w:lang w:val="de-DE"/>
              </w:rPr>
              <w:br/>
              <w:t>SIEDEBEGINN ≤ 60 °C</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3+CMR+(N1, N2, N3)</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0</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29; 44</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3295</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 xml:space="preserve">KOHLENWASSERSTOFFE, FLÜSSIG, N.A.G. MIT MEHR ALS 10 % BENZEN </w:t>
            </w:r>
            <w:r w:rsidRPr="00DD2A86">
              <w:rPr>
                <w:rFonts w:ascii="Arial" w:hAnsi="Arial" w:cs="Arial"/>
                <w:sz w:val="16"/>
                <w:szCs w:val="16"/>
                <w:lang w:val="de-DE"/>
              </w:rPr>
              <w:br/>
              <w:t>60 °C &lt; SIEDEBEGINN ≤  85 °C</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3+CMR+(N1, N2, N3)</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50</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23; 29; 38; 44</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3295</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 xml:space="preserve">KOHLENWASSERSTOFFE, FLÜSSIG, N.A.G. MIT MEHR ALS 10 % BENZEN </w:t>
            </w:r>
            <w:r w:rsidRPr="00DD2A86">
              <w:rPr>
                <w:rFonts w:ascii="Arial" w:hAnsi="Arial" w:cs="Arial"/>
                <w:sz w:val="16"/>
                <w:szCs w:val="16"/>
                <w:lang w:val="de-DE"/>
              </w:rPr>
              <w:br/>
              <w:t>60 °C &lt; SIEDEBEGINN ≤ 85 °C</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3+CMR+(N1, N2, N3)</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50</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0</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23; 29; 38; 44</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3295</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 xml:space="preserve">KOHLENWASSERSTOFFE, FLÜSSIG, N.A.G. MIT MEHR ALS 10 % BENZEN </w:t>
            </w:r>
            <w:r w:rsidRPr="00DD2A86">
              <w:rPr>
                <w:rFonts w:ascii="Arial" w:hAnsi="Arial" w:cs="Arial"/>
                <w:sz w:val="16"/>
                <w:szCs w:val="16"/>
                <w:lang w:val="de-DE"/>
              </w:rPr>
              <w:br/>
              <w:t>85 °C &lt; SIEDEBEGINN ≤ 115 °C</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3+CMR+(N1, N2, N3)</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50</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29; 44</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3295</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 xml:space="preserve">KOHLENWASSERSTOFFE, FLÜSSIG, N.A.G. MIT MEHR ALS 10 % BENZEN </w:t>
            </w:r>
            <w:r w:rsidRPr="00DD2A86">
              <w:rPr>
                <w:rFonts w:ascii="Arial" w:hAnsi="Arial" w:cs="Arial"/>
                <w:sz w:val="16"/>
                <w:szCs w:val="16"/>
                <w:lang w:val="de-DE"/>
              </w:rPr>
              <w:br/>
              <w:t>85 °C &lt; SIEDEBEGINN ≤ 115 °C</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3+CMR+(N1, N2, N3)</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50</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0</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29; 44</w:t>
            </w:r>
          </w:p>
        </w:tc>
      </w:tr>
      <w:tr w:rsidR="00C323D4" w:rsidRPr="00DD2A86" w:rsidTr="00E941A1">
        <w:trPr>
          <w:cantSplit/>
          <w:trHeight w:val="675"/>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3295</w:t>
            </w:r>
          </w:p>
        </w:tc>
        <w:tc>
          <w:tcPr>
            <w:tcW w:w="3375"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KOHLENWASSERSTOFFE, FLÜSSIG, N.A.G.</w:t>
            </w:r>
            <w:r w:rsidRPr="00DD2A86">
              <w:rPr>
                <w:rFonts w:ascii="Arial" w:hAnsi="Arial" w:cs="Arial"/>
                <w:sz w:val="16"/>
                <w:szCs w:val="16"/>
                <w:lang w:val="de-DE"/>
              </w:rPr>
              <w:br w:type="page"/>
              <w:t xml:space="preserve">MIT MEHR ALS 10 % BENZEN </w:t>
            </w:r>
            <w:r w:rsidRPr="00DD2A86">
              <w:rPr>
                <w:rFonts w:ascii="Arial" w:hAnsi="Arial" w:cs="Arial"/>
                <w:sz w:val="16"/>
                <w:szCs w:val="16"/>
                <w:lang w:val="de-DE"/>
              </w:rPr>
              <w:br w:type="page"/>
              <w:t>SIEDEBEGINN &gt; 115 °C</w:t>
            </w:r>
          </w:p>
        </w:tc>
        <w:tc>
          <w:tcPr>
            <w:tcW w:w="425"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w:t>
            </w:r>
          </w:p>
        </w:tc>
        <w:tc>
          <w:tcPr>
            <w:tcW w:w="14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3+CMR+(N1, N2, N3)</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35</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29; 44</w:t>
            </w:r>
          </w:p>
        </w:tc>
      </w:tr>
      <w:tr w:rsidR="00C323D4" w:rsidRPr="00DD2A86" w:rsidTr="00E941A1">
        <w:trPr>
          <w:cantSplit/>
          <w:trHeight w:val="675"/>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3295</w:t>
            </w:r>
          </w:p>
        </w:tc>
        <w:tc>
          <w:tcPr>
            <w:tcW w:w="3375"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 xml:space="preserve">KOHLENWASSERSTOFFE, FLÜSSIG, N.A.G. MIT MEHR ALS 10 % BENZEN </w:t>
            </w:r>
            <w:r w:rsidRPr="00DD2A86">
              <w:rPr>
                <w:rFonts w:ascii="Arial" w:hAnsi="Arial" w:cs="Arial"/>
                <w:sz w:val="16"/>
                <w:szCs w:val="16"/>
                <w:lang w:val="de-DE"/>
              </w:rPr>
              <w:br/>
              <w:t>SIEDEBEGINN &gt; 115 °C</w:t>
            </w:r>
          </w:p>
        </w:tc>
        <w:tc>
          <w:tcPr>
            <w:tcW w:w="425"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III</w:t>
            </w:r>
          </w:p>
        </w:tc>
        <w:tc>
          <w:tcPr>
            <w:tcW w:w="14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3+CMR+(N1, N2, N3)</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35</w:t>
            </w:r>
          </w:p>
        </w:tc>
        <w:tc>
          <w:tcPr>
            <w:tcW w:w="524"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single" w:sz="4" w:space="0" w:color="auto"/>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0</w:t>
            </w:r>
          </w:p>
        </w:tc>
        <w:tc>
          <w:tcPr>
            <w:tcW w:w="1240" w:type="dxa"/>
            <w:tcBorders>
              <w:top w:val="single" w:sz="4" w:space="0" w:color="auto"/>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29; 44</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3295</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KOHLENWASSERSTOFFE, FLÜSSIG, N.A.G., ISOPREN UND PENTADIEN ENTHALTEND, STABILISIERT</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3+inst.+N2+CMR</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50</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0,678</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PP, EX, A</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 27; 44</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3494</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 xml:space="preserve">SCHWEFELREICHES ROHERDÖL, ENTZÜNDBAR, GIFTIG </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FT1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3+6.1+(N1, N2, N3, CMR, F)</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nein</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14; 27; 44</w:t>
            </w:r>
            <w:r w:rsidRPr="00DD2A86">
              <w:rPr>
                <w:rFonts w:ascii="Arial" w:hAnsi="Arial" w:cs="Arial"/>
                <w:sz w:val="16"/>
                <w:szCs w:val="16"/>
              </w:rPr>
              <w:br/>
              <w:t>* 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3494</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SCHWEFELREICHES ROHERDÖL, ENTZÜNDBAR, GIFTIG</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FT1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3+6.1+(N1, N2, N3, CMR, F)</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nein</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14; 27; 44</w:t>
            </w:r>
            <w:r w:rsidRPr="00DD2A86">
              <w:rPr>
                <w:rFonts w:ascii="Arial" w:hAnsi="Arial" w:cs="Arial"/>
                <w:sz w:val="16"/>
                <w:szCs w:val="16"/>
              </w:rPr>
              <w:br/>
              <w:t>* 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3494</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SCHWEFELREICHES ROHERDÖL, ENTZÜNDBAR, GIFTIG</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FT1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III</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3+6.1+(N1, N2, N3, CMR, F)</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trike/>
                <w:sz w:val="16"/>
                <w:szCs w:val="16"/>
              </w:rPr>
            </w:pPr>
            <w:r w:rsidRPr="00DD2A86">
              <w:rPr>
                <w:rFonts w:ascii="Arial" w:hAnsi="Arial" w:cs="Arial"/>
                <w:sz w:val="16"/>
                <w:szCs w:val="16"/>
              </w:rPr>
              <w:t>2</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nein</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fr-FR"/>
              </w:rPr>
            </w:pPr>
            <w:r w:rsidRPr="00DD2A86">
              <w:rPr>
                <w:rFonts w:ascii="Arial" w:hAnsi="Arial" w:cs="Arial"/>
                <w:sz w:val="16"/>
                <w:szCs w:val="16"/>
                <w:lang w:val="fr-FR"/>
              </w:rPr>
              <w:t>PP, EP, EX, TOX, A</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0</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14; 27; 44</w:t>
            </w:r>
            <w:r w:rsidRPr="00DD2A86">
              <w:rPr>
                <w:rFonts w:ascii="Arial" w:hAnsi="Arial" w:cs="Arial"/>
                <w:sz w:val="16"/>
                <w:szCs w:val="16"/>
              </w:rPr>
              <w:br/>
              <w:t>* 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9001</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 xml:space="preserve">STOFFE MIT EINEM FLAMMPUNKT ÜBER 60 °C, DIE IN EINEM BEREICH VON 15 K </w:t>
            </w:r>
            <w:r w:rsidRPr="00DD2A86">
              <w:rPr>
                <w:rFonts w:ascii="Arial" w:hAnsi="Arial" w:cs="Arial"/>
                <w:sz w:val="16"/>
                <w:szCs w:val="16"/>
                <w:lang w:val="de-DE"/>
              </w:rPr>
              <w:br/>
              <w:t>UNTERHALB DES FLAMMPUNKTS ERWÄRMT zur Beförderung aufgegeben oder befördert werden</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F4</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3+(N1, N2, N3, </w:t>
            </w:r>
            <w:r w:rsidRPr="00DD2A86">
              <w:rPr>
                <w:rFonts w:ascii="Arial" w:hAnsi="Arial" w:cs="Arial"/>
                <w:sz w:val="16"/>
                <w:szCs w:val="16"/>
              </w:rPr>
              <w:br/>
              <w:t>CMR, F oder S)</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xml:space="preserve">T4 </w:t>
            </w:r>
            <w:r w:rsidRPr="00DD2A86">
              <w:rPr>
                <w:rFonts w:ascii="Arial" w:hAnsi="Arial" w:cs="Arial"/>
                <w:sz w:val="16"/>
                <w:szCs w:val="16"/>
                <w:vertAlign w:val="superscript"/>
              </w:rPr>
              <w:t>3)</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0</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27; 44</w:t>
            </w:r>
            <w:r w:rsidRPr="00DD2A86">
              <w:rPr>
                <w:rFonts w:ascii="Arial" w:hAnsi="Arial" w:cs="Arial"/>
                <w:sz w:val="16"/>
                <w:szCs w:val="16"/>
              </w:rPr>
              <w:br/>
              <w:t>*siehe 3.2.3.3</w:t>
            </w:r>
          </w:p>
        </w:tc>
      </w:tr>
      <w:tr w:rsidR="00C323D4" w:rsidRPr="00DD2A86" w:rsidTr="00E941A1">
        <w:trPr>
          <w:cantSplit/>
          <w:trHeight w:val="675"/>
        </w:trPr>
        <w:tc>
          <w:tcPr>
            <w:tcW w:w="540" w:type="dxa"/>
            <w:tcBorders>
              <w:top w:val="nil"/>
              <w:left w:val="single" w:sz="4" w:space="0" w:color="auto"/>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9002</w:t>
            </w:r>
          </w:p>
        </w:tc>
        <w:tc>
          <w:tcPr>
            <w:tcW w:w="3375"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lang w:val="de-DE"/>
              </w:rPr>
            </w:pPr>
            <w:r w:rsidRPr="00DD2A86">
              <w:rPr>
                <w:rFonts w:ascii="Arial" w:hAnsi="Arial" w:cs="Arial"/>
                <w:sz w:val="16"/>
                <w:szCs w:val="16"/>
                <w:lang w:val="de-DE"/>
              </w:rPr>
              <w:t>STOFFE MIT EINER ZÜNDTEMPERATUR ≤ 200°C, N.A.G.</w:t>
            </w:r>
          </w:p>
        </w:tc>
        <w:tc>
          <w:tcPr>
            <w:tcW w:w="425"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w:t>
            </w:r>
          </w:p>
        </w:tc>
        <w:tc>
          <w:tcPr>
            <w:tcW w:w="452"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F5</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14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3+(N1, N2, N3, CMR, F oder S)</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C</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40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524"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95</w:t>
            </w:r>
          </w:p>
        </w:tc>
        <w:tc>
          <w:tcPr>
            <w:tcW w:w="70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 </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1</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46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T4</w:t>
            </w:r>
          </w:p>
        </w:tc>
        <w:tc>
          <w:tcPr>
            <w:tcW w:w="599"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II B</w:t>
            </w:r>
            <w:r w:rsidRPr="00DD2A86">
              <w:rPr>
                <w:rFonts w:ascii="Arial" w:hAnsi="Arial" w:cs="Arial"/>
                <w:sz w:val="16"/>
                <w:szCs w:val="16"/>
                <w:vertAlign w:val="superscript"/>
              </w:rPr>
              <w:t>4)</w:t>
            </w:r>
            <w:r w:rsidRPr="00DD2A86">
              <w:rPr>
                <w:rFonts w:ascii="Arial" w:hAnsi="Arial" w:cs="Arial"/>
                <w:sz w:val="16"/>
                <w:szCs w:val="16"/>
              </w:rPr>
              <w:br/>
              <w:t>(II B3)</w:t>
            </w:r>
          </w:p>
        </w:tc>
        <w:tc>
          <w:tcPr>
            <w:tcW w:w="524"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ja</w:t>
            </w:r>
          </w:p>
        </w:tc>
        <w:tc>
          <w:tcPr>
            <w:tcW w:w="66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w:t>
            </w:r>
          </w:p>
        </w:tc>
        <w:tc>
          <w:tcPr>
            <w:tcW w:w="440" w:type="dxa"/>
            <w:tcBorders>
              <w:top w:val="nil"/>
              <w:left w:val="nil"/>
              <w:bottom w:val="single" w:sz="4" w:space="0" w:color="auto"/>
              <w:right w:val="single" w:sz="4" w:space="0" w:color="auto"/>
            </w:tcBorders>
            <w:shd w:val="clear" w:color="auto" w:fill="auto"/>
            <w:noWrap/>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0</w:t>
            </w:r>
          </w:p>
        </w:tc>
        <w:tc>
          <w:tcPr>
            <w:tcW w:w="1240" w:type="dxa"/>
            <w:tcBorders>
              <w:top w:val="nil"/>
              <w:left w:val="nil"/>
              <w:bottom w:val="single" w:sz="4" w:space="0" w:color="auto"/>
              <w:right w:val="single" w:sz="4" w:space="0" w:color="auto"/>
            </w:tcBorders>
            <w:shd w:val="clear" w:color="auto" w:fill="auto"/>
          </w:tcPr>
          <w:p w:rsidR="00C323D4" w:rsidRPr="00DD2A86" w:rsidRDefault="00C323D4" w:rsidP="00C323D4">
            <w:pPr>
              <w:suppressAutoHyphens w:val="0"/>
              <w:spacing w:after="240" w:line="240" w:lineRule="auto"/>
              <w:rPr>
                <w:rFonts w:ascii="Arial" w:hAnsi="Arial" w:cs="Arial"/>
                <w:sz w:val="16"/>
                <w:szCs w:val="16"/>
              </w:rPr>
            </w:pPr>
            <w:r w:rsidRPr="00DD2A86">
              <w:rPr>
                <w:rFonts w:ascii="Arial" w:hAnsi="Arial" w:cs="Arial"/>
                <w:sz w:val="16"/>
                <w:szCs w:val="16"/>
              </w:rPr>
              <w:t>44</w:t>
            </w:r>
            <w:r w:rsidRPr="00DD2A86">
              <w:rPr>
                <w:rFonts w:ascii="Arial" w:hAnsi="Arial" w:cs="Arial"/>
                <w:sz w:val="16"/>
                <w:szCs w:val="16"/>
              </w:rPr>
              <w:br/>
              <w:t>*siehe 3.2.3.3</w:t>
            </w:r>
          </w:p>
        </w:tc>
      </w:tr>
    </w:tbl>
    <w:p w:rsidR="009E0F3B" w:rsidRPr="00DD2A86" w:rsidRDefault="009E0F3B" w:rsidP="009E0F3B">
      <w:pPr>
        <w:tabs>
          <w:tab w:val="left" w:pos="2835"/>
        </w:tabs>
        <w:spacing w:after="120"/>
        <w:ind w:left="1134" w:right="1134"/>
        <w:jc w:val="both"/>
        <w:rPr>
          <w:rFonts w:eastAsiaTheme="minorHAnsi"/>
          <w:i/>
          <w:lang w:val="de-DE"/>
        </w:rPr>
      </w:pPr>
    </w:p>
    <w:p w:rsidR="00C323D4" w:rsidRPr="00DD2A86" w:rsidRDefault="00C323D4" w:rsidP="009E0F3B">
      <w:pPr>
        <w:tabs>
          <w:tab w:val="left" w:pos="2835"/>
        </w:tabs>
        <w:ind w:left="1134" w:right="1134"/>
        <w:jc w:val="both"/>
        <w:rPr>
          <w:b/>
          <w:sz w:val="24"/>
          <w:szCs w:val="24"/>
          <w:lang w:val="de-DE"/>
        </w:rPr>
      </w:pPr>
    </w:p>
    <w:p w:rsidR="00B73DBE" w:rsidRPr="00DD2A86" w:rsidRDefault="00B73DBE" w:rsidP="00C323D4">
      <w:pPr>
        <w:spacing w:after="120"/>
        <w:ind w:left="1134" w:right="1134"/>
        <w:jc w:val="both"/>
        <w:rPr>
          <w:b/>
          <w:sz w:val="24"/>
          <w:szCs w:val="24"/>
          <w:lang w:val="de-DE"/>
        </w:rPr>
        <w:sectPr w:rsidR="00B73DBE" w:rsidRPr="00DD2A86" w:rsidSect="00E941A1">
          <w:headerReference w:type="even" r:id="rId51"/>
          <w:headerReference w:type="default" r:id="rId52"/>
          <w:footerReference w:type="even" r:id="rId53"/>
          <w:footerReference w:type="default" r:id="rId54"/>
          <w:endnotePr>
            <w:numFmt w:val="decimal"/>
          </w:endnotePr>
          <w:pgSz w:w="16840" w:h="11907" w:orient="landscape" w:code="9"/>
          <w:pgMar w:top="1134" w:right="1134" w:bottom="1134" w:left="1134" w:header="709" w:footer="709" w:gutter="0"/>
          <w:cols w:space="720"/>
          <w:docGrid w:linePitch="299"/>
        </w:sectPr>
      </w:pPr>
    </w:p>
    <w:p w:rsidR="00FF5886" w:rsidRPr="00DD2A86" w:rsidRDefault="00672848" w:rsidP="008E3F21">
      <w:pPr>
        <w:spacing w:before="240"/>
        <w:ind w:left="1134"/>
        <w:jc w:val="both"/>
        <w:rPr>
          <w:rFonts w:eastAsia="Calibri"/>
          <w:lang w:val="de-DE" w:eastAsia="de-DE"/>
        </w:rPr>
      </w:pPr>
      <w:r w:rsidRPr="00DD2A86">
        <w:rPr>
          <w:rFonts w:eastAsia="Calibri"/>
          <w:lang w:val="de-DE" w:eastAsia="de-DE"/>
        </w:rPr>
        <w:t>3.2.3.2 Fußnoten zur Stoffliste</w:t>
      </w:r>
    </w:p>
    <w:p w:rsidR="00FF5886" w:rsidRPr="00DD2A86" w:rsidRDefault="00FF5886" w:rsidP="008E3F21">
      <w:pPr>
        <w:spacing w:before="120"/>
        <w:ind w:left="1134"/>
        <w:jc w:val="both"/>
        <w:rPr>
          <w:rFonts w:eastAsia="Calibri"/>
          <w:lang w:val="de-DE" w:eastAsia="de-DE"/>
        </w:rPr>
      </w:pPr>
      <w:r w:rsidRPr="00DD2A86">
        <w:rPr>
          <w:rFonts w:eastAsia="Calibri"/>
          <w:lang w:val="de-DE" w:eastAsia="de-DE"/>
        </w:rPr>
        <w:t>Die Überschrift „Fußnoten zur Stoffliste“ ändern</w:t>
      </w:r>
      <w:r w:rsidR="005D3E13" w:rsidRPr="00DD2A86">
        <w:rPr>
          <w:rFonts w:eastAsia="Calibri"/>
          <w:lang w:val="de-DE" w:eastAsia="de-DE"/>
        </w:rPr>
        <w:t xml:space="preserve"> in</w:t>
      </w:r>
      <w:r w:rsidRPr="00DD2A86">
        <w:rPr>
          <w:rFonts w:eastAsia="Calibri"/>
          <w:lang w:val="de-DE" w:eastAsia="de-DE"/>
        </w:rPr>
        <w:t>: „Fußnoten zur Tabelle C“.</w:t>
      </w:r>
    </w:p>
    <w:p w:rsidR="004F7853" w:rsidRPr="00DD2A86" w:rsidRDefault="009E0F3B" w:rsidP="008E3F21">
      <w:pPr>
        <w:spacing w:before="240"/>
        <w:ind w:left="1134"/>
        <w:jc w:val="both"/>
        <w:rPr>
          <w:rFonts w:eastAsia="Calibri"/>
          <w:lang w:val="de-DE" w:eastAsia="de-DE"/>
        </w:rPr>
      </w:pPr>
      <w:r w:rsidRPr="00DD2A86">
        <w:rPr>
          <w:rFonts w:eastAsia="Calibri"/>
          <w:lang w:val="de-DE" w:eastAsia="de-DE"/>
        </w:rPr>
        <w:t>3.2.3.2 Fußnoten zur Tabelle C</w:t>
      </w:r>
    </w:p>
    <w:p w:rsidR="004F7853" w:rsidRPr="00DD2A86" w:rsidRDefault="004F7853" w:rsidP="008E3F21">
      <w:pPr>
        <w:spacing w:before="120"/>
        <w:ind w:left="1134"/>
        <w:jc w:val="both"/>
        <w:rPr>
          <w:rFonts w:eastAsia="Calibri"/>
          <w:lang w:val="de-DE" w:eastAsia="de-DE"/>
        </w:rPr>
      </w:pPr>
      <w:r w:rsidRPr="00DD2A86">
        <w:rPr>
          <w:rFonts w:eastAsia="Calibri"/>
          <w:lang w:val="de-DE" w:eastAsia="de-DE"/>
        </w:rPr>
        <w:t>„</w:t>
      </w:r>
      <w:r w:rsidRPr="00DD2A86">
        <w:rPr>
          <w:rFonts w:eastAsia="Calibri"/>
          <w:vertAlign w:val="superscript"/>
          <w:lang w:val="de-DE" w:eastAsia="de-DE"/>
        </w:rPr>
        <w:t>12)</w:t>
      </w:r>
      <w:r w:rsidRPr="00DD2A86">
        <w:rPr>
          <w:rFonts w:eastAsia="Calibri"/>
          <w:lang w:val="de-DE" w:eastAsia="de-DE"/>
        </w:rPr>
        <w:t xml:space="preserve"> (gestrichen)“ ändern in:</w:t>
      </w:r>
      <w:r w:rsidR="00C30E39" w:rsidRPr="00DD2A86">
        <w:rPr>
          <w:rFonts w:eastAsia="Calibri"/>
          <w:lang w:val="de-DE" w:eastAsia="de-DE"/>
        </w:rPr>
        <w:t xml:space="preserve"> </w:t>
      </w:r>
      <w:r w:rsidRPr="00DD2A86">
        <w:rPr>
          <w:rFonts w:eastAsia="Calibri"/>
          <w:lang w:val="de-DE" w:eastAsia="de-DE"/>
        </w:rPr>
        <w:t>„</w:t>
      </w:r>
      <w:r w:rsidRPr="00DD2A86">
        <w:rPr>
          <w:rFonts w:eastAsia="Calibri"/>
          <w:vertAlign w:val="superscript"/>
          <w:lang w:val="de-DE" w:eastAsia="de-DE"/>
        </w:rPr>
        <w:t>12)</w:t>
      </w:r>
      <w:r w:rsidRPr="00DD2A86">
        <w:rPr>
          <w:rFonts w:eastAsia="Calibri"/>
          <w:lang w:val="de-DE" w:eastAsia="de-DE"/>
        </w:rPr>
        <w:t xml:space="preserve"> Diese Temperaturklasse findet keine Anwendung für die Auswahl der explosionsgeschützten Anlagen und Geräte. Die Oberflächentemperatur der explosionsgeschützten Anlagen und Geräte darf 200 °C nicht überschreiten.“.</w:t>
      </w:r>
    </w:p>
    <w:p w:rsidR="004F7853" w:rsidRPr="00DD2A86" w:rsidRDefault="002B098A" w:rsidP="007369DF">
      <w:pPr>
        <w:tabs>
          <w:tab w:val="left" w:pos="2268"/>
        </w:tabs>
        <w:spacing w:before="120"/>
        <w:ind w:left="1134"/>
        <w:jc w:val="both"/>
        <w:rPr>
          <w:rFonts w:eastAsia="Calibri"/>
          <w:lang w:val="de-DE" w:eastAsia="de-DE"/>
        </w:rPr>
      </w:pPr>
      <w:r w:rsidRPr="00DD2A86">
        <w:rPr>
          <w:rFonts w:eastAsia="Calibri"/>
          <w:lang w:val="de-DE" w:eastAsia="de-DE"/>
        </w:rPr>
        <w:t>3.2.3.2</w:t>
      </w:r>
      <w:r w:rsidR="007369DF" w:rsidRPr="00DD2A86">
        <w:rPr>
          <w:rFonts w:eastAsia="Calibri"/>
          <w:lang w:val="de-DE" w:eastAsia="de-DE"/>
        </w:rPr>
        <w:tab/>
      </w:r>
      <w:r w:rsidR="004F7853" w:rsidRPr="00DD2A86">
        <w:rPr>
          <w:rFonts w:eastAsia="Calibri"/>
          <w:lang w:val="de-DE" w:eastAsia="de-DE"/>
        </w:rPr>
        <w:t>Diese Fußnote 12) zu allen Einträgen T1 und T2 der Spalte (15) einfügen.</w:t>
      </w:r>
    </w:p>
    <w:p w:rsidR="004E72E0" w:rsidRPr="00DD2A86" w:rsidRDefault="004E72E0" w:rsidP="008E3F21">
      <w:pPr>
        <w:tabs>
          <w:tab w:val="left" w:pos="2268"/>
        </w:tabs>
        <w:kinsoku w:val="0"/>
        <w:overflowPunct w:val="0"/>
        <w:autoSpaceDE w:val="0"/>
        <w:autoSpaceDN w:val="0"/>
        <w:adjustRightInd w:val="0"/>
        <w:snapToGrid w:val="0"/>
        <w:spacing w:before="120" w:after="120"/>
        <w:ind w:left="1134"/>
        <w:jc w:val="both"/>
        <w:rPr>
          <w:rFonts w:eastAsiaTheme="minorHAnsi"/>
          <w:bCs/>
          <w:lang w:val="de-DE"/>
        </w:rPr>
      </w:pPr>
      <w:r w:rsidRPr="00DD2A86">
        <w:rPr>
          <w:rFonts w:eastAsiaTheme="minorHAnsi"/>
          <w:lang w:val="de-DE"/>
        </w:rPr>
        <w:t>3.2.3.2</w:t>
      </w:r>
      <w:r w:rsidRPr="00DD2A86">
        <w:rPr>
          <w:rFonts w:eastAsiaTheme="minorHAnsi"/>
          <w:lang w:val="de-DE"/>
        </w:rPr>
        <w:tab/>
      </w:r>
      <w:r w:rsidRPr="00DD2A86">
        <w:rPr>
          <w:rFonts w:eastAsiaTheme="minorHAnsi"/>
          <w:bCs/>
          <w:lang w:val="de-DE"/>
        </w:rPr>
        <w:t>Eine neue Fußnote zur Stoffliste mit folgendem Wortlaut am Ende hinzufügen:</w:t>
      </w:r>
    </w:p>
    <w:p w:rsidR="004E72E0" w:rsidRPr="00DD2A86" w:rsidRDefault="004E72E0" w:rsidP="008E3F21">
      <w:pPr>
        <w:tabs>
          <w:tab w:val="left" w:pos="1701"/>
        </w:tabs>
        <w:kinsoku w:val="0"/>
        <w:overflowPunct w:val="0"/>
        <w:autoSpaceDE w:val="0"/>
        <w:autoSpaceDN w:val="0"/>
        <w:adjustRightInd w:val="0"/>
        <w:snapToGrid w:val="0"/>
        <w:spacing w:before="120" w:after="120"/>
        <w:ind w:left="1134"/>
        <w:jc w:val="both"/>
        <w:rPr>
          <w:rFonts w:eastAsiaTheme="minorHAnsi"/>
          <w:bCs/>
          <w:lang w:val="de-DE"/>
        </w:rPr>
      </w:pPr>
      <w:r w:rsidRPr="00DD2A86">
        <w:rPr>
          <w:rFonts w:eastAsiaTheme="minorHAnsi"/>
          <w:bCs/>
          <w:lang w:val="de-DE"/>
        </w:rPr>
        <w:t>„</w:t>
      </w:r>
      <w:r w:rsidRPr="00DD2A86">
        <w:rPr>
          <w:rFonts w:eastAsiaTheme="minorHAnsi"/>
          <w:bCs/>
          <w:vertAlign w:val="superscript"/>
          <w:lang w:val="de-DE"/>
        </w:rPr>
        <w:t>14)</w:t>
      </w:r>
      <w:r w:rsidRPr="00DD2A86">
        <w:rPr>
          <w:rFonts w:eastAsiaTheme="minorHAnsi"/>
          <w:bCs/>
          <w:lang w:val="de-DE"/>
        </w:rPr>
        <w:tab/>
        <w:t>Es wurde keine Normspaltweite (NSW) nach einem genormten Bestimmungsverfahren gemessen, deshalb erfolgt eine vorläufige Einstufung in die als sicher geschätzte Explosionsgruppe II B3.“.</w:t>
      </w:r>
    </w:p>
    <w:p w:rsidR="00742FB2" w:rsidRPr="00DD2A86" w:rsidRDefault="00742FB2" w:rsidP="008E3F21">
      <w:pPr>
        <w:tabs>
          <w:tab w:val="left" w:pos="567"/>
          <w:tab w:val="left" w:pos="1985"/>
          <w:tab w:val="left" w:pos="2552"/>
          <w:tab w:val="left" w:pos="3119"/>
          <w:tab w:val="left" w:pos="3686"/>
        </w:tabs>
        <w:ind w:left="1134"/>
        <w:jc w:val="both"/>
        <w:rPr>
          <w:lang w:val="de-DE"/>
        </w:rPr>
      </w:pPr>
      <w:r w:rsidRPr="00DD2A86">
        <w:rPr>
          <w:rFonts w:eastAsiaTheme="minorHAnsi"/>
          <w:lang w:val="de-DE"/>
        </w:rPr>
        <w:t>3.2.3.3</w:t>
      </w:r>
      <w:r w:rsidRPr="00DD2A86">
        <w:rPr>
          <w:rFonts w:eastAsiaTheme="minorHAnsi"/>
          <w:lang w:val="de-DE"/>
        </w:rPr>
        <w:tab/>
      </w:r>
      <w:r w:rsidRPr="00DD2A86">
        <w:rPr>
          <w:lang w:val="de-DE"/>
        </w:rPr>
        <w:t>im „Entscheidungsdiagramm zur Bewertung der flüssigen Stoffe der Klassen 3, 6.1, 8 und 9 in der Binnentankschifffahrt“ im dritten Kasten nach dem Punkt „Ätzende Stoffe mit Wasser gefährlich reagierend,“ einen zusätzlichen Punkt „Ätzende Stoffe mit gelösten Gasen,“ einfügen.</w:t>
      </w:r>
    </w:p>
    <w:p w:rsidR="004F7853" w:rsidRPr="00DD2A86" w:rsidRDefault="004F7853" w:rsidP="008E3F21">
      <w:pPr>
        <w:spacing w:before="240"/>
        <w:ind w:left="1134"/>
        <w:jc w:val="both"/>
        <w:rPr>
          <w:rFonts w:eastAsia="Calibri"/>
          <w:lang w:val="de-DE" w:eastAsia="de-DE"/>
        </w:rPr>
      </w:pPr>
      <w:r w:rsidRPr="00DD2A86">
        <w:rPr>
          <w:rFonts w:eastAsia="Calibri"/>
          <w:lang w:val="de-DE" w:eastAsia="de-DE"/>
        </w:rPr>
        <w:t>3.2.3.3, Entscheidungsdiagramm, Schema A:</w:t>
      </w:r>
    </w:p>
    <w:p w:rsidR="004F7853" w:rsidRPr="00DD2A86" w:rsidRDefault="004F7853" w:rsidP="008E3F21">
      <w:pPr>
        <w:spacing w:before="120"/>
        <w:ind w:left="1134"/>
        <w:jc w:val="both"/>
        <w:rPr>
          <w:rFonts w:eastAsia="Calibri"/>
          <w:lang w:val="de-DE" w:eastAsia="de-DE"/>
        </w:rPr>
      </w:pPr>
      <w:r w:rsidRPr="00DD2A86">
        <w:rPr>
          <w:rFonts w:eastAsia="Calibri"/>
          <w:lang w:val="de-DE" w:eastAsia="de-DE"/>
        </w:rPr>
        <w:t>„Öffnungsdruck Hochgeschwindigkeitsventil“ ändern in: „Öffnungsdruck Überdruck-/Hochgeschwindigkeitsventil“ (viermal).</w:t>
      </w:r>
    </w:p>
    <w:p w:rsidR="004F7853" w:rsidRPr="00DD2A86" w:rsidRDefault="004F7853" w:rsidP="008E3F21">
      <w:pPr>
        <w:spacing w:before="240"/>
        <w:ind w:left="1134"/>
        <w:jc w:val="both"/>
        <w:rPr>
          <w:rFonts w:eastAsia="Calibri"/>
          <w:lang w:val="de-DE" w:eastAsia="de-DE"/>
        </w:rPr>
      </w:pPr>
      <w:r w:rsidRPr="00DD2A86">
        <w:rPr>
          <w:rFonts w:eastAsia="Calibri"/>
          <w:lang w:val="de-DE" w:eastAsia="de-DE"/>
        </w:rPr>
        <w:t>3.2.3.3, Entscheidungsdiagramm, Schema B:</w:t>
      </w:r>
    </w:p>
    <w:p w:rsidR="004F7853" w:rsidRPr="00DD2A86" w:rsidRDefault="004F7853" w:rsidP="008E3F21">
      <w:pPr>
        <w:spacing w:before="120"/>
        <w:ind w:left="1134"/>
        <w:jc w:val="both"/>
        <w:rPr>
          <w:rFonts w:eastAsia="Calibri"/>
          <w:lang w:val="de-DE" w:eastAsia="de-DE"/>
        </w:rPr>
      </w:pPr>
      <w:r w:rsidRPr="00DD2A86">
        <w:rPr>
          <w:rFonts w:eastAsia="Calibri"/>
          <w:lang w:val="de-DE" w:eastAsia="de-DE"/>
        </w:rPr>
        <w:t>„Öffnungsdruck Hochgeschwindigkeitsventil“ ändern in: „Öffnungsdruck Überdruck-/Hochgeschwindigkeitsventil“ (dreimal).</w:t>
      </w:r>
    </w:p>
    <w:p w:rsidR="007A6E86" w:rsidRPr="00DD2A86" w:rsidRDefault="00742FB2" w:rsidP="0048756D">
      <w:pPr>
        <w:tabs>
          <w:tab w:val="left" w:pos="567"/>
          <w:tab w:val="left" w:pos="1985"/>
          <w:tab w:val="left" w:pos="2552"/>
          <w:tab w:val="left" w:pos="3119"/>
          <w:tab w:val="left" w:pos="3686"/>
        </w:tabs>
        <w:suppressAutoHyphens w:val="0"/>
        <w:spacing w:before="120" w:line="240" w:lineRule="auto"/>
        <w:ind w:left="1134"/>
        <w:jc w:val="both"/>
        <w:rPr>
          <w:lang w:val="de-DE"/>
        </w:rPr>
      </w:pPr>
      <w:r w:rsidRPr="00DD2A86">
        <w:rPr>
          <w:lang w:val="de-DE"/>
        </w:rPr>
        <w:t>3.2.3.3</w:t>
      </w:r>
      <w:r w:rsidR="007A6E86" w:rsidRPr="00DD2A86">
        <w:rPr>
          <w:lang w:val="de-DE"/>
        </w:rPr>
        <w:t>, Entscheidungsdiagramm,</w:t>
      </w:r>
      <w:r w:rsidRPr="00DD2A86">
        <w:rPr>
          <w:lang w:val="de-DE"/>
        </w:rPr>
        <w:t xml:space="preserve"> Schema B</w:t>
      </w:r>
      <w:r w:rsidR="007A6E86" w:rsidRPr="00DD2A86">
        <w:rPr>
          <w:lang w:val="de-DE"/>
        </w:rPr>
        <w:t>:</w:t>
      </w:r>
    </w:p>
    <w:p w:rsidR="00742FB2" w:rsidRPr="00DD2A86" w:rsidRDefault="00742FB2" w:rsidP="007A6E86">
      <w:pPr>
        <w:tabs>
          <w:tab w:val="left" w:pos="567"/>
          <w:tab w:val="left" w:pos="1985"/>
          <w:tab w:val="left" w:pos="2552"/>
          <w:tab w:val="left" w:pos="3119"/>
          <w:tab w:val="left" w:pos="3686"/>
        </w:tabs>
        <w:suppressAutoHyphens w:val="0"/>
        <w:spacing w:before="120" w:line="240" w:lineRule="auto"/>
        <w:ind w:left="1134"/>
        <w:jc w:val="both"/>
        <w:rPr>
          <w:lang w:val="de-DE"/>
        </w:rPr>
      </w:pPr>
      <w:r w:rsidRPr="00DD2A86">
        <w:rPr>
          <w:lang w:val="de-DE"/>
        </w:rPr>
        <w:t xml:space="preserve">„Kriterien für die Ladetankausrüstung von N-Schiffen mit geschlossenen Ladetanks“ in der Spalte „Ätzende Stoffe“ erhält die dritte Zeile folgenden Wortlaut: „Verpackungsgruppe I oder II mit P </w:t>
      </w:r>
      <w:r w:rsidRPr="00DD2A86">
        <w:rPr>
          <w:vertAlign w:val="subscript"/>
          <w:lang w:val="de-DE"/>
        </w:rPr>
        <w:t>d 50</w:t>
      </w:r>
      <w:r w:rsidRPr="00DD2A86">
        <w:rPr>
          <w:lang w:val="de-DE"/>
        </w:rPr>
        <w:t xml:space="preserve"> &gt; 12,5 kPa oder mit Wasser gefährlich reagierend oder mit gelösten Gasen“.</w:t>
      </w:r>
    </w:p>
    <w:p w:rsidR="00E941A1" w:rsidRPr="00DD2A86" w:rsidRDefault="00E941A1" w:rsidP="008E3F21">
      <w:pPr>
        <w:tabs>
          <w:tab w:val="left" w:pos="2268"/>
        </w:tabs>
        <w:kinsoku w:val="0"/>
        <w:overflowPunct w:val="0"/>
        <w:autoSpaceDE w:val="0"/>
        <w:autoSpaceDN w:val="0"/>
        <w:adjustRightInd w:val="0"/>
        <w:snapToGrid w:val="0"/>
        <w:spacing w:before="120" w:after="120"/>
        <w:ind w:left="1134"/>
        <w:jc w:val="both"/>
        <w:rPr>
          <w:rFonts w:eastAsiaTheme="minorHAnsi"/>
          <w:lang w:val="de-DE"/>
        </w:rPr>
      </w:pPr>
      <w:r w:rsidRPr="00DD2A86">
        <w:rPr>
          <w:rFonts w:eastAsiaTheme="minorHAnsi"/>
          <w:lang w:val="de-DE"/>
        </w:rPr>
        <w:t>3.2.3.3 und 3.2.4.3 I</w:t>
      </w:r>
      <w:r w:rsidRPr="00DD2A86">
        <w:rPr>
          <w:rFonts w:eastAsiaTheme="minorHAnsi"/>
          <w:lang w:val="de-DE"/>
        </w:rPr>
        <w:tab/>
      </w:r>
      <w:r w:rsidRPr="00DD2A86">
        <w:rPr>
          <w:rFonts w:eastAsiaTheme="minorHAnsi"/>
          <w:lang w:val="de-DE"/>
        </w:rPr>
        <w:tab/>
        <w:t>Die Spalte (17) erhält folgenden Wortlaut:</w:t>
      </w:r>
    </w:p>
    <w:p w:rsidR="00E941A1" w:rsidRPr="00DD2A86" w:rsidRDefault="00E941A1" w:rsidP="008E3F21">
      <w:pPr>
        <w:ind w:left="1134"/>
        <w:jc w:val="both"/>
        <w:rPr>
          <w:b/>
          <w:bCs/>
          <w:lang w:val="de-DE"/>
        </w:rPr>
      </w:pPr>
      <w:r w:rsidRPr="00DD2A86">
        <w:rPr>
          <w:bCs/>
          <w:lang w:val="de-DE"/>
        </w:rPr>
        <w:t>„</w:t>
      </w:r>
      <w:r w:rsidRPr="00DD2A86">
        <w:rPr>
          <w:b/>
          <w:bCs/>
          <w:lang w:val="de-DE"/>
        </w:rPr>
        <w:t>Spalte (17):</w:t>
      </w:r>
      <w:r w:rsidRPr="00DD2A86">
        <w:rPr>
          <w:b/>
          <w:bCs/>
          <w:lang w:val="de-DE"/>
        </w:rPr>
        <w:tab/>
        <w:t>Bestimmung, ob Explosionsschutz erforderlich ist</w:t>
      </w:r>
    </w:p>
    <w:p w:rsidR="00E941A1" w:rsidRPr="00DD2A86" w:rsidRDefault="00E941A1" w:rsidP="008E3F21">
      <w:pPr>
        <w:suppressAutoHyphens w:val="0"/>
        <w:spacing w:line="240" w:lineRule="auto"/>
        <w:ind w:left="1134"/>
        <w:jc w:val="both"/>
        <w:rPr>
          <w:bCs/>
          <w:lang w:val="de-DE"/>
        </w:rPr>
      </w:pPr>
    </w:p>
    <w:p w:rsidR="00E941A1" w:rsidRPr="00DD2A86" w:rsidRDefault="00E941A1" w:rsidP="008E3F21">
      <w:pPr>
        <w:tabs>
          <w:tab w:val="left" w:pos="1701"/>
          <w:tab w:val="left" w:pos="2268"/>
        </w:tabs>
        <w:suppressAutoHyphens w:val="0"/>
        <w:spacing w:after="120" w:line="240" w:lineRule="auto"/>
        <w:ind w:left="1134"/>
        <w:jc w:val="both"/>
        <w:rPr>
          <w:bCs/>
          <w:lang w:val="de-DE"/>
        </w:rPr>
      </w:pPr>
      <w:r w:rsidRPr="00DD2A86">
        <w:rPr>
          <w:bCs/>
          <w:lang w:val="de-DE"/>
        </w:rPr>
        <w:t>ja</w:t>
      </w:r>
      <w:r w:rsidRPr="00DD2A86">
        <w:rPr>
          <w:bCs/>
          <w:lang w:val="de-DE"/>
        </w:rPr>
        <w:tab/>
        <w:t>-</w:t>
      </w:r>
      <w:r w:rsidRPr="00DD2A86">
        <w:rPr>
          <w:bCs/>
          <w:lang w:val="de-DE"/>
        </w:rPr>
        <w:tab/>
        <w:t>für Stoffe, die einen Flammpunkt ≤ 60 °C besitzen</w:t>
      </w:r>
    </w:p>
    <w:p w:rsidR="00E941A1" w:rsidRPr="00DD2A86" w:rsidRDefault="00E941A1" w:rsidP="008E3F21">
      <w:pPr>
        <w:tabs>
          <w:tab w:val="left" w:pos="1701"/>
          <w:tab w:val="left" w:pos="2268"/>
        </w:tabs>
        <w:suppressAutoHyphens w:val="0"/>
        <w:spacing w:line="240" w:lineRule="auto"/>
        <w:ind w:left="2268" w:hanging="567"/>
        <w:jc w:val="both"/>
        <w:rPr>
          <w:bCs/>
          <w:lang w:val="de-DE"/>
        </w:rPr>
      </w:pPr>
      <w:r w:rsidRPr="00DD2A86">
        <w:rPr>
          <w:bCs/>
          <w:lang w:val="de-DE"/>
        </w:rPr>
        <w:t>-</w:t>
      </w:r>
      <w:r w:rsidRPr="00DD2A86">
        <w:rPr>
          <w:bCs/>
          <w:lang w:val="de-DE"/>
        </w:rPr>
        <w:tab/>
        <w:t>für Stoffe, die beheizt befördert werden müssen</w:t>
      </w:r>
      <w:r w:rsidR="005537B1" w:rsidRPr="00DD2A86">
        <w:rPr>
          <w:bCs/>
          <w:lang w:val="de-DE"/>
        </w:rPr>
        <w:t>,</w:t>
      </w:r>
      <w:r w:rsidRPr="00DD2A86">
        <w:rPr>
          <w:bCs/>
          <w:lang w:val="de-DE"/>
        </w:rPr>
        <w:t xml:space="preserve"> bei einer Temperatur von weniger als 15 K unterhalb des Flammpunktes</w:t>
      </w:r>
    </w:p>
    <w:p w:rsidR="00E941A1" w:rsidRPr="00DD2A86" w:rsidRDefault="00E941A1" w:rsidP="008E3F21">
      <w:pPr>
        <w:tabs>
          <w:tab w:val="left" w:pos="1701"/>
          <w:tab w:val="left" w:pos="2268"/>
        </w:tabs>
        <w:suppressAutoHyphens w:val="0"/>
        <w:spacing w:before="120" w:line="240" w:lineRule="auto"/>
        <w:ind w:left="2268" w:hanging="567"/>
        <w:jc w:val="both"/>
        <w:rPr>
          <w:bCs/>
          <w:lang w:val="de-DE"/>
        </w:rPr>
      </w:pPr>
      <w:r w:rsidRPr="00DD2A86">
        <w:rPr>
          <w:bCs/>
          <w:lang w:val="de-DE"/>
        </w:rPr>
        <w:t>-</w:t>
      </w:r>
      <w:r w:rsidRPr="00DD2A86">
        <w:rPr>
          <w:bCs/>
          <w:lang w:val="de-DE"/>
        </w:rPr>
        <w:tab/>
        <w:t>für Stoffe, die beheizt befördert werden müssen</w:t>
      </w:r>
      <w:r w:rsidR="005537B1" w:rsidRPr="00DD2A86">
        <w:rPr>
          <w:bCs/>
          <w:lang w:val="de-DE"/>
        </w:rPr>
        <w:t>,</w:t>
      </w:r>
      <w:r w:rsidRPr="00DD2A86">
        <w:rPr>
          <w:bCs/>
          <w:lang w:val="de-DE"/>
        </w:rPr>
        <w:t xml:space="preserve"> bei einer Temperatur von 15 K oder mehr unterhalb des Flammpunktes und wenn in Spalte (9) (Ladetankausrüstung) nur eine Ladungsheizmöglichkeit (2) und keine Ladungsheizungsanlage an Bord (4) gefordert wird</w:t>
      </w:r>
    </w:p>
    <w:p w:rsidR="00E941A1" w:rsidRPr="00DD2A86" w:rsidRDefault="00E941A1" w:rsidP="008E3F21">
      <w:pPr>
        <w:tabs>
          <w:tab w:val="left" w:pos="1701"/>
          <w:tab w:val="left" w:pos="2268"/>
        </w:tabs>
        <w:suppressAutoHyphens w:val="0"/>
        <w:spacing w:before="120" w:line="240" w:lineRule="auto"/>
        <w:ind w:left="1134"/>
        <w:jc w:val="both"/>
        <w:rPr>
          <w:bCs/>
          <w:lang w:val="de-DE"/>
        </w:rPr>
      </w:pPr>
      <w:r w:rsidRPr="00DD2A86">
        <w:rPr>
          <w:bCs/>
          <w:lang w:val="de-DE"/>
        </w:rPr>
        <w:tab/>
        <w:t>-</w:t>
      </w:r>
      <w:r w:rsidRPr="00DD2A86">
        <w:rPr>
          <w:bCs/>
          <w:lang w:val="de-DE"/>
        </w:rPr>
        <w:tab/>
        <w:t>für entzündliche Gase</w:t>
      </w:r>
    </w:p>
    <w:p w:rsidR="00E941A1" w:rsidRPr="00DD2A86" w:rsidRDefault="00E941A1" w:rsidP="008E3F21">
      <w:pPr>
        <w:tabs>
          <w:tab w:val="left" w:pos="1701"/>
          <w:tab w:val="left" w:pos="2268"/>
        </w:tabs>
        <w:suppressAutoHyphens w:val="0"/>
        <w:spacing w:line="240" w:lineRule="auto"/>
        <w:ind w:left="1134"/>
        <w:jc w:val="both"/>
        <w:rPr>
          <w:bCs/>
          <w:lang w:val="de-DE"/>
        </w:rPr>
      </w:pPr>
    </w:p>
    <w:p w:rsidR="00E941A1" w:rsidRPr="00DD2A86" w:rsidRDefault="00E941A1" w:rsidP="008E3F21">
      <w:pPr>
        <w:tabs>
          <w:tab w:val="left" w:pos="1701"/>
          <w:tab w:val="left" w:pos="2268"/>
        </w:tabs>
        <w:suppressAutoHyphens w:val="0"/>
        <w:spacing w:line="240" w:lineRule="auto"/>
        <w:ind w:left="1134"/>
        <w:jc w:val="both"/>
        <w:rPr>
          <w:bCs/>
          <w:lang w:val="de-DE"/>
        </w:rPr>
      </w:pPr>
      <w:r w:rsidRPr="00DD2A86">
        <w:rPr>
          <w:bCs/>
          <w:lang w:val="de-DE"/>
        </w:rPr>
        <w:t>nein</w:t>
      </w:r>
      <w:r w:rsidRPr="00DD2A86">
        <w:rPr>
          <w:bCs/>
          <w:lang w:val="de-DE"/>
        </w:rPr>
        <w:tab/>
        <w:t>-</w:t>
      </w:r>
      <w:r w:rsidRPr="00DD2A86">
        <w:rPr>
          <w:bCs/>
          <w:lang w:val="de-DE"/>
        </w:rPr>
        <w:tab/>
        <w:t>für alle übrigen Stoffe“.</w:t>
      </w:r>
    </w:p>
    <w:p w:rsidR="004F7853" w:rsidRPr="00DD2A86" w:rsidRDefault="004F7853" w:rsidP="008E3F21">
      <w:pPr>
        <w:spacing w:before="240"/>
        <w:ind w:left="1134"/>
        <w:jc w:val="both"/>
        <w:rPr>
          <w:rFonts w:eastAsia="Calibri"/>
          <w:lang w:val="de-DE" w:eastAsia="de-DE"/>
        </w:rPr>
      </w:pPr>
      <w:r w:rsidRPr="00DD2A86">
        <w:rPr>
          <w:rFonts w:eastAsia="Calibri"/>
          <w:lang w:val="de-DE" w:eastAsia="de-DE"/>
        </w:rPr>
        <w:t>3.2.3.3, Spalte (18)</w:t>
      </w:r>
      <w:r w:rsidRPr="00DD2A86">
        <w:rPr>
          <w:rFonts w:eastAsia="Calibri"/>
          <w:lang w:val="de-DE" w:eastAsia="de-DE"/>
        </w:rPr>
        <w:tab/>
        <w:t>[Die Änderung in der englischen und französischen Fassung hat keine Auswirkungen auf den deutschen Text.]</w:t>
      </w:r>
    </w:p>
    <w:p w:rsidR="00E941A1" w:rsidRPr="00DD2A86" w:rsidRDefault="00E941A1" w:rsidP="008E3F21">
      <w:pPr>
        <w:tabs>
          <w:tab w:val="left" w:pos="2268"/>
        </w:tabs>
        <w:kinsoku w:val="0"/>
        <w:overflowPunct w:val="0"/>
        <w:autoSpaceDE w:val="0"/>
        <w:autoSpaceDN w:val="0"/>
        <w:adjustRightInd w:val="0"/>
        <w:snapToGrid w:val="0"/>
        <w:spacing w:before="120" w:after="120"/>
        <w:ind w:left="1134"/>
        <w:jc w:val="both"/>
        <w:rPr>
          <w:rFonts w:eastAsiaTheme="minorHAnsi"/>
          <w:bCs/>
          <w:lang w:val="de-DE"/>
        </w:rPr>
      </w:pPr>
      <w:r w:rsidRPr="00DD2A86">
        <w:rPr>
          <w:rFonts w:eastAsiaTheme="minorHAnsi"/>
          <w:lang w:val="de-DE"/>
        </w:rPr>
        <w:t>3.2.3.3 und 3.2.4.3, Spalte (20)</w:t>
      </w:r>
      <w:r w:rsidRPr="00DD2A86">
        <w:rPr>
          <w:rFonts w:eastAsiaTheme="minorHAnsi"/>
          <w:lang w:val="de-DE"/>
        </w:rPr>
        <w:tab/>
        <w:t xml:space="preserve">Die Bemerkung 17 erhält folgenden Wortlaut: </w:t>
      </w:r>
      <w:r w:rsidRPr="00DD2A86">
        <w:rPr>
          <w:rFonts w:eastAsiaTheme="minorHAnsi"/>
          <w:bCs/>
          <w:lang w:val="de-DE"/>
        </w:rPr>
        <w:t>„Bemerkung 17 ist in Spalte (20) einzutragen bei Stoffen, wenn Bemerkung 4, 6 oder 7 eingetragen wird.“.</w:t>
      </w:r>
    </w:p>
    <w:p w:rsidR="004F7853" w:rsidRPr="00DD2A86" w:rsidRDefault="004F7853" w:rsidP="008E3F21">
      <w:pPr>
        <w:spacing w:before="240"/>
        <w:ind w:left="1134"/>
        <w:jc w:val="both"/>
        <w:rPr>
          <w:rFonts w:eastAsia="Calibri"/>
          <w:lang w:val="de-DE" w:eastAsia="de-DE"/>
        </w:rPr>
      </w:pPr>
      <w:r w:rsidRPr="00DD2A86">
        <w:rPr>
          <w:rFonts w:eastAsia="Calibri"/>
          <w:lang w:val="de-DE" w:eastAsia="de-DE"/>
        </w:rPr>
        <w:t>3.2.4.3, A. Spalten (6), (7) und (8): „Öffnungsdruck Hochgeschwindigkeitsventil“ ändern in: „Öffnungsdruck Überdruck-/Hochgeschwindigkeitsventil“ (elfmal).</w:t>
      </w:r>
    </w:p>
    <w:p w:rsidR="005F0FBE" w:rsidRPr="00DD2A86" w:rsidRDefault="005F0FBE" w:rsidP="0048756D">
      <w:pPr>
        <w:tabs>
          <w:tab w:val="left" w:pos="1985"/>
        </w:tabs>
        <w:spacing w:before="120" w:after="120"/>
        <w:ind w:left="1134"/>
        <w:jc w:val="both"/>
        <w:rPr>
          <w:lang w:val="de-DE"/>
        </w:rPr>
      </w:pPr>
      <w:r w:rsidRPr="00DD2A86">
        <w:rPr>
          <w:lang w:val="de-DE"/>
        </w:rPr>
        <w:t>3.2.4.3, A. Spalten (6), (7) und (8) Nummer 9</w:t>
      </w:r>
      <w:r w:rsidR="007A6E86" w:rsidRPr="00DD2A86">
        <w:rPr>
          <w:lang w:val="de-DE"/>
        </w:rPr>
        <w:t xml:space="preserve"> und 3.2.4.3. J. Spalte (18)</w:t>
      </w:r>
      <w:r w:rsidRPr="00DD2A86">
        <w:rPr>
          <w:lang w:val="de-DE"/>
        </w:rPr>
        <w:tab/>
        <w:t>Die Fußnote</w:t>
      </w:r>
      <w:r w:rsidR="00EB6056" w:rsidRPr="00DD2A86">
        <w:rPr>
          <w:lang w:val="de-DE"/>
        </w:rPr>
        <w:t> </w:t>
      </w:r>
      <w:r w:rsidRPr="00DD2A86">
        <w:rPr>
          <w:lang w:val="de-DE"/>
        </w:rPr>
        <w:t>5) erhält folgenden Wortlaut:</w:t>
      </w:r>
    </w:p>
    <w:p w:rsidR="005F0FBE" w:rsidRPr="00DD2A86" w:rsidRDefault="005F0FBE" w:rsidP="008E3F21">
      <w:pPr>
        <w:tabs>
          <w:tab w:val="left" w:pos="1985"/>
        </w:tabs>
        <w:spacing w:after="120"/>
        <w:ind w:left="1134"/>
        <w:jc w:val="both"/>
        <w:rPr>
          <w:i/>
          <w:lang w:val="de-DE"/>
        </w:rPr>
      </w:pPr>
      <w:r w:rsidRPr="00DD2A86">
        <w:rPr>
          <w:lang w:val="de-DE"/>
        </w:rPr>
        <w:t>„5)</w:t>
      </w:r>
      <w:r w:rsidRPr="00DD2A86">
        <w:rPr>
          <w:lang w:val="de-DE"/>
        </w:rPr>
        <w:tab/>
        <w:t>Da bisher noch keine international verbindliche Liste von CMR-Stoffen der Kategorie 1A und 1B existiert, findet hier in der Übergangszeit, bis zum Vorliegen einer solchen Liste, die Liste der CMR-Stoffe der Kategorie 1A und 1B entsprechend der Verordnung (EG) Nr. 1272/2008 des Europäischen Parlaments und des Rates in der jeweils geänderten Fassung Berücksichtigung.“.</w:t>
      </w:r>
    </w:p>
    <w:p w:rsidR="0087636A" w:rsidRPr="00DD2A86" w:rsidRDefault="0087636A" w:rsidP="008E3F21">
      <w:pPr>
        <w:tabs>
          <w:tab w:val="left" w:pos="2835"/>
        </w:tabs>
        <w:spacing w:before="240"/>
        <w:ind w:left="1134"/>
        <w:jc w:val="both"/>
        <w:rPr>
          <w:rFonts w:eastAsia="Calibri"/>
          <w:lang w:val="de-DE" w:eastAsia="de-DE"/>
        </w:rPr>
      </w:pPr>
      <w:r w:rsidRPr="00DD2A86">
        <w:rPr>
          <w:rFonts w:eastAsia="Calibri"/>
          <w:lang w:val="de-DE" w:eastAsia="de-DE"/>
        </w:rPr>
        <w:t xml:space="preserve">3.2.4.3, </w:t>
      </w:r>
      <w:r w:rsidR="00022423" w:rsidRPr="00DD2A86">
        <w:rPr>
          <w:rFonts w:eastAsia="Calibri"/>
          <w:lang w:val="de-DE" w:eastAsia="de-DE"/>
        </w:rPr>
        <w:t xml:space="preserve">J. </w:t>
      </w:r>
      <w:r w:rsidRPr="00DD2A86">
        <w:rPr>
          <w:rFonts w:eastAsia="Calibri"/>
          <w:lang w:val="de-DE" w:eastAsia="de-DE"/>
        </w:rPr>
        <w:t>Spalte (18)</w:t>
      </w:r>
      <w:r w:rsidRPr="00DD2A86">
        <w:rPr>
          <w:rFonts w:eastAsia="Calibri"/>
          <w:lang w:val="de-DE" w:eastAsia="de-DE"/>
        </w:rPr>
        <w:tab/>
        <w:t>[Die Änderung in der englischen und französischen Fassung hat keine Auswirkungen auf den deutschen Text.]</w:t>
      </w:r>
    </w:p>
    <w:p w:rsidR="009E33AD" w:rsidRPr="00DD2A86" w:rsidRDefault="009E33AD" w:rsidP="008E3F21">
      <w:pPr>
        <w:keepNext/>
        <w:keepLines/>
        <w:tabs>
          <w:tab w:val="right" w:pos="851"/>
        </w:tabs>
        <w:spacing w:before="360" w:after="240" w:line="270" w:lineRule="exact"/>
        <w:ind w:left="1134" w:hanging="1134"/>
        <w:rPr>
          <w:b/>
          <w:sz w:val="24"/>
          <w:lang w:val="de-DE"/>
        </w:rPr>
      </w:pPr>
    </w:p>
    <w:p w:rsidR="00EB786C" w:rsidRPr="00DD2A86" w:rsidRDefault="00EB786C" w:rsidP="008E3F21">
      <w:pPr>
        <w:keepNext/>
        <w:keepLines/>
        <w:tabs>
          <w:tab w:val="right" w:pos="851"/>
        </w:tabs>
        <w:spacing w:before="360" w:after="240" w:line="270" w:lineRule="exact"/>
        <w:ind w:left="1134" w:hanging="1134"/>
        <w:rPr>
          <w:b/>
          <w:sz w:val="24"/>
          <w:lang w:val="de-DE"/>
        </w:rPr>
      </w:pPr>
      <w:r w:rsidRPr="00DD2A86">
        <w:rPr>
          <w:b/>
          <w:sz w:val="24"/>
          <w:lang w:val="de-DE"/>
        </w:rPr>
        <w:tab/>
      </w:r>
      <w:r w:rsidRPr="00DD2A86">
        <w:rPr>
          <w:b/>
          <w:sz w:val="24"/>
          <w:lang w:val="de-DE"/>
        </w:rPr>
        <w:tab/>
        <w:t>Kapitel 3.3</w:t>
      </w:r>
    </w:p>
    <w:p w:rsidR="008C6342" w:rsidRPr="00DD2A86" w:rsidRDefault="008C6342" w:rsidP="008E3F21">
      <w:pPr>
        <w:tabs>
          <w:tab w:val="left" w:pos="2268"/>
        </w:tabs>
        <w:spacing w:after="120"/>
        <w:ind w:left="1134"/>
        <w:jc w:val="both"/>
        <w:rPr>
          <w:iCs/>
          <w:lang w:val="de-DE"/>
        </w:rPr>
      </w:pPr>
      <w:r w:rsidRPr="00DD2A86">
        <w:rPr>
          <w:lang w:val="de-DE"/>
        </w:rPr>
        <w:t>3.3.1</w:t>
      </w:r>
      <w:r w:rsidRPr="00DD2A86">
        <w:rPr>
          <w:lang w:val="de-DE"/>
        </w:rPr>
        <w:tab/>
      </w:r>
      <w:r w:rsidRPr="00DD2A86">
        <w:rPr>
          <w:iCs/>
          <w:lang w:val="de-DE"/>
        </w:rPr>
        <w:t>Im dritten Satz „„BESCHÄDIGTE LITHIUMBATTERIEN““ ändern in: „„LITHIUMBATTERIEN ZUR ENTSORGUNG““.</w:t>
      </w:r>
    </w:p>
    <w:p w:rsidR="008C6342" w:rsidRPr="00DD2A86" w:rsidRDefault="008C6342" w:rsidP="008E3F21">
      <w:pPr>
        <w:tabs>
          <w:tab w:val="left" w:pos="2268"/>
        </w:tabs>
        <w:spacing w:after="120"/>
        <w:ind w:left="1134"/>
        <w:jc w:val="both"/>
        <w:rPr>
          <w:iCs/>
          <w:lang w:val="de-DE" w:eastAsia="en-GB"/>
        </w:rPr>
      </w:pPr>
      <w:r w:rsidRPr="00DD2A86">
        <w:rPr>
          <w:b/>
          <w:lang w:val="de-DE" w:eastAsia="en-GB"/>
        </w:rPr>
        <w:t>SV 23</w:t>
      </w:r>
      <w:r w:rsidRPr="00DD2A86">
        <w:rPr>
          <w:lang w:val="de-DE" w:eastAsia="en-GB"/>
        </w:rPr>
        <w:tab/>
        <w:t>[Die Änderung in der französischen Fassung hat keine Auswirkungen auf den deutschen Text.]</w:t>
      </w:r>
    </w:p>
    <w:p w:rsidR="008C6342" w:rsidRPr="00DD2A86" w:rsidRDefault="008C6342" w:rsidP="008E3F21">
      <w:pPr>
        <w:tabs>
          <w:tab w:val="left" w:pos="2268"/>
        </w:tabs>
        <w:spacing w:after="120"/>
        <w:ind w:left="1134"/>
        <w:jc w:val="both"/>
        <w:rPr>
          <w:iCs/>
          <w:lang w:val="de-DE"/>
        </w:rPr>
      </w:pPr>
      <w:r w:rsidRPr="00DD2A86">
        <w:rPr>
          <w:b/>
          <w:lang w:val="de-DE"/>
        </w:rPr>
        <w:t>SV 61</w:t>
      </w:r>
      <w:r w:rsidRPr="00DD2A86">
        <w:rPr>
          <w:lang w:val="de-DE"/>
        </w:rPr>
        <w:tab/>
        <w:t>[Die Änderung in der französischen Fassung hat keine Auswirkungen auf den deutschen Text.]</w:t>
      </w:r>
    </w:p>
    <w:p w:rsidR="008C6342" w:rsidRPr="00DD2A86" w:rsidRDefault="008C6342" w:rsidP="008E3F21">
      <w:pPr>
        <w:spacing w:before="120" w:after="120" w:line="240" w:lineRule="auto"/>
        <w:ind w:left="1134"/>
        <w:jc w:val="both"/>
        <w:rPr>
          <w:iCs/>
          <w:lang w:val="de-DE" w:eastAsia="en-GB"/>
        </w:rPr>
      </w:pPr>
      <w:r w:rsidRPr="00DD2A86">
        <w:rPr>
          <w:b/>
          <w:iCs/>
          <w:lang w:val="de-DE" w:eastAsia="en-GB"/>
        </w:rPr>
        <w:t>SV 122</w:t>
      </w:r>
      <w:r w:rsidRPr="00DD2A86">
        <w:rPr>
          <w:iCs/>
          <w:lang w:val="de-DE" w:eastAsia="en-GB"/>
        </w:rPr>
        <w:tab/>
      </w:r>
      <w:r w:rsidRPr="00DD2A86">
        <w:rPr>
          <w:lang w:val="de-DE" w:eastAsia="en-GB"/>
        </w:rPr>
        <w:t>[Die Änderung in der englischen und französischen Fassung hat keine Auswirkungen auf den deutschen Text.]</w:t>
      </w:r>
    </w:p>
    <w:p w:rsidR="008C6342" w:rsidRPr="00DD2A86" w:rsidRDefault="008C6342" w:rsidP="008E3F21">
      <w:pPr>
        <w:spacing w:after="120"/>
        <w:ind w:left="1134"/>
        <w:jc w:val="both"/>
        <w:rPr>
          <w:iCs/>
          <w:lang w:val="de-DE" w:eastAsia="en-GB"/>
        </w:rPr>
      </w:pPr>
      <w:r w:rsidRPr="00DD2A86">
        <w:rPr>
          <w:b/>
          <w:iCs/>
          <w:lang w:val="de-DE" w:eastAsia="en-GB"/>
        </w:rPr>
        <w:t>SV 172</w:t>
      </w:r>
      <w:r w:rsidRPr="00DD2A86">
        <w:rPr>
          <w:iCs/>
          <w:lang w:val="de-DE" w:eastAsia="en-GB"/>
        </w:rPr>
        <w:tab/>
      </w:r>
      <w:r w:rsidRPr="00DD2A86">
        <w:rPr>
          <w:lang w:val="de-DE" w:eastAsia="en-GB"/>
        </w:rPr>
        <w:t>[Die Änderungen in der englischen und französischen Fassung haben keine Auswirkungen auf den deutschen Text.]</w:t>
      </w:r>
    </w:p>
    <w:p w:rsidR="008C6342" w:rsidRPr="00DD2A86" w:rsidRDefault="008C6342" w:rsidP="008E3F21">
      <w:pPr>
        <w:spacing w:after="120"/>
        <w:ind w:left="1134"/>
        <w:jc w:val="both"/>
        <w:rPr>
          <w:iCs/>
          <w:lang w:val="de-DE"/>
        </w:rPr>
      </w:pPr>
      <w:r w:rsidRPr="00DD2A86">
        <w:rPr>
          <w:b/>
          <w:iCs/>
          <w:lang w:val="de-DE"/>
        </w:rPr>
        <w:t>SV 186</w:t>
      </w:r>
      <w:r w:rsidRPr="00DD2A86">
        <w:rPr>
          <w:iCs/>
          <w:lang w:val="de-DE"/>
        </w:rPr>
        <w:tab/>
        <w:t>Erhält folgenden Wortlaut: „</w:t>
      </w:r>
      <w:r w:rsidRPr="00DD2A86">
        <w:rPr>
          <w:b/>
          <w:iCs/>
          <w:lang w:val="de-DE"/>
        </w:rPr>
        <w:t>186</w:t>
      </w:r>
      <w:r w:rsidRPr="00DD2A86">
        <w:rPr>
          <w:iCs/>
          <w:lang w:val="de-DE"/>
        </w:rPr>
        <w:tab/>
        <w:t>(gestrichen)“.</w:t>
      </w:r>
    </w:p>
    <w:p w:rsidR="008C6342" w:rsidRPr="00DD2A86" w:rsidRDefault="008C6342" w:rsidP="008E3F21">
      <w:pPr>
        <w:spacing w:before="120" w:after="120" w:line="240" w:lineRule="auto"/>
        <w:ind w:left="1134"/>
        <w:jc w:val="both"/>
        <w:rPr>
          <w:iCs/>
          <w:lang w:val="de-DE"/>
        </w:rPr>
      </w:pPr>
      <w:r w:rsidRPr="00DD2A86">
        <w:rPr>
          <w:b/>
          <w:iCs/>
          <w:lang w:val="de-DE"/>
        </w:rPr>
        <w:t>SV 188</w:t>
      </w:r>
      <w:r w:rsidRPr="00DD2A86">
        <w:rPr>
          <w:iCs/>
          <w:lang w:val="de-DE"/>
        </w:rPr>
        <w:tab/>
        <w:t>Nach den Absätzen a) und b) jeweils eine Bem. mit folgendem Wortlaut einfügen:</w:t>
      </w:r>
    </w:p>
    <w:p w:rsidR="008C6342" w:rsidRPr="00DD2A86" w:rsidRDefault="008C6342" w:rsidP="00F04668">
      <w:pPr>
        <w:tabs>
          <w:tab w:val="left" w:pos="2268"/>
        </w:tabs>
        <w:spacing w:before="120" w:after="120" w:line="240" w:lineRule="auto"/>
        <w:ind w:left="1701" w:hanging="567"/>
        <w:jc w:val="both"/>
        <w:rPr>
          <w:iCs/>
          <w:lang w:val="de-DE"/>
        </w:rPr>
      </w:pPr>
      <w:r w:rsidRPr="00DD2A86">
        <w:rPr>
          <w:iCs/>
          <w:lang w:val="de-DE"/>
        </w:rPr>
        <w:t>„</w:t>
      </w:r>
      <w:r w:rsidRPr="00DD2A86">
        <w:rPr>
          <w:b/>
          <w:iCs/>
          <w:lang w:val="de-DE"/>
        </w:rPr>
        <w:t>Bem.</w:t>
      </w:r>
      <w:r w:rsidRPr="00DD2A86">
        <w:rPr>
          <w:iCs/>
          <w:lang w:val="de-DE"/>
        </w:rPr>
        <w:tab/>
        <w:t>Wenn Lithiumbatterien, die dem Absatz 2.2.9.1.7 f) entsprechen, in Übereinstimmung mit dieser Sondervorschrift befördert werden, darf die Gesamtmenge an Lithium aller in der Batterie enthaltenen Lithium-Metall-Zellen nicht größer als 1,5 g und die Gesamtkapazität aller in der Batterie enthaltenen Lithium-Ionen-Zellen nicht größer als 10 Wh sein (siehe Sondervorschrift 387).“.</w:t>
      </w:r>
    </w:p>
    <w:p w:rsidR="008C6342" w:rsidRPr="00DD2A86" w:rsidRDefault="008C6342" w:rsidP="008E3F21">
      <w:pPr>
        <w:spacing w:after="120"/>
        <w:ind w:left="1134"/>
        <w:jc w:val="both"/>
        <w:rPr>
          <w:iCs/>
          <w:lang w:val="de-DE"/>
        </w:rPr>
      </w:pPr>
      <w:r w:rsidRPr="00DD2A86">
        <w:rPr>
          <w:b/>
          <w:iCs/>
          <w:lang w:val="de-DE"/>
        </w:rPr>
        <w:t>SV 188</w:t>
      </w:r>
      <w:r w:rsidRPr="00DD2A86">
        <w:rPr>
          <w:b/>
          <w:iCs/>
          <w:lang w:val="de-DE"/>
        </w:rPr>
        <w:tab/>
      </w:r>
      <w:r w:rsidRPr="00DD2A86">
        <w:rPr>
          <w:iCs/>
          <w:lang w:val="de-DE"/>
        </w:rPr>
        <w:t>In Absatz c) „Absätze 2.2.9.1.7 a) und e)“ ändern in: „Absätze 2.2.9.1.7 a), e), gegebenenfalls f), und g)“.</w:t>
      </w:r>
    </w:p>
    <w:p w:rsidR="008C6342" w:rsidRPr="00DD2A86" w:rsidRDefault="008C6342" w:rsidP="008E3F21">
      <w:pPr>
        <w:spacing w:before="120" w:after="120" w:line="240" w:lineRule="auto"/>
        <w:ind w:left="1134"/>
        <w:jc w:val="both"/>
        <w:rPr>
          <w:lang w:val="de-DE"/>
        </w:rPr>
      </w:pPr>
      <w:r w:rsidRPr="00DD2A86">
        <w:rPr>
          <w:b/>
          <w:iCs/>
          <w:lang w:val="de-DE"/>
        </w:rPr>
        <w:t>SV 188</w:t>
      </w:r>
      <w:r w:rsidRPr="00DD2A86">
        <w:rPr>
          <w:b/>
          <w:iCs/>
          <w:lang w:val="de-DE"/>
        </w:rPr>
        <w:tab/>
      </w:r>
      <w:r w:rsidRPr="00DD2A86">
        <w:rPr>
          <w:iCs/>
          <w:lang w:val="de-DE"/>
        </w:rPr>
        <w:t>In Absatz d) „</w:t>
      </w:r>
      <w:r w:rsidRPr="00DD2A86">
        <w:rPr>
          <w:lang w:val="de-DE"/>
        </w:rPr>
        <w:t>Schutz vor Kontakt mit leitfähigen Werkstoffen“ ändern in: „Schutz vor Kontakt mit elektrisch leitfähigen Werkstoffen“.</w:t>
      </w:r>
    </w:p>
    <w:p w:rsidR="008C6342" w:rsidRPr="00DD2A86" w:rsidRDefault="008C6342" w:rsidP="008E3F21">
      <w:pPr>
        <w:suppressAutoHyphens w:val="0"/>
        <w:spacing w:line="240" w:lineRule="auto"/>
        <w:ind w:left="1134"/>
        <w:jc w:val="both"/>
        <w:rPr>
          <w:iCs/>
          <w:color w:val="000000"/>
          <w:lang w:val="de-DE" w:eastAsia="de-DE"/>
        </w:rPr>
      </w:pPr>
      <w:r w:rsidRPr="00DD2A86">
        <w:rPr>
          <w:b/>
          <w:iCs/>
          <w:lang w:val="de-DE"/>
        </w:rPr>
        <w:t>SV 188</w:t>
      </w:r>
      <w:r w:rsidRPr="00DD2A86">
        <w:rPr>
          <w:b/>
          <w:iCs/>
          <w:lang w:val="de-DE"/>
        </w:rPr>
        <w:tab/>
      </w:r>
      <w:r w:rsidRPr="00DD2A86">
        <w:rPr>
          <w:iCs/>
          <w:color w:val="000000"/>
          <w:lang w:val="de-DE" w:eastAsia="de-DE"/>
        </w:rPr>
        <w:t>Am Ende des Absatzes f) folgende zwei Sätze und folgende Bem. hinzufügen:</w:t>
      </w:r>
    </w:p>
    <w:p w:rsidR="008C6342" w:rsidRPr="00DD2A86" w:rsidRDefault="008C6342" w:rsidP="008E3F21">
      <w:pPr>
        <w:suppressAutoHyphens w:val="0"/>
        <w:spacing w:line="240" w:lineRule="auto"/>
        <w:ind w:left="1134"/>
        <w:jc w:val="both"/>
        <w:rPr>
          <w:iCs/>
          <w:color w:val="000000"/>
          <w:lang w:val="de-DE" w:eastAsia="de-DE"/>
        </w:rPr>
      </w:pPr>
    </w:p>
    <w:p w:rsidR="008C6342" w:rsidRPr="00DD2A86" w:rsidRDefault="008C6342" w:rsidP="008E3F21">
      <w:pPr>
        <w:suppressAutoHyphens w:val="0"/>
        <w:spacing w:line="240" w:lineRule="auto"/>
        <w:ind w:left="1134"/>
        <w:jc w:val="both"/>
        <w:rPr>
          <w:iCs/>
          <w:color w:val="000000"/>
          <w:lang w:val="de-DE" w:eastAsia="de-DE"/>
        </w:rPr>
      </w:pPr>
      <w:r w:rsidRPr="00DD2A86">
        <w:rPr>
          <w:iCs/>
          <w:color w:val="000000"/>
          <w:lang w:val="de-DE" w:eastAsia="de-DE"/>
        </w:rPr>
        <w:t>„Wenn Versandstücke in eine Umverpackung eingesetzt werden, muss das Kennzeichen für Lithiumbatterien entweder deutlich sichtbar sein oder auf der Außenseite der Umverpackung wiederholt werden und die Umverpackung muss mit dem Ausdruck „UMVERPACKUNG“ gekennzeichnet sein. Die Buchstabenhöhe des Ausdrucks „UMVERPACKUNG“ muss mindestens 12 mm sein.</w:t>
      </w:r>
    </w:p>
    <w:p w:rsidR="008C6342" w:rsidRPr="00DD2A86" w:rsidRDefault="008C6342" w:rsidP="008E3F21">
      <w:pPr>
        <w:suppressAutoHyphens w:val="0"/>
        <w:spacing w:line="240" w:lineRule="auto"/>
        <w:ind w:left="1134"/>
        <w:jc w:val="both"/>
        <w:rPr>
          <w:iCs/>
          <w:color w:val="000000"/>
          <w:lang w:val="de-DE" w:eastAsia="de-DE"/>
        </w:rPr>
      </w:pPr>
    </w:p>
    <w:p w:rsidR="008C6342" w:rsidRPr="00DD2A86" w:rsidRDefault="008C6342" w:rsidP="00F04668">
      <w:pPr>
        <w:suppressAutoHyphens w:val="0"/>
        <w:spacing w:line="240" w:lineRule="auto"/>
        <w:ind w:left="1701" w:hanging="567"/>
        <w:jc w:val="both"/>
        <w:rPr>
          <w:iCs/>
          <w:color w:val="000000"/>
          <w:lang w:val="de-DE" w:eastAsia="de-DE"/>
        </w:rPr>
      </w:pPr>
      <w:r w:rsidRPr="00DD2A86">
        <w:rPr>
          <w:b/>
          <w:iCs/>
          <w:color w:val="000000"/>
          <w:lang w:val="de-DE" w:eastAsia="de-DE"/>
        </w:rPr>
        <w:t>Bem.</w:t>
      </w:r>
      <w:r w:rsidRPr="00DD2A86">
        <w:rPr>
          <w:iCs/>
          <w:color w:val="000000"/>
          <w:lang w:val="de-DE" w:eastAsia="de-DE"/>
        </w:rPr>
        <w:tab/>
        <w:t>Versandstücke mit Lithiumbatterien, die in Übereinstimmung mit den Vorschriften des Teils 4 Kapitel 11 Verpackungsanweisung 965 oder 968 Abschnitt IB der Technischen Anweisungen der ICAO verpackt sind und mit dem Kennzeichen gemäß Unterabschnitt 5.2.1.9 (Kennzeichen für Lithiumbatterien) und dem Gefahrzettel nach Muster 9A gemäß Absatz 5.2.2.2.2 versehen sind, gelten als den Vorschriften dieser Sondervorschrift entsprechend.“.</w:t>
      </w:r>
    </w:p>
    <w:p w:rsidR="008C6342" w:rsidRPr="00DD2A86" w:rsidRDefault="008C6342" w:rsidP="008E3F21">
      <w:pPr>
        <w:spacing w:before="120" w:after="120"/>
        <w:ind w:left="1134"/>
        <w:jc w:val="both"/>
        <w:rPr>
          <w:iCs/>
          <w:lang w:val="de-DE"/>
        </w:rPr>
      </w:pPr>
      <w:r w:rsidRPr="00DD2A86">
        <w:rPr>
          <w:b/>
          <w:iCs/>
          <w:lang w:val="de-DE"/>
        </w:rPr>
        <w:t>SV 188</w:t>
      </w:r>
      <w:r w:rsidRPr="00DD2A86">
        <w:rPr>
          <w:b/>
          <w:iCs/>
          <w:lang w:val="de-DE"/>
        </w:rPr>
        <w:tab/>
      </w:r>
      <w:r w:rsidRPr="00DD2A86">
        <w:rPr>
          <w:iCs/>
          <w:lang w:val="de-DE"/>
        </w:rPr>
        <w:t>Im ersten Absatz nach Absatz h) folgenden Satz hinzufügen: „„</w:t>
      </w:r>
      <w:r w:rsidRPr="00DD2A86">
        <w:rPr>
          <w:lang w:val="de-DE"/>
        </w:rPr>
        <w:t>Ausrüstung“ im Sinne dieser Sondervorschrift ist ein Gerät, für dessen Betrieb die Lithiumzellen oder -batterien elektrische Energie liefern.“.</w:t>
      </w:r>
    </w:p>
    <w:p w:rsidR="008C6342" w:rsidRPr="00DD2A86" w:rsidRDefault="008C6342" w:rsidP="008E3F21">
      <w:pPr>
        <w:spacing w:after="120"/>
        <w:ind w:left="1134"/>
        <w:jc w:val="both"/>
        <w:rPr>
          <w:lang w:val="de-DE"/>
        </w:rPr>
      </w:pPr>
      <w:r w:rsidRPr="00DD2A86">
        <w:rPr>
          <w:b/>
          <w:lang w:val="de-DE"/>
        </w:rPr>
        <w:t>SV 193</w:t>
      </w:r>
      <w:r w:rsidRPr="00DD2A86">
        <w:rPr>
          <w:lang w:val="de-DE"/>
        </w:rPr>
        <w:tab/>
        <w:t>erhält folgenden Wortlaut:</w:t>
      </w:r>
    </w:p>
    <w:p w:rsidR="008C6342" w:rsidRPr="00DD2A86" w:rsidRDefault="008C6342" w:rsidP="008E3F21">
      <w:pPr>
        <w:spacing w:after="120"/>
        <w:ind w:left="1134"/>
        <w:jc w:val="both"/>
        <w:rPr>
          <w:lang w:val="de-DE"/>
        </w:rPr>
      </w:pPr>
      <w:r w:rsidRPr="00DD2A86">
        <w:rPr>
          <w:lang w:val="de-DE"/>
        </w:rPr>
        <w:t>„</w:t>
      </w:r>
      <w:r w:rsidRPr="00DD2A86">
        <w:rPr>
          <w:b/>
          <w:lang w:val="de-DE"/>
        </w:rPr>
        <w:t>193</w:t>
      </w:r>
      <w:r w:rsidRPr="00DD2A86">
        <w:rPr>
          <w:lang w:val="de-DE"/>
        </w:rPr>
        <w:tab/>
        <w:t>Diese Eintragung darf nur für ammoniumnitrathaltige Mehrnährstoffdüngemittel verwendet werden. Diese müssen in Übereinstimmung mit dem im Handbuch Prüfungen und Kriterien Teil III Abschnitt 39 festgelegten Verfahren klassifiziert werden. Düngemittel, die den Kriterien dieser UN-Nummer entsprechen, unterliegen den Vorschriften des ADN nur, wenn sie in loser Schüttung befördert werden.“.</w:t>
      </w:r>
    </w:p>
    <w:p w:rsidR="008C6342" w:rsidRPr="00DD2A86" w:rsidRDefault="008C6342" w:rsidP="008E3F21">
      <w:pPr>
        <w:spacing w:after="120"/>
        <w:ind w:left="1134"/>
        <w:jc w:val="both"/>
        <w:rPr>
          <w:iCs/>
          <w:lang w:val="de-DE"/>
        </w:rPr>
      </w:pPr>
      <w:r w:rsidRPr="00DD2A86">
        <w:rPr>
          <w:b/>
          <w:iCs/>
          <w:lang w:val="de-DE"/>
        </w:rPr>
        <w:t>SV 240</w:t>
      </w:r>
      <w:r w:rsidRPr="00DD2A86">
        <w:rPr>
          <w:iCs/>
          <w:lang w:val="de-DE"/>
        </w:rPr>
        <w:tab/>
        <w:t>erhält folgenden Wortlaut: „</w:t>
      </w:r>
      <w:r w:rsidRPr="00DD2A86">
        <w:rPr>
          <w:b/>
          <w:iCs/>
          <w:lang w:val="de-DE"/>
        </w:rPr>
        <w:t>240</w:t>
      </w:r>
      <w:r w:rsidRPr="00DD2A86">
        <w:rPr>
          <w:iCs/>
          <w:lang w:val="de-DE"/>
        </w:rPr>
        <w:tab/>
        <w:t>(gestrichen)“.</w:t>
      </w:r>
    </w:p>
    <w:p w:rsidR="00EB786C" w:rsidRPr="00DD2A86" w:rsidRDefault="00EB786C" w:rsidP="008E3F21">
      <w:pPr>
        <w:spacing w:after="120"/>
        <w:ind w:left="1134"/>
        <w:jc w:val="both"/>
        <w:rPr>
          <w:lang w:val="de-DE"/>
        </w:rPr>
      </w:pPr>
      <w:r w:rsidRPr="00DD2A86">
        <w:rPr>
          <w:b/>
          <w:lang w:val="de-DE"/>
        </w:rPr>
        <w:t>SV 250</w:t>
      </w:r>
      <w:r w:rsidRPr="00DD2A86">
        <w:rPr>
          <w:lang w:val="de-DE"/>
        </w:rPr>
        <w:tab/>
        <w:t>In Absatz a) streichen: „(siehe Tabelle S-3-8 des Ergänzungsbands)“.</w:t>
      </w:r>
    </w:p>
    <w:p w:rsidR="008C6342" w:rsidRPr="00DD2A86" w:rsidRDefault="008C6342" w:rsidP="008E3F21">
      <w:pPr>
        <w:spacing w:after="120"/>
        <w:ind w:left="1134"/>
        <w:jc w:val="both"/>
        <w:rPr>
          <w:iCs/>
          <w:lang w:val="de-DE"/>
        </w:rPr>
      </w:pPr>
      <w:r w:rsidRPr="00DD2A86">
        <w:rPr>
          <w:b/>
          <w:iCs/>
          <w:lang w:val="de-DE"/>
        </w:rPr>
        <w:t>SV 251</w:t>
      </w:r>
      <w:r w:rsidRPr="00DD2A86">
        <w:rPr>
          <w:iCs/>
          <w:lang w:val="de-DE"/>
        </w:rPr>
        <w:tab/>
        <w:t>Der letzte Satz des ersten Unterabsatzes erhält folgenden Wortlaut:</w:t>
      </w:r>
    </w:p>
    <w:p w:rsidR="008C6342" w:rsidRPr="00DD2A86" w:rsidRDefault="008C6342" w:rsidP="008E3F21">
      <w:pPr>
        <w:spacing w:after="120"/>
        <w:ind w:left="1134"/>
        <w:jc w:val="both"/>
        <w:rPr>
          <w:iCs/>
          <w:lang w:val="de-DE"/>
        </w:rPr>
      </w:pPr>
      <w:r w:rsidRPr="00DD2A86">
        <w:rPr>
          <w:iCs/>
          <w:lang w:val="de-DE"/>
        </w:rPr>
        <w:t>„Diese Testsätze oder Ausrüstungen dürfen nur gefährliche Güter enthalten,</w:t>
      </w:r>
    </w:p>
    <w:p w:rsidR="008C6342" w:rsidRPr="00DD2A86" w:rsidRDefault="008C6342" w:rsidP="008E3F21">
      <w:pPr>
        <w:spacing w:after="120"/>
        <w:ind w:left="1134"/>
        <w:jc w:val="both"/>
        <w:rPr>
          <w:iCs/>
          <w:lang w:val="de-DE"/>
        </w:rPr>
      </w:pPr>
      <w:r w:rsidRPr="00DD2A86">
        <w:rPr>
          <w:iCs/>
          <w:lang w:val="de-DE"/>
        </w:rPr>
        <w:t>a)</w:t>
      </w:r>
      <w:r w:rsidRPr="00DD2A86">
        <w:rPr>
          <w:iCs/>
          <w:lang w:val="de-DE"/>
        </w:rPr>
        <w:tab/>
        <w:t>die als freigestellte Mengen zugelassen sind, welche die durch den Code in Kapitel 3.2 Tabelle A Spalte (7b) angegebene Menge nicht überschreiten, vorausgesetzt, die Nettomenge je Innenverpackung und die Nettomenge je Versandstück entsprechen den Vorschriften der Unterabschnitte 3.5.1.2 und 3.5.1.3, oder</w:t>
      </w:r>
    </w:p>
    <w:p w:rsidR="008C6342" w:rsidRPr="00DD2A86" w:rsidRDefault="008C6342" w:rsidP="008E3F21">
      <w:pPr>
        <w:spacing w:after="120"/>
        <w:ind w:left="1134"/>
        <w:jc w:val="both"/>
        <w:rPr>
          <w:iCs/>
          <w:lang w:val="de-DE"/>
        </w:rPr>
      </w:pPr>
      <w:r w:rsidRPr="00DD2A86">
        <w:rPr>
          <w:iCs/>
          <w:lang w:val="de-DE"/>
        </w:rPr>
        <w:t>b)</w:t>
      </w:r>
      <w:r w:rsidRPr="00DD2A86">
        <w:rPr>
          <w:iCs/>
          <w:lang w:val="de-DE"/>
        </w:rPr>
        <w:tab/>
        <w:t>die als begrenzte Mengen wie in Kapitel 3.2 Tabelle A Spalte (7a) angegeben zugelassen sind, vorausgesetzt, die Nettomenge je Innenverpackung ist nicht größer als 250 ml oder 250 g.“.</w:t>
      </w:r>
    </w:p>
    <w:p w:rsidR="008C6342" w:rsidRPr="00DD2A86" w:rsidRDefault="008C6342" w:rsidP="008E3F21">
      <w:pPr>
        <w:spacing w:after="120"/>
        <w:ind w:left="1134"/>
        <w:jc w:val="both"/>
        <w:rPr>
          <w:iCs/>
          <w:lang w:val="de-DE"/>
        </w:rPr>
      </w:pPr>
      <w:r w:rsidRPr="00DD2A86">
        <w:rPr>
          <w:iCs/>
          <w:lang w:val="de-DE"/>
        </w:rPr>
        <w:t>Den letzten Satz des zweiten Unterabsatzes streichen.</w:t>
      </w:r>
    </w:p>
    <w:p w:rsidR="008C6342" w:rsidRPr="00DD2A86" w:rsidRDefault="008C6342" w:rsidP="008E3F21">
      <w:pPr>
        <w:spacing w:after="120"/>
        <w:ind w:left="1134"/>
        <w:jc w:val="both"/>
        <w:rPr>
          <w:iCs/>
          <w:lang w:val="de-DE"/>
        </w:rPr>
      </w:pPr>
      <w:r w:rsidRPr="00DD2A86">
        <w:rPr>
          <w:iCs/>
          <w:lang w:val="de-DE"/>
        </w:rPr>
        <w:t>Im dritten Unterabsatz folgenden neuen ersten Satz einfügen:</w:t>
      </w:r>
    </w:p>
    <w:p w:rsidR="008C6342" w:rsidRPr="00DD2A86" w:rsidRDefault="008C6342" w:rsidP="008E3F21">
      <w:pPr>
        <w:spacing w:after="120"/>
        <w:ind w:left="1134"/>
        <w:jc w:val="both"/>
        <w:rPr>
          <w:iCs/>
          <w:lang w:val="de-DE"/>
        </w:rPr>
      </w:pPr>
      <w:r w:rsidRPr="00DD2A86">
        <w:rPr>
          <w:iCs/>
          <w:lang w:val="de-DE"/>
        </w:rPr>
        <w:t>„Für Zwecke der Beschreibung der gefährlichen Güter im Beförderungspapier gemäß Absatz 5.4.1.1.1 muss die im Beförderungspapier angegebene Verpackungsgruppe der strengsten Verpackungsgruppe entsprechen, die einem der im Testsatz oder in der Ausrüstung enthaltenen Stoffe zugeordnet ist.“.</w:t>
      </w:r>
    </w:p>
    <w:p w:rsidR="008C6342" w:rsidRPr="00DD2A86" w:rsidRDefault="008C6342" w:rsidP="008E3F21">
      <w:pPr>
        <w:spacing w:before="120" w:after="120" w:line="240" w:lineRule="auto"/>
        <w:ind w:left="1134"/>
        <w:jc w:val="both"/>
        <w:rPr>
          <w:iCs/>
          <w:lang w:val="de-DE"/>
        </w:rPr>
      </w:pPr>
      <w:r w:rsidRPr="00DD2A86">
        <w:rPr>
          <w:b/>
          <w:iCs/>
          <w:lang w:val="de-DE"/>
        </w:rPr>
        <w:t>SV 280</w:t>
      </w:r>
      <w:r w:rsidRPr="00DD2A86">
        <w:rPr>
          <w:iCs/>
          <w:lang w:val="de-DE"/>
        </w:rPr>
        <w:tab/>
        <w:t>„</w:t>
      </w:r>
      <w:r w:rsidRPr="00DD2A86">
        <w:rPr>
          <w:lang w:val="de-DE"/>
        </w:rPr>
        <w:t>Splitterwirkung“ ändern in: „</w:t>
      </w:r>
      <w:r w:rsidRPr="00DD2A86">
        <w:rPr>
          <w:iCs/>
          <w:lang w:val="de-DE"/>
        </w:rPr>
        <w:t>Splittergefahr“.</w:t>
      </w:r>
    </w:p>
    <w:p w:rsidR="008C6342" w:rsidRPr="00DD2A86" w:rsidRDefault="008C6342" w:rsidP="008E3F21">
      <w:pPr>
        <w:spacing w:after="120"/>
        <w:ind w:left="1134"/>
        <w:jc w:val="both"/>
        <w:rPr>
          <w:iCs/>
          <w:lang w:val="de-DE" w:eastAsia="en-GB"/>
        </w:rPr>
      </w:pPr>
      <w:r w:rsidRPr="00DD2A86">
        <w:rPr>
          <w:b/>
          <w:lang w:val="de-DE" w:eastAsia="en-GB"/>
        </w:rPr>
        <w:t>SV 290</w:t>
      </w:r>
      <w:r w:rsidRPr="00DD2A86">
        <w:rPr>
          <w:lang w:val="de-DE" w:eastAsia="en-GB"/>
        </w:rPr>
        <w:tab/>
        <w:t>[Die Änderung zu Absatz b) in der englischen und französischen Fassung hat keine Auswirkungen auf den deutschen Text.]</w:t>
      </w:r>
    </w:p>
    <w:p w:rsidR="00D732AB" w:rsidRPr="00DD2A86" w:rsidRDefault="00D732AB" w:rsidP="00D732AB">
      <w:pPr>
        <w:spacing w:after="120"/>
        <w:ind w:left="1134" w:right="1134"/>
        <w:jc w:val="both"/>
        <w:rPr>
          <w:iCs/>
          <w:lang w:val="de-DE"/>
        </w:rPr>
      </w:pPr>
      <w:r w:rsidRPr="00DD2A86">
        <w:rPr>
          <w:b/>
          <w:iCs/>
          <w:lang w:val="de-DE"/>
        </w:rPr>
        <w:t>SV 291</w:t>
      </w:r>
      <w:r w:rsidRPr="00DD2A86">
        <w:rPr>
          <w:iCs/>
          <w:lang w:val="de-DE"/>
        </w:rPr>
        <w:tab/>
        <w:t>Im zweiten Satz „die Gefahr“ ändern in: „das Risiko“.</w:t>
      </w:r>
    </w:p>
    <w:p w:rsidR="00D732AB" w:rsidRPr="00DD2A86" w:rsidRDefault="00D732AB" w:rsidP="008E3F21">
      <w:pPr>
        <w:spacing w:after="120"/>
        <w:ind w:left="1134"/>
        <w:jc w:val="both"/>
        <w:rPr>
          <w:iCs/>
          <w:lang w:val="de-DE"/>
        </w:rPr>
      </w:pPr>
      <w:r w:rsidRPr="00DD2A86">
        <w:rPr>
          <w:iCs/>
          <w:lang w:val="de-DE"/>
        </w:rPr>
        <w:t>[Betrifft nur die deutsche Sprachfassung]</w:t>
      </w:r>
    </w:p>
    <w:p w:rsidR="008C6342" w:rsidRPr="00DD2A86" w:rsidRDefault="008C6342" w:rsidP="008E3F21">
      <w:pPr>
        <w:spacing w:after="120"/>
        <w:ind w:left="1134"/>
        <w:jc w:val="both"/>
        <w:rPr>
          <w:iCs/>
          <w:lang w:val="de-DE"/>
        </w:rPr>
      </w:pPr>
      <w:r w:rsidRPr="00DD2A86">
        <w:rPr>
          <w:b/>
          <w:iCs/>
          <w:lang w:val="de-DE"/>
        </w:rPr>
        <w:t>SV 293</w:t>
      </w:r>
      <w:r w:rsidRPr="00DD2A86">
        <w:rPr>
          <w:iCs/>
          <w:lang w:val="de-DE"/>
        </w:rPr>
        <w:tab/>
      </w:r>
      <w:r w:rsidRPr="00DD2A86">
        <w:rPr>
          <w:lang w:val="de-DE"/>
        </w:rPr>
        <w:t>[Die Änderung zu Absatz b) in der englischen Fassung hat keine Auswirkungen auf den deutschen Text.]</w:t>
      </w:r>
    </w:p>
    <w:p w:rsidR="008C6342" w:rsidRPr="00DD2A86" w:rsidRDefault="008C6342" w:rsidP="008E3F21">
      <w:pPr>
        <w:suppressAutoHyphens w:val="0"/>
        <w:spacing w:line="240" w:lineRule="auto"/>
        <w:ind w:left="1134"/>
        <w:jc w:val="both"/>
        <w:rPr>
          <w:iCs/>
          <w:color w:val="000000"/>
          <w:lang w:val="de-DE" w:eastAsia="de-DE"/>
        </w:rPr>
      </w:pPr>
      <w:r w:rsidRPr="00DD2A86">
        <w:rPr>
          <w:b/>
          <w:iCs/>
          <w:color w:val="000000"/>
          <w:lang w:val="de-DE" w:eastAsia="de-DE"/>
        </w:rPr>
        <w:t>SV 307</w:t>
      </w:r>
      <w:r w:rsidRPr="00DD2A86">
        <w:rPr>
          <w:iCs/>
          <w:color w:val="000000"/>
          <w:lang w:val="de-DE" w:eastAsia="de-DE"/>
        </w:rPr>
        <w:tab/>
        <w:t>erhält folgenden Wortlaut:</w:t>
      </w:r>
    </w:p>
    <w:p w:rsidR="008C6342" w:rsidRPr="00DD2A86" w:rsidRDefault="008C6342" w:rsidP="008E3F21">
      <w:pPr>
        <w:suppressAutoHyphens w:val="0"/>
        <w:spacing w:before="120" w:line="240" w:lineRule="auto"/>
        <w:ind w:left="1134"/>
        <w:jc w:val="both"/>
        <w:rPr>
          <w:iCs/>
          <w:lang w:val="de-DE" w:eastAsia="de-DE"/>
        </w:rPr>
      </w:pPr>
      <w:r w:rsidRPr="00DD2A86">
        <w:rPr>
          <w:iCs/>
          <w:lang w:val="de-DE" w:eastAsia="de-DE"/>
        </w:rPr>
        <w:t>„</w:t>
      </w:r>
      <w:r w:rsidRPr="00DD2A86">
        <w:rPr>
          <w:b/>
          <w:iCs/>
          <w:lang w:val="de-DE" w:eastAsia="de-DE"/>
        </w:rPr>
        <w:t>307</w:t>
      </w:r>
      <w:r w:rsidRPr="00DD2A86">
        <w:rPr>
          <w:iCs/>
          <w:lang w:val="de-DE" w:eastAsia="de-DE"/>
        </w:rPr>
        <w:tab/>
        <w:t xml:space="preserve">Diese Eintragung darf nur für ammoniumnitrathaltige Düngemittel verwendet werden. Diese müssen in Übereinstimmung mit dem im Handbuch Prüfungen und Kriterien Teil III Abschnitt 39 festgelegten Verfahren </w:t>
      </w:r>
      <w:r w:rsidRPr="00DD2A86">
        <w:rPr>
          <w:lang w:val="de-DE" w:eastAsia="de-DE"/>
        </w:rPr>
        <w:t>vorbehaltlich der Einschränkungen in Absatz 2.2.51.2.2 dreizehnter Spiegelstrich</w:t>
      </w:r>
      <w:r w:rsidRPr="00DD2A86">
        <w:rPr>
          <w:iCs/>
          <w:lang w:val="de-DE" w:eastAsia="de-DE"/>
        </w:rPr>
        <w:t xml:space="preserve"> klassifiziert werden. Der im genannten Abschnitt 39 verwendete Begriff „zuständige Behörde“ bedeutet die zuständige Behörde des Ursprungslandes. Ist das Ursprungsland keine Vertragspartei des ADN, so müssen die Klassifizierung und die Beförderungsbedingungen von der zuständigen Behörde der ersten von der Sendung berührten Vertragspartei des ADN anerkannt werden.“.</w:t>
      </w:r>
    </w:p>
    <w:p w:rsidR="008C6342" w:rsidRPr="00DD2A86" w:rsidRDefault="008C6342" w:rsidP="008E3F21">
      <w:pPr>
        <w:suppressAutoHyphens w:val="0"/>
        <w:spacing w:line="240" w:lineRule="auto"/>
        <w:ind w:left="1134"/>
        <w:jc w:val="both"/>
        <w:rPr>
          <w:iCs/>
          <w:lang w:val="de-DE" w:eastAsia="de-DE"/>
        </w:rPr>
      </w:pPr>
    </w:p>
    <w:p w:rsidR="008C6342" w:rsidRPr="00DD2A86" w:rsidRDefault="008C6342" w:rsidP="008E3F21">
      <w:pPr>
        <w:spacing w:after="120"/>
        <w:ind w:left="1134"/>
        <w:jc w:val="both"/>
        <w:rPr>
          <w:iCs/>
          <w:lang w:val="de-DE"/>
        </w:rPr>
      </w:pPr>
      <w:r w:rsidRPr="00DD2A86">
        <w:rPr>
          <w:b/>
          <w:iCs/>
          <w:lang w:val="de-DE"/>
        </w:rPr>
        <w:t>SV 310</w:t>
      </w:r>
      <w:r w:rsidRPr="00DD2A86">
        <w:rPr>
          <w:iCs/>
          <w:lang w:val="de-DE"/>
        </w:rPr>
        <w:tab/>
        <w:t>Im ersten Unterabsatz „Zellen und Batterien“ ändern in: „Zellen oder Batterien“ (zweimal).</w:t>
      </w:r>
    </w:p>
    <w:p w:rsidR="008C6342" w:rsidRPr="00DD2A86" w:rsidRDefault="008C6342" w:rsidP="008E3F21">
      <w:pPr>
        <w:spacing w:after="120"/>
        <w:ind w:left="1134"/>
        <w:jc w:val="both"/>
        <w:rPr>
          <w:iCs/>
          <w:lang w:val="de-DE"/>
        </w:rPr>
      </w:pPr>
      <w:r w:rsidRPr="00DD2A86">
        <w:rPr>
          <w:iCs/>
          <w:lang w:val="de-DE"/>
        </w:rPr>
        <w:t>Am Ende des ersten Unterabsatzes vor „verpackt sind“ einfügen: „bzw. Verpackungsanweisung LP 905 des Unterabschnitts 4.1.4.3 des ADR“.</w:t>
      </w:r>
    </w:p>
    <w:p w:rsidR="008C6342" w:rsidRPr="00DD2A86" w:rsidRDefault="008C6342" w:rsidP="008E3F21">
      <w:pPr>
        <w:spacing w:after="120"/>
        <w:ind w:left="1134"/>
        <w:jc w:val="both"/>
        <w:rPr>
          <w:iCs/>
          <w:lang w:val="de-DE"/>
        </w:rPr>
      </w:pPr>
      <w:r w:rsidRPr="00DD2A86">
        <w:rPr>
          <w:b/>
          <w:iCs/>
          <w:lang w:val="de-DE"/>
        </w:rPr>
        <w:t>SV 312</w:t>
      </w:r>
      <w:r w:rsidRPr="00DD2A86">
        <w:rPr>
          <w:iCs/>
          <w:lang w:val="de-DE"/>
        </w:rPr>
        <w:tab/>
        <w:t>erhält folgenden Wortlaut: „</w:t>
      </w:r>
      <w:r w:rsidRPr="00DD2A86">
        <w:rPr>
          <w:b/>
          <w:iCs/>
          <w:lang w:val="de-DE"/>
        </w:rPr>
        <w:t>312</w:t>
      </w:r>
      <w:r w:rsidRPr="00DD2A86">
        <w:rPr>
          <w:iCs/>
          <w:lang w:val="de-DE"/>
        </w:rPr>
        <w:tab/>
        <w:t>(gestrichen)“.</w:t>
      </w:r>
    </w:p>
    <w:p w:rsidR="008C6342" w:rsidRPr="00DD2A86" w:rsidRDefault="008C6342" w:rsidP="008E3F21">
      <w:pPr>
        <w:spacing w:after="120"/>
        <w:ind w:left="1134"/>
        <w:jc w:val="both"/>
        <w:rPr>
          <w:iCs/>
          <w:lang w:val="de-DE"/>
        </w:rPr>
      </w:pPr>
      <w:r w:rsidRPr="00DD2A86">
        <w:rPr>
          <w:b/>
          <w:iCs/>
          <w:lang w:val="de-DE"/>
        </w:rPr>
        <w:t>SV 339</w:t>
      </w:r>
      <w:r w:rsidRPr="00DD2A86">
        <w:rPr>
          <w:iCs/>
          <w:lang w:val="de-DE"/>
        </w:rPr>
        <w:tab/>
      </w:r>
      <w:r w:rsidRPr="00DD2A86">
        <w:rPr>
          <w:lang w:val="de-DE"/>
        </w:rPr>
        <w:t>[Die Änderung zu Absatz b) in der französischen Fassung hat keine Auswirkungen auf den deutschen Text.]</w:t>
      </w:r>
    </w:p>
    <w:p w:rsidR="008C6342" w:rsidRPr="00DD2A86" w:rsidRDefault="008C6342" w:rsidP="008E3F21">
      <w:pPr>
        <w:spacing w:after="120"/>
        <w:ind w:left="1134"/>
        <w:jc w:val="both"/>
        <w:rPr>
          <w:iCs/>
          <w:lang w:val="de-DE"/>
        </w:rPr>
      </w:pPr>
      <w:r w:rsidRPr="00DD2A86">
        <w:rPr>
          <w:b/>
          <w:iCs/>
          <w:lang w:val="de-DE"/>
        </w:rPr>
        <w:t>SV 361</w:t>
      </w:r>
      <w:r w:rsidRPr="00DD2A86">
        <w:rPr>
          <w:iCs/>
          <w:lang w:val="de-DE"/>
        </w:rPr>
        <w:tab/>
      </w:r>
      <w:r w:rsidRPr="00DD2A86">
        <w:rPr>
          <w:lang w:val="de-DE"/>
        </w:rPr>
        <w:t>[Die Änderung zu Absatz b) in der französischen Fassung hat keine Auswirkungen auf den deutschen Text.]</w:t>
      </w:r>
    </w:p>
    <w:p w:rsidR="00573B62" w:rsidRPr="00DD2A86" w:rsidRDefault="00573B62" w:rsidP="008E3F21">
      <w:pPr>
        <w:spacing w:after="120"/>
        <w:ind w:left="1134"/>
        <w:jc w:val="both"/>
        <w:rPr>
          <w:iCs/>
          <w:lang w:val="de-DE"/>
        </w:rPr>
      </w:pPr>
      <w:r w:rsidRPr="00DD2A86">
        <w:rPr>
          <w:b/>
          <w:iCs/>
          <w:lang w:val="de-DE"/>
        </w:rPr>
        <w:t>SV 363</w:t>
      </w:r>
      <w:r w:rsidRPr="00DD2A86">
        <w:rPr>
          <w:iCs/>
          <w:lang w:val="de-DE"/>
        </w:rPr>
        <w:tab/>
        <w:t>Am Anfang folgenden Einleitungssatz einfügen:</w:t>
      </w:r>
    </w:p>
    <w:p w:rsidR="00573B62" w:rsidRPr="00DD2A86" w:rsidRDefault="00573B62" w:rsidP="008E3F21">
      <w:pPr>
        <w:spacing w:after="120"/>
        <w:ind w:left="1134"/>
        <w:jc w:val="both"/>
        <w:rPr>
          <w:iCs/>
          <w:lang w:val="de-DE"/>
        </w:rPr>
      </w:pPr>
      <w:r w:rsidRPr="00DD2A86">
        <w:rPr>
          <w:iCs/>
          <w:lang w:val="de-DE"/>
        </w:rPr>
        <w:t xml:space="preserve">„Diese Eintragung darf nur verwendet werden, wenn die Bedingungen dieser Sondervorschrift erfüllt werden. Die übrigen Vorschriften des </w:t>
      </w:r>
      <w:r w:rsidRPr="00DD2A86">
        <w:rPr>
          <w:lang w:val="de-DE"/>
        </w:rPr>
        <w:t>ADN</w:t>
      </w:r>
      <w:r w:rsidRPr="00DD2A86">
        <w:rPr>
          <w:iCs/>
          <w:lang w:val="de-DE"/>
        </w:rPr>
        <w:t xml:space="preserve"> gelten nicht.“.</w:t>
      </w:r>
    </w:p>
    <w:p w:rsidR="00D732AB" w:rsidRPr="00DD2A86" w:rsidRDefault="00D732AB" w:rsidP="00D732AB">
      <w:pPr>
        <w:spacing w:after="120"/>
        <w:ind w:left="2268" w:right="1134" w:hanging="1134"/>
        <w:jc w:val="both"/>
        <w:rPr>
          <w:iCs/>
          <w:lang w:val="de-DE"/>
        </w:rPr>
      </w:pPr>
      <w:r w:rsidRPr="00DD2A86">
        <w:rPr>
          <w:b/>
          <w:iCs/>
          <w:lang w:val="de-DE"/>
        </w:rPr>
        <w:t>SV 363</w:t>
      </w:r>
      <w:r w:rsidRPr="00DD2A86">
        <w:rPr>
          <w:b/>
          <w:iCs/>
          <w:lang w:val="de-DE"/>
        </w:rPr>
        <w:tab/>
      </w:r>
      <w:r w:rsidRPr="00DD2A86">
        <w:rPr>
          <w:iCs/>
          <w:lang w:val="de-DE"/>
        </w:rPr>
        <w:t>In Absatz b), in der Bem. 1, im zweiten Satz „oder gespült“ ändern in: „oder entgast“.</w:t>
      </w:r>
    </w:p>
    <w:p w:rsidR="00D732AB" w:rsidRPr="00DD2A86" w:rsidRDefault="00D732AB" w:rsidP="00D732AB">
      <w:pPr>
        <w:spacing w:after="120"/>
        <w:ind w:left="2268" w:right="1134"/>
        <w:jc w:val="both"/>
        <w:rPr>
          <w:b/>
          <w:iCs/>
          <w:sz w:val="24"/>
          <w:szCs w:val="24"/>
          <w:lang w:val="de-DE"/>
        </w:rPr>
      </w:pPr>
      <w:r w:rsidRPr="00DD2A86">
        <w:rPr>
          <w:iCs/>
          <w:lang w:val="de-DE"/>
        </w:rPr>
        <w:t>In Absatz b), in der Bem. 1, im dritten Satz „Flüssigbrennstofftank“ ändern in: „Flüssigbrennstoffbehälter“.</w:t>
      </w:r>
    </w:p>
    <w:p w:rsidR="00D732AB" w:rsidRPr="00DD2A86" w:rsidRDefault="00D732AB" w:rsidP="008E3F21">
      <w:pPr>
        <w:spacing w:after="120"/>
        <w:ind w:left="1134"/>
        <w:jc w:val="both"/>
        <w:rPr>
          <w:iCs/>
          <w:lang w:val="de-DE"/>
        </w:rPr>
      </w:pPr>
      <w:r w:rsidRPr="00DD2A86">
        <w:rPr>
          <w:iCs/>
          <w:lang w:val="de-DE"/>
        </w:rPr>
        <w:t>[Betrifft nur die deutsche Sprachfassung]</w:t>
      </w:r>
    </w:p>
    <w:p w:rsidR="00573B62" w:rsidRPr="00DD2A86" w:rsidRDefault="00573B62" w:rsidP="008E3F21">
      <w:pPr>
        <w:spacing w:after="120"/>
        <w:ind w:left="1134"/>
        <w:jc w:val="both"/>
        <w:rPr>
          <w:iCs/>
          <w:lang w:val="de-DE"/>
        </w:rPr>
      </w:pPr>
      <w:r w:rsidRPr="00DD2A86">
        <w:rPr>
          <w:b/>
          <w:iCs/>
          <w:lang w:val="de-DE"/>
        </w:rPr>
        <w:t>SV 363</w:t>
      </w:r>
      <w:r w:rsidRPr="00DD2A86">
        <w:rPr>
          <w:lang w:val="de-DE"/>
        </w:rPr>
        <w:t xml:space="preserve"> </w:t>
      </w:r>
      <w:r w:rsidRPr="00DD2A86">
        <w:rPr>
          <w:lang w:val="de-DE"/>
        </w:rPr>
        <w:tab/>
        <w:t>[Die Änderung zu Absatz f) in der englischen und französischen Fassung hat keine Auswirkungen auf den deutschen Text.]</w:t>
      </w:r>
    </w:p>
    <w:p w:rsidR="00EB786C" w:rsidRPr="00DD2A86" w:rsidRDefault="00EB786C" w:rsidP="008E3F21">
      <w:pPr>
        <w:spacing w:after="120"/>
        <w:ind w:left="1134"/>
        <w:jc w:val="both"/>
        <w:rPr>
          <w:iCs/>
          <w:lang w:val="de-DE"/>
        </w:rPr>
      </w:pPr>
      <w:r w:rsidRPr="00DD2A86">
        <w:rPr>
          <w:b/>
          <w:lang w:val="de-DE"/>
        </w:rPr>
        <w:t>SV 363</w:t>
      </w:r>
      <w:r w:rsidRPr="00DD2A86">
        <w:rPr>
          <w:lang w:val="de-DE"/>
        </w:rPr>
        <w:tab/>
      </w:r>
      <w:r w:rsidRPr="00DD2A86">
        <w:rPr>
          <w:iCs/>
          <w:lang w:val="de-DE"/>
        </w:rPr>
        <w:t>In Absatz g) den Einleitungssatz streichen. In Absatz g) die Unterabsätze (i) bis (vi) in Absätze g) bis l) umbenennen.</w:t>
      </w:r>
    </w:p>
    <w:p w:rsidR="00EB786C" w:rsidRPr="00DD2A86" w:rsidRDefault="00EB786C" w:rsidP="008E3F21">
      <w:pPr>
        <w:spacing w:before="120"/>
        <w:ind w:left="1134"/>
        <w:jc w:val="both"/>
        <w:rPr>
          <w:iCs/>
          <w:lang w:val="de-DE"/>
        </w:rPr>
      </w:pPr>
      <w:r w:rsidRPr="00DD2A86">
        <w:rPr>
          <w:iCs/>
          <w:lang w:val="de-DE"/>
        </w:rPr>
        <w:t>Der neue Absatz l) (bisheriger Absatz g) (vi)) erhält folgenden Wortlaut:</w:t>
      </w:r>
    </w:p>
    <w:p w:rsidR="00EB786C" w:rsidRPr="00DD2A86" w:rsidRDefault="00EB786C" w:rsidP="008E3F21">
      <w:pPr>
        <w:tabs>
          <w:tab w:val="left" w:pos="1870"/>
        </w:tabs>
        <w:spacing w:before="120"/>
        <w:ind w:left="1134"/>
        <w:jc w:val="both"/>
        <w:rPr>
          <w:iCs/>
          <w:lang w:val="de-DE"/>
        </w:rPr>
      </w:pPr>
      <w:r w:rsidRPr="00DD2A86">
        <w:rPr>
          <w:iCs/>
          <w:lang w:val="de-DE"/>
        </w:rPr>
        <w:t>„l)</w:t>
      </w:r>
      <w:r w:rsidRPr="00DD2A86">
        <w:rPr>
          <w:iCs/>
          <w:lang w:val="de-DE"/>
        </w:rPr>
        <w:tab/>
        <w:t>Wenn der Motor oder die Maschine im Falle der UN-Nummern 3528 und 3530 mehr als 1000 Liter flüssige Brennstoffe enthält oder wenn der Brennstoffbehälter im Falle der UN-Nummer 3529 einen mit Wasser ausgeliterten Fassungsraum von mehr als 1000 Litern hat,</w:t>
      </w:r>
      <w:r w:rsidR="00016F35" w:rsidRPr="00DD2A86">
        <w:rPr>
          <w:iCs/>
          <w:lang w:val="de-DE"/>
        </w:rPr>
        <w:t xml:space="preserve"> </w:t>
      </w:r>
      <w:r w:rsidRPr="00DD2A86">
        <w:rPr>
          <w:iCs/>
          <w:lang w:val="de-DE"/>
        </w:rPr>
        <w:t>ist ein Beförderungspapier gemäß Abschnitt 5.4.1 erforderlich. In diesem Beförderungspapier ist zusätzlich zu vermerken:</w:t>
      </w:r>
    </w:p>
    <w:p w:rsidR="00EB786C" w:rsidRPr="00DD2A86" w:rsidRDefault="00EB786C" w:rsidP="008E3F21">
      <w:pPr>
        <w:tabs>
          <w:tab w:val="left" w:pos="1870"/>
        </w:tabs>
        <w:spacing w:before="120"/>
        <w:ind w:left="1134"/>
        <w:jc w:val="both"/>
        <w:rPr>
          <w:iCs/>
          <w:lang w:val="de-DE"/>
        </w:rPr>
      </w:pPr>
      <w:r w:rsidRPr="00DD2A86">
        <w:rPr>
          <w:iCs/>
          <w:lang w:val="de-DE"/>
        </w:rPr>
        <w:t>„BEFÖRDERUNG NACH SONDERVORSCHRIFT 363“;“.</w:t>
      </w:r>
    </w:p>
    <w:p w:rsidR="00573B62" w:rsidRPr="00DD2A86" w:rsidRDefault="00573B62" w:rsidP="0073248F">
      <w:pPr>
        <w:spacing w:before="120" w:after="120"/>
        <w:ind w:left="1134"/>
        <w:jc w:val="both"/>
        <w:rPr>
          <w:iCs/>
          <w:lang w:val="de-DE"/>
        </w:rPr>
      </w:pPr>
      <w:r w:rsidRPr="00DD2A86">
        <w:rPr>
          <w:b/>
          <w:iCs/>
          <w:lang w:val="de-DE"/>
        </w:rPr>
        <w:t>SV 363</w:t>
      </w:r>
      <w:r w:rsidRPr="00DD2A86">
        <w:rPr>
          <w:iCs/>
          <w:lang w:val="de-DE"/>
        </w:rPr>
        <w:tab/>
        <w:t>Einen neuen Absatz m) mit folgendem Wortlaut hinzufügen:</w:t>
      </w:r>
    </w:p>
    <w:p w:rsidR="00573B62" w:rsidRPr="00DD2A86" w:rsidRDefault="00573B62" w:rsidP="008E3F21">
      <w:pPr>
        <w:spacing w:after="120"/>
        <w:ind w:left="1134"/>
        <w:jc w:val="both"/>
        <w:rPr>
          <w:iCs/>
          <w:lang w:val="de-DE"/>
        </w:rPr>
      </w:pPr>
      <w:r w:rsidRPr="00DD2A86">
        <w:rPr>
          <w:iCs/>
          <w:lang w:val="de-DE"/>
        </w:rPr>
        <w:t>„m)</w:t>
      </w:r>
      <w:r w:rsidRPr="00DD2A86">
        <w:rPr>
          <w:iCs/>
          <w:lang w:val="de-DE"/>
        </w:rPr>
        <w:tab/>
        <w:t>Die in der Verpackungsanweisung P 005 des Unterabschnitts 4.1.4.1 des ADR festgelegten Vorschriften müssen erfüllt werden.“.</w:t>
      </w:r>
    </w:p>
    <w:p w:rsidR="00573B62" w:rsidRPr="00DD2A86" w:rsidRDefault="00573B62" w:rsidP="008E3F21">
      <w:pPr>
        <w:spacing w:after="120"/>
        <w:ind w:left="1134"/>
        <w:jc w:val="both"/>
        <w:rPr>
          <w:iCs/>
          <w:lang w:val="de-DE" w:eastAsia="en-GB"/>
        </w:rPr>
      </w:pPr>
      <w:r w:rsidRPr="00DD2A86">
        <w:rPr>
          <w:b/>
          <w:iCs/>
          <w:lang w:val="de-DE"/>
        </w:rPr>
        <w:t>SV 369</w:t>
      </w:r>
      <w:r w:rsidRPr="00DD2A86">
        <w:rPr>
          <w:lang w:val="de-DE" w:eastAsia="en-GB"/>
        </w:rPr>
        <w:t xml:space="preserve"> [Die Änderungen in der englischen und französischen Fassung haben keine Auswirkungen auf den deutschen Text.]</w:t>
      </w:r>
    </w:p>
    <w:p w:rsidR="001E3657" w:rsidRPr="00DD2A86" w:rsidRDefault="001E3657" w:rsidP="008E3F21">
      <w:pPr>
        <w:spacing w:after="120"/>
        <w:ind w:left="1134"/>
        <w:jc w:val="both"/>
        <w:rPr>
          <w:iCs/>
          <w:lang w:val="de-DE"/>
        </w:rPr>
      </w:pPr>
      <w:r w:rsidRPr="00DD2A86">
        <w:rPr>
          <w:b/>
          <w:iCs/>
          <w:lang w:val="de-DE"/>
        </w:rPr>
        <w:t>SV 376</w:t>
      </w:r>
      <w:r w:rsidRPr="00DD2A86">
        <w:rPr>
          <w:iCs/>
          <w:lang w:val="de-DE"/>
        </w:rPr>
        <w:tab/>
        <w:t>Die drei letzten Unterabsätze erhalten folgenden Wortlaut:</w:t>
      </w:r>
    </w:p>
    <w:p w:rsidR="001E3657" w:rsidRPr="00DD2A86" w:rsidRDefault="001E3657" w:rsidP="008E3F21">
      <w:pPr>
        <w:suppressAutoHyphens w:val="0"/>
        <w:spacing w:line="240" w:lineRule="auto"/>
        <w:ind w:left="1134"/>
        <w:jc w:val="both"/>
        <w:rPr>
          <w:iCs/>
          <w:color w:val="000000"/>
          <w:lang w:val="de-DE" w:eastAsia="de-DE"/>
        </w:rPr>
      </w:pPr>
      <w:r w:rsidRPr="00DD2A86">
        <w:rPr>
          <w:iCs/>
          <w:color w:val="000000"/>
          <w:lang w:val="de-DE" w:eastAsia="de-DE"/>
        </w:rPr>
        <w:t>„Zellen und Batterien müssen in Übereinstimmung mit der Verpackungsanweisung P 908 des Unterabschnitts 4.1.4.1 des ADR bzw. LP 904 des Unterabschnitts 4.1.4.3</w:t>
      </w:r>
      <w:r w:rsidRPr="00DD2A86">
        <w:rPr>
          <w:iCs/>
          <w:lang w:val="de-DE" w:eastAsia="de-DE"/>
        </w:rPr>
        <w:t xml:space="preserve"> des ADR</w:t>
      </w:r>
      <w:r w:rsidRPr="00DD2A86">
        <w:rPr>
          <w:iCs/>
          <w:color w:val="000000"/>
          <w:lang w:val="de-DE" w:eastAsia="de-DE"/>
        </w:rPr>
        <w:t xml:space="preserve"> verpackt sein.</w:t>
      </w:r>
    </w:p>
    <w:p w:rsidR="001E3657" w:rsidRPr="00DD2A86" w:rsidRDefault="001E3657" w:rsidP="008E3F21">
      <w:pPr>
        <w:suppressAutoHyphens w:val="0"/>
        <w:spacing w:line="240" w:lineRule="auto"/>
        <w:ind w:left="1134"/>
        <w:jc w:val="both"/>
        <w:rPr>
          <w:iCs/>
          <w:color w:val="000000"/>
          <w:lang w:val="de-DE" w:eastAsia="de-DE"/>
        </w:rPr>
      </w:pPr>
    </w:p>
    <w:p w:rsidR="001E3657" w:rsidRPr="00DD2A86" w:rsidRDefault="001E3657" w:rsidP="008E3F21">
      <w:pPr>
        <w:suppressAutoHyphens w:val="0"/>
        <w:spacing w:line="240" w:lineRule="auto"/>
        <w:ind w:left="1134"/>
        <w:jc w:val="both"/>
        <w:rPr>
          <w:iCs/>
          <w:color w:val="000000"/>
          <w:lang w:val="de-DE" w:eastAsia="de-DE"/>
        </w:rPr>
      </w:pPr>
      <w:r w:rsidRPr="00DD2A86">
        <w:rPr>
          <w:iCs/>
          <w:color w:val="000000"/>
          <w:lang w:val="de-DE" w:eastAsia="de-DE"/>
        </w:rPr>
        <w:t xml:space="preserve">Zellen und Batterien, bei denen festgestellt wurde, dass sie beschädigt oder defekt sind und unter normalen Beförderungsbedingungen zu einer schnellen Zerlegung, gefährlichen Reaktion, Flammenbildung, gefährlichen Wärmeentwicklung oder einem gefährlichen Ausstoß giftiger, ätzender oder entzündbarer Gase oder Dämpfe neigen, müssen in Übereinstimmung mit der Verpackungsanweisung P 911 des Unterabschnitts 4.1.4.1 des ADR bzw. LP 906 des Unterabschnitts 4.1.4.3 des ADR befördert werden. Alternative Verpackungs- und/oder Beförderungsbedingungen dürfen von der zuständigen Behörde </w:t>
      </w:r>
      <w:r w:rsidRPr="00DD2A86">
        <w:rPr>
          <w:iCs/>
          <w:lang w:val="de-DE" w:eastAsia="de-DE"/>
        </w:rPr>
        <w:t>einer Vertragspartei des ADN</w:t>
      </w:r>
      <w:r w:rsidRPr="00DD2A86">
        <w:rPr>
          <w:iCs/>
          <w:color w:val="00B0F0"/>
          <w:lang w:val="de-DE" w:eastAsia="de-DE"/>
        </w:rPr>
        <w:t xml:space="preserve"> </w:t>
      </w:r>
      <w:r w:rsidRPr="00DD2A86">
        <w:rPr>
          <w:iCs/>
          <w:color w:val="000000"/>
          <w:lang w:val="de-DE" w:eastAsia="de-DE"/>
        </w:rPr>
        <w:t>zugelassen werden</w:t>
      </w:r>
      <w:r w:rsidRPr="00DD2A86">
        <w:rPr>
          <w:color w:val="000000"/>
          <w:lang w:val="de-DE" w:eastAsia="de-DE"/>
        </w:rPr>
        <w:t xml:space="preserve">, wobei diese zuständige Behörde auch eine von der zuständigen Behörde eines Landes, </w:t>
      </w:r>
      <w:r w:rsidRPr="00DD2A86">
        <w:rPr>
          <w:lang w:val="de-DE" w:eastAsia="de-DE"/>
        </w:rPr>
        <w:t>das keine Vertragspartei des ADN</w:t>
      </w:r>
      <w:r w:rsidRPr="00DD2A86">
        <w:rPr>
          <w:color w:val="000000"/>
          <w:lang w:val="de-DE" w:eastAsia="de-DE"/>
        </w:rPr>
        <w:t xml:space="preserve"> ist, erteilte Genehmigung anerkennen kann, vorausgesetzt, diese wurde in Übereinstimmung mit den gemäß dem RID, dem ADR, dem ADN, dem IMDG-Code oder den Technischen Anweisungen der ICAO anwendbaren Verfahren erteilt</w:t>
      </w:r>
      <w:r w:rsidRPr="00DD2A86">
        <w:rPr>
          <w:iCs/>
          <w:color w:val="000000"/>
          <w:lang w:val="de-DE" w:eastAsia="de-DE"/>
        </w:rPr>
        <w:t xml:space="preserve">. </w:t>
      </w:r>
      <w:r w:rsidRPr="00DD2A86">
        <w:rPr>
          <w:color w:val="000000"/>
          <w:lang w:val="de-DE" w:eastAsia="de-DE"/>
        </w:rPr>
        <w:t>In beiden Fällen sind die Zellen und Batterien der Beförderungskategorie 0 zugeordnet.</w:t>
      </w:r>
    </w:p>
    <w:p w:rsidR="001E3657" w:rsidRPr="00DD2A86" w:rsidRDefault="001E3657" w:rsidP="008E3F21">
      <w:pPr>
        <w:suppressAutoHyphens w:val="0"/>
        <w:spacing w:line="240" w:lineRule="auto"/>
        <w:ind w:left="1134"/>
        <w:jc w:val="both"/>
        <w:rPr>
          <w:color w:val="000000"/>
          <w:lang w:val="de-DE" w:eastAsia="de-DE"/>
        </w:rPr>
      </w:pPr>
    </w:p>
    <w:p w:rsidR="001E3657" w:rsidRPr="00DD2A86" w:rsidRDefault="001E3657" w:rsidP="008E3F21">
      <w:pPr>
        <w:suppressAutoHyphens w:val="0"/>
        <w:spacing w:line="240" w:lineRule="auto"/>
        <w:ind w:left="1134"/>
        <w:jc w:val="both"/>
        <w:rPr>
          <w:color w:val="000000"/>
          <w:lang w:val="de-DE" w:eastAsia="de-DE"/>
        </w:rPr>
      </w:pPr>
      <w:r w:rsidRPr="00DD2A86">
        <w:rPr>
          <w:color w:val="000000"/>
          <w:lang w:val="de-DE" w:eastAsia="de-DE"/>
        </w:rPr>
        <w:t>Versandstücke müssen mit der Aufschrift „BESCHÄDIGTE/DEFEKTE LITHIUM-IONEN-BATTERIEN“ bzw. „BESCHÄDIGTE/DEFEKTE LITHIUM-METALL-BATTERIEN“ gekennzeichnet sein.</w:t>
      </w:r>
    </w:p>
    <w:p w:rsidR="001E3657" w:rsidRPr="00DD2A86" w:rsidRDefault="001E3657" w:rsidP="008E3F21">
      <w:pPr>
        <w:suppressAutoHyphens w:val="0"/>
        <w:spacing w:line="240" w:lineRule="auto"/>
        <w:ind w:left="1134"/>
        <w:jc w:val="both"/>
        <w:rPr>
          <w:iCs/>
          <w:color w:val="000000"/>
          <w:lang w:val="de-DE" w:eastAsia="de-DE"/>
        </w:rPr>
      </w:pPr>
    </w:p>
    <w:p w:rsidR="001E3657" w:rsidRPr="00DD2A86" w:rsidRDefault="001E3657" w:rsidP="008E3F21">
      <w:pPr>
        <w:suppressAutoHyphens w:val="0"/>
        <w:spacing w:line="240" w:lineRule="auto"/>
        <w:ind w:left="1134"/>
        <w:jc w:val="both"/>
        <w:rPr>
          <w:iCs/>
          <w:color w:val="000000"/>
          <w:lang w:val="de-DE" w:eastAsia="de-DE"/>
        </w:rPr>
      </w:pPr>
      <w:r w:rsidRPr="00DD2A86">
        <w:rPr>
          <w:iCs/>
          <w:color w:val="000000"/>
          <w:lang w:val="de-DE" w:eastAsia="de-DE"/>
        </w:rPr>
        <w:t>Im Beförderungspapier muss folgende Angabe enthalten sein: „BEFÖRDERUNG NACH SONDERVORSCHRIFT 376“.</w:t>
      </w:r>
    </w:p>
    <w:p w:rsidR="001E3657" w:rsidRPr="00DD2A86" w:rsidRDefault="001E3657" w:rsidP="008E3F21">
      <w:pPr>
        <w:suppressAutoHyphens w:val="0"/>
        <w:spacing w:line="240" w:lineRule="auto"/>
        <w:ind w:left="1134"/>
        <w:jc w:val="both"/>
        <w:rPr>
          <w:iCs/>
          <w:color w:val="000000"/>
          <w:lang w:val="de-DE" w:eastAsia="de-DE"/>
        </w:rPr>
      </w:pPr>
    </w:p>
    <w:p w:rsidR="001E3657" w:rsidRPr="00DD2A86" w:rsidRDefault="001E3657" w:rsidP="008E3F21">
      <w:pPr>
        <w:spacing w:after="120"/>
        <w:ind w:left="1134"/>
        <w:jc w:val="both"/>
        <w:rPr>
          <w:iCs/>
          <w:color w:val="000000"/>
          <w:lang w:val="de-DE" w:eastAsia="de-DE"/>
        </w:rPr>
      </w:pPr>
      <w:r w:rsidRPr="00DD2A86">
        <w:rPr>
          <w:iCs/>
          <w:color w:val="000000"/>
          <w:lang w:val="de-DE" w:eastAsia="de-DE"/>
        </w:rPr>
        <w:t>Sofern zutreffend, muss den Beförderungsunterlagen eine Kopie der Zulassung der zuständigen Behörde beigefügt werden.“.</w:t>
      </w:r>
    </w:p>
    <w:p w:rsidR="001E3657" w:rsidRPr="00DD2A86" w:rsidRDefault="001E3657" w:rsidP="008E3F21">
      <w:pPr>
        <w:spacing w:after="120"/>
        <w:ind w:left="1134"/>
        <w:jc w:val="both"/>
        <w:rPr>
          <w:lang w:val="de-DE"/>
        </w:rPr>
      </w:pPr>
      <w:r w:rsidRPr="00DD2A86">
        <w:rPr>
          <w:b/>
          <w:iCs/>
          <w:lang w:val="de-DE"/>
        </w:rPr>
        <w:t>SV 377</w:t>
      </w:r>
      <w:r w:rsidRPr="00DD2A86">
        <w:rPr>
          <w:lang w:val="de-DE"/>
        </w:rPr>
        <w:tab/>
        <w:t>Im zweiten Unterabsatz „des Absatzes 2.2.9.1.7 a) bis e)“ ändern in: „des Absatzes 2.2.9.1.7 a) bis g)“.</w:t>
      </w:r>
    </w:p>
    <w:p w:rsidR="001E3657" w:rsidRPr="00DD2A86" w:rsidRDefault="001E3657" w:rsidP="008E3F21">
      <w:pPr>
        <w:spacing w:after="120"/>
        <w:ind w:left="1134"/>
        <w:jc w:val="both"/>
        <w:rPr>
          <w:iCs/>
          <w:lang w:val="de-DE"/>
        </w:rPr>
      </w:pPr>
      <w:r w:rsidRPr="00DD2A86">
        <w:rPr>
          <w:b/>
          <w:iCs/>
          <w:lang w:val="de-DE"/>
        </w:rPr>
        <w:t>SV 385</w:t>
      </w:r>
      <w:r w:rsidRPr="00DD2A86">
        <w:rPr>
          <w:iCs/>
          <w:lang w:val="de-DE"/>
        </w:rPr>
        <w:tab/>
        <w:t>erhält folgenden Wortlaut: „</w:t>
      </w:r>
      <w:r w:rsidRPr="00DD2A86">
        <w:rPr>
          <w:b/>
          <w:iCs/>
          <w:lang w:val="de-DE"/>
        </w:rPr>
        <w:t>385</w:t>
      </w:r>
      <w:r w:rsidRPr="00DD2A86">
        <w:rPr>
          <w:iCs/>
          <w:lang w:val="de-DE"/>
        </w:rPr>
        <w:tab/>
        <w:t>(gestrichen)“.</w:t>
      </w:r>
    </w:p>
    <w:p w:rsidR="001E3657" w:rsidRPr="00DD2A86" w:rsidRDefault="001E3657" w:rsidP="008E3F21">
      <w:pPr>
        <w:spacing w:after="120"/>
        <w:ind w:left="1134"/>
        <w:jc w:val="both"/>
        <w:rPr>
          <w:iCs/>
          <w:lang w:val="de-DE"/>
        </w:rPr>
      </w:pPr>
      <w:r w:rsidRPr="00DD2A86">
        <w:rPr>
          <w:b/>
          <w:iCs/>
          <w:lang w:val="de-DE"/>
        </w:rPr>
        <w:t>SV 386</w:t>
      </w:r>
      <w:r w:rsidRPr="00DD2A86">
        <w:rPr>
          <w:iCs/>
          <w:lang w:val="de-DE"/>
        </w:rPr>
        <w:tab/>
        <w:t>Im ersten Satz nach „des Absatzes 2.2.41.1.17,“ einfügen: „des Abschnitts 7.1.7,“.</w:t>
      </w:r>
    </w:p>
    <w:p w:rsidR="001E3657" w:rsidRPr="00DD2A86" w:rsidRDefault="001E3657" w:rsidP="008E3F21">
      <w:pPr>
        <w:spacing w:after="120"/>
        <w:ind w:left="1134"/>
        <w:jc w:val="both"/>
        <w:rPr>
          <w:bCs/>
          <w:iCs/>
          <w:lang w:val="de-DE"/>
        </w:rPr>
      </w:pPr>
      <w:r w:rsidRPr="00DD2A86">
        <w:rPr>
          <w:bCs/>
          <w:iCs/>
          <w:lang w:val="de-DE"/>
        </w:rPr>
        <w:t>„</w:t>
      </w:r>
      <w:r w:rsidRPr="00DD2A86">
        <w:rPr>
          <w:b/>
          <w:bCs/>
          <w:iCs/>
          <w:lang w:val="de-DE"/>
        </w:rPr>
        <w:t xml:space="preserve">387 – 499 </w:t>
      </w:r>
      <w:r w:rsidRPr="00DD2A86">
        <w:rPr>
          <w:bCs/>
          <w:iCs/>
          <w:lang w:val="de-DE"/>
        </w:rPr>
        <w:t>(bleibt offen)“ ändern in: „</w:t>
      </w:r>
      <w:r w:rsidRPr="00DD2A86">
        <w:rPr>
          <w:b/>
          <w:bCs/>
          <w:iCs/>
          <w:lang w:val="de-DE"/>
        </w:rPr>
        <w:t xml:space="preserve">393 – 499 </w:t>
      </w:r>
      <w:r w:rsidRPr="00DD2A86">
        <w:rPr>
          <w:bCs/>
          <w:iCs/>
          <w:lang w:val="de-DE"/>
        </w:rPr>
        <w:t>(bleibt offen)“.</w:t>
      </w:r>
    </w:p>
    <w:p w:rsidR="00EB786C" w:rsidRPr="00DD2A86" w:rsidRDefault="00EB786C" w:rsidP="008E3F21">
      <w:pPr>
        <w:spacing w:after="120"/>
        <w:ind w:left="1134"/>
        <w:jc w:val="both"/>
        <w:rPr>
          <w:rFonts w:eastAsia="MS Mincho"/>
          <w:lang w:val="de-DE" w:eastAsia="nl-NL"/>
        </w:rPr>
      </w:pPr>
      <w:r w:rsidRPr="00DD2A86">
        <w:rPr>
          <w:rFonts w:eastAsia="MS Mincho"/>
          <w:b/>
          <w:lang w:val="de-DE" w:eastAsia="nl-NL"/>
        </w:rPr>
        <w:t>SV 636</w:t>
      </w:r>
      <w:r w:rsidRPr="00DD2A86">
        <w:rPr>
          <w:rFonts w:eastAsia="MS Mincho"/>
          <w:lang w:val="de-DE" w:eastAsia="nl-NL"/>
        </w:rPr>
        <w:tab/>
        <w:t>erhält folgenden Wortlaut:</w:t>
      </w:r>
    </w:p>
    <w:p w:rsidR="00EB786C" w:rsidRPr="00DD2A86" w:rsidRDefault="00EB786C" w:rsidP="008E3F21">
      <w:pPr>
        <w:tabs>
          <w:tab w:val="left" w:pos="1985"/>
        </w:tabs>
        <w:suppressAutoHyphens w:val="0"/>
        <w:spacing w:before="120" w:line="240" w:lineRule="auto"/>
        <w:ind w:left="1134"/>
        <w:jc w:val="both"/>
        <w:rPr>
          <w:lang w:val="de-DE" w:eastAsia="de-DE"/>
        </w:rPr>
      </w:pPr>
      <w:r w:rsidRPr="00DD2A86">
        <w:rPr>
          <w:lang w:val="de-DE" w:eastAsia="de-DE"/>
        </w:rPr>
        <w:t>„</w:t>
      </w:r>
      <w:r w:rsidRPr="00DD2A86">
        <w:rPr>
          <w:b/>
          <w:lang w:val="de-DE" w:eastAsia="de-DE"/>
        </w:rPr>
        <w:t>636</w:t>
      </w:r>
      <w:r w:rsidRPr="00DD2A86">
        <w:rPr>
          <w:lang w:val="de-DE" w:eastAsia="de-DE"/>
        </w:rPr>
        <w:tab/>
        <w:t>Bis zur Zwischenverarbeitungsstelle unterliegen Lithiumzellen und -batterien mit einer Bruttomasse von jeweils höchstens 500 g, Lithium-Ionen-Zellen mit einer Nennenergie in Wattstunden von höchstens 20 Wh, Lithium-Ionen-Batterien mit einer Nennenergie in Wattstunden von höchstens 100 Wh, Lithium-Metall-Zellen mit einer Menge von höchstens 1 g Lithium und Lithium-Metall-Batterien mit einer Gesamtmenge von höchstens 2 g Lithium, die nicht in Geräten enthalten sind und die zur Sortierung, zur Entsorgung oder zum Recycling gesammelt und zur Beförderung aufgegeben werden, auch zusammen mit anderen Zellen oder Batterien, die keine Lithiumzellen oder -batterien sind, nicht den übrigen Vorschriften des ADN, einschließlich der Sondervorschrift 376 und des Absatzes 2.2.9.1.7, wenn folgende Bedingungen erfüllt werden:</w:t>
      </w:r>
    </w:p>
    <w:p w:rsidR="00EB786C" w:rsidRPr="00DD2A86" w:rsidRDefault="00EB786C" w:rsidP="008E3F21">
      <w:pPr>
        <w:tabs>
          <w:tab w:val="left" w:pos="1701"/>
          <w:tab w:val="left" w:pos="2977"/>
          <w:tab w:val="left" w:pos="4395"/>
        </w:tabs>
        <w:suppressAutoHyphens w:val="0"/>
        <w:spacing w:before="120" w:line="240" w:lineRule="auto"/>
        <w:ind w:left="1134"/>
        <w:jc w:val="both"/>
        <w:rPr>
          <w:color w:val="000000"/>
          <w:lang w:val="de-DE" w:eastAsia="de-DE"/>
        </w:rPr>
      </w:pPr>
      <w:r w:rsidRPr="00DD2A86">
        <w:rPr>
          <w:color w:val="000000"/>
          <w:lang w:val="de-DE" w:eastAsia="de-DE"/>
        </w:rPr>
        <w:t>a)</w:t>
      </w:r>
      <w:r w:rsidRPr="00DD2A86">
        <w:rPr>
          <w:color w:val="000000"/>
          <w:lang w:val="de-DE" w:eastAsia="de-DE"/>
        </w:rPr>
        <w:tab/>
        <w:t>Die Zellen und Batterien sind nach den Vorschriften der Verpackungsanweisung P 909 des Unterabschnitts 4.1.4.1 des ADR mit Ausnahme der zusätzlichen Vorschriften 1 und 2 verpackt.</w:t>
      </w:r>
    </w:p>
    <w:p w:rsidR="00EB786C" w:rsidRPr="00DD2A86" w:rsidRDefault="00EB786C" w:rsidP="008E3F21">
      <w:pPr>
        <w:tabs>
          <w:tab w:val="left" w:pos="1701"/>
          <w:tab w:val="left" w:pos="2977"/>
          <w:tab w:val="left" w:pos="4395"/>
        </w:tabs>
        <w:suppressAutoHyphens w:val="0"/>
        <w:spacing w:before="120" w:line="240" w:lineRule="auto"/>
        <w:ind w:left="1134"/>
        <w:jc w:val="both"/>
        <w:rPr>
          <w:color w:val="000000"/>
          <w:lang w:val="de-DE" w:eastAsia="de-DE"/>
        </w:rPr>
      </w:pPr>
      <w:r w:rsidRPr="00DD2A86">
        <w:rPr>
          <w:color w:val="000000"/>
          <w:lang w:val="de-DE" w:eastAsia="de-DE"/>
        </w:rPr>
        <w:t>b)</w:t>
      </w:r>
      <w:r w:rsidRPr="00DD2A86">
        <w:rPr>
          <w:color w:val="000000"/>
          <w:lang w:val="de-DE" w:eastAsia="de-DE"/>
        </w:rPr>
        <w:tab/>
        <w:t xml:space="preserve">Es besteht ein Qualitätssicherungssystem, um sicherzustellen, dass die Gesamtmenge an Lithiumzellen und -batterien je </w:t>
      </w:r>
      <w:r w:rsidRPr="00DD2A86">
        <w:rPr>
          <w:lang w:val="de-DE" w:eastAsia="de-DE"/>
        </w:rPr>
        <w:t>Beförderungseinheit</w:t>
      </w:r>
      <w:r w:rsidRPr="00DD2A86">
        <w:rPr>
          <w:color w:val="000000"/>
          <w:lang w:val="de-DE" w:eastAsia="de-DE"/>
        </w:rPr>
        <w:t xml:space="preserve"> 333 kg nicht überschreitet.</w:t>
      </w:r>
    </w:p>
    <w:p w:rsidR="00EB786C" w:rsidRPr="00DD2A86" w:rsidRDefault="00EB786C" w:rsidP="008E3F21">
      <w:pPr>
        <w:tabs>
          <w:tab w:val="left" w:pos="1701"/>
          <w:tab w:val="left" w:pos="2694"/>
          <w:tab w:val="left" w:pos="4395"/>
        </w:tabs>
        <w:suppressAutoHyphens w:val="0"/>
        <w:spacing w:before="120" w:line="240" w:lineRule="auto"/>
        <w:ind w:left="1701" w:hanging="567"/>
        <w:jc w:val="both"/>
        <w:rPr>
          <w:color w:val="000000"/>
          <w:lang w:val="de-DE" w:eastAsia="de-DE"/>
        </w:rPr>
      </w:pPr>
      <w:r w:rsidRPr="00DD2A86">
        <w:rPr>
          <w:b/>
          <w:color w:val="000000"/>
          <w:lang w:val="de-DE" w:eastAsia="de-DE"/>
        </w:rPr>
        <w:t>Bem.</w:t>
      </w:r>
      <w:r w:rsidRPr="00DD2A86">
        <w:rPr>
          <w:color w:val="000000"/>
          <w:lang w:val="de-DE" w:eastAsia="de-DE"/>
        </w:rPr>
        <w:tab/>
        <w:t>Die Gesamtmenge an Lithiumzellen und -batterien im Gemisch darf anhand einer im Qualitätssicherungssystem enthaltenen statistischen Methode abgeschätzt werden. Eine Kopie der Qualitätssicherungsaufzeichnungen muss der zuständigen Behörde auf Anforderung zur Verfügung gestellt werden.</w:t>
      </w:r>
    </w:p>
    <w:p w:rsidR="00EB786C" w:rsidRPr="00DD2A86" w:rsidRDefault="00EB786C" w:rsidP="008E3F21">
      <w:pPr>
        <w:tabs>
          <w:tab w:val="left" w:pos="1701"/>
          <w:tab w:val="left" w:pos="2977"/>
          <w:tab w:val="left" w:pos="4395"/>
          <w:tab w:val="left" w:pos="7854"/>
        </w:tabs>
        <w:suppressAutoHyphens w:val="0"/>
        <w:spacing w:before="120" w:line="240" w:lineRule="auto"/>
        <w:ind w:left="1134"/>
        <w:jc w:val="both"/>
        <w:rPr>
          <w:color w:val="000000"/>
          <w:lang w:val="de-DE" w:eastAsia="de-DE"/>
        </w:rPr>
      </w:pPr>
      <w:r w:rsidRPr="00DD2A86">
        <w:rPr>
          <w:color w:val="000000"/>
          <w:lang w:val="de-DE" w:eastAsia="de-DE"/>
        </w:rPr>
        <w:t>c)</w:t>
      </w:r>
      <w:r w:rsidRPr="00DD2A86">
        <w:rPr>
          <w:color w:val="000000"/>
          <w:lang w:val="de-DE" w:eastAsia="de-DE"/>
        </w:rPr>
        <w:tab/>
        <w:t>Die Versandstücke sind mit folgendem Kennzeichen versehen:</w:t>
      </w:r>
    </w:p>
    <w:p w:rsidR="00EB786C" w:rsidRPr="00DD2A86" w:rsidRDefault="00EB786C" w:rsidP="008E3F21">
      <w:pPr>
        <w:tabs>
          <w:tab w:val="left" w:pos="2977"/>
          <w:tab w:val="left" w:pos="4395"/>
        </w:tabs>
        <w:suppressAutoHyphens w:val="0"/>
        <w:spacing w:before="120" w:line="240" w:lineRule="auto"/>
        <w:ind w:left="1134"/>
        <w:jc w:val="both"/>
        <w:rPr>
          <w:color w:val="000000"/>
          <w:lang w:val="de-DE" w:eastAsia="de-DE"/>
        </w:rPr>
      </w:pPr>
      <w:r w:rsidRPr="00DD2A86">
        <w:rPr>
          <w:color w:val="000000"/>
          <w:lang w:val="de-DE" w:eastAsia="de-DE"/>
        </w:rPr>
        <w:t>„LITHIUMBATTERIEN ZUR ENTSORGUNG“ bzw. „LITHIUMBATTERIEN ZUM RECYCLING“.“.</w:t>
      </w:r>
    </w:p>
    <w:p w:rsidR="00EB786C" w:rsidRPr="00DD2A86" w:rsidRDefault="00EB786C" w:rsidP="0073248F">
      <w:pPr>
        <w:spacing w:before="120" w:after="120"/>
        <w:ind w:left="1134"/>
        <w:jc w:val="both"/>
        <w:rPr>
          <w:lang w:val="de-DE"/>
        </w:rPr>
      </w:pPr>
      <w:r w:rsidRPr="00DD2A86">
        <w:rPr>
          <w:b/>
          <w:lang w:val="de-DE"/>
        </w:rPr>
        <w:t>SV 660</w:t>
      </w:r>
      <w:r w:rsidRPr="00DD2A86">
        <w:rPr>
          <w:lang w:val="de-DE"/>
        </w:rPr>
        <w:tab/>
        <w:t>erhält folgenden Wortlaut:</w:t>
      </w:r>
    </w:p>
    <w:p w:rsidR="00EB786C" w:rsidRPr="00DD2A86" w:rsidRDefault="00EB786C" w:rsidP="008E3F21">
      <w:pPr>
        <w:spacing w:after="120"/>
        <w:ind w:left="1134"/>
        <w:jc w:val="both"/>
        <w:rPr>
          <w:iCs/>
          <w:lang w:val="de-DE"/>
        </w:rPr>
      </w:pPr>
      <w:r w:rsidRPr="00DD2A86">
        <w:rPr>
          <w:lang w:val="de-DE"/>
        </w:rPr>
        <w:t>„</w:t>
      </w:r>
      <w:r w:rsidRPr="00DD2A86">
        <w:rPr>
          <w:b/>
          <w:lang w:val="de-DE"/>
        </w:rPr>
        <w:t>660</w:t>
      </w:r>
      <w:r w:rsidRPr="00DD2A86">
        <w:rPr>
          <w:lang w:val="de-DE"/>
        </w:rPr>
        <w:tab/>
      </w:r>
      <w:r w:rsidRPr="00DD2A86">
        <w:rPr>
          <w:iCs/>
          <w:lang w:val="de-DE"/>
        </w:rPr>
        <w:t>Bei der Beförderung von Gasspeichersystemen, die für den Einbau in Kraftfahrzeugen ausgelegt und zugelassen sind und dieses Gas enthalten, zur Entsorgung, zum Recycling, zur Reparatur, zur Prüfung, zur Wartung oder vom Herstellungsort zum Fahrzeugmontagewerk müssen die Vorschriften des Unterabschnitts 4.1.4.1 und des Kapitels 6.2 des ADR nicht angewendet werden, vorausgesetzt, die Bedingungen der Sondervorschrift 392 werden erfüllt. Dies gilt auch für Gemische von Gasen, die der Sondervorschrift 392 unterliegen, mit Gasen der Gruppe A, die dieser Sondervorschrift unterliegen.“.</w:t>
      </w:r>
    </w:p>
    <w:p w:rsidR="001E3657" w:rsidRPr="00DD2A86" w:rsidRDefault="001E3657" w:rsidP="008E3F21">
      <w:pPr>
        <w:spacing w:after="120"/>
        <w:ind w:left="1134"/>
        <w:jc w:val="both"/>
        <w:rPr>
          <w:iCs/>
          <w:lang w:val="de-DE"/>
        </w:rPr>
      </w:pPr>
      <w:r w:rsidRPr="00DD2A86">
        <w:rPr>
          <w:b/>
          <w:iCs/>
          <w:lang w:val="de-DE"/>
        </w:rPr>
        <w:t>SV 663</w:t>
      </w:r>
      <w:r w:rsidRPr="00DD2A86">
        <w:rPr>
          <w:iCs/>
          <w:lang w:val="de-DE"/>
        </w:rPr>
        <w:tab/>
      </w:r>
      <w:r w:rsidRPr="00DD2A86">
        <w:rPr>
          <w:lang w:val="de-DE"/>
        </w:rPr>
        <w:t>[Die Änderungen zu „Allgemeine Vorschriften“ in der englischen und französischen Fassung haben keine Auswirkungen auf den deutschen Text.]</w:t>
      </w:r>
    </w:p>
    <w:p w:rsidR="00EB786C" w:rsidRPr="00DD2A86" w:rsidRDefault="00EB786C" w:rsidP="008E3F21">
      <w:pPr>
        <w:spacing w:after="120"/>
        <w:ind w:left="1134"/>
        <w:jc w:val="both"/>
        <w:rPr>
          <w:bCs/>
          <w:lang w:val="de-DE"/>
        </w:rPr>
      </w:pPr>
      <w:r w:rsidRPr="00DD2A86">
        <w:rPr>
          <w:b/>
          <w:lang w:val="de-DE"/>
        </w:rPr>
        <w:t>SV 666</w:t>
      </w:r>
      <w:r w:rsidRPr="00DD2A86">
        <w:rPr>
          <w:lang w:val="de-DE"/>
        </w:rPr>
        <w:tab/>
      </w:r>
      <w:r w:rsidRPr="00DD2A86">
        <w:rPr>
          <w:bCs/>
          <w:lang w:val="de-DE"/>
        </w:rPr>
        <w:t>Der Einleitungssatz erhält folgenden Wortlaut:</w:t>
      </w:r>
    </w:p>
    <w:p w:rsidR="00EB786C" w:rsidRPr="00DD2A86" w:rsidRDefault="00EB786C" w:rsidP="008E3F21">
      <w:pPr>
        <w:spacing w:after="120"/>
        <w:ind w:left="1134"/>
        <w:jc w:val="both"/>
        <w:rPr>
          <w:bCs/>
          <w:lang w:val="de-DE"/>
        </w:rPr>
      </w:pPr>
      <w:r w:rsidRPr="00DD2A86">
        <w:rPr>
          <w:bCs/>
          <w:lang w:val="de-DE"/>
        </w:rPr>
        <w:t>„</w:t>
      </w:r>
      <w:r w:rsidRPr="00DD2A86">
        <w:rPr>
          <w:lang w:val="de-DE"/>
        </w:rPr>
        <w:t>Als</w:t>
      </w:r>
      <w:r w:rsidRPr="00DD2A86">
        <w:rPr>
          <w:bCs/>
          <w:lang w:val="de-DE"/>
        </w:rPr>
        <w:t xml:space="preserve"> Ladung beförderte Fahrzeuge oder batteriebetriebene Geräte, auf die in der Sondervorschrift 388 Bezug genommen wird, sowie die in ihnen enthaltenen gefährlichen Güter, die für ihren Betrieb oder den Betrieb ihrer Einrichtungen dienen, unterliegen nicht den übrigen Vorschriften des </w:t>
      </w:r>
      <w:r w:rsidRPr="00DD2A86">
        <w:rPr>
          <w:lang w:val="de-DE"/>
        </w:rPr>
        <w:t>ADN</w:t>
      </w:r>
      <w:r w:rsidRPr="00DD2A86">
        <w:rPr>
          <w:bCs/>
          <w:lang w:val="de-DE"/>
        </w:rPr>
        <w:t>, wenn folgende Vorschriften erfüllt sind:“.</w:t>
      </w:r>
    </w:p>
    <w:p w:rsidR="008D5C80" w:rsidRPr="00DD2A86" w:rsidRDefault="008D5C80" w:rsidP="008D5C80">
      <w:pPr>
        <w:spacing w:after="120"/>
        <w:ind w:left="2268" w:right="1134" w:hanging="1134"/>
        <w:jc w:val="both"/>
        <w:rPr>
          <w:bCs/>
          <w:iCs/>
          <w:lang w:val="de-CH"/>
        </w:rPr>
      </w:pPr>
      <w:r w:rsidRPr="00DD2A86">
        <w:rPr>
          <w:b/>
          <w:iCs/>
          <w:lang w:val="de-CH"/>
        </w:rPr>
        <w:t>SV 666</w:t>
      </w:r>
      <w:r w:rsidRPr="00DD2A86">
        <w:rPr>
          <w:iCs/>
          <w:lang w:val="de-CH"/>
        </w:rPr>
        <w:tab/>
      </w:r>
      <w:r w:rsidRPr="00DD2A86">
        <w:rPr>
          <w:bCs/>
          <w:iCs/>
          <w:lang w:val="de-CH"/>
        </w:rPr>
        <w:t>In der Bem. 1 „Flüssigbrennstofftank“ ändern in: „Flüssigbrennstoffbehälter“.</w:t>
      </w:r>
    </w:p>
    <w:p w:rsidR="008D5C80" w:rsidRPr="00DD2A86" w:rsidRDefault="008D5C80" w:rsidP="008D5C80">
      <w:pPr>
        <w:spacing w:after="120"/>
        <w:ind w:left="2268" w:right="1134"/>
        <w:jc w:val="both"/>
        <w:rPr>
          <w:iCs/>
          <w:lang w:val="de-CH"/>
        </w:rPr>
      </w:pPr>
      <w:r w:rsidRPr="00DD2A86">
        <w:rPr>
          <w:iCs/>
          <w:lang w:val="de-CH"/>
        </w:rPr>
        <w:t>[Betrifft nur die deutsche Sprachfassung]</w:t>
      </w:r>
    </w:p>
    <w:p w:rsidR="00EB6056" w:rsidRPr="00DD2A86" w:rsidRDefault="00EB6056">
      <w:pPr>
        <w:suppressAutoHyphens w:val="0"/>
        <w:spacing w:line="240" w:lineRule="auto"/>
        <w:rPr>
          <w:b/>
          <w:iCs/>
          <w:lang w:val="de-DE"/>
        </w:rPr>
      </w:pPr>
      <w:r w:rsidRPr="00DD2A86">
        <w:rPr>
          <w:b/>
          <w:iCs/>
          <w:lang w:val="de-DE"/>
        </w:rPr>
        <w:br w:type="page"/>
      </w:r>
    </w:p>
    <w:p w:rsidR="001E3657" w:rsidRPr="00DD2A86" w:rsidRDefault="001E3657" w:rsidP="008E3F21">
      <w:pPr>
        <w:spacing w:after="120"/>
        <w:ind w:left="2268" w:hanging="1134"/>
        <w:jc w:val="both"/>
        <w:rPr>
          <w:iCs/>
          <w:lang w:val="de-DE"/>
        </w:rPr>
      </w:pPr>
      <w:r w:rsidRPr="00DD2A86">
        <w:rPr>
          <w:b/>
          <w:iCs/>
          <w:lang w:val="de-DE"/>
        </w:rPr>
        <w:t>SV 667</w:t>
      </w:r>
      <w:r w:rsidRPr="00DD2A86">
        <w:rPr>
          <w:iCs/>
          <w:lang w:val="de-DE"/>
        </w:rPr>
        <w:tab/>
        <w:t>In den Absätzen a) und b) „oder Maschinen“ ändern in: „, Maschinen oder Gegenständen“.</w:t>
      </w:r>
    </w:p>
    <w:p w:rsidR="001E3657" w:rsidRPr="00DD2A86" w:rsidRDefault="001E3657" w:rsidP="008E3F21">
      <w:pPr>
        <w:spacing w:after="120"/>
        <w:ind w:left="2268"/>
        <w:jc w:val="both"/>
        <w:rPr>
          <w:iCs/>
          <w:lang w:val="de-DE"/>
        </w:rPr>
      </w:pPr>
      <w:r w:rsidRPr="00DD2A86">
        <w:rPr>
          <w:iCs/>
          <w:lang w:val="de-DE"/>
        </w:rPr>
        <w:t>In Absatz b) (i) „oder Maschinen“ ändern in: „, Maschinen oder Gegenstände“.</w:t>
      </w:r>
    </w:p>
    <w:p w:rsidR="001E3657" w:rsidRPr="00DD2A86" w:rsidRDefault="001E3657" w:rsidP="008E3F21">
      <w:pPr>
        <w:spacing w:after="120"/>
        <w:ind w:left="2268"/>
        <w:jc w:val="both"/>
        <w:rPr>
          <w:iCs/>
          <w:lang w:val="de-DE"/>
        </w:rPr>
      </w:pPr>
      <w:r w:rsidRPr="00DD2A86">
        <w:rPr>
          <w:iCs/>
          <w:lang w:val="de-DE"/>
        </w:rPr>
        <w:t>In Absatz b) (ii) „oder die Maschine“ ändern in: „, die Maschine oder der Gegenstand“.</w:t>
      </w:r>
    </w:p>
    <w:p w:rsidR="001E3657" w:rsidRPr="00DD2A86" w:rsidRDefault="001E3657" w:rsidP="008E3F21">
      <w:pPr>
        <w:ind w:left="2268"/>
        <w:jc w:val="both"/>
        <w:rPr>
          <w:iCs/>
          <w:lang w:val="de-DE"/>
        </w:rPr>
      </w:pPr>
      <w:r w:rsidRPr="00DD2A86">
        <w:rPr>
          <w:iCs/>
          <w:lang w:val="de-DE"/>
        </w:rPr>
        <w:t>Einen Absatz c) mit folgendem Wortlaut hinzufügen:</w:t>
      </w:r>
    </w:p>
    <w:p w:rsidR="001E3657" w:rsidRPr="00DD2A86" w:rsidRDefault="001E3657" w:rsidP="008E3F21">
      <w:pPr>
        <w:spacing w:after="120"/>
        <w:ind w:left="2268"/>
        <w:jc w:val="both"/>
        <w:rPr>
          <w:iCs/>
          <w:lang w:val="de-DE"/>
        </w:rPr>
      </w:pPr>
      <w:r w:rsidRPr="00DD2A86">
        <w:rPr>
          <w:iCs/>
          <w:lang w:val="de-DE"/>
        </w:rPr>
        <w:t>„c)</w:t>
      </w:r>
      <w:r w:rsidRPr="00DD2A86">
        <w:rPr>
          <w:iCs/>
          <w:lang w:val="de-DE"/>
        </w:rPr>
        <w:tab/>
        <w:t>Die in Absatz b) beschriebenen Verfahren gelten auch für in Fahrzeugen, Motoren, Maschinen oder Gegenständen enthaltene beschädigte Lithiumzellen oder -batterien.“.</w:t>
      </w:r>
    </w:p>
    <w:p w:rsidR="001E3657" w:rsidRPr="00DD2A86" w:rsidRDefault="001E3657" w:rsidP="008E3F21">
      <w:pPr>
        <w:spacing w:after="120"/>
        <w:ind w:left="1134"/>
        <w:jc w:val="both"/>
        <w:rPr>
          <w:iCs/>
          <w:lang w:val="de-DE"/>
        </w:rPr>
      </w:pPr>
      <w:r w:rsidRPr="00DD2A86">
        <w:rPr>
          <w:b/>
          <w:lang w:val="de-DE"/>
        </w:rPr>
        <w:t>SV 667</w:t>
      </w:r>
      <w:r w:rsidRPr="00DD2A86">
        <w:rPr>
          <w:lang w:val="de-DE"/>
        </w:rPr>
        <w:tab/>
        <w:t>[Die Änderungen zu „Vorschriften des Absatzes 2.2.9.1.7“ in den Absätzen a) und b) in der englischen und französischen Fassung haben keine Auswirkungen auf den deutschen Text.]</w:t>
      </w:r>
    </w:p>
    <w:p w:rsidR="00EB786C" w:rsidRPr="00DD2A86" w:rsidRDefault="00EB786C" w:rsidP="008E3F21">
      <w:pPr>
        <w:spacing w:after="120"/>
        <w:ind w:left="1134"/>
        <w:jc w:val="both"/>
        <w:rPr>
          <w:iCs/>
          <w:lang w:val="de-DE"/>
        </w:rPr>
      </w:pPr>
      <w:r w:rsidRPr="00DD2A86">
        <w:rPr>
          <w:iCs/>
          <w:lang w:val="de-DE"/>
        </w:rPr>
        <w:t xml:space="preserve">3.3.1 </w:t>
      </w:r>
      <w:r w:rsidRPr="00DD2A86">
        <w:rPr>
          <w:iCs/>
          <w:lang w:val="de-DE"/>
        </w:rPr>
        <w:tab/>
        <w:t>Folgende neue Sondervorschriften einfügen:</w:t>
      </w:r>
    </w:p>
    <w:p w:rsidR="001E3657" w:rsidRPr="00DD2A86" w:rsidRDefault="001E3657" w:rsidP="008E3F21">
      <w:pPr>
        <w:spacing w:after="120"/>
        <w:ind w:left="1134"/>
        <w:jc w:val="both"/>
        <w:rPr>
          <w:iCs/>
          <w:lang w:val="de-DE"/>
        </w:rPr>
      </w:pPr>
      <w:r w:rsidRPr="00DD2A86">
        <w:rPr>
          <w:b/>
          <w:iCs/>
          <w:lang w:val="de-DE"/>
        </w:rPr>
        <w:t>„301</w:t>
      </w:r>
      <w:r w:rsidRPr="00DD2A86">
        <w:rPr>
          <w:iCs/>
          <w:lang w:val="de-DE"/>
        </w:rPr>
        <w:tab/>
        <w:t>Diese Eintragung gilt nur für Maschinen oder Geräte, die gefährliche Güter als Rückstände oder als Bestandteil der Maschinen oder Geräte enthalten. Sie darf nicht für Maschinen oder Geräte verwendet werden, für die in Kapitel 3.2 Tabelle A bereits eine offizielle Benennung für die Beförderung besteht. Maschinen und Geräte, die unter dieser Eintragung befördert werden, dürfen nur gefährliche Güter enthalten, die für eine Beförderung in Übereinstimmung mit den Vorschriften des Kapitels 3.4 (begrenzte Mengen) zugelassen sind. Die Menge gefährlicher Güter in der Maschine oder im Gerät darf die in Kapitel 3.2 Tabelle A Spalte (7a) für jedes einzelne enthaltene gefährliche Gut angegebene Menge nicht überschreiten. Wenn die Maschine oder das Gerät mehrere gefährliche Güter enthält, muss jedes gefährliche Gut getrennt eingeschlossen sein, um zu verhindern, dass diese während der Beförderung gefährlich miteinander reagieren (siehe Unterabschnitt 4.1.1.6 des ADR). Wenn sichergestellt werden muss, dass flüssige gefährliche Güter in ihrer vorgesehenen Ausrichtung verbleiben, müssen Ausrichtungspfeile gemäß den Vorschriften des Unterabschnitt 5.2.1.10 mindestens auf zwei gegenüberliegenden senkrechten Seiten angebracht sein, wobei die Pfeile in die richtige Richtung zeigen.</w:t>
      </w:r>
    </w:p>
    <w:p w:rsidR="001E3657" w:rsidRPr="00DD2A86" w:rsidRDefault="001E3657" w:rsidP="00F04668">
      <w:pPr>
        <w:spacing w:after="120"/>
        <w:ind w:left="1701" w:hanging="567"/>
        <w:jc w:val="both"/>
        <w:rPr>
          <w:iCs/>
          <w:lang w:val="de-DE"/>
        </w:rPr>
      </w:pPr>
      <w:r w:rsidRPr="00DD2A86">
        <w:rPr>
          <w:b/>
          <w:iCs/>
          <w:lang w:val="de-DE"/>
        </w:rPr>
        <w:t>Bem.</w:t>
      </w:r>
      <w:r w:rsidRPr="00DD2A86">
        <w:rPr>
          <w:iCs/>
          <w:lang w:val="de-DE"/>
        </w:rPr>
        <w:tab/>
        <w:t>In dieser Sondervorschrift schließt der Verweis „bereits eine offizielle Benennung für die Beförderung existiert“ die spezifischen n.a.g.-Eintragungen der UN-Nummern 3537 bis 3548 aus.“.</w:t>
      </w:r>
    </w:p>
    <w:p w:rsidR="001E3657" w:rsidRPr="00DD2A86" w:rsidRDefault="001E3657" w:rsidP="008E3F21">
      <w:pPr>
        <w:spacing w:after="120"/>
        <w:ind w:left="1134"/>
        <w:jc w:val="both"/>
        <w:rPr>
          <w:iCs/>
          <w:lang w:val="de-DE"/>
        </w:rPr>
      </w:pPr>
      <w:r w:rsidRPr="00DD2A86">
        <w:rPr>
          <w:iCs/>
          <w:lang w:val="de-DE"/>
        </w:rPr>
        <w:t>„</w:t>
      </w:r>
      <w:r w:rsidRPr="00DD2A86">
        <w:rPr>
          <w:b/>
          <w:iCs/>
          <w:lang w:val="de-DE"/>
        </w:rPr>
        <w:t>387</w:t>
      </w:r>
      <w:r w:rsidRPr="00DD2A86">
        <w:rPr>
          <w:iCs/>
          <w:lang w:val="de-DE"/>
        </w:rPr>
        <w:tab/>
        <w:t>Lithiumbatterien gemäß Absatz 2.2.9.1.7 f), die sowohl Lithium-Metall-Primärzellen als auch wiederaufladbare Lithium-Ionen-Zellen enthalten, müssen der UN-Nummer 3090 bzw. 3091 zugeordnet werden. Wenn solche Batterien in Übereinstimmung mit der Sondervorschrift 188 befördert werden, darf die Gesamtmenge an Lithium aller in der Batterie enthaltenen Lithium-Metall-Zellen nicht größer sein als 1,5 g und die Gesamtkapazität aller in der Batterie enthaltenen Lithium-Ionen-Zellen darf nicht größer sein als 10 Wh.“.</w:t>
      </w:r>
    </w:p>
    <w:p w:rsidR="001E3657" w:rsidRPr="00DD2A86" w:rsidRDefault="001E3657" w:rsidP="008E3F21">
      <w:pPr>
        <w:suppressAutoHyphens w:val="0"/>
        <w:spacing w:line="240" w:lineRule="auto"/>
        <w:ind w:left="1134"/>
        <w:jc w:val="both"/>
        <w:rPr>
          <w:iCs/>
          <w:color w:val="000000"/>
          <w:lang w:val="de-DE" w:eastAsia="de-DE"/>
        </w:rPr>
      </w:pPr>
      <w:r w:rsidRPr="00DD2A86">
        <w:rPr>
          <w:iCs/>
          <w:color w:val="000000"/>
          <w:lang w:val="de-DE" w:eastAsia="de-DE"/>
        </w:rPr>
        <w:t>„</w:t>
      </w:r>
      <w:r w:rsidRPr="00DD2A86">
        <w:rPr>
          <w:b/>
          <w:iCs/>
          <w:color w:val="000000"/>
          <w:lang w:val="de-DE" w:eastAsia="de-DE"/>
        </w:rPr>
        <w:t>388</w:t>
      </w:r>
      <w:r w:rsidRPr="00DD2A86">
        <w:rPr>
          <w:iCs/>
          <w:color w:val="000000"/>
          <w:lang w:val="de-DE" w:eastAsia="de-DE"/>
        </w:rPr>
        <w:tab/>
        <w:t>Die Eintragungen der UN-Nummer 3166 gelten für Fahrzeuge, die durch Verbrennungsmotoren oder Brennstoffzellen mit entzündbarer Flüssigkeit oder entzündbarem Gas angetrieben werden.</w:t>
      </w:r>
    </w:p>
    <w:p w:rsidR="001E3657" w:rsidRPr="00DD2A86" w:rsidRDefault="001E3657" w:rsidP="008E3F21">
      <w:pPr>
        <w:suppressAutoHyphens w:val="0"/>
        <w:spacing w:before="120" w:line="240" w:lineRule="auto"/>
        <w:ind w:left="1134"/>
        <w:jc w:val="both"/>
        <w:rPr>
          <w:bCs/>
          <w:iCs/>
          <w:color w:val="000000"/>
          <w:lang w:val="de-DE" w:eastAsia="de-DE"/>
        </w:rPr>
      </w:pPr>
      <w:r w:rsidRPr="00DD2A86">
        <w:rPr>
          <w:bCs/>
          <w:iCs/>
          <w:color w:val="000000"/>
          <w:lang w:val="de-DE" w:eastAsia="de-DE"/>
        </w:rPr>
        <w:t xml:space="preserve">Fahrzeuge, die durch einen Brennstoffzellen-Motor angetrieben werden, müssen der Eintragung UN 3166 </w:t>
      </w:r>
      <w:r w:rsidRPr="00DD2A86">
        <w:rPr>
          <w:bCs/>
          <w:iCs/>
          <w:caps/>
          <w:color w:val="000000"/>
          <w:lang w:val="de-DE" w:eastAsia="de-DE"/>
        </w:rPr>
        <w:t>Brennstoffzellen-Fahrzeug mit Antrieb durch entzündbares Gas</w:t>
      </w:r>
      <w:r w:rsidRPr="00DD2A86">
        <w:rPr>
          <w:bCs/>
          <w:iCs/>
          <w:color w:val="000000"/>
          <w:lang w:val="de-DE" w:eastAsia="de-DE"/>
        </w:rPr>
        <w:t xml:space="preserve"> bzw. UN 3166 </w:t>
      </w:r>
      <w:r w:rsidRPr="00DD2A86">
        <w:rPr>
          <w:bCs/>
          <w:iCs/>
          <w:caps/>
          <w:color w:val="000000"/>
          <w:lang w:val="de-DE" w:eastAsia="de-DE"/>
        </w:rPr>
        <w:t>Brennstoffzellen-Fahrzeug mit Antrieb durch entzündbare Flüssigkeit</w:t>
      </w:r>
      <w:r w:rsidRPr="00DD2A86">
        <w:rPr>
          <w:bCs/>
          <w:iCs/>
          <w:color w:val="000000"/>
          <w:lang w:val="de-DE" w:eastAsia="de-DE"/>
        </w:rPr>
        <w:t xml:space="preserve"> zugeordnet werden. Diese Eintragungen schließen elektrische Hybridfahrzeuge ein, die sowohl durch eine Brennstoffzelle als auch durch einen Verbrennungsmotor mit Nassbatterien, Natriumbatterien, Lithium-Metall-Batterien oder Lithium-Ionen-Batterien angetrieben und mit diesen Batterien im eingebauten Zustand befördert werden.</w:t>
      </w:r>
    </w:p>
    <w:p w:rsidR="00EB6056" w:rsidRPr="00DD2A86" w:rsidRDefault="00EB6056">
      <w:pPr>
        <w:suppressAutoHyphens w:val="0"/>
        <w:spacing w:line="240" w:lineRule="auto"/>
        <w:rPr>
          <w:bCs/>
          <w:color w:val="000000"/>
          <w:lang w:val="de-DE" w:eastAsia="de-DE"/>
        </w:rPr>
      </w:pPr>
      <w:r w:rsidRPr="00DD2A86">
        <w:rPr>
          <w:bCs/>
          <w:color w:val="000000"/>
          <w:lang w:val="de-DE" w:eastAsia="de-DE"/>
        </w:rPr>
        <w:br w:type="page"/>
      </w:r>
    </w:p>
    <w:p w:rsidR="001E3657" w:rsidRPr="00DD2A86" w:rsidRDefault="001E3657" w:rsidP="008E3F21">
      <w:pPr>
        <w:suppressAutoHyphens w:val="0"/>
        <w:spacing w:before="120" w:line="240" w:lineRule="auto"/>
        <w:ind w:left="1134"/>
        <w:jc w:val="both"/>
        <w:rPr>
          <w:bCs/>
          <w:color w:val="000000"/>
          <w:lang w:val="de-DE" w:eastAsia="de-DE"/>
        </w:rPr>
      </w:pPr>
      <w:r w:rsidRPr="00DD2A86">
        <w:rPr>
          <w:bCs/>
          <w:color w:val="000000"/>
          <w:lang w:val="de-DE" w:eastAsia="de-DE"/>
        </w:rPr>
        <w:t xml:space="preserve">Andere Fahrzeuge, die einen Verbrennungsmotor enthalten, müssen der Eintragung UN 3166 </w:t>
      </w:r>
      <w:r w:rsidRPr="00DD2A86">
        <w:rPr>
          <w:bCs/>
          <w:caps/>
          <w:color w:val="000000"/>
          <w:lang w:val="de-DE" w:eastAsia="de-DE"/>
        </w:rPr>
        <w:t>Fahrzeug mit Antrieb durch entzündbares Gas</w:t>
      </w:r>
      <w:r w:rsidRPr="00DD2A86">
        <w:rPr>
          <w:bCs/>
          <w:color w:val="000000"/>
          <w:lang w:val="de-DE" w:eastAsia="de-DE"/>
        </w:rPr>
        <w:t xml:space="preserve"> bzw. UN 3166 </w:t>
      </w:r>
      <w:r w:rsidRPr="00DD2A86">
        <w:rPr>
          <w:bCs/>
          <w:caps/>
          <w:color w:val="000000"/>
          <w:lang w:val="de-DE" w:eastAsia="de-DE"/>
        </w:rPr>
        <w:t>Fahrzeug mit Antrieb durch entzündbare Flüssigkeit</w:t>
      </w:r>
      <w:r w:rsidRPr="00DD2A86">
        <w:rPr>
          <w:bCs/>
          <w:color w:val="000000"/>
          <w:lang w:val="de-DE" w:eastAsia="de-DE"/>
        </w:rPr>
        <w:t xml:space="preserve"> zugeordnet werden. Diese Eintragungen schließen elektrische Hybridfahrzeuge ein, die sowohl durch einen Verbrennungsmotor als auch durch Nassbatterien, Natriumbatterien, Lithium-Metall-Batterien oder Lithium-Ionen-Batterien angetrieben und mit diesen Batterien im eingebauten Zustand befördert werden.</w:t>
      </w:r>
    </w:p>
    <w:p w:rsidR="001E3657" w:rsidRPr="00DD2A86" w:rsidRDefault="001E3657" w:rsidP="008E3F21">
      <w:pPr>
        <w:suppressAutoHyphens w:val="0"/>
        <w:spacing w:before="100" w:beforeAutospacing="1" w:line="240" w:lineRule="auto"/>
        <w:ind w:left="1134"/>
        <w:jc w:val="both"/>
        <w:rPr>
          <w:bCs/>
          <w:color w:val="000000"/>
          <w:lang w:val="de-DE" w:eastAsia="de-DE"/>
        </w:rPr>
      </w:pPr>
      <w:r w:rsidRPr="00DD2A86">
        <w:rPr>
          <w:bCs/>
          <w:color w:val="000000"/>
          <w:lang w:val="de-DE" w:eastAsia="de-DE"/>
        </w:rPr>
        <w:t>Ein Fahrzeug, das durch einen Verbrennungsmotor mit Antrieb durch entzündbare Flüssigkeit und entzündbares Gas angetrieben wird, muss der Eintragung UN 3166 FAHRZEUG MIT ANTRIEB DURCH ENTZÜNDBARES GAS zugeordnet werden.</w:t>
      </w:r>
    </w:p>
    <w:p w:rsidR="001E3657" w:rsidRPr="00DD2A86" w:rsidRDefault="001E3657" w:rsidP="008E3F21">
      <w:pPr>
        <w:suppressAutoHyphens w:val="0"/>
        <w:spacing w:before="120" w:line="240" w:lineRule="auto"/>
        <w:ind w:left="1134"/>
        <w:jc w:val="both"/>
        <w:rPr>
          <w:bCs/>
          <w:color w:val="000000"/>
          <w:lang w:val="de-DE" w:eastAsia="de-DE"/>
        </w:rPr>
      </w:pPr>
      <w:r w:rsidRPr="00DD2A86">
        <w:rPr>
          <w:bCs/>
          <w:color w:val="000000"/>
          <w:lang w:val="de-DE" w:eastAsia="de-DE"/>
        </w:rPr>
        <w:t xml:space="preserve">Die Eintragung </w:t>
      </w:r>
      <w:r w:rsidR="00BE0AC7" w:rsidRPr="00DD2A86">
        <w:rPr>
          <w:bCs/>
          <w:color w:val="000000"/>
          <w:lang w:val="de-DE" w:eastAsia="de-DE"/>
        </w:rPr>
        <w:t xml:space="preserve">der </w:t>
      </w:r>
      <w:r w:rsidRPr="00DD2A86">
        <w:rPr>
          <w:bCs/>
          <w:color w:val="000000"/>
          <w:lang w:val="de-DE" w:eastAsia="de-DE"/>
        </w:rPr>
        <w:t>UN</w:t>
      </w:r>
      <w:r w:rsidR="00BE0AC7" w:rsidRPr="00DD2A86">
        <w:rPr>
          <w:bCs/>
          <w:color w:val="000000"/>
          <w:lang w:val="de-DE" w:eastAsia="de-DE"/>
        </w:rPr>
        <w:t>-Nummer</w:t>
      </w:r>
      <w:r w:rsidRPr="00DD2A86">
        <w:rPr>
          <w:bCs/>
          <w:color w:val="000000"/>
          <w:lang w:val="de-DE" w:eastAsia="de-DE"/>
        </w:rPr>
        <w:t> 3171 gilt nur für Fahrzeuge</w:t>
      </w:r>
      <w:r w:rsidRPr="00DD2A86">
        <w:rPr>
          <w:color w:val="000000"/>
          <w:lang w:val="de-DE" w:eastAsia="de-DE"/>
        </w:rPr>
        <w:t>, die durch Nassbatterien, Natriumbatterien, Lithium-Metall-Batterien oder Lithium-Ionen-Batterien, und für Geräte, die durch Nassbatterien oder Natriumbatterien angetrieben und mit diesen Batterien im eingebauten Zustand befördert werden.</w:t>
      </w:r>
    </w:p>
    <w:p w:rsidR="001E3657" w:rsidRPr="00DD2A86" w:rsidRDefault="001E3657" w:rsidP="008E3F21">
      <w:pPr>
        <w:suppressAutoHyphens w:val="0"/>
        <w:spacing w:before="120" w:line="240" w:lineRule="auto"/>
        <w:ind w:left="1134"/>
        <w:jc w:val="both"/>
        <w:rPr>
          <w:bCs/>
          <w:color w:val="000000"/>
          <w:lang w:val="de-DE" w:eastAsia="de-DE"/>
        </w:rPr>
      </w:pPr>
      <w:r w:rsidRPr="00DD2A86">
        <w:rPr>
          <w:bCs/>
          <w:color w:val="000000"/>
          <w:lang w:val="de-DE" w:eastAsia="de-DE"/>
        </w:rPr>
        <w:t>„Fahrzeuge“ im Sinne dieser Sondervorschrift sind selbstfahrende Geräte, die für die Beförderung einer oder mehrerer Personen oder von Gütern ausgelegt sind. Beispiele solcher Fahrzeuge sind Personenkraftwagen, Motorräder, Motorroller, Drei- oder Vierradfahrzeuge oder -motor</w:t>
      </w:r>
      <w:r w:rsidRPr="00DD2A86">
        <w:rPr>
          <w:bCs/>
          <w:color w:val="000000"/>
          <w:lang w:val="de-DE" w:eastAsia="de-DE"/>
        </w:rPr>
        <w:softHyphen/>
        <w:t>räder, Lastkraftwagen, Lokomotiven, Fahrräder (mit Motor) oder andere Fahrzeuge dieser Art (z. B. selbstausbalancierende Fahrzeuge oder Fahrzeuge, die nicht mit mindestens einer Sitzgelegenheit ausgerüstet sind), Rollstühle, Aufsitzrasenmäher, selbstfahrende Landwirtschaftsgeräte und Baumaschinen, Boote und Flugzeuge. Dies schließt Fahrzeuge ein, die in einer Verpackung befördert werden. In diesem Fall dürfen einige Teile des Fahrzeugs vom Rahmen abgebaut werden, damit sie in die Verpackung passen.</w:t>
      </w:r>
    </w:p>
    <w:p w:rsidR="001E3657" w:rsidRPr="00DD2A86" w:rsidRDefault="001E3657" w:rsidP="008E3F21">
      <w:pPr>
        <w:suppressAutoHyphens w:val="0"/>
        <w:spacing w:before="120" w:line="240" w:lineRule="auto"/>
        <w:ind w:left="1134"/>
        <w:jc w:val="both"/>
        <w:rPr>
          <w:bCs/>
          <w:color w:val="000000"/>
          <w:lang w:val="de-DE" w:eastAsia="de-DE"/>
        </w:rPr>
      </w:pPr>
      <w:r w:rsidRPr="00DD2A86">
        <w:rPr>
          <w:bCs/>
          <w:color w:val="000000"/>
          <w:lang w:val="de-DE" w:eastAsia="de-DE"/>
        </w:rPr>
        <w:t>Beispiele für Geräte sind Rasenmäher, Reinigungsmaschinen, Modellboote oder Modellflugzeuge. Geräte, die durch Lithium-Metall-Batterien oder Lithium-Ionen-Batterien angetrieben werden, müssen der Eintragung UN 3091 LITHIUM-METALL-BATTERIEN IN AUSRÜSTUNGEN, UN 3091 LITHIUM-METALL-BATTERIEN, MIT AUSRÜSTUNGEN VERPACKT, UN 3481 LITHIUM-IONEN-BATTERIEN IN AUSRÜSTUNGEN bzw. UN 3481 LITHIUM-IONEN-BATTERIEN, MIT AUSRÜSTUNGEN VERPACKT zugeordnet werden.</w:t>
      </w:r>
    </w:p>
    <w:p w:rsidR="001E3657" w:rsidRPr="00DD2A86" w:rsidRDefault="001E3657" w:rsidP="008E3F21">
      <w:pPr>
        <w:suppressAutoHyphens w:val="0"/>
        <w:spacing w:before="120" w:line="240" w:lineRule="auto"/>
        <w:ind w:left="1134"/>
        <w:jc w:val="both"/>
        <w:rPr>
          <w:bCs/>
          <w:color w:val="000000"/>
          <w:lang w:val="de-DE" w:eastAsia="de-DE"/>
        </w:rPr>
      </w:pPr>
      <w:r w:rsidRPr="00DD2A86">
        <w:rPr>
          <w:bCs/>
          <w:color w:val="000000"/>
          <w:lang w:val="de-DE" w:eastAsia="de-DE"/>
        </w:rPr>
        <w:t xml:space="preserve">Gefährliche Güter, wie Batterien, Airbags, Feuerlöscher, Druckgasspeicher, Sicherheitseinrichtungen und andere integrale Bauteile des Fahrzeugs, die für den Betrieb des Fahrzeugs oder für die Sicherheit seines Bedienpersonals oder der Fahrgäste erforderlich sind, müssen sicher im Fahrzeug eingebaut sein und unterliegen nicht den übrigen Vorschriften </w:t>
      </w:r>
      <w:r w:rsidRPr="00DD2A86">
        <w:rPr>
          <w:bCs/>
          <w:lang w:val="de-DE" w:eastAsia="de-DE"/>
        </w:rPr>
        <w:t xml:space="preserve">des </w:t>
      </w:r>
      <w:r w:rsidRPr="00DD2A86">
        <w:rPr>
          <w:snapToGrid w:val="0"/>
          <w:lang w:val="de-DE" w:eastAsia="de-DE"/>
        </w:rPr>
        <w:t>ADN</w:t>
      </w:r>
      <w:r w:rsidRPr="00DD2A86">
        <w:rPr>
          <w:bCs/>
          <w:color w:val="000000"/>
          <w:lang w:val="de-DE" w:eastAsia="de-DE"/>
        </w:rPr>
        <w:t>. Sofern in der Sondervorschrift 667 nichts anderes vorgesehen ist, müssen Lithiumbatterien jedoch den Vorschriften des Absatzes 2.2.9.1.7 entsprechen.</w:t>
      </w:r>
    </w:p>
    <w:p w:rsidR="001E3657" w:rsidRPr="00DD2A86" w:rsidRDefault="001E3657" w:rsidP="008E3F21">
      <w:pPr>
        <w:suppressAutoHyphens w:val="0"/>
        <w:spacing w:before="120" w:line="240" w:lineRule="auto"/>
        <w:ind w:left="1134"/>
        <w:jc w:val="both"/>
        <w:rPr>
          <w:iCs/>
          <w:color w:val="000000"/>
          <w:lang w:val="de-DE" w:eastAsia="de-DE"/>
        </w:rPr>
      </w:pPr>
      <w:r w:rsidRPr="00DD2A86">
        <w:rPr>
          <w:iCs/>
          <w:color w:val="000000"/>
          <w:lang w:val="de-DE" w:eastAsia="de-DE"/>
        </w:rPr>
        <w:t>Wenn eine in einem Fahrzeug oder einem Gerät eingebaute Lithiumbatterie beschädigt oder defekt ist, muss das Fahrzeug oder Gerät in Übereinstimmung mit den in der Sondervorschrift 667 c) festgelegten Bedingungen befördert werden.“.</w:t>
      </w:r>
    </w:p>
    <w:p w:rsidR="001E3657" w:rsidRPr="00DD2A86" w:rsidRDefault="001E3657" w:rsidP="0073248F">
      <w:pPr>
        <w:suppressAutoHyphens w:val="0"/>
        <w:spacing w:before="120" w:line="240" w:lineRule="auto"/>
        <w:ind w:left="1134"/>
        <w:jc w:val="both"/>
        <w:rPr>
          <w:color w:val="000000"/>
          <w:lang w:val="de-DE" w:eastAsia="de-DE"/>
        </w:rPr>
      </w:pPr>
      <w:r w:rsidRPr="00DD2A86">
        <w:rPr>
          <w:b/>
          <w:iCs/>
          <w:color w:val="000000"/>
          <w:lang w:val="de-DE" w:eastAsia="de-DE"/>
        </w:rPr>
        <w:t>„389</w:t>
      </w:r>
      <w:r w:rsidRPr="00DD2A86">
        <w:rPr>
          <w:iCs/>
          <w:color w:val="000000"/>
          <w:lang w:val="de-DE" w:eastAsia="de-DE"/>
        </w:rPr>
        <w:tab/>
      </w:r>
      <w:r w:rsidRPr="00DD2A86">
        <w:rPr>
          <w:color w:val="000000"/>
          <w:lang w:val="de-DE" w:eastAsia="de-DE"/>
        </w:rPr>
        <w:t>Diese Eintragung gilt nur für Güterbeförderungseinheiten, in denen Lithium-Ionen-Batterien oder Lithium-Metall-Batterien eingebaut sind</w:t>
      </w:r>
      <w:r w:rsidRPr="00DD2A86">
        <w:rPr>
          <w:lang w:val="de-DE" w:eastAsia="de-DE"/>
        </w:rPr>
        <w:t xml:space="preserve"> und die nur dafür ausgelegt sind</w:t>
      </w:r>
      <w:r w:rsidRPr="00DD2A86">
        <w:rPr>
          <w:iCs/>
          <w:lang w:val="de-DE" w:eastAsia="de-DE"/>
        </w:rPr>
        <w:t>, Energie außerhalb der Einheit bereitzustell</w:t>
      </w:r>
      <w:r w:rsidRPr="00DD2A86">
        <w:rPr>
          <w:iCs/>
          <w:color w:val="000000"/>
          <w:lang w:val="de-DE" w:eastAsia="de-DE"/>
        </w:rPr>
        <w:t>en. Die Lithiumbatterien müssen den Vorschriften des Absatzes 2.2.9.1.7 a) bis g) entsprechen und die Systeme enthalten, die für die Verhinderung einer Überladung oder Tiefentladung der Batterien erforderlich sind.</w:t>
      </w:r>
    </w:p>
    <w:p w:rsidR="001E3657" w:rsidRPr="00DD2A86" w:rsidRDefault="001E3657" w:rsidP="008E3F21">
      <w:pPr>
        <w:suppressAutoHyphens w:val="0"/>
        <w:spacing w:line="240" w:lineRule="auto"/>
        <w:ind w:left="1134"/>
        <w:jc w:val="both"/>
        <w:rPr>
          <w:iCs/>
          <w:color w:val="000000"/>
          <w:lang w:val="de-DE" w:eastAsia="de-DE"/>
        </w:rPr>
      </w:pPr>
    </w:p>
    <w:p w:rsidR="001E3657" w:rsidRPr="00DD2A86" w:rsidRDefault="001E3657" w:rsidP="008E3F21">
      <w:pPr>
        <w:suppressAutoHyphens w:val="0"/>
        <w:spacing w:line="240" w:lineRule="auto"/>
        <w:ind w:left="1134"/>
        <w:jc w:val="both"/>
        <w:rPr>
          <w:iCs/>
          <w:color w:val="000000"/>
          <w:lang w:val="de-DE" w:eastAsia="de-DE"/>
        </w:rPr>
      </w:pPr>
      <w:r w:rsidRPr="00DD2A86">
        <w:rPr>
          <w:iCs/>
          <w:color w:val="000000"/>
          <w:lang w:val="de-DE" w:eastAsia="de-DE"/>
        </w:rPr>
        <w:t xml:space="preserve">Die Batterien müssen sicher am Innenaufbau der Güterbeförderungseinheit befestigt sein (z. B. in Gestellen oder Schränken), so dass bei Stößen, Belastungen und Vibrationen, die normalerweise während der Beförderung auftreten, Kurzschlüsse, eine unbeabsichtigte Bedienung und nennenswerte Bewegungen in der Güterbeförderungseinheit verhindert werden. Gefährliche Güter, die für den sicheren und ordnungsgemäßen Betrieb der Güterbeförderungseinheit erforderlich sind (z. B. Feuerlöschsysteme und Klimaanlagen), müssen in der Güterbeförderungseinheit ordnungsgemäß befestigt oder eingebaut sein und unterliegen nicht den übrigen Vorschriften des </w:t>
      </w:r>
      <w:r w:rsidRPr="00DD2A86">
        <w:rPr>
          <w:snapToGrid w:val="0"/>
          <w:lang w:val="de-DE" w:eastAsia="de-DE"/>
        </w:rPr>
        <w:t>ADN</w:t>
      </w:r>
      <w:r w:rsidRPr="00DD2A86">
        <w:rPr>
          <w:iCs/>
          <w:color w:val="000000"/>
          <w:lang w:val="de-DE" w:eastAsia="de-DE"/>
        </w:rPr>
        <w:t>. Gefährliche Güter, die für den sicheren und ordnungsgemäßen Betrieb der Güterbeförderungseinheit nicht erforderlich sind, dürfen nicht in der Güterbeförderungseinheit befördert werden.</w:t>
      </w:r>
    </w:p>
    <w:p w:rsidR="001E3657" w:rsidRPr="00DD2A86" w:rsidRDefault="001E3657" w:rsidP="008E3F21">
      <w:pPr>
        <w:suppressAutoHyphens w:val="0"/>
        <w:spacing w:line="240" w:lineRule="auto"/>
        <w:ind w:left="1134"/>
        <w:jc w:val="both"/>
        <w:rPr>
          <w:iCs/>
          <w:color w:val="000000"/>
          <w:lang w:val="de-DE" w:eastAsia="de-DE"/>
        </w:rPr>
      </w:pPr>
    </w:p>
    <w:p w:rsidR="001E3657" w:rsidRPr="00DD2A86" w:rsidRDefault="001E3657" w:rsidP="008E3F21">
      <w:pPr>
        <w:suppressAutoHyphens w:val="0"/>
        <w:spacing w:line="240" w:lineRule="auto"/>
        <w:ind w:left="1134"/>
        <w:jc w:val="both"/>
        <w:rPr>
          <w:iCs/>
          <w:color w:val="000000"/>
          <w:lang w:val="de-DE" w:eastAsia="de-DE"/>
        </w:rPr>
      </w:pPr>
      <w:r w:rsidRPr="00DD2A86">
        <w:rPr>
          <w:iCs/>
          <w:color w:val="000000"/>
          <w:lang w:val="de-DE" w:eastAsia="de-DE"/>
        </w:rPr>
        <w:t>Die Batterien in der Güterbeförderungseinheit unterliegen nicht den Vorschriften für die Kennzeichnung oder Bezettelung. Die Güterbeförderungseinheit muss auf zwei gegenüberliegenden Seiten mit orangefarbenen Tafeln in Übereinstimmung mit Unterabschnitt 5.3.2.2 und mit Großzetteln (Placards) in Übereinstimmung mit Unterabschnitt 5.3.1.1 versehen sein.“.</w:t>
      </w:r>
    </w:p>
    <w:p w:rsidR="001E3657" w:rsidRPr="00DD2A86" w:rsidRDefault="001E3657" w:rsidP="0073248F">
      <w:pPr>
        <w:spacing w:before="120" w:after="120"/>
        <w:ind w:left="1134"/>
        <w:jc w:val="both"/>
        <w:rPr>
          <w:iCs/>
          <w:lang w:val="de-DE"/>
        </w:rPr>
      </w:pPr>
      <w:r w:rsidRPr="00DD2A86">
        <w:rPr>
          <w:b/>
          <w:iCs/>
          <w:lang w:val="de-DE"/>
        </w:rPr>
        <w:t>„390</w:t>
      </w:r>
      <w:r w:rsidRPr="00DD2A86">
        <w:rPr>
          <w:iCs/>
          <w:lang w:val="de-DE"/>
        </w:rPr>
        <w:tab/>
        <w:t>(bleibt offen)“.</w:t>
      </w:r>
    </w:p>
    <w:p w:rsidR="001E3657" w:rsidRPr="00DD2A86" w:rsidRDefault="001E3657" w:rsidP="008E3F21">
      <w:pPr>
        <w:tabs>
          <w:tab w:val="left" w:pos="1701"/>
        </w:tabs>
        <w:spacing w:before="120" w:after="120"/>
        <w:ind w:left="1134"/>
        <w:jc w:val="both"/>
        <w:rPr>
          <w:iCs/>
          <w:lang w:val="de-DE"/>
        </w:rPr>
      </w:pPr>
      <w:r w:rsidRPr="00DD2A86">
        <w:rPr>
          <w:b/>
          <w:iCs/>
          <w:lang w:val="de-DE"/>
        </w:rPr>
        <w:t>„391</w:t>
      </w:r>
      <w:r w:rsidRPr="00DD2A86">
        <w:rPr>
          <w:iCs/>
          <w:lang w:val="de-DE"/>
        </w:rPr>
        <w:tab/>
        <w:t>(bleibt offen)“.</w:t>
      </w:r>
    </w:p>
    <w:p w:rsidR="001E3657" w:rsidRPr="00DD2A86" w:rsidRDefault="001E3657" w:rsidP="008E3F21">
      <w:pPr>
        <w:suppressAutoHyphens w:val="0"/>
        <w:spacing w:line="240" w:lineRule="auto"/>
        <w:ind w:left="1134"/>
        <w:jc w:val="both"/>
        <w:rPr>
          <w:iCs/>
          <w:color w:val="000000"/>
          <w:lang w:val="de-DE" w:eastAsia="de-DE"/>
        </w:rPr>
      </w:pPr>
      <w:r w:rsidRPr="00DD2A86">
        <w:rPr>
          <w:b/>
          <w:iCs/>
          <w:color w:val="000000"/>
          <w:lang w:val="de-DE" w:eastAsia="de-DE"/>
        </w:rPr>
        <w:t>„392</w:t>
      </w:r>
      <w:r w:rsidRPr="00DD2A86">
        <w:rPr>
          <w:iCs/>
          <w:color w:val="000000"/>
          <w:lang w:val="de-DE" w:eastAsia="de-DE"/>
        </w:rPr>
        <w:tab/>
        <w:t xml:space="preserve">Bei der Beförderung von Gasspeichersystemen, die für den Einbau in Kraftfahrzeugen ausgelegt und zugelassen sind und dieses Gas enthalten, zur Entsorgung, zum Recycling, zur Reparatur, zur Prüfung, zur Wartung oder vom Herstellungsort zum Fahrzeugmontagewerk müssen die Vorschriften des Unterabschnitts 4.1.4.1 und des Kapitels 6.2 des </w:t>
      </w:r>
      <w:r w:rsidRPr="00DD2A86">
        <w:rPr>
          <w:iCs/>
          <w:lang w:val="de-DE" w:eastAsia="de-DE"/>
        </w:rPr>
        <w:t>ADR</w:t>
      </w:r>
      <w:r w:rsidRPr="00DD2A86">
        <w:rPr>
          <w:iCs/>
          <w:color w:val="000000"/>
          <w:lang w:val="de-DE" w:eastAsia="de-DE"/>
        </w:rPr>
        <w:t xml:space="preserve"> nicht angewendet werden, vorausgesetzt, die folgenden Vorschriften werden erfüllt:</w:t>
      </w:r>
    </w:p>
    <w:p w:rsidR="001E3657" w:rsidRPr="00DD2A86" w:rsidRDefault="001E3657" w:rsidP="008E3F21">
      <w:pPr>
        <w:suppressAutoHyphens w:val="0"/>
        <w:spacing w:before="120" w:after="120" w:line="240" w:lineRule="auto"/>
        <w:ind w:left="1701"/>
        <w:jc w:val="both"/>
        <w:rPr>
          <w:lang w:val="fr-FR"/>
        </w:rPr>
      </w:pPr>
      <w:r w:rsidRPr="00DD2A86">
        <w:rPr>
          <w:iCs/>
          <w:color w:val="000000"/>
          <w:lang w:val="de-DE" w:eastAsia="de-DE"/>
        </w:rPr>
        <w:t>a)</w:t>
      </w:r>
      <w:r w:rsidRPr="00DD2A86">
        <w:rPr>
          <w:iCs/>
          <w:color w:val="000000"/>
          <w:lang w:val="de-DE" w:eastAsia="de-DE"/>
        </w:rPr>
        <w:tab/>
        <w:t xml:space="preserve">Die Gasspeichersysteme entsprechen den jeweils zutreffenden Normen bzw. Vorschriften für Kraftstoffbehälter von Fahrzeugen. </w:t>
      </w:r>
      <w:r w:rsidRPr="00DD2A86">
        <w:rPr>
          <w:iCs/>
          <w:color w:val="000000"/>
          <w:lang w:val="fr-FR" w:eastAsia="de-DE"/>
        </w:rPr>
        <w:t>Beispiele anwendbarer Normen und Vorschriften sind:</w:t>
      </w:r>
    </w:p>
    <w:tbl>
      <w:tblPr>
        <w:tblW w:w="0" w:type="auto"/>
        <w:tblInd w:w="1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0"/>
        <w:gridCol w:w="3528"/>
      </w:tblGrid>
      <w:tr w:rsidR="001E3657" w:rsidRPr="00DD2A86" w:rsidTr="00413F50">
        <w:tc>
          <w:tcPr>
            <w:tcW w:w="6878" w:type="dxa"/>
            <w:gridSpan w:val="2"/>
          </w:tcPr>
          <w:p w:rsidR="001E3657" w:rsidRPr="00DD2A86" w:rsidRDefault="001E3657" w:rsidP="001E3657">
            <w:pPr>
              <w:tabs>
                <w:tab w:val="left" w:pos="1843"/>
              </w:tabs>
              <w:rPr>
                <w:b/>
                <w:iCs/>
                <w:sz w:val="18"/>
                <w:szCs w:val="18"/>
                <w:lang w:val="fr-CH"/>
              </w:rPr>
            </w:pPr>
            <w:r w:rsidRPr="00DD2A86">
              <w:rPr>
                <w:b/>
                <w:iCs/>
                <w:sz w:val="18"/>
                <w:szCs w:val="18"/>
                <w:lang w:val="fr-CH"/>
              </w:rPr>
              <w:t>Flüssiggas-Behälter</w:t>
            </w:r>
          </w:p>
        </w:tc>
      </w:tr>
      <w:tr w:rsidR="001E3657" w:rsidRPr="00E139A8" w:rsidTr="00413F50">
        <w:tc>
          <w:tcPr>
            <w:tcW w:w="3350" w:type="dxa"/>
          </w:tcPr>
          <w:p w:rsidR="001E3657" w:rsidRPr="00DD2A86" w:rsidRDefault="00CB0FFA" w:rsidP="001E3657">
            <w:pPr>
              <w:tabs>
                <w:tab w:val="left" w:pos="1843"/>
              </w:tabs>
              <w:rPr>
                <w:iCs/>
                <w:sz w:val="18"/>
                <w:szCs w:val="18"/>
                <w:lang w:val="fr-CH"/>
              </w:rPr>
            </w:pPr>
            <w:r w:rsidRPr="00DD2A86">
              <w:rPr>
                <w:iCs/>
                <w:sz w:val="18"/>
                <w:szCs w:val="18"/>
                <w:lang w:val="fr-CH"/>
              </w:rPr>
              <w:t>UN</w:t>
            </w:r>
            <w:r w:rsidR="001E3657" w:rsidRPr="00DD2A86">
              <w:rPr>
                <w:iCs/>
                <w:sz w:val="18"/>
                <w:szCs w:val="18"/>
                <w:lang w:val="fr-CH"/>
              </w:rPr>
              <w:t>-Regelung Nr. 67 Revision 2</w:t>
            </w:r>
          </w:p>
        </w:tc>
        <w:tc>
          <w:tcPr>
            <w:tcW w:w="3528" w:type="dxa"/>
          </w:tcPr>
          <w:p w:rsidR="001E3657" w:rsidRPr="00DD2A86" w:rsidRDefault="001E3657" w:rsidP="001E3657">
            <w:pPr>
              <w:tabs>
                <w:tab w:val="left" w:pos="1843"/>
              </w:tabs>
              <w:rPr>
                <w:iCs/>
                <w:sz w:val="18"/>
                <w:szCs w:val="18"/>
                <w:lang w:val="de-DE"/>
              </w:rPr>
            </w:pPr>
            <w:r w:rsidRPr="00DD2A86">
              <w:rPr>
                <w:iCs/>
                <w:sz w:val="18"/>
                <w:szCs w:val="18"/>
                <w:lang w:val="de-DE"/>
              </w:rPr>
              <w:t>Einheitliche Bedingungen über die:</w:t>
            </w:r>
          </w:p>
          <w:p w:rsidR="001E3657" w:rsidRPr="00DD2A86" w:rsidRDefault="001E3657" w:rsidP="001E3657">
            <w:pPr>
              <w:tabs>
                <w:tab w:val="left" w:pos="318"/>
                <w:tab w:val="left" w:pos="1843"/>
              </w:tabs>
              <w:ind w:left="318" w:hanging="318"/>
              <w:rPr>
                <w:iCs/>
                <w:sz w:val="18"/>
                <w:szCs w:val="18"/>
                <w:lang w:val="de-DE"/>
              </w:rPr>
            </w:pPr>
            <w:r w:rsidRPr="00DD2A86">
              <w:rPr>
                <w:iCs/>
                <w:sz w:val="18"/>
                <w:szCs w:val="18"/>
                <w:lang w:val="de-DE"/>
              </w:rPr>
              <w:t>I.</w:t>
            </w:r>
            <w:r w:rsidRPr="00DD2A86">
              <w:rPr>
                <w:iCs/>
                <w:sz w:val="18"/>
                <w:szCs w:val="18"/>
                <w:lang w:val="de-DE"/>
              </w:rPr>
              <w:tab/>
              <w:t>Genehmigung der speziellen Ausrüstung von Fahrzeugen der Klassen M und N, in deren Antriebssystem verflüssigte Gase verwendet werden;</w:t>
            </w:r>
          </w:p>
          <w:p w:rsidR="001E3657" w:rsidRPr="00DD2A86" w:rsidRDefault="001E3657" w:rsidP="001E3657">
            <w:pPr>
              <w:tabs>
                <w:tab w:val="left" w:pos="318"/>
                <w:tab w:val="left" w:pos="1843"/>
              </w:tabs>
              <w:ind w:left="318" w:hanging="318"/>
              <w:rPr>
                <w:iCs/>
                <w:sz w:val="18"/>
                <w:szCs w:val="18"/>
                <w:lang w:val="de-DE"/>
              </w:rPr>
            </w:pPr>
            <w:r w:rsidRPr="00DD2A86">
              <w:rPr>
                <w:iCs/>
                <w:sz w:val="18"/>
                <w:szCs w:val="18"/>
                <w:lang w:val="de-DE"/>
              </w:rPr>
              <w:t>II.</w:t>
            </w:r>
            <w:r w:rsidRPr="00DD2A86">
              <w:rPr>
                <w:iCs/>
                <w:sz w:val="18"/>
                <w:szCs w:val="18"/>
                <w:lang w:val="de-DE"/>
              </w:rPr>
              <w:tab/>
              <w:t>Genehmigung von Fahrzeugen der Klassen M und N, die mit der speziellen Ausrüstung für die Verwendung von verflüssigten Gasen in ihrem Antriebssystem ausgestattet sind, in Bezug auf den Einbau dieser Ausrüstung</w:t>
            </w:r>
          </w:p>
        </w:tc>
      </w:tr>
      <w:tr w:rsidR="001E3657" w:rsidRPr="00E139A8" w:rsidTr="00413F50">
        <w:tc>
          <w:tcPr>
            <w:tcW w:w="3350" w:type="dxa"/>
          </w:tcPr>
          <w:p w:rsidR="001E3657" w:rsidRPr="00DD2A86" w:rsidRDefault="00CB0FFA" w:rsidP="001E3657">
            <w:pPr>
              <w:tabs>
                <w:tab w:val="left" w:pos="1843"/>
              </w:tabs>
              <w:rPr>
                <w:iCs/>
                <w:sz w:val="18"/>
                <w:szCs w:val="18"/>
                <w:lang w:val="fr-CH"/>
              </w:rPr>
            </w:pPr>
            <w:r w:rsidRPr="00DD2A86">
              <w:rPr>
                <w:iCs/>
                <w:sz w:val="18"/>
                <w:szCs w:val="18"/>
                <w:lang w:val="fr-CH"/>
              </w:rPr>
              <w:t>UN</w:t>
            </w:r>
            <w:r w:rsidR="001E3657" w:rsidRPr="00DD2A86">
              <w:rPr>
                <w:iCs/>
                <w:sz w:val="18"/>
                <w:szCs w:val="18"/>
                <w:lang w:val="fr-CH"/>
              </w:rPr>
              <w:t>-Regelung Nr. 115</w:t>
            </w:r>
          </w:p>
        </w:tc>
        <w:tc>
          <w:tcPr>
            <w:tcW w:w="3528" w:type="dxa"/>
          </w:tcPr>
          <w:p w:rsidR="001E3657" w:rsidRPr="00DD2A86" w:rsidRDefault="001E3657" w:rsidP="001E3657">
            <w:pPr>
              <w:tabs>
                <w:tab w:val="left" w:pos="1843"/>
              </w:tabs>
              <w:rPr>
                <w:sz w:val="18"/>
                <w:szCs w:val="18"/>
                <w:lang w:val="de-DE"/>
              </w:rPr>
            </w:pPr>
            <w:r w:rsidRPr="00DD2A86">
              <w:rPr>
                <w:sz w:val="18"/>
                <w:szCs w:val="18"/>
                <w:lang w:val="de-DE"/>
              </w:rPr>
              <w:t>Einheitliche Bedingungen für die Genehmigung der</w:t>
            </w:r>
          </w:p>
          <w:p w:rsidR="001E3657" w:rsidRPr="00DD2A86" w:rsidRDefault="001E3657" w:rsidP="001E3657">
            <w:pPr>
              <w:tabs>
                <w:tab w:val="left" w:pos="318"/>
                <w:tab w:val="left" w:pos="1843"/>
              </w:tabs>
              <w:ind w:left="318" w:hanging="318"/>
              <w:rPr>
                <w:sz w:val="18"/>
                <w:szCs w:val="18"/>
                <w:lang w:val="de-DE"/>
              </w:rPr>
            </w:pPr>
            <w:r w:rsidRPr="00DD2A86">
              <w:rPr>
                <w:sz w:val="18"/>
                <w:szCs w:val="18"/>
                <w:lang w:val="de-DE"/>
              </w:rPr>
              <w:t>I.</w:t>
            </w:r>
            <w:r w:rsidRPr="00DD2A86">
              <w:rPr>
                <w:sz w:val="18"/>
                <w:szCs w:val="18"/>
                <w:lang w:val="de-DE"/>
              </w:rPr>
              <w:tab/>
              <w:t>speziellen Nachrüstsysteme für Flüssiggas (LPG) zum Einbau in Kraftfahrzeuge zur Verwendung von Flüssiggas in ihrem Antriebssystem;</w:t>
            </w:r>
          </w:p>
          <w:p w:rsidR="001E3657" w:rsidRPr="00DD2A86" w:rsidRDefault="001E3657" w:rsidP="001E3657">
            <w:pPr>
              <w:tabs>
                <w:tab w:val="left" w:pos="318"/>
                <w:tab w:val="left" w:pos="1843"/>
              </w:tabs>
              <w:ind w:left="318" w:hanging="318"/>
              <w:rPr>
                <w:iCs/>
                <w:sz w:val="18"/>
                <w:szCs w:val="18"/>
                <w:lang w:val="de-DE"/>
              </w:rPr>
            </w:pPr>
            <w:r w:rsidRPr="00DD2A86">
              <w:rPr>
                <w:sz w:val="18"/>
                <w:szCs w:val="18"/>
                <w:lang w:val="de-DE"/>
              </w:rPr>
              <w:t>II.</w:t>
            </w:r>
            <w:r w:rsidRPr="00DD2A86">
              <w:rPr>
                <w:sz w:val="18"/>
                <w:szCs w:val="18"/>
                <w:lang w:val="de-DE"/>
              </w:rPr>
              <w:tab/>
              <w:t>speziellen Nachrüstsysteme für komprimiertes Erdgas (CNG) zum Einbau in Kraftfahrzeuge zur Verwendung von komprimiertem Erdgas in ihrem Antriebssystem</w:t>
            </w:r>
          </w:p>
        </w:tc>
      </w:tr>
      <w:tr w:rsidR="001E3657" w:rsidRPr="00E139A8" w:rsidTr="00413F50">
        <w:tc>
          <w:tcPr>
            <w:tcW w:w="6878" w:type="dxa"/>
            <w:gridSpan w:val="2"/>
          </w:tcPr>
          <w:p w:rsidR="001E3657" w:rsidRPr="00DD2A86" w:rsidRDefault="001E3657" w:rsidP="001E3657">
            <w:pPr>
              <w:tabs>
                <w:tab w:val="left" w:pos="1843"/>
              </w:tabs>
              <w:rPr>
                <w:b/>
                <w:iCs/>
                <w:sz w:val="18"/>
                <w:szCs w:val="18"/>
                <w:lang w:val="de-DE"/>
              </w:rPr>
            </w:pPr>
            <w:r w:rsidRPr="00DD2A86">
              <w:rPr>
                <w:b/>
                <w:iCs/>
                <w:sz w:val="18"/>
                <w:szCs w:val="18"/>
                <w:lang w:val="de-DE"/>
              </w:rPr>
              <w:t>Behälter für verdichtetes Erdgas (CNG) und verflüssigtes Erdgas (LNG)</w:t>
            </w:r>
          </w:p>
        </w:tc>
      </w:tr>
      <w:tr w:rsidR="001E3657" w:rsidRPr="00E139A8" w:rsidTr="00413F50">
        <w:tc>
          <w:tcPr>
            <w:tcW w:w="3350" w:type="dxa"/>
          </w:tcPr>
          <w:p w:rsidR="001E3657" w:rsidRPr="00DD2A86" w:rsidRDefault="00CB0FFA" w:rsidP="001E3657">
            <w:pPr>
              <w:tabs>
                <w:tab w:val="left" w:pos="1843"/>
              </w:tabs>
              <w:rPr>
                <w:iCs/>
                <w:sz w:val="18"/>
                <w:szCs w:val="18"/>
                <w:lang w:val="fr-CH"/>
              </w:rPr>
            </w:pPr>
            <w:r w:rsidRPr="00DD2A86">
              <w:rPr>
                <w:iCs/>
                <w:sz w:val="18"/>
                <w:szCs w:val="18"/>
                <w:lang w:val="fr-CH"/>
              </w:rPr>
              <w:t>UN</w:t>
            </w:r>
            <w:r w:rsidR="001E3657" w:rsidRPr="00DD2A86">
              <w:rPr>
                <w:iCs/>
                <w:sz w:val="18"/>
                <w:szCs w:val="18"/>
                <w:lang w:val="fr-CH"/>
              </w:rPr>
              <w:t>-Regelung Nr. 110</w:t>
            </w:r>
          </w:p>
        </w:tc>
        <w:tc>
          <w:tcPr>
            <w:tcW w:w="3528" w:type="dxa"/>
          </w:tcPr>
          <w:p w:rsidR="001E3657" w:rsidRPr="00DD2A86" w:rsidRDefault="001E3657" w:rsidP="001E3657">
            <w:pPr>
              <w:tabs>
                <w:tab w:val="left" w:pos="1843"/>
              </w:tabs>
              <w:rPr>
                <w:iCs/>
                <w:sz w:val="18"/>
                <w:szCs w:val="18"/>
                <w:lang w:val="de-DE"/>
              </w:rPr>
            </w:pPr>
            <w:r w:rsidRPr="00DD2A86">
              <w:rPr>
                <w:iCs/>
                <w:sz w:val="18"/>
                <w:szCs w:val="18"/>
                <w:lang w:val="de-DE"/>
              </w:rPr>
              <w:t>Einheitliche Bedingungen für die Genehmigung:</w:t>
            </w:r>
          </w:p>
          <w:p w:rsidR="001E3657" w:rsidRPr="00DD2A86" w:rsidRDefault="001E3657" w:rsidP="001E3657">
            <w:pPr>
              <w:tabs>
                <w:tab w:val="left" w:pos="318"/>
                <w:tab w:val="left" w:pos="1843"/>
              </w:tabs>
              <w:ind w:left="318" w:hanging="318"/>
              <w:rPr>
                <w:iCs/>
                <w:sz w:val="18"/>
                <w:szCs w:val="18"/>
                <w:lang w:val="de-DE"/>
              </w:rPr>
            </w:pPr>
            <w:r w:rsidRPr="00DD2A86">
              <w:rPr>
                <w:iCs/>
                <w:sz w:val="18"/>
                <w:szCs w:val="18"/>
                <w:lang w:val="de-DE"/>
              </w:rPr>
              <w:t>I.</w:t>
            </w:r>
            <w:r w:rsidRPr="00DD2A86">
              <w:rPr>
                <w:iCs/>
                <w:sz w:val="18"/>
                <w:szCs w:val="18"/>
                <w:lang w:val="de-DE"/>
              </w:rPr>
              <w:tab/>
              <w:t>der speziellen Bauteile von Kraftfahrzeugen, in deren Antriebssystem komprimiertes Erdgas (CNG) und/oder Flüssigerdgas (LNG) verwendet wird,</w:t>
            </w:r>
          </w:p>
          <w:p w:rsidR="001E3657" w:rsidRPr="00DD2A86" w:rsidRDefault="001E3657" w:rsidP="001E3657">
            <w:pPr>
              <w:tabs>
                <w:tab w:val="left" w:pos="318"/>
                <w:tab w:val="left" w:pos="1843"/>
              </w:tabs>
              <w:ind w:left="318" w:hanging="318"/>
              <w:rPr>
                <w:iCs/>
                <w:sz w:val="18"/>
                <w:szCs w:val="18"/>
                <w:lang w:val="de-DE"/>
              </w:rPr>
            </w:pPr>
            <w:r w:rsidRPr="00DD2A86">
              <w:rPr>
                <w:iCs/>
                <w:sz w:val="18"/>
                <w:szCs w:val="18"/>
                <w:lang w:val="de-DE"/>
              </w:rPr>
              <w:t>II.</w:t>
            </w:r>
            <w:r w:rsidRPr="00DD2A86">
              <w:rPr>
                <w:iCs/>
                <w:sz w:val="18"/>
                <w:szCs w:val="18"/>
                <w:lang w:val="de-DE"/>
              </w:rPr>
              <w:tab/>
              <w:t>von Fahrzeugen hinsichtlich des Einbaus spezieller Bauteile eines genehmigten Typs für die Verwendung von komprimiertem Erdgas (CNG) und/oder Flüssigerdgas (LNG) in ihrem Antriebssystem</w:t>
            </w:r>
          </w:p>
        </w:tc>
      </w:tr>
      <w:tr w:rsidR="001E3657" w:rsidRPr="00E139A8" w:rsidTr="00413F50">
        <w:tc>
          <w:tcPr>
            <w:tcW w:w="3350" w:type="dxa"/>
          </w:tcPr>
          <w:p w:rsidR="001E3657" w:rsidRPr="00DD2A86" w:rsidRDefault="00CB0FFA" w:rsidP="001E3657">
            <w:pPr>
              <w:tabs>
                <w:tab w:val="left" w:pos="1843"/>
              </w:tabs>
              <w:rPr>
                <w:iCs/>
                <w:sz w:val="18"/>
                <w:szCs w:val="18"/>
                <w:lang w:val="fr-CH"/>
              </w:rPr>
            </w:pPr>
            <w:r w:rsidRPr="00DD2A86">
              <w:rPr>
                <w:iCs/>
                <w:sz w:val="18"/>
                <w:szCs w:val="18"/>
                <w:lang w:val="fr-CH"/>
              </w:rPr>
              <w:t>UN</w:t>
            </w:r>
            <w:r w:rsidR="001E3657" w:rsidRPr="00DD2A86">
              <w:rPr>
                <w:iCs/>
                <w:sz w:val="18"/>
                <w:szCs w:val="18"/>
                <w:lang w:val="fr-CH"/>
              </w:rPr>
              <w:t>-Regelung Nr. 115</w:t>
            </w:r>
          </w:p>
        </w:tc>
        <w:tc>
          <w:tcPr>
            <w:tcW w:w="3528" w:type="dxa"/>
          </w:tcPr>
          <w:p w:rsidR="001E3657" w:rsidRPr="00DD2A86" w:rsidRDefault="001E3657" w:rsidP="001E3657">
            <w:pPr>
              <w:tabs>
                <w:tab w:val="left" w:pos="1843"/>
              </w:tabs>
              <w:rPr>
                <w:sz w:val="18"/>
                <w:szCs w:val="18"/>
                <w:lang w:val="de-DE"/>
              </w:rPr>
            </w:pPr>
            <w:r w:rsidRPr="00DD2A86">
              <w:rPr>
                <w:sz w:val="18"/>
                <w:szCs w:val="18"/>
                <w:lang w:val="de-DE"/>
              </w:rPr>
              <w:t>Einheitliche Bedingungen für die Genehmigung der</w:t>
            </w:r>
          </w:p>
          <w:p w:rsidR="001E3657" w:rsidRPr="00DD2A86" w:rsidRDefault="001E3657" w:rsidP="001E3657">
            <w:pPr>
              <w:tabs>
                <w:tab w:val="left" w:pos="318"/>
                <w:tab w:val="left" w:pos="1843"/>
              </w:tabs>
              <w:ind w:left="318" w:hanging="318"/>
              <w:rPr>
                <w:sz w:val="18"/>
                <w:szCs w:val="18"/>
                <w:lang w:val="de-DE"/>
              </w:rPr>
            </w:pPr>
            <w:r w:rsidRPr="00DD2A86">
              <w:rPr>
                <w:sz w:val="18"/>
                <w:szCs w:val="18"/>
                <w:lang w:val="de-DE"/>
              </w:rPr>
              <w:t>I.</w:t>
            </w:r>
            <w:r w:rsidRPr="00DD2A86">
              <w:rPr>
                <w:sz w:val="18"/>
                <w:szCs w:val="18"/>
                <w:lang w:val="de-DE"/>
              </w:rPr>
              <w:tab/>
              <w:t>speziellen Nachrüstsysteme für Flüssiggas (LPG) zum Einbau in Kraftfahrzeuge zur Verwendung von Flüssiggas in ihrem Antriebssystem;</w:t>
            </w:r>
          </w:p>
          <w:p w:rsidR="001E3657" w:rsidRPr="00DD2A86" w:rsidRDefault="001E3657" w:rsidP="001E3657">
            <w:pPr>
              <w:tabs>
                <w:tab w:val="left" w:pos="318"/>
                <w:tab w:val="left" w:pos="1843"/>
              </w:tabs>
              <w:spacing w:before="120" w:after="360"/>
              <w:ind w:left="318" w:hanging="318"/>
              <w:rPr>
                <w:iCs/>
                <w:sz w:val="18"/>
                <w:szCs w:val="18"/>
                <w:lang w:val="de-DE"/>
              </w:rPr>
            </w:pPr>
            <w:r w:rsidRPr="00DD2A86">
              <w:rPr>
                <w:sz w:val="18"/>
                <w:szCs w:val="18"/>
                <w:lang w:val="de-DE"/>
              </w:rPr>
              <w:t>II.</w:t>
            </w:r>
            <w:r w:rsidRPr="00DD2A86">
              <w:rPr>
                <w:sz w:val="18"/>
                <w:szCs w:val="18"/>
                <w:lang w:val="de-DE"/>
              </w:rPr>
              <w:tab/>
              <w:t>speziellen Nachrüstsysteme für komprimiertes Erdgas (CNG) zum Einbau in Kraftfahrzeuge zur Verwendung von komprimiertem Erdgas in ihrem Antriebssystem</w:t>
            </w:r>
          </w:p>
        </w:tc>
      </w:tr>
      <w:tr w:rsidR="001E3657" w:rsidRPr="00E139A8" w:rsidTr="00413F50">
        <w:tc>
          <w:tcPr>
            <w:tcW w:w="3350" w:type="dxa"/>
          </w:tcPr>
          <w:p w:rsidR="001E3657" w:rsidRPr="00DD2A86" w:rsidRDefault="001E3657" w:rsidP="001E3657">
            <w:pPr>
              <w:tabs>
                <w:tab w:val="left" w:pos="1843"/>
              </w:tabs>
              <w:rPr>
                <w:iCs/>
                <w:sz w:val="18"/>
                <w:szCs w:val="18"/>
                <w:lang w:val="fr-CH"/>
              </w:rPr>
            </w:pPr>
            <w:r w:rsidRPr="00DD2A86">
              <w:rPr>
                <w:sz w:val="18"/>
                <w:szCs w:val="18"/>
                <w:lang w:val="fr-CH" w:eastAsia="en-GB" w:bidi="en-GB"/>
              </w:rPr>
              <w:t>ISO 11439:2013</w:t>
            </w:r>
          </w:p>
        </w:tc>
        <w:tc>
          <w:tcPr>
            <w:tcW w:w="3528" w:type="dxa"/>
          </w:tcPr>
          <w:p w:rsidR="001E3657" w:rsidRPr="00DD2A86" w:rsidRDefault="001E3657" w:rsidP="001E3657">
            <w:pPr>
              <w:tabs>
                <w:tab w:val="left" w:pos="1843"/>
              </w:tabs>
              <w:rPr>
                <w:iCs/>
                <w:sz w:val="18"/>
                <w:szCs w:val="18"/>
                <w:lang w:val="de-DE"/>
              </w:rPr>
            </w:pPr>
            <w:r w:rsidRPr="00DD2A86">
              <w:rPr>
                <w:bCs/>
                <w:iCs/>
                <w:sz w:val="18"/>
                <w:szCs w:val="18"/>
                <w:lang w:val="de-DE"/>
              </w:rPr>
              <w:t>Gasflaschen – Hochdruck-Flaschen für die fahrzeuginterne Speicherung von Erdgas als Treibstoff für Kraftfahrzeuge</w:t>
            </w:r>
          </w:p>
        </w:tc>
      </w:tr>
      <w:tr w:rsidR="001E3657" w:rsidRPr="00DD2A86" w:rsidTr="00413F50">
        <w:tc>
          <w:tcPr>
            <w:tcW w:w="3350" w:type="dxa"/>
          </w:tcPr>
          <w:p w:rsidR="001E3657" w:rsidRPr="00DD2A86" w:rsidRDefault="001E3657" w:rsidP="001E3657">
            <w:pPr>
              <w:tabs>
                <w:tab w:val="left" w:pos="1843"/>
              </w:tabs>
              <w:rPr>
                <w:iCs/>
                <w:sz w:val="18"/>
                <w:szCs w:val="18"/>
                <w:lang w:val="fr-CH"/>
              </w:rPr>
            </w:pPr>
            <w:r w:rsidRPr="00DD2A86">
              <w:rPr>
                <w:sz w:val="18"/>
                <w:szCs w:val="18"/>
                <w:lang w:val="fr-CH"/>
              </w:rPr>
              <w:t>ISO 15500 Reihe</w:t>
            </w:r>
          </w:p>
        </w:tc>
        <w:tc>
          <w:tcPr>
            <w:tcW w:w="3528" w:type="dxa"/>
          </w:tcPr>
          <w:p w:rsidR="001E3657" w:rsidRPr="00DD2A86" w:rsidRDefault="001E3657" w:rsidP="001E3657">
            <w:pPr>
              <w:tabs>
                <w:tab w:val="left" w:pos="1843"/>
              </w:tabs>
              <w:rPr>
                <w:iCs/>
                <w:sz w:val="18"/>
                <w:szCs w:val="18"/>
              </w:rPr>
            </w:pPr>
            <w:r w:rsidRPr="00DD2A86">
              <w:rPr>
                <w:iCs/>
                <w:sz w:val="18"/>
                <w:szCs w:val="18"/>
              </w:rPr>
              <w:t>Road vehicles – Compressed natural gas (CNG) fuel system components – several parts as applicable</w:t>
            </w:r>
          </w:p>
        </w:tc>
      </w:tr>
      <w:tr w:rsidR="001E3657" w:rsidRPr="00DD2A86" w:rsidTr="00413F50">
        <w:tc>
          <w:tcPr>
            <w:tcW w:w="3350" w:type="dxa"/>
          </w:tcPr>
          <w:p w:rsidR="001E3657" w:rsidRPr="00DD2A86" w:rsidRDefault="001E3657" w:rsidP="001E3657">
            <w:pPr>
              <w:tabs>
                <w:tab w:val="left" w:pos="1843"/>
              </w:tabs>
              <w:rPr>
                <w:sz w:val="18"/>
                <w:szCs w:val="18"/>
                <w:lang w:val="fr-CH"/>
              </w:rPr>
            </w:pPr>
            <w:r w:rsidRPr="00DD2A86">
              <w:rPr>
                <w:sz w:val="18"/>
                <w:szCs w:val="18"/>
                <w:lang w:val="fr-CH" w:eastAsia="en-GB" w:bidi="en-GB"/>
              </w:rPr>
              <w:t>ANSI NGV 2</w:t>
            </w:r>
          </w:p>
        </w:tc>
        <w:tc>
          <w:tcPr>
            <w:tcW w:w="3528" w:type="dxa"/>
          </w:tcPr>
          <w:p w:rsidR="001E3657" w:rsidRPr="00DD2A86" w:rsidRDefault="001E3657" w:rsidP="001E3657">
            <w:pPr>
              <w:tabs>
                <w:tab w:val="left" w:pos="1843"/>
              </w:tabs>
              <w:rPr>
                <w:iCs/>
                <w:sz w:val="18"/>
                <w:szCs w:val="18"/>
              </w:rPr>
            </w:pPr>
            <w:r w:rsidRPr="00DD2A86">
              <w:rPr>
                <w:sz w:val="18"/>
                <w:szCs w:val="18"/>
                <w:lang w:eastAsia="en-GB" w:bidi="en-GB"/>
              </w:rPr>
              <w:t>Compressed natural gas vehicle fuel containers</w:t>
            </w:r>
          </w:p>
        </w:tc>
      </w:tr>
      <w:tr w:rsidR="001E3657" w:rsidRPr="00E139A8" w:rsidTr="00413F50">
        <w:tc>
          <w:tcPr>
            <w:tcW w:w="3350" w:type="dxa"/>
          </w:tcPr>
          <w:p w:rsidR="001E3657" w:rsidRPr="00DD2A86" w:rsidRDefault="001E3657" w:rsidP="001E3657">
            <w:pPr>
              <w:tabs>
                <w:tab w:val="left" w:pos="1843"/>
              </w:tabs>
              <w:rPr>
                <w:sz w:val="18"/>
                <w:szCs w:val="18"/>
                <w:lang w:val="fr-CH" w:eastAsia="en-GB" w:bidi="en-GB"/>
              </w:rPr>
            </w:pPr>
            <w:r w:rsidRPr="00DD2A86">
              <w:rPr>
                <w:sz w:val="18"/>
                <w:szCs w:val="18"/>
                <w:lang w:val="fr-CH" w:eastAsia="en-GB" w:bidi="en-GB"/>
              </w:rPr>
              <w:t>CSA B51 Part 2:2014</w:t>
            </w:r>
          </w:p>
        </w:tc>
        <w:tc>
          <w:tcPr>
            <w:tcW w:w="3528" w:type="dxa"/>
          </w:tcPr>
          <w:p w:rsidR="001E3657" w:rsidRPr="00DD2A86" w:rsidRDefault="001E3657" w:rsidP="001E3657">
            <w:pPr>
              <w:tabs>
                <w:tab w:val="left" w:pos="1843"/>
              </w:tabs>
              <w:rPr>
                <w:sz w:val="18"/>
                <w:szCs w:val="18"/>
                <w:lang w:val="de-DE" w:eastAsia="en-GB" w:bidi="en-GB"/>
              </w:rPr>
            </w:pPr>
            <w:r w:rsidRPr="00DD2A86">
              <w:rPr>
                <w:sz w:val="18"/>
                <w:szCs w:val="18"/>
                <w:lang w:val="de-DE" w:eastAsia="en-GB" w:bidi="en-GB"/>
              </w:rPr>
              <w:t>Boiler, pressure vessel, and pressure piping code – Part 2 Requirements for high-pressure cylinders for on-board storage of fuels for automotive vehicles (Norm für Kessel, Druckbehälter und Druckrohrleitungen – Teil 2: Vorschriften für Hochdruckflaschen zur fahrzeuginternen Speicherung von Kraftstoffen für Kraftfahrzeuge)</w:t>
            </w:r>
          </w:p>
        </w:tc>
      </w:tr>
      <w:tr w:rsidR="001E3657" w:rsidRPr="00DD2A86" w:rsidTr="00413F50">
        <w:tc>
          <w:tcPr>
            <w:tcW w:w="6878" w:type="dxa"/>
            <w:gridSpan w:val="2"/>
          </w:tcPr>
          <w:p w:rsidR="001E3657" w:rsidRPr="00DD2A86" w:rsidRDefault="001E3657" w:rsidP="001E3657">
            <w:pPr>
              <w:tabs>
                <w:tab w:val="left" w:pos="1843"/>
              </w:tabs>
              <w:rPr>
                <w:b/>
                <w:sz w:val="18"/>
                <w:szCs w:val="18"/>
                <w:lang w:val="fr-CH" w:eastAsia="en-GB" w:bidi="en-GB"/>
              </w:rPr>
            </w:pPr>
            <w:r w:rsidRPr="00DD2A86">
              <w:rPr>
                <w:b/>
                <w:sz w:val="18"/>
                <w:szCs w:val="18"/>
                <w:lang w:val="fr-CH" w:eastAsia="en-GB" w:bidi="en-GB"/>
              </w:rPr>
              <w:t>Wasserstoff-Druckbehälter</w:t>
            </w:r>
          </w:p>
        </w:tc>
      </w:tr>
      <w:tr w:rsidR="001E3657" w:rsidRPr="00E139A8" w:rsidTr="00413F50">
        <w:tc>
          <w:tcPr>
            <w:tcW w:w="3350" w:type="dxa"/>
          </w:tcPr>
          <w:p w:rsidR="001E3657" w:rsidRPr="00DD2A86" w:rsidRDefault="001E3657" w:rsidP="001E3657">
            <w:pPr>
              <w:tabs>
                <w:tab w:val="left" w:pos="1843"/>
              </w:tabs>
              <w:rPr>
                <w:sz w:val="18"/>
                <w:szCs w:val="18"/>
                <w:lang w:val="en-US" w:eastAsia="en-GB" w:bidi="en-GB"/>
              </w:rPr>
            </w:pPr>
            <w:r w:rsidRPr="00DD2A86">
              <w:rPr>
                <w:sz w:val="18"/>
                <w:szCs w:val="18"/>
                <w:lang w:val="en-US" w:eastAsia="en-GB" w:bidi="en-GB"/>
              </w:rPr>
              <w:t>Global Technical Regulation (GTR) No. 13</w:t>
            </w:r>
          </w:p>
        </w:tc>
        <w:tc>
          <w:tcPr>
            <w:tcW w:w="3528" w:type="dxa"/>
          </w:tcPr>
          <w:p w:rsidR="001E3657" w:rsidRPr="00DD2A86" w:rsidRDefault="001E3657" w:rsidP="001E3657">
            <w:pPr>
              <w:tabs>
                <w:tab w:val="left" w:pos="1843"/>
              </w:tabs>
              <w:rPr>
                <w:sz w:val="18"/>
                <w:szCs w:val="18"/>
                <w:lang w:val="de-DE" w:eastAsia="en-GB" w:bidi="en-GB"/>
              </w:rPr>
            </w:pPr>
            <w:r w:rsidRPr="00DD2A86">
              <w:rPr>
                <w:sz w:val="18"/>
                <w:szCs w:val="18"/>
                <w:lang w:val="de-DE" w:eastAsia="en-GB" w:bidi="en-GB"/>
              </w:rPr>
              <w:t xml:space="preserve">Global technical regulation on hydrogen and fuel cell vehicles (Globale technische Regelung </w:t>
            </w:r>
            <w:r w:rsidRPr="00DD2A86">
              <w:rPr>
                <w:bCs/>
                <w:sz w:val="18"/>
                <w:szCs w:val="18"/>
                <w:lang w:val="de-DE" w:eastAsia="en-GB" w:bidi="en-GB"/>
              </w:rPr>
              <w:t>über mit Wasserstoff und mit Brennstoffzellen angetriebene Kraftf</w:t>
            </w:r>
            <w:r w:rsidRPr="00DD2A86">
              <w:rPr>
                <w:sz w:val="18"/>
                <w:szCs w:val="18"/>
                <w:lang w:val="de-DE" w:eastAsia="en-GB" w:bidi="en-GB"/>
              </w:rPr>
              <w:t>ahrzeuge) (ECE/TRANS/180/Add.13)</w:t>
            </w:r>
          </w:p>
        </w:tc>
      </w:tr>
      <w:tr w:rsidR="001E3657" w:rsidRPr="00E139A8" w:rsidTr="00413F50">
        <w:tc>
          <w:tcPr>
            <w:tcW w:w="3350" w:type="dxa"/>
          </w:tcPr>
          <w:p w:rsidR="001E3657" w:rsidRPr="00DD2A86" w:rsidRDefault="001E3657" w:rsidP="001E3657">
            <w:pPr>
              <w:tabs>
                <w:tab w:val="left" w:pos="1843"/>
              </w:tabs>
              <w:rPr>
                <w:sz w:val="18"/>
                <w:szCs w:val="18"/>
                <w:lang w:val="fr-CH" w:eastAsia="en-GB" w:bidi="en-GB"/>
              </w:rPr>
            </w:pPr>
            <w:r w:rsidRPr="00DD2A86">
              <w:rPr>
                <w:sz w:val="18"/>
                <w:szCs w:val="18"/>
                <w:lang w:val="fr-CH" w:eastAsia="en-GB" w:bidi="en-GB"/>
              </w:rPr>
              <w:t>ISO/TS 15869:2009</w:t>
            </w:r>
          </w:p>
        </w:tc>
        <w:tc>
          <w:tcPr>
            <w:tcW w:w="3528" w:type="dxa"/>
          </w:tcPr>
          <w:p w:rsidR="001E3657" w:rsidRPr="00DD2A86" w:rsidRDefault="001E3657" w:rsidP="001E3657">
            <w:pPr>
              <w:tabs>
                <w:tab w:val="left" w:pos="1843"/>
              </w:tabs>
              <w:rPr>
                <w:b/>
                <w:sz w:val="18"/>
                <w:szCs w:val="18"/>
                <w:lang w:val="de-DE" w:eastAsia="en-GB" w:bidi="en-GB"/>
              </w:rPr>
            </w:pPr>
            <w:r w:rsidRPr="00DD2A86">
              <w:rPr>
                <w:bCs/>
                <w:sz w:val="18"/>
                <w:szCs w:val="18"/>
                <w:lang w:val="de-DE"/>
              </w:rPr>
              <w:t>Gasförmiger Wasserstoff und Wasserstoffgemische – Kraftstofftanks für Landfahrzeuge</w:t>
            </w:r>
          </w:p>
        </w:tc>
      </w:tr>
      <w:tr w:rsidR="001E3657" w:rsidRPr="00E139A8" w:rsidTr="00413F50">
        <w:tc>
          <w:tcPr>
            <w:tcW w:w="3350" w:type="dxa"/>
          </w:tcPr>
          <w:p w:rsidR="001E3657" w:rsidRPr="00DD2A86" w:rsidRDefault="001E3657" w:rsidP="001E3657">
            <w:pPr>
              <w:tabs>
                <w:tab w:val="left" w:pos="1843"/>
              </w:tabs>
              <w:rPr>
                <w:sz w:val="18"/>
                <w:szCs w:val="18"/>
                <w:lang w:val="fr-CH" w:eastAsia="en-GB" w:bidi="en-GB"/>
              </w:rPr>
            </w:pPr>
            <w:r w:rsidRPr="00DD2A86">
              <w:rPr>
                <w:sz w:val="18"/>
                <w:szCs w:val="18"/>
                <w:lang w:val="fr-CH"/>
              </w:rPr>
              <w:t>Verordnung (EG) Nr. 79/2009</w:t>
            </w:r>
          </w:p>
        </w:tc>
        <w:tc>
          <w:tcPr>
            <w:tcW w:w="3528" w:type="dxa"/>
          </w:tcPr>
          <w:p w:rsidR="001E3657" w:rsidRPr="00DD2A86" w:rsidRDefault="001E3657" w:rsidP="001E3657">
            <w:pPr>
              <w:tabs>
                <w:tab w:val="left" w:pos="1843"/>
              </w:tabs>
              <w:rPr>
                <w:sz w:val="18"/>
                <w:szCs w:val="18"/>
                <w:lang w:val="de-DE" w:eastAsia="en-GB" w:bidi="en-GB"/>
              </w:rPr>
            </w:pPr>
            <w:r w:rsidRPr="00DD2A86">
              <w:rPr>
                <w:sz w:val="18"/>
                <w:szCs w:val="18"/>
                <w:lang w:val="de-DE"/>
              </w:rPr>
              <w:t>Verordnung (EG) Nr. 79/2009 des Europäischen Parlaments und des Rates vom 14. Januar 2009 über die Typgenehmigung von wasserstoffbetriebenen Kraftfahrzeugen und zur Änderung der Richtlinie 2007/46/EG</w:t>
            </w:r>
          </w:p>
        </w:tc>
      </w:tr>
      <w:tr w:rsidR="001E3657" w:rsidRPr="00E139A8" w:rsidTr="00413F50">
        <w:tc>
          <w:tcPr>
            <w:tcW w:w="3350" w:type="dxa"/>
          </w:tcPr>
          <w:p w:rsidR="001E3657" w:rsidRPr="00DD2A86" w:rsidRDefault="001E3657" w:rsidP="001E3657">
            <w:pPr>
              <w:tabs>
                <w:tab w:val="left" w:pos="1843"/>
              </w:tabs>
              <w:rPr>
                <w:sz w:val="18"/>
                <w:szCs w:val="18"/>
                <w:lang w:val="fr-CH" w:eastAsia="en-GB" w:bidi="en-GB"/>
              </w:rPr>
            </w:pPr>
            <w:r w:rsidRPr="00DD2A86">
              <w:rPr>
                <w:sz w:val="18"/>
                <w:szCs w:val="18"/>
                <w:lang w:val="fr-CH"/>
              </w:rPr>
              <w:t>Verordnung (EU) Nr. 406/2010</w:t>
            </w:r>
          </w:p>
        </w:tc>
        <w:tc>
          <w:tcPr>
            <w:tcW w:w="3528" w:type="dxa"/>
          </w:tcPr>
          <w:p w:rsidR="001E3657" w:rsidRPr="00DD2A86" w:rsidRDefault="001E3657" w:rsidP="001E3657">
            <w:pPr>
              <w:tabs>
                <w:tab w:val="left" w:pos="1843"/>
              </w:tabs>
              <w:rPr>
                <w:sz w:val="18"/>
                <w:szCs w:val="18"/>
                <w:lang w:val="de-DE" w:eastAsia="en-GB" w:bidi="en-GB"/>
              </w:rPr>
            </w:pPr>
            <w:r w:rsidRPr="00DD2A86">
              <w:rPr>
                <w:sz w:val="18"/>
                <w:szCs w:val="18"/>
                <w:lang w:val="de-DE"/>
              </w:rPr>
              <w:t>Verordnung (EU) Nr. 406/2010 der Kommission vom 26. April 2010 zur Durchführung der Verordnung (EG) Nr. 79/2009 des Europäischen Parlaments und des Rates über die Typgenehmigung von wasserstoffbetriebenen Kraftfahrzeugen</w:t>
            </w:r>
          </w:p>
        </w:tc>
      </w:tr>
      <w:tr w:rsidR="001E3657" w:rsidRPr="00E139A8" w:rsidTr="00413F50">
        <w:tc>
          <w:tcPr>
            <w:tcW w:w="3350" w:type="dxa"/>
          </w:tcPr>
          <w:p w:rsidR="001E3657" w:rsidRPr="00DD2A86" w:rsidRDefault="00CB0FFA" w:rsidP="001E3657">
            <w:pPr>
              <w:tabs>
                <w:tab w:val="left" w:pos="1843"/>
              </w:tabs>
              <w:rPr>
                <w:sz w:val="18"/>
                <w:szCs w:val="18"/>
                <w:lang w:val="fr-CH" w:eastAsia="en-GB" w:bidi="en-GB"/>
              </w:rPr>
            </w:pPr>
            <w:r w:rsidRPr="00DD2A86">
              <w:rPr>
                <w:sz w:val="18"/>
                <w:szCs w:val="18"/>
                <w:lang w:val="fr-CH" w:eastAsia="en-GB" w:bidi="en-GB"/>
              </w:rPr>
              <w:t>UN</w:t>
            </w:r>
            <w:r w:rsidR="001E3657" w:rsidRPr="00DD2A86">
              <w:rPr>
                <w:sz w:val="18"/>
                <w:szCs w:val="18"/>
                <w:lang w:val="fr-CH" w:eastAsia="en-GB" w:bidi="en-GB"/>
              </w:rPr>
              <w:t>-Regelung Nr. 134</w:t>
            </w:r>
          </w:p>
        </w:tc>
        <w:tc>
          <w:tcPr>
            <w:tcW w:w="3528" w:type="dxa"/>
          </w:tcPr>
          <w:p w:rsidR="001E3657" w:rsidRPr="00DD2A86" w:rsidRDefault="001E3657" w:rsidP="001E3657">
            <w:pPr>
              <w:tabs>
                <w:tab w:val="left" w:pos="1843"/>
              </w:tabs>
              <w:rPr>
                <w:sz w:val="18"/>
                <w:szCs w:val="18"/>
                <w:lang w:val="de-DE" w:eastAsia="en-GB" w:bidi="en-GB"/>
              </w:rPr>
            </w:pPr>
            <w:r w:rsidRPr="00DD2A86">
              <w:rPr>
                <w:sz w:val="18"/>
                <w:szCs w:val="18"/>
                <w:lang w:val="de-DE" w:eastAsia="en-GB" w:bidi="en-GB"/>
              </w:rPr>
              <w:t>Mit Wasserstoff und Brennstoffzellen betriebene Fahrzeuge</w:t>
            </w:r>
          </w:p>
        </w:tc>
      </w:tr>
      <w:tr w:rsidR="001E3657" w:rsidRPr="00E139A8" w:rsidTr="00413F50">
        <w:tc>
          <w:tcPr>
            <w:tcW w:w="3350" w:type="dxa"/>
          </w:tcPr>
          <w:p w:rsidR="001E3657" w:rsidRPr="00DD2A86" w:rsidRDefault="001E3657" w:rsidP="001E3657">
            <w:pPr>
              <w:tabs>
                <w:tab w:val="left" w:pos="1843"/>
              </w:tabs>
              <w:rPr>
                <w:sz w:val="18"/>
                <w:szCs w:val="18"/>
                <w:lang w:val="fr-CH" w:eastAsia="en-GB" w:bidi="en-GB"/>
              </w:rPr>
            </w:pPr>
            <w:r w:rsidRPr="00DD2A86">
              <w:rPr>
                <w:sz w:val="18"/>
                <w:szCs w:val="18"/>
                <w:lang w:val="fr-CH" w:eastAsia="en-GB" w:bidi="en-GB"/>
              </w:rPr>
              <w:t>CSA B51 Part 2:2014</w:t>
            </w:r>
          </w:p>
        </w:tc>
        <w:tc>
          <w:tcPr>
            <w:tcW w:w="3528" w:type="dxa"/>
          </w:tcPr>
          <w:p w:rsidR="001E3657" w:rsidRPr="00DD2A86" w:rsidRDefault="001E3657" w:rsidP="001E3657">
            <w:pPr>
              <w:tabs>
                <w:tab w:val="left" w:pos="1843"/>
              </w:tabs>
              <w:rPr>
                <w:sz w:val="18"/>
                <w:szCs w:val="18"/>
                <w:lang w:val="de-DE" w:eastAsia="en-GB" w:bidi="en-GB"/>
              </w:rPr>
            </w:pPr>
            <w:r w:rsidRPr="00DD2A86">
              <w:rPr>
                <w:sz w:val="18"/>
                <w:szCs w:val="18"/>
                <w:lang w:val="de-DE" w:eastAsia="en-GB" w:bidi="en-GB"/>
              </w:rPr>
              <w:t>Boiler, pressure vessel, and pressure piping code – Part 2: Requirements for high-pressure cylinders for on-board storage of fuels for automotive vehicles (Norm für Kessel, Druckbehälter und Druckrohrleitungen – Teil 2: Vorschriften für Hochdruckflaschen zur fahrzeuginternen Speicherung von Kraftstoffen für Kraftfahrzeuge)</w:t>
            </w:r>
          </w:p>
        </w:tc>
      </w:tr>
    </w:tbl>
    <w:p w:rsidR="001E3657" w:rsidRPr="00DD2A86" w:rsidRDefault="001E3657" w:rsidP="009042ED">
      <w:pPr>
        <w:spacing w:before="120" w:after="120"/>
        <w:ind w:left="1138"/>
        <w:jc w:val="both"/>
        <w:rPr>
          <w:iCs/>
          <w:lang w:val="de-DE"/>
        </w:rPr>
      </w:pPr>
      <w:r w:rsidRPr="00DD2A86">
        <w:rPr>
          <w:iCs/>
          <w:lang w:val="de-DE"/>
        </w:rPr>
        <w:t>Gasbehälter, die in Übereinstimmung mit früheren Ausgaben entsprechender Normen oder Vorschriften für Gasbehälter von Kraftfahrzeugen ausgelegt und gebaut wurden, die zum Zeitpunkt der Zulassung der Fahrzeuge, für welche die Gasbehälter ausgelegt und gebaut wurden, anwendbar waren, dürfen weiterhin befördert werden.</w:t>
      </w:r>
    </w:p>
    <w:p w:rsidR="001E3657" w:rsidRPr="00DD2A86" w:rsidRDefault="001E3657" w:rsidP="009042ED">
      <w:pPr>
        <w:spacing w:after="120"/>
        <w:ind w:left="1134"/>
        <w:jc w:val="both"/>
        <w:rPr>
          <w:iCs/>
          <w:lang w:val="de-DE"/>
        </w:rPr>
      </w:pPr>
      <w:r w:rsidRPr="00DD2A86">
        <w:rPr>
          <w:iCs/>
          <w:lang w:val="de-DE"/>
        </w:rPr>
        <w:t>b)</w:t>
      </w:r>
      <w:r w:rsidRPr="00DD2A86">
        <w:rPr>
          <w:iCs/>
          <w:lang w:val="de-DE"/>
        </w:rPr>
        <w:tab/>
        <w:t>Die Gasspeichersysteme sind dicht und weisen keine Zeichen äußerer Beschädigung auf, welche ihre Sicherheit beeinträchtigen könnte.</w:t>
      </w:r>
    </w:p>
    <w:p w:rsidR="001E3657" w:rsidRPr="00DD2A86" w:rsidRDefault="001E3657" w:rsidP="00F04668">
      <w:pPr>
        <w:spacing w:after="120"/>
        <w:ind w:left="2268" w:hanging="1134"/>
        <w:jc w:val="both"/>
        <w:rPr>
          <w:iCs/>
          <w:lang w:val="de-DE"/>
        </w:rPr>
      </w:pPr>
      <w:r w:rsidRPr="00DD2A86">
        <w:rPr>
          <w:b/>
          <w:iCs/>
          <w:lang w:val="de-DE"/>
        </w:rPr>
        <w:t>Bem.</w:t>
      </w:r>
      <w:r w:rsidRPr="00DD2A86">
        <w:rPr>
          <w:b/>
          <w:iCs/>
          <w:lang w:val="de-DE"/>
        </w:rPr>
        <w:tab/>
        <w:t>1.</w:t>
      </w:r>
      <w:r w:rsidRPr="00DD2A86">
        <w:rPr>
          <w:b/>
          <w:iCs/>
          <w:lang w:val="de-DE"/>
        </w:rPr>
        <w:tab/>
      </w:r>
      <w:r w:rsidRPr="00DD2A86">
        <w:rPr>
          <w:iCs/>
          <w:lang w:val="de-DE"/>
        </w:rPr>
        <w:t xml:space="preserve">Kriterien können der Norm ISO 11623:2015 </w:t>
      </w:r>
      <w:r w:rsidRPr="00DD2A86">
        <w:rPr>
          <w:bCs/>
          <w:iCs/>
          <w:lang w:val="de-DE"/>
        </w:rPr>
        <w:t>Gasflaschen – Verbundbauweise (Composite-Bauweise) – Wiederkehrende Inspektion und Prüfung</w:t>
      </w:r>
      <w:r w:rsidRPr="00DD2A86">
        <w:rPr>
          <w:iCs/>
          <w:lang w:val="de-DE"/>
        </w:rPr>
        <w:t xml:space="preserve"> (oder ISO 19078:2013 Gasflaschen – Prüfung der Flascheninstallation und Wiederholungsprüfung von Gashochdruck-Flaschen zum Mitführen für den Brennstoff bei erdgasbetriebenen Fahrzeugen) entnommen werden.</w:t>
      </w:r>
    </w:p>
    <w:p w:rsidR="001E3657" w:rsidRPr="00DD2A86" w:rsidRDefault="001E3657" w:rsidP="00F04668">
      <w:pPr>
        <w:spacing w:after="120"/>
        <w:ind w:left="2268"/>
        <w:jc w:val="both"/>
        <w:rPr>
          <w:iCs/>
          <w:lang w:val="de-DE"/>
        </w:rPr>
      </w:pPr>
      <w:r w:rsidRPr="00DD2A86">
        <w:rPr>
          <w:b/>
          <w:iCs/>
          <w:lang w:val="de-DE"/>
        </w:rPr>
        <w:t>2.</w:t>
      </w:r>
      <w:r w:rsidRPr="00DD2A86">
        <w:rPr>
          <w:iCs/>
          <w:lang w:val="de-DE"/>
        </w:rPr>
        <w:tab/>
        <w:t xml:space="preserve">Wenn die Gasspeichersysteme nicht dicht oder überfüllt sind oder Beschädigungen aufweisen, die ihre Sicherheit beeinträchtigen könnten (z. B. im Falle eines sicherheitstechnischen Rückrufs), dürfen sie nur in Bergungsdruckgefäßen gemäß </w:t>
      </w:r>
      <w:r w:rsidRPr="00DD2A86">
        <w:rPr>
          <w:lang w:val="de-DE"/>
        </w:rPr>
        <w:t>ADN</w:t>
      </w:r>
      <w:r w:rsidRPr="00DD2A86">
        <w:rPr>
          <w:iCs/>
          <w:lang w:val="de-DE"/>
        </w:rPr>
        <w:t xml:space="preserve"> befördert werden.</w:t>
      </w:r>
    </w:p>
    <w:p w:rsidR="001E3657" w:rsidRPr="00DD2A86" w:rsidRDefault="001E3657" w:rsidP="009042ED">
      <w:pPr>
        <w:spacing w:after="120"/>
        <w:ind w:left="1134"/>
        <w:jc w:val="both"/>
        <w:rPr>
          <w:iCs/>
          <w:lang w:val="de-DE"/>
        </w:rPr>
      </w:pPr>
      <w:r w:rsidRPr="00DD2A86">
        <w:rPr>
          <w:iCs/>
          <w:lang w:val="de-DE"/>
        </w:rPr>
        <w:t>c)</w:t>
      </w:r>
      <w:r w:rsidRPr="00DD2A86">
        <w:rPr>
          <w:iCs/>
          <w:lang w:val="de-DE"/>
        </w:rPr>
        <w:tab/>
        <w:t>Wenn das Gasspeichersystem mit mindestens zwei hintereinander eingebauten Ventilen ausgerüstet ist, sind die beiden Ventile so verschlossen, dass sie unter normalen Beförderungsbedingungen gasdicht sind. Wenn nur ein Ventil vorhanden oder funktionsfähig ist, sind alle Öffnungen mit Ausnahme der Öffnung der Druckentlastungseinrichtung so verschlossen, dass sie unter normalen Beförderungsbedingungen gasdicht sind.</w:t>
      </w:r>
    </w:p>
    <w:p w:rsidR="001E3657" w:rsidRPr="00DD2A86" w:rsidRDefault="001E3657" w:rsidP="009042ED">
      <w:pPr>
        <w:spacing w:after="120"/>
        <w:ind w:left="1134"/>
        <w:jc w:val="both"/>
        <w:rPr>
          <w:iCs/>
          <w:lang w:val="de-DE"/>
        </w:rPr>
      </w:pPr>
      <w:r w:rsidRPr="00DD2A86">
        <w:rPr>
          <w:iCs/>
          <w:lang w:val="de-DE"/>
        </w:rPr>
        <w:t>d)</w:t>
      </w:r>
      <w:r w:rsidRPr="00DD2A86">
        <w:rPr>
          <w:iCs/>
          <w:lang w:val="de-DE"/>
        </w:rPr>
        <w:tab/>
        <w:t>Die Gasspeichersysteme werden so befördert, dass eine Behinderung der Druckentlastungseinrichtung oder eine Beschädigung der Ventile und aller übrigen unter Druck stehenden Teile der Gasspeichersysteme und ein unbeabsichtigtes Freiwerden des Gases unter normalen Beförderungsbedingungen verhindert werden. Die Gasspeichersysteme sind gegen Verrutschen, Rollen oder vertikale Bewegung gesichert.</w:t>
      </w:r>
    </w:p>
    <w:p w:rsidR="001E3657" w:rsidRPr="00DD2A86" w:rsidRDefault="001E3657" w:rsidP="009042ED">
      <w:pPr>
        <w:spacing w:after="120"/>
        <w:ind w:left="1134"/>
        <w:jc w:val="both"/>
        <w:rPr>
          <w:iCs/>
          <w:lang w:val="de-DE"/>
        </w:rPr>
      </w:pPr>
      <w:r w:rsidRPr="00DD2A86">
        <w:rPr>
          <w:iCs/>
          <w:lang w:val="de-DE"/>
        </w:rPr>
        <w:t>e)</w:t>
      </w:r>
      <w:r w:rsidRPr="00DD2A86">
        <w:rPr>
          <w:iCs/>
          <w:lang w:val="de-DE"/>
        </w:rPr>
        <w:tab/>
        <w:t>Die Ventile sind in Übereinstimmung mit einer der in Unterabschnitt 4.1.6.8 a) bis e) des ADR beschriebenen Methoden geschützt.</w:t>
      </w:r>
    </w:p>
    <w:p w:rsidR="001E3657" w:rsidRPr="00DD2A86" w:rsidRDefault="001E3657" w:rsidP="009042ED">
      <w:pPr>
        <w:spacing w:after="120"/>
        <w:ind w:left="1134"/>
        <w:jc w:val="both"/>
        <w:rPr>
          <w:b/>
          <w:iCs/>
          <w:lang w:val="de-DE"/>
        </w:rPr>
      </w:pPr>
      <w:r w:rsidRPr="00DD2A86">
        <w:rPr>
          <w:iCs/>
          <w:lang w:val="de-DE"/>
        </w:rPr>
        <w:t>f)</w:t>
      </w:r>
      <w:r w:rsidRPr="00DD2A86">
        <w:rPr>
          <w:iCs/>
          <w:lang w:val="de-DE"/>
        </w:rPr>
        <w:tab/>
        <w:t>Die Gasspeichersysteme, ausgenommen solche, die zur Entsorgung, zum Recycling, zur Reparatur, zur Prüfung oder zur Wartung ausgebaut wurden, sind nicht zu mehr als 20 % ihres nominalen Füllungsgrades bzw. ihres nominalen Betriebsdrucks befüllt.</w:t>
      </w:r>
    </w:p>
    <w:p w:rsidR="001E3657" w:rsidRPr="00DD2A86" w:rsidRDefault="001E3657" w:rsidP="009042ED">
      <w:pPr>
        <w:spacing w:after="120"/>
        <w:ind w:left="1134"/>
        <w:jc w:val="both"/>
        <w:rPr>
          <w:iCs/>
          <w:lang w:val="de-DE"/>
        </w:rPr>
      </w:pPr>
      <w:r w:rsidRPr="00DD2A86">
        <w:rPr>
          <w:iCs/>
          <w:lang w:val="de-DE"/>
        </w:rPr>
        <w:t>g)</w:t>
      </w:r>
      <w:r w:rsidRPr="00DD2A86">
        <w:rPr>
          <w:iCs/>
          <w:lang w:val="de-DE"/>
        </w:rPr>
        <w:tab/>
        <w:t>Sofern die Gasspeichersysteme in einer Handhabungseinrichtung versandt werden, dürfen die Kennzeichen und Gefahrzettel ungeachtet der Vorschriften des Kapitels 5.2 auf der Handhabungseinrichtung angebracht werden.</w:t>
      </w:r>
    </w:p>
    <w:p w:rsidR="001E3657" w:rsidRPr="00DD2A86" w:rsidRDefault="001E3657" w:rsidP="009042ED">
      <w:pPr>
        <w:spacing w:after="120"/>
        <w:ind w:left="1134"/>
        <w:jc w:val="both"/>
        <w:rPr>
          <w:iCs/>
          <w:lang w:val="de-DE"/>
        </w:rPr>
      </w:pPr>
      <w:r w:rsidRPr="00DD2A86">
        <w:rPr>
          <w:iCs/>
          <w:lang w:val="de-DE"/>
        </w:rPr>
        <w:t>h)</w:t>
      </w:r>
      <w:r w:rsidRPr="00DD2A86">
        <w:rPr>
          <w:iCs/>
          <w:lang w:val="de-DE"/>
        </w:rPr>
        <w:tab/>
        <w:t>Ungeachtet der Vorschriften des Absatzes 5.4.1.1.1 f) darf die Angabe der Gesamtmenge der gefährlichen Güter durch folgende Angaben ersetzt werden:</w:t>
      </w:r>
    </w:p>
    <w:p w:rsidR="001E3657" w:rsidRPr="00DD2A86" w:rsidRDefault="001E3657" w:rsidP="009042ED">
      <w:pPr>
        <w:spacing w:after="120"/>
        <w:ind w:left="1134" w:firstLine="567"/>
        <w:jc w:val="both"/>
        <w:rPr>
          <w:iCs/>
          <w:lang w:val="de-DE"/>
        </w:rPr>
      </w:pPr>
      <w:r w:rsidRPr="00DD2A86">
        <w:rPr>
          <w:iCs/>
          <w:lang w:val="de-DE"/>
        </w:rPr>
        <w:t>(i)</w:t>
      </w:r>
      <w:r w:rsidRPr="00DD2A86">
        <w:rPr>
          <w:iCs/>
          <w:lang w:val="de-DE"/>
        </w:rPr>
        <w:tab/>
        <w:t>die Anzahl der Gasspeichersysteme und</w:t>
      </w:r>
    </w:p>
    <w:p w:rsidR="001E3657" w:rsidRPr="00DD2A86" w:rsidRDefault="001E3657" w:rsidP="009042ED">
      <w:pPr>
        <w:spacing w:after="120"/>
        <w:ind w:left="1701"/>
        <w:jc w:val="both"/>
        <w:rPr>
          <w:iCs/>
          <w:lang w:val="de-DE"/>
        </w:rPr>
      </w:pPr>
      <w:r w:rsidRPr="00DD2A86">
        <w:rPr>
          <w:iCs/>
          <w:lang w:val="de-DE"/>
        </w:rPr>
        <w:t>(ii)</w:t>
      </w:r>
      <w:r w:rsidRPr="00DD2A86">
        <w:rPr>
          <w:iCs/>
          <w:lang w:val="de-DE"/>
        </w:rPr>
        <w:tab/>
        <w:t>bei verflüssigten Gasen die gesamte Nettomasse (kg) des Gases jedes Gasspeichersystems und bei verdichteten Gasen der gesamte mit Wasser ausgeliterte Fassungsraum (l) jedes Gasspeichersystems, dem der nominale Betriebsdruck nachgestellt ist.</w:t>
      </w:r>
    </w:p>
    <w:p w:rsidR="001E3657" w:rsidRPr="00DD2A86" w:rsidRDefault="001E3657" w:rsidP="009042ED">
      <w:pPr>
        <w:spacing w:after="120"/>
        <w:ind w:left="1134" w:firstLine="567"/>
        <w:jc w:val="both"/>
        <w:rPr>
          <w:iCs/>
          <w:lang w:val="de-DE"/>
        </w:rPr>
      </w:pPr>
      <w:r w:rsidRPr="00DD2A86">
        <w:rPr>
          <w:iCs/>
          <w:lang w:val="de-DE"/>
        </w:rPr>
        <w:t>Beispiele für die Angaben im Beförderungspapier:</w:t>
      </w:r>
    </w:p>
    <w:p w:rsidR="001E3657" w:rsidRPr="00DD2A86" w:rsidRDefault="001E3657" w:rsidP="009042ED">
      <w:pPr>
        <w:suppressAutoHyphens w:val="0"/>
        <w:spacing w:line="240" w:lineRule="auto"/>
        <w:ind w:left="2835" w:hanging="1134"/>
        <w:jc w:val="both"/>
        <w:rPr>
          <w:iCs/>
          <w:color w:val="000000"/>
          <w:lang w:val="de-DE" w:eastAsia="de-DE"/>
        </w:rPr>
      </w:pPr>
      <w:r w:rsidRPr="00DD2A86">
        <w:rPr>
          <w:iCs/>
          <w:color w:val="000000"/>
          <w:lang w:val="de-DE" w:eastAsia="de-DE"/>
        </w:rPr>
        <w:t>Beispiel 1:</w:t>
      </w:r>
      <w:r w:rsidRPr="00DD2A86">
        <w:rPr>
          <w:iCs/>
          <w:color w:val="000000"/>
          <w:lang w:val="de-DE" w:eastAsia="de-DE"/>
        </w:rPr>
        <w:tab/>
        <w:t xml:space="preserve">„UN 1971 </w:t>
      </w:r>
      <w:r w:rsidRPr="00DD2A86">
        <w:rPr>
          <w:iCs/>
          <w:caps/>
          <w:color w:val="000000"/>
          <w:lang w:val="de-DE" w:eastAsia="de-DE"/>
        </w:rPr>
        <w:t>Erdgas, verdichtet, 2.1, 1 Gasspeichersystem mit insgesamt 50 l, 200 bar“</w:t>
      </w:r>
      <w:r w:rsidRPr="00DD2A86">
        <w:rPr>
          <w:iCs/>
          <w:color w:val="000000"/>
          <w:lang w:val="de-DE" w:eastAsia="de-DE"/>
        </w:rPr>
        <w:t>.</w:t>
      </w:r>
    </w:p>
    <w:p w:rsidR="001E3657" w:rsidRPr="00DD2A86" w:rsidRDefault="001E3657" w:rsidP="009042ED">
      <w:pPr>
        <w:suppressAutoHyphens w:val="0"/>
        <w:spacing w:before="120" w:line="240" w:lineRule="auto"/>
        <w:ind w:left="2835" w:hanging="1134"/>
        <w:jc w:val="both"/>
        <w:rPr>
          <w:iCs/>
          <w:color w:val="000000"/>
          <w:lang w:val="de-DE" w:eastAsia="de-DE"/>
        </w:rPr>
      </w:pPr>
      <w:r w:rsidRPr="00DD2A86">
        <w:rPr>
          <w:iCs/>
          <w:color w:val="000000"/>
          <w:lang w:val="de-DE" w:eastAsia="de-DE"/>
        </w:rPr>
        <w:t>Beispiel 2:</w:t>
      </w:r>
      <w:r w:rsidRPr="00DD2A86">
        <w:rPr>
          <w:iCs/>
          <w:color w:val="000000"/>
          <w:lang w:val="de-DE" w:eastAsia="de-DE"/>
        </w:rPr>
        <w:tab/>
        <w:t xml:space="preserve">„UN 1965 </w:t>
      </w:r>
      <w:r w:rsidRPr="00DD2A86">
        <w:rPr>
          <w:iCs/>
          <w:caps/>
          <w:color w:val="000000"/>
          <w:lang w:val="de-DE" w:eastAsia="de-DE"/>
        </w:rPr>
        <w:t>kohlenwasserstoffgas, gemisch, verflüssigt, n.a.g., 2.1, 3 Gasspeichersysteme mit einer NETTOmasse des gases von jeweils 15 KG“</w:t>
      </w:r>
      <w:r w:rsidRPr="00DD2A86">
        <w:rPr>
          <w:iCs/>
          <w:color w:val="000000"/>
          <w:lang w:val="de-DE" w:eastAsia="de-DE"/>
        </w:rPr>
        <w:t>.“.</w:t>
      </w:r>
    </w:p>
    <w:p w:rsidR="00EB786C" w:rsidRPr="00DD2A86" w:rsidRDefault="00EB786C" w:rsidP="009042ED">
      <w:pPr>
        <w:tabs>
          <w:tab w:val="left" w:pos="1843"/>
          <w:tab w:val="left" w:pos="2268"/>
          <w:tab w:val="left" w:pos="4395"/>
        </w:tabs>
        <w:suppressAutoHyphens w:val="0"/>
        <w:spacing w:before="120" w:line="240" w:lineRule="auto"/>
        <w:ind w:left="2268" w:hanging="1134"/>
        <w:jc w:val="both"/>
        <w:rPr>
          <w:color w:val="000000"/>
          <w:lang w:val="de-DE" w:eastAsia="de-DE"/>
        </w:rPr>
      </w:pPr>
      <w:r w:rsidRPr="00DD2A86">
        <w:rPr>
          <w:color w:val="000000"/>
          <w:lang w:val="de-DE" w:eastAsia="de-DE"/>
        </w:rPr>
        <w:t>„</w:t>
      </w:r>
      <w:r w:rsidRPr="00DD2A86">
        <w:rPr>
          <w:b/>
          <w:color w:val="000000"/>
          <w:lang w:val="de-DE" w:eastAsia="de-DE"/>
        </w:rPr>
        <w:t>670</w:t>
      </w:r>
      <w:r w:rsidRPr="00DD2A86">
        <w:rPr>
          <w:color w:val="000000"/>
          <w:lang w:val="de-DE" w:eastAsia="de-DE"/>
        </w:rPr>
        <w:tab/>
        <w:t>a)</w:t>
      </w:r>
      <w:r w:rsidRPr="00DD2A86">
        <w:rPr>
          <w:color w:val="000000"/>
          <w:lang w:val="de-DE" w:eastAsia="de-DE"/>
        </w:rPr>
        <w:tab/>
        <w:t>Lithiumzellen und -batterien, die in Geräten von privaten Haushalten enthalten sind und die zur Beseitigung von Schadstoffen, zur Demontage, zum Recycling oder zur Entsorgung gesammelt und zur Beförderung aufgegeben werden, unterliegen nicht den übrigen Vorschriften des ADN, einschließlich der Sondervorschrift 376 und des Absatzes 2.2.9.1.7, wenn</w:t>
      </w:r>
    </w:p>
    <w:p w:rsidR="00EB786C" w:rsidRPr="00DD2A86" w:rsidRDefault="00EB786C" w:rsidP="009042ED">
      <w:pPr>
        <w:tabs>
          <w:tab w:val="left" w:pos="4395"/>
        </w:tabs>
        <w:suppressAutoHyphens w:val="0"/>
        <w:spacing w:before="120" w:line="240" w:lineRule="auto"/>
        <w:ind w:left="2694" w:hanging="426"/>
        <w:jc w:val="both"/>
        <w:rPr>
          <w:color w:val="000000"/>
          <w:lang w:val="de-DE" w:eastAsia="de-DE"/>
        </w:rPr>
      </w:pPr>
      <w:r w:rsidRPr="00DD2A86">
        <w:rPr>
          <w:color w:val="000000"/>
          <w:lang w:val="de-DE" w:eastAsia="de-DE"/>
        </w:rPr>
        <w:t>(i)</w:t>
      </w:r>
      <w:r w:rsidRPr="00DD2A86">
        <w:rPr>
          <w:color w:val="000000"/>
          <w:lang w:val="de-DE" w:eastAsia="de-DE"/>
        </w:rPr>
        <w:tab/>
        <w:t>sie nicht die Hauptenergiequelle für den Betrieb des Geräts darstellen, in dem sie enthalten sind,</w:t>
      </w:r>
    </w:p>
    <w:p w:rsidR="00EB786C" w:rsidRPr="00DD2A86" w:rsidRDefault="00EB786C" w:rsidP="009042ED">
      <w:pPr>
        <w:tabs>
          <w:tab w:val="left" w:pos="4395"/>
        </w:tabs>
        <w:suppressAutoHyphens w:val="0"/>
        <w:spacing w:before="120" w:line="240" w:lineRule="auto"/>
        <w:ind w:left="2694" w:hanging="426"/>
        <w:jc w:val="both"/>
        <w:rPr>
          <w:color w:val="000000"/>
          <w:lang w:val="de-DE" w:eastAsia="de-DE"/>
        </w:rPr>
      </w:pPr>
      <w:r w:rsidRPr="00DD2A86">
        <w:rPr>
          <w:color w:val="000000"/>
          <w:lang w:val="de-DE" w:eastAsia="de-DE"/>
        </w:rPr>
        <w:t>(ii)</w:t>
      </w:r>
      <w:r w:rsidRPr="00DD2A86">
        <w:rPr>
          <w:color w:val="000000"/>
          <w:lang w:val="de-DE" w:eastAsia="de-DE"/>
        </w:rPr>
        <w:tab/>
        <w:t xml:space="preserve">das Gerät, in dem sie enthalten sind, keine anderen Lithiumzellen oder </w:t>
      </w:r>
      <w:r w:rsidRPr="00DD2A86">
        <w:rPr>
          <w:color w:val="000000"/>
          <w:lang w:val="de-DE" w:eastAsia="de-DE"/>
        </w:rPr>
        <w:br/>
        <w:t>-batterien enthält, die als Hauptenergiequelle verwendet werden, und</w:t>
      </w:r>
    </w:p>
    <w:p w:rsidR="00EB786C" w:rsidRPr="00DD2A86" w:rsidRDefault="00EB786C" w:rsidP="009042ED">
      <w:pPr>
        <w:tabs>
          <w:tab w:val="left" w:pos="4395"/>
        </w:tabs>
        <w:suppressAutoHyphens w:val="0"/>
        <w:spacing w:before="120" w:line="240" w:lineRule="auto"/>
        <w:ind w:left="2694" w:hanging="426"/>
        <w:jc w:val="both"/>
        <w:rPr>
          <w:color w:val="000000"/>
          <w:lang w:val="de-DE" w:eastAsia="de-DE"/>
        </w:rPr>
      </w:pPr>
      <w:r w:rsidRPr="00DD2A86">
        <w:rPr>
          <w:color w:val="000000"/>
          <w:lang w:val="de-DE" w:eastAsia="de-DE"/>
        </w:rPr>
        <w:t>(iii)</w:t>
      </w:r>
      <w:r w:rsidRPr="00DD2A86">
        <w:rPr>
          <w:color w:val="000000"/>
          <w:lang w:val="de-DE" w:eastAsia="de-DE"/>
        </w:rPr>
        <w:tab/>
        <w:t>sie durch das Gerät geschützt werden, in dem sie enthalten sind.</w:t>
      </w:r>
    </w:p>
    <w:p w:rsidR="00EB786C" w:rsidRPr="00DD2A86" w:rsidRDefault="00EB786C" w:rsidP="009042ED">
      <w:pPr>
        <w:tabs>
          <w:tab w:val="left" w:pos="4395"/>
        </w:tabs>
        <w:suppressAutoHyphens w:val="0"/>
        <w:spacing w:before="120" w:line="240" w:lineRule="auto"/>
        <w:ind w:left="1843"/>
        <w:jc w:val="both"/>
        <w:rPr>
          <w:color w:val="000000"/>
          <w:lang w:val="de-DE" w:eastAsia="de-DE"/>
        </w:rPr>
      </w:pPr>
      <w:r w:rsidRPr="00DD2A86">
        <w:rPr>
          <w:color w:val="000000"/>
          <w:lang w:val="de-DE" w:eastAsia="de-DE"/>
        </w:rPr>
        <w:t>Beispiele von Zellen und Batterien, die unter diesen Absatz fallen, sind Knopfzellen, die für die Datensicherheit in Haushaltsgeräten (z. B. Kühlschränke, Waschmaschinen, Geschirrspüler) oder in anderen elektrischen oder elektronischen Geräten verwendet werden.</w:t>
      </w:r>
    </w:p>
    <w:p w:rsidR="00EB786C" w:rsidRPr="00DD2A86" w:rsidRDefault="00EB786C" w:rsidP="009042ED">
      <w:pPr>
        <w:tabs>
          <w:tab w:val="left" w:pos="4395"/>
        </w:tabs>
        <w:suppressAutoHyphens w:val="0"/>
        <w:spacing w:before="120" w:line="240" w:lineRule="auto"/>
        <w:ind w:left="2268" w:hanging="425"/>
        <w:jc w:val="both"/>
        <w:rPr>
          <w:color w:val="000000"/>
          <w:lang w:val="de-DE" w:eastAsia="de-DE"/>
        </w:rPr>
      </w:pPr>
      <w:r w:rsidRPr="00DD2A86">
        <w:rPr>
          <w:color w:val="000000"/>
          <w:lang w:val="de-DE" w:eastAsia="de-DE"/>
        </w:rPr>
        <w:t>b)</w:t>
      </w:r>
      <w:r w:rsidRPr="00DD2A86">
        <w:rPr>
          <w:color w:val="000000"/>
          <w:lang w:val="de-DE" w:eastAsia="de-DE"/>
        </w:rPr>
        <w:tab/>
        <w:t xml:space="preserve">Bis zur Zwischenverarbeitungsstelle unterliegen Lithiumzellen und -batterien, die in Geräten von privaten Haushalten enthalten sind, die die Vorschriften des Absatzes a) nicht erfüllen und die zur Beseitigung von Schadstoffen, zur Demontage, zum Recycling oder zur Entsorgung gesammelt und zur Beförderung aufgegeben werden, nicht den übrigen Vorschriften des </w:t>
      </w:r>
      <w:r w:rsidRPr="00DD2A86">
        <w:rPr>
          <w:lang w:val="de-DE" w:eastAsia="de-DE"/>
        </w:rPr>
        <w:t>ADN</w:t>
      </w:r>
      <w:r w:rsidRPr="00DD2A86">
        <w:rPr>
          <w:color w:val="000000"/>
          <w:lang w:val="de-DE" w:eastAsia="de-DE"/>
        </w:rPr>
        <w:t>, einschließlich der Sondervorschrift 376 und des Absatzes 2.2.9.1.7, wenn folgende Bedingungen erfüllt werden:</w:t>
      </w:r>
    </w:p>
    <w:p w:rsidR="00EB786C" w:rsidRPr="00DD2A86" w:rsidRDefault="00EB786C" w:rsidP="009042ED">
      <w:pPr>
        <w:tabs>
          <w:tab w:val="left" w:pos="4395"/>
        </w:tabs>
        <w:suppressAutoHyphens w:val="0"/>
        <w:spacing w:before="120" w:line="240" w:lineRule="auto"/>
        <w:ind w:left="2694" w:hanging="426"/>
        <w:jc w:val="both"/>
        <w:rPr>
          <w:color w:val="000000"/>
          <w:lang w:val="de-DE" w:eastAsia="de-DE"/>
        </w:rPr>
      </w:pPr>
      <w:r w:rsidRPr="00DD2A86">
        <w:rPr>
          <w:color w:val="000000"/>
          <w:lang w:val="de-DE" w:eastAsia="de-DE"/>
        </w:rPr>
        <w:t>(i)</w:t>
      </w:r>
      <w:r w:rsidRPr="00DD2A86">
        <w:rPr>
          <w:color w:val="000000"/>
          <w:lang w:val="de-DE" w:eastAsia="de-DE"/>
        </w:rPr>
        <w:tab/>
        <w:t>Die Geräte sind in Übereinstimmung mit der Verpackungsanweisung P 909 des Unterabschnitts 4.1.4.1 des ADR mit Ausnahme der zusätzlichen Vorschriften 1 und 2 verpackt oder sie sind in widerstandsfähigen Außenverpackungen, z. B. besonders ausgelegte Sammelbehälter, verpackt, welche die folgenden Vorschriften erfüllen:</w:t>
      </w:r>
    </w:p>
    <w:p w:rsidR="00EB786C" w:rsidRPr="00DD2A86" w:rsidRDefault="00EB786C" w:rsidP="009042ED">
      <w:pPr>
        <w:suppressAutoHyphens w:val="0"/>
        <w:spacing w:before="120" w:line="240" w:lineRule="auto"/>
        <w:ind w:left="2977" w:hanging="283"/>
        <w:jc w:val="both"/>
        <w:rPr>
          <w:color w:val="000000"/>
          <w:lang w:val="de-DE" w:eastAsia="de-DE"/>
        </w:rPr>
      </w:pPr>
      <w:r w:rsidRPr="00DD2A86">
        <w:rPr>
          <w:color w:val="000000"/>
          <w:lang w:val="de-DE" w:eastAsia="de-DE"/>
        </w:rPr>
        <w:t>–</w:t>
      </w:r>
      <w:r w:rsidRPr="00DD2A86">
        <w:rPr>
          <w:color w:val="000000"/>
          <w:lang w:val="de-DE" w:eastAsia="de-DE"/>
        </w:rPr>
        <w:tab/>
        <w:t>Die Verpackungen müssen aus einem geeigneten Werkstoff hergestellt sein und in Bezug auf den Fassungsraum der Verpackung und die beabsichtigte Verwendung der Verpackung ausreichend stark und dimensioniert sein. Die Verpackungen müssen die Vorschriften des Unterabschnitts 4.1.1.3 des ADR nicht erfüllen.</w:t>
      </w:r>
    </w:p>
    <w:p w:rsidR="00EB786C" w:rsidRPr="00DD2A86" w:rsidRDefault="00EB786C" w:rsidP="009042ED">
      <w:pPr>
        <w:suppressAutoHyphens w:val="0"/>
        <w:spacing w:before="120" w:line="240" w:lineRule="auto"/>
        <w:ind w:left="2977" w:hanging="283"/>
        <w:jc w:val="both"/>
        <w:rPr>
          <w:color w:val="000000"/>
          <w:lang w:val="de-DE" w:eastAsia="de-DE"/>
        </w:rPr>
      </w:pPr>
      <w:r w:rsidRPr="00DD2A86">
        <w:rPr>
          <w:color w:val="000000"/>
          <w:lang w:val="de-DE" w:eastAsia="de-DE"/>
        </w:rPr>
        <w:t>–</w:t>
      </w:r>
      <w:r w:rsidRPr="00DD2A86">
        <w:rPr>
          <w:color w:val="000000"/>
          <w:lang w:val="de-DE" w:eastAsia="de-DE"/>
        </w:rPr>
        <w:tab/>
        <w:t>Es müssen geeignete Maßnahmen ergriffen werden, um Beschädigungen der Geräte beim Befüllen oder Handhaben der Verpackung, z. B. durch die Verwendung von Gummimatten, zu minimieren.</w:t>
      </w:r>
    </w:p>
    <w:p w:rsidR="00EB786C" w:rsidRPr="00DD2A86" w:rsidRDefault="00EB786C" w:rsidP="009042ED">
      <w:pPr>
        <w:suppressAutoHyphens w:val="0"/>
        <w:spacing w:before="120" w:line="240" w:lineRule="auto"/>
        <w:ind w:left="2977" w:hanging="283"/>
        <w:jc w:val="both"/>
        <w:rPr>
          <w:color w:val="000000"/>
          <w:lang w:val="de-DE" w:eastAsia="de-DE"/>
        </w:rPr>
      </w:pPr>
      <w:r w:rsidRPr="00DD2A86">
        <w:rPr>
          <w:color w:val="000000"/>
          <w:lang w:val="de-DE" w:eastAsia="de-DE"/>
        </w:rPr>
        <w:t>–</w:t>
      </w:r>
      <w:r w:rsidRPr="00DD2A86">
        <w:rPr>
          <w:color w:val="000000"/>
          <w:lang w:val="de-DE" w:eastAsia="de-DE"/>
        </w:rPr>
        <w:tab/>
        <w:t>Die Verpackungen müssen so hergestellt und verschlossen sein, dass ein Verlust von Ladegut während der Beförderung verhindert wird, z. B. durch Deckel, widerstandsfähige Innenauskleidungen, Abdeckungen für die Beförderung. Öffnungen, die für das Befüllen ausgelegt sind, sind zulässig, sofern sie so gebaut sind, dass ein Verlust von Ladegut verhindert wird.</w:t>
      </w:r>
    </w:p>
    <w:p w:rsidR="00EB786C" w:rsidRPr="00DD2A86" w:rsidRDefault="00EB786C" w:rsidP="009042ED">
      <w:pPr>
        <w:tabs>
          <w:tab w:val="left" w:pos="2977"/>
        </w:tabs>
        <w:suppressAutoHyphens w:val="0"/>
        <w:spacing w:before="120" w:line="240" w:lineRule="auto"/>
        <w:ind w:left="2977" w:hanging="709"/>
        <w:jc w:val="both"/>
        <w:rPr>
          <w:color w:val="000000"/>
          <w:lang w:val="de-DE" w:eastAsia="de-DE"/>
        </w:rPr>
      </w:pPr>
      <w:r w:rsidRPr="00DD2A86">
        <w:rPr>
          <w:color w:val="000000"/>
          <w:lang w:val="de-DE" w:eastAsia="de-DE"/>
        </w:rPr>
        <w:t>(ii)</w:t>
      </w:r>
      <w:r w:rsidRPr="00DD2A86">
        <w:rPr>
          <w:color w:val="000000"/>
          <w:lang w:val="de-DE" w:eastAsia="de-DE"/>
        </w:rPr>
        <w:tab/>
        <w:t>Es besteht ein Qualitätssicherungssystem, um sicherzustellen, dass die Gesamtmenge an Lithiumzellen und -batterien je Beförderungseinheit 333 kg nicht überschreitet.</w:t>
      </w:r>
    </w:p>
    <w:p w:rsidR="00EB786C" w:rsidRPr="00DD2A86" w:rsidRDefault="00EB786C" w:rsidP="009042ED">
      <w:pPr>
        <w:tabs>
          <w:tab w:val="left" w:pos="1418"/>
          <w:tab w:val="left" w:pos="4395"/>
        </w:tabs>
        <w:suppressAutoHyphens w:val="0"/>
        <w:spacing w:before="120" w:line="240" w:lineRule="auto"/>
        <w:ind w:left="3544" w:hanging="567"/>
        <w:jc w:val="both"/>
        <w:rPr>
          <w:color w:val="000000"/>
          <w:lang w:val="de-DE" w:eastAsia="de-DE"/>
        </w:rPr>
      </w:pPr>
      <w:r w:rsidRPr="00DD2A86">
        <w:rPr>
          <w:b/>
          <w:color w:val="000000"/>
          <w:lang w:val="de-DE" w:eastAsia="de-DE"/>
        </w:rPr>
        <w:t>Bem.</w:t>
      </w:r>
      <w:r w:rsidRPr="00DD2A86">
        <w:rPr>
          <w:color w:val="000000"/>
          <w:lang w:val="de-DE" w:eastAsia="de-DE"/>
        </w:rPr>
        <w:tab/>
        <w:t>Die Gesamtmenge an Lithiumzellen und -batterien in Geräten von privaten Haushalten darf anhand einer im Qualitätssicherungssystem enthaltenen statistischen Methode abgeschätzt werden. Eine Kopie der Qualitätssicherungsaufzeichnungen muss der zuständigen Behörde auf Anforderung zur Verfügung gestellt werden.</w:t>
      </w:r>
    </w:p>
    <w:p w:rsidR="00EB786C" w:rsidRPr="00DD2A86" w:rsidRDefault="00EB786C" w:rsidP="009042ED">
      <w:pPr>
        <w:tabs>
          <w:tab w:val="left" w:pos="4395"/>
        </w:tabs>
        <w:suppressAutoHyphens w:val="0"/>
        <w:spacing w:before="120" w:line="240" w:lineRule="auto"/>
        <w:ind w:left="2694" w:hanging="426"/>
        <w:jc w:val="both"/>
        <w:rPr>
          <w:color w:val="000000"/>
          <w:lang w:val="de-DE" w:eastAsia="de-DE"/>
        </w:rPr>
      </w:pPr>
      <w:r w:rsidRPr="00DD2A86">
        <w:rPr>
          <w:color w:val="000000"/>
          <w:lang w:val="de-DE" w:eastAsia="de-DE"/>
        </w:rPr>
        <w:t>(iii)</w:t>
      </w:r>
      <w:r w:rsidRPr="00DD2A86">
        <w:rPr>
          <w:color w:val="000000"/>
          <w:lang w:val="de-DE" w:eastAsia="de-DE"/>
        </w:rPr>
        <w:tab/>
        <w:t>Die Versandstücke sind wie folgt gekennzeichnet:</w:t>
      </w:r>
    </w:p>
    <w:p w:rsidR="00EB786C" w:rsidRPr="00DD2A86" w:rsidRDefault="00EB786C" w:rsidP="009042ED">
      <w:pPr>
        <w:tabs>
          <w:tab w:val="left" w:pos="1418"/>
          <w:tab w:val="left" w:pos="2977"/>
          <w:tab w:val="left" w:pos="4395"/>
        </w:tabs>
        <w:suppressAutoHyphens w:val="0"/>
        <w:spacing w:before="120" w:line="240" w:lineRule="auto"/>
        <w:ind w:left="2694"/>
        <w:jc w:val="both"/>
        <w:rPr>
          <w:color w:val="000000"/>
          <w:lang w:val="de-DE" w:eastAsia="de-DE"/>
        </w:rPr>
      </w:pPr>
      <w:r w:rsidRPr="00DD2A86">
        <w:rPr>
          <w:color w:val="000000"/>
          <w:lang w:val="de-DE" w:eastAsia="de-DE"/>
        </w:rPr>
        <w:t>„LITHIUMBATTERIEN ZUR ENTSORGUNG“ bzw. „LITHIUMBATTERIEN ZUM RECYCLING“.</w:t>
      </w:r>
    </w:p>
    <w:p w:rsidR="00EB786C" w:rsidRPr="00DD2A86" w:rsidRDefault="00EB786C" w:rsidP="009042ED">
      <w:pPr>
        <w:tabs>
          <w:tab w:val="left" w:pos="1418"/>
          <w:tab w:val="left" w:pos="4395"/>
        </w:tabs>
        <w:suppressAutoHyphens w:val="0"/>
        <w:spacing w:before="120" w:line="240" w:lineRule="auto"/>
        <w:ind w:left="2694"/>
        <w:jc w:val="both"/>
        <w:rPr>
          <w:lang w:val="de-DE" w:eastAsia="de-DE"/>
        </w:rPr>
      </w:pPr>
      <w:r w:rsidRPr="00DD2A86">
        <w:rPr>
          <w:color w:val="000000"/>
          <w:lang w:val="de-DE" w:eastAsia="de-DE"/>
        </w:rPr>
        <w:t xml:space="preserve">Wenn Geräte, die Lithiumzellen oder -batterien enthalten, in Übereinstimmung mit der Verpackungsanweisung P 909 (3) des Unterabschnitts 4.1.4.1 des ADR unverpackt oder auf Paletten befördert werden, darf </w:t>
      </w:r>
      <w:r w:rsidRPr="00DD2A86">
        <w:rPr>
          <w:lang w:val="de-DE" w:eastAsia="de-DE"/>
        </w:rPr>
        <w:t>dieses Kennzeichen alternativ auf der äußeren Oberfläche von Fahrzeugen, Wagen oder Containern angebracht werden.</w:t>
      </w:r>
    </w:p>
    <w:p w:rsidR="00EB786C" w:rsidRPr="00DD2A86" w:rsidRDefault="00EB786C" w:rsidP="009042ED">
      <w:pPr>
        <w:tabs>
          <w:tab w:val="left" w:pos="1418"/>
          <w:tab w:val="left" w:pos="4395"/>
        </w:tabs>
        <w:suppressAutoHyphens w:val="0"/>
        <w:spacing w:before="120" w:line="240" w:lineRule="auto"/>
        <w:ind w:left="2410" w:hanging="567"/>
        <w:jc w:val="both"/>
        <w:rPr>
          <w:color w:val="000000"/>
          <w:lang w:val="de-DE" w:eastAsia="de-DE"/>
        </w:rPr>
      </w:pPr>
      <w:r w:rsidRPr="00DD2A86">
        <w:rPr>
          <w:b/>
          <w:color w:val="000000"/>
          <w:lang w:val="de-DE" w:eastAsia="de-DE"/>
        </w:rPr>
        <w:t>Bem.</w:t>
      </w:r>
      <w:r w:rsidRPr="00DD2A86">
        <w:rPr>
          <w:color w:val="000000"/>
          <w:lang w:val="de-DE" w:eastAsia="de-DE"/>
        </w:rPr>
        <w:tab/>
        <w:t>„Geräte von privaten Haushalten“ sind Geräte, die aus privaten Haushalten stammen, und Geräte, die aus kommerziellen, industriellen, institutionellen und anderen Quellen stammen und die aufgrund ihrer Beschaffenheit und Menge den Geräten von privaten Haushalten ähnlich sind. Geräte, bei denen die Wahrscheinlichkeit besteht, dass sie sowohl von privaten Haushalten als auch von anderen Anwendern verwendet werden, gelten in jedem Fall als Geräte von privaten Haushalten.“.</w:t>
      </w:r>
    </w:p>
    <w:p w:rsidR="00413F50" w:rsidRPr="00DD2A86" w:rsidRDefault="00413F50" w:rsidP="009042ED">
      <w:pPr>
        <w:spacing w:before="120"/>
        <w:ind w:left="1134"/>
        <w:jc w:val="both"/>
        <w:rPr>
          <w:lang w:val="de-DE"/>
        </w:rPr>
      </w:pPr>
      <w:r w:rsidRPr="00DD2A86">
        <w:rPr>
          <w:iCs/>
          <w:lang w:val="de-DE"/>
        </w:rPr>
        <w:t>„</w:t>
      </w:r>
      <w:r w:rsidRPr="00DD2A86">
        <w:rPr>
          <w:b/>
          <w:lang w:val="de-DE"/>
        </w:rPr>
        <w:t>671</w:t>
      </w:r>
      <w:r w:rsidRPr="00DD2A86">
        <w:rPr>
          <w:lang w:val="de-DE"/>
        </w:rPr>
        <w:tab/>
      </w:r>
      <w:r w:rsidRPr="00DD2A86">
        <w:rPr>
          <w:iCs/>
          <w:lang w:val="de-DE" w:eastAsia="de-DE"/>
        </w:rPr>
        <w:t>Für Zwecke der Freistellung in Zusammenhang mit an Bord von Schiffen beförderten Mengen (siehe Unterabschnitt 1.1.3.6), ist die Beförderungskategorie in Zusammenhang mit der Verpackungsgruppe zu bestimmen (siehe Sondervorschrift 251 dritter Unterabsatz):</w:t>
      </w:r>
    </w:p>
    <w:p w:rsidR="00413F50" w:rsidRPr="00DD2A86" w:rsidRDefault="00413F50" w:rsidP="009042ED">
      <w:pPr>
        <w:spacing w:after="120"/>
        <w:ind w:left="1418" w:hanging="284"/>
        <w:jc w:val="both"/>
        <w:rPr>
          <w:iCs/>
          <w:lang w:val="de-DE"/>
        </w:rPr>
      </w:pPr>
      <w:r w:rsidRPr="00DD2A86">
        <w:rPr>
          <w:iCs/>
          <w:lang w:val="de-DE"/>
        </w:rPr>
        <w:t>–</w:t>
      </w:r>
      <w:r w:rsidRPr="00DD2A86">
        <w:rPr>
          <w:iCs/>
          <w:lang w:val="de-DE"/>
        </w:rPr>
        <w:tab/>
        <w:t>Beförderungskategorie 3 für Testsätze oder Ausrüstungen, die der Verpackungsgruppe III zugeordnet sind;</w:t>
      </w:r>
    </w:p>
    <w:p w:rsidR="00413F50" w:rsidRPr="00DD2A86" w:rsidRDefault="00413F50" w:rsidP="009042ED">
      <w:pPr>
        <w:spacing w:after="120"/>
        <w:ind w:left="1418" w:hanging="284"/>
        <w:jc w:val="both"/>
        <w:rPr>
          <w:iCs/>
          <w:lang w:val="de-DE"/>
        </w:rPr>
      </w:pPr>
      <w:r w:rsidRPr="00DD2A86">
        <w:rPr>
          <w:iCs/>
          <w:lang w:val="de-DE"/>
        </w:rPr>
        <w:t>–</w:t>
      </w:r>
      <w:r w:rsidRPr="00DD2A86">
        <w:rPr>
          <w:iCs/>
          <w:lang w:val="de-DE"/>
        </w:rPr>
        <w:tab/>
        <w:t>Beförderungskategorie 2 für Testsätze oder Ausrüstungen, die der Verpackungsgruppe II zugeordnet sind;</w:t>
      </w:r>
    </w:p>
    <w:p w:rsidR="00413F50" w:rsidRPr="00DD2A86" w:rsidRDefault="00413F50" w:rsidP="009042ED">
      <w:pPr>
        <w:spacing w:after="120"/>
        <w:ind w:left="1418" w:hanging="284"/>
        <w:jc w:val="both"/>
        <w:rPr>
          <w:iCs/>
          <w:lang w:val="de-DE"/>
        </w:rPr>
      </w:pPr>
      <w:r w:rsidRPr="00DD2A86">
        <w:rPr>
          <w:iCs/>
          <w:lang w:val="de-DE"/>
        </w:rPr>
        <w:t>–</w:t>
      </w:r>
      <w:r w:rsidRPr="00DD2A86">
        <w:rPr>
          <w:iCs/>
          <w:lang w:val="de-DE"/>
        </w:rPr>
        <w:tab/>
        <w:t>Beförderungskategorie 1 für Testsätze oder Ausrüstungen, die der Verpackungsgruppe I zugeordnet sind.“.</w:t>
      </w:r>
    </w:p>
    <w:p w:rsidR="00413F50" w:rsidRPr="00DD2A86" w:rsidRDefault="00413F50" w:rsidP="009042ED">
      <w:pPr>
        <w:spacing w:after="120"/>
        <w:ind w:left="1134"/>
        <w:jc w:val="both"/>
        <w:rPr>
          <w:iCs/>
          <w:lang w:val="de-DE"/>
        </w:rPr>
      </w:pPr>
      <w:r w:rsidRPr="00DD2A86">
        <w:rPr>
          <w:b/>
          <w:lang w:val="de-DE"/>
        </w:rPr>
        <w:t>„672</w:t>
      </w:r>
      <w:r w:rsidRPr="00DD2A86">
        <w:rPr>
          <w:lang w:val="de-DE"/>
        </w:rPr>
        <w:tab/>
      </w:r>
      <w:r w:rsidRPr="00DD2A86">
        <w:rPr>
          <w:iCs/>
          <w:lang w:val="de-DE"/>
        </w:rPr>
        <w:t xml:space="preserve">Maschinen und Geräte, die unter dieser Eintragung und in Übereinstimmung mit der Sondervorschrift 301 befördert werden, unterliegen nicht den übrigen Vorschriften des </w:t>
      </w:r>
      <w:r w:rsidRPr="00DD2A86">
        <w:rPr>
          <w:lang w:val="de-DE"/>
        </w:rPr>
        <w:t>ADN</w:t>
      </w:r>
      <w:r w:rsidRPr="00DD2A86">
        <w:rPr>
          <w:iCs/>
          <w:lang w:val="de-DE"/>
        </w:rPr>
        <w:t>, vorausgesetzt:</w:t>
      </w:r>
    </w:p>
    <w:p w:rsidR="00413F50" w:rsidRPr="00DD2A86" w:rsidRDefault="00413F50" w:rsidP="009042ED">
      <w:pPr>
        <w:spacing w:after="120"/>
        <w:ind w:left="1134"/>
        <w:jc w:val="both"/>
        <w:rPr>
          <w:iCs/>
          <w:lang w:val="de-DE"/>
        </w:rPr>
      </w:pPr>
      <w:r w:rsidRPr="00DD2A86">
        <w:rPr>
          <w:iCs/>
          <w:lang w:val="de-DE"/>
        </w:rPr>
        <w:t>–</w:t>
      </w:r>
      <w:r w:rsidRPr="00DD2A86">
        <w:rPr>
          <w:iCs/>
          <w:lang w:val="de-DE"/>
        </w:rPr>
        <w:tab/>
        <w:t>sie sind entweder in einer widerstandsfähigen Außenverpackung verpackt, die aus einem geeigneten Werkstoff hergestellt ist und hinsichtlich ihres Fassungsraums und ihrer beabsichtigten Verwendung eine ausreichende Festigkeit und Auslegung aufweist und die den anwendbaren Vorschriften des Unterabschnitts 4.1.1.1 des ADR entspricht, oder</w:t>
      </w:r>
    </w:p>
    <w:p w:rsidR="00413F50" w:rsidRPr="00DD2A86" w:rsidRDefault="00413F50" w:rsidP="009042ED">
      <w:pPr>
        <w:spacing w:after="120"/>
        <w:ind w:left="1134"/>
        <w:jc w:val="both"/>
        <w:rPr>
          <w:iCs/>
          <w:lang w:val="de-DE"/>
        </w:rPr>
      </w:pPr>
      <w:r w:rsidRPr="00DD2A86">
        <w:rPr>
          <w:iCs/>
          <w:lang w:val="de-DE"/>
        </w:rPr>
        <w:t>–</w:t>
      </w:r>
      <w:r w:rsidRPr="00DD2A86">
        <w:rPr>
          <w:iCs/>
          <w:lang w:val="de-DE"/>
        </w:rPr>
        <w:tab/>
        <w:t xml:space="preserve">sie werden ohne Außenverpackung befördert, </w:t>
      </w:r>
      <w:r w:rsidRPr="00DD2A86">
        <w:rPr>
          <w:lang w:val="de-DE"/>
        </w:rPr>
        <w:t>wenn die Maschine oder das Gerät so gebaut und ausgelegt ist, dass die Gefäße, welche die gefährlichen Güter enthalten, ausreichend geschützt sind.“.</w:t>
      </w:r>
    </w:p>
    <w:p w:rsidR="00413F50" w:rsidRPr="00DD2A86" w:rsidRDefault="00413F50" w:rsidP="009042ED">
      <w:pPr>
        <w:spacing w:after="120"/>
        <w:ind w:left="1134"/>
        <w:jc w:val="both"/>
        <w:rPr>
          <w:iCs/>
          <w:lang w:val="de-DE"/>
        </w:rPr>
      </w:pPr>
      <w:r w:rsidRPr="00DD2A86">
        <w:rPr>
          <w:iCs/>
          <w:lang w:val="de-DE"/>
        </w:rPr>
        <w:t>„</w:t>
      </w:r>
      <w:r w:rsidRPr="00DD2A86">
        <w:rPr>
          <w:b/>
          <w:iCs/>
          <w:lang w:val="de-DE"/>
        </w:rPr>
        <w:t>673</w:t>
      </w:r>
      <w:r w:rsidRPr="00DD2A86">
        <w:rPr>
          <w:iCs/>
          <w:lang w:val="de-DE"/>
        </w:rPr>
        <w:tab/>
        <w:t>(bleibt offen)“.</w:t>
      </w:r>
    </w:p>
    <w:p w:rsidR="00EB786C" w:rsidRPr="00DD2A86" w:rsidRDefault="00EB786C" w:rsidP="009042ED">
      <w:pPr>
        <w:tabs>
          <w:tab w:val="left" w:pos="1843"/>
        </w:tabs>
        <w:suppressAutoHyphens w:val="0"/>
        <w:spacing w:before="120" w:line="240" w:lineRule="auto"/>
        <w:ind w:left="1134"/>
        <w:jc w:val="both"/>
        <w:rPr>
          <w:color w:val="000000"/>
          <w:lang w:val="de-DE" w:eastAsia="de-DE"/>
        </w:rPr>
      </w:pPr>
      <w:r w:rsidRPr="00DD2A86">
        <w:rPr>
          <w:b/>
          <w:color w:val="000000"/>
          <w:lang w:val="de-DE" w:eastAsia="de-DE"/>
        </w:rPr>
        <w:t>„674</w:t>
      </w:r>
      <w:r w:rsidRPr="00DD2A86">
        <w:rPr>
          <w:color w:val="000000"/>
          <w:lang w:val="de-DE" w:eastAsia="de-DE"/>
        </w:rPr>
        <w:tab/>
        <w:t>Diese Sondervorschrift gilt für die wiederkehrende Prüfung von umformten Flaschen gemäß der Begriffsbestimmung in Abschnitt 1.2.1.</w:t>
      </w:r>
    </w:p>
    <w:p w:rsidR="00EB786C" w:rsidRPr="00DD2A86" w:rsidRDefault="00EB786C" w:rsidP="009042ED">
      <w:pPr>
        <w:tabs>
          <w:tab w:val="left" w:pos="1843"/>
        </w:tabs>
        <w:suppressAutoHyphens w:val="0"/>
        <w:spacing w:before="120" w:line="240" w:lineRule="auto"/>
        <w:ind w:left="1134"/>
        <w:jc w:val="both"/>
        <w:rPr>
          <w:color w:val="000000"/>
          <w:lang w:val="de-DE" w:eastAsia="de-DE"/>
        </w:rPr>
      </w:pPr>
      <w:r w:rsidRPr="00DD2A86">
        <w:rPr>
          <w:color w:val="000000"/>
          <w:lang w:val="de-DE" w:eastAsia="de-DE"/>
        </w:rPr>
        <w:t>Umformte Flaschen, die dem Absatz 6.2.3.5.3.1 des ADR unterliegen, müssen einer wiederkehrenden Prüfung in Übereinstimmung mit Absatz 6.2.1.6.1 des ADR unterzogen werden, die durch die folgende alternative Methode angepasst wird:</w:t>
      </w:r>
    </w:p>
    <w:p w:rsidR="00EB786C" w:rsidRPr="00DD2A86" w:rsidRDefault="00EB786C" w:rsidP="009042ED">
      <w:pPr>
        <w:tabs>
          <w:tab w:val="left" w:pos="1843"/>
        </w:tabs>
        <w:suppressAutoHyphens w:val="0"/>
        <w:spacing w:before="120" w:line="240" w:lineRule="auto"/>
        <w:ind w:left="1418" w:hanging="284"/>
        <w:jc w:val="both"/>
        <w:rPr>
          <w:color w:val="000000"/>
          <w:lang w:val="de-DE" w:eastAsia="de-DE"/>
        </w:rPr>
      </w:pPr>
      <w:r w:rsidRPr="00DD2A86">
        <w:rPr>
          <w:color w:val="000000"/>
          <w:lang w:val="de-DE" w:eastAsia="de-DE"/>
        </w:rPr>
        <w:t>–</w:t>
      </w:r>
      <w:r w:rsidRPr="00DD2A86">
        <w:rPr>
          <w:color w:val="000000"/>
          <w:lang w:val="de-DE" w:eastAsia="de-DE"/>
        </w:rPr>
        <w:tab/>
        <w:t>Die in Absatz 6.2.1.6.1 d) des ADR vorgeschriebene Prüfung muss durch alternative zerstörende Prüfungen ersetzt werden.</w:t>
      </w:r>
    </w:p>
    <w:p w:rsidR="00EB786C" w:rsidRPr="00DD2A86" w:rsidRDefault="00EB786C" w:rsidP="009042ED">
      <w:pPr>
        <w:tabs>
          <w:tab w:val="left" w:pos="1843"/>
        </w:tabs>
        <w:suppressAutoHyphens w:val="0"/>
        <w:spacing w:before="120" w:line="240" w:lineRule="auto"/>
        <w:ind w:left="1418" w:hanging="284"/>
        <w:jc w:val="both"/>
        <w:rPr>
          <w:color w:val="000000"/>
          <w:lang w:val="de-DE" w:eastAsia="de-DE"/>
        </w:rPr>
      </w:pPr>
      <w:r w:rsidRPr="00DD2A86">
        <w:rPr>
          <w:color w:val="000000"/>
          <w:lang w:val="de-DE" w:eastAsia="de-DE"/>
        </w:rPr>
        <w:t>–</w:t>
      </w:r>
      <w:r w:rsidRPr="00DD2A86">
        <w:rPr>
          <w:color w:val="000000"/>
          <w:lang w:val="de-DE" w:eastAsia="de-DE"/>
        </w:rPr>
        <w:tab/>
        <w:t>Es müssen besondere, zusätzliche zerstörende Prüfungen durchgeführt werden, die sich auf die Eigenschaften der umformten Flaschen beziehen.</w:t>
      </w:r>
    </w:p>
    <w:p w:rsidR="00EB786C" w:rsidRPr="00DD2A86" w:rsidRDefault="00EB786C" w:rsidP="009042ED">
      <w:pPr>
        <w:tabs>
          <w:tab w:val="left" w:pos="1843"/>
        </w:tabs>
        <w:suppressAutoHyphens w:val="0"/>
        <w:spacing w:before="120" w:line="240" w:lineRule="auto"/>
        <w:ind w:left="1134"/>
        <w:jc w:val="both"/>
        <w:rPr>
          <w:color w:val="000000"/>
          <w:lang w:val="de-DE" w:eastAsia="de-DE"/>
        </w:rPr>
      </w:pPr>
      <w:r w:rsidRPr="00DD2A86">
        <w:rPr>
          <w:color w:val="000000"/>
          <w:lang w:val="de-DE" w:eastAsia="de-DE"/>
        </w:rPr>
        <w:t>Die Verfahren und Anforderungen dieser alternativen Methode sind nachstehend beschrieben.</w:t>
      </w:r>
    </w:p>
    <w:p w:rsidR="00EB786C" w:rsidRPr="00DD2A86" w:rsidRDefault="00EB786C" w:rsidP="009042ED">
      <w:pPr>
        <w:tabs>
          <w:tab w:val="left" w:pos="1843"/>
        </w:tabs>
        <w:suppressAutoHyphens w:val="0"/>
        <w:spacing w:before="120" w:line="240" w:lineRule="auto"/>
        <w:ind w:left="1134"/>
        <w:jc w:val="both"/>
        <w:rPr>
          <w:color w:val="000000"/>
          <w:lang w:val="de-DE" w:eastAsia="de-DE"/>
        </w:rPr>
      </w:pPr>
      <w:r w:rsidRPr="00DD2A86">
        <w:rPr>
          <w:color w:val="000000"/>
          <w:lang w:val="de-DE" w:eastAsia="de-DE"/>
        </w:rPr>
        <w:t>Alternative Methode:</w:t>
      </w:r>
    </w:p>
    <w:p w:rsidR="00EB786C" w:rsidRPr="00DD2A86" w:rsidRDefault="00EB786C" w:rsidP="009042ED">
      <w:pPr>
        <w:tabs>
          <w:tab w:val="left" w:pos="1701"/>
        </w:tabs>
        <w:suppressAutoHyphens w:val="0"/>
        <w:spacing w:before="120" w:line="240" w:lineRule="auto"/>
        <w:ind w:left="1134"/>
        <w:jc w:val="both"/>
        <w:rPr>
          <w:color w:val="000000"/>
          <w:lang w:val="de-DE" w:eastAsia="de-DE"/>
        </w:rPr>
      </w:pPr>
      <w:r w:rsidRPr="00DD2A86">
        <w:rPr>
          <w:color w:val="000000"/>
          <w:lang w:val="de-DE" w:eastAsia="de-DE"/>
        </w:rPr>
        <w:t>a)</w:t>
      </w:r>
      <w:r w:rsidRPr="00DD2A86">
        <w:rPr>
          <w:color w:val="000000"/>
          <w:lang w:val="de-DE" w:eastAsia="de-DE"/>
        </w:rPr>
        <w:tab/>
        <w:t>Allgemeines</w:t>
      </w:r>
    </w:p>
    <w:p w:rsidR="00EB786C" w:rsidRPr="00DD2A86" w:rsidRDefault="00EB786C" w:rsidP="009042ED">
      <w:pPr>
        <w:tabs>
          <w:tab w:val="left" w:pos="1701"/>
        </w:tabs>
        <w:suppressAutoHyphens w:val="0"/>
        <w:spacing w:before="120" w:line="240" w:lineRule="auto"/>
        <w:ind w:left="1701"/>
        <w:jc w:val="both"/>
        <w:rPr>
          <w:color w:val="000000"/>
          <w:lang w:val="de-DE" w:eastAsia="de-DE"/>
        </w:rPr>
      </w:pPr>
      <w:r w:rsidRPr="00DD2A86">
        <w:rPr>
          <w:color w:val="000000"/>
          <w:lang w:val="de-DE" w:eastAsia="de-DE"/>
        </w:rPr>
        <w:t>Die folgenden Vorschriften gelten für umformte Flaschen, die in Serie und auf der Grundlage von geschweißten Stahlflaschen gemäß der Norm EN 1442:2017, EN 14140:2014 + AC:2015 oder der Anlage I, Teile 1 bis 3 der Richtlinie des Rates 84/527/EWG hergestellt sind. Die Auslegung der Umformung muss das Vordringen von Wasser zur inneren Stahlflasche verhindern. Die Umwandlung der Flasche aus Stahl in eine umformte Flasche muss den entsprechenden Vorschriften der Normen EN 1442:2017 und EN 14140:2014 + AC:2015 genügen.</w:t>
      </w:r>
    </w:p>
    <w:p w:rsidR="00EB786C" w:rsidRPr="00DD2A86" w:rsidRDefault="00EB786C" w:rsidP="009042ED">
      <w:pPr>
        <w:tabs>
          <w:tab w:val="left" w:pos="1701"/>
        </w:tabs>
        <w:suppressAutoHyphens w:val="0"/>
        <w:spacing w:before="120" w:line="240" w:lineRule="auto"/>
        <w:ind w:left="1701"/>
        <w:jc w:val="both"/>
        <w:rPr>
          <w:color w:val="000000"/>
          <w:lang w:val="de-DE" w:eastAsia="de-DE"/>
        </w:rPr>
      </w:pPr>
      <w:r w:rsidRPr="00DD2A86">
        <w:rPr>
          <w:color w:val="000000"/>
          <w:lang w:val="de-DE" w:eastAsia="de-DE"/>
        </w:rPr>
        <w:t>Umformte Flaschen müssen mit selbstschließenden Ventilen ausgerüstet sein.</w:t>
      </w:r>
    </w:p>
    <w:p w:rsidR="00EB786C" w:rsidRPr="00DD2A86" w:rsidRDefault="00EB786C" w:rsidP="009042ED">
      <w:pPr>
        <w:tabs>
          <w:tab w:val="left" w:pos="1701"/>
        </w:tabs>
        <w:suppressAutoHyphens w:val="0"/>
        <w:spacing w:before="120" w:line="240" w:lineRule="auto"/>
        <w:ind w:left="1134"/>
        <w:jc w:val="both"/>
        <w:rPr>
          <w:color w:val="000000"/>
          <w:lang w:val="de-DE" w:eastAsia="de-DE"/>
        </w:rPr>
      </w:pPr>
      <w:r w:rsidRPr="00DD2A86">
        <w:rPr>
          <w:color w:val="000000"/>
          <w:lang w:val="de-DE" w:eastAsia="de-DE"/>
        </w:rPr>
        <w:t>b)</w:t>
      </w:r>
      <w:r w:rsidRPr="00DD2A86">
        <w:rPr>
          <w:color w:val="000000"/>
          <w:lang w:val="de-DE" w:eastAsia="de-DE"/>
        </w:rPr>
        <w:tab/>
        <w:t>Grundgesamtheit</w:t>
      </w:r>
    </w:p>
    <w:p w:rsidR="00EB786C" w:rsidRPr="00DD2A86" w:rsidRDefault="00EB786C" w:rsidP="009042ED">
      <w:pPr>
        <w:tabs>
          <w:tab w:val="left" w:pos="1701"/>
        </w:tabs>
        <w:suppressAutoHyphens w:val="0"/>
        <w:spacing w:before="120" w:line="240" w:lineRule="auto"/>
        <w:ind w:left="1701"/>
        <w:jc w:val="both"/>
        <w:rPr>
          <w:color w:val="000000"/>
          <w:lang w:val="de-DE" w:eastAsia="de-DE"/>
        </w:rPr>
      </w:pPr>
      <w:r w:rsidRPr="00DD2A86">
        <w:rPr>
          <w:color w:val="000000"/>
          <w:lang w:val="de-DE" w:eastAsia="de-DE"/>
        </w:rPr>
        <w:t>Eine Grundgesamtheit umformter Flaschen ist definiert als die Produktion von Flaschen eines einzelnen Herstellers von Umformungen unter Verwendung von durch einen einzelnen Hersteller hergestellten neuen Innenflaschen innerhalb eines Kalenderjahres, die auf Flaschen derselben Bauart, derselben Werkstoffe und derselben Herstellungsverfahren basieren.</w:t>
      </w:r>
    </w:p>
    <w:p w:rsidR="00C860AD" w:rsidRDefault="00C860AD">
      <w:pPr>
        <w:suppressAutoHyphens w:val="0"/>
        <w:spacing w:line="240" w:lineRule="auto"/>
        <w:rPr>
          <w:color w:val="000000"/>
          <w:lang w:val="de-DE" w:eastAsia="de-DE"/>
        </w:rPr>
      </w:pPr>
      <w:r>
        <w:rPr>
          <w:color w:val="000000"/>
          <w:lang w:val="de-DE" w:eastAsia="de-DE"/>
        </w:rPr>
        <w:br w:type="page"/>
      </w:r>
    </w:p>
    <w:p w:rsidR="00EB786C" w:rsidRPr="00DD2A86" w:rsidRDefault="00EB786C" w:rsidP="009042ED">
      <w:pPr>
        <w:tabs>
          <w:tab w:val="left" w:pos="1701"/>
        </w:tabs>
        <w:suppressAutoHyphens w:val="0"/>
        <w:spacing w:before="120" w:line="240" w:lineRule="auto"/>
        <w:ind w:left="1134"/>
        <w:jc w:val="both"/>
        <w:rPr>
          <w:color w:val="000000"/>
          <w:lang w:val="de-DE" w:eastAsia="de-DE"/>
        </w:rPr>
      </w:pPr>
      <w:r w:rsidRPr="00DD2A86">
        <w:rPr>
          <w:color w:val="000000"/>
          <w:lang w:val="de-DE" w:eastAsia="de-DE"/>
        </w:rPr>
        <w:t>c)</w:t>
      </w:r>
      <w:r w:rsidRPr="00DD2A86">
        <w:rPr>
          <w:color w:val="000000"/>
          <w:lang w:val="de-DE" w:eastAsia="de-DE"/>
        </w:rPr>
        <w:tab/>
        <w:t>Untergruppen einer Grundgesamtheit</w:t>
      </w:r>
    </w:p>
    <w:p w:rsidR="00EB786C" w:rsidRPr="00DD2A86" w:rsidRDefault="00EB786C" w:rsidP="009042ED">
      <w:pPr>
        <w:tabs>
          <w:tab w:val="left" w:pos="1843"/>
        </w:tabs>
        <w:suppressAutoHyphens w:val="0"/>
        <w:spacing w:before="120" w:line="240" w:lineRule="auto"/>
        <w:ind w:left="1701"/>
        <w:jc w:val="both"/>
        <w:rPr>
          <w:color w:val="000000"/>
          <w:lang w:val="de-DE" w:eastAsia="de-DE"/>
        </w:rPr>
      </w:pPr>
      <w:r w:rsidRPr="00DD2A86">
        <w:rPr>
          <w:color w:val="000000"/>
          <w:lang w:val="de-DE" w:eastAsia="de-DE"/>
        </w:rPr>
        <w:t>Innerhalb der oben definierten Grundgesamtheit müssen umformte Flaschen, die verschiedenen Eigentümern gehören, in spezifische Untergruppen, und zwar eine je Eigentümer, aufgeteilt werden.</w:t>
      </w:r>
    </w:p>
    <w:p w:rsidR="00EB786C" w:rsidRPr="00DD2A86" w:rsidRDefault="00EB786C" w:rsidP="009042ED">
      <w:pPr>
        <w:tabs>
          <w:tab w:val="left" w:pos="1843"/>
        </w:tabs>
        <w:suppressAutoHyphens w:val="0"/>
        <w:spacing w:before="120" w:line="240" w:lineRule="auto"/>
        <w:ind w:left="1701"/>
        <w:jc w:val="both"/>
        <w:rPr>
          <w:color w:val="000000"/>
          <w:lang w:val="de-DE" w:eastAsia="de-DE"/>
        </w:rPr>
      </w:pPr>
      <w:r w:rsidRPr="00DD2A86">
        <w:rPr>
          <w:color w:val="000000"/>
          <w:lang w:val="de-DE" w:eastAsia="de-DE"/>
        </w:rPr>
        <w:t>Wenn die gesamte Grundgesamtheit einem einzigen Eigentümer gehört, entspricht die Untergruppe der Grundgesamtheit.</w:t>
      </w:r>
    </w:p>
    <w:p w:rsidR="00EB786C" w:rsidRPr="00DD2A86" w:rsidRDefault="00EB786C" w:rsidP="009042ED">
      <w:pPr>
        <w:tabs>
          <w:tab w:val="left" w:pos="1701"/>
        </w:tabs>
        <w:suppressAutoHyphens w:val="0"/>
        <w:spacing w:before="120" w:line="240" w:lineRule="auto"/>
        <w:ind w:left="1134"/>
        <w:jc w:val="both"/>
        <w:rPr>
          <w:color w:val="000000"/>
          <w:lang w:val="de-DE" w:eastAsia="de-DE"/>
        </w:rPr>
      </w:pPr>
      <w:r w:rsidRPr="00DD2A86">
        <w:rPr>
          <w:color w:val="000000"/>
          <w:lang w:val="de-DE" w:eastAsia="de-DE"/>
        </w:rPr>
        <w:t>d)</w:t>
      </w:r>
      <w:r w:rsidRPr="00DD2A86">
        <w:rPr>
          <w:color w:val="000000"/>
          <w:lang w:val="de-DE" w:eastAsia="de-DE"/>
        </w:rPr>
        <w:tab/>
        <w:t>Rückverfolgbarkeit</w:t>
      </w:r>
    </w:p>
    <w:p w:rsidR="00EB786C" w:rsidRPr="00DD2A86" w:rsidRDefault="00EB786C" w:rsidP="009042ED">
      <w:pPr>
        <w:tabs>
          <w:tab w:val="left" w:pos="1843"/>
        </w:tabs>
        <w:suppressAutoHyphens w:val="0"/>
        <w:spacing w:before="120" w:line="240" w:lineRule="auto"/>
        <w:ind w:left="1701"/>
        <w:jc w:val="both"/>
        <w:rPr>
          <w:color w:val="000000"/>
          <w:lang w:val="de-DE" w:eastAsia="de-DE"/>
        </w:rPr>
      </w:pPr>
      <w:r w:rsidRPr="00DD2A86">
        <w:rPr>
          <w:color w:val="000000"/>
          <w:lang w:val="de-DE" w:eastAsia="de-DE"/>
        </w:rPr>
        <w:t>Die Kennzeichen der Innenflaschen aus Stahl in Übereinstimmung mit Unterabschnitt 6.2.3.9 des ADR müssen auf der Umformung wiederholt werden. Darüber hinaus muss jede umformte Flasche mit einer individuellen widerstandsfähigen elektronischen Erkennungseinrichtung ausgestattet sein. Die genauen Eigenschaften der umformten Flaschen müssen vom Eigentümer in einer zentralen Datenbank aufgezeichnet werden. Die Datenbank muss für Folgendes verwendet werden:</w:t>
      </w:r>
    </w:p>
    <w:p w:rsidR="00EB786C" w:rsidRPr="00DD2A86" w:rsidRDefault="00EB786C" w:rsidP="009042ED">
      <w:pPr>
        <w:suppressAutoHyphens w:val="0"/>
        <w:spacing w:before="120" w:line="240" w:lineRule="auto"/>
        <w:ind w:left="1985" w:hanging="284"/>
        <w:jc w:val="both"/>
        <w:rPr>
          <w:color w:val="000000"/>
          <w:lang w:val="de-DE" w:eastAsia="de-DE"/>
        </w:rPr>
      </w:pPr>
      <w:r w:rsidRPr="00DD2A86">
        <w:rPr>
          <w:color w:val="000000"/>
          <w:lang w:val="de-DE" w:eastAsia="de-DE"/>
        </w:rPr>
        <w:t>–</w:t>
      </w:r>
      <w:r w:rsidRPr="00DD2A86">
        <w:rPr>
          <w:color w:val="000000"/>
          <w:lang w:val="de-DE" w:eastAsia="de-DE"/>
        </w:rPr>
        <w:tab/>
        <w:t>die Identifizierung der spezifischen Untergruppe;</w:t>
      </w:r>
    </w:p>
    <w:p w:rsidR="00EB786C" w:rsidRPr="00DD2A86" w:rsidRDefault="00EB786C" w:rsidP="009042ED">
      <w:pPr>
        <w:suppressAutoHyphens w:val="0"/>
        <w:spacing w:before="120" w:line="240" w:lineRule="auto"/>
        <w:ind w:left="1985" w:hanging="284"/>
        <w:jc w:val="both"/>
        <w:rPr>
          <w:color w:val="000000"/>
          <w:lang w:val="de-DE" w:eastAsia="de-DE"/>
        </w:rPr>
      </w:pPr>
      <w:r w:rsidRPr="00DD2A86">
        <w:rPr>
          <w:color w:val="000000"/>
          <w:lang w:val="de-DE" w:eastAsia="de-DE"/>
        </w:rPr>
        <w:t>–</w:t>
      </w:r>
      <w:r w:rsidRPr="00DD2A86">
        <w:rPr>
          <w:color w:val="000000"/>
          <w:lang w:val="de-DE" w:eastAsia="de-DE"/>
        </w:rPr>
        <w:tab/>
        <w:t>die Zurverfügungstellung der spezifischen technischen Eigenschaften der Flaschen, zumindest bestehend aus Seriennummer, Produktionslos der Stahlflasche, Produktionslos der Umformung, Zeitpunkt der Umformung, für die Prüfstellen, Befüllzentren und zuständigen Behörden;</w:t>
      </w:r>
    </w:p>
    <w:p w:rsidR="00EB786C" w:rsidRPr="00DD2A86" w:rsidRDefault="00EB786C" w:rsidP="009042ED">
      <w:pPr>
        <w:suppressAutoHyphens w:val="0"/>
        <w:spacing w:before="120" w:line="240" w:lineRule="auto"/>
        <w:ind w:left="1985" w:hanging="284"/>
        <w:jc w:val="both"/>
        <w:rPr>
          <w:color w:val="000000"/>
          <w:lang w:val="de-DE" w:eastAsia="de-DE"/>
        </w:rPr>
      </w:pPr>
      <w:r w:rsidRPr="00DD2A86">
        <w:rPr>
          <w:color w:val="000000"/>
          <w:lang w:val="de-DE" w:eastAsia="de-DE"/>
        </w:rPr>
        <w:t>–</w:t>
      </w:r>
      <w:r w:rsidRPr="00DD2A86">
        <w:rPr>
          <w:color w:val="000000"/>
          <w:lang w:val="de-DE" w:eastAsia="de-DE"/>
        </w:rPr>
        <w:tab/>
        <w:t>die Identifizierung der Flasche, indem eine Verbindung zwischen der elektronischen Einrichtung und der Datenbank anhand der Seriennummer hergestellt wird;</w:t>
      </w:r>
    </w:p>
    <w:p w:rsidR="00EB786C" w:rsidRPr="00DD2A86" w:rsidRDefault="00EB786C" w:rsidP="009042ED">
      <w:pPr>
        <w:suppressAutoHyphens w:val="0"/>
        <w:spacing w:before="120" w:line="240" w:lineRule="auto"/>
        <w:ind w:left="1985" w:hanging="284"/>
        <w:jc w:val="both"/>
        <w:rPr>
          <w:color w:val="000000"/>
          <w:lang w:val="de-DE" w:eastAsia="de-DE"/>
        </w:rPr>
      </w:pPr>
      <w:r w:rsidRPr="00DD2A86">
        <w:rPr>
          <w:color w:val="000000"/>
          <w:lang w:val="de-DE" w:eastAsia="de-DE"/>
        </w:rPr>
        <w:t>–</w:t>
      </w:r>
      <w:r w:rsidRPr="00DD2A86">
        <w:rPr>
          <w:color w:val="000000"/>
          <w:lang w:val="de-DE" w:eastAsia="de-DE"/>
        </w:rPr>
        <w:tab/>
        <w:t>die Prüfung der Vorgeschichte der einzelnen Flasche und die Festlegung von Maßnahmen (z. B. Befüllung, Stichprobenentnahme, Wiederholungsprüfung, Zurückziehung);</w:t>
      </w:r>
    </w:p>
    <w:p w:rsidR="00EB786C" w:rsidRPr="00DD2A86" w:rsidRDefault="00EB786C" w:rsidP="009042ED">
      <w:pPr>
        <w:suppressAutoHyphens w:val="0"/>
        <w:spacing w:before="120" w:line="240" w:lineRule="auto"/>
        <w:ind w:left="1985" w:hanging="284"/>
        <w:jc w:val="both"/>
        <w:rPr>
          <w:color w:val="000000"/>
          <w:lang w:val="de-DE" w:eastAsia="de-DE"/>
        </w:rPr>
      </w:pPr>
      <w:r w:rsidRPr="00DD2A86">
        <w:rPr>
          <w:color w:val="000000"/>
          <w:lang w:val="de-DE" w:eastAsia="de-DE"/>
        </w:rPr>
        <w:t>–</w:t>
      </w:r>
      <w:r w:rsidRPr="00DD2A86">
        <w:rPr>
          <w:color w:val="000000"/>
          <w:lang w:val="de-DE" w:eastAsia="de-DE"/>
        </w:rPr>
        <w:tab/>
        <w:t>die Aufzeichnung der durchgeführten Maßnahmen, einschließlich des Datums und der Adresse des Ortes der Durchführung.</w:t>
      </w:r>
    </w:p>
    <w:p w:rsidR="00EB786C" w:rsidRPr="00DD2A86" w:rsidRDefault="00EB786C" w:rsidP="009042ED">
      <w:pPr>
        <w:tabs>
          <w:tab w:val="left" w:pos="1843"/>
        </w:tabs>
        <w:suppressAutoHyphens w:val="0"/>
        <w:spacing w:before="120" w:line="240" w:lineRule="auto"/>
        <w:ind w:left="1701"/>
        <w:jc w:val="both"/>
        <w:rPr>
          <w:color w:val="000000"/>
          <w:lang w:val="de-DE" w:eastAsia="de-DE"/>
        </w:rPr>
      </w:pPr>
      <w:r w:rsidRPr="00DD2A86">
        <w:rPr>
          <w:color w:val="000000"/>
          <w:lang w:val="de-DE" w:eastAsia="de-DE"/>
        </w:rPr>
        <w:t>Die aufgezeichneten Daten müssen durch den Eigentümer der umformten Flaschen während der gesamten Lebensdauer der Untergruppe zur Verfügung gehalten werden.</w:t>
      </w:r>
    </w:p>
    <w:p w:rsidR="00EB786C" w:rsidRPr="00DD2A86" w:rsidRDefault="00EB786C" w:rsidP="009042ED">
      <w:pPr>
        <w:tabs>
          <w:tab w:val="left" w:pos="1701"/>
        </w:tabs>
        <w:suppressAutoHyphens w:val="0"/>
        <w:spacing w:before="120" w:line="240" w:lineRule="auto"/>
        <w:ind w:left="1134"/>
        <w:jc w:val="both"/>
        <w:rPr>
          <w:color w:val="000000"/>
          <w:lang w:val="de-DE" w:eastAsia="de-DE"/>
        </w:rPr>
      </w:pPr>
      <w:r w:rsidRPr="00DD2A86">
        <w:rPr>
          <w:color w:val="000000"/>
          <w:lang w:val="de-DE" w:eastAsia="de-DE"/>
        </w:rPr>
        <w:t>e)</w:t>
      </w:r>
      <w:r w:rsidRPr="00DD2A86">
        <w:rPr>
          <w:color w:val="000000"/>
          <w:lang w:val="de-DE" w:eastAsia="de-DE"/>
        </w:rPr>
        <w:tab/>
        <w:t>Stichprobenentnahme für die statistische Auswertung</w:t>
      </w:r>
    </w:p>
    <w:p w:rsidR="00EB786C" w:rsidRPr="00DD2A86" w:rsidRDefault="00EB786C" w:rsidP="009042ED">
      <w:pPr>
        <w:suppressAutoHyphens w:val="0"/>
        <w:spacing w:before="120" w:line="240" w:lineRule="auto"/>
        <w:ind w:left="1701"/>
        <w:jc w:val="both"/>
        <w:rPr>
          <w:color w:val="000000"/>
          <w:lang w:val="de-DE" w:eastAsia="de-DE"/>
        </w:rPr>
      </w:pPr>
      <w:r w:rsidRPr="00DD2A86">
        <w:rPr>
          <w:color w:val="000000"/>
          <w:lang w:val="de-DE" w:eastAsia="de-DE"/>
        </w:rPr>
        <w:t>Die Stichprobenentnahme muss nach Zufallsprinzip aus einer in Absatz c) definierten Untergruppe erfolgen. Die Größe jeder Stichprobe je Untergruppe muss der Tabelle in Absatz g) entsprechen.</w:t>
      </w:r>
    </w:p>
    <w:p w:rsidR="00EB786C" w:rsidRPr="00DD2A86" w:rsidRDefault="00EB786C" w:rsidP="009042ED">
      <w:pPr>
        <w:suppressAutoHyphens w:val="0"/>
        <w:spacing w:before="120" w:line="240" w:lineRule="auto"/>
        <w:ind w:left="1134"/>
        <w:jc w:val="both"/>
        <w:rPr>
          <w:color w:val="000000"/>
          <w:lang w:val="de-DE" w:eastAsia="de-DE"/>
        </w:rPr>
      </w:pPr>
      <w:r w:rsidRPr="00DD2A86">
        <w:rPr>
          <w:color w:val="000000"/>
          <w:lang w:val="de-DE" w:eastAsia="de-DE"/>
        </w:rPr>
        <w:t>f)</w:t>
      </w:r>
      <w:r w:rsidRPr="00DD2A86">
        <w:rPr>
          <w:color w:val="000000"/>
          <w:lang w:val="de-DE" w:eastAsia="de-DE"/>
        </w:rPr>
        <w:tab/>
        <w:t>Prüfverfahren für die zerstörende Prüfung</w:t>
      </w:r>
    </w:p>
    <w:p w:rsidR="00EB786C" w:rsidRPr="00DD2A86" w:rsidRDefault="00EB786C" w:rsidP="009042ED">
      <w:pPr>
        <w:suppressAutoHyphens w:val="0"/>
        <w:spacing w:before="120" w:line="240" w:lineRule="auto"/>
        <w:ind w:left="1701"/>
        <w:jc w:val="both"/>
        <w:rPr>
          <w:color w:val="000000"/>
          <w:lang w:val="de-DE" w:eastAsia="de-DE"/>
        </w:rPr>
      </w:pPr>
      <w:r w:rsidRPr="00DD2A86">
        <w:rPr>
          <w:color w:val="000000"/>
          <w:lang w:val="de-DE" w:eastAsia="de-DE"/>
        </w:rPr>
        <w:t>Die in Absatz 6.2.1.6.1 des ADR vorgeschriebenen Prüfungen müssen durchgeführt werden, mit Ausnahme der Prüfung des Absatzes d), die durch das folgende Prüfverfahren ersetzt wird:</w:t>
      </w:r>
    </w:p>
    <w:p w:rsidR="00EB786C" w:rsidRPr="00DD2A86" w:rsidRDefault="00EB786C" w:rsidP="009042ED">
      <w:pPr>
        <w:suppressAutoHyphens w:val="0"/>
        <w:spacing w:before="120" w:line="240" w:lineRule="auto"/>
        <w:ind w:left="1985" w:hanging="284"/>
        <w:jc w:val="both"/>
        <w:rPr>
          <w:color w:val="000000"/>
          <w:lang w:val="de-DE" w:eastAsia="de-DE"/>
        </w:rPr>
      </w:pPr>
      <w:r w:rsidRPr="00DD2A86">
        <w:rPr>
          <w:color w:val="000000"/>
          <w:lang w:val="de-DE" w:eastAsia="de-DE"/>
        </w:rPr>
        <w:t>–</w:t>
      </w:r>
      <w:r w:rsidRPr="00DD2A86">
        <w:rPr>
          <w:color w:val="000000"/>
          <w:lang w:val="de-DE" w:eastAsia="de-DE"/>
        </w:rPr>
        <w:tab/>
        <w:t>Berstprüfung (in Übereinstimmung mit der Norm EN 1442:2017 oder EN 14140:2014 + AC:2015).</w:t>
      </w:r>
    </w:p>
    <w:p w:rsidR="00EB786C" w:rsidRPr="00DD2A86" w:rsidRDefault="00EB786C" w:rsidP="009042ED">
      <w:pPr>
        <w:suppressAutoHyphens w:val="0"/>
        <w:spacing w:before="120" w:line="240" w:lineRule="auto"/>
        <w:ind w:left="1985" w:hanging="284"/>
        <w:jc w:val="both"/>
        <w:rPr>
          <w:color w:val="000000"/>
          <w:lang w:val="de-DE" w:eastAsia="de-DE"/>
        </w:rPr>
      </w:pPr>
      <w:r w:rsidRPr="00DD2A86">
        <w:rPr>
          <w:color w:val="000000"/>
          <w:lang w:val="de-DE" w:eastAsia="de-DE"/>
        </w:rPr>
        <w:t>Darüber hinaus müssen die folgenden Prüfungen durchgeführt werden:</w:t>
      </w:r>
    </w:p>
    <w:p w:rsidR="00EB786C" w:rsidRPr="00DD2A86" w:rsidRDefault="00EB786C" w:rsidP="009042ED">
      <w:pPr>
        <w:suppressAutoHyphens w:val="0"/>
        <w:spacing w:before="120" w:line="240" w:lineRule="auto"/>
        <w:ind w:left="1985" w:hanging="284"/>
        <w:jc w:val="both"/>
        <w:rPr>
          <w:color w:val="000000"/>
          <w:lang w:val="de-DE" w:eastAsia="de-DE"/>
        </w:rPr>
      </w:pPr>
      <w:r w:rsidRPr="00DD2A86">
        <w:rPr>
          <w:color w:val="000000"/>
          <w:lang w:val="de-DE" w:eastAsia="de-DE"/>
        </w:rPr>
        <w:t>–</w:t>
      </w:r>
      <w:r w:rsidRPr="00DD2A86">
        <w:rPr>
          <w:color w:val="000000"/>
          <w:lang w:val="de-DE" w:eastAsia="de-DE"/>
        </w:rPr>
        <w:tab/>
        <w:t>Haftfestigkeitsprüfung (in Übereinstimmung mit der Norm EN 1442:2017 oder EN 14140:2014 + AC:2015),</w:t>
      </w:r>
    </w:p>
    <w:p w:rsidR="00EB786C" w:rsidRPr="00DD2A86" w:rsidRDefault="00EB786C" w:rsidP="009042ED">
      <w:pPr>
        <w:suppressAutoHyphens w:val="0"/>
        <w:spacing w:before="120" w:line="240" w:lineRule="auto"/>
        <w:ind w:left="1985" w:hanging="284"/>
        <w:jc w:val="both"/>
        <w:rPr>
          <w:color w:val="000000"/>
          <w:lang w:val="de-DE" w:eastAsia="de-DE"/>
        </w:rPr>
      </w:pPr>
      <w:r w:rsidRPr="00DD2A86">
        <w:rPr>
          <w:color w:val="000000"/>
          <w:lang w:val="de-DE" w:eastAsia="de-DE"/>
        </w:rPr>
        <w:t>–</w:t>
      </w:r>
      <w:r w:rsidRPr="00DD2A86">
        <w:rPr>
          <w:color w:val="000000"/>
          <w:lang w:val="de-DE" w:eastAsia="de-DE"/>
        </w:rPr>
        <w:tab/>
        <w:t>Abschäl- und Korrosionsprüfungen (in Übereinstimmung mit der Norm EN ISO 4628-3:2016).</w:t>
      </w:r>
    </w:p>
    <w:p w:rsidR="00EB786C" w:rsidRPr="00DD2A86" w:rsidRDefault="00EB786C" w:rsidP="009042ED">
      <w:pPr>
        <w:suppressAutoHyphens w:val="0"/>
        <w:spacing w:before="120" w:line="240" w:lineRule="auto"/>
        <w:ind w:left="1701"/>
        <w:jc w:val="both"/>
        <w:rPr>
          <w:color w:val="000000"/>
          <w:lang w:val="de-DE" w:eastAsia="de-DE"/>
        </w:rPr>
      </w:pPr>
      <w:r w:rsidRPr="00DD2A86">
        <w:rPr>
          <w:color w:val="000000"/>
          <w:lang w:val="de-DE" w:eastAsia="de-DE"/>
        </w:rPr>
        <w:t>Die Haftfestigkeitsprüfung, die Abschäl- und Korrosionsprüfungen und die Berstprüfung müssen an jeder zugehörigen Stichprobe gemäß der Tabelle in Absatz g) erstmalig nach 3 Jahren Betrieb und danach alle 5 Jahre durchgeführt werden.</w:t>
      </w:r>
    </w:p>
    <w:p w:rsidR="00EB6056" w:rsidRPr="00DD2A86" w:rsidRDefault="00EB6056">
      <w:pPr>
        <w:suppressAutoHyphens w:val="0"/>
        <w:spacing w:line="240" w:lineRule="auto"/>
        <w:rPr>
          <w:color w:val="000000"/>
          <w:lang w:val="de-DE" w:eastAsia="de-DE"/>
        </w:rPr>
      </w:pPr>
      <w:r w:rsidRPr="00DD2A86">
        <w:rPr>
          <w:color w:val="000000"/>
          <w:lang w:val="de-DE" w:eastAsia="de-DE"/>
        </w:rPr>
        <w:br w:type="page"/>
      </w:r>
    </w:p>
    <w:p w:rsidR="00EB786C" w:rsidRPr="00DD2A86" w:rsidRDefault="00EB786C" w:rsidP="009042ED">
      <w:pPr>
        <w:tabs>
          <w:tab w:val="left" w:pos="1701"/>
        </w:tabs>
        <w:suppressAutoHyphens w:val="0"/>
        <w:spacing w:before="120" w:line="240" w:lineRule="auto"/>
        <w:ind w:left="1134"/>
        <w:jc w:val="both"/>
        <w:rPr>
          <w:color w:val="000000"/>
          <w:lang w:val="de-DE" w:eastAsia="de-DE"/>
        </w:rPr>
      </w:pPr>
      <w:r w:rsidRPr="00DD2A86">
        <w:rPr>
          <w:color w:val="000000"/>
          <w:lang w:val="de-DE" w:eastAsia="de-DE"/>
        </w:rPr>
        <w:t>g)</w:t>
      </w:r>
      <w:r w:rsidRPr="00DD2A86">
        <w:rPr>
          <w:color w:val="000000"/>
          <w:lang w:val="de-DE" w:eastAsia="de-DE"/>
        </w:rPr>
        <w:tab/>
        <w:t>Statistische Auswertung der Prüfergebnisse – Methode und Mindestanforderungen</w:t>
      </w:r>
    </w:p>
    <w:p w:rsidR="00EB786C" w:rsidRPr="00DD2A86" w:rsidRDefault="00EB786C" w:rsidP="009042ED">
      <w:pPr>
        <w:suppressAutoHyphens w:val="0"/>
        <w:spacing w:before="120" w:line="240" w:lineRule="auto"/>
        <w:ind w:left="1701"/>
        <w:jc w:val="both"/>
        <w:rPr>
          <w:color w:val="000000"/>
          <w:lang w:val="de-DE" w:eastAsia="de-DE"/>
        </w:rPr>
      </w:pPr>
      <w:r w:rsidRPr="00DD2A86">
        <w:rPr>
          <w:color w:val="000000"/>
          <w:lang w:val="de-DE" w:eastAsia="de-DE"/>
        </w:rPr>
        <w:t>Das Verfahren für die statistische Auswertung in Übereinstimmung mit den zugehörigen Zurückweisungskriterien ist im Folgenden beschrieben.</w:t>
      </w:r>
    </w:p>
    <w:p w:rsidR="00EB786C" w:rsidRPr="00DD2A86" w:rsidRDefault="00EB786C" w:rsidP="009042ED">
      <w:pPr>
        <w:suppressAutoHyphens w:val="0"/>
        <w:spacing w:line="240" w:lineRule="auto"/>
        <w:ind w:left="1843"/>
        <w:jc w:val="both"/>
        <w:rPr>
          <w:color w:val="000000"/>
          <w:lang w:val="de-DE" w:eastAsia="de-DE"/>
        </w:rPr>
      </w:pPr>
    </w:p>
    <w:tbl>
      <w:tblPr>
        <w:tblW w:w="8802" w:type="dxa"/>
        <w:tblInd w:w="340" w:type="dxa"/>
        <w:tblLayout w:type="fixed"/>
        <w:tblCellMar>
          <w:left w:w="0" w:type="dxa"/>
          <w:right w:w="0" w:type="dxa"/>
        </w:tblCellMar>
        <w:tblLook w:val="04A0" w:firstRow="1" w:lastRow="0" w:firstColumn="1" w:lastColumn="0" w:noHBand="0" w:noVBand="1"/>
      </w:tblPr>
      <w:tblGrid>
        <w:gridCol w:w="1134"/>
        <w:gridCol w:w="1134"/>
        <w:gridCol w:w="1611"/>
        <w:gridCol w:w="3080"/>
        <w:gridCol w:w="1843"/>
      </w:tblGrid>
      <w:tr w:rsidR="00EB786C" w:rsidRPr="00E139A8" w:rsidTr="001644F6">
        <w:tc>
          <w:tcPr>
            <w:tcW w:w="1134" w:type="dxa"/>
            <w:tcBorders>
              <w:top w:val="single" w:sz="12" w:space="0" w:color="auto"/>
              <w:left w:val="single" w:sz="12" w:space="0" w:color="auto"/>
              <w:bottom w:val="single" w:sz="6" w:space="0" w:color="auto"/>
              <w:right w:val="single" w:sz="6" w:space="0" w:color="auto"/>
            </w:tcBorders>
            <w:hideMark/>
          </w:tcPr>
          <w:p w:rsidR="00EB786C" w:rsidRPr="00DD2A86" w:rsidRDefault="00EB786C" w:rsidP="001644F6">
            <w:pPr>
              <w:suppressAutoHyphens w:val="0"/>
              <w:spacing w:line="240" w:lineRule="auto"/>
              <w:jc w:val="center"/>
              <w:rPr>
                <w:b/>
                <w:bCs/>
                <w:color w:val="000000"/>
                <w:sz w:val="18"/>
                <w:szCs w:val="18"/>
                <w:lang w:val="de-DE" w:eastAsia="de-DE"/>
              </w:rPr>
            </w:pPr>
            <w:r w:rsidRPr="00DD2A86">
              <w:rPr>
                <w:b/>
                <w:color w:val="000000"/>
                <w:sz w:val="18"/>
                <w:szCs w:val="18"/>
                <w:lang w:val="de-DE" w:eastAsia="de-DE"/>
              </w:rPr>
              <w:t>Prüf-</w:t>
            </w:r>
            <w:r w:rsidRPr="00DD2A86">
              <w:rPr>
                <w:color w:val="000000"/>
                <w:sz w:val="18"/>
                <w:szCs w:val="18"/>
                <w:lang w:val="de-DE" w:eastAsia="de-DE"/>
              </w:rPr>
              <w:br/>
            </w:r>
            <w:r w:rsidRPr="00DD2A86">
              <w:rPr>
                <w:b/>
                <w:color w:val="000000"/>
                <w:sz w:val="18"/>
                <w:szCs w:val="18"/>
                <w:lang w:val="de-DE" w:eastAsia="de-DE"/>
              </w:rPr>
              <w:t>intervall</w:t>
            </w:r>
            <w:r w:rsidRPr="00DD2A86">
              <w:rPr>
                <w:color w:val="000000"/>
                <w:sz w:val="18"/>
                <w:szCs w:val="18"/>
                <w:lang w:val="de-DE" w:eastAsia="de-DE"/>
              </w:rPr>
              <w:br/>
              <w:t>(Jahre)</w:t>
            </w:r>
          </w:p>
        </w:tc>
        <w:tc>
          <w:tcPr>
            <w:tcW w:w="1134" w:type="dxa"/>
            <w:tcBorders>
              <w:top w:val="single" w:sz="12" w:space="0" w:color="auto"/>
              <w:left w:val="single" w:sz="6" w:space="0" w:color="auto"/>
              <w:bottom w:val="single" w:sz="6" w:space="0" w:color="auto"/>
              <w:right w:val="single" w:sz="6" w:space="0" w:color="auto"/>
            </w:tcBorders>
            <w:hideMark/>
          </w:tcPr>
          <w:p w:rsidR="00EB786C" w:rsidRPr="00DD2A86" w:rsidRDefault="00EB786C" w:rsidP="001644F6">
            <w:pPr>
              <w:suppressAutoHyphens w:val="0"/>
              <w:spacing w:line="240" w:lineRule="auto"/>
              <w:jc w:val="center"/>
              <w:rPr>
                <w:b/>
                <w:bCs/>
                <w:color w:val="000000"/>
                <w:sz w:val="18"/>
                <w:szCs w:val="18"/>
                <w:lang w:val="de-DE" w:eastAsia="de-DE"/>
              </w:rPr>
            </w:pPr>
            <w:r w:rsidRPr="00DD2A86">
              <w:rPr>
                <w:b/>
                <w:color w:val="000000"/>
                <w:sz w:val="18"/>
                <w:szCs w:val="18"/>
                <w:lang w:val="de-DE" w:eastAsia="de-DE"/>
              </w:rPr>
              <w:t>Art der Prüfung</w:t>
            </w:r>
          </w:p>
        </w:tc>
        <w:tc>
          <w:tcPr>
            <w:tcW w:w="1611" w:type="dxa"/>
            <w:tcBorders>
              <w:top w:val="single" w:sz="12" w:space="0" w:color="auto"/>
              <w:left w:val="single" w:sz="6" w:space="0" w:color="auto"/>
              <w:bottom w:val="single" w:sz="6" w:space="0" w:color="auto"/>
              <w:right w:val="single" w:sz="6" w:space="0" w:color="auto"/>
            </w:tcBorders>
            <w:hideMark/>
          </w:tcPr>
          <w:p w:rsidR="00EB786C" w:rsidRPr="00DD2A86" w:rsidRDefault="00EB786C" w:rsidP="001644F6">
            <w:pPr>
              <w:suppressAutoHyphens w:val="0"/>
              <w:spacing w:line="240" w:lineRule="auto"/>
              <w:jc w:val="center"/>
              <w:rPr>
                <w:b/>
                <w:bCs/>
                <w:color w:val="000000"/>
                <w:sz w:val="18"/>
                <w:szCs w:val="18"/>
                <w:lang w:val="de-DE" w:eastAsia="de-DE"/>
              </w:rPr>
            </w:pPr>
            <w:r w:rsidRPr="00DD2A86">
              <w:rPr>
                <w:b/>
                <w:color w:val="000000"/>
                <w:sz w:val="18"/>
                <w:szCs w:val="18"/>
                <w:lang w:val="de-DE" w:eastAsia="de-DE"/>
              </w:rPr>
              <w:t>Norm</w:t>
            </w:r>
          </w:p>
        </w:tc>
        <w:tc>
          <w:tcPr>
            <w:tcW w:w="3080" w:type="dxa"/>
            <w:tcBorders>
              <w:top w:val="single" w:sz="12" w:space="0" w:color="auto"/>
              <w:left w:val="single" w:sz="6" w:space="0" w:color="auto"/>
              <w:bottom w:val="single" w:sz="6" w:space="0" w:color="auto"/>
              <w:right w:val="single" w:sz="6" w:space="0" w:color="auto"/>
            </w:tcBorders>
            <w:hideMark/>
          </w:tcPr>
          <w:p w:rsidR="00EB786C" w:rsidRPr="00DD2A86" w:rsidRDefault="00EB786C" w:rsidP="001644F6">
            <w:pPr>
              <w:suppressAutoHyphens w:val="0"/>
              <w:spacing w:line="240" w:lineRule="auto"/>
              <w:jc w:val="center"/>
              <w:rPr>
                <w:b/>
                <w:bCs/>
                <w:color w:val="000000"/>
                <w:sz w:val="18"/>
                <w:szCs w:val="18"/>
                <w:lang w:val="de-DE" w:eastAsia="de-DE"/>
              </w:rPr>
            </w:pPr>
            <w:r w:rsidRPr="00DD2A86">
              <w:rPr>
                <w:b/>
                <w:color w:val="000000"/>
                <w:sz w:val="18"/>
                <w:szCs w:val="18"/>
                <w:lang w:val="de-DE" w:eastAsia="de-DE"/>
              </w:rPr>
              <w:t>Zurückweisungskriterien</w:t>
            </w:r>
          </w:p>
        </w:tc>
        <w:tc>
          <w:tcPr>
            <w:tcW w:w="1843" w:type="dxa"/>
            <w:tcBorders>
              <w:top w:val="single" w:sz="12" w:space="0" w:color="auto"/>
              <w:left w:val="single" w:sz="6" w:space="0" w:color="auto"/>
              <w:bottom w:val="single" w:sz="6" w:space="0" w:color="auto"/>
              <w:right w:val="single" w:sz="6" w:space="0" w:color="auto"/>
            </w:tcBorders>
            <w:hideMark/>
          </w:tcPr>
          <w:p w:rsidR="00EB786C" w:rsidRPr="00DD2A86" w:rsidRDefault="00EB786C" w:rsidP="001644F6">
            <w:pPr>
              <w:suppressAutoHyphens w:val="0"/>
              <w:spacing w:line="240" w:lineRule="auto"/>
              <w:jc w:val="center"/>
              <w:rPr>
                <w:b/>
                <w:bCs/>
                <w:color w:val="000000"/>
                <w:sz w:val="18"/>
                <w:szCs w:val="18"/>
                <w:lang w:val="de-DE" w:eastAsia="de-DE"/>
              </w:rPr>
            </w:pPr>
            <w:r w:rsidRPr="00DD2A86">
              <w:rPr>
                <w:b/>
                <w:color w:val="000000"/>
                <w:sz w:val="18"/>
                <w:szCs w:val="18"/>
                <w:lang w:val="de-DE" w:eastAsia="de-DE"/>
              </w:rPr>
              <w:t>Bildung einer Stichprobe aus einer Untergruppe</w:t>
            </w:r>
          </w:p>
        </w:tc>
      </w:tr>
      <w:tr w:rsidR="00EB786C" w:rsidRPr="00E139A8" w:rsidTr="001644F6">
        <w:tc>
          <w:tcPr>
            <w:tcW w:w="1134" w:type="dxa"/>
            <w:vMerge w:val="restart"/>
            <w:tcBorders>
              <w:top w:val="single" w:sz="6" w:space="0" w:color="auto"/>
              <w:left w:val="single" w:sz="12" w:space="0" w:color="auto"/>
              <w:right w:val="single" w:sz="6" w:space="0" w:color="auto"/>
            </w:tcBorders>
            <w:hideMark/>
          </w:tcPr>
          <w:p w:rsidR="00EB786C" w:rsidRPr="00DD2A86" w:rsidRDefault="00EB786C" w:rsidP="001644F6">
            <w:pPr>
              <w:suppressAutoHyphens w:val="0"/>
              <w:spacing w:line="240" w:lineRule="auto"/>
              <w:jc w:val="center"/>
              <w:rPr>
                <w:color w:val="000000"/>
                <w:sz w:val="18"/>
                <w:szCs w:val="18"/>
                <w:lang w:val="de-DE" w:eastAsia="de-DE"/>
              </w:rPr>
            </w:pPr>
            <w:r w:rsidRPr="00DD2A86">
              <w:rPr>
                <w:color w:val="000000"/>
                <w:sz w:val="18"/>
                <w:szCs w:val="18"/>
                <w:lang w:val="de-DE" w:eastAsia="de-DE"/>
              </w:rPr>
              <w:t>nach 3 Jahren Betrieb (siehe Absatz f))</w:t>
            </w:r>
          </w:p>
        </w:tc>
        <w:tc>
          <w:tcPr>
            <w:tcW w:w="1134" w:type="dxa"/>
            <w:tcBorders>
              <w:top w:val="single" w:sz="6" w:space="0" w:color="auto"/>
              <w:left w:val="single" w:sz="6" w:space="0" w:color="auto"/>
              <w:right w:val="single" w:sz="6" w:space="0" w:color="auto"/>
            </w:tcBorders>
            <w:hideMark/>
          </w:tcPr>
          <w:p w:rsidR="00EB786C" w:rsidRPr="00DD2A86" w:rsidRDefault="00EB786C" w:rsidP="001644F6">
            <w:pPr>
              <w:suppressAutoHyphens w:val="0"/>
              <w:spacing w:line="240" w:lineRule="auto"/>
              <w:jc w:val="center"/>
              <w:rPr>
                <w:color w:val="000000"/>
                <w:sz w:val="18"/>
                <w:szCs w:val="18"/>
                <w:lang w:val="de-DE" w:eastAsia="de-DE"/>
              </w:rPr>
            </w:pPr>
            <w:r w:rsidRPr="00DD2A86">
              <w:rPr>
                <w:color w:val="000000"/>
                <w:sz w:val="18"/>
                <w:szCs w:val="18"/>
                <w:lang w:val="de-DE" w:eastAsia="de-DE"/>
              </w:rPr>
              <w:t>Berst</w:t>
            </w:r>
            <w:r w:rsidRPr="00DD2A86">
              <w:rPr>
                <w:color w:val="000000"/>
                <w:sz w:val="18"/>
                <w:szCs w:val="18"/>
                <w:lang w:val="de-DE" w:eastAsia="de-DE"/>
              </w:rPr>
              <w:softHyphen/>
              <w:t>prüfung</w:t>
            </w:r>
          </w:p>
        </w:tc>
        <w:tc>
          <w:tcPr>
            <w:tcW w:w="1611" w:type="dxa"/>
            <w:tcBorders>
              <w:top w:val="single" w:sz="6" w:space="0" w:color="auto"/>
              <w:left w:val="single" w:sz="6" w:space="0" w:color="auto"/>
              <w:right w:val="single" w:sz="6" w:space="0" w:color="auto"/>
            </w:tcBorders>
            <w:hideMark/>
          </w:tcPr>
          <w:p w:rsidR="00EB786C" w:rsidRPr="00DD2A86" w:rsidRDefault="00EB786C" w:rsidP="001644F6">
            <w:pPr>
              <w:suppressAutoHyphens w:val="0"/>
              <w:spacing w:line="240" w:lineRule="auto"/>
              <w:jc w:val="center"/>
              <w:rPr>
                <w:color w:val="000000"/>
                <w:sz w:val="18"/>
                <w:szCs w:val="18"/>
                <w:lang w:val="de-DE" w:eastAsia="de-DE"/>
              </w:rPr>
            </w:pPr>
            <w:r w:rsidRPr="00DD2A86">
              <w:rPr>
                <w:color w:val="000000"/>
                <w:sz w:val="18"/>
                <w:szCs w:val="18"/>
                <w:lang w:val="de-DE" w:eastAsia="de-DE"/>
              </w:rPr>
              <w:t>EN 1442:2017</w:t>
            </w:r>
          </w:p>
        </w:tc>
        <w:tc>
          <w:tcPr>
            <w:tcW w:w="3080" w:type="dxa"/>
            <w:tcBorders>
              <w:top w:val="single" w:sz="6" w:space="0" w:color="auto"/>
              <w:left w:val="single" w:sz="6" w:space="0" w:color="auto"/>
              <w:right w:val="single" w:sz="6" w:space="0" w:color="auto"/>
            </w:tcBorders>
            <w:hideMark/>
          </w:tcPr>
          <w:p w:rsidR="00EB786C" w:rsidRPr="00DD2A86" w:rsidRDefault="00EB786C" w:rsidP="001644F6">
            <w:pPr>
              <w:suppressAutoHyphens w:val="0"/>
              <w:spacing w:line="240" w:lineRule="auto"/>
              <w:jc w:val="center"/>
              <w:rPr>
                <w:color w:val="000000"/>
                <w:sz w:val="18"/>
                <w:szCs w:val="18"/>
                <w:lang w:val="de-DE" w:eastAsia="de-DE"/>
              </w:rPr>
            </w:pPr>
            <w:r w:rsidRPr="00DD2A86">
              <w:rPr>
                <w:color w:val="000000"/>
                <w:sz w:val="18"/>
                <w:szCs w:val="18"/>
                <w:lang w:val="de-DE" w:eastAsia="de-DE"/>
              </w:rPr>
              <w:t>Berstdruckpunkt der repräsentativen Stichprobe muss über dem unteren Grenzwert des Toleranzintervalls im Stichproben-Arbeitsdiagramm liegen</w:t>
            </w:r>
          </w:p>
          <w:p w:rsidR="00EB786C" w:rsidRPr="00DD2A86" w:rsidRDefault="00EB786C" w:rsidP="001644F6">
            <w:pPr>
              <w:suppressAutoHyphens w:val="0"/>
              <w:spacing w:line="240" w:lineRule="auto"/>
              <w:jc w:val="center"/>
              <w:rPr>
                <w:color w:val="000000"/>
                <w:sz w:val="18"/>
                <w:szCs w:val="18"/>
                <w:lang w:val="de-DE" w:eastAsia="de-DE"/>
              </w:rPr>
            </w:pPr>
            <w:r w:rsidRPr="00DD2A86">
              <w:rPr>
                <w:color w:val="000000"/>
                <w:sz w:val="18"/>
                <w:szCs w:val="18"/>
                <w:lang w:val="de-DE" w:eastAsia="de-DE"/>
              </w:rPr>
              <w:t>Ω</w:t>
            </w:r>
            <w:r w:rsidRPr="00DD2A86">
              <w:rPr>
                <w:color w:val="000000"/>
                <w:sz w:val="18"/>
                <w:szCs w:val="18"/>
                <w:vertAlign w:val="subscript"/>
                <w:lang w:val="de-DE" w:eastAsia="de-DE"/>
              </w:rPr>
              <w:t>m</w:t>
            </w:r>
            <w:r w:rsidRPr="00DD2A86" w:rsidDel="00250403">
              <w:rPr>
                <w:color w:val="000000"/>
                <w:sz w:val="18"/>
                <w:szCs w:val="18"/>
                <w:lang w:val="de-DE" w:eastAsia="de-DE"/>
              </w:rPr>
              <w:t xml:space="preserve"> </w:t>
            </w:r>
            <w:r w:rsidRPr="00DD2A86">
              <w:rPr>
                <w:color w:val="000000"/>
                <w:sz w:val="18"/>
                <w:szCs w:val="18"/>
                <w:lang w:val="de-DE" w:eastAsia="de-DE"/>
              </w:rPr>
              <w:t>≥ 1 + Ω</w:t>
            </w:r>
            <w:r w:rsidRPr="00DD2A86">
              <w:rPr>
                <w:color w:val="000000"/>
                <w:sz w:val="18"/>
                <w:szCs w:val="18"/>
                <w:vertAlign w:val="subscript"/>
                <w:lang w:val="de-DE" w:eastAsia="de-DE"/>
              </w:rPr>
              <w:t xml:space="preserve">s </w:t>
            </w:r>
            <w:r w:rsidRPr="00DD2A86">
              <w:rPr>
                <w:color w:val="000000"/>
                <w:sz w:val="18"/>
                <w:szCs w:val="18"/>
                <w:lang w:val="de-DE" w:eastAsia="de-DE"/>
              </w:rPr>
              <w:t xml:space="preserve">× k3(n;p;1-α) </w:t>
            </w:r>
            <w:r w:rsidRPr="00DD2A86">
              <w:rPr>
                <w:color w:val="000000"/>
                <w:sz w:val="18"/>
                <w:szCs w:val="18"/>
                <w:vertAlign w:val="superscript"/>
                <w:lang w:val="de-DE" w:eastAsia="de-DE"/>
              </w:rPr>
              <w:t>a</w:t>
            </w:r>
          </w:p>
          <w:p w:rsidR="00EB786C" w:rsidRPr="00DD2A86" w:rsidRDefault="00EB786C" w:rsidP="001644F6">
            <w:pPr>
              <w:suppressAutoHyphens w:val="0"/>
              <w:spacing w:line="240" w:lineRule="auto"/>
              <w:jc w:val="center"/>
              <w:rPr>
                <w:color w:val="000000"/>
                <w:sz w:val="18"/>
                <w:szCs w:val="18"/>
                <w:lang w:val="de-DE" w:eastAsia="de-DE"/>
              </w:rPr>
            </w:pPr>
          </w:p>
          <w:p w:rsidR="00EB786C" w:rsidRPr="00DD2A86" w:rsidRDefault="00EB786C" w:rsidP="001644F6">
            <w:pPr>
              <w:suppressAutoHyphens w:val="0"/>
              <w:spacing w:line="240" w:lineRule="auto"/>
              <w:jc w:val="center"/>
              <w:rPr>
                <w:color w:val="000000"/>
                <w:sz w:val="18"/>
                <w:szCs w:val="18"/>
                <w:lang w:val="de-DE" w:eastAsia="de-DE"/>
              </w:rPr>
            </w:pPr>
            <w:r w:rsidRPr="00DD2A86">
              <w:rPr>
                <w:color w:val="000000"/>
                <w:sz w:val="18"/>
                <w:szCs w:val="18"/>
                <w:lang w:val="de-DE" w:eastAsia="de-DE"/>
              </w:rPr>
              <w:t>kein einzelnes Prüfergebnis darf geringer sein als der Prüfdruck</w:t>
            </w:r>
          </w:p>
        </w:tc>
        <w:tc>
          <w:tcPr>
            <w:tcW w:w="1843" w:type="dxa"/>
            <w:tcBorders>
              <w:top w:val="single" w:sz="6" w:space="0" w:color="auto"/>
              <w:left w:val="single" w:sz="6" w:space="0" w:color="auto"/>
              <w:right w:val="single" w:sz="6" w:space="0" w:color="auto"/>
            </w:tcBorders>
            <w:hideMark/>
          </w:tcPr>
          <w:p w:rsidR="00EB786C" w:rsidRPr="00DD2A86" w:rsidRDefault="00EB786C" w:rsidP="001644F6">
            <w:pPr>
              <w:suppressAutoHyphens w:val="0"/>
              <w:spacing w:line="240" w:lineRule="auto"/>
              <w:jc w:val="center"/>
              <w:rPr>
                <w:color w:val="000000"/>
                <w:sz w:val="18"/>
                <w:szCs w:val="18"/>
                <w:lang w:val="de-DE" w:eastAsia="de-DE"/>
              </w:rPr>
            </w:pPr>
            <w:r w:rsidRPr="00DD2A86">
              <w:rPr>
                <w:color w:val="000000"/>
                <w:sz w:val="18"/>
                <w:szCs w:val="18"/>
                <w:lang w:val="de-DE" w:eastAsia="de-DE"/>
              </w:rPr>
              <w:object w:dxaOrig="460" w:dyaOrig="320">
                <v:shape id="_x0000_i1030" type="#_x0000_t75" style="width:22.45pt;height:15.55pt" o:ole="">
                  <v:imagedata r:id="rId55" o:title=""/>
                </v:shape>
                <o:OLEObject Type="Embed" ProgID="Equation.3" ShapeID="_x0000_i1030" DrawAspect="Content" ObjectID="_1591797756" r:id="rId56"/>
              </w:object>
            </w:r>
            <w:r w:rsidRPr="00DD2A86">
              <w:rPr>
                <w:color w:val="000000"/>
                <w:sz w:val="18"/>
                <w:szCs w:val="18"/>
                <w:lang w:val="de-DE" w:eastAsia="de-DE"/>
              </w:rPr>
              <w:t xml:space="preserve"> oder </w:t>
            </w:r>
            <w:r w:rsidRPr="00DD2A86">
              <w:rPr>
                <w:color w:val="000000"/>
                <w:sz w:val="18"/>
                <w:szCs w:val="18"/>
                <w:lang w:val="de-DE" w:eastAsia="de-DE"/>
              </w:rPr>
              <w:object w:dxaOrig="620" w:dyaOrig="240">
                <v:shape id="_x0000_i1031" type="#_x0000_t75" style="width:31.7pt;height:11.5pt" o:ole="">
                  <v:imagedata r:id="rId57" o:title=""/>
                </v:shape>
                <o:OLEObject Type="Embed" ProgID="Equation.3" ShapeID="_x0000_i1031" DrawAspect="Content" ObjectID="_1591797757" r:id="rId58"/>
              </w:object>
            </w:r>
            <w:r w:rsidRPr="00DD2A86">
              <w:rPr>
                <w:color w:val="000000"/>
                <w:sz w:val="18"/>
                <w:szCs w:val="18"/>
                <w:lang w:val="de-DE" w:eastAsia="de-DE"/>
              </w:rPr>
              <w:t>, je nachdem, welcher der beiden Werte geringer ist,</w:t>
            </w:r>
          </w:p>
          <w:p w:rsidR="00EB786C" w:rsidRPr="00DD2A86" w:rsidRDefault="00EB786C" w:rsidP="001644F6">
            <w:pPr>
              <w:suppressAutoHyphens w:val="0"/>
              <w:spacing w:line="240" w:lineRule="auto"/>
              <w:jc w:val="center"/>
              <w:rPr>
                <w:color w:val="000000"/>
                <w:sz w:val="18"/>
                <w:szCs w:val="18"/>
                <w:lang w:val="de-DE" w:eastAsia="de-DE"/>
              </w:rPr>
            </w:pPr>
            <w:r w:rsidRPr="00DD2A86">
              <w:rPr>
                <w:color w:val="000000"/>
                <w:sz w:val="18"/>
                <w:szCs w:val="18"/>
                <w:lang w:val="de-DE" w:eastAsia="de-DE"/>
              </w:rPr>
              <w:t>und</w:t>
            </w:r>
          </w:p>
          <w:p w:rsidR="00EB786C" w:rsidRPr="00DD2A86" w:rsidRDefault="00EB786C" w:rsidP="001644F6">
            <w:pPr>
              <w:suppressAutoHyphens w:val="0"/>
              <w:spacing w:line="240" w:lineRule="auto"/>
              <w:jc w:val="center"/>
              <w:rPr>
                <w:color w:val="000000"/>
                <w:sz w:val="18"/>
                <w:szCs w:val="18"/>
                <w:lang w:val="de-DE" w:eastAsia="de-DE"/>
              </w:rPr>
            </w:pPr>
            <w:r w:rsidRPr="00DD2A86">
              <w:rPr>
                <w:color w:val="000000"/>
                <w:sz w:val="18"/>
                <w:szCs w:val="18"/>
                <w:lang w:val="de-DE" w:eastAsia="de-DE"/>
              </w:rPr>
              <w:t>mindestens 20 pro Untergruppe (Q)</w:t>
            </w:r>
          </w:p>
        </w:tc>
      </w:tr>
      <w:tr w:rsidR="00EB786C" w:rsidRPr="00DD2A86" w:rsidTr="001644F6">
        <w:tc>
          <w:tcPr>
            <w:tcW w:w="1134" w:type="dxa"/>
            <w:vMerge/>
            <w:tcBorders>
              <w:left w:val="single" w:sz="12" w:space="0" w:color="auto"/>
              <w:right w:val="single" w:sz="6" w:space="0" w:color="auto"/>
            </w:tcBorders>
            <w:vAlign w:val="center"/>
            <w:hideMark/>
          </w:tcPr>
          <w:p w:rsidR="00EB786C" w:rsidRPr="00DD2A86" w:rsidRDefault="00EB786C" w:rsidP="001644F6">
            <w:pPr>
              <w:suppressAutoHyphens w:val="0"/>
              <w:spacing w:line="240" w:lineRule="auto"/>
              <w:jc w:val="center"/>
              <w:rPr>
                <w:color w:val="000000"/>
                <w:sz w:val="18"/>
                <w:szCs w:val="18"/>
                <w:lang w:val="de-DE" w:eastAsia="de-DE"/>
              </w:rPr>
            </w:pPr>
          </w:p>
        </w:tc>
        <w:tc>
          <w:tcPr>
            <w:tcW w:w="113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EB786C" w:rsidRPr="00DD2A86" w:rsidRDefault="00EB786C" w:rsidP="001644F6">
            <w:pPr>
              <w:suppressAutoHyphens w:val="0"/>
              <w:spacing w:line="240" w:lineRule="auto"/>
              <w:jc w:val="center"/>
              <w:rPr>
                <w:color w:val="000000"/>
                <w:sz w:val="18"/>
                <w:szCs w:val="18"/>
                <w:lang w:val="de-DE" w:eastAsia="de-DE"/>
              </w:rPr>
            </w:pPr>
            <w:r w:rsidRPr="00DD2A86">
              <w:rPr>
                <w:color w:val="000000"/>
                <w:sz w:val="18"/>
                <w:szCs w:val="18"/>
                <w:lang w:val="de-DE" w:eastAsia="de-DE"/>
              </w:rPr>
              <w:t>Ab</w:t>
            </w:r>
            <w:r w:rsidRPr="00DD2A86">
              <w:rPr>
                <w:color w:val="000000"/>
                <w:sz w:val="18"/>
                <w:szCs w:val="18"/>
                <w:lang w:val="de-DE" w:eastAsia="de-DE"/>
              </w:rPr>
              <w:softHyphen/>
              <w:t>schä</w:t>
            </w:r>
            <w:r w:rsidRPr="00DD2A86">
              <w:rPr>
                <w:color w:val="000000"/>
                <w:sz w:val="18"/>
                <w:szCs w:val="18"/>
                <w:lang w:val="de-DE" w:eastAsia="de-DE"/>
              </w:rPr>
              <w:softHyphen/>
              <w:t>lung</w:t>
            </w:r>
            <w:r w:rsidRPr="00DD2A86">
              <w:rPr>
                <w:color w:val="000000"/>
                <w:sz w:val="18"/>
                <w:szCs w:val="18"/>
                <w:lang w:val="de-DE" w:eastAsia="de-DE"/>
              </w:rPr>
              <w:br/>
              <w:t>und</w:t>
            </w:r>
            <w:r w:rsidRPr="00DD2A86">
              <w:rPr>
                <w:color w:val="000000"/>
                <w:sz w:val="18"/>
                <w:szCs w:val="18"/>
                <w:lang w:val="de-DE" w:eastAsia="de-DE"/>
              </w:rPr>
              <w:br/>
              <w:t>Korrosion</w:t>
            </w:r>
          </w:p>
        </w:tc>
        <w:tc>
          <w:tcPr>
            <w:tcW w:w="161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EB786C" w:rsidRPr="00DD2A86" w:rsidRDefault="00EB786C" w:rsidP="001644F6">
            <w:pPr>
              <w:suppressAutoHyphens w:val="0"/>
              <w:spacing w:line="240" w:lineRule="auto"/>
              <w:jc w:val="center"/>
              <w:rPr>
                <w:color w:val="000000"/>
                <w:sz w:val="18"/>
                <w:szCs w:val="18"/>
                <w:lang w:val="de-DE" w:eastAsia="de-DE"/>
              </w:rPr>
            </w:pPr>
            <w:r w:rsidRPr="00DD2A86">
              <w:rPr>
                <w:color w:val="000000"/>
                <w:sz w:val="18"/>
                <w:szCs w:val="18"/>
                <w:lang w:val="de-DE" w:eastAsia="de-DE"/>
              </w:rPr>
              <w:t>EN ISO 4628-3:2016</w:t>
            </w:r>
          </w:p>
        </w:tc>
        <w:tc>
          <w:tcPr>
            <w:tcW w:w="308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EB786C" w:rsidRPr="00DD2A86" w:rsidRDefault="00EB786C" w:rsidP="001644F6">
            <w:pPr>
              <w:suppressAutoHyphens w:val="0"/>
              <w:spacing w:line="240" w:lineRule="auto"/>
              <w:jc w:val="center"/>
              <w:rPr>
                <w:color w:val="000000"/>
                <w:sz w:val="18"/>
                <w:szCs w:val="18"/>
                <w:lang w:val="de-DE" w:eastAsia="de-DE"/>
              </w:rPr>
            </w:pPr>
            <w:r w:rsidRPr="00DD2A86">
              <w:rPr>
                <w:color w:val="000000"/>
                <w:sz w:val="18"/>
                <w:szCs w:val="18"/>
                <w:lang w:val="de-DE" w:eastAsia="de-DE"/>
              </w:rPr>
              <w:t>höchster Korrosionsgrad:</w:t>
            </w:r>
          </w:p>
          <w:p w:rsidR="00EB786C" w:rsidRPr="00DD2A86" w:rsidRDefault="00EB786C" w:rsidP="001644F6">
            <w:pPr>
              <w:suppressAutoHyphens w:val="0"/>
              <w:spacing w:line="240" w:lineRule="auto"/>
              <w:jc w:val="center"/>
              <w:rPr>
                <w:color w:val="000000"/>
                <w:sz w:val="18"/>
                <w:szCs w:val="18"/>
                <w:lang w:val="de-DE" w:eastAsia="de-DE"/>
              </w:rPr>
            </w:pPr>
            <w:r w:rsidRPr="00DD2A86">
              <w:rPr>
                <w:color w:val="000000"/>
                <w:sz w:val="18"/>
                <w:szCs w:val="18"/>
                <w:lang w:val="de-DE" w:eastAsia="de-DE"/>
              </w:rPr>
              <w:t>Ri2</w:t>
            </w:r>
          </w:p>
        </w:tc>
        <w:tc>
          <w:tcPr>
            <w:tcW w:w="184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EB786C" w:rsidRPr="00DD2A86" w:rsidRDefault="00EB786C" w:rsidP="001644F6">
            <w:pPr>
              <w:suppressAutoHyphens w:val="0"/>
              <w:spacing w:line="240" w:lineRule="auto"/>
              <w:jc w:val="center"/>
              <w:rPr>
                <w:color w:val="000000"/>
                <w:sz w:val="18"/>
                <w:szCs w:val="18"/>
                <w:lang w:val="de-DE" w:eastAsia="de-DE"/>
              </w:rPr>
            </w:pPr>
            <w:r w:rsidRPr="00DD2A86">
              <w:rPr>
                <w:color w:val="000000"/>
                <w:sz w:val="18"/>
                <w:szCs w:val="18"/>
                <w:lang w:val="de-DE" w:eastAsia="de-DE"/>
              </w:rPr>
              <w:t>Q/1000</w:t>
            </w:r>
          </w:p>
        </w:tc>
      </w:tr>
      <w:tr w:rsidR="00EB786C" w:rsidRPr="00E139A8" w:rsidTr="001644F6">
        <w:tc>
          <w:tcPr>
            <w:tcW w:w="1134" w:type="dxa"/>
            <w:vMerge/>
            <w:tcBorders>
              <w:left w:val="single" w:sz="12" w:space="0" w:color="auto"/>
              <w:right w:val="single" w:sz="6" w:space="0" w:color="auto"/>
            </w:tcBorders>
            <w:tcMar>
              <w:top w:w="0" w:type="dxa"/>
              <w:left w:w="108" w:type="dxa"/>
              <w:bottom w:w="0" w:type="dxa"/>
              <w:right w:w="108" w:type="dxa"/>
            </w:tcMar>
          </w:tcPr>
          <w:p w:rsidR="00EB786C" w:rsidRPr="00DD2A86" w:rsidRDefault="00EB786C" w:rsidP="001644F6">
            <w:pPr>
              <w:suppressAutoHyphens w:val="0"/>
              <w:spacing w:line="240" w:lineRule="auto"/>
              <w:jc w:val="center"/>
              <w:rPr>
                <w:color w:val="000000"/>
                <w:sz w:val="18"/>
                <w:szCs w:val="18"/>
                <w:lang w:val="de-DE" w:eastAsia="de-DE"/>
              </w:rPr>
            </w:pPr>
          </w:p>
        </w:tc>
        <w:tc>
          <w:tcPr>
            <w:tcW w:w="1134" w:type="dxa"/>
            <w:tcBorders>
              <w:top w:val="single" w:sz="6" w:space="0" w:color="auto"/>
              <w:left w:val="single" w:sz="6" w:space="0" w:color="auto"/>
              <w:right w:val="single" w:sz="6" w:space="0" w:color="auto"/>
            </w:tcBorders>
            <w:tcMar>
              <w:top w:w="0" w:type="dxa"/>
              <w:left w:w="108" w:type="dxa"/>
              <w:bottom w:w="0" w:type="dxa"/>
              <w:right w:w="108" w:type="dxa"/>
            </w:tcMar>
          </w:tcPr>
          <w:p w:rsidR="00EB786C" w:rsidRPr="00DD2A86" w:rsidRDefault="00EB786C" w:rsidP="001644F6">
            <w:pPr>
              <w:suppressAutoHyphens w:val="0"/>
              <w:spacing w:line="240" w:lineRule="auto"/>
              <w:jc w:val="center"/>
              <w:rPr>
                <w:color w:val="000000"/>
                <w:sz w:val="18"/>
                <w:szCs w:val="18"/>
                <w:lang w:val="de-DE" w:eastAsia="de-DE"/>
              </w:rPr>
            </w:pPr>
            <w:r w:rsidRPr="00DD2A86">
              <w:rPr>
                <w:color w:val="000000"/>
                <w:sz w:val="18"/>
                <w:szCs w:val="18"/>
                <w:lang w:val="de-DE" w:eastAsia="de-DE"/>
              </w:rPr>
              <w:t>Haftfestigkeit des Poly</w:t>
            </w:r>
            <w:r w:rsidRPr="00DD2A86">
              <w:rPr>
                <w:color w:val="000000"/>
                <w:sz w:val="18"/>
                <w:szCs w:val="18"/>
                <w:lang w:val="de-DE" w:eastAsia="de-DE"/>
              </w:rPr>
              <w:softHyphen/>
              <w:t>urethans</w:t>
            </w:r>
          </w:p>
        </w:tc>
        <w:tc>
          <w:tcPr>
            <w:tcW w:w="1611" w:type="dxa"/>
            <w:tcBorders>
              <w:top w:val="single" w:sz="6" w:space="0" w:color="auto"/>
              <w:left w:val="single" w:sz="6" w:space="0" w:color="auto"/>
              <w:right w:val="single" w:sz="6" w:space="0" w:color="auto"/>
            </w:tcBorders>
            <w:tcMar>
              <w:top w:w="0" w:type="dxa"/>
              <w:left w:w="108" w:type="dxa"/>
              <w:bottom w:w="0" w:type="dxa"/>
              <w:right w:w="108" w:type="dxa"/>
            </w:tcMar>
          </w:tcPr>
          <w:p w:rsidR="00EB786C" w:rsidRPr="00DD2A86" w:rsidRDefault="00EB786C" w:rsidP="001644F6">
            <w:pPr>
              <w:suppressAutoHyphens w:val="0"/>
              <w:spacing w:line="240" w:lineRule="auto"/>
              <w:jc w:val="center"/>
              <w:rPr>
                <w:color w:val="000000"/>
                <w:sz w:val="18"/>
                <w:szCs w:val="18"/>
                <w:lang w:val="fr-FR" w:eastAsia="de-DE"/>
              </w:rPr>
            </w:pPr>
            <w:r w:rsidRPr="00DD2A86">
              <w:rPr>
                <w:color w:val="000000"/>
                <w:sz w:val="18"/>
                <w:szCs w:val="18"/>
                <w:lang w:val="fr-FR" w:eastAsia="de-DE"/>
              </w:rPr>
              <w:t>ISO 2859-1:1999 + A1:2011</w:t>
            </w:r>
          </w:p>
          <w:p w:rsidR="00EB786C" w:rsidRPr="00DD2A86" w:rsidRDefault="00EB786C" w:rsidP="001644F6">
            <w:pPr>
              <w:suppressAutoHyphens w:val="0"/>
              <w:spacing w:line="240" w:lineRule="auto"/>
              <w:jc w:val="center"/>
              <w:rPr>
                <w:color w:val="000000"/>
                <w:sz w:val="18"/>
                <w:szCs w:val="18"/>
                <w:lang w:val="fr-FR" w:eastAsia="de-DE"/>
              </w:rPr>
            </w:pPr>
            <w:r w:rsidRPr="00DD2A86">
              <w:rPr>
                <w:color w:val="000000"/>
                <w:sz w:val="18"/>
                <w:szCs w:val="18"/>
                <w:lang w:val="fr-FR" w:eastAsia="de-DE"/>
              </w:rPr>
              <w:t>EN 1442:2017</w:t>
            </w:r>
          </w:p>
          <w:p w:rsidR="00EB786C" w:rsidRPr="00DD2A86" w:rsidRDefault="00EB786C" w:rsidP="001644F6">
            <w:pPr>
              <w:suppressAutoHyphens w:val="0"/>
              <w:spacing w:line="240" w:lineRule="auto"/>
              <w:jc w:val="center"/>
              <w:rPr>
                <w:color w:val="000000"/>
                <w:sz w:val="18"/>
                <w:szCs w:val="18"/>
                <w:lang w:val="fr-FR" w:eastAsia="de-DE"/>
              </w:rPr>
            </w:pPr>
            <w:r w:rsidRPr="00DD2A86">
              <w:rPr>
                <w:color w:val="000000"/>
                <w:sz w:val="18"/>
                <w:szCs w:val="18"/>
                <w:lang w:val="fr-FR" w:eastAsia="de-DE"/>
              </w:rPr>
              <w:t>EN 14140:2014 + AC:2015</w:t>
            </w:r>
          </w:p>
        </w:tc>
        <w:tc>
          <w:tcPr>
            <w:tcW w:w="308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EB786C" w:rsidRPr="00DD2A86" w:rsidRDefault="00EB786C" w:rsidP="001644F6">
            <w:pPr>
              <w:suppressAutoHyphens w:val="0"/>
              <w:spacing w:line="240" w:lineRule="auto"/>
              <w:jc w:val="center"/>
              <w:rPr>
                <w:color w:val="000000"/>
                <w:sz w:val="18"/>
                <w:szCs w:val="18"/>
                <w:lang w:val="de-DE" w:eastAsia="de-DE"/>
              </w:rPr>
            </w:pPr>
            <w:r w:rsidRPr="00DD2A86">
              <w:rPr>
                <w:color w:val="000000"/>
                <w:sz w:val="18"/>
                <w:szCs w:val="18"/>
                <w:lang w:val="de-DE" w:eastAsia="de-DE"/>
              </w:rPr>
              <w:t>Haftfestigkeitswert &gt; 0,5 N/mm²</w:t>
            </w:r>
          </w:p>
        </w:tc>
        <w:tc>
          <w:tcPr>
            <w:tcW w:w="1843" w:type="dxa"/>
            <w:tcBorders>
              <w:top w:val="single" w:sz="6" w:space="0" w:color="auto"/>
              <w:left w:val="single" w:sz="6" w:space="0" w:color="auto"/>
              <w:right w:val="single" w:sz="6" w:space="0" w:color="auto"/>
            </w:tcBorders>
            <w:tcMar>
              <w:top w:w="0" w:type="dxa"/>
              <w:left w:w="108" w:type="dxa"/>
              <w:bottom w:w="0" w:type="dxa"/>
              <w:right w:w="108" w:type="dxa"/>
            </w:tcMar>
          </w:tcPr>
          <w:p w:rsidR="00EB786C" w:rsidRPr="00DD2A86" w:rsidRDefault="00EB786C" w:rsidP="001644F6">
            <w:pPr>
              <w:suppressAutoHyphens w:val="0"/>
              <w:spacing w:line="240" w:lineRule="auto"/>
              <w:jc w:val="center"/>
              <w:rPr>
                <w:color w:val="000000"/>
                <w:sz w:val="18"/>
                <w:szCs w:val="18"/>
                <w:lang w:val="de-DE" w:eastAsia="de-DE"/>
              </w:rPr>
            </w:pPr>
            <w:r w:rsidRPr="00DD2A86">
              <w:rPr>
                <w:color w:val="000000"/>
                <w:sz w:val="18"/>
                <w:szCs w:val="18"/>
                <w:lang w:val="de-DE" w:eastAsia="de-DE"/>
              </w:rPr>
              <w:t>siehe ISO 2859-1:1999 + A1:2011, angewendet auf Q/1000</w:t>
            </w:r>
          </w:p>
        </w:tc>
      </w:tr>
      <w:tr w:rsidR="00EB786C" w:rsidRPr="00E139A8" w:rsidTr="001644F6">
        <w:tc>
          <w:tcPr>
            <w:tcW w:w="1134" w:type="dxa"/>
            <w:vMerge w:val="restart"/>
            <w:tcBorders>
              <w:top w:val="single" w:sz="6" w:space="0" w:color="auto"/>
              <w:left w:val="single" w:sz="12" w:space="0" w:color="auto"/>
              <w:right w:val="single" w:sz="6" w:space="0" w:color="auto"/>
            </w:tcBorders>
            <w:tcMar>
              <w:top w:w="0" w:type="dxa"/>
              <w:left w:w="108" w:type="dxa"/>
              <w:bottom w:w="0" w:type="dxa"/>
              <w:right w:w="108" w:type="dxa"/>
            </w:tcMar>
            <w:hideMark/>
          </w:tcPr>
          <w:p w:rsidR="00EB786C" w:rsidRPr="00DD2A86" w:rsidRDefault="00EB786C" w:rsidP="001644F6">
            <w:pPr>
              <w:suppressAutoHyphens w:val="0"/>
              <w:spacing w:line="240" w:lineRule="auto"/>
              <w:jc w:val="center"/>
              <w:rPr>
                <w:color w:val="000000"/>
                <w:sz w:val="18"/>
                <w:szCs w:val="18"/>
                <w:lang w:val="de-DE" w:eastAsia="de-DE"/>
              </w:rPr>
            </w:pPr>
            <w:r w:rsidRPr="00DD2A86">
              <w:rPr>
                <w:color w:val="000000"/>
                <w:sz w:val="18"/>
                <w:szCs w:val="18"/>
                <w:lang w:val="de-DE" w:eastAsia="de-DE"/>
              </w:rPr>
              <w:t>danach alle 5 Jahre (siehe Absatz f))</w:t>
            </w:r>
          </w:p>
        </w:tc>
        <w:tc>
          <w:tcPr>
            <w:tcW w:w="1134" w:type="dxa"/>
            <w:tcBorders>
              <w:top w:val="single" w:sz="6" w:space="0" w:color="auto"/>
              <w:left w:val="single" w:sz="6" w:space="0" w:color="auto"/>
              <w:right w:val="single" w:sz="6" w:space="0" w:color="auto"/>
            </w:tcBorders>
            <w:tcMar>
              <w:top w:w="0" w:type="dxa"/>
              <w:left w:w="108" w:type="dxa"/>
              <w:bottom w:w="0" w:type="dxa"/>
              <w:right w:w="108" w:type="dxa"/>
            </w:tcMar>
            <w:hideMark/>
          </w:tcPr>
          <w:p w:rsidR="00EB786C" w:rsidRPr="00DD2A86" w:rsidRDefault="00EB786C" w:rsidP="001644F6">
            <w:pPr>
              <w:suppressAutoHyphens w:val="0"/>
              <w:spacing w:line="240" w:lineRule="auto"/>
              <w:jc w:val="center"/>
              <w:rPr>
                <w:color w:val="000000"/>
                <w:sz w:val="18"/>
                <w:szCs w:val="18"/>
                <w:lang w:val="de-DE" w:eastAsia="de-DE"/>
              </w:rPr>
            </w:pPr>
            <w:r w:rsidRPr="00DD2A86">
              <w:rPr>
                <w:color w:val="000000"/>
                <w:sz w:val="18"/>
                <w:szCs w:val="18"/>
                <w:lang w:val="de-DE" w:eastAsia="de-DE"/>
              </w:rPr>
              <w:t>Berst-prüfung</w:t>
            </w:r>
          </w:p>
        </w:tc>
        <w:tc>
          <w:tcPr>
            <w:tcW w:w="1611" w:type="dxa"/>
            <w:tcBorders>
              <w:top w:val="single" w:sz="6" w:space="0" w:color="auto"/>
              <w:left w:val="single" w:sz="6" w:space="0" w:color="auto"/>
              <w:right w:val="single" w:sz="6" w:space="0" w:color="auto"/>
            </w:tcBorders>
            <w:tcMar>
              <w:top w:w="0" w:type="dxa"/>
              <w:left w:w="108" w:type="dxa"/>
              <w:bottom w:w="0" w:type="dxa"/>
              <w:right w:w="108" w:type="dxa"/>
            </w:tcMar>
            <w:hideMark/>
          </w:tcPr>
          <w:p w:rsidR="00EB786C" w:rsidRPr="00DD2A86" w:rsidRDefault="00EB786C" w:rsidP="001644F6">
            <w:pPr>
              <w:suppressAutoHyphens w:val="0"/>
              <w:spacing w:line="240" w:lineRule="auto"/>
              <w:jc w:val="center"/>
              <w:rPr>
                <w:color w:val="000000"/>
                <w:sz w:val="18"/>
                <w:szCs w:val="18"/>
                <w:lang w:val="de-DE" w:eastAsia="de-DE"/>
              </w:rPr>
            </w:pPr>
            <w:r w:rsidRPr="00DD2A86">
              <w:rPr>
                <w:color w:val="000000"/>
                <w:sz w:val="18"/>
                <w:szCs w:val="18"/>
                <w:lang w:val="de-DE" w:eastAsia="de-DE"/>
              </w:rPr>
              <w:t>EN 1442:2017</w:t>
            </w:r>
          </w:p>
        </w:tc>
        <w:tc>
          <w:tcPr>
            <w:tcW w:w="308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EB786C" w:rsidRPr="00DD2A86" w:rsidRDefault="00EB786C" w:rsidP="001644F6">
            <w:pPr>
              <w:suppressAutoHyphens w:val="0"/>
              <w:spacing w:line="240" w:lineRule="auto"/>
              <w:jc w:val="center"/>
              <w:rPr>
                <w:color w:val="000000"/>
                <w:sz w:val="18"/>
                <w:szCs w:val="18"/>
                <w:lang w:val="de-DE" w:eastAsia="de-DE"/>
              </w:rPr>
            </w:pPr>
            <w:r w:rsidRPr="00DD2A86">
              <w:rPr>
                <w:color w:val="000000"/>
                <w:sz w:val="18"/>
                <w:szCs w:val="18"/>
                <w:lang w:val="de-DE" w:eastAsia="de-DE"/>
              </w:rPr>
              <w:t>Berstdruckpunkt der repräsentativen Stichprobe muss über dem unteren Grenzwert des Toleranzintervalls im Stichproben-Arbeitsdiagramm liegen</w:t>
            </w:r>
          </w:p>
          <w:p w:rsidR="00EB786C" w:rsidRPr="00DD2A86" w:rsidRDefault="00EB786C" w:rsidP="001644F6">
            <w:pPr>
              <w:suppressAutoHyphens w:val="0"/>
              <w:spacing w:line="240" w:lineRule="auto"/>
              <w:jc w:val="center"/>
              <w:rPr>
                <w:color w:val="000000"/>
                <w:sz w:val="18"/>
                <w:szCs w:val="18"/>
                <w:lang w:val="de-DE" w:eastAsia="de-DE"/>
              </w:rPr>
            </w:pPr>
            <w:r w:rsidRPr="00DD2A86">
              <w:rPr>
                <w:color w:val="000000"/>
                <w:sz w:val="18"/>
                <w:szCs w:val="18"/>
                <w:lang w:val="de-DE" w:eastAsia="de-DE"/>
              </w:rPr>
              <w:t>Ω</w:t>
            </w:r>
            <w:r w:rsidRPr="00DD2A86">
              <w:rPr>
                <w:color w:val="000000"/>
                <w:sz w:val="18"/>
                <w:szCs w:val="18"/>
                <w:vertAlign w:val="subscript"/>
                <w:lang w:val="de-DE" w:eastAsia="de-DE"/>
              </w:rPr>
              <w:t>m</w:t>
            </w:r>
            <w:r w:rsidRPr="00DD2A86" w:rsidDel="00250403">
              <w:rPr>
                <w:color w:val="000000"/>
                <w:sz w:val="18"/>
                <w:szCs w:val="18"/>
                <w:lang w:val="de-DE" w:eastAsia="de-DE"/>
              </w:rPr>
              <w:t xml:space="preserve"> </w:t>
            </w:r>
            <w:r w:rsidRPr="00DD2A86">
              <w:rPr>
                <w:color w:val="000000"/>
                <w:sz w:val="18"/>
                <w:szCs w:val="18"/>
                <w:lang w:val="de-DE" w:eastAsia="de-DE"/>
              </w:rPr>
              <w:t>≥ 1 + Ω</w:t>
            </w:r>
            <w:r w:rsidRPr="00DD2A86">
              <w:rPr>
                <w:color w:val="000000"/>
                <w:sz w:val="18"/>
                <w:szCs w:val="18"/>
                <w:vertAlign w:val="subscript"/>
                <w:lang w:val="de-DE" w:eastAsia="de-DE"/>
              </w:rPr>
              <w:t xml:space="preserve">s </w:t>
            </w:r>
            <w:r w:rsidRPr="00DD2A86">
              <w:rPr>
                <w:color w:val="000000"/>
                <w:sz w:val="18"/>
                <w:szCs w:val="18"/>
                <w:lang w:val="de-DE" w:eastAsia="de-DE"/>
              </w:rPr>
              <w:t xml:space="preserve">× k3(n;p;1-α) </w:t>
            </w:r>
            <w:r w:rsidRPr="00DD2A86">
              <w:rPr>
                <w:color w:val="000000"/>
                <w:sz w:val="18"/>
                <w:szCs w:val="18"/>
                <w:vertAlign w:val="superscript"/>
                <w:lang w:val="de-DE" w:eastAsia="de-DE"/>
              </w:rPr>
              <w:t>a</w:t>
            </w:r>
          </w:p>
          <w:p w:rsidR="00EB786C" w:rsidRPr="00DD2A86" w:rsidRDefault="00EB786C" w:rsidP="001644F6">
            <w:pPr>
              <w:suppressAutoHyphens w:val="0"/>
              <w:spacing w:line="240" w:lineRule="auto"/>
              <w:jc w:val="center"/>
              <w:rPr>
                <w:color w:val="000000"/>
                <w:sz w:val="18"/>
                <w:szCs w:val="18"/>
                <w:lang w:val="de-DE" w:eastAsia="de-DE"/>
              </w:rPr>
            </w:pPr>
          </w:p>
          <w:p w:rsidR="00EB786C" w:rsidRPr="00DD2A86" w:rsidRDefault="00EB786C" w:rsidP="001644F6">
            <w:pPr>
              <w:suppressAutoHyphens w:val="0"/>
              <w:spacing w:line="240" w:lineRule="auto"/>
              <w:jc w:val="center"/>
              <w:rPr>
                <w:color w:val="000000"/>
                <w:sz w:val="18"/>
                <w:szCs w:val="18"/>
                <w:lang w:val="de-DE" w:eastAsia="de-DE"/>
              </w:rPr>
            </w:pPr>
            <w:r w:rsidRPr="00DD2A86">
              <w:rPr>
                <w:color w:val="000000"/>
                <w:sz w:val="18"/>
                <w:szCs w:val="18"/>
                <w:lang w:val="de-DE" w:eastAsia="de-DE"/>
              </w:rPr>
              <w:t>kein einzelnes Prüfergebnis darf geringer sein als der Prüfdruck</w:t>
            </w:r>
          </w:p>
        </w:tc>
        <w:tc>
          <w:tcPr>
            <w:tcW w:w="1843" w:type="dxa"/>
            <w:tcBorders>
              <w:top w:val="single" w:sz="6" w:space="0" w:color="auto"/>
              <w:left w:val="single" w:sz="6" w:space="0" w:color="auto"/>
              <w:right w:val="single" w:sz="6" w:space="0" w:color="auto"/>
            </w:tcBorders>
            <w:tcMar>
              <w:top w:w="0" w:type="dxa"/>
              <w:left w:w="108" w:type="dxa"/>
              <w:bottom w:w="0" w:type="dxa"/>
              <w:right w:w="108" w:type="dxa"/>
            </w:tcMar>
          </w:tcPr>
          <w:p w:rsidR="00EB786C" w:rsidRPr="00DD2A86" w:rsidRDefault="00EB786C" w:rsidP="001644F6">
            <w:pPr>
              <w:suppressAutoHyphens w:val="0"/>
              <w:spacing w:line="240" w:lineRule="auto"/>
              <w:jc w:val="center"/>
              <w:rPr>
                <w:color w:val="000000"/>
                <w:sz w:val="18"/>
                <w:szCs w:val="18"/>
                <w:lang w:val="de-DE" w:eastAsia="de-DE"/>
              </w:rPr>
            </w:pPr>
            <w:r w:rsidRPr="00DD2A86">
              <w:rPr>
                <w:color w:val="000000"/>
                <w:sz w:val="18"/>
                <w:szCs w:val="18"/>
                <w:lang w:val="de-DE" w:eastAsia="de-DE"/>
              </w:rPr>
              <w:object w:dxaOrig="460" w:dyaOrig="320">
                <v:shape id="_x0000_i1032" type="#_x0000_t75" style="width:22.45pt;height:15.55pt" o:ole="">
                  <v:imagedata r:id="rId59" o:title=""/>
                </v:shape>
                <o:OLEObject Type="Embed" ProgID="Equation.3" ShapeID="_x0000_i1032" DrawAspect="Content" ObjectID="_1591797758" r:id="rId60"/>
              </w:object>
            </w:r>
            <w:r w:rsidRPr="00DD2A86">
              <w:rPr>
                <w:color w:val="000000"/>
                <w:sz w:val="18"/>
                <w:szCs w:val="18"/>
                <w:lang w:val="de-DE" w:eastAsia="de-DE"/>
              </w:rPr>
              <w:t xml:space="preserve"> oder </w:t>
            </w:r>
            <w:r w:rsidRPr="00DD2A86">
              <w:rPr>
                <w:color w:val="000000"/>
                <w:sz w:val="18"/>
                <w:szCs w:val="18"/>
                <w:lang w:val="de-DE" w:eastAsia="de-DE"/>
              </w:rPr>
              <w:object w:dxaOrig="600" w:dyaOrig="240">
                <v:shape id="_x0000_i1033" type="#_x0000_t75" style="width:28.8pt;height:11.5pt" o:ole="">
                  <v:imagedata r:id="rId61" o:title=""/>
                </v:shape>
                <o:OLEObject Type="Embed" ProgID="Equation.3" ShapeID="_x0000_i1033" DrawAspect="Content" ObjectID="_1591797759" r:id="rId62"/>
              </w:object>
            </w:r>
            <w:r w:rsidRPr="00DD2A86">
              <w:rPr>
                <w:color w:val="000000"/>
                <w:sz w:val="18"/>
                <w:szCs w:val="18"/>
                <w:lang w:val="de-DE" w:eastAsia="de-DE"/>
              </w:rPr>
              <w:t>,</w:t>
            </w:r>
            <w:r w:rsidRPr="00DD2A86">
              <w:rPr>
                <w:color w:val="000000"/>
                <w:sz w:val="18"/>
                <w:szCs w:val="18"/>
                <w:lang w:val="de-DE" w:eastAsia="de-DE"/>
              </w:rPr>
              <w:br/>
              <w:t>je nachdem, welcher der beide</w:t>
            </w:r>
            <w:r w:rsidR="00016F35" w:rsidRPr="00DD2A86">
              <w:rPr>
                <w:color w:val="000000"/>
                <w:sz w:val="18"/>
                <w:szCs w:val="18"/>
                <w:lang w:val="de-DE" w:eastAsia="de-DE"/>
              </w:rPr>
              <w:t>n</w:t>
            </w:r>
            <w:r w:rsidRPr="00DD2A86">
              <w:rPr>
                <w:color w:val="000000"/>
                <w:sz w:val="18"/>
                <w:szCs w:val="18"/>
                <w:lang w:val="de-DE" w:eastAsia="de-DE"/>
              </w:rPr>
              <w:t xml:space="preserve"> Werte geringer ist,</w:t>
            </w:r>
          </w:p>
          <w:p w:rsidR="00EB786C" w:rsidRPr="00DD2A86" w:rsidRDefault="00EB786C" w:rsidP="001644F6">
            <w:pPr>
              <w:suppressAutoHyphens w:val="0"/>
              <w:spacing w:line="240" w:lineRule="auto"/>
              <w:jc w:val="center"/>
              <w:rPr>
                <w:color w:val="000000"/>
                <w:sz w:val="18"/>
                <w:szCs w:val="18"/>
                <w:lang w:val="de-DE" w:eastAsia="de-DE"/>
              </w:rPr>
            </w:pPr>
            <w:r w:rsidRPr="00DD2A86">
              <w:rPr>
                <w:color w:val="000000"/>
                <w:sz w:val="18"/>
                <w:szCs w:val="18"/>
                <w:lang w:val="de-DE" w:eastAsia="de-DE"/>
              </w:rPr>
              <w:t>und</w:t>
            </w:r>
          </w:p>
          <w:p w:rsidR="00EB786C" w:rsidRPr="00DD2A86" w:rsidRDefault="00EB786C" w:rsidP="001644F6">
            <w:pPr>
              <w:suppressAutoHyphens w:val="0"/>
              <w:spacing w:line="240" w:lineRule="auto"/>
              <w:jc w:val="center"/>
              <w:rPr>
                <w:color w:val="000000"/>
                <w:sz w:val="18"/>
                <w:szCs w:val="18"/>
                <w:lang w:val="de-DE" w:eastAsia="de-DE"/>
              </w:rPr>
            </w:pPr>
            <w:r w:rsidRPr="00DD2A86">
              <w:rPr>
                <w:color w:val="000000"/>
                <w:sz w:val="18"/>
                <w:szCs w:val="18"/>
                <w:lang w:val="de-DE" w:eastAsia="de-DE"/>
              </w:rPr>
              <w:t>mindestens 40 pro Untergruppe (Q)</w:t>
            </w:r>
          </w:p>
        </w:tc>
      </w:tr>
      <w:tr w:rsidR="00EB786C" w:rsidRPr="00DD2A86" w:rsidTr="001644F6">
        <w:tc>
          <w:tcPr>
            <w:tcW w:w="1134" w:type="dxa"/>
            <w:vMerge/>
            <w:tcBorders>
              <w:left w:val="single" w:sz="12" w:space="0" w:color="auto"/>
              <w:right w:val="single" w:sz="6" w:space="0" w:color="auto"/>
            </w:tcBorders>
            <w:vAlign w:val="center"/>
            <w:hideMark/>
          </w:tcPr>
          <w:p w:rsidR="00EB786C" w:rsidRPr="00DD2A86" w:rsidRDefault="00EB786C" w:rsidP="001644F6">
            <w:pPr>
              <w:suppressAutoHyphens w:val="0"/>
              <w:spacing w:line="240" w:lineRule="auto"/>
              <w:jc w:val="center"/>
              <w:rPr>
                <w:color w:val="000000"/>
                <w:sz w:val="18"/>
                <w:szCs w:val="18"/>
                <w:lang w:val="de-DE" w:eastAsia="de-DE"/>
              </w:rPr>
            </w:pPr>
          </w:p>
        </w:tc>
        <w:tc>
          <w:tcPr>
            <w:tcW w:w="113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EB786C" w:rsidRPr="00DD2A86" w:rsidRDefault="00EB786C" w:rsidP="001644F6">
            <w:pPr>
              <w:suppressAutoHyphens w:val="0"/>
              <w:spacing w:line="240" w:lineRule="auto"/>
              <w:jc w:val="center"/>
              <w:rPr>
                <w:color w:val="000000"/>
                <w:sz w:val="18"/>
                <w:szCs w:val="18"/>
                <w:lang w:val="de-DE" w:eastAsia="de-DE"/>
              </w:rPr>
            </w:pPr>
            <w:r w:rsidRPr="00DD2A86">
              <w:rPr>
                <w:color w:val="000000"/>
                <w:sz w:val="18"/>
                <w:szCs w:val="18"/>
                <w:lang w:val="de-DE" w:eastAsia="de-DE"/>
              </w:rPr>
              <w:t>Ab</w:t>
            </w:r>
            <w:r w:rsidRPr="00DD2A86">
              <w:rPr>
                <w:color w:val="000000"/>
                <w:sz w:val="18"/>
                <w:szCs w:val="18"/>
                <w:lang w:val="de-DE" w:eastAsia="de-DE"/>
              </w:rPr>
              <w:softHyphen/>
              <w:t>schä</w:t>
            </w:r>
            <w:r w:rsidRPr="00DD2A86">
              <w:rPr>
                <w:color w:val="000000"/>
                <w:sz w:val="18"/>
                <w:szCs w:val="18"/>
                <w:lang w:val="de-DE" w:eastAsia="de-DE"/>
              </w:rPr>
              <w:softHyphen/>
              <w:t>lung</w:t>
            </w:r>
            <w:r w:rsidRPr="00DD2A86">
              <w:rPr>
                <w:color w:val="000000"/>
                <w:sz w:val="18"/>
                <w:szCs w:val="18"/>
                <w:lang w:val="de-DE" w:eastAsia="de-DE"/>
              </w:rPr>
              <w:br/>
              <w:t>und</w:t>
            </w:r>
            <w:r w:rsidRPr="00DD2A86">
              <w:rPr>
                <w:color w:val="000000"/>
                <w:sz w:val="18"/>
                <w:szCs w:val="18"/>
                <w:lang w:val="de-DE" w:eastAsia="de-DE"/>
              </w:rPr>
              <w:br/>
              <w:t>Korrosion</w:t>
            </w:r>
          </w:p>
        </w:tc>
        <w:tc>
          <w:tcPr>
            <w:tcW w:w="161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EB786C" w:rsidRPr="00DD2A86" w:rsidRDefault="00EB786C" w:rsidP="001644F6">
            <w:pPr>
              <w:suppressAutoHyphens w:val="0"/>
              <w:spacing w:line="240" w:lineRule="auto"/>
              <w:jc w:val="center"/>
              <w:rPr>
                <w:color w:val="000000"/>
                <w:sz w:val="18"/>
                <w:szCs w:val="18"/>
                <w:lang w:val="de-DE" w:eastAsia="de-DE"/>
              </w:rPr>
            </w:pPr>
            <w:r w:rsidRPr="00DD2A86">
              <w:rPr>
                <w:color w:val="000000"/>
                <w:sz w:val="18"/>
                <w:szCs w:val="18"/>
                <w:lang w:val="de-DE" w:eastAsia="de-DE"/>
              </w:rPr>
              <w:t>EN ISO 4628-3:2016</w:t>
            </w:r>
          </w:p>
        </w:tc>
        <w:tc>
          <w:tcPr>
            <w:tcW w:w="308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EB786C" w:rsidRPr="00DD2A86" w:rsidRDefault="00EB786C" w:rsidP="001644F6">
            <w:pPr>
              <w:suppressAutoHyphens w:val="0"/>
              <w:spacing w:line="240" w:lineRule="auto"/>
              <w:jc w:val="center"/>
              <w:rPr>
                <w:color w:val="000000"/>
                <w:sz w:val="18"/>
                <w:szCs w:val="18"/>
                <w:lang w:val="de-DE" w:eastAsia="de-DE"/>
              </w:rPr>
            </w:pPr>
            <w:r w:rsidRPr="00DD2A86">
              <w:rPr>
                <w:color w:val="000000"/>
                <w:sz w:val="18"/>
                <w:szCs w:val="18"/>
                <w:lang w:val="de-DE" w:eastAsia="de-DE"/>
              </w:rPr>
              <w:t>höchster Korrosionsgrad:</w:t>
            </w:r>
          </w:p>
          <w:p w:rsidR="00EB786C" w:rsidRPr="00DD2A86" w:rsidRDefault="00EB786C" w:rsidP="001644F6">
            <w:pPr>
              <w:suppressAutoHyphens w:val="0"/>
              <w:spacing w:line="240" w:lineRule="auto"/>
              <w:jc w:val="center"/>
              <w:rPr>
                <w:color w:val="000000"/>
                <w:sz w:val="18"/>
                <w:szCs w:val="18"/>
                <w:lang w:val="de-DE" w:eastAsia="de-DE"/>
              </w:rPr>
            </w:pPr>
            <w:r w:rsidRPr="00DD2A86">
              <w:rPr>
                <w:color w:val="000000"/>
                <w:sz w:val="18"/>
                <w:szCs w:val="18"/>
                <w:lang w:val="de-DE" w:eastAsia="de-DE"/>
              </w:rPr>
              <w:t>Ri2</w:t>
            </w:r>
          </w:p>
        </w:tc>
        <w:tc>
          <w:tcPr>
            <w:tcW w:w="184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EB786C" w:rsidRPr="00DD2A86" w:rsidRDefault="00EB786C" w:rsidP="001644F6">
            <w:pPr>
              <w:suppressAutoHyphens w:val="0"/>
              <w:spacing w:line="240" w:lineRule="auto"/>
              <w:jc w:val="center"/>
              <w:rPr>
                <w:color w:val="000000"/>
                <w:sz w:val="18"/>
                <w:szCs w:val="18"/>
                <w:lang w:val="de-DE" w:eastAsia="de-DE"/>
              </w:rPr>
            </w:pPr>
            <w:r w:rsidRPr="00DD2A86">
              <w:rPr>
                <w:color w:val="000000"/>
                <w:sz w:val="18"/>
                <w:szCs w:val="18"/>
                <w:lang w:val="de-DE" w:eastAsia="de-DE"/>
              </w:rPr>
              <w:t>Q/1000</w:t>
            </w:r>
          </w:p>
        </w:tc>
      </w:tr>
      <w:tr w:rsidR="00EB786C" w:rsidRPr="00E139A8" w:rsidTr="001644F6">
        <w:tc>
          <w:tcPr>
            <w:tcW w:w="1134" w:type="dxa"/>
            <w:vMerge/>
            <w:tcBorders>
              <w:left w:val="single" w:sz="12" w:space="0" w:color="auto"/>
              <w:bottom w:val="single" w:sz="6" w:space="0" w:color="auto"/>
              <w:right w:val="single" w:sz="6" w:space="0" w:color="auto"/>
            </w:tcBorders>
            <w:vAlign w:val="center"/>
          </w:tcPr>
          <w:p w:rsidR="00EB786C" w:rsidRPr="00DD2A86" w:rsidRDefault="00EB786C" w:rsidP="001644F6">
            <w:pPr>
              <w:suppressAutoHyphens w:val="0"/>
              <w:spacing w:line="240" w:lineRule="auto"/>
              <w:jc w:val="center"/>
              <w:rPr>
                <w:color w:val="000000"/>
                <w:sz w:val="18"/>
                <w:szCs w:val="18"/>
                <w:lang w:val="de-DE" w:eastAsia="de-DE"/>
              </w:rPr>
            </w:pPr>
          </w:p>
        </w:tc>
        <w:tc>
          <w:tcPr>
            <w:tcW w:w="113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EB786C" w:rsidRPr="00DD2A86" w:rsidRDefault="00EB786C" w:rsidP="001644F6">
            <w:pPr>
              <w:suppressAutoHyphens w:val="0"/>
              <w:spacing w:line="240" w:lineRule="auto"/>
              <w:jc w:val="center"/>
              <w:rPr>
                <w:color w:val="000000"/>
                <w:sz w:val="18"/>
                <w:szCs w:val="18"/>
                <w:lang w:val="de-DE" w:eastAsia="de-DE"/>
              </w:rPr>
            </w:pPr>
            <w:r w:rsidRPr="00DD2A86">
              <w:rPr>
                <w:color w:val="000000"/>
                <w:sz w:val="18"/>
                <w:szCs w:val="18"/>
                <w:lang w:val="de-DE" w:eastAsia="de-DE"/>
              </w:rPr>
              <w:t>Haftfestigkeit des Poly</w:t>
            </w:r>
            <w:r w:rsidRPr="00DD2A86">
              <w:rPr>
                <w:color w:val="000000"/>
                <w:sz w:val="18"/>
                <w:szCs w:val="18"/>
                <w:lang w:val="de-DE" w:eastAsia="de-DE"/>
              </w:rPr>
              <w:softHyphen/>
              <w:t>urethans</w:t>
            </w:r>
          </w:p>
        </w:tc>
        <w:tc>
          <w:tcPr>
            <w:tcW w:w="161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EB786C" w:rsidRPr="00DD2A86" w:rsidRDefault="00EB786C" w:rsidP="001644F6">
            <w:pPr>
              <w:suppressAutoHyphens w:val="0"/>
              <w:spacing w:line="240" w:lineRule="auto"/>
              <w:jc w:val="center"/>
              <w:rPr>
                <w:color w:val="000000"/>
                <w:sz w:val="18"/>
                <w:szCs w:val="18"/>
                <w:lang w:val="fr-FR" w:eastAsia="de-DE"/>
              </w:rPr>
            </w:pPr>
            <w:r w:rsidRPr="00DD2A86">
              <w:rPr>
                <w:color w:val="000000"/>
                <w:sz w:val="18"/>
                <w:szCs w:val="18"/>
                <w:lang w:val="fr-FR" w:eastAsia="de-DE"/>
              </w:rPr>
              <w:t>ISO 2859-1:1999 + A1:2011</w:t>
            </w:r>
          </w:p>
          <w:p w:rsidR="00EB786C" w:rsidRPr="00DD2A86" w:rsidRDefault="00EB786C" w:rsidP="001644F6">
            <w:pPr>
              <w:suppressAutoHyphens w:val="0"/>
              <w:spacing w:line="240" w:lineRule="auto"/>
              <w:jc w:val="center"/>
              <w:rPr>
                <w:color w:val="000000"/>
                <w:sz w:val="18"/>
                <w:szCs w:val="18"/>
                <w:lang w:val="fr-FR" w:eastAsia="de-DE"/>
              </w:rPr>
            </w:pPr>
            <w:r w:rsidRPr="00DD2A86">
              <w:rPr>
                <w:color w:val="000000"/>
                <w:sz w:val="18"/>
                <w:szCs w:val="18"/>
                <w:lang w:val="fr-FR" w:eastAsia="de-DE"/>
              </w:rPr>
              <w:t>EN 1442:2017</w:t>
            </w:r>
          </w:p>
          <w:p w:rsidR="00EB786C" w:rsidRPr="00DD2A86" w:rsidRDefault="00EB786C" w:rsidP="001644F6">
            <w:pPr>
              <w:suppressAutoHyphens w:val="0"/>
              <w:spacing w:line="240" w:lineRule="auto"/>
              <w:jc w:val="center"/>
              <w:rPr>
                <w:color w:val="000000"/>
                <w:sz w:val="18"/>
                <w:szCs w:val="18"/>
                <w:lang w:val="fr-FR" w:eastAsia="de-DE"/>
              </w:rPr>
            </w:pPr>
            <w:r w:rsidRPr="00DD2A86">
              <w:rPr>
                <w:color w:val="000000"/>
                <w:sz w:val="18"/>
                <w:szCs w:val="18"/>
                <w:lang w:val="fr-FR" w:eastAsia="de-DE"/>
              </w:rPr>
              <w:t>EN 14140:2014 + AC:2015</w:t>
            </w:r>
          </w:p>
        </w:tc>
        <w:tc>
          <w:tcPr>
            <w:tcW w:w="308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EB786C" w:rsidRPr="00DD2A86" w:rsidRDefault="00EB786C" w:rsidP="001644F6">
            <w:pPr>
              <w:suppressAutoHyphens w:val="0"/>
              <w:spacing w:line="240" w:lineRule="auto"/>
              <w:jc w:val="center"/>
              <w:rPr>
                <w:color w:val="000000"/>
                <w:sz w:val="18"/>
                <w:szCs w:val="18"/>
                <w:lang w:val="de-DE" w:eastAsia="de-DE"/>
              </w:rPr>
            </w:pPr>
            <w:r w:rsidRPr="00DD2A86">
              <w:rPr>
                <w:color w:val="000000"/>
                <w:sz w:val="18"/>
                <w:szCs w:val="18"/>
                <w:lang w:val="de-DE" w:eastAsia="de-DE"/>
              </w:rPr>
              <w:t>Haftfestigkeitswert &gt; 0,5 N/mm</w:t>
            </w:r>
            <w:r w:rsidRPr="00DD2A86">
              <w:rPr>
                <w:color w:val="000000"/>
                <w:sz w:val="18"/>
                <w:szCs w:val="18"/>
                <w:vertAlign w:val="superscript"/>
                <w:lang w:val="de-DE" w:eastAsia="de-DE"/>
              </w:rPr>
              <w:t>2</w:t>
            </w:r>
          </w:p>
        </w:tc>
        <w:tc>
          <w:tcPr>
            <w:tcW w:w="184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EB786C" w:rsidRPr="00DD2A86" w:rsidRDefault="00EB786C" w:rsidP="001644F6">
            <w:pPr>
              <w:suppressAutoHyphens w:val="0"/>
              <w:spacing w:line="240" w:lineRule="auto"/>
              <w:jc w:val="center"/>
              <w:rPr>
                <w:color w:val="000000"/>
                <w:sz w:val="18"/>
                <w:szCs w:val="18"/>
                <w:lang w:val="de-DE" w:eastAsia="de-DE"/>
              </w:rPr>
            </w:pPr>
            <w:r w:rsidRPr="00DD2A86">
              <w:rPr>
                <w:color w:val="000000"/>
                <w:sz w:val="18"/>
                <w:szCs w:val="18"/>
                <w:lang w:val="de-DE" w:eastAsia="de-DE"/>
              </w:rPr>
              <w:t>siehe ISO 2859-1:1999 + A1:2011, angewendet auf Q/1000</w:t>
            </w:r>
          </w:p>
        </w:tc>
      </w:tr>
    </w:tbl>
    <w:p w:rsidR="00EB786C" w:rsidRPr="00DD2A86" w:rsidRDefault="00EB786C" w:rsidP="001644F6">
      <w:pPr>
        <w:suppressAutoHyphens w:val="0"/>
        <w:spacing w:line="240" w:lineRule="auto"/>
        <w:ind w:left="1418"/>
        <w:jc w:val="both"/>
        <w:rPr>
          <w:iCs/>
          <w:color w:val="000000"/>
          <w:lang w:val="de-DE" w:eastAsia="de-DE"/>
        </w:rPr>
      </w:pPr>
    </w:p>
    <w:p w:rsidR="00EB786C" w:rsidRPr="00DD2A86" w:rsidRDefault="00EB786C" w:rsidP="009042ED">
      <w:pPr>
        <w:tabs>
          <w:tab w:val="left" w:pos="1843"/>
        </w:tabs>
        <w:suppressAutoHyphens w:val="0"/>
        <w:spacing w:before="120" w:line="240" w:lineRule="auto"/>
        <w:ind w:left="1134"/>
        <w:jc w:val="both"/>
        <w:rPr>
          <w:color w:val="000000"/>
          <w:lang w:val="de-DE" w:eastAsia="de-DE"/>
        </w:rPr>
      </w:pPr>
      <w:r w:rsidRPr="00DD2A86">
        <w:rPr>
          <w:color w:val="000000"/>
          <w:vertAlign w:val="superscript"/>
          <w:lang w:val="de-DE" w:eastAsia="de-DE"/>
        </w:rPr>
        <w:t>a</w:t>
      </w:r>
      <w:r w:rsidRPr="00DD2A86">
        <w:rPr>
          <w:color w:val="000000"/>
          <w:lang w:val="de-DE" w:eastAsia="de-DE"/>
        </w:rPr>
        <w:tab/>
        <w:t>Der Berstdruckpunkt (BPP) der repräsentativen Stichprobe wird für die Auswertung der Prüfergebnisse mit Hilfe eines Stichproben-Arbeitsdiagramms verwendet.</w:t>
      </w:r>
    </w:p>
    <w:p w:rsidR="00EB786C" w:rsidRPr="00DD2A86" w:rsidRDefault="00EB786C" w:rsidP="009042ED">
      <w:pPr>
        <w:tabs>
          <w:tab w:val="left" w:pos="1843"/>
        </w:tabs>
        <w:suppressAutoHyphens w:val="0"/>
        <w:spacing w:before="120" w:line="240" w:lineRule="auto"/>
        <w:ind w:left="1134"/>
        <w:jc w:val="both"/>
        <w:rPr>
          <w:color w:val="000000"/>
          <w:lang w:val="de-DE" w:eastAsia="de-DE"/>
        </w:rPr>
      </w:pPr>
      <w:r w:rsidRPr="00DD2A86">
        <w:rPr>
          <w:color w:val="000000"/>
          <w:lang w:val="de-DE" w:eastAsia="de-DE"/>
        </w:rPr>
        <w:t>Schritt 1: Bestimmung des Berstdruckpunkts (BPP) einer repräsentativen Stichprobe</w:t>
      </w:r>
    </w:p>
    <w:p w:rsidR="00EB786C" w:rsidRPr="00DD2A86" w:rsidRDefault="00EB786C" w:rsidP="009042ED">
      <w:pPr>
        <w:tabs>
          <w:tab w:val="left" w:pos="1843"/>
        </w:tabs>
        <w:suppressAutoHyphens w:val="0"/>
        <w:spacing w:before="120" w:line="240" w:lineRule="auto"/>
        <w:ind w:left="1134"/>
        <w:jc w:val="both"/>
        <w:rPr>
          <w:color w:val="000000"/>
          <w:lang w:val="de-DE" w:eastAsia="de-DE"/>
        </w:rPr>
      </w:pPr>
      <w:r w:rsidRPr="00DD2A86">
        <w:rPr>
          <w:color w:val="000000"/>
          <w:lang w:val="de-DE" w:eastAsia="de-DE"/>
        </w:rPr>
        <w:t>Jede Stichprobe wird durch einen Punkt repräsentiert, dessen Koordinaten der Mittelwert der Ergebnisse der Berstprüfung und die Standardabweichung der Ergebnisse der Berstprüfung sind, jeweils bezogen auf den entsprechenden Prüfdruck:</w:t>
      </w:r>
    </w:p>
    <w:p w:rsidR="00EB786C" w:rsidRPr="00DD2A86" w:rsidRDefault="00EB786C" w:rsidP="009042ED">
      <w:pPr>
        <w:tabs>
          <w:tab w:val="left" w:pos="1843"/>
        </w:tabs>
        <w:suppressAutoHyphens w:val="0"/>
        <w:spacing w:before="120" w:line="240" w:lineRule="auto"/>
        <w:ind w:left="1134"/>
        <w:jc w:val="both"/>
        <w:rPr>
          <w:color w:val="000000"/>
          <w:lang w:val="de-DE" w:eastAsia="de-DE"/>
        </w:rPr>
      </w:pPr>
      <m:oMathPara>
        <m:oMath>
          <m:r>
            <m:rPr>
              <m:sty m:val="p"/>
            </m:rPr>
            <w:rPr>
              <w:rFonts w:ascii="Cambria Math" w:hAnsi="Cambria Math"/>
              <w:color w:val="000000"/>
              <w:lang w:val="de-DE" w:eastAsia="de-DE"/>
            </w:rPr>
            <m:t>BPP:(</m:t>
          </m:r>
          <m:sSub>
            <m:sSubPr>
              <m:ctrlPr>
                <w:rPr>
                  <w:rFonts w:ascii="Cambria Math" w:hAnsi="Cambria Math"/>
                  <w:color w:val="000000"/>
                  <w:lang w:val="de-DE" w:eastAsia="de-DE"/>
                </w:rPr>
              </m:ctrlPr>
            </m:sSubPr>
            <m:e>
              <m:r>
                <m:rPr>
                  <m:sty m:val="p"/>
                </m:rPr>
                <w:rPr>
                  <w:rFonts w:ascii="Cambria Math" w:hAnsi="Cambria Math"/>
                  <w:color w:val="000000"/>
                  <w:lang w:val="de-DE" w:eastAsia="de-DE"/>
                </w:rPr>
                <m:t>Ω</m:t>
              </m:r>
            </m:e>
            <m:sub>
              <m:r>
                <m:rPr>
                  <m:sty m:val="p"/>
                </m:rPr>
                <w:rPr>
                  <w:rFonts w:ascii="Cambria Math" w:hAnsi="Cambria Math"/>
                  <w:color w:val="000000"/>
                  <w:lang w:val="de-DE" w:eastAsia="de-DE"/>
                </w:rPr>
                <m:t>s</m:t>
              </m:r>
            </m:sub>
          </m:sSub>
          <m:r>
            <m:rPr>
              <m:sty m:val="p"/>
            </m:rPr>
            <w:rPr>
              <w:rFonts w:ascii="Cambria Math" w:hAnsi="Cambria Math"/>
              <w:color w:val="000000"/>
              <w:lang w:val="de-DE" w:eastAsia="de-DE"/>
            </w:rPr>
            <m:t xml:space="preserve">= </m:t>
          </m:r>
          <m:f>
            <m:fPr>
              <m:ctrlPr>
                <w:rPr>
                  <w:rFonts w:ascii="Cambria Math" w:hAnsi="Cambria Math"/>
                  <w:color w:val="000000"/>
                  <w:lang w:val="de-DE" w:eastAsia="de-DE"/>
                </w:rPr>
              </m:ctrlPr>
            </m:fPr>
            <m:num>
              <m:r>
                <m:rPr>
                  <m:sty m:val="p"/>
                </m:rPr>
                <w:rPr>
                  <w:rFonts w:ascii="Cambria Math" w:hAnsi="Cambria Math"/>
                  <w:color w:val="000000"/>
                  <w:lang w:val="de-DE" w:eastAsia="de-DE"/>
                </w:rPr>
                <m:t>s</m:t>
              </m:r>
            </m:num>
            <m:den>
              <m:r>
                <m:rPr>
                  <m:sty m:val="p"/>
                </m:rPr>
                <w:rPr>
                  <w:rFonts w:ascii="Cambria Math" w:hAnsi="Cambria Math"/>
                  <w:color w:val="000000"/>
                  <w:lang w:val="de-DE" w:eastAsia="de-DE"/>
                </w:rPr>
                <m:t>PH</m:t>
              </m:r>
            </m:den>
          </m:f>
          <m:r>
            <m:rPr>
              <m:sty m:val="p"/>
            </m:rPr>
            <w:rPr>
              <w:rFonts w:ascii="Cambria Math" w:hAnsi="Cambria Math"/>
              <w:color w:val="000000"/>
              <w:lang w:val="de-DE" w:eastAsia="de-DE"/>
            </w:rPr>
            <m:t xml:space="preserve">; </m:t>
          </m:r>
          <m:sSub>
            <m:sSubPr>
              <m:ctrlPr>
                <w:rPr>
                  <w:rFonts w:ascii="Cambria Math" w:hAnsi="Cambria Math"/>
                  <w:color w:val="000000"/>
                  <w:lang w:val="de-DE" w:eastAsia="de-DE"/>
                </w:rPr>
              </m:ctrlPr>
            </m:sSubPr>
            <m:e>
              <m:r>
                <m:rPr>
                  <m:sty m:val="p"/>
                </m:rPr>
                <w:rPr>
                  <w:rFonts w:ascii="Cambria Math" w:hAnsi="Cambria Math"/>
                  <w:color w:val="000000"/>
                  <w:lang w:val="de-DE" w:eastAsia="de-DE"/>
                </w:rPr>
                <m:t>Ω</m:t>
              </m:r>
            </m:e>
            <m:sub>
              <m:r>
                <m:rPr>
                  <m:sty m:val="p"/>
                </m:rPr>
                <w:rPr>
                  <w:rFonts w:ascii="Cambria Math" w:hAnsi="Cambria Math"/>
                  <w:color w:val="000000"/>
                  <w:lang w:val="de-DE" w:eastAsia="de-DE"/>
                </w:rPr>
                <m:t>m</m:t>
              </m:r>
            </m:sub>
          </m:sSub>
          <m:r>
            <m:rPr>
              <m:sty m:val="p"/>
            </m:rPr>
            <w:rPr>
              <w:rFonts w:ascii="Cambria Math" w:hAnsi="Cambria Math"/>
              <w:color w:val="000000"/>
              <w:lang w:val="de-DE" w:eastAsia="de-DE"/>
            </w:rPr>
            <m:t xml:space="preserve">= </m:t>
          </m:r>
          <m:f>
            <m:fPr>
              <m:ctrlPr>
                <w:rPr>
                  <w:rFonts w:ascii="Cambria Math" w:hAnsi="Cambria Math"/>
                  <w:color w:val="000000"/>
                  <w:lang w:val="de-DE" w:eastAsia="de-DE"/>
                </w:rPr>
              </m:ctrlPr>
            </m:fPr>
            <m:num>
              <m:r>
                <m:rPr>
                  <m:sty m:val="p"/>
                </m:rPr>
                <w:rPr>
                  <w:rFonts w:ascii="Cambria Math" w:hAnsi="Cambria Math"/>
                  <w:color w:val="000000"/>
                  <w:lang w:val="de-DE" w:eastAsia="de-DE"/>
                </w:rPr>
                <m:t>x</m:t>
              </m:r>
            </m:num>
            <m:den>
              <m:r>
                <m:rPr>
                  <m:sty m:val="p"/>
                </m:rPr>
                <w:rPr>
                  <w:rFonts w:ascii="Cambria Math" w:hAnsi="Cambria Math"/>
                  <w:color w:val="000000"/>
                  <w:lang w:val="de-DE" w:eastAsia="de-DE"/>
                </w:rPr>
                <m:t>PH</m:t>
              </m:r>
            </m:den>
          </m:f>
          <m:r>
            <m:rPr>
              <m:sty m:val="p"/>
            </m:rPr>
            <w:rPr>
              <w:rFonts w:ascii="Cambria Math" w:hAnsi="Cambria Math"/>
              <w:color w:val="000000"/>
              <w:lang w:val="de-DE" w:eastAsia="de-DE"/>
            </w:rPr>
            <m:t>)</m:t>
          </m:r>
        </m:oMath>
      </m:oMathPara>
    </w:p>
    <w:p w:rsidR="00EB786C" w:rsidRPr="00DD2A86" w:rsidRDefault="00EB786C" w:rsidP="009042ED">
      <w:pPr>
        <w:tabs>
          <w:tab w:val="left" w:pos="1843"/>
        </w:tabs>
        <w:suppressAutoHyphens w:val="0"/>
        <w:spacing w:before="120" w:line="240" w:lineRule="auto"/>
        <w:ind w:left="1134"/>
        <w:jc w:val="both"/>
        <w:rPr>
          <w:color w:val="000000"/>
          <w:lang w:val="de-DE" w:eastAsia="de-DE"/>
        </w:rPr>
      </w:pPr>
      <w:r w:rsidRPr="00DD2A86">
        <w:rPr>
          <w:color w:val="000000"/>
          <w:lang w:val="de-DE" w:eastAsia="de-DE"/>
        </w:rPr>
        <w:t>wobei:</w:t>
      </w:r>
    </w:p>
    <w:p w:rsidR="00EB786C" w:rsidRPr="00DD2A86" w:rsidRDefault="00EB786C" w:rsidP="009042ED">
      <w:pPr>
        <w:tabs>
          <w:tab w:val="left" w:pos="1843"/>
          <w:tab w:val="left" w:pos="2268"/>
          <w:tab w:val="left" w:pos="2552"/>
        </w:tabs>
        <w:suppressAutoHyphens w:val="0"/>
        <w:spacing w:before="120" w:line="240" w:lineRule="auto"/>
        <w:ind w:left="1134"/>
        <w:jc w:val="both"/>
        <w:rPr>
          <w:color w:val="000000"/>
          <w:lang w:val="de-DE" w:eastAsia="de-DE"/>
        </w:rPr>
      </w:pPr>
      <w:r w:rsidRPr="00DD2A86">
        <w:rPr>
          <w:color w:val="000000"/>
          <w:lang w:val="de-DE" w:eastAsia="de-DE"/>
        </w:rPr>
        <w:t>x</w:t>
      </w:r>
      <w:r w:rsidRPr="00DD2A86">
        <w:rPr>
          <w:color w:val="000000"/>
          <w:lang w:val="de-DE" w:eastAsia="de-DE"/>
        </w:rPr>
        <w:tab/>
      </w:r>
      <w:r w:rsidRPr="00DD2A86">
        <w:rPr>
          <w:color w:val="000000"/>
          <w:lang w:val="de-DE" w:eastAsia="de-DE"/>
        </w:rPr>
        <w:tab/>
        <w:t>=</w:t>
      </w:r>
      <w:r w:rsidRPr="00DD2A86">
        <w:rPr>
          <w:color w:val="000000"/>
          <w:lang w:val="de-DE" w:eastAsia="de-DE"/>
        </w:rPr>
        <w:tab/>
        <w:t>Mittelwert der Stichprobe;</w:t>
      </w:r>
    </w:p>
    <w:p w:rsidR="00EB786C" w:rsidRPr="00DD2A86" w:rsidRDefault="00EB786C" w:rsidP="009042ED">
      <w:pPr>
        <w:tabs>
          <w:tab w:val="left" w:pos="1843"/>
          <w:tab w:val="left" w:pos="2268"/>
          <w:tab w:val="left" w:pos="2552"/>
        </w:tabs>
        <w:suppressAutoHyphens w:val="0"/>
        <w:spacing w:before="120" w:line="240" w:lineRule="auto"/>
        <w:ind w:left="1134"/>
        <w:jc w:val="both"/>
        <w:rPr>
          <w:color w:val="000000"/>
          <w:lang w:val="de-DE" w:eastAsia="de-DE"/>
        </w:rPr>
      </w:pPr>
      <w:r w:rsidRPr="00DD2A86">
        <w:rPr>
          <w:color w:val="000000"/>
          <w:lang w:val="de-DE" w:eastAsia="de-DE"/>
        </w:rPr>
        <w:t>s</w:t>
      </w:r>
      <w:r w:rsidRPr="00DD2A86">
        <w:rPr>
          <w:color w:val="000000"/>
          <w:lang w:val="de-DE" w:eastAsia="de-DE"/>
        </w:rPr>
        <w:tab/>
      </w:r>
      <w:r w:rsidRPr="00DD2A86">
        <w:rPr>
          <w:color w:val="000000"/>
          <w:lang w:val="de-DE" w:eastAsia="de-DE"/>
        </w:rPr>
        <w:tab/>
        <w:t>=</w:t>
      </w:r>
      <w:r w:rsidRPr="00DD2A86">
        <w:rPr>
          <w:color w:val="000000"/>
          <w:lang w:val="de-DE" w:eastAsia="de-DE"/>
        </w:rPr>
        <w:tab/>
        <w:t>Standardabweichung der Stichprobe;</w:t>
      </w:r>
    </w:p>
    <w:p w:rsidR="00EB786C" w:rsidRPr="00DD2A86" w:rsidRDefault="00EB786C" w:rsidP="009042ED">
      <w:pPr>
        <w:tabs>
          <w:tab w:val="left" w:pos="1843"/>
          <w:tab w:val="left" w:pos="2268"/>
          <w:tab w:val="left" w:pos="2552"/>
        </w:tabs>
        <w:suppressAutoHyphens w:val="0"/>
        <w:spacing w:before="120" w:line="240" w:lineRule="auto"/>
        <w:ind w:left="1134"/>
        <w:jc w:val="both"/>
        <w:rPr>
          <w:color w:val="000000"/>
          <w:lang w:val="de-DE" w:eastAsia="de-DE"/>
        </w:rPr>
      </w:pPr>
      <w:r w:rsidRPr="00DD2A86">
        <w:rPr>
          <w:color w:val="000000"/>
          <w:lang w:val="de-DE" w:eastAsia="de-DE"/>
        </w:rPr>
        <w:t>PH</w:t>
      </w:r>
      <w:r w:rsidRPr="00DD2A86">
        <w:rPr>
          <w:color w:val="000000"/>
          <w:lang w:val="de-DE" w:eastAsia="de-DE"/>
        </w:rPr>
        <w:tab/>
      </w:r>
      <w:r w:rsidRPr="00DD2A86">
        <w:rPr>
          <w:color w:val="000000"/>
          <w:lang w:val="de-DE" w:eastAsia="de-DE"/>
        </w:rPr>
        <w:tab/>
        <w:t>=</w:t>
      </w:r>
      <w:r w:rsidRPr="00DD2A86">
        <w:rPr>
          <w:color w:val="000000"/>
          <w:lang w:val="de-DE" w:eastAsia="de-DE"/>
        </w:rPr>
        <w:tab/>
        <w:t>Prüfdruck</w:t>
      </w:r>
    </w:p>
    <w:p w:rsidR="00EB786C" w:rsidRPr="00DD2A86" w:rsidRDefault="00EB786C" w:rsidP="009042ED">
      <w:pPr>
        <w:tabs>
          <w:tab w:val="left" w:pos="1843"/>
        </w:tabs>
        <w:suppressAutoHyphens w:val="0"/>
        <w:spacing w:before="120" w:line="240" w:lineRule="auto"/>
        <w:ind w:left="1134"/>
        <w:jc w:val="both"/>
        <w:rPr>
          <w:color w:val="000000"/>
          <w:lang w:val="de-DE" w:eastAsia="de-DE"/>
        </w:rPr>
      </w:pPr>
      <w:r w:rsidRPr="00DD2A86">
        <w:rPr>
          <w:color w:val="000000"/>
          <w:lang w:val="de-DE" w:eastAsia="de-DE"/>
        </w:rPr>
        <w:t>Schritt 2: Grafische Darstellung in einem Stichproben-Arbeitsdiagramm</w:t>
      </w:r>
    </w:p>
    <w:p w:rsidR="00EB786C" w:rsidRPr="00DD2A86" w:rsidRDefault="00EB786C" w:rsidP="00817C87">
      <w:pPr>
        <w:tabs>
          <w:tab w:val="left" w:pos="1843"/>
        </w:tabs>
        <w:suppressAutoHyphens w:val="0"/>
        <w:spacing w:before="120"/>
        <w:ind w:left="1134"/>
        <w:jc w:val="both"/>
        <w:rPr>
          <w:color w:val="000000"/>
          <w:lang w:val="de-DE" w:eastAsia="de-DE"/>
        </w:rPr>
      </w:pPr>
      <w:r w:rsidRPr="00DD2A86">
        <w:rPr>
          <w:color w:val="000000"/>
          <w:lang w:val="de-DE" w:eastAsia="de-DE"/>
        </w:rPr>
        <w:t>Jeder Berstdruckpunkt wird auf ein Stichproben-Arbeitsdiagramm mit folgenden Achsen eingezeichnet:</w:t>
      </w:r>
    </w:p>
    <w:p w:rsidR="00EB786C" w:rsidRPr="00DD2A86" w:rsidRDefault="00EB786C" w:rsidP="00817C87">
      <w:pPr>
        <w:suppressAutoHyphens w:val="0"/>
        <w:spacing w:before="120"/>
        <w:ind w:left="1418" w:hanging="284"/>
        <w:jc w:val="both"/>
        <w:rPr>
          <w:color w:val="000000"/>
          <w:lang w:val="de-DE" w:eastAsia="de-DE"/>
        </w:rPr>
      </w:pPr>
      <w:r w:rsidRPr="00DD2A86">
        <w:rPr>
          <w:color w:val="000000"/>
          <w:lang w:val="de-DE" w:eastAsia="de-DE"/>
        </w:rPr>
        <w:t>–</w:t>
      </w:r>
      <w:r w:rsidRPr="00DD2A86">
        <w:rPr>
          <w:color w:val="000000"/>
          <w:lang w:val="de-DE" w:eastAsia="de-DE"/>
        </w:rPr>
        <w:tab/>
        <w:t>Abszisse: Standardabweichung bezogen auf den Prüfdruck (Ωs)</w:t>
      </w:r>
    </w:p>
    <w:p w:rsidR="00EB786C" w:rsidRPr="00DD2A86" w:rsidRDefault="00EB786C" w:rsidP="00817C87">
      <w:pPr>
        <w:suppressAutoHyphens w:val="0"/>
        <w:spacing w:before="120"/>
        <w:ind w:left="1418" w:hanging="284"/>
        <w:jc w:val="both"/>
        <w:rPr>
          <w:color w:val="000000"/>
          <w:lang w:val="de-DE" w:eastAsia="de-DE"/>
        </w:rPr>
      </w:pPr>
      <w:r w:rsidRPr="00DD2A86">
        <w:rPr>
          <w:color w:val="000000"/>
          <w:lang w:val="de-DE" w:eastAsia="de-DE"/>
        </w:rPr>
        <w:t>–</w:t>
      </w:r>
      <w:r w:rsidRPr="00DD2A86">
        <w:rPr>
          <w:color w:val="000000"/>
          <w:lang w:val="de-DE" w:eastAsia="de-DE"/>
        </w:rPr>
        <w:tab/>
        <w:t>Ordinate: Mittelwert bezogen auf den Prüfdruck (Ω</w:t>
      </w:r>
      <w:r w:rsidRPr="00DD2A86">
        <w:rPr>
          <w:color w:val="000000"/>
          <w:vertAlign w:val="subscript"/>
          <w:lang w:val="de-DE" w:eastAsia="de-DE"/>
        </w:rPr>
        <w:t>m</w:t>
      </w:r>
      <w:r w:rsidRPr="00DD2A86">
        <w:rPr>
          <w:color w:val="000000"/>
          <w:lang w:val="de-DE" w:eastAsia="de-DE"/>
        </w:rPr>
        <w:t>)</w:t>
      </w:r>
    </w:p>
    <w:p w:rsidR="00EB786C" w:rsidRPr="00DD2A86" w:rsidRDefault="00EB786C" w:rsidP="00817C87">
      <w:pPr>
        <w:tabs>
          <w:tab w:val="left" w:pos="1843"/>
        </w:tabs>
        <w:suppressAutoHyphens w:val="0"/>
        <w:spacing w:before="120"/>
        <w:ind w:left="1134"/>
        <w:jc w:val="both"/>
        <w:rPr>
          <w:color w:val="000000"/>
          <w:lang w:val="de-DE" w:eastAsia="de-DE"/>
        </w:rPr>
      </w:pPr>
      <w:r w:rsidRPr="00DD2A86">
        <w:rPr>
          <w:color w:val="000000"/>
          <w:lang w:val="de-DE" w:eastAsia="de-DE"/>
        </w:rPr>
        <w:t>Schritt 3: Bestimmung des entsprechenden unteren Grenzwerts des Toleranzintervalls im Stichproben-Arbeitsdiagramm</w:t>
      </w:r>
    </w:p>
    <w:p w:rsidR="00EB786C" w:rsidRPr="00DD2A86" w:rsidRDefault="00EB786C" w:rsidP="00817C87">
      <w:pPr>
        <w:tabs>
          <w:tab w:val="left" w:pos="1843"/>
        </w:tabs>
        <w:suppressAutoHyphens w:val="0"/>
        <w:spacing w:before="120"/>
        <w:ind w:left="1134"/>
        <w:jc w:val="both"/>
        <w:rPr>
          <w:color w:val="000000"/>
          <w:lang w:val="de-DE" w:eastAsia="de-DE"/>
        </w:rPr>
      </w:pPr>
      <w:r w:rsidRPr="00DD2A86">
        <w:rPr>
          <w:color w:val="000000"/>
          <w:lang w:val="de-DE" w:eastAsia="de-DE"/>
        </w:rPr>
        <w:t>Die Ergebnisse der Berstprüfung müssen zunächst gemäß dem Joint Test (gemeinsamer Test) (multidirektionaler Test) unter Anwendung eines Signifikanz</w:t>
      </w:r>
      <w:r w:rsidRPr="00DD2A86">
        <w:rPr>
          <w:color w:val="000000"/>
          <w:lang w:val="de-DE" w:eastAsia="de-DE"/>
        </w:rPr>
        <w:softHyphen/>
        <w:t>niveaus von α = 0,05 (siehe Absatz 7 der Norm ISO 5479:1997) geprüft werden, um festzustellen, ob die Ergebnisverteilung für jede Stichprobe normal oder nicht normal ist.</w:t>
      </w:r>
    </w:p>
    <w:p w:rsidR="00EB786C" w:rsidRPr="00DD2A86" w:rsidRDefault="00EB786C" w:rsidP="00817C87">
      <w:pPr>
        <w:tabs>
          <w:tab w:val="left" w:pos="1418"/>
        </w:tabs>
        <w:suppressAutoHyphens w:val="0"/>
        <w:spacing w:before="120"/>
        <w:ind w:left="1418" w:hanging="284"/>
        <w:jc w:val="both"/>
        <w:rPr>
          <w:color w:val="000000"/>
          <w:lang w:val="de-DE" w:eastAsia="de-DE"/>
        </w:rPr>
      </w:pPr>
      <w:r w:rsidRPr="00DD2A86">
        <w:rPr>
          <w:color w:val="000000"/>
          <w:lang w:val="de-DE" w:eastAsia="de-DE"/>
        </w:rPr>
        <w:t>–</w:t>
      </w:r>
      <w:r w:rsidRPr="00DD2A86">
        <w:rPr>
          <w:color w:val="000000"/>
          <w:lang w:val="de-DE" w:eastAsia="de-DE"/>
        </w:rPr>
        <w:tab/>
        <w:t>Für eine normale Verteilung ist die Bestimmung des entsprechenden unteren Toleranzgrenzwerts in Schritt 3.1 dargestellt.</w:t>
      </w:r>
    </w:p>
    <w:p w:rsidR="00EB786C" w:rsidRPr="00DD2A86" w:rsidRDefault="00EB786C" w:rsidP="00817C87">
      <w:pPr>
        <w:tabs>
          <w:tab w:val="left" w:pos="1418"/>
        </w:tabs>
        <w:suppressAutoHyphens w:val="0"/>
        <w:spacing w:before="120"/>
        <w:ind w:left="1418" w:hanging="284"/>
        <w:jc w:val="both"/>
        <w:rPr>
          <w:color w:val="000000"/>
          <w:lang w:val="de-DE" w:eastAsia="de-DE"/>
        </w:rPr>
      </w:pPr>
      <w:r w:rsidRPr="00DD2A86">
        <w:rPr>
          <w:color w:val="000000"/>
          <w:lang w:val="de-DE" w:eastAsia="de-DE"/>
        </w:rPr>
        <w:t>–</w:t>
      </w:r>
      <w:r w:rsidRPr="00DD2A86">
        <w:rPr>
          <w:color w:val="000000"/>
          <w:lang w:val="de-DE" w:eastAsia="de-DE"/>
        </w:rPr>
        <w:tab/>
        <w:t>Für eine nicht normale Verteilung ist die Bestimmung des entsprechenden unteren Toleranzgrenzwerts in Schritt 3.2 dargestellt.</w:t>
      </w:r>
    </w:p>
    <w:p w:rsidR="00EB786C" w:rsidRPr="00DD2A86" w:rsidRDefault="00EB786C" w:rsidP="00817C87">
      <w:pPr>
        <w:tabs>
          <w:tab w:val="left" w:pos="1843"/>
        </w:tabs>
        <w:suppressAutoHyphens w:val="0"/>
        <w:spacing w:before="120"/>
        <w:ind w:left="1134"/>
        <w:jc w:val="both"/>
        <w:rPr>
          <w:color w:val="000000"/>
          <w:lang w:val="de-DE" w:eastAsia="de-DE"/>
        </w:rPr>
      </w:pPr>
      <w:r w:rsidRPr="00DD2A86">
        <w:rPr>
          <w:color w:val="000000"/>
          <w:lang w:val="de-DE" w:eastAsia="de-DE"/>
        </w:rPr>
        <w:t>Schritt 3.1: Unterer Grenzwert des Toleranzintervalls für Ergebnisse mit normaler Verteilung</w:t>
      </w:r>
    </w:p>
    <w:p w:rsidR="00EB786C" w:rsidRPr="00DD2A86" w:rsidRDefault="00EB786C" w:rsidP="00817C87">
      <w:pPr>
        <w:tabs>
          <w:tab w:val="left" w:pos="1843"/>
        </w:tabs>
        <w:suppressAutoHyphens w:val="0"/>
        <w:spacing w:before="120"/>
        <w:ind w:left="1134"/>
        <w:jc w:val="both"/>
        <w:rPr>
          <w:color w:val="000000"/>
          <w:lang w:val="de-DE" w:eastAsia="de-DE"/>
        </w:rPr>
      </w:pPr>
      <w:r w:rsidRPr="00DD2A86">
        <w:rPr>
          <w:color w:val="000000"/>
          <w:lang w:val="de-DE" w:eastAsia="de-DE"/>
        </w:rPr>
        <w:t>In Übereinstimmung mit der Norm ISO 16269-6:2014 und unter Berücksichtigung, dass die Varianz unbekannt ist, muss das einseitige statistische Toleranzintervall für ein Konfidenzniveau von 95 % und einen Anteil der Gesamtheit von 99,9999 % betrachtet werden.</w:t>
      </w:r>
    </w:p>
    <w:p w:rsidR="00EB786C" w:rsidRPr="00DD2A86" w:rsidRDefault="00EB786C" w:rsidP="00817C87">
      <w:pPr>
        <w:tabs>
          <w:tab w:val="left" w:pos="1843"/>
        </w:tabs>
        <w:suppressAutoHyphens w:val="0"/>
        <w:spacing w:before="120"/>
        <w:ind w:left="1134"/>
        <w:jc w:val="both"/>
        <w:rPr>
          <w:color w:val="000000"/>
          <w:lang w:val="de-DE" w:eastAsia="de-DE"/>
        </w:rPr>
      </w:pPr>
      <w:r w:rsidRPr="00DD2A86">
        <w:rPr>
          <w:color w:val="000000"/>
          <w:lang w:val="de-DE" w:eastAsia="de-DE"/>
        </w:rPr>
        <w:t>Nach Auftragen im Stichproben-Arbeitsdiagramm wird der untere Grenzwert des Toleranzintervalls durch eine Linie der konstanten Überlebensrate repräsentiert, die durch folgende Formel definiert ist:</w:t>
      </w:r>
    </w:p>
    <w:p w:rsidR="00EB786C" w:rsidRPr="00DD2A86" w:rsidRDefault="00EB786C" w:rsidP="00817C87">
      <w:pPr>
        <w:tabs>
          <w:tab w:val="left" w:pos="1843"/>
        </w:tabs>
        <w:suppressAutoHyphens w:val="0"/>
        <w:spacing w:before="120"/>
        <w:ind w:left="1134"/>
        <w:jc w:val="center"/>
        <w:rPr>
          <w:color w:val="000000"/>
          <w:lang w:val="de-DE" w:eastAsia="de-DE"/>
        </w:rPr>
      </w:pPr>
      <w:r w:rsidRPr="00DD2A86">
        <w:rPr>
          <w:color w:val="000000"/>
          <w:lang w:val="de-DE" w:eastAsia="de-DE"/>
        </w:rPr>
        <w:t>Ω</w:t>
      </w:r>
      <w:r w:rsidRPr="00DD2A86">
        <w:rPr>
          <w:color w:val="000000"/>
          <w:vertAlign w:val="subscript"/>
          <w:lang w:val="de-DE" w:eastAsia="de-DE"/>
        </w:rPr>
        <w:t>m</w:t>
      </w:r>
      <w:r w:rsidRPr="00DD2A86" w:rsidDel="00250403">
        <w:rPr>
          <w:color w:val="000000"/>
          <w:lang w:val="de-DE" w:eastAsia="de-DE"/>
        </w:rPr>
        <w:t xml:space="preserve"> </w:t>
      </w:r>
      <w:r w:rsidRPr="00DD2A86">
        <w:rPr>
          <w:color w:val="000000"/>
          <w:lang w:val="de-DE" w:eastAsia="de-DE"/>
        </w:rPr>
        <w:t>= 1 + Ω</w:t>
      </w:r>
      <w:r w:rsidRPr="00DD2A86">
        <w:rPr>
          <w:color w:val="000000"/>
          <w:vertAlign w:val="subscript"/>
          <w:lang w:val="de-DE" w:eastAsia="de-DE"/>
        </w:rPr>
        <w:t xml:space="preserve">s </w:t>
      </w:r>
      <w:r w:rsidRPr="00DD2A86">
        <w:rPr>
          <w:color w:val="000000"/>
          <w:lang w:val="de-DE" w:eastAsia="de-DE"/>
        </w:rPr>
        <w:t>× k3(n;p;1-α)</w:t>
      </w:r>
    </w:p>
    <w:p w:rsidR="00EB786C" w:rsidRPr="00DD2A86" w:rsidRDefault="00EB786C" w:rsidP="00817C87">
      <w:pPr>
        <w:tabs>
          <w:tab w:val="left" w:pos="1843"/>
        </w:tabs>
        <w:suppressAutoHyphens w:val="0"/>
        <w:spacing w:before="120"/>
        <w:ind w:left="1134"/>
        <w:jc w:val="both"/>
        <w:rPr>
          <w:color w:val="000000"/>
          <w:lang w:val="de-DE" w:eastAsia="de-DE"/>
        </w:rPr>
      </w:pPr>
      <w:r w:rsidRPr="00DD2A86">
        <w:rPr>
          <w:color w:val="000000"/>
          <w:lang w:val="de-DE" w:eastAsia="de-DE"/>
        </w:rPr>
        <w:t>wobei:</w:t>
      </w:r>
    </w:p>
    <w:p w:rsidR="00EB786C" w:rsidRPr="00DD2A86" w:rsidRDefault="00EB786C" w:rsidP="00817C87">
      <w:pPr>
        <w:tabs>
          <w:tab w:val="left" w:pos="1843"/>
          <w:tab w:val="left" w:pos="2268"/>
          <w:tab w:val="left" w:pos="2552"/>
        </w:tabs>
        <w:suppressAutoHyphens w:val="0"/>
        <w:spacing w:before="120"/>
        <w:ind w:left="1134"/>
        <w:jc w:val="both"/>
        <w:rPr>
          <w:color w:val="000000"/>
          <w:lang w:val="de-DE" w:eastAsia="de-DE"/>
        </w:rPr>
      </w:pPr>
      <w:r w:rsidRPr="00DD2A86">
        <w:rPr>
          <w:color w:val="000000"/>
          <w:lang w:val="de-DE" w:eastAsia="de-DE"/>
        </w:rPr>
        <w:t>k3</w:t>
      </w:r>
      <w:r w:rsidRPr="00DD2A86">
        <w:rPr>
          <w:color w:val="000000"/>
          <w:lang w:val="de-DE" w:eastAsia="de-DE"/>
        </w:rPr>
        <w:tab/>
        <w:t>=</w:t>
      </w:r>
      <w:r w:rsidRPr="00DD2A86">
        <w:rPr>
          <w:color w:val="000000"/>
          <w:lang w:val="de-DE" w:eastAsia="de-DE"/>
        </w:rPr>
        <w:tab/>
        <w:t>Faktorfunktion von n, p und 1-α;</w:t>
      </w:r>
    </w:p>
    <w:p w:rsidR="00EB786C" w:rsidRPr="00DD2A86" w:rsidRDefault="00EB786C" w:rsidP="00817C87">
      <w:pPr>
        <w:tabs>
          <w:tab w:val="left" w:pos="1843"/>
          <w:tab w:val="left" w:pos="2268"/>
          <w:tab w:val="left" w:pos="2552"/>
        </w:tabs>
        <w:suppressAutoHyphens w:val="0"/>
        <w:spacing w:before="120"/>
        <w:ind w:left="1134"/>
        <w:jc w:val="both"/>
        <w:rPr>
          <w:color w:val="000000"/>
          <w:lang w:val="de-DE" w:eastAsia="de-DE"/>
        </w:rPr>
      </w:pPr>
      <w:r w:rsidRPr="00DD2A86">
        <w:rPr>
          <w:color w:val="000000"/>
          <w:lang w:val="de-DE" w:eastAsia="de-DE"/>
        </w:rPr>
        <w:t>p</w:t>
      </w:r>
      <w:r w:rsidRPr="00DD2A86">
        <w:rPr>
          <w:color w:val="000000"/>
          <w:lang w:val="de-DE" w:eastAsia="de-DE"/>
        </w:rPr>
        <w:tab/>
        <w:t>=</w:t>
      </w:r>
      <w:r w:rsidRPr="00DD2A86">
        <w:rPr>
          <w:color w:val="000000"/>
          <w:lang w:val="de-DE" w:eastAsia="de-DE"/>
        </w:rPr>
        <w:tab/>
        <w:t>Anteil der für das Toleranzintervall gewählten Gesamtheit (99,9999 %);</w:t>
      </w:r>
    </w:p>
    <w:p w:rsidR="00EB786C" w:rsidRPr="00DD2A86" w:rsidRDefault="00EB786C" w:rsidP="00817C87">
      <w:pPr>
        <w:tabs>
          <w:tab w:val="left" w:pos="1843"/>
          <w:tab w:val="left" w:pos="2268"/>
          <w:tab w:val="left" w:pos="2552"/>
        </w:tabs>
        <w:suppressAutoHyphens w:val="0"/>
        <w:spacing w:before="120"/>
        <w:ind w:left="1134"/>
        <w:jc w:val="both"/>
        <w:rPr>
          <w:color w:val="000000"/>
          <w:lang w:val="de-DE" w:eastAsia="de-DE"/>
        </w:rPr>
      </w:pPr>
      <w:r w:rsidRPr="00DD2A86">
        <w:rPr>
          <w:color w:val="000000"/>
          <w:lang w:val="de-DE" w:eastAsia="de-DE"/>
        </w:rPr>
        <w:t>1-α</w:t>
      </w:r>
      <w:r w:rsidRPr="00DD2A86">
        <w:rPr>
          <w:color w:val="000000"/>
          <w:lang w:val="de-DE" w:eastAsia="de-DE"/>
        </w:rPr>
        <w:tab/>
        <w:t>=</w:t>
      </w:r>
      <w:r w:rsidRPr="00DD2A86">
        <w:rPr>
          <w:color w:val="000000"/>
          <w:lang w:val="de-DE" w:eastAsia="de-DE"/>
        </w:rPr>
        <w:tab/>
        <w:t>Konfidenzniveau (95 %);</w:t>
      </w:r>
    </w:p>
    <w:p w:rsidR="00EB786C" w:rsidRPr="00DD2A86" w:rsidRDefault="00EB786C" w:rsidP="00817C87">
      <w:pPr>
        <w:tabs>
          <w:tab w:val="left" w:pos="1843"/>
          <w:tab w:val="left" w:pos="2268"/>
          <w:tab w:val="left" w:pos="2552"/>
        </w:tabs>
        <w:suppressAutoHyphens w:val="0"/>
        <w:spacing w:before="120"/>
        <w:ind w:left="1134"/>
        <w:jc w:val="both"/>
        <w:rPr>
          <w:color w:val="000000"/>
          <w:lang w:val="de-DE" w:eastAsia="de-DE"/>
        </w:rPr>
      </w:pPr>
      <w:r w:rsidRPr="00DD2A86">
        <w:rPr>
          <w:color w:val="000000"/>
          <w:lang w:val="de-DE" w:eastAsia="de-DE"/>
        </w:rPr>
        <w:t>n</w:t>
      </w:r>
      <w:r w:rsidRPr="00DD2A86">
        <w:rPr>
          <w:color w:val="000000"/>
          <w:lang w:val="de-DE" w:eastAsia="de-DE"/>
        </w:rPr>
        <w:tab/>
        <w:t>=</w:t>
      </w:r>
      <w:r w:rsidRPr="00DD2A86">
        <w:rPr>
          <w:color w:val="000000"/>
          <w:lang w:val="de-DE" w:eastAsia="de-DE"/>
        </w:rPr>
        <w:tab/>
        <w:t>Stichprobengröße.</w:t>
      </w:r>
    </w:p>
    <w:p w:rsidR="00EB786C" w:rsidRPr="00DD2A86" w:rsidRDefault="00EB786C" w:rsidP="00817C87">
      <w:pPr>
        <w:tabs>
          <w:tab w:val="left" w:pos="1843"/>
        </w:tabs>
        <w:suppressAutoHyphens w:val="0"/>
        <w:spacing w:before="120"/>
        <w:ind w:left="1134"/>
        <w:jc w:val="both"/>
        <w:rPr>
          <w:color w:val="000000"/>
          <w:lang w:val="de-DE" w:eastAsia="de-DE"/>
        </w:rPr>
      </w:pPr>
      <w:r w:rsidRPr="00DD2A86">
        <w:rPr>
          <w:color w:val="000000"/>
          <w:lang w:val="de-DE" w:eastAsia="de-DE"/>
        </w:rPr>
        <w:t>Der für normale Verteilungen zugeordnete Wert für k3 muss der Tabelle am Ende von Schritt 3 entnommen werden.</w:t>
      </w:r>
    </w:p>
    <w:p w:rsidR="00EB786C" w:rsidRPr="00DD2A86" w:rsidRDefault="00EB786C" w:rsidP="00817C87">
      <w:pPr>
        <w:tabs>
          <w:tab w:val="left" w:pos="1843"/>
        </w:tabs>
        <w:suppressAutoHyphens w:val="0"/>
        <w:spacing w:before="120"/>
        <w:ind w:left="1134"/>
        <w:jc w:val="both"/>
        <w:rPr>
          <w:color w:val="000000"/>
          <w:lang w:val="de-DE" w:eastAsia="de-DE"/>
        </w:rPr>
      </w:pPr>
      <w:r w:rsidRPr="00DD2A86">
        <w:rPr>
          <w:color w:val="000000"/>
          <w:lang w:val="de-DE" w:eastAsia="de-DE"/>
        </w:rPr>
        <w:t>Schritt 3.2: Unterer Grenzwert des Toleranzintervalls für Ergebnisse mit nicht normaler Verteilung</w:t>
      </w:r>
    </w:p>
    <w:p w:rsidR="00EB786C" w:rsidRPr="00DD2A86" w:rsidRDefault="00EB786C" w:rsidP="00817C87">
      <w:pPr>
        <w:tabs>
          <w:tab w:val="left" w:pos="1843"/>
        </w:tabs>
        <w:suppressAutoHyphens w:val="0"/>
        <w:spacing w:before="120"/>
        <w:ind w:left="1134"/>
        <w:jc w:val="both"/>
        <w:rPr>
          <w:color w:val="000000"/>
          <w:lang w:val="de-DE" w:eastAsia="de-DE"/>
        </w:rPr>
      </w:pPr>
      <w:r w:rsidRPr="00DD2A86">
        <w:rPr>
          <w:color w:val="000000"/>
          <w:lang w:val="de-DE" w:eastAsia="de-DE"/>
        </w:rPr>
        <w:t>Das einseitige statistische Toleranzintervall muss für ein Konfidenzniveau von 95 % und einen Anteil der Gesamtheit von 99,9999 % betrachtet werden.</w:t>
      </w:r>
    </w:p>
    <w:p w:rsidR="00EB786C" w:rsidRPr="00DD2A86" w:rsidRDefault="00EB786C" w:rsidP="00817C87">
      <w:pPr>
        <w:tabs>
          <w:tab w:val="left" w:pos="1843"/>
        </w:tabs>
        <w:suppressAutoHyphens w:val="0"/>
        <w:spacing w:before="120"/>
        <w:ind w:left="1134"/>
        <w:jc w:val="both"/>
        <w:rPr>
          <w:color w:val="000000"/>
          <w:lang w:val="de-DE" w:eastAsia="de-DE"/>
        </w:rPr>
      </w:pPr>
      <w:r w:rsidRPr="00DD2A86">
        <w:rPr>
          <w:color w:val="000000"/>
          <w:lang w:val="de-DE" w:eastAsia="de-DE"/>
        </w:rPr>
        <w:t>Der untere Toleranzgrenzwert wird durch eine Linie der konstanten Überlebensrate repräsentiert, die durch die im vorhergehenden Schritt 3.1 dargestellte Formel bestimmt ist, wobei der Faktor k3 auf den Eigenschaften einer Weibull-Verteilung basiert und danach berechnet wird.</w:t>
      </w:r>
    </w:p>
    <w:p w:rsidR="00EB786C" w:rsidRPr="00DD2A86" w:rsidRDefault="00EB786C" w:rsidP="00817C87">
      <w:pPr>
        <w:tabs>
          <w:tab w:val="left" w:pos="1843"/>
        </w:tabs>
        <w:suppressAutoHyphens w:val="0"/>
        <w:spacing w:before="120"/>
        <w:ind w:left="1134"/>
        <w:jc w:val="both"/>
        <w:rPr>
          <w:color w:val="000000"/>
          <w:lang w:val="de-DE" w:eastAsia="de-DE"/>
        </w:rPr>
      </w:pPr>
      <w:r w:rsidRPr="00DD2A86">
        <w:rPr>
          <w:color w:val="000000"/>
          <w:lang w:val="de-DE" w:eastAsia="de-DE"/>
        </w:rPr>
        <w:t>Der für Weibull-Verteilungen zugeordnete Wert für k3 muss der nachstehenden Tabelle am Ende von Schritt 3 entnommen werden.</w:t>
      </w:r>
    </w:p>
    <w:p w:rsidR="00672848" w:rsidRPr="00DD2A86" w:rsidRDefault="00672848">
      <w:pPr>
        <w:suppressAutoHyphens w:val="0"/>
        <w:spacing w:line="240" w:lineRule="auto"/>
        <w:rPr>
          <w:color w:val="000000"/>
          <w:lang w:val="de-DE" w:eastAsia="de-DE"/>
        </w:rPr>
      </w:pPr>
    </w:p>
    <w:p w:rsidR="00EB6056" w:rsidRPr="00DD2A86" w:rsidRDefault="00EB6056">
      <w:pPr>
        <w:suppressAutoHyphens w:val="0"/>
        <w:spacing w:line="240" w:lineRule="auto"/>
        <w:rPr>
          <w:color w:val="000000"/>
          <w:lang w:val="de-DE" w:eastAsia="de-DE"/>
        </w:rPr>
      </w:pPr>
      <w:r w:rsidRPr="00DD2A86">
        <w:rPr>
          <w:color w:val="000000"/>
          <w:lang w:val="de-DE" w:eastAsia="de-DE"/>
        </w:rPr>
        <w:br w:type="page"/>
      </w:r>
    </w:p>
    <w:p w:rsidR="00EB786C" w:rsidRPr="00DD2A86" w:rsidRDefault="00EB786C" w:rsidP="00EB786C">
      <w:pPr>
        <w:tabs>
          <w:tab w:val="left" w:pos="1843"/>
        </w:tabs>
        <w:suppressAutoHyphens w:val="0"/>
        <w:spacing w:line="240" w:lineRule="auto"/>
        <w:ind w:left="1702"/>
        <w:jc w:val="both"/>
        <w:rPr>
          <w:color w:val="000000"/>
          <w:lang w:val="de-DE" w:eastAsia="de-DE"/>
        </w:rPr>
      </w:pPr>
    </w:p>
    <w:tbl>
      <w:tblPr>
        <w:tblStyle w:val="Grilledutableau16"/>
        <w:tblW w:w="7229" w:type="dxa"/>
        <w:tblInd w:w="1242" w:type="dxa"/>
        <w:tblLayout w:type="fixed"/>
        <w:tblLook w:val="04A0" w:firstRow="1" w:lastRow="0" w:firstColumn="1" w:lastColumn="0" w:noHBand="0" w:noVBand="1"/>
      </w:tblPr>
      <w:tblGrid>
        <w:gridCol w:w="2268"/>
        <w:gridCol w:w="2410"/>
        <w:gridCol w:w="2551"/>
      </w:tblGrid>
      <w:tr w:rsidR="00EB786C" w:rsidRPr="00E139A8" w:rsidTr="00E33D33">
        <w:tc>
          <w:tcPr>
            <w:tcW w:w="7229" w:type="dxa"/>
            <w:gridSpan w:val="3"/>
          </w:tcPr>
          <w:p w:rsidR="00EB786C" w:rsidRPr="00DD2A86" w:rsidRDefault="00EB786C" w:rsidP="00EB786C">
            <w:pPr>
              <w:tabs>
                <w:tab w:val="left" w:pos="1843"/>
              </w:tabs>
              <w:suppressAutoHyphens w:val="0"/>
              <w:spacing w:before="60"/>
              <w:jc w:val="center"/>
              <w:rPr>
                <w:b/>
                <w:color w:val="000000"/>
                <w:sz w:val="18"/>
                <w:szCs w:val="18"/>
                <w:lang w:eastAsia="de-DE"/>
              </w:rPr>
            </w:pPr>
            <w:r w:rsidRPr="00DD2A86">
              <w:rPr>
                <w:b/>
                <w:color w:val="000000"/>
                <w:sz w:val="18"/>
                <w:szCs w:val="18"/>
                <w:lang w:eastAsia="de-DE"/>
              </w:rPr>
              <w:t>Tabelle für k3</w:t>
            </w:r>
          </w:p>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p = 99,9999 % und (1-α) = 0,95</w:t>
            </w:r>
          </w:p>
        </w:tc>
      </w:tr>
      <w:tr w:rsidR="00EB786C" w:rsidRPr="00DD2A86" w:rsidTr="00E33D33">
        <w:tc>
          <w:tcPr>
            <w:tcW w:w="2268" w:type="dxa"/>
          </w:tcPr>
          <w:p w:rsidR="00EB786C" w:rsidRPr="00DD2A86" w:rsidRDefault="00EB786C" w:rsidP="00EB786C">
            <w:pPr>
              <w:tabs>
                <w:tab w:val="left" w:pos="1843"/>
              </w:tabs>
              <w:suppressAutoHyphens w:val="0"/>
              <w:spacing w:before="60"/>
              <w:jc w:val="center"/>
              <w:rPr>
                <w:b/>
                <w:color w:val="000000"/>
                <w:sz w:val="18"/>
                <w:szCs w:val="18"/>
                <w:lang w:eastAsia="de-DE"/>
              </w:rPr>
            </w:pPr>
            <w:r w:rsidRPr="00DD2A86">
              <w:rPr>
                <w:b/>
                <w:color w:val="000000"/>
                <w:sz w:val="18"/>
                <w:szCs w:val="18"/>
                <w:lang w:eastAsia="de-DE"/>
              </w:rPr>
              <w:t>Stichproben</w:t>
            </w:r>
            <w:r w:rsidRPr="00DD2A86">
              <w:rPr>
                <w:b/>
                <w:color w:val="000000"/>
                <w:sz w:val="18"/>
                <w:szCs w:val="18"/>
                <w:lang w:eastAsia="de-DE"/>
              </w:rPr>
              <w:softHyphen/>
              <w:t>größe</w:t>
            </w:r>
          </w:p>
          <w:p w:rsidR="00EB786C" w:rsidRPr="00DD2A86" w:rsidRDefault="00EB786C" w:rsidP="00EB786C">
            <w:pPr>
              <w:tabs>
                <w:tab w:val="left" w:pos="1843"/>
              </w:tabs>
              <w:suppressAutoHyphens w:val="0"/>
              <w:spacing w:before="60"/>
              <w:jc w:val="center"/>
              <w:rPr>
                <w:b/>
                <w:color w:val="000000"/>
                <w:sz w:val="18"/>
                <w:szCs w:val="18"/>
                <w:lang w:eastAsia="de-DE"/>
              </w:rPr>
            </w:pPr>
            <w:r w:rsidRPr="00DD2A86">
              <w:rPr>
                <w:b/>
                <w:color w:val="000000"/>
                <w:sz w:val="18"/>
                <w:szCs w:val="18"/>
                <w:lang w:eastAsia="de-DE"/>
              </w:rPr>
              <w:t>n</w:t>
            </w:r>
          </w:p>
        </w:tc>
        <w:tc>
          <w:tcPr>
            <w:tcW w:w="2410" w:type="dxa"/>
          </w:tcPr>
          <w:p w:rsidR="00EB786C" w:rsidRPr="00DD2A86" w:rsidRDefault="00EB786C" w:rsidP="00EB786C">
            <w:pPr>
              <w:tabs>
                <w:tab w:val="left" w:pos="1843"/>
              </w:tabs>
              <w:suppressAutoHyphens w:val="0"/>
              <w:spacing w:before="60"/>
              <w:jc w:val="center"/>
              <w:rPr>
                <w:b/>
                <w:color w:val="000000"/>
                <w:sz w:val="18"/>
                <w:szCs w:val="18"/>
                <w:lang w:eastAsia="de-DE"/>
              </w:rPr>
            </w:pPr>
            <w:r w:rsidRPr="00DD2A86">
              <w:rPr>
                <w:b/>
                <w:color w:val="000000"/>
                <w:sz w:val="18"/>
                <w:szCs w:val="18"/>
                <w:lang w:eastAsia="de-DE"/>
              </w:rPr>
              <w:t>normale Verteilung</w:t>
            </w:r>
          </w:p>
          <w:p w:rsidR="00EB786C" w:rsidRPr="00DD2A86" w:rsidRDefault="00EB786C" w:rsidP="00EB786C">
            <w:pPr>
              <w:tabs>
                <w:tab w:val="left" w:pos="1843"/>
              </w:tabs>
              <w:suppressAutoHyphens w:val="0"/>
              <w:spacing w:before="60"/>
              <w:jc w:val="center"/>
              <w:rPr>
                <w:b/>
                <w:color w:val="000000"/>
                <w:sz w:val="18"/>
                <w:szCs w:val="18"/>
                <w:lang w:eastAsia="de-DE"/>
              </w:rPr>
            </w:pPr>
            <w:r w:rsidRPr="00DD2A86">
              <w:rPr>
                <w:b/>
                <w:color w:val="000000"/>
                <w:sz w:val="18"/>
                <w:szCs w:val="18"/>
                <w:lang w:eastAsia="de-DE"/>
              </w:rPr>
              <w:t>k3</w:t>
            </w:r>
          </w:p>
        </w:tc>
        <w:tc>
          <w:tcPr>
            <w:tcW w:w="2551" w:type="dxa"/>
          </w:tcPr>
          <w:p w:rsidR="00EB786C" w:rsidRPr="00DD2A86" w:rsidRDefault="00EB786C" w:rsidP="00EB786C">
            <w:pPr>
              <w:tabs>
                <w:tab w:val="left" w:pos="1843"/>
              </w:tabs>
              <w:suppressAutoHyphens w:val="0"/>
              <w:spacing w:before="60"/>
              <w:jc w:val="center"/>
              <w:rPr>
                <w:b/>
                <w:color w:val="000000"/>
                <w:sz w:val="18"/>
                <w:szCs w:val="18"/>
                <w:lang w:eastAsia="de-DE"/>
              </w:rPr>
            </w:pPr>
            <w:r w:rsidRPr="00DD2A86">
              <w:rPr>
                <w:b/>
                <w:color w:val="000000"/>
                <w:sz w:val="18"/>
                <w:szCs w:val="18"/>
                <w:lang w:eastAsia="de-DE"/>
              </w:rPr>
              <w:t>Weibull-Verteilung</w:t>
            </w:r>
          </w:p>
          <w:p w:rsidR="00EB786C" w:rsidRPr="00DD2A86" w:rsidRDefault="00EB786C" w:rsidP="00EB786C">
            <w:pPr>
              <w:tabs>
                <w:tab w:val="left" w:pos="1843"/>
              </w:tabs>
              <w:suppressAutoHyphens w:val="0"/>
              <w:spacing w:before="60"/>
              <w:jc w:val="center"/>
              <w:rPr>
                <w:b/>
                <w:color w:val="000000"/>
                <w:sz w:val="18"/>
                <w:szCs w:val="18"/>
                <w:lang w:eastAsia="de-DE"/>
              </w:rPr>
            </w:pPr>
            <w:r w:rsidRPr="00DD2A86">
              <w:rPr>
                <w:b/>
                <w:color w:val="000000"/>
                <w:sz w:val="18"/>
                <w:szCs w:val="18"/>
                <w:lang w:eastAsia="de-DE"/>
              </w:rPr>
              <w:t>k3</w:t>
            </w:r>
          </w:p>
        </w:tc>
      </w:tr>
      <w:tr w:rsidR="00EB786C" w:rsidRPr="00DD2A86" w:rsidTr="00E33D33">
        <w:tc>
          <w:tcPr>
            <w:tcW w:w="2268" w:type="dxa"/>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20</w:t>
            </w:r>
          </w:p>
        </w:tc>
        <w:tc>
          <w:tcPr>
            <w:tcW w:w="2410" w:type="dxa"/>
            <w:vAlign w:val="bottom"/>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6,901</w:t>
            </w:r>
          </w:p>
        </w:tc>
        <w:tc>
          <w:tcPr>
            <w:tcW w:w="2551" w:type="dxa"/>
            <w:vAlign w:val="bottom"/>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16,021</w:t>
            </w:r>
          </w:p>
        </w:tc>
      </w:tr>
      <w:tr w:rsidR="00EB786C" w:rsidRPr="00DD2A86" w:rsidTr="00E33D33">
        <w:tc>
          <w:tcPr>
            <w:tcW w:w="2268" w:type="dxa"/>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22</w:t>
            </w:r>
          </w:p>
        </w:tc>
        <w:tc>
          <w:tcPr>
            <w:tcW w:w="2410" w:type="dxa"/>
            <w:vAlign w:val="bottom"/>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6,765</w:t>
            </w:r>
          </w:p>
        </w:tc>
        <w:tc>
          <w:tcPr>
            <w:tcW w:w="2551" w:type="dxa"/>
            <w:vAlign w:val="bottom"/>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15,722</w:t>
            </w:r>
          </w:p>
        </w:tc>
      </w:tr>
      <w:tr w:rsidR="00EB786C" w:rsidRPr="00DD2A86" w:rsidTr="00E33D33">
        <w:tc>
          <w:tcPr>
            <w:tcW w:w="2268" w:type="dxa"/>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24</w:t>
            </w:r>
          </w:p>
        </w:tc>
        <w:tc>
          <w:tcPr>
            <w:tcW w:w="2410" w:type="dxa"/>
            <w:vAlign w:val="bottom"/>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6,651</w:t>
            </w:r>
          </w:p>
        </w:tc>
        <w:tc>
          <w:tcPr>
            <w:tcW w:w="2551" w:type="dxa"/>
            <w:vAlign w:val="bottom"/>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15,472</w:t>
            </w:r>
          </w:p>
        </w:tc>
      </w:tr>
      <w:tr w:rsidR="00EB786C" w:rsidRPr="00DD2A86" w:rsidTr="00E33D33">
        <w:tc>
          <w:tcPr>
            <w:tcW w:w="2268" w:type="dxa"/>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26</w:t>
            </w:r>
          </w:p>
        </w:tc>
        <w:tc>
          <w:tcPr>
            <w:tcW w:w="2410" w:type="dxa"/>
            <w:vAlign w:val="bottom"/>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6,553</w:t>
            </w:r>
          </w:p>
        </w:tc>
        <w:tc>
          <w:tcPr>
            <w:tcW w:w="2551" w:type="dxa"/>
            <w:vAlign w:val="bottom"/>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15,258</w:t>
            </w:r>
          </w:p>
        </w:tc>
      </w:tr>
      <w:tr w:rsidR="00EB786C" w:rsidRPr="00DD2A86" w:rsidTr="00E33D33">
        <w:tc>
          <w:tcPr>
            <w:tcW w:w="2268" w:type="dxa"/>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28</w:t>
            </w:r>
          </w:p>
        </w:tc>
        <w:tc>
          <w:tcPr>
            <w:tcW w:w="2410" w:type="dxa"/>
            <w:vAlign w:val="bottom"/>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6,468</w:t>
            </w:r>
          </w:p>
        </w:tc>
        <w:tc>
          <w:tcPr>
            <w:tcW w:w="2551" w:type="dxa"/>
            <w:vAlign w:val="bottom"/>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15,072</w:t>
            </w:r>
          </w:p>
        </w:tc>
      </w:tr>
      <w:tr w:rsidR="00EB786C" w:rsidRPr="00DD2A86" w:rsidTr="00E33D33">
        <w:tc>
          <w:tcPr>
            <w:tcW w:w="2268" w:type="dxa"/>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30</w:t>
            </w:r>
          </w:p>
        </w:tc>
        <w:tc>
          <w:tcPr>
            <w:tcW w:w="2410" w:type="dxa"/>
            <w:vAlign w:val="bottom"/>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6,393</w:t>
            </w:r>
          </w:p>
        </w:tc>
        <w:tc>
          <w:tcPr>
            <w:tcW w:w="2551" w:type="dxa"/>
            <w:vAlign w:val="bottom"/>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14,909</w:t>
            </w:r>
          </w:p>
        </w:tc>
      </w:tr>
      <w:tr w:rsidR="00EB786C" w:rsidRPr="00DD2A86" w:rsidTr="00E33D33">
        <w:tc>
          <w:tcPr>
            <w:tcW w:w="2268" w:type="dxa"/>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35</w:t>
            </w:r>
          </w:p>
        </w:tc>
        <w:tc>
          <w:tcPr>
            <w:tcW w:w="2410" w:type="dxa"/>
            <w:vAlign w:val="bottom"/>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6,241</w:t>
            </w:r>
          </w:p>
        </w:tc>
        <w:tc>
          <w:tcPr>
            <w:tcW w:w="2551" w:type="dxa"/>
            <w:vAlign w:val="bottom"/>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14,578</w:t>
            </w:r>
          </w:p>
        </w:tc>
      </w:tr>
      <w:tr w:rsidR="00EB786C" w:rsidRPr="00DD2A86" w:rsidTr="00E33D33">
        <w:tc>
          <w:tcPr>
            <w:tcW w:w="2268" w:type="dxa"/>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40</w:t>
            </w:r>
          </w:p>
        </w:tc>
        <w:tc>
          <w:tcPr>
            <w:tcW w:w="2410" w:type="dxa"/>
            <w:vAlign w:val="bottom"/>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6,123</w:t>
            </w:r>
          </w:p>
        </w:tc>
        <w:tc>
          <w:tcPr>
            <w:tcW w:w="2551" w:type="dxa"/>
            <w:vAlign w:val="bottom"/>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14,321</w:t>
            </w:r>
          </w:p>
        </w:tc>
      </w:tr>
      <w:tr w:rsidR="00EB786C" w:rsidRPr="00DD2A86" w:rsidTr="00E33D33">
        <w:tc>
          <w:tcPr>
            <w:tcW w:w="2268" w:type="dxa"/>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45</w:t>
            </w:r>
          </w:p>
        </w:tc>
        <w:tc>
          <w:tcPr>
            <w:tcW w:w="2410" w:type="dxa"/>
            <w:vAlign w:val="bottom"/>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6,028</w:t>
            </w:r>
          </w:p>
        </w:tc>
        <w:tc>
          <w:tcPr>
            <w:tcW w:w="2551" w:type="dxa"/>
            <w:vAlign w:val="bottom"/>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14,116</w:t>
            </w:r>
          </w:p>
        </w:tc>
      </w:tr>
      <w:tr w:rsidR="00EB786C" w:rsidRPr="00DD2A86" w:rsidTr="00E33D33">
        <w:tc>
          <w:tcPr>
            <w:tcW w:w="2268" w:type="dxa"/>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50</w:t>
            </w:r>
          </w:p>
        </w:tc>
        <w:tc>
          <w:tcPr>
            <w:tcW w:w="2410" w:type="dxa"/>
            <w:vAlign w:val="bottom"/>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5,949</w:t>
            </w:r>
          </w:p>
        </w:tc>
        <w:tc>
          <w:tcPr>
            <w:tcW w:w="2551" w:type="dxa"/>
            <w:vAlign w:val="bottom"/>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13,947</w:t>
            </w:r>
          </w:p>
        </w:tc>
      </w:tr>
      <w:tr w:rsidR="00EB786C" w:rsidRPr="00DD2A86" w:rsidTr="00E33D33">
        <w:tc>
          <w:tcPr>
            <w:tcW w:w="2268" w:type="dxa"/>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60</w:t>
            </w:r>
          </w:p>
        </w:tc>
        <w:tc>
          <w:tcPr>
            <w:tcW w:w="2410" w:type="dxa"/>
            <w:vAlign w:val="bottom"/>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5,827</w:t>
            </w:r>
          </w:p>
        </w:tc>
        <w:tc>
          <w:tcPr>
            <w:tcW w:w="2551" w:type="dxa"/>
            <w:vAlign w:val="bottom"/>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13,683</w:t>
            </w:r>
          </w:p>
        </w:tc>
      </w:tr>
      <w:tr w:rsidR="00EB786C" w:rsidRPr="00DD2A86" w:rsidTr="00E33D33">
        <w:tc>
          <w:tcPr>
            <w:tcW w:w="2268" w:type="dxa"/>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70</w:t>
            </w:r>
          </w:p>
        </w:tc>
        <w:tc>
          <w:tcPr>
            <w:tcW w:w="2410" w:type="dxa"/>
            <w:vAlign w:val="bottom"/>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5,735</w:t>
            </w:r>
          </w:p>
        </w:tc>
        <w:tc>
          <w:tcPr>
            <w:tcW w:w="2551" w:type="dxa"/>
            <w:vAlign w:val="bottom"/>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13,485</w:t>
            </w:r>
          </w:p>
        </w:tc>
      </w:tr>
      <w:tr w:rsidR="00EB786C" w:rsidRPr="00DD2A86" w:rsidTr="00E33D33">
        <w:tc>
          <w:tcPr>
            <w:tcW w:w="2268" w:type="dxa"/>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80</w:t>
            </w:r>
          </w:p>
        </w:tc>
        <w:tc>
          <w:tcPr>
            <w:tcW w:w="2410" w:type="dxa"/>
            <w:vAlign w:val="bottom"/>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5,662</w:t>
            </w:r>
          </w:p>
        </w:tc>
        <w:tc>
          <w:tcPr>
            <w:tcW w:w="2551" w:type="dxa"/>
            <w:vAlign w:val="bottom"/>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13,329</w:t>
            </w:r>
          </w:p>
        </w:tc>
      </w:tr>
      <w:tr w:rsidR="00EB786C" w:rsidRPr="00DD2A86" w:rsidTr="00E33D33">
        <w:tc>
          <w:tcPr>
            <w:tcW w:w="2268" w:type="dxa"/>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90</w:t>
            </w:r>
          </w:p>
        </w:tc>
        <w:tc>
          <w:tcPr>
            <w:tcW w:w="2410" w:type="dxa"/>
            <w:vAlign w:val="bottom"/>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5,603</w:t>
            </w:r>
          </w:p>
        </w:tc>
        <w:tc>
          <w:tcPr>
            <w:tcW w:w="2551" w:type="dxa"/>
            <w:vAlign w:val="bottom"/>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13,203</w:t>
            </w:r>
          </w:p>
        </w:tc>
      </w:tr>
      <w:tr w:rsidR="00EB786C" w:rsidRPr="00DD2A86" w:rsidTr="00E33D33">
        <w:tc>
          <w:tcPr>
            <w:tcW w:w="2268" w:type="dxa"/>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100</w:t>
            </w:r>
          </w:p>
        </w:tc>
        <w:tc>
          <w:tcPr>
            <w:tcW w:w="2410" w:type="dxa"/>
            <w:vAlign w:val="bottom"/>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5,554</w:t>
            </w:r>
          </w:p>
        </w:tc>
        <w:tc>
          <w:tcPr>
            <w:tcW w:w="2551" w:type="dxa"/>
            <w:vAlign w:val="bottom"/>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13,098</w:t>
            </w:r>
          </w:p>
        </w:tc>
      </w:tr>
      <w:tr w:rsidR="00EB786C" w:rsidRPr="00DD2A86" w:rsidTr="00E33D33">
        <w:tc>
          <w:tcPr>
            <w:tcW w:w="2268" w:type="dxa"/>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150</w:t>
            </w:r>
          </w:p>
        </w:tc>
        <w:tc>
          <w:tcPr>
            <w:tcW w:w="2410" w:type="dxa"/>
            <w:vAlign w:val="bottom"/>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5,393</w:t>
            </w:r>
          </w:p>
        </w:tc>
        <w:tc>
          <w:tcPr>
            <w:tcW w:w="2551" w:type="dxa"/>
            <w:vAlign w:val="bottom"/>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12,754</w:t>
            </w:r>
          </w:p>
        </w:tc>
      </w:tr>
      <w:tr w:rsidR="00EB786C" w:rsidRPr="00DD2A86" w:rsidTr="00E33D33">
        <w:tc>
          <w:tcPr>
            <w:tcW w:w="2268" w:type="dxa"/>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200</w:t>
            </w:r>
          </w:p>
        </w:tc>
        <w:tc>
          <w:tcPr>
            <w:tcW w:w="2410" w:type="dxa"/>
            <w:vAlign w:val="bottom"/>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5,300</w:t>
            </w:r>
          </w:p>
        </w:tc>
        <w:tc>
          <w:tcPr>
            <w:tcW w:w="2551" w:type="dxa"/>
            <w:vAlign w:val="bottom"/>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12,557</w:t>
            </w:r>
          </w:p>
        </w:tc>
      </w:tr>
      <w:tr w:rsidR="00EB786C" w:rsidRPr="00DD2A86" w:rsidTr="00E33D33">
        <w:tc>
          <w:tcPr>
            <w:tcW w:w="2268" w:type="dxa"/>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250</w:t>
            </w:r>
          </w:p>
        </w:tc>
        <w:tc>
          <w:tcPr>
            <w:tcW w:w="2410" w:type="dxa"/>
            <w:vAlign w:val="bottom"/>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5,238</w:t>
            </w:r>
          </w:p>
        </w:tc>
        <w:tc>
          <w:tcPr>
            <w:tcW w:w="2551" w:type="dxa"/>
            <w:vAlign w:val="bottom"/>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12,426</w:t>
            </w:r>
          </w:p>
        </w:tc>
      </w:tr>
      <w:tr w:rsidR="00EB786C" w:rsidRPr="00DD2A86" w:rsidTr="00E33D33">
        <w:tc>
          <w:tcPr>
            <w:tcW w:w="2268" w:type="dxa"/>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300</w:t>
            </w:r>
          </w:p>
        </w:tc>
        <w:tc>
          <w:tcPr>
            <w:tcW w:w="2410" w:type="dxa"/>
            <w:vAlign w:val="bottom"/>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5,193</w:t>
            </w:r>
          </w:p>
        </w:tc>
        <w:tc>
          <w:tcPr>
            <w:tcW w:w="2551" w:type="dxa"/>
            <w:vAlign w:val="bottom"/>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12,330</w:t>
            </w:r>
          </w:p>
        </w:tc>
      </w:tr>
      <w:tr w:rsidR="00EB786C" w:rsidRPr="00DD2A86" w:rsidTr="00E33D33">
        <w:tc>
          <w:tcPr>
            <w:tcW w:w="2268" w:type="dxa"/>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400</w:t>
            </w:r>
          </w:p>
        </w:tc>
        <w:tc>
          <w:tcPr>
            <w:tcW w:w="2410" w:type="dxa"/>
            <w:vAlign w:val="bottom"/>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5,131</w:t>
            </w:r>
          </w:p>
        </w:tc>
        <w:tc>
          <w:tcPr>
            <w:tcW w:w="2551" w:type="dxa"/>
            <w:vAlign w:val="bottom"/>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12,199</w:t>
            </w:r>
          </w:p>
        </w:tc>
      </w:tr>
      <w:tr w:rsidR="00EB786C" w:rsidRPr="00DD2A86" w:rsidTr="00E33D33">
        <w:tc>
          <w:tcPr>
            <w:tcW w:w="2268" w:type="dxa"/>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500</w:t>
            </w:r>
          </w:p>
        </w:tc>
        <w:tc>
          <w:tcPr>
            <w:tcW w:w="2410" w:type="dxa"/>
            <w:vAlign w:val="bottom"/>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5,089</w:t>
            </w:r>
          </w:p>
        </w:tc>
        <w:tc>
          <w:tcPr>
            <w:tcW w:w="2551" w:type="dxa"/>
            <w:vAlign w:val="bottom"/>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12,111</w:t>
            </w:r>
          </w:p>
        </w:tc>
      </w:tr>
      <w:tr w:rsidR="00EB786C" w:rsidRPr="00DD2A86" w:rsidTr="00E33D33">
        <w:tc>
          <w:tcPr>
            <w:tcW w:w="2268" w:type="dxa"/>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1000</w:t>
            </w:r>
          </w:p>
        </w:tc>
        <w:tc>
          <w:tcPr>
            <w:tcW w:w="2410" w:type="dxa"/>
            <w:vAlign w:val="bottom"/>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4,988</w:t>
            </w:r>
          </w:p>
        </w:tc>
        <w:tc>
          <w:tcPr>
            <w:tcW w:w="2551" w:type="dxa"/>
            <w:vAlign w:val="bottom"/>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11,897</w:t>
            </w:r>
          </w:p>
        </w:tc>
      </w:tr>
      <w:tr w:rsidR="00EB786C" w:rsidRPr="00DD2A86" w:rsidTr="00E33D33">
        <w:tc>
          <w:tcPr>
            <w:tcW w:w="2268" w:type="dxa"/>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w:t>
            </w:r>
          </w:p>
        </w:tc>
        <w:tc>
          <w:tcPr>
            <w:tcW w:w="2410" w:type="dxa"/>
            <w:vAlign w:val="bottom"/>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4,753</w:t>
            </w:r>
          </w:p>
        </w:tc>
        <w:tc>
          <w:tcPr>
            <w:tcW w:w="2551" w:type="dxa"/>
            <w:vAlign w:val="bottom"/>
          </w:tcPr>
          <w:p w:rsidR="00EB786C" w:rsidRPr="00DD2A86" w:rsidRDefault="00EB786C" w:rsidP="00EB786C">
            <w:pPr>
              <w:tabs>
                <w:tab w:val="left" w:pos="1843"/>
              </w:tabs>
              <w:suppressAutoHyphens w:val="0"/>
              <w:spacing w:before="60"/>
              <w:jc w:val="center"/>
              <w:rPr>
                <w:color w:val="000000"/>
                <w:sz w:val="18"/>
                <w:szCs w:val="18"/>
                <w:lang w:eastAsia="de-DE"/>
              </w:rPr>
            </w:pPr>
            <w:r w:rsidRPr="00DD2A86">
              <w:rPr>
                <w:color w:val="000000"/>
                <w:sz w:val="18"/>
                <w:szCs w:val="18"/>
                <w:lang w:eastAsia="de-DE"/>
              </w:rPr>
              <w:t>11,408</w:t>
            </w:r>
          </w:p>
        </w:tc>
      </w:tr>
    </w:tbl>
    <w:p w:rsidR="00EB786C" w:rsidRPr="00DD2A86" w:rsidRDefault="00EB786C" w:rsidP="00EB786C">
      <w:pPr>
        <w:tabs>
          <w:tab w:val="left" w:pos="1843"/>
        </w:tabs>
        <w:suppressAutoHyphens w:val="0"/>
        <w:spacing w:line="240" w:lineRule="auto"/>
        <w:ind w:left="2127"/>
        <w:jc w:val="both"/>
        <w:rPr>
          <w:color w:val="000000"/>
          <w:lang w:val="de-DE" w:eastAsia="de-DE"/>
        </w:rPr>
      </w:pPr>
    </w:p>
    <w:p w:rsidR="00EB786C" w:rsidRPr="00DD2A86" w:rsidRDefault="00EB786C" w:rsidP="00817C87">
      <w:pPr>
        <w:tabs>
          <w:tab w:val="left" w:pos="1701"/>
        </w:tabs>
        <w:suppressAutoHyphens w:val="0"/>
        <w:spacing w:line="240" w:lineRule="auto"/>
        <w:ind w:left="1701" w:hanging="567"/>
        <w:jc w:val="both"/>
        <w:rPr>
          <w:b/>
          <w:color w:val="000000"/>
          <w:lang w:val="de-DE" w:eastAsia="de-DE"/>
        </w:rPr>
      </w:pPr>
      <w:r w:rsidRPr="00DD2A86">
        <w:rPr>
          <w:b/>
          <w:color w:val="000000"/>
          <w:lang w:val="de-DE" w:eastAsia="de-DE"/>
        </w:rPr>
        <w:t>Bem.</w:t>
      </w:r>
      <w:r w:rsidRPr="00DD2A86">
        <w:rPr>
          <w:color w:val="000000"/>
          <w:lang w:val="de-DE" w:eastAsia="de-DE"/>
        </w:rPr>
        <w:tab/>
        <w:t>Wenn die Stichprobengröße zwischen zwei Werten liegt, muss die am nächsten liegende kleinere Stichprobengröße gewählt werden.</w:t>
      </w:r>
    </w:p>
    <w:p w:rsidR="00EB786C" w:rsidRPr="00DD2A86" w:rsidRDefault="00EB786C" w:rsidP="00817C87">
      <w:pPr>
        <w:tabs>
          <w:tab w:val="left" w:pos="1701"/>
        </w:tabs>
        <w:suppressAutoHyphens w:val="0"/>
        <w:spacing w:before="120"/>
        <w:ind w:left="1134"/>
        <w:jc w:val="both"/>
        <w:rPr>
          <w:color w:val="000000"/>
          <w:lang w:val="de-DE" w:eastAsia="de-DE"/>
        </w:rPr>
      </w:pPr>
      <w:r w:rsidRPr="00DD2A86">
        <w:rPr>
          <w:color w:val="000000"/>
          <w:lang w:val="de-DE" w:eastAsia="de-DE"/>
        </w:rPr>
        <w:t>h)</w:t>
      </w:r>
      <w:r w:rsidRPr="00DD2A86">
        <w:rPr>
          <w:color w:val="000000"/>
          <w:lang w:val="de-DE" w:eastAsia="de-DE"/>
        </w:rPr>
        <w:tab/>
        <w:t>Maßnahmen, wenn die Akzeptanzkriterien nicht erfüllt werden</w:t>
      </w:r>
    </w:p>
    <w:p w:rsidR="00EB786C" w:rsidRPr="00DD2A86" w:rsidRDefault="00EB786C" w:rsidP="00817C87">
      <w:pPr>
        <w:tabs>
          <w:tab w:val="left" w:pos="1701"/>
        </w:tabs>
        <w:suppressAutoHyphens w:val="0"/>
        <w:spacing w:before="120"/>
        <w:ind w:left="1701"/>
        <w:jc w:val="both"/>
        <w:rPr>
          <w:color w:val="000000"/>
          <w:lang w:val="de-DE" w:eastAsia="de-DE"/>
        </w:rPr>
      </w:pPr>
      <w:r w:rsidRPr="00DD2A86">
        <w:rPr>
          <w:color w:val="000000"/>
          <w:lang w:val="de-DE" w:eastAsia="de-DE"/>
        </w:rPr>
        <w:t>Wenn ein Ergebnis der Berstprüfung, der Abschäl- und Korrosionsprüfung oder der Haftfestigkeitsprüfung die Kriterien, die in der Tabelle in Absatz g) angegeben sind, nicht erfüllt, muss die betroffene Untergruppe umformter Flaschen vom Eigentümer für weitere Untersuchungen ausgesondert werden und darf nicht befüllt oder für die Beförderung und Verwendung freigegeben werden.</w:t>
      </w:r>
    </w:p>
    <w:p w:rsidR="00EB786C" w:rsidRPr="00DD2A86" w:rsidRDefault="00EB786C" w:rsidP="00817C87">
      <w:pPr>
        <w:tabs>
          <w:tab w:val="left" w:pos="1843"/>
        </w:tabs>
        <w:suppressAutoHyphens w:val="0"/>
        <w:spacing w:before="120"/>
        <w:ind w:left="1701"/>
        <w:jc w:val="both"/>
        <w:rPr>
          <w:color w:val="000000"/>
          <w:lang w:val="de-DE" w:eastAsia="de-DE"/>
        </w:rPr>
      </w:pPr>
      <w:r w:rsidRPr="00DD2A86">
        <w:rPr>
          <w:color w:val="000000"/>
          <w:lang w:val="de-DE" w:eastAsia="de-DE"/>
        </w:rPr>
        <w:t>In Absprache mit der zuständigen Behörde oder der Xa-Stelle, welche die Baumusterzulassung erteilt hat, müssen zusätzliche Prüfungen durchgeführt werden, um die Grundursache des Versagens zu ermitteln.</w:t>
      </w:r>
    </w:p>
    <w:p w:rsidR="00EB786C" w:rsidRPr="00DD2A86" w:rsidRDefault="00EB786C" w:rsidP="00817C87">
      <w:pPr>
        <w:suppressAutoHyphens w:val="0"/>
        <w:spacing w:before="120"/>
        <w:ind w:left="1701"/>
        <w:jc w:val="both"/>
        <w:rPr>
          <w:color w:val="000000"/>
          <w:lang w:val="de-DE" w:eastAsia="de-DE"/>
        </w:rPr>
      </w:pPr>
      <w:r w:rsidRPr="00DD2A86">
        <w:rPr>
          <w:color w:val="000000"/>
          <w:lang w:val="de-DE" w:eastAsia="de-DE"/>
        </w:rPr>
        <w:t>Wenn nicht nachgewiesen werden kann, dass die Grundursache auf die betroffene Untergruppe des Eigentümers begrenzt ist, muss die zuständige Behörde oder die Xa-Stelle Maßnahmen in Bezug auf die gesamte Grundgesamtheit und eventuell andere Herstellungsjahre ergreifen.</w:t>
      </w:r>
    </w:p>
    <w:p w:rsidR="00EB786C" w:rsidRPr="00DD2A86" w:rsidRDefault="00EB786C" w:rsidP="00817C87">
      <w:pPr>
        <w:suppressAutoHyphens w:val="0"/>
        <w:spacing w:before="120"/>
        <w:ind w:left="1701"/>
        <w:jc w:val="both"/>
        <w:rPr>
          <w:color w:val="000000"/>
          <w:lang w:val="de-DE" w:eastAsia="de-DE"/>
        </w:rPr>
      </w:pPr>
      <w:r w:rsidRPr="00DD2A86">
        <w:rPr>
          <w:color w:val="000000"/>
          <w:lang w:val="de-DE" w:eastAsia="de-DE"/>
        </w:rPr>
        <w:t>Wenn nachgewiesen werden kann, dass die Grundursache auf einen Teil der betroffenen Untergruppe begrenzt ist, dürfen die nicht betroffenen Teile von der zuständigen Behörde für die Wiederinbetriebnahme zugelassen werden. Es muss nachgewiesen werden, dass keine einzelne umformte Flasche, die wieder in Betrieb genommen wird, betroffen ist.</w:t>
      </w:r>
    </w:p>
    <w:p w:rsidR="00EB6056" w:rsidRPr="00DD2A86" w:rsidRDefault="00EB6056">
      <w:pPr>
        <w:suppressAutoHyphens w:val="0"/>
        <w:spacing w:line="240" w:lineRule="auto"/>
        <w:rPr>
          <w:color w:val="000000"/>
          <w:lang w:val="de-DE" w:eastAsia="de-DE"/>
        </w:rPr>
      </w:pPr>
      <w:r w:rsidRPr="00DD2A86">
        <w:rPr>
          <w:color w:val="000000"/>
          <w:lang w:val="de-DE" w:eastAsia="de-DE"/>
        </w:rPr>
        <w:br w:type="page"/>
      </w:r>
    </w:p>
    <w:p w:rsidR="00EB786C" w:rsidRPr="00DD2A86" w:rsidRDefault="00EB786C" w:rsidP="00817C87">
      <w:pPr>
        <w:tabs>
          <w:tab w:val="left" w:pos="1701"/>
        </w:tabs>
        <w:suppressAutoHyphens w:val="0"/>
        <w:spacing w:before="120"/>
        <w:ind w:left="1134"/>
        <w:jc w:val="both"/>
        <w:rPr>
          <w:color w:val="000000"/>
          <w:lang w:val="de-DE" w:eastAsia="de-DE"/>
        </w:rPr>
      </w:pPr>
      <w:r w:rsidRPr="00DD2A86">
        <w:rPr>
          <w:color w:val="000000"/>
          <w:lang w:val="de-DE" w:eastAsia="de-DE"/>
        </w:rPr>
        <w:t>i)</w:t>
      </w:r>
      <w:r w:rsidRPr="00DD2A86">
        <w:rPr>
          <w:color w:val="000000"/>
          <w:lang w:val="de-DE" w:eastAsia="de-DE"/>
        </w:rPr>
        <w:tab/>
        <w:t>Anforderungen an Befüllzentren</w:t>
      </w:r>
    </w:p>
    <w:p w:rsidR="00EB786C" w:rsidRPr="00DD2A86" w:rsidRDefault="00EB786C" w:rsidP="00817C87">
      <w:pPr>
        <w:suppressAutoHyphens w:val="0"/>
        <w:spacing w:before="120"/>
        <w:ind w:left="1701"/>
        <w:jc w:val="both"/>
        <w:rPr>
          <w:color w:val="000000"/>
          <w:lang w:val="de-DE" w:eastAsia="de-DE"/>
        </w:rPr>
      </w:pPr>
      <w:r w:rsidRPr="00DD2A86">
        <w:rPr>
          <w:color w:val="000000"/>
          <w:lang w:val="de-DE" w:eastAsia="de-DE"/>
        </w:rPr>
        <w:t>Der Eigentümer muss der zuständigen Behörde Nachweise zur Verfügung stellen, dass die Befüllzentren</w:t>
      </w:r>
    </w:p>
    <w:p w:rsidR="00EB786C" w:rsidRPr="00DD2A86" w:rsidRDefault="00EB786C" w:rsidP="00817C87">
      <w:pPr>
        <w:suppressAutoHyphens w:val="0"/>
        <w:spacing w:before="120"/>
        <w:ind w:left="1985" w:hanging="284"/>
        <w:jc w:val="both"/>
        <w:rPr>
          <w:color w:val="000000"/>
          <w:lang w:val="de-DE" w:eastAsia="de-DE"/>
        </w:rPr>
      </w:pPr>
      <w:r w:rsidRPr="00DD2A86">
        <w:rPr>
          <w:color w:val="000000"/>
          <w:lang w:val="de-DE" w:eastAsia="de-DE"/>
        </w:rPr>
        <w:t>–</w:t>
      </w:r>
      <w:r w:rsidRPr="00DD2A86">
        <w:rPr>
          <w:color w:val="000000"/>
          <w:lang w:val="de-DE" w:eastAsia="de-DE"/>
        </w:rPr>
        <w:tab/>
        <w:t>den Vorschriften des Unterabschnitts 4.1.4.1 des ADR Verpackungsanweisung P 200 (7) entsprechen und die Anforderungen der in der Tabelle in Unterabschnitt 4.1.4.1 des ADR Verpackungsanweisung P 200 (11) in Bezug genommenen Norm für Prüfungen vor dem Befüllen erfüllt und richtig angewendet werden;</w:t>
      </w:r>
    </w:p>
    <w:p w:rsidR="00EB786C" w:rsidRPr="00DD2A86" w:rsidRDefault="00EB786C" w:rsidP="00817C87">
      <w:pPr>
        <w:suppressAutoHyphens w:val="0"/>
        <w:spacing w:before="120"/>
        <w:ind w:left="1985" w:hanging="284"/>
        <w:jc w:val="both"/>
        <w:rPr>
          <w:color w:val="000000"/>
          <w:lang w:val="de-DE" w:eastAsia="de-DE"/>
        </w:rPr>
      </w:pPr>
      <w:r w:rsidRPr="00DD2A86">
        <w:rPr>
          <w:color w:val="000000"/>
          <w:lang w:val="de-DE" w:eastAsia="de-DE"/>
        </w:rPr>
        <w:t>–</w:t>
      </w:r>
      <w:r w:rsidRPr="00DD2A86">
        <w:rPr>
          <w:color w:val="000000"/>
          <w:lang w:val="de-DE" w:eastAsia="de-DE"/>
        </w:rPr>
        <w:tab/>
        <w:t>über die angemessenen Mittel zur Erkennung umformter Flaschen durch die elektronische Erkennungseinrichtung verfügen;</w:t>
      </w:r>
    </w:p>
    <w:p w:rsidR="00EB786C" w:rsidRPr="00DD2A86" w:rsidRDefault="00EB786C" w:rsidP="00817C87">
      <w:pPr>
        <w:suppressAutoHyphens w:val="0"/>
        <w:spacing w:before="120"/>
        <w:ind w:left="1985" w:hanging="284"/>
        <w:jc w:val="both"/>
        <w:rPr>
          <w:color w:val="000000"/>
          <w:lang w:val="de-DE" w:eastAsia="de-DE"/>
        </w:rPr>
      </w:pPr>
      <w:r w:rsidRPr="00DD2A86">
        <w:rPr>
          <w:color w:val="000000"/>
          <w:lang w:val="de-DE" w:eastAsia="de-DE"/>
        </w:rPr>
        <w:t>–</w:t>
      </w:r>
      <w:r w:rsidRPr="00DD2A86">
        <w:rPr>
          <w:color w:val="000000"/>
          <w:lang w:val="de-DE" w:eastAsia="de-DE"/>
        </w:rPr>
        <w:tab/>
        <w:t>Zugang zu der in Absatz d) festgelegten Datenbank haben;</w:t>
      </w:r>
    </w:p>
    <w:p w:rsidR="00EB786C" w:rsidRPr="00DD2A86" w:rsidRDefault="00EB786C" w:rsidP="00817C87">
      <w:pPr>
        <w:suppressAutoHyphens w:val="0"/>
        <w:spacing w:before="120"/>
        <w:ind w:left="1985" w:hanging="284"/>
        <w:jc w:val="both"/>
        <w:rPr>
          <w:color w:val="000000"/>
          <w:lang w:val="de-DE" w:eastAsia="de-DE"/>
        </w:rPr>
      </w:pPr>
      <w:r w:rsidRPr="00DD2A86">
        <w:rPr>
          <w:color w:val="000000"/>
          <w:lang w:val="de-DE" w:eastAsia="de-DE"/>
        </w:rPr>
        <w:t>–</w:t>
      </w:r>
      <w:r w:rsidRPr="00DD2A86">
        <w:rPr>
          <w:color w:val="000000"/>
          <w:lang w:val="de-DE" w:eastAsia="de-DE"/>
        </w:rPr>
        <w:tab/>
        <w:t>die Fähigkeit besitzen, die Datenbank zu aktualisieren;</w:t>
      </w:r>
    </w:p>
    <w:p w:rsidR="00EB786C" w:rsidRPr="00DD2A86" w:rsidRDefault="00EB786C" w:rsidP="00817C87">
      <w:pPr>
        <w:suppressAutoHyphens w:val="0"/>
        <w:spacing w:before="120"/>
        <w:ind w:left="1985" w:hanging="284"/>
        <w:jc w:val="both"/>
        <w:rPr>
          <w:color w:val="000000"/>
          <w:lang w:val="de-DE" w:eastAsia="de-DE"/>
        </w:rPr>
      </w:pPr>
      <w:r w:rsidRPr="00DD2A86">
        <w:rPr>
          <w:color w:val="000000"/>
          <w:lang w:val="de-DE" w:eastAsia="de-DE"/>
        </w:rPr>
        <w:t>–</w:t>
      </w:r>
      <w:r w:rsidRPr="00DD2A86">
        <w:rPr>
          <w:color w:val="000000"/>
          <w:lang w:val="de-DE" w:eastAsia="de-DE"/>
        </w:rPr>
        <w:tab/>
        <w:t>ein Qualitätssystem gemäß der Normenreihe ISO 9000 oder gleichwertiger Normen anwenden, das von einer von der zuständigen Behörde anerkannten akkreditierten unabhängigen Stelle zertifiziert ist.“.</w:t>
      </w:r>
    </w:p>
    <w:p w:rsidR="00EB786C" w:rsidRPr="00DD2A86" w:rsidRDefault="00EB786C" w:rsidP="00817C87">
      <w:pPr>
        <w:suppressAutoHyphens w:val="0"/>
        <w:spacing w:line="240" w:lineRule="auto"/>
        <w:rPr>
          <w:iCs/>
          <w:color w:val="000000"/>
          <w:lang w:val="de-DE" w:eastAsia="de-DE"/>
        </w:rPr>
      </w:pPr>
    </w:p>
    <w:p w:rsidR="003B5A4C" w:rsidRPr="00DD2A86" w:rsidRDefault="003B5A4C" w:rsidP="000B3CEC">
      <w:pPr>
        <w:keepNext/>
        <w:keepLines/>
        <w:tabs>
          <w:tab w:val="right" w:pos="851"/>
        </w:tabs>
        <w:spacing w:line="270" w:lineRule="exact"/>
        <w:ind w:left="1134" w:hanging="1134"/>
        <w:rPr>
          <w:b/>
          <w:sz w:val="24"/>
          <w:lang w:val="de-DE"/>
        </w:rPr>
      </w:pPr>
    </w:p>
    <w:p w:rsidR="006608CB" w:rsidRPr="00DD2A86" w:rsidRDefault="006608CB" w:rsidP="000B3CEC">
      <w:pPr>
        <w:keepNext/>
        <w:keepLines/>
        <w:tabs>
          <w:tab w:val="right" w:pos="851"/>
        </w:tabs>
        <w:spacing w:before="120" w:after="240" w:line="270" w:lineRule="exact"/>
        <w:ind w:left="1134" w:hanging="1134"/>
        <w:rPr>
          <w:b/>
          <w:sz w:val="24"/>
          <w:lang w:val="de-DE"/>
        </w:rPr>
      </w:pPr>
      <w:r w:rsidRPr="00DD2A86">
        <w:rPr>
          <w:b/>
          <w:sz w:val="24"/>
          <w:lang w:val="de-DE"/>
        </w:rPr>
        <w:tab/>
      </w:r>
      <w:r w:rsidRPr="00DD2A86">
        <w:rPr>
          <w:b/>
          <w:sz w:val="24"/>
          <w:lang w:val="de-DE"/>
        </w:rPr>
        <w:tab/>
        <w:t>Kapitel 5.2</w:t>
      </w:r>
    </w:p>
    <w:p w:rsidR="006608CB" w:rsidRPr="00DD2A86" w:rsidRDefault="006608CB" w:rsidP="00817C87">
      <w:pPr>
        <w:spacing w:after="120"/>
        <w:ind w:left="1134"/>
        <w:jc w:val="both"/>
        <w:rPr>
          <w:iCs/>
          <w:lang w:val="de-DE"/>
        </w:rPr>
      </w:pPr>
      <w:r w:rsidRPr="00DD2A86">
        <w:rPr>
          <w:iCs/>
          <w:lang w:val="de-DE"/>
        </w:rPr>
        <w:t>5.2.1</w:t>
      </w:r>
      <w:r w:rsidRPr="00DD2A86">
        <w:rPr>
          <w:iCs/>
          <w:lang w:val="de-DE"/>
        </w:rPr>
        <w:tab/>
        <w:t>Die bestehende Bem. wird zu Bem. 1.</w:t>
      </w:r>
    </w:p>
    <w:p w:rsidR="006608CB" w:rsidRPr="00DD2A86" w:rsidRDefault="006608CB" w:rsidP="00817C87">
      <w:pPr>
        <w:spacing w:after="120"/>
        <w:ind w:left="1134"/>
        <w:jc w:val="both"/>
        <w:rPr>
          <w:iCs/>
          <w:lang w:val="de-DE"/>
        </w:rPr>
      </w:pPr>
      <w:r w:rsidRPr="00DD2A86">
        <w:rPr>
          <w:iCs/>
          <w:lang w:val="de-DE"/>
        </w:rPr>
        <w:t>Eine neue Bem. 2 mit folgendem Wortlaut hinzufügen:</w:t>
      </w:r>
    </w:p>
    <w:p w:rsidR="006608CB" w:rsidRPr="00DD2A86" w:rsidRDefault="006608CB" w:rsidP="00817C87">
      <w:pPr>
        <w:spacing w:after="120"/>
        <w:ind w:left="1134"/>
        <w:jc w:val="both"/>
        <w:rPr>
          <w:iCs/>
          <w:lang w:val="de-DE"/>
        </w:rPr>
      </w:pPr>
      <w:r w:rsidRPr="00DD2A86">
        <w:rPr>
          <w:iCs/>
          <w:lang w:val="de-DE"/>
        </w:rPr>
        <w:t>„</w:t>
      </w:r>
      <w:r w:rsidRPr="00DD2A86">
        <w:rPr>
          <w:b/>
          <w:iCs/>
          <w:lang w:val="de-DE"/>
        </w:rPr>
        <w:t>2.</w:t>
      </w:r>
      <w:r w:rsidRPr="00DD2A86">
        <w:rPr>
          <w:iCs/>
          <w:lang w:val="de-DE"/>
        </w:rPr>
        <w:tab/>
        <w:t>In Übereinstimmung mit dem GHS sollte ein nach dem ADN nicht vorgeschriebenes GHS-Piktogramm während der Beförderung nur als vollständiges GHS-Kennzeichnungsetikett und nicht eigenständig erscheinen (siehe Absatz 1.4.10.4.4 des GHS).“</w:t>
      </w:r>
    </w:p>
    <w:p w:rsidR="006608CB" w:rsidRPr="00DD2A86" w:rsidRDefault="006608CB" w:rsidP="00817C87">
      <w:pPr>
        <w:spacing w:after="120"/>
        <w:ind w:left="1134"/>
        <w:jc w:val="both"/>
        <w:rPr>
          <w:iCs/>
          <w:lang w:val="de-DE"/>
        </w:rPr>
      </w:pPr>
      <w:r w:rsidRPr="00DD2A86">
        <w:rPr>
          <w:lang w:val="de-DE"/>
        </w:rPr>
        <w:t>5.2.1.3</w:t>
      </w:r>
      <w:r w:rsidRPr="00DD2A86">
        <w:rPr>
          <w:lang w:val="de-DE"/>
        </w:rPr>
        <w:tab/>
      </w:r>
      <w:r w:rsidRPr="00DD2A86">
        <w:rPr>
          <w:lang w:val="de-DE"/>
        </w:rPr>
        <w:tab/>
      </w:r>
      <w:r w:rsidRPr="00DD2A86">
        <w:rPr>
          <w:iCs/>
          <w:lang w:val="de-DE"/>
        </w:rPr>
        <w:t>Nach „Bergungsverpackungen“ einfügen: „, einschließlich Bergungsgroßverpackungen,“.</w:t>
      </w:r>
    </w:p>
    <w:p w:rsidR="008D5C80" w:rsidRPr="00DD2A86" w:rsidRDefault="008D5C80" w:rsidP="008D5C80">
      <w:pPr>
        <w:tabs>
          <w:tab w:val="left" w:pos="1701"/>
          <w:tab w:val="left" w:pos="1985"/>
        </w:tabs>
        <w:spacing w:before="120" w:after="120"/>
        <w:ind w:left="2268" w:right="1134" w:hanging="1134"/>
        <w:jc w:val="both"/>
        <w:rPr>
          <w:iCs/>
          <w:lang w:val="de-CH"/>
        </w:rPr>
      </w:pPr>
      <w:r w:rsidRPr="00DD2A86">
        <w:rPr>
          <w:lang w:val="de-DE"/>
        </w:rPr>
        <w:t>5.2.1.6</w:t>
      </w:r>
      <w:r w:rsidRPr="00DD2A86">
        <w:rPr>
          <w:lang w:val="de-DE"/>
        </w:rPr>
        <w:tab/>
      </w:r>
      <w:r w:rsidRPr="00DD2A86">
        <w:rPr>
          <w:lang w:val="de-DE"/>
        </w:rPr>
        <w:tab/>
      </w:r>
      <w:r w:rsidRPr="00DD2A86">
        <w:rPr>
          <w:iCs/>
          <w:lang w:val="de-CH"/>
        </w:rPr>
        <w:t>In der Überschrift „Gase“ ändern in: „Güter“.</w:t>
      </w:r>
    </w:p>
    <w:p w:rsidR="008D5C80" w:rsidRPr="00DD2A86" w:rsidRDefault="008D5C80" w:rsidP="008D5C80">
      <w:pPr>
        <w:tabs>
          <w:tab w:val="left" w:pos="1701"/>
          <w:tab w:val="left" w:pos="1985"/>
        </w:tabs>
        <w:spacing w:before="120" w:after="120"/>
        <w:ind w:left="2268" w:right="1134" w:hanging="1134"/>
        <w:jc w:val="both"/>
        <w:rPr>
          <w:lang w:val="de-DE"/>
        </w:rPr>
      </w:pPr>
      <w:r w:rsidRPr="00DD2A86">
        <w:rPr>
          <w:lang w:val="de-DE"/>
        </w:rPr>
        <w:t>[Betrifft nur die deutsche Sprachfassung]</w:t>
      </w:r>
    </w:p>
    <w:p w:rsidR="006608CB" w:rsidRPr="00DD2A86" w:rsidRDefault="006608CB" w:rsidP="00817C87">
      <w:pPr>
        <w:spacing w:after="120"/>
        <w:ind w:left="1134"/>
        <w:jc w:val="both"/>
        <w:rPr>
          <w:lang w:val="de-DE"/>
        </w:rPr>
      </w:pPr>
      <w:r w:rsidRPr="00DD2A86">
        <w:rPr>
          <w:lang w:val="de-DE"/>
        </w:rPr>
        <w:t>5.2.1.9.2,</w:t>
      </w:r>
      <w:r w:rsidRPr="00DD2A86">
        <w:rPr>
          <w:lang w:val="de-DE"/>
        </w:rPr>
        <w:tab/>
        <w:t>Im letzten Absatz „auf einem weißen Hintergrund“ ändern in: „auf einem weißen oder ausreichend kontrastierenden Hintergrund“.</w:t>
      </w:r>
    </w:p>
    <w:p w:rsidR="006608CB" w:rsidRPr="00DD2A86" w:rsidRDefault="006608CB" w:rsidP="00817C87">
      <w:pPr>
        <w:spacing w:before="120" w:after="120" w:line="240" w:lineRule="auto"/>
        <w:ind w:left="1134"/>
        <w:jc w:val="both"/>
        <w:rPr>
          <w:iCs/>
          <w:lang w:val="de-DE"/>
        </w:rPr>
      </w:pPr>
      <w:r w:rsidRPr="00DD2A86">
        <w:rPr>
          <w:lang w:val="de-DE"/>
        </w:rPr>
        <w:t>5.2.1.10.1</w:t>
      </w:r>
      <w:r w:rsidRPr="00DD2A86">
        <w:rPr>
          <w:lang w:val="de-DE"/>
        </w:rPr>
        <w:tab/>
      </w:r>
      <w:r w:rsidRPr="00DD2A86">
        <w:rPr>
          <w:iCs/>
          <w:lang w:val="de-DE"/>
        </w:rPr>
        <w:t>Am Ende des zweiten Spiegelstreiches streichen: „und“.</w:t>
      </w:r>
    </w:p>
    <w:p w:rsidR="006608CB" w:rsidRPr="00DD2A86" w:rsidRDefault="006608CB" w:rsidP="00817C87">
      <w:pPr>
        <w:spacing w:before="120" w:after="120" w:line="240" w:lineRule="auto"/>
        <w:ind w:left="2268"/>
        <w:jc w:val="both"/>
        <w:rPr>
          <w:iCs/>
          <w:lang w:val="de-DE"/>
        </w:rPr>
      </w:pPr>
      <w:r w:rsidRPr="00DD2A86">
        <w:rPr>
          <w:iCs/>
          <w:lang w:val="de-DE"/>
        </w:rPr>
        <w:t>Am Ende des dritten Spiegelstriches einfügen: „und“.</w:t>
      </w:r>
    </w:p>
    <w:p w:rsidR="006608CB" w:rsidRPr="00DD2A86" w:rsidRDefault="006608CB" w:rsidP="00817C87">
      <w:pPr>
        <w:spacing w:before="120" w:after="120" w:line="240" w:lineRule="auto"/>
        <w:ind w:left="2268"/>
        <w:jc w:val="both"/>
        <w:rPr>
          <w:iCs/>
          <w:lang w:val="de-DE"/>
        </w:rPr>
      </w:pPr>
      <w:r w:rsidRPr="00DD2A86">
        <w:rPr>
          <w:iCs/>
          <w:lang w:val="de-DE"/>
        </w:rPr>
        <w:t>Einen neuen vierten Spiegelstrich mit folgendem Wortlaut einfügen:</w:t>
      </w:r>
    </w:p>
    <w:p w:rsidR="006608CB" w:rsidRPr="00DD2A86" w:rsidRDefault="006608CB" w:rsidP="00817C87">
      <w:pPr>
        <w:spacing w:before="120" w:after="120" w:line="240" w:lineRule="auto"/>
        <w:ind w:left="2268"/>
        <w:jc w:val="both"/>
        <w:rPr>
          <w:iCs/>
          <w:lang w:val="de-DE"/>
        </w:rPr>
      </w:pPr>
      <w:r w:rsidRPr="00DD2A86">
        <w:rPr>
          <w:iCs/>
          <w:lang w:val="de-DE"/>
        </w:rPr>
        <w:t>„–</w:t>
      </w:r>
      <w:r w:rsidRPr="00DD2A86">
        <w:rPr>
          <w:iCs/>
          <w:lang w:val="de-DE"/>
        </w:rPr>
        <w:tab/>
        <w:t>Maschinen oder Geräte, die flüssige gefährliche Güter enthalten, wenn sichergestellt werden muss, dass die flüssigen gefährlichen Güter in ihrer vorgesehenen Ausrichtung verbleiben (siehe Kapitel 3.3 Sondervorschrift 301)“.</w:t>
      </w:r>
    </w:p>
    <w:p w:rsidR="006608CB" w:rsidRPr="00DD2A86" w:rsidRDefault="006608CB" w:rsidP="00817C87">
      <w:pPr>
        <w:suppressAutoHyphens w:val="0"/>
        <w:spacing w:line="240" w:lineRule="auto"/>
        <w:ind w:left="567" w:firstLine="567"/>
        <w:rPr>
          <w:iCs/>
          <w:lang w:val="de-DE"/>
        </w:rPr>
      </w:pPr>
      <w:r w:rsidRPr="00DD2A86">
        <w:rPr>
          <w:iCs/>
          <w:lang w:val="de-DE"/>
        </w:rPr>
        <w:t>5.2.2.1</w:t>
      </w:r>
      <w:r w:rsidRPr="00DD2A86">
        <w:rPr>
          <w:iCs/>
          <w:lang w:val="de-DE"/>
        </w:rPr>
        <w:tab/>
      </w:r>
      <w:r w:rsidRPr="00DD2A86">
        <w:rPr>
          <w:iCs/>
          <w:lang w:val="de-DE"/>
        </w:rPr>
        <w:tab/>
        <w:t>Folgenden neuen Absatz 5.2.2.1.12 einfügen:</w:t>
      </w:r>
    </w:p>
    <w:p w:rsidR="006608CB" w:rsidRPr="00DD2A86" w:rsidRDefault="006608CB" w:rsidP="00817C87">
      <w:pPr>
        <w:spacing w:before="120" w:after="120" w:line="240" w:lineRule="auto"/>
        <w:ind w:left="1134"/>
        <w:jc w:val="both"/>
        <w:rPr>
          <w:b/>
          <w:iCs/>
          <w:lang w:val="de-DE"/>
        </w:rPr>
      </w:pPr>
      <w:r w:rsidRPr="00DD2A86">
        <w:rPr>
          <w:iCs/>
          <w:lang w:val="de-DE"/>
        </w:rPr>
        <w:t>„</w:t>
      </w:r>
      <w:r w:rsidRPr="00DD2A86">
        <w:rPr>
          <w:b/>
          <w:iCs/>
          <w:lang w:val="de-DE"/>
        </w:rPr>
        <w:t>5.2.2.1.12</w:t>
      </w:r>
      <w:r w:rsidRPr="00DD2A86">
        <w:rPr>
          <w:b/>
          <w:iCs/>
          <w:lang w:val="de-DE"/>
        </w:rPr>
        <w:tab/>
        <w:t>Besondere Vorschriften für die Bezettelung von Gegenständen, die gefährliche Güter enthalten und die unter den UN-Nummern 3537, 3538, 3539, 3540, 3541, 3542, 3543, 3544, 3545, 3546, 3547 und 3548 befördert werden</w:t>
      </w:r>
    </w:p>
    <w:p w:rsidR="006608CB" w:rsidRPr="00DD2A86" w:rsidRDefault="006608CB" w:rsidP="00817C87">
      <w:pPr>
        <w:spacing w:before="120" w:after="120" w:line="240" w:lineRule="auto"/>
        <w:ind w:left="1134"/>
        <w:jc w:val="both"/>
        <w:rPr>
          <w:iCs/>
          <w:lang w:val="de-DE"/>
        </w:rPr>
      </w:pPr>
      <w:r w:rsidRPr="00DD2A86">
        <w:rPr>
          <w:iCs/>
          <w:lang w:val="de-DE"/>
        </w:rPr>
        <w:t>5.2.2.1.12.1</w:t>
      </w:r>
      <w:r w:rsidRPr="00DD2A86">
        <w:rPr>
          <w:iCs/>
          <w:lang w:val="de-DE"/>
        </w:rPr>
        <w:tab/>
        <w:t>Versandstücke, die Gegenstände enthalten, oder Gegenstände, die unverpackt befördert werden, müssen gemäß Unterabschnitt 5.2.2.1 mit Gefahrzetteln versehen sein, welche die gemäß Abschnitt 2.1.5 festgestellten Gefahren wiedergeben, mit der Ausnahme, dass für Gegenstände, die zusätzlich Lithiumbatterien enthalten, ein Kennzeichen für Lithiumbatterien oder ein Gefahrzettel nach Muster 9A nicht erforderlich ist.</w:t>
      </w:r>
    </w:p>
    <w:p w:rsidR="00EB6056" w:rsidRPr="00DD2A86" w:rsidRDefault="00EB6056">
      <w:pPr>
        <w:suppressAutoHyphens w:val="0"/>
        <w:spacing w:line="240" w:lineRule="auto"/>
        <w:rPr>
          <w:iCs/>
          <w:lang w:val="de-DE"/>
        </w:rPr>
      </w:pPr>
      <w:r w:rsidRPr="00DD2A86">
        <w:rPr>
          <w:iCs/>
          <w:lang w:val="de-DE"/>
        </w:rPr>
        <w:br w:type="page"/>
      </w:r>
    </w:p>
    <w:p w:rsidR="006608CB" w:rsidRPr="00DD2A86" w:rsidRDefault="006608CB" w:rsidP="00817C87">
      <w:pPr>
        <w:spacing w:before="120" w:after="120" w:line="240" w:lineRule="auto"/>
        <w:ind w:left="1134"/>
        <w:jc w:val="both"/>
        <w:rPr>
          <w:iCs/>
          <w:lang w:val="de-DE"/>
        </w:rPr>
      </w:pPr>
      <w:r w:rsidRPr="00DD2A86">
        <w:rPr>
          <w:iCs/>
          <w:lang w:val="de-DE"/>
        </w:rPr>
        <w:t>5.2.2.1.12.2</w:t>
      </w:r>
      <w:r w:rsidRPr="00DD2A86">
        <w:rPr>
          <w:iCs/>
          <w:lang w:val="de-DE"/>
        </w:rPr>
        <w:tab/>
        <w:t>Wenn sichergestellt werden muss, dass Gegenstände, die flüssige gefährliche Güter enthalten, in ihrer vorgesehenen Ausrichtung verbleiben, müssen, sofern möglich, Ausrichtungspfeile gemäß den Vorschriften des Absatzes 5.2.1.10.1 mindestens auf zwei gegenüberliegenden senkrechten Seiten des Versandstücks oder des unverpackten Gegenstands angebracht und sichtbar sein, wobei die Pfeile korrekt nach oben zeigen.“.</w:t>
      </w:r>
    </w:p>
    <w:p w:rsidR="006608CB" w:rsidRPr="00DD2A86" w:rsidRDefault="006608CB" w:rsidP="00817C87">
      <w:pPr>
        <w:spacing w:before="120" w:after="120"/>
        <w:ind w:left="1134"/>
        <w:jc w:val="both"/>
        <w:rPr>
          <w:iCs/>
          <w:lang w:val="de-DE"/>
        </w:rPr>
      </w:pPr>
      <w:r w:rsidRPr="00DD2A86">
        <w:rPr>
          <w:iCs/>
          <w:lang w:val="de-DE"/>
        </w:rPr>
        <w:t>5.2.2.2.1.1.3</w:t>
      </w:r>
      <w:r w:rsidRPr="00DD2A86">
        <w:rPr>
          <w:iCs/>
          <w:lang w:val="de-DE"/>
        </w:rPr>
        <w:tab/>
        <w:t>erhält folgenden Wortlaut:</w:t>
      </w:r>
    </w:p>
    <w:p w:rsidR="006608CB" w:rsidRPr="00DD2A86" w:rsidRDefault="006608CB" w:rsidP="00817C87">
      <w:pPr>
        <w:spacing w:before="120" w:after="120"/>
        <w:ind w:left="1134"/>
        <w:jc w:val="both"/>
        <w:rPr>
          <w:iCs/>
          <w:lang w:val="de-DE"/>
        </w:rPr>
      </w:pPr>
      <w:r w:rsidRPr="00DD2A86">
        <w:rPr>
          <w:iCs/>
          <w:lang w:val="de-DE"/>
        </w:rPr>
        <w:t>„5.2.2.2.1.1.3</w:t>
      </w:r>
      <w:r w:rsidRPr="00DD2A86">
        <w:rPr>
          <w:iCs/>
          <w:lang w:val="de-DE"/>
        </w:rPr>
        <w:tab/>
        <w:t>Wenn es die Größe des Versandstücks erfordert, dürfen die Abmessungen proportional reduziert werden, sofern die Symbole und die übrigen Elemente des Gefahrzettels deutlich sichtbar bleiben. Die Abmessungen der Gefahrzettel für Flaschen müssen den Vorschriften des Absatzes 5.2.2.2.1.2 entsprechen.“.</w:t>
      </w:r>
    </w:p>
    <w:p w:rsidR="006608CB" w:rsidRPr="00DD2A86" w:rsidRDefault="006608CB" w:rsidP="00817C87">
      <w:pPr>
        <w:spacing w:before="120" w:after="120" w:line="240" w:lineRule="auto"/>
        <w:ind w:left="1134"/>
        <w:jc w:val="both"/>
        <w:rPr>
          <w:lang w:val="de-DE"/>
        </w:rPr>
      </w:pPr>
      <w:r w:rsidRPr="00DD2A86">
        <w:rPr>
          <w:lang w:val="de-DE"/>
        </w:rPr>
        <w:t>5.2.2.2.1.2</w:t>
      </w:r>
      <w:r w:rsidRPr="00DD2A86">
        <w:rPr>
          <w:lang w:val="de-DE"/>
        </w:rPr>
        <w:tab/>
        <w:t>Im ersten Satz „„</w:t>
      </w:r>
      <w:r w:rsidRPr="00DD2A86">
        <w:rPr>
          <w:bCs/>
          <w:lang w:val="de-DE"/>
        </w:rPr>
        <w:t>Precautionary labels for gas cylinders““ (Warnaufkleber für Gasflaschen)“ ändern in: „</w:t>
      </w:r>
      <w:r w:rsidRPr="00DD2A86">
        <w:rPr>
          <w:lang w:val="de-DE"/>
        </w:rPr>
        <w:t>Gasflaschen – Gefahrgutaufkleber“.</w:t>
      </w:r>
    </w:p>
    <w:p w:rsidR="006608CB" w:rsidRPr="00DD2A86" w:rsidRDefault="006608CB" w:rsidP="00817C87">
      <w:pPr>
        <w:spacing w:before="120" w:after="120" w:line="240" w:lineRule="auto"/>
        <w:ind w:left="1134"/>
        <w:jc w:val="both"/>
        <w:rPr>
          <w:iCs/>
          <w:lang w:val="de-DE"/>
        </w:rPr>
      </w:pPr>
      <w:r w:rsidRPr="00DD2A86">
        <w:rPr>
          <w:iCs/>
          <w:lang w:val="de-DE"/>
        </w:rPr>
        <w:t>[Die Änderung zum Unterabsatz nach der Bem. in der englischen Fassung hat keine Auswirkungen auf den deutschen Text.]</w:t>
      </w:r>
    </w:p>
    <w:p w:rsidR="006608CB" w:rsidRPr="00DD2A86" w:rsidRDefault="006608CB" w:rsidP="00817C87">
      <w:pPr>
        <w:spacing w:before="120" w:after="120" w:line="240" w:lineRule="auto"/>
        <w:ind w:left="1134"/>
        <w:jc w:val="both"/>
        <w:rPr>
          <w:iCs/>
          <w:lang w:val="de-DE"/>
        </w:rPr>
      </w:pPr>
      <w:r w:rsidRPr="00DD2A86">
        <w:rPr>
          <w:lang w:val="de-DE"/>
        </w:rPr>
        <w:t>5.2.2.2.1.3</w:t>
      </w:r>
      <w:r w:rsidRPr="00DD2A86">
        <w:rPr>
          <w:lang w:val="de-DE"/>
        </w:rPr>
        <w:tab/>
      </w:r>
      <w:r w:rsidRPr="00DD2A86">
        <w:rPr>
          <w:iCs/>
          <w:lang w:val="de-DE"/>
        </w:rPr>
        <w:t>[Die Änderung zum letzten Unterabsatz in der französischen Fassung hat keine Auswirkungen auf den deutschen Text.]</w:t>
      </w:r>
    </w:p>
    <w:p w:rsidR="006608CB" w:rsidRPr="00DD2A86" w:rsidRDefault="006608CB" w:rsidP="00817C87">
      <w:pPr>
        <w:spacing w:before="120" w:after="120" w:line="240" w:lineRule="auto"/>
        <w:ind w:left="1134"/>
        <w:jc w:val="both"/>
        <w:rPr>
          <w:iCs/>
          <w:lang w:val="de-DE" w:eastAsia="en-GB"/>
        </w:rPr>
      </w:pPr>
      <w:r w:rsidRPr="00DD2A86">
        <w:rPr>
          <w:lang w:val="de-DE" w:eastAsia="en-GB"/>
        </w:rPr>
        <w:t>5.2.2.2.1.5</w:t>
      </w:r>
      <w:r w:rsidRPr="00DD2A86">
        <w:rPr>
          <w:lang w:val="de-DE" w:eastAsia="en-GB"/>
        </w:rPr>
        <w:tab/>
      </w:r>
      <w:r w:rsidRPr="00DD2A86">
        <w:rPr>
          <w:iCs/>
          <w:lang w:val="de-DE" w:eastAsia="en-GB"/>
        </w:rPr>
        <w:t>[Die Änderung in der englischen und französischen Fassung hat keine Auswirkungen auf den deutschen Text.]</w:t>
      </w:r>
    </w:p>
    <w:p w:rsidR="006608CB" w:rsidRPr="00DD2A86" w:rsidRDefault="006608CB" w:rsidP="00817C87">
      <w:pPr>
        <w:spacing w:after="120"/>
        <w:ind w:left="1134"/>
        <w:jc w:val="both"/>
        <w:rPr>
          <w:rFonts w:ascii="Arial" w:hAnsi="Arial"/>
          <w:color w:val="000000"/>
          <w:sz w:val="22"/>
          <w:lang w:val="de-DE" w:eastAsia="de-DE"/>
        </w:rPr>
      </w:pPr>
    </w:p>
    <w:p w:rsidR="006608CB" w:rsidRPr="00DD2A86" w:rsidRDefault="006608CB" w:rsidP="00817C87">
      <w:pPr>
        <w:suppressAutoHyphens w:val="0"/>
        <w:spacing w:line="240" w:lineRule="auto"/>
        <w:jc w:val="both"/>
        <w:rPr>
          <w:rFonts w:ascii="Arial" w:hAnsi="Arial"/>
          <w:color w:val="000000"/>
          <w:sz w:val="22"/>
          <w:lang w:val="de-DE" w:eastAsia="de-DE"/>
        </w:rPr>
        <w:sectPr w:rsidR="006608CB" w:rsidRPr="00DD2A86" w:rsidSect="00973598">
          <w:headerReference w:type="even" r:id="rId63"/>
          <w:headerReference w:type="default" r:id="rId64"/>
          <w:footerReference w:type="even" r:id="rId65"/>
          <w:footerReference w:type="default" r:id="rId66"/>
          <w:endnotePr>
            <w:numFmt w:val="decimal"/>
          </w:endnotePr>
          <w:pgSz w:w="11907" w:h="16840" w:code="9"/>
          <w:pgMar w:top="1134" w:right="1134" w:bottom="1134" w:left="2268" w:header="709" w:footer="709" w:gutter="0"/>
          <w:cols w:space="720"/>
          <w:docGrid w:linePitch="299"/>
        </w:sectPr>
      </w:pPr>
    </w:p>
    <w:p w:rsidR="006608CB" w:rsidRPr="00DD2A86" w:rsidRDefault="006608CB" w:rsidP="006608CB">
      <w:pPr>
        <w:suppressAutoHyphens w:val="0"/>
        <w:spacing w:line="240" w:lineRule="auto"/>
        <w:jc w:val="both"/>
        <w:rPr>
          <w:b/>
          <w:color w:val="000000"/>
          <w:lang w:val="de-DE" w:eastAsia="de-DE"/>
        </w:rPr>
      </w:pPr>
    </w:p>
    <w:p w:rsidR="006608CB" w:rsidRPr="00DD2A86" w:rsidRDefault="006608CB" w:rsidP="006608CB">
      <w:pPr>
        <w:suppressAutoHyphens w:val="0"/>
        <w:spacing w:line="240" w:lineRule="auto"/>
        <w:jc w:val="both"/>
        <w:rPr>
          <w:color w:val="000000"/>
          <w:lang w:val="de-DE" w:eastAsia="de-DE"/>
        </w:rPr>
      </w:pPr>
      <w:r w:rsidRPr="00DD2A86">
        <w:rPr>
          <w:color w:val="000000"/>
          <w:lang w:val="de-DE" w:eastAsia="de-DE"/>
        </w:rPr>
        <w:t>5.2.2.2.2</w:t>
      </w:r>
      <w:r w:rsidRPr="00DD2A86">
        <w:rPr>
          <w:color w:val="000000"/>
          <w:lang w:val="de-DE" w:eastAsia="de-DE"/>
        </w:rPr>
        <w:tab/>
        <w:t>erhält folgenden Wortlaut:</w:t>
      </w:r>
    </w:p>
    <w:p w:rsidR="006608CB" w:rsidRPr="00DD2A86" w:rsidRDefault="006608CB" w:rsidP="006608CB">
      <w:pPr>
        <w:suppressAutoHyphens w:val="0"/>
        <w:spacing w:line="240" w:lineRule="auto"/>
        <w:jc w:val="both"/>
        <w:rPr>
          <w:color w:val="000000"/>
          <w:lang w:val="de-DE" w:eastAsia="de-DE"/>
        </w:rPr>
      </w:pPr>
    </w:p>
    <w:p w:rsidR="006608CB" w:rsidRPr="00DD2A86" w:rsidRDefault="006608CB" w:rsidP="006608CB">
      <w:pPr>
        <w:suppressAutoHyphens w:val="0"/>
        <w:spacing w:line="240" w:lineRule="auto"/>
        <w:jc w:val="both"/>
        <w:rPr>
          <w:color w:val="000000"/>
          <w:lang w:val="de-DE" w:eastAsia="de-DE"/>
        </w:rPr>
      </w:pPr>
      <w:r w:rsidRPr="00DD2A86">
        <w:rPr>
          <w:color w:val="000000"/>
          <w:lang w:val="de-DE" w:eastAsia="de-DE"/>
        </w:rPr>
        <w:t>„</w:t>
      </w:r>
      <w:r w:rsidRPr="00DD2A86">
        <w:rPr>
          <w:b/>
          <w:color w:val="000000"/>
          <w:lang w:val="de-DE" w:eastAsia="de-DE"/>
        </w:rPr>
        <w:t>5.2.2.2.2</w:t>
      </w:r>
      <w:r w:rsidRPr="00DD2A86">
        <w:rPr>
          <w:b/>
          <w:color w:val="000000"/>
          <w:lang w:val="de-DE" w:eastAsia="de-DE"/>
        </w:rPr>
        <w:tab/>
        <w:t>Gefahrzettelmuster</w:t>
      </w:r>
    </w:p>
    <w:p w:rsidR="006608CB" w:rsidRPr="00DD2A86" w:rsidRDefault="006608CB" w:rsidP="006608CB">
      <w:pPr>
        <w:suppressAutoHyphens w:val="0"/>
        <w:spacing w:line="240" w:lineRule="auto"/>
        <w:jc w:val="both"/>
        <w:rPr>
          <w:rFonts w:ascii="Arial" w:hAnsi="Arial"/>
          <w:color w:val="000000"/>
          <w:sz w:val="22"/>
          <w:lang w:val="de-DE" w:eastAsia="de-DE"/>
        </w:rPr>
      </w:pPr>
    </w:p>
    <w:tbl>
      <w:tblPr>
        <w:tblW w:w="14063"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28"/>
        <w:gridCol w:w="1742"/>
        <w:gridCol w:w="3260"/>
        <w:gridCol w:w="1003"/>
        <w:gridCol w:w="1276"/>
        <w:gridCol w:w="1616"/>
        <w:gridCol w:w="1645"/>
        <w:gridCol w:w="2693"/>
      </w:tblGrid>
      <w:tr w:rsidR="006608CB" w:rsidRPr="00DD2A86" w:rsidTr="00973598">
        <w:trPr>
          <w:cantSplit/>
          <w:tblHeader/>
        </w:trPr>
        <w:tc>
          <w:tcPr>
            <w:tcW w:w="828" w:type="dxa"/>
            <w:shd w:val="clear" w:color="auto" w:fill="auto"/>
            <w:vAlign w:val="center"/>
          </w:tcPr>
          <w:p w:rsidR="006608CB" w:rsidRPr="00DD2A86" w:rsidRDefault="006608CB" w:rsidP="006608CB">
            <w:pPr>
              <w:suppressAutoHyphens w:val="0"/>
              <w:spacing w:line="240" w:lineRule="auto"/>
              <w:jc w:val="center"/>
              <w:rPr>
                <w:b/>
                <w:color w:val="000000"/>
                <w:sz w:val="18"/>
                <w:szCs w:val="18"/>
                <w:lang w:val="de-DE" w:eastAsia="ru-RU"/>
              </w:rPr>
            </w:pPr>
            <w:r w:rsidRPr="00DD2A86">
              <w:rPr>
                <w:b/>
                <w:color w:val="000000"/>
                <w:sz w:val="18"/>
                <w:szCs w:val="18"/>
                <w:lang w:val="de-DE" w:eastAsia="ru-RU"/>
              </w:rPr>
              <w:t>Gefahr</w:t>
            </w:r>
            <w:r w:rsidRPr="00DD2A86">
              <w:rPr>
                <w:b/>
                <w:color w:val="000000"/>
                <w:sz w:val="18"/>
                <w:szCs w:val="18"/>
                <w:lang w:val="de-DE" w:eastAsia="ru-RU"/>
              </w:rPr>
              <w:softHyphen/>
              <w:t>zettel</w:t>
            </w:r>
            <w:r w:rsidRPr="00DD2A86">
              <w:rPr>
                <w:b/>
                <w:color w:val="000000"/>
                <w:sz w:val="18"/>
                <w:szCs w:val="18"/>
                <w:lang w:val="de-DE" w:eastAsia="ru-RU"/>
              </w:rPr>
              <w:softHyphen/>
              <w:t>muster Nr.</w:t>
            </w:r>
          </w:p>
        </w:tc>
        <w:tc>
          <w:tcPr>
            <w:tcW w:w="1742" w:type="dxa"/>
            <w:shd w:val="clear" w:color="auto" w:fill="auto"/>
            <w:vAlign w:val="center"/>
          </w:tcPr>
          <w:p w:rsidR="006608CB" w:rsidRPr="00DD2A86" w:rsidRDefault="006608CB" w:rsidP="006608CB">
            <w:pPr>
              <w:suppressAutoHyphens w:val="0"/>
              <w:spacing w:line="240" w:lineRule="auto"/>
              <w:jc w:val="center"/>
              <w:rPr>
                <w:b/>
                <w:color w:val="000000"/>
                <w:sz w:val="18"/>
                <w:szCs w:val="18"/>
                <w:lang w:val="de-DE" w:eastAsia="ru-RU"/>
              </w:rPr>
            </w:pPr>
            <w:r w:rsidRPr="00DD2A86">
              <w:rPr>
                <w:b/>
                <w:color w:val="000000"/>
                <w:sz w:val="18"/>
                <w:szCs w:val="18"/>
                <w:lang w:val="de-DE" w:eastAsia="ru-RU"/>
              </w:rPr>
              <w:t>Unterklasse oder Kategorie</w:t>
            </w:r>
          </w:p>
        </w:tc>
        <w:tc>
          <w:tcPr>
            <w:tcW w:w="3260" w:type="dxa"/>
            <w:shd w:val="clear" w:color="auto" w:fill="auto"/>
            <w:vAlign w:val="center"/>
          </w:tcPr>
          <w:p w:rsidR="006608CB" w:rsidRPr="00DD2A86" w:rsidRDefault="006608CB" w:rsidP="006608CB">
            <w:pPr>
              <w:suppressAutoHyphens w:val="0"/>
              <w:spacing w:line="240" w:lineRule="auto"/>
              <w:jc w:val="center"/>
              <w:rPr>
                <w:b/>
                <w:color w:val="000000"/>
                <w:sz w:val="18"/>
                <w:szCs w:val="18"/>
                <w:lang w:val="de-DE" w:eastAsia="ru-RU"/>
              </w:rPr>
            </w:pPr>
            <w:r w:rsidRPr="00DD2A86">
              <w:rPr>
                <w:b/>
                <w:color w:val="000000"/>
                <w:sz w:val="18"/>
                <w:szCs w:val="18"/>
                <w:lang w:val="de-DE" w:eastAsia="ru-RU"/>
              </w:rPr>
              <w:t>Symbol und Farbe des Symbols</w:t>
            </w:r>
          </w:p>
        </w:tc>
        <w:tc>
          <w:tcPr>
            <w:tcW w:w="1003" w:type="dxa"/>
            <w:shd w:val="clear" w:color="auto" w:fill="auto"/>
            <w:vAlign w:val="center"/>
          </w:tcPr>
          <w:p w:rsidR="006608CB" w:rsidRPr="00DD2A86" w:rsidRDefault="006608CB" w:rsidP="006608CB">
            <w:pPr>
              <w:suppressAutoHyphens w:val="0"/>
              <w:spacing w:line="240" w:lineRule="auto"/>
              <w:jc w:val="center"/>
              <w:rPr>
                <w:b/>
                <w:color w:val="000000"/>
                <w:sz w:val="18"/>
                <w:szCs w:val="18"/>
                <w:lang w:val="de-DE" w:eastAsia="ru-RU"/>
              </w:rPr>
            </w:pPr>
            <w:r w:rsidRPr="00DD2A86">
              <w:rPr>
                <w:b/>
                <w:color w:val="000000"/>
                <w:sz w:val="18"/>
                <w:szCs w:val="18"/>
                <w:lang w:val="de-DE" w:eastAsia="ru-RU"/>
              </w:rPr>
              <w:t>Hinter</w:t>
            </w:r>
            <w:r w:rsidRPr="00DD2A86">
              <w:rPr>
                <w:b/>
                <w:color w:val="000000"/>
                <w:sz w:val="18"/>
                <w:szCs w:val="18"/>
                <w:lang w:val="de-DE" w:eastAsia="ru-RU"/>
              </w:rPr>
              <w:softHyphen/>
              <w:t>grund</w:t>
            </w:r>
          </w:p>
        </w:tc>
        <w:tc>
          <w:tcPr>
            <w:tcW w:w="1276" w:type="dxa"/>
            <w:shd w:val="clear" w:color="auto" w:fill="auto"/>
            <w:vAlign w:val="center"/>
          </w:tcPr>
          <w:p w:rsidR="006608CB" w:rsidRPr="00DD2A86" w:rsidRDefault="006608CB" w:rsidP="006608CB">
            <w:pPr>
              <w:suppressAutoHyphens w:val="0"/>
              <w:spacing w:line="240" w:lineRule="auto"/>
              <w:jc w:val="center"/>
              <w:rPr>
                <w:b/>
                <w:color w:val="000000"/>
                <w:sz w:val="18"/>
                <w:szCs w:val="18"/>
                <w:lang w:val="de-DE" w:eastAsia="ru-RU"/>
              </w:rPr>
            </w:pPr>
            <w:r w:rsidRPr="00DD2A86">
              <w:rPr>
                <w:b/>
                <w:color w:val="000000"/>
                <w:sz w:val="18"/>
                <w:szCs w:val="18"/>
                <w:lang w:val="de-DE" w:eastAsia="ru-RU"/>
              </w:rPr>
              <w:t>Ziffer in der unteren Ecke (und Farbe der Ziffer)</w:t>
            </w:r>
          </w:p>
        </w:tc>
        <w:tc>
          <w:tcPr>
            <w:tcW w:w="3261" w:type="dxa"/>
            <w:gridSpan w:val="2"/>
            <w:shd w:val="clear" w:color="auto" w:fill="auto"/>
            <w:vAlign w:val="center"/>
          </w:tcPr>
          <w:p w:rsidR="006608CB" w:rsidRPr="00DD2A86" w:rsidRDefault="006608CB" w:rsidP="006608CB">
            <w:pPr>
              <w:suppressAutoHyphens w:val="0"/>
              <w:spacing w:line="240" w:lineRule="auto"/>
              <w:jc w:val="center"/>
              <w:rPr>
                <w:b/>
                <w:color w:val="000000"/>
                <w:sz w:val="18"/>
                <w:szCs w:val="18"/>
                <w:lang w:val="de-DE" w:eastAsia="ru-RU"/>
              </w:rPr>
            </w:pPr>
            <w:r w:rsidRPr="00DD2A86">
              <w:rPr>
                <w:b/>
                <w:color w:val="000000"/>
                <w:sz w:val="18"/>
                <w:szCs w:val="18"/>
                <w:lang w:val="de-DE" w:eastAsia="ru-RU"/>
              </w:rPr>
              <w:t>Gefahrzettelmuster</w:t>
            </w:r>
          </w:p>
        </w:tc>
        <w:tc>
          <w:tcPr>
            <w:tcW w:w="2693" w:type="dxa"/>
            <w:shd w:val="clear" w:color="auto" w:fill="auto"/>
            <w:vAlign w:val="center"/>
          </w:tcPr>
          <w:p w:rsidR="006608CB" w:rsidRPr="00DD2A86" w:rsidRDefault="006608CB" w:rsidP="006608CB">
            <w:pPr>
              <w:suppressAutoHyphens w:val="0"/>
              <w:spacing w:line="240" w:lineRule="auto"/>
              <w:jc w:val="center"/>
              <w:rPr>
                <w:b/>
                <w:color w:val="000000"/>
                <w:sz w:val="18"/>
                <w:szCs w:val="18"/>
                <w:lang w:val="de-DE" w:eastAsia="ru-RU"/>
              </w:rPr>
            </w:pPr>
            <w:r w:rsidRPr="00DD2A86">
              <w:rPr>
                <w:b/>
                <w:color w:val="000000"/>
                <w:sz w:val="18"/>
                <w:szCs w:val="18"/>
                <w:lang w:val="de-DE" w:eastAsia="ru-RU"/>
              </w:rPr>
              <w:t>Bemerkung</w:t>
            </w:r>
          </w:p>
        </w:tc>
      </w:tr>
      <w:tr w:rsidR="006608CB" w:rsidRPr="00E139A8" w:rsidTr="00973598">
        <w:trPr>
          <w:cantSplit/>
          <w:trHeight w:val="431"/>
        </w:trPr>
        <w:tc>
          <w:tcPr>
            <w:tcW w:w="14063" w:type="dxa"/>
            <w:gridSpan w:val="8"/>
            <w:shd w:val="clear" w:color="auto" w:fill="auto"/>
            <w:vAlign w:val="center"/>
          </w:tcPr>
          <w:p w:rsidR="006608CB" w:rsidRPr="00DD2A86" w:rsidRDefault="006608CB" w:rsidP="006608CB">
            <w:pPr>
              <w:suppressAutoHyphens w:val="0"/>
              <w:spacing w:line="240" w:lineRule="auto"/>
              <w:jc w:val="center"/>
              <w:rPr>
                <w:color w:val="000000"/>
                <w:sz w:val="18"/>
                <w:szCs w:val="18"/>
                <w:lang w:val="de-DE" w:eastAsia="ru-RU"/>
              </w:rPr>
            </w:pPr>
            <w:r w:rsidRPr="00DD2A86">
              <w:rPr>
                <w:b/>
                <w:color w:val="000000"/>
                <w:sz w:val="18"/>
                <w:szCs w:val="18"/>
                <w:lang w:val="de-DE" w:eastAsia="ru-RU"/>
              </w:rPr>
              <w:t xml:space="preserve">Gefahr der Klasse 1: </w:t>
            </w:r>
            <w:r w:rsidRPr="00DD2A86">
              <w:rPr>
                <w:b/>
                <w:color w:val="000000"/>
                <w:sz w:val="18"/>
                <w:szCs w:val="18"/>
                <w:lang w:val="de-DE" w:eastAsia="de-DE"/>
              </w:rPr>
              <w:t>Explosive Stoffe und Gegenstände mit Explosivstoff</w:t>
            </w:r>
          </w:p>
        </w:tc>
      </w:tr>
      <w:tr w:rsidR="006608CB" w:rsidRPr="00E139A8" w:rsidTr="00973598">
        <w:trPr>
          <w:cantSplit/>
          <w:trHeight w:val="1650"/>
        </w:trPr>
        <w:tc>
          <w:tcPr>
            <w:tcW w:w="828"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1</w:t>
            </w:r>
          </w:p>
        </w:tc>
        <w:tc>
          <w:tcPr>
            <w:tcW w:w="1742"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Unterklassen 1.1, 1.2, 1.3</w:t>
            </w:r>
          </w:p>
        </w:tc>
        <w:tc>
          <w:tcPr>
            <w:tcW w:w="3260"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de-DE"/>
              </w:rPr>
              <w:t>explodierende Bombe: schwarz</w:t>
            </w:r>
          </w:p>
        </w:tc>
        <w:tc>
          <w:tcPr>
            <w:tcW w:w="1003"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orange</w:t>
            </w:r>
          </w:p>
        </w:tc>
        <w:tc>
          <w:tcPr>
            <w:tcW w:w="1276"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1</w:t>
            </w:r>
          </w:p>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(schwarz)</w:t>
            </w:r>
          </w:p>
        </w:tc>
        <w:tc>
          <w:tcPr>
            <w:tcW w:w="3261" w:type="dxa"/>
            <w:gridSpan w:val="2"/>
            <w:shd w:val="clear" w:color="auto" w:fill="auto"/>
            <w:vAlign w:val="center"/>
          </w:tcPr>
          <w:p w:rsidR="006608CB" w:rsidRPr="00DD2A86" w:rsidRDefault="006608CB" w:rsidP="006608CB">
            <w:pPr>
              <w:suppressAutoHyphens w:val="0"/>
              <w:spacing w:line="240" w:lineRule="auto"/>
              <w:jc w:val="center"/>
              <w:rPr>
                <w:color w:val="000000"/>
                <w:sz w:val="18"/>
                <w:szCs w:val="18"/>
                <w:lang w:val="de-DE" w:eastAsia="ru-RU"/>
              </w:rPr>
            </w:pPr>
            <w:r w:rsidRPr="00DD2A86">
              <w:rPr>
                <w:rFonts w:eastAsia="SimSun"/>
                <w:noProof/>
                <w:color w:val="000000"/>
                <w:sz w:val="18"/>
                <w:szCs w:val="18"/>
                <w:lang w:val="fr-FR" w:eastAsia="fr-FR"/>
              </w:rPr>
              <w:drawing>
                <wp:inline distT="0" distB="0" distL="0" distR="0" wp14:anchorId="588474FE" wp14:editId="6C891873">
                  <wp:extent cx="864870" cy="864870"/>
                  <wp:effectExtent l="19050" t="0" r="0" b="0"/>
                  <wp:docPr id="2378"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67" cstate="print"/>
                          <a:srcRect/>
                          <a:stretch>
                            <a:fillRect/>
                          </a:stretch>
                        </pic:blipFill>
                        <pic:spPr bwMode="auto">
                          <a:xfrm>
                            <a:off x="0" y="0"/>
                            <a:ext cx="864870" cy="864870"/>
                          </a:xfrm>
                          <a:prstGeom prst="rect">
                            <a:avLst/>
                          </a:prstGeom>
                          <a:noFill/>
                          <a:ln w="9525">
                            <a:noFill/>
                            <a:miter lim="800000"/>
                            <a:headEnd/>
                            <a:tailEnd/>
                          </a:ln>
                        </pic:spPr>
                      </pic:pic>
                    </a:graphicData>
                  </a:graphic>
                </wp:inline>
              </w:drawing>
            </w:r>
          </w:p>
        </w:tc>
        <w:tc>
          <w:tcPr>
            <w:tcW w:w="2693" w:type="dxa"/>
            <w:shd w:val="clear" w:color="auto" w:fill="auto"/>
          </w:tcPr>
          <w:p w:rsidR="006608CB" w:rsidRPr="00DD2A86" w:rsidRDefault="006608CB" w:rsidP="006608CB">
            <w:pPr>
              <w:tabs>
                <w:tab w:val="left" w:pos="221"/>
              </w:tabs>
              <w:suppressAutoHyphens w:val="0"/>
              <w:spacing w:line="240" w:lineRule="auto"/>
              <w:ind w:left="221" w:hanging="221"/>
              <w:rPr>
                <w:color w:val="000000"/>
                <w:sz w:val="18"/>
                <w:szCs w:val="18"/>
                <w:lang w:val="de-DE" w:eastAsia="de-DE"/>
              </w:rPr>
            </w:pPr>
            <w:r w:rsidRPr="00DD2A86">
              <w:rPr>
                <w:color w:val="000000"/>
                <w:sz w:val="18"/>
                <w:szCs w:val="18"/>
                <w:lang w:val="de-DE" w:eastAsia="ru-RU"/>
              </w:rPr>
              <w:t>**</w:t>
            </w:r>
            <w:r w:rsidRPr="00DD2A86">
              <w:rPr>
                <w:color w:val="000000"/>
                <w:sz w:val="18"/>
                <w:szCs w:val="18"/>
                <w:lang w:val="de-DE" w:eastAsia="de-DE"/>
              </w:rPr>
              <w:tab/>
              <w:t>Angabe der Unterklasse – keine Angabe, wenn die explosive Eigenschaft die Nebengefahr darstellt</w:t>
            </w:r>
          </w:p>
          <w:p w:rsidR="006608CB" w:rsidRPr="00DD2A86" w:rsidRDefault="006608CB" w:rsidP="006608CB">
            <w:pPr>
              <w:tabs>
                <w:tab w:val="left" w:pos="221"/>
              </w:tabs>
              <w:suppressAutoHyphens w:val="0"/>
              <w:spacing w:line="240" w:lineRule="auto"/>
              <w:ind w:left="221" w:hanging="221"/>
              <w:rPr>
                <w:color w:val="000000"/>
                <w:sz w:val="18"/>
                <w:szCs w:val="18"/>
                <w:lang w:val="de-DE" w:eastAsia="ru-RU"/>
              </w:rPr>
            </w:pPr>
            <w:r w:rsidRPr="00DD2A86">
              <w:rPr>
                <w:color w:val="000000"/>
                <w:sz w:val="18"/>
                <w:szCs w:val="18"/>
                <w:lang w:val="de-DE" w:eastAsia="ru-RU"/>
              </w:rPr>
              <w:t>*</w:t>
            </w:r>
            <w:r w:rsidRPr="00DD2A86">
              <w:rPr>
                <w:color w:val="000000"/>
                <w:sz w:val="18"/>
                <w:szCs w:val="18"/>
                <w:lang w:val="de-DE" w:eastAsia="ru-RU"/>
              </w:rPr>
              <w:tab/>
            </w:r>
            <w:r w:rsidRPr="00DD2A86">
              <w:rPr>
                <w:color w:val="000000"/>
                <w:sz w:val="18"/>
                <w:szCs w:val="18"/>
                <w:lang w:val="de-DE" w:eastAsia="de-DE"/>
              </w:rPr>
              <w:t>Angabe der Verträglichkeitsgruppe – keine Angabe, wenn die explosive Eigenschaft die Nebengefahr darstellt</w:t>
            </w:r>
          </w:p>
        </w:tc>
      </w:tr>
      <w:tr w:rsidR="006608CB" w:rsidRPr="00DD2A86" w:rsidTr="00973598">
        <w:trPr>
          <w:cantSplit/>
          <w:trHeight w:val="1650"/>
        </w:trPr>
        <w:tc>
          <w:tcPr>
            <w:tcW w:w="828"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1.4</w:t>
            </w:r>
          </w:p>
        </w:tc>
        <w:tc>
          <w:tcPr>
            <w:tcW w:w="1742"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Unterklasse 1.4</w:t>
            </w:r>
          </w:p>
        </w:tc>
        <w:tc>
          <w:tcPr>
            <w:tcW w:w="3260"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1.4: schwarz</w:t>
            </w:r>
          </w:p>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de-DE"/>
              </w:rPr>
              <w:t xml:space="preserve">Die Ziffern müssen eine Zeichenhöhe von ca. 30 mm und eine Dicke von ca. 5 mm haben (bei einem Gefahrzettel von 100 mm </w:t>
            </w:r>
            <w:r w:rsidRPr="00DD2A86">
              <w:rPr>
                <w:bCs/>
                <w:color w:val="000000"/>
                <w:sz w:val="18"/>
                <w:szCs w:val="18"/>
                <w:lang w:val="de-DE" w:eastAsia="de-DE"/>
              </w:rPr>
              <w:sym w:font="Symbol" w:char="F0B4"/>
            </w:r>
            <w:r w:rsidRPr="00DD2A86">
              <w:rPr>
                <w:color w:val="000000"/>
                <w:sz w:val="18"/>
                <w:szCs w:val="18"/>
                <w:lang w:val="de-DE" w:eastAsia="de-DE"/>
              </w:rPr>
              <w:t xml:space="preserve"> 100 mm).</w:t>
            </w:r>
          </w:p>
        </w:tc>
        <w:tc>
          <w:tcPr>
            <w:tcW w:w="1003"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orange</w:t>
            </w:r>
          </w:p>
        </w:tc>
        <w:tc>
          <w:tcPr>
            <w:tcW w:w="1276"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1</w:t>
            </w:r>
          </w:p>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(schwarz)</w:t>
            </w:r>
          </w:p>
        </w:tc>
        <w:tc>
          <w:tcPr>
            <w:tcW w:w="3261" w:type="dxa"/>
            <w:gridSpan w:val="2"/>
            <w:shd w:val="clear" w:color="auto" w:fill="auto"/>
            <w:vAlign w:val="center"/>
          </w:tcPr>
          <w:p w:rsidR="006608CB" w:rsidRPr="00DD2A86" w:rsidRDefault="006608CB" w:rsidP="006608CB">
            <w:pPr>
              <w:suppressAutoHyphens w:val="0"/>
              <w:spacing w:line="240" w:lineRule="auto"/>
              <w:jc w:val="center"/>
              <w:rPr>
                <w:color w:val="000000"/>
                <w:sz w:val="18"/>
                <w:szCs w:val="18"/>
                <w:lang w:val="de-DE" w:eastAsia="ru-RU"/>
              </w:rPr>
            </w:pPr>
            <w:r w:rsidRPr="00DD2A86">
              <w:rPr>
                <w:rFonts w:eastAsia="SimSun"/>
                <w:noProof/>
                <w:color w:val="000000"/>
                <w:sz w:val="18"/>
                <w:szCs w:val="18"/>
                <w:lang w:val="fr-FR" w:eastAsia="fr-FR"/>
              </w:rPr>
              <w:drawing>
                <wp:inline distT="0" distB="0" distL="0" distR="0" wp14:anchorId="627BEE5C" wp14:editId="47741F8E">
                  <wp:extent cx="864870" cy="864870"/>
                  <wp:effectExtent l="19050" t="0" r="0" b="0"/>
                  <wp:docPr id="2379" name="Picture 5"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
                          <pic:cNvPicPr>
                            <a:picLocks noChangeAspect="1" noChangeArrowheads="1"/>
                          </pic:cNvPicPr>
                        </pic:nvPicPr>
                        <pic:blipFill>
                          <a:blip r:embed="rId68" cstate="print"/>
                          <a:srcRect/>
                          <a:stretch>
                            <a:fillRect/>
                          </a:stretch>
                        </pic:blipFill>
                        <pic:spPr bwMode="auto">
                          <a:xfrm>
                            <a:off x="0" y="0"/>
                            <a:ext cx="864870" cy="864870"/>
                          </a:xfrm>
                          <a:prstGeom prst="rect">
                            <a:avLst/>
                          </a:prstGeom>
                          <a:noFill/>
                          <a:ln w="9525">
                            <a:noFill/>
                            <a:miter lim="800000"/>
                            <a:headEnd/>
                            <a:tailEnd/>
                          </a:ln>
                        </pic:spPr>
                      </pic:pic>
                    </a:graphicData>
                  </a:graphic>
                </wp:inline>
              </w:drawing>
            </w:r>
          </w:p>
        </w:tc>
        <w:tc>
          <w:tcPr>
            <w:tcW w:w="2693" w:type="dxa"/>
            <w:shd w:val="clear" w:color="auto" w:fill="auto"/>
          </w:tcPr>
          <w:p w:rsidR="006608CB" w:rsidRPr="00DD2A86" w:rsidRDefault="006608CB" w:rsidP="006608CB">
            <w:pPr>
              <w:tabs>
                <w:tab w:val="left" w:pos="221"/>
              </w:tabs>
              <w:suppressAutoHyphens w:val="0"/>
              <w:spacing w:line="240" w:lineRule="auto"/>
              <w:ind w:left="221" w:hanging="221"/>
              <w:rPr>
                <w:color w:val="000000"/>
                <w:sz w:val="18"/>
                <w:szCs w:val="18"/>
                <w:lang w:val="de-DE" w:eastAsia="ru-RU"/>
              </w:rPr>
            </w:pPr>
            <w:r w:rsidRPr="00DD2A86">
              <w:rPr>
                <w:color w:val="000000"/>
                <w:sz w:val="18"/>
                <w:szCs w:val="18"/>
                <w:lang w:val="de-DE" w:eastAsia="ru-RU"/>
              </w:rPr>
              <w:t>*</w:t>
            </w:r>
            <w:r w:rsidRPr="00DD2A86">
              <w:rPr>
                <w:color w:val="000000"/>
                <w:sz w:val="18"/>
                <w:szCs w:val="18"/>
                <w:lang w:val="de-DE" w:eastAsia="ru-RU"/>
              </w:rPr>
              <w:tab/>
            </w:r>
            <w:r w:rsidRPr="00DD2A86">
              <w:rPr>
                <w:color w:val="000000"/>
                <w:sz w:val="18"/>
                <w:szCs w:val="18"/>
                <w:lang w:val="de-DE" w:eastAsia="de-DE"/>
              </w:rPr>
              <w:t>Angabe der Verträglichkeitsgruppe</w:t>
            </w:r>
          </w:p>
        </w:tc>
      </w:tr>
      <w:tr w:rsidR="006608CB" w:rsidRPr="00DD2A86" w:rsidTr="00973598">
        <w:trPr>
          <w:cantSplit/>
          <w:trHeight w:val="1650"/>
        </w:trPr>
        <w:tc>
          <w:tcPr>
            <w:tcW w:w="828"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1.5</w:t>
            </w:r>
          </w:p>
        </w:tc>
        <w:tc>
          <w:tcPr>
            <w:tcW w:w="1742"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Unterklasse 1.5</w:t>
            </w:r>
          </w:p>
        </w:tc>
        <w:tc>
          <w:tcPr>
            <w:tcW w:w="3260"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1.5: schwarz</w:t>
            </w:r>
          </w:p>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de-DE"/>
              </w:rPr>
              <w:t xml:space="preserve">Die Ziffern müssen eine Zeichenhöhe von ca. 30 mm und eine Dicke von ca. 5 mm haben (bei einem Gefahrzettel von 100 mm </w:t>
            </w:r>
            <w:r w:rsidRPr="00DD2A86">
              <w:rPr>
                <w:bCs/>
                <w:color w:val="000000"/>
                <w:sz w:val="18"/>
                <w:szCs w:val="18"/>
                <w:lang w:val="de-DE" w:eastAsia="de-DE"/>
              </w:rPr>
              <w:sym w:font="Symbol" w:char="F0B4"/>
            </w:r>
            <w:r w:rsidRPr="00DD2A86">
              <w:rPr>
                <w:color w:val="000000"/>
                <w:sz w:val="18"/>
                <w:szCs w:val="18"/>
                <w:lang w:val="de-DE" w:eastAsia="de-DE"/>
              </w:rPr>
              <w:t xml:space="preserve"> 100 mm).</w:t>
            </w:r>
          </w:p>
        </w:tc>
        <w:tc>
          <w:tcPr>
            <w:tcW w:w="1003"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orange</w:t>
            </w:r>
          </w:p>
        </w:tc>
        <w:tc>
          <w:tcPr>
            <w:tcW w:w="1276"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1</w:t>
            </w:r>
          </w:p>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(schwarz)</w:t>
            </w:r>
          </w:p>
        </w:tc>
        <w:tc>
          <w:tcPr>
            <w:tcW w:w="3261" w:type="dxa"/>
            <w:gridSpan w:val="2"/>
            <w:shd w:val="clear" w:color="auto" w:fill="auto"/>
            <w:vAlign w:val="center"/>
          </w:tcPr>
          <w:p w:rsidR="006608CB" w:rsidRPr="00DD2A86" w:rsidRDefault="006608CB" w:rsidP="006608CB">
            <w:pPr>
              <w:suppressAutoHyphens w:val="0"/>
              <w:spacing w:line="240" w:lineRule="auto"/>
              <w:jc w:val="center"/>
              <w:rPr>
                <w:color w:val="000000"/>
                <w:sz w:val="18"/>
                <w:szCs w:val="18"/>
                <w:lang w:val="de-DE" w:eastAsia="ru-RU"/>
              </w:rPr>
            </w:pPr>
            <w:r w:rsidRPr="00DD2A86">
              <w:rPr>
                <w:rFonts w:eastAsia="SimSun"/>
                <w:noProof/>
                <w:color w:val="000000"/>
                <w:sz w:val="18"/>
                <w:szCs w:val="18"/>
                <w:lang w:val="fr-FR" w:eastAsia="fr-FR"/>
              </w:rPr>
              <w:drawing>
                <wp:inline distT="0" distB="0" distL="0" distR="0" wp14:anchorId="4CEB6626" wp14:editId="7DBA984B">
                  <wp:extent cx="864870" cy="864870"/>
                  <wp:effectExtent l="19050" t="0" r="0" b="0"/>
                  <wp:docPr id="2380" name="Picture 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5"/>
                          <pic:cNvPicPr>
                            <a:picLocks noChangeAspect="1" noChangeArrowheads="1"/>
                          </pic:cNvPicPr>
                        </pic:nvPicPr>
                        <pic:blipFill>
                          <a:blip r:embed="rId69" cstate="print"/>
                          <a:srcRect/>
                          <a:stretch>
                            <a:fillRect/>
                          </a:stretch>
                        </pic:blipFill>
                        <pic:spPr bwMode="auto">
                          <a:xfrm>
                            <a:off x="0" y="0"/>
                            <a:ext cx="864870" cy="864870"/>
                          </a:xfrm>
                          <a:prstGeom prst="rect">
                            <a:avLst/>
                          </a:prstGeom>
                          <a:noFill/>
                          <a:ln w="9525">
                            <a:noFill/>
                            <a:miter lim="800000"/>
                            <a:headEnd/>
                            <a:tailEnd/>
                          </a:ln>
                        </pic:spPr>
                      </pic:pic>
                    </a:graphicData>
                  </a:graphic>
                </wp:inline>
              </w:drawing>
            </w:r>
          </w:p>
        </w:tc>
        <w:tc>
          <w:tcPr>
            <w:tcW w:w="2693" w:type="dxa"/>
            <w:shd w:val="clear" w:color="auto" w:fill="auto"/>
          </w:tcPr>
          <w:p w:rsidR="006608CB" w:rsidRPr="00DD2A86" w:rsidRDefault="006608CB" w:rsidP="006608CB">
            <w:pPr>
              <w:tabs>
                <w:tab w:val="left" w:pos="221"/>
              </w:tabs>
              <w:suppressAutoHyphens w:val="0"/>
              <w:spacing w:line="240" w:lineRule="auto"/>
              <w:ind w:left="221" w:hanging="221"/>
              <w:rPr>
                <w:color w:val="000000"/>
                <w:sz w:val="18"/>
                <w:szCs w:val="18"/>
                <w:lang w:val="de-DE" w:eastAsia="ru-RU"/>
              </w:rPr>
            </w:pPr>
            <w:r w:rsidRPr="00DD2A86">
              <w:rPr>
                <w:color w:val="000000"/>
                <w:sz w:val="18"/>
                <w:szCs w:val="18"/>
                <w:lang w:val="de-DE" w:eastAsia="ru-RU"/>
              </w:rPr>
              <w:t>*</w:t>
            </w:r>
            <w:r w:rsidRPr="00DD2A86">
              <w:rPr>
                <w:color w:val="000000"/>
                <w:sz w:val="18"/>
                <w:szCs w:val="18"/>
                <w:lang w:val="de-DE" w:eastAsia="ru-RU"/>
              </w:rPr>
              <w:tab/>
            </w:r>
            <w:r w:rsidRPr="00DD2A86">
              <w:rPr>
                <w:color w:val="000000"/>
                <w:sz w:val="18"/>
                <w:szCs w:val="18"/>
                <w:lang w:val="de-DE" w:eastAsia="de-DE"/>
              </w:rPr>
              <w:t>Angabe der Verträglichkeitsgruppe</w:t>
            </w:r>
          </w:p>
        </w:tc>
      </w:tr>
      <w:tr w:rsidR="006608CB" w:rsidRPr="00DD2A86" w:rsidTr="00973598">
        <w:trPr>
          <w:cantSplit/>
          <w:trHeight w:val="1650"/>
        </w:trPr>
        <w:tc>
          <w:tcPr>
            <w:tcW w:w="828"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1.6</w:t>
            </w:r>
          </w:p>
        </w:tc>
        <w:tc>
          <w:tcPr>
            <w:tcW w:w="1742"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Unterklasse 1.6</w:t>
            </w:r>
          </w:p>
        </w:tc>
        <w:tc>
          <w:tcPr>
            <w:tcW w:w="3260"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1.6: schwarz</w:t>
            </w:r>
          </w:p>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de-DE"/>
              </w:rPr>
              <w:t xml:space="preserve">Die Ziffern müssen eine Zeichenhöhe von ca. 30 mm und eine Dicke von ca. 5 mm haben (bei einem Gefahrzettel von 100 mm </w:t>
            </w:r>
            <w:r w:rsidRPr="00DD2A86">
              <w:rPr>
                <w:bCs/>
                <w:color w:val="000000"/>
                <w:sz w:val="18"/>
                <w:szCs w:val="18"/>
                <w:lang w:val="de-DE" w:eastAsia="de-DE"/>
              </w:rPr>
              <w:sym w:font="Symbol" w:char="F0B4"/>
            </w:r>
            <w:r w:rsidRPr="00DD2A86">
              <w:rPr>
                <w:color w:val="000000"/>
                <w:sz w:val="18"/>
                <w:szCs w:val="18"/>
                <w:lang w:val="de-DE" w:eastAsia="de-DE"/>
              </w:rPr>
              <w:t xml:space="preserve"> 100 mm).</w:t>
            </w:r>
          </w:p>
        </w:tc>
        <w:tc>
          <w:tcPr>
            <w:tcW w:w="1003"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orange</w:t>
            </w:r>
          </w:p>
        </w:tc>
        <w:tc>
          <w:tcPr>
            <w:tcW w:w="1276"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1</w:t>
            </w:r>
          </w:p>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(schwarz)</w:t>
            </w:r>
          </w:p>
        </w:tc>
        <w:tc>
          <w:tcPr>
            <w:tcW w:w="3261" w:type="dxa"/>
            <w:gridSpan w:val="2"/>
            <w:shd w:val="clear" w:color="auto" w:fill="auto"/>
            <w:vAlign w:val="center"/>
          </w:tcPr>
          <w:p w:rsidR="006608CB" w:rsidRPr="00DD2A86" w:rsidRDefault="006608CB" w:rsidP="006608CB">
            <w:pPr>
              <w:suppressAutoHyphens w:val="0"/>
              <w:spacing w:line="240" w:lineRule="auto"/>
              <w:jc w:val="center"/>
              <w:rPr>
                <w:color w:val="000000"/>
                <w:sz w:val="18"/>
                <w:szCs w:val="18"/>
                <w:lang w:val="de-DE" w:eastAsia="ru-RU"/>
              </w:rPr>
            </w:pPr>
            <w:r w:rsidRPr="00DD2A86">
              <w:rPr>
                <w:rFonts w:eastAsia="SimSun"/>
                <w:noProof/>
                <w:color w:val="000000"/>
                <w:sz w:val="18"/>
                <w:szCs w:val="18"/>
                <w:lang w:val="fr-FR" w:eastAsia="fr-FR"/>
              </w:rPr>
              <w:drawing>
                <wp:inline distT="0" distB="0" distL="0" distR="0" wp14:anchorId="7A7162F0" wp14:editId="6AED8E64">
                  <wp:extent cx="864870" cy="864870"/>
                  <wp:effectExtent l="19050" t="0" r="0" b="0"/>
                  <wp:docPr id="2381" name="Picture 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6"/>
                          <pic:cNvPicPr>
                            <a:picLocks noChangeAspect="1" noChangeArrowheads="1"/>
                          </pic:cNvPicPr>
                        </pic:nvPicPr>
                        <pic:blipFill>
                          <a:blip r:embed="rId70" cstate="print"/>
                          <a:srcRect/>
                          <a:stretch>
                            <a:fillRect/>
                          </a:stretch>
                        </pic:blipFill>
                        <pic:spPr bwMode="auto">
                          <a:xfrm>
                            <a:off x="0" y="0"/>
                            <a:ext cx="864870" cy="864870"/>
                          </a:xfrm>
                          <a:prstGeom prst="rect">
                            <a:avLst/>
                          </a:prstGeom>
                          <a:noFill/>
                          <a:ln w="9525">
                            <a:noFill/>
                            <a:miter lim="800000"/>
                            <a:headEnd/>
                            <a:tailEnd/>
                          </a:ln>
                        </pic:spPr>
                      </pic:pic>
                    </a:graphicData>
                  </a:graphic>
                </wp:inline>
              </w:drawing>
            </w:r>
          </w:p>
        </w:tc>
        <w:tc>
          <w:tcPr>
            <w:tcW w:w="2693" w:type="dxa"/>
            <w:shd w:val="clear" w:color="auto" w:fill="auto"/>
          </w:tcPr>
          <w:p w:rsidR="006608CB" w:rsidRPr="00DD2A86" w:rsidRDefault="006608CB" w:rsidP="006608CB">
            <w:pPr>
              <w:tabs>
                <w:tab w:val="left" w:pos="221"/>
              </w:tabs>
              <w:suppressAutoHyphens w:val="0"/>
              <w:spacing w:line="240" w:lineRule="auto"/>
              <w:ind w:left="221" w:hanging="221"/>
              <w:rPr>
                <w:color w:val="000000"/>
                <w:sz w:val="18"/>
                <w:szCs w:val="18"/>
                <w:lang w:val="de-DE" w:eastAsia="ru-RU"/>
              </w:rPr>
            </w:pPr>
            <w:r w:rsidRPr="00DD2A86">
              <w:rPr>
                <w:color w:val="000000"/>
                <w:sz w:val="18"/>
                <w:szCs w:val="18"/>
                <w:lang w:val="de-DE" w:eastAsia="ru-RU"/>
              </w:rPr>
              <w:t>*</w:t>
            </w:r>
            <w:r w:rsidRPr="00DD2A86">
              <w:rPr>
                <w:color w:val="000000"/>
                <w:sz w:val="18"/>
                <w:szCs w:val="18"/>
                <w:lang w:val="de-DE" w:eastAsia="ru-RU"/>
              </w:rPr>
              <w:tab/>
            </w:r>
            <w:r w:rsidRPr="00DD2A86">
              <w:rPr>
                <w:color w:val="000000"/>
                <w:sz w:val="18"/>
                <w:szCs w:val="18"/>
                <w:lang w:val="de-DE" w:eastAsia="de-DE"/>
              </w:rPr>
              <w:t>Angabe der Verträglichkeitsgruppe</w:t>
            </w:r>
          </w:p>
        </w:tc>
      </w:tr>
      <w:tr w:rsidR="006608CB" w:rsidRPr="00DD2A86" w:rsidTr="00973598">
        <w:trPr>
          <w:cantSplit/>
          <w:trHeight w:val="431"/>
        </w:trPr>
        <w:tc>
          <w:tcPr>
            <w:tcW w:w="14063" w:type="dxa"/>
            <w:gridSpan w:val="8"/>
            <w:vAlign w:val="center"/>
          </w:tcPr>
          <w:p w:rsidR="006608CB" w:rsidRPr="00DD2A86" w:rsidRDefault="006608CB" w:rsidP="006608CB">
            <w:pPr>
              <w:suppressAutoHyphens w:val="0"/>
              <w:spacing w:line="240" w:lineRule="auto"/>
              <w:jc w:val="center"/>
              <w:rPr>
                <w:b/>
                <w:color w:val="000000"/>
                <w:sz w:val="18"/>
                <w:szCs w:val="18"/>
                <w:lang w:val="de-DE" w:eastAsia="ru-RU"/>
              </w:rPr>
            </w:pPr>
            <w:r w:rsidRPr="00DD2A86">
              <w:rPr>
                <w:b/>
                <w:color w:val="000000"/>
                <w:sz w:val="18"/>
                <w:szCs w:val="18"/>
                <w:lang w:val="de-DE" w:eastAsia="ru-RU"/>
              </w:rPr>
              <w:t>Gefahr der Klasse 2: Gase</w:t>
            </w:r>
          </w:p>
        </w:tc>
      </w:tr>
      <w:tr w:rsidR="006608CB" w:rsidRPr="00DD2A86" w:rsidTr="00973598">
        <w:trPr>
          <w:cantSplit/>
          <w:trHeight w:val="1648"/>
        </w:trPr>
        <w:tc>
          <w:tcPr>
            <w:tcW w:w="828"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2.1</w:t>
            </w:r>
          </w:p>
        </w:tc>
        <w:tc>
          <w:tcPr>
            <w:tcW w:w="1742" w:type="dxa"/>
            <w:shd w:val="clear" w:color="auto" w:fill="auto"/>
          </w:tcPr>
          <w:p w:rsidR="006608CB" w:rsidRPr="00DD2A86" w:rsidRDefault="006608CB" w:rsidP="006608CB">
            <w:pPr>
              <w:keepNext/>
              <w:keepLines/>
              <w:suppressAutoHyphens w:val="0"/>
              <w:spacing w:line="240" w:lineRule="auto"/>
              <w:jc w:val="center"/>
              <w:rPr>
                <w:color w:val="000000"/>
                <w:sz w:val="18"/>
                <w:szCs w:val="18"/>
                <w:lang w:val="de-DE" w:eastAsia="ru-RU"/>
              </w:rPr>
            </w:pPr>
            <w:r w:rsidRPr="00DD2A86">
              <w:rPr>
                <w:color w:val="000000"/>
                <w:sz w:val="18"/>
                <w:szCs w:val="18"/>
                <w:lang w:val="de-DE" w:eastAsia="ru-RU"/>
              </w:rPr>
              <w:t xml:space="preserve">Entzündbare Gase </w:t>
            </w:r>
            <w:r w:rsidRPr="00DD2A86">
              <w:rPr>
                <w:color w:val="000000"/>
                <w:sz w:val="18"/>
                <w:szCs w:val="18"/>
                <w:lang w:val="de-DE" w:eastAsia="de-DE"/>
              </w:rPr>
              <w:t>(mit Ausnahme der in Absatz 5.2.2.2.1.6 d) vorgesehenen Fälle)</w:t>
            </w:r>
          </w:p>
        </w:tc>
        <w:tc>
          <w:tcPr>
            <w:tcW w:w="3260" w:type="dxa"/>
            <w:shd w:val="clear" w:color="auto" w:fill="auto"/>
          </w:tcPr>
          <w:p w:rsidR="006608CB" w:rsidRPr="00DD2A86" w:rsidRDefault="006608CB" w:rsidP="006608CB">
            <w:pPr>
              <w:keepNext/>
              <w:keepLines/>
              <w:suppressAutoHyphens w:val="0"/>
              <w:spacing w:line="240" w:lineRule="auto"/>
              <w:jc w:val="center"/>
              <w:rPr>
                <w:color w:val="000000"/>
                <w:sz w:val="18"/>
                <w:szCs w:val="18"/>
                <w:lang w:val="de-DE" w:eastAsia="ru-RU"/>
              </w:rPr>
            </w:pPr>
            <w:r w:rsidRPr="00DD2A86">
              <w:rPr>
                <w:color w:val="000000"/>
                <w:sz w:val="18"/>
                <w:szCs w:val="18"/>
                <w:lang w:val="de-DE" w:eastAsia="ru-RU"/>
              </w:rPr>
              <w:t xml:space="preserve">Flamme: </w:t>
            </w:r>
            <w:r w:rsidRPr="00DD2A86">
              <w:rPr>
                <w:color w:val="000000"/>
                <w:sz w:val="18"/>
                <w:szCs w:val="18"/>
                <w:lang w:val="de-DE" w:eastAsia="de-DE"/>
              </w:rPr>
              <w:t>schwarz oder weiß</w:t>
            </w:r>
          </w:p>
        </w:tc>
        <w:tc>
          <w:tcPr>
            <w:tcW w:w="1003" w:type="dxa"/>
            <w:shd w:val="clear" w:color="auto" w:fill="auto"/>
          </w:tcPr>
          <w:p w:rsidR="006608CB" w:rsidRPr="00DD2A86" w:rsidRDefault="006608CB" w:rsidP="006608CB">
            <w:pPr>
              <w:keepNext/>
              <w:keepLines/>
              <w:suppressAutoHyphens w:val="0"/>
              <w:spacing w:line="240" w:lineRule="auto"/>
              <w:jc w:val="center"/>
              <w:rPr>
                <w:color w:val="000000"/>
                <w:sz w:val="18"/>
                <w:szCs w:val="18"/>
                <w:lang w:val="de-DE" w:eastAsia="ru-RU"/>
              </w:rPr>
            </w:pPr>
            <w:r w:rsidRPr="00DD2A86">
              <w:rPr>
                <w:color w:val="000000"/>
                <w:sz w:val="18"/>
                <w:szCs w:val="18"/>
                <w:lang w:val="de-DE" w:eastAsia="ru-RU"/>
              </w:rPr>
              <w:t>rot</w:t>
            </w:r>
          </w:p>
        </w:tc>
        <w:tc>
          <w:tcPr>
            <w:tcW w:w="1276" w:type="dxa"/>
            <w:shd w:val="clear" w:color="auto" w:fill="auto"/>
          </w:tcPr>
          <w:p w:rsidR="006608CB" w:rsidRPr="00DD2A86" w:rsidRDefault="006608CB" w:rsidP="006608CB">
            <w:pPr>
              <w:keepNext/>
              <w:keepLines/>
              <w:suppressAutoHyphens w:val="0"/>
              <w:spacing w:line="240" w:lineRule="auto"/>
              <w:jc w:val="center"/>
              <w:rPr>
                <w:color w:val="000000"/>
                <w:sz w:val="18"/>
                <w:szCs w:val="18"/>
                <w:lang w:val="de-DE" w:eastAsia="ru-RU"/>
              </w:rPr>
            </w:pPr>
            <w:r w:rsidRPr="00DD2A86">
              <w:rPr>
                <w:color w:val="000000"/>
                <w:sz w:val="18"/>
                <w:szCs w:val="18"/>
                <w:lang w:val="de-DE" w:eastAsia="ru-RU"/>
              </w:rPr>
              <w:t>2</w:t>
            </w:r>
          </w:p>
          <w:p w:rsidR="006608CB" w:rsidRPr="00DD2A86" w:rsidRDefault="006608CB" w:rsidP="006608CB">
            <w:pPr>
              <w:keepNext/>
              <w:keepLines/>
              <w:suppressAutoHyphens w:val="0"/>
              <w:spacing w:line="240" w:lineRule="auto"/>
              <w:jc w:val="center"/>
              <w:rPr>
                <w:color w:val="000000"/>
                <w:sz w:val="18"/>
                <w:szCs w:val="18"/>
                <w:lang w:val="de-DE" w:eastAsia="ru-RU"/>
              </w:rPr>
            </w:pPr>
            <w:r w:rsidRPr="00DD2A86">
              <w:rPr>
                <w:color w:val="000000"/>
                <w:sz w:val="18"/>
                <w:szCs w:val="18"/>
                <w:lang w:val="de-DE" w:eastAsia="ru-RU"/>
              </w:rPr>
              <w:t>(</w:t>
            </w:r>
            <w:r w:rsidRPr="00DD2A86">
              <w:rPr>
                <w:color w:val="000000"/>
                <w:sz w:val="18"/>
                <w:szCs w:val="18"/>
                <w:lang w:val="de-DE" w:eastAsia="de-DE"/>
              </w:rPr>
              <w:t>schwarz oder weiß</w:t>
            </w:r>
            <w:r w:rsidRPr="00DD2A86">
              <w:rPr>
                <w:color w:val="000000"/>
                <w:sz w:val="18"/>
                <w:szCs w:val="18"/>
                <w:lang w:val="de-DE" w:eastAsia="ru-RU"/>
              </w:rPr>
              <w:t>)</w:t>
            </w:r>
          </w:p>
        </w:tc>
        <w:tc>
          <w:tcPr>
            <w:tcW w:w="1616" w:type="dxa"/>
            <w:shd w:val="clear" w:color="auto" w:fill="auto"/>
            <w:vAlign w:val="center"/>
          </w:tcPr>
          <w:p w:rsidR="006608CB" w:rsidRPr="00DD2A86" w:rsidRDefault="006608CB" w:rsidP="006608CB">
            <w:pPr>
              <w:suppressAutoHyphens w:val="0"/>
              <w:spacing w:line="240" w:lineRule="auto"/>
              <w:jc w:val="center"/>
              <w:rPr>
                <w:rFonts w:eastAsia="SimSun"/>
                <w:noProof/>
                <w:color w:val="000000"/>
                <w:sz w:val="18"/>
                <w:szCs w:val="18"/>
                <w:lang w:val="de-DE" w:eastAsia="de-CH"/>
              </w:rPr>
            </w:pPr>
            <w:r w:rsidRPr="00DD2A86">
              <w:rPr>
                <w:rFonts w:eastAsia="SimSun"/>
                <w:noProof/>
                <w:color w:val="000000"/>
                <w:sz w:val="18"/>
                <w:szCs w:val="18"/>
                <w:lang w:val="fr-FR" w:eastAsia="fr-FR"/>
              </w:rPr>
              <w:drawing>
                <wp:inline distT="0" distB="0" distL="0" distR="0" wp14:anchorId="367C8040" wp14:editId="6150DCB5">
                  <wp:extent cx="869315" cy="869315"/>
                  <wp:effectExtent l="19050" t="0" r="6985" b="0"/>
                  <wp:docPr id="2382" name="Picture 8" descr="rouge2_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uge2_noir"/>
                          <pic:cNvPicPr>
                            <a:picLocks noChangeAspect="1" noChangeArrowheads="1"/>
                          </pic:cNvPicPr>
                        </pic:nvPicPr>
                        <pic:blipFill>
                          <a:blip r:embed="rId71" cstate="print"/>
                          <a:srcRect/>
                          <a:stretch>
                            <a:fillRect/>
                          </a:stretch>
                        </pic:blipFill>
                        <pic:spPr bwMode="auto">
                          <a:xfrm>
                            <a:off x="0" y="0"/>
                            <a:ext cx="869315" cy="869315"/>
                          </a:xfrm>
                          <a:prstGeom prst="rect">
                            <a:avLst/>
                          </a:prstGeom>
                          <a:noFill/>
                          <a:ln w="9525">
                            <a:noFill/>
                            <a:miter lim="800000"/>
                            <a:headEnd/>
                            <a:tailEnd/>
                          </a:ln>
                        </pic:spPr>
                      </pic:pic>
                    </a:graphicData>
                  </a:graphic>
                </wp:inline>
              </w:drawing>
            </w:r>
          </w:p>
        </w:tc>
        <w:tc>
          <w:tcPr>
            <w:tcW w:w="1645" w:type="dxa"/>
            <w:vAlign w:val="center"/>
          </w:tcPr>
          <w:p w:rsidR="006608CB" w:rsidRPr="00DD2A86" w:rsidRDefault="006608CB" w:rsidP="006608CB">
            <w:pPr>
              <w:tabs>
                <w:tab w:val="left" w:pos="221"/>
              </w:tabs>
              <w:suppressAutoHyphens w:val="0"/>
              <w:spacing w:line="240" w:lineRule="auto"/>
              <w:jc w:val="center"/>
              <w:rPr>
                <w:color w:val="000000"/>
                <w:sz w:val="18"/>
                <w:szCs w:val="18"/>
                <w:lang w:val="de-DE" w:eastAsia="ru-RU"/>
              </w:rPr>
            </w:pPr>
            <w:r w:rsidRPr="00DD2A86">
              <w:rPr>
                <w:noProof/>
                <w:color w:val="000000"/>
                <w:sz w:val="18"/>
                <w:szCs w:val="18"/>
                <w:lang w:val="fr-FR" w:eastAsia="fr-FR"/>
              </w:rPr>
              <w:drawing>
                <wp:inline distT="0" distB="0" distL="0" distR="0" wp14:anchorId="762FF433" wp14:editId="28B850AC">
                  <wp:extent cx="869315" cy="869315"/>
                  <wp:effectExtent l="19050" t="0" r="6985" b="0"/>
                  <wp:docPr id="2383" name="Picture 9" descr="rou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uge2"/>
                          <pic:cNvPicPr>
                            <a:picLocks noChangeAspect="1" noChangeArrowheads="1"/>
                          </pic:cNvPicPr>
                        </pic:nvPicPr>
                        <pic:blipFill>
                          <a:blip r:embed="rId72" cstate="print"/>
                          <a:srcRect/>
                          <a:stretch>
                            <a:fillRect/>
                          </a:stretch>
                        </pic:blipFill>
                        <pic:spPr bwMode="auto">
                          <a:xfrm>
                            <a:off x="0" y="0"/>
                            <a:ext cx="869315" cy="869315"/>
                          </a:xfrm>
                          <a:prstGeom prst="rect">
                            <a:avLst/>
                          </a:prstGeom>
                          <a:noFill/>
                          <a:ln w="9525">
                            <a:noFill/>
                            <a:miter lim="800000"/>
                            <a:headEnd/>
                            <a:tailEnd/>
                          </a:ln>
                        </pic:spPr>
                      </pic:pic>
                    </a:graphicData>
                  </a:graphic>
                </wp:inline>
              </w:drawing>
            </w:r>
          </w:p>
        </w:tc>
        <w:tc>
          <w:tcPr>
            <w:tcW w:w="2693" w:type="dxa"/>
            <w:shd w:val="clear" w:color="auto" w:fill="auto"/>
          </w:tcPr>
          <w:p w:rsidR="006608CB" w:rsidRPr="00DD2A86" w:rsidRDefault="006608CB" w:rsidP="006608CB">
            <w:pPr>
              <w:tabs>
                <w:tab w:val="left" w:pos="221"/>
              </w:tabs>
              <w:suppressAutoHyphens w:val="0"/>
              <w:spacing w:line="240" w:lineRule="auto"/>
              <w:ind w:left="221" w:hanging="221"/>
              <w:jc w:val="center"/>
              <w:rPr>
                <w:color w:val="000000"/>
                <w:sz w:val="18"/>
                <w:szCs w:val="18"/>
                <w:lang w:val="de-DE" w:eastAsia="ru-RU"/>
              </w:rPr>
            </w:pPr>
            <w:r w:rsidRPr="00DD2A86">
              <w:rPr>
                <w:color w:val="000000"/>
                <w:sz w:val="18"/>
                <w:szCs w:val="18"/>
                <w:lang w:val="de-DE" w:eastAsia="ru-RU"/>
              </w:rPr>
              <w:t>–</w:t>
            </w:r>
          </w:p>
        </w:tc>
      </w:tr>
      <w:tr w:rsidR="006608CB" w:rsidRPr="00DD2A86" w:rsidTr="00973598">
        <w:trPr>
          <w:cantSplit/>
          <w:trHeight w:val="1648"/>
        </w:trPr>
        <w:tc>
          <w:tcPr>
            <w:tcW w:w="828"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2.2</w:t>
            </w:r>
          </w:p>
        </w:tc>
        <w:tc>
          <w:tcPr>
            <w:tcW w:w="1742"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de-DE"/>
              </w:rPr>
              <w:t>Nicht entzündbare, nicht giftige Gase</w:t>
            </w:r>
          </w:p>
        </w:tc>
        <w:tc>
          <w:tcPr>
            <w:tcW w:w="3260"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Gasflasche: schwarz oder weiß</w:t>
            </w:r>
          </w:p>
        </w:tc>
        <w:tc>
          <w:tcPr>
            <w:tcW w:w="1003"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grün</w:t>
            </w:r>
          </w:p>
        </w:tc>
        <w:tc>
          <w:tcPr>
            <w:tcW w:w="1276" w:type="dxa"/>
            <w:shd w:val="clear" w:color="auto" w:fill="auto"/>
          </w:tcPr>
          <w:p w:rsidR="006608CB" w:rsidRPr="00DD2A86" w:rsidRDefault="006608CB" w:rsidP="006608CB">
            <w:pPr>
              <w:keepNext/>
              <w:keepLines/>
              <w:suppressAutoHyphens w:val="0"/>
              <w:spacing w:line="240" w:lineRule="auto"/>
              <w:jc w:val="center"/>
              <w:rPr>
                <w:color w:val="000000"/>
                <w:sz w:val="18"/>
                <w:szCs w:val="18"/>
                <w:lang w:val="de-DE" w:eastAsia="ru-RU"/>
              </w:rPr>
            </w:pPr>
            <w:r w:rsidRPr="00DD2A86">
              <w:rPr>
                <w:color w:val="000000"/>
                <w:sz w:val="18"/>
                <w:szCs w:val="18"/>
                <w:lang w:val="de-DE" w:eastAsia="ru-RU"/>
              </w:rPr>
              <w:t>2</w:t>
            </w:r>
          </w:p>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w:t>
            </w:r>
            <w:r w:rsidRPr="00DD2A86">
              <w:rPr>
                <w:color w:val="000000"/>
                <w:sz w:val="18"/>
                <w:szCs w:val="18"/>
                <w:lang w:val="de-DE" w:eastAsia="de-DE"/>
              </w:rPr>
              <w:t>schwarz oder weiß</w:t>
            </w:r>
            <w:r w:rsidRPr="00DD2A86">
              <w:rPr>
                <w:color w:val="000000"/>
                <w:sz w:val="18"/>
                <w:szCs w:val="18"/>
                <w:lang w:val="de-DE" w:eastAsia="ru-RU"/>
              </w:rPr>
              <w:t>)</w:t>
            </w:r>
          </w:p>
        </w:tc>
        <w:tc>
          <w:tcPr>
            <w:tcW w:w="1616" w:type="dxa"/>
            <w:shd w:val="clear" w:color="auto" w:fill="auto"/>
            <w:vAlign w:val="center"/>
          </w:tcPr>
          <w:p w:rsidR="006608CB" w:rsidRPr="00DD2A86" w:rsidRDefault="006608CB" w:rsidP="006608CB">
            <w:pPr>
              <w:suppressAutoHyphens w:val="0"/>
              <w:spacing w:line="240" w:lineRule="auto"/>
              <w:jc w:val="center"/>
              <w:rPr>
                <w:rFonts w:eastAsia="SimSun"/>
                <w:noProof/>
                <w:color w:val="000000"/>
                <w:sz w:val="18"/>
                <w:szCs w:val="18"/>
                <w:lang w:val="de-DE" w:eastAsia="de-CH"/>
              </w:rPr>
            </w:pPr>
            <w:r w:rsidRPr="00DD2A86">
              <w:rPr>
                <w:rFonts w:eastAsia="SimSun"/>
                <w:noProof/>
                <w:color w:val="000000"/>
                <w:sz w:val="18"/>
                <w:szCs w:val="18"/>
                <w:lang w:val="fr-FR" w:eastAsia="fr-FR"/>
              </w:rPr>
              <w:drawing>
                <wp:inline distT="0" distB="0" distL="0" distR="0" wp14:anchorId="41FBB1F9" wp14:editId="6FE76EFA">
                  <wp:extent cx="869315" cy="869315"/>
                  <wp:effectExtent l="19050" t="0" r="6985" b="0"/>
                  <wp:docPr id="2384" name="Picture 10" descr="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rt"/>
                          <pic:cNvPicPr>
                            <a:picLocks noChangeAspect="1" noChangeArrowheads="1"/>
                          </pic:cNvPicPr>
                        </pic:nvPicPr>
                        <pic:blipFill>
                          <a:blip r:embed="rId73" cstate="print"/>
                          <a:srcRect/>
                          <a:stretch>
                            <a:fillRect/>
                          </a:stretch>
                        </pic:blipFill>
                        <pic:spPr bwMode="auto">
                          <a:xfrm>
                            <a:off x="0" y="0"/>
                            <a:ext cx="869315" cy="869315"/>
                          </a:xfrm>
                          <a:prstGeom prst="rect">
                            <a:avLst/>
                          </a:prstGeom>
                          <a:noFill/>
                          <a:ln w="9525">
                            <a:noFill/>
                            <a:miter lim="800000"/>
                            <a:headEnd/>
                            <a:tailEnd/>
                          </a:ln>
                        </pic:spPr>
                      </pic:pic>
                    </a:graphicData>
                  </a:graphic>
                </wp:inline>
              </w:drawing>
            </w:r>
          </w:p>
        </w:tc>
        <w:tc>
          <w:tcPr>
            <w:tcW w:w="1645" w:type="dxa"/>
            <w:vAlign w:val="center"/>
          </w:tcPr>
          <w:p w:rsidR="006608CB" w:rsidRPr="00DD2A86" w:rsidRDefault="006608CB" w:rsidP="006608CB">
            <w:pPr>
              <w:tabs>
                <w:tab w:val="left" w:pos="221"/>
              </w:tabs>
              <w:suppressAutoHyphens w:val="0"/>
              <w:spacing w:line="240" w:lineRule="auto"/>
              <w:jc w:val="center"/>
              <w:rPr>
                <w:noProof/>
                <w:color w:val="000000"/>
                <w:sz w:val="18"/>
                <w:szCs w:val="18"/>
                <w:lang w:val="de-DE" w:eastAsia="de-CH"/>
              </w:rPr>
            </w:pPr>
            <w:r w:rsidRPr="00DD2A86">
              <w:rPr>
                <w:noProof/>
                <w:color w:val="000000"/>
                <w:sz w:val="18"/>
                <w:szCs w:val="18"/>
                <w:lang w:val="fr-FR" w:eastAsia="fr-FR"/>
              </w:rPr>
              <w:drawing>
                <wp:inline distT="0" distB="0" distL="0" distR="0" wp14:anchorId="1C995EA4" wp14:editId="42D069C2">
                  <wp:extent cx="869315" cy="869315"/>
                  <wp:effectExtent l="19050" t="0" r="6985" b="0"/>
                  <wp:docPr id="2385" name="Picture 11" descr="vert_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rt_blanc"/>
                          <pic:cNvPicPr>
                            <a:picLocks noChangeAspect="1" noChangeArrowheads="1"/>
                          </pic:cNvPicPr>
                        </pic:nvPicPr>
                        <pic:blipFill>
                          <a:blip r:embed="rId74" cstate="print"/>
                          <a:srcRect/>
                          <a:stretch>
                            <a:fillRect/>
                          </a:stretch>
                        </pic:blipFill>
                        <pic:spPr bwMode="auto">
                          <a:xfrm>
                            <a:off x="0" y="0"/>
                            <a:ext cx="869315" cy="869315"/>
                          </a:xfrm>
                          <a:prstGeom prst="rect">
                            <a:avLst/>
                          </a:prstGeom>
                          <a:noFill/>
                          <a:ln w="9525">
                            <a:noFill/>
                            <a:miter lim="800000"/>
                            <a:headEnd/>
                            <a:tailEnd/>
                          </a:ln>
                        </pic:spPr>
                      </pic:pic>
                    </a:graphicData>
                  </a:graphic>
                </wp:inline>
              </w:drawing>
            </w:r>
          </w:p>
        </w:tc>
        <w:tc>
          <w:tcPr>
            <w:tcW w:w="2693" w:type="dxa"/>
            <w:shd w:val="clear" w:color="auto" w:fill="auto"/>
          </w:tcPr>
          <w:p w:rsidR="006608CB" w:rsidRPr="00DD2A86" w:rsidRDefault="006608CB" w:rsidP="006608CB">
            <w:pPr>
              <w:tabs>
                <w:tab w:val="left" w:pos="221"/>
              </w:tabs>
              <w:suppressAutoHyphens w:val="0"/>
              <w:spacing w:line="240" w:lineRule="auto"/>
              <w:ind w:left="221" w:hanging="221"/>
              <w:jc w:val="center"/>
              <w:rPr>
                <w:color w:val="000000"/>
                <w:sz w:val="18"/>
                <w:szCs w:val="18"/>
                <w:lang w:val="de-DE" w:eastAsia="ru-RU"/>
              </w:rPr>
            </w:pPr>
            <w:r w:rsidRPr="00DD2A86">
              <w:rPr>
                <w:color w:val="000000"/>
                <w:sz w:val="18"/>
                <w:szCs w:val="18"/>
                <w:lang w:val="de-DE" w:eastAsia="ru-RU"/>
              </w:rPr>
              <w:t>–</w:t>
            </w:r>
          </w:p>
        </w:tc>
      </w:tr>
      <w:tr w:rsidR="006608CB" w:rsidRPr="00DD2A86" w:rsidTr="00973598">
        <w:trPr>
          <w:cantSplit/>
          <w:trHeight w:val="1648"/>
        </w:trPr>
        <w:tc>
          <w:tcPr>
            <w:tcW w:w="828"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2.3</w:t>
            </w:r>
          </w:p>
        </w:tc>
        <w:tc>
          <w:tcPr>
            <w:tcW w:w="1742"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Giftige Gase</w:t>
            </w:r>
          </w:p>
        </w:tc>
        <w:tc>
          <w:tcPr>
            <w:tcW w:w="3260"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de-DE"/>
              </w:rPr>
              <w:t>Totenkopf mit gekreuzten Gebeinen</w:t>
            </w:r>
            <w:r w:rsidRPr="00DD2A86">
              <w:rPr>
                <w:color w:val="000000"/>
                <w:sz w:val="18"/>
                <w:szCs w:val="18"/>
                <w:lang w:val="de-DE" w:eastAsia="ru-RU"/>
              </w:rPr>
              <w:t>: schwarz</w:t>
            </w:r>
          </w:p>
        </w:tc>
        <w:tc>
          <w:tcPr>
            <w:tcW w:w="1003"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weiß</w:t>
            </w:r>
          </w:p>
        </w:tc>
        <w:tc>
          <w:tcPr>
            <w:tcW w:w="1276"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2</w:t>
            </w:r>
          </w:p>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(schwarz)</w:t>
            </w:r>
          </w:p>
        </w:tc>
        <w:tc>
          <w:tcPr>
            <w:tcW w:w="3261" w:type="dxa"/>
            <w:gridSpan w:val="2"/>
            <w:shd w:val="clear" w:color="auto" w:fill="auto"/>
            <w:vAlign w:val="center"/>
          </w:tcPr>
          <w:p w:rsidR="006608CB" w:rsidRPr="00DD2A86" w:rsidRDefault="006608CB" w:rsidP="006608CB">
            <w:pPr>
              <w:tabs>
                <w:tab w:val="left" w:pos="221"/>
              </w:tabs>
              <w:suppressAutoHyphens w:val="0"/>
              <w:spacing w:line="240" w:lineRule="auto"/>
              <w:jc w:val="center"/>
              <w:rPr>
                <w:noProof/>
                <w:color w:val="000000"/>
                <w:sz w:val="18"/>
                <w:szCs w:val="18"/>
                <w:lang w:val="de-DE" w:eastAsia="de-CH"/>
              </w:rPr>
            </w:pPr>
            <w:r w:rsidRPr="00DD2A86">
              <w:rPr>
                <w:noProof/>
                <w:color w:val="000000"/>
                <w:sz w:val="18"/>
                <w:szCs w:val="18"/>
                <w:lang w:val="fr-FR" w:eastAsia="fr-FR"/>
              </w:rPr>
              <w:drawing>
                <wp:inline distT="0" distB="0" distL="0" distR="0" wp14:anchorId="50760973" wp14:editId="5B554FAD">
                  <wp:extent cx="864870" cy="864870"/>
                  <wp:effectExtent l="19050" t="0" r="0" b="0"/>
                  <wp:docPr id="2386" name="Picture 12" descr="skul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kull_2"/>
                          <pic:cNvPicPr>
                            <a:picLocks noChangeAspect="1" noChangeArrowheads="1"/>
                          </pic:cNvPicPr>
                        </pic:nvPicPr>
                        <pic:blipFill>
                          <a:blip r:embed="rId75" cstate="print"/>
                          <a:srcRect/>
                          <a:stretch>
                            <a:fillRect/>
                          </a:stretch>
                        </pic:blipFill>
                        <pic:spPr bwMode="auto">
                          <a:xfrm>
                            <a:off x="0" y="0"/>
                            <a:ext cx="864870" cy="864870"/>
                          </a:xfrm>
                          <a:prstGeom prst="rect">
                            <a:avLst/>
                          </a:prstGeom>
                          <a:noFill/>
                          <a:ln w="9525">
                            <a:noFill/>
                            <a:miter lim="800000"/>
                            <a:headEnd/>
                            <a:tailEnd/>
                          </a:ln>
                        </pic:spPr>
                      </pic:pic>
                    </a:graphicData>
                  </a:graphic>
                </wp:inline>
              </w:drawing>
            </w:r>
          </w:p>
        </w:tc>
        <w:tc>
          <w:tcPr>
            <w:tcW w:w="2693" w:type="dxa"/>
            <w:shd w:val="clear" w:color="auto" w:fill="auto"/>
          </w:tcPr>
          <w:p w:rsidR="006608CB" w:rsidRPr="00DD2A86" w:rsidRDefault="006608CB" w:rsidP="006608CB">
            <w:pPr>
              <w:tabs>
                <w:tab w:val="left" w:pos="221"/>
              </w:tabs>
              <w:suppressAutoHyphens w:val="0"/>
              <w:spacing w:line="240" w:lineRule="auto"/>
              <w:ind w:left="221" w:hanging="221"/>
              <w:jc w:val="center"/>
              <w:rPr>
                <w:color w:val="000000"/>
                <w:sz w:val="18"/>
                <w:szCs w:val="18"/>
                <w:lang w:val="de-DE" w:eastAsia="ru-RU"/>
              </w:rPr>
            </w:pPr>
            <w:r w:rsidRPr="00DD2A86">
              <w:rPr>
                <w:color w:val="000000"/>
                <w:sz w:val="18"/>
                <w:szCs w:val="18"/>
                <w:lang w:val="de-DE" w:eastAsia="ru-RU"/>
              </w:rPr>
              <w:t>–</w:t>
            </w:r>
          </w:p>
        </w:tc>
      </w:tr>
    </w:tbl>
    <w:p w:rsidR="006608CB" w:rsidRPr="00DD2A86" w:rsidRDefault="006608CB" w:rsidP="006608CB">
      <w:pPr>
        <w:tabs>
          <w:tab w:val="left" w:pos="425"/>
          <w:tab w:val="left" w:pos="851"/>
          <w:tab w:val="left" w:pos="1276"/>
        </w:tabs>
        <w:suppressAutoHyphens w:val="0"/>
        <w:spacing w:line="240" w:lineRule="auto"/>
        <w:jc w:val="both"/>
        <w:rPr>
          <w:rFonts w:ascii="Arial" w:hAnsi="Arial"/>
          <w:color w:val="000000"/>
          <w:sz w:val="22"/>
          <w:lang w:val="de-DE" w:eastAsia="de-DE"/>
        </w:rPr>
      </w:pPr>
      <w:r w:rsidRPr="00DD2A86">
        <w:rPr>
          <w:rFonts w:ascii="Arial" w:hAnsi="Arial"/>
          <w:color w:val="000000"/>
          <w:sz w:val="22"/>
          <w:lang w:val="de-DE" w:eastAsia="de-DE"/>
        </w:rPr>
        <w:br w:type="page"/>
      </w:r>
    </w:p>
    <w:tbl>
      <w:tblPr>
        <w:tblW w:w="14063"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28"/>
        <w:gridCol w:w="1742"/>
        <w:gridCol w:w="3260"/>
        <w:gridCol w:w="1003"/>
        <w:gridCol w:w="1276"/>
        <w:gridCol w:w="1701"/>
        <w:gridCol w:w="1560"/>
        <w:gridCol w:w="2693"/>
      </w:tblGrid>
      <w:tr w:rsidR="006608CB" w:rsidRPr="00DD2A86" w:rsidTr="00973598">
        <w:trPr>
          <w:cantSplit/>
          <w:tblHeader/>
        </w:trPr>
        <w:tc>
          <w:tcPr>
            <w:tcW w:w="828" w:type="dxa"/>
            <w:shd w:val="clear" w:color="auto" w:fill="auto"/>
            <w:vAlign w:val="center"/>
          </w:tcPr>
          <w:p w:rsidR="006608CB" w:rsidRPr="00DD2A86" w:rsidRDefault="006608CB" w:rsidP="006608CB">
            <w:pPr>
              <w:suppressAutoHyphens w:val="0"/>
              <w:spacing w:line="240" w:lineRule="auto"/>
              <w:jc w:val="center"/>
              <w:rPr>
                <w:b/>
                <w:color w:val="000000"/>
                <w:sz w:val="18"/>
                <w:szCs w:val="18"/>
                <w:lang w:val="de-DE" w:eastAsia="ru-RU"/>
              </w:rPr>
            </w:pPr>
            <w:r w:rsidRPr="00DD2A86">
              <w:rPr>
                <w:b/>
                <w:color w:val="000000"/>
                <w:sz w:val="18"/>
                <w:szCs w:val="18"/>
                <w:lang w:val="de-DE" w:eastAsia="ru-RU"/>
              </w:rPr>
              <w:t>Gefahr</w:t>
            </w:r>
            <w:r w:rsidRPr="00DD2A86">
              <w:rPr>
                <w:b/>
                <w:color w:val="000000"/>
                <w:sz w:val="18"/>
                <w:szCs w:val="18"/>
                <w:lang w:val="de-DE" w:eastAsia="ru-RU"/>
              </w:rPr>
              <w:softHyphen/>
              <w:t>zettel</w:t>
            </w:r>
            <w:r w:rsidRPr="00DD2A86">
              <w:rPr>
                <w:b/>
                <w:color w:val="000000"/>
                <w:sz w:val="18"/>
                <w:szCs w:val="18"/>
                <w:lang w:val="de-DE" w:eastAsia="ru-RU"/>
              </w:rPr>
              <w:softHyphen/>
              <w:t>muster Nr.</w:t>
            </w:r>
          </w:p>
        </w:tc>
        <w:tc>
          <w:tcPr>
            <w:tcW w:w="1742" w:type="dxa"/>
            <w:shd w:val="clear" w:color="auto" w:fill="auto"/>
            <w:vAlign w:val="center"/>
          </w:tcPr>
          <w:p w:rsidR="006608CB" w:rsidRPr="00DD2A86" w:rsidRDefault="006608CB" w:rsidP="006608CB">
            <w:pPr>
              <w:suppressAutoHyphens w:val="0"/>
              <w:spacing w:line="240" w:lineRule="auto"/>
              <w:jc w:val="center"/>
              <w:rPr>
                <w:b/>
                <w:color w:val="000000"/>
                <w:sz w:val="18"/>
                <w:szCs w:val="18"/>
                <w:lang w:val="de-DE" w:eastAsia="ru-RU"/>
              </w:rPr>
            </w:pPr>
            <w:r w:rsidRPr="00DD2A86">
              <w:rPr>
                <w:b/>
                <w:color w:val="000000"/>
                <w:sz w:val="18"/>
                <w:szCs w:val="18"/>
                <w:lang w:val="de-DE" w:eastAsia="ru-RU"/>
              </w:rPr>
              <w:t>Unterklasse oder Kategorie</w:t>
            </w:r>
          </w:p>
        </w:tc>
        <w:tc>
          <w:tcPr>
            <w:tcW w:w="3260" w:type="dxa"/>
            <w:shd w:val="clear" w:color="auto" w:fill="auto"/>
            <w:vAlign w:val="center"/>
          </w:tcPr>
          <w:p w:rsidR="006608CB" w:rsidRPr="00DD2A86" w:rsidRDefault="006608CB" w:rsidP="006608CB">
            <w:pPr>
              <w:suppressAutoHyphens w:val="0"/>
              <w:spacing w:line="240" w:lineRule="auto"/>
              <w:jc w:val="center"/>
              <w:rPr>
                <w:b/>
                <w:color w:val="000000"/>
                <w:sz w:val="18"/>
                <w:szCs w:val="18"/>
                <w:lang w:val="de-DE" w:eastAsia="ru-RU"/>
              </w:rPr>
            </w:pPr>
            <w:r w:rsidRPr="00DD2A86">
              <w:rPr>
                <w:b/>
                <w:color w:val="000000"/>
                <w:sz w:val="18"/>
                <w:szCs w:val="18"/>
                <w:lang w:val="de-DE" w:eastAsia="ru-RU"/>
              </w:rPr>
              <w:t>Symbol und Farbe des Symbols</w:t>
            </w:r>
          </w:p>
        </w:tc>
        <w:tc>
          <w:tcPr>
            <w:tcW w:w="1003" w:type="dxa"/>
            <w:shd w:val="clear" w:color="auto" w:fill="auto"/>
            <w:vAlign w:val="center"/>
          </w:tcPr>
          <w:p w:rsidR="006608CB" w:rsidRPr="00DD2A86" w:rsidRDefault="006608CB" w:rsidP="006608CB">
            <w:pPr>
              <w:suppressAutoHyphens w:val="0"/>
              <w:spacing w:line="240" w:lineRule="auto"/>
              <w:jc w:val="center"/>
              <w:rPr>
                <w:b/>
                <w:color w:val="000000"/>
                <w:sz w:val="18"/>
                <w:szCs w:val="18"/>
                <w:lang w:val="de-DE" w:eastAsia="ru-RU"/>
              </w:rPr>
            </w:pPr>
            <w:r w:rsidRPr="00DD2A86">
              <w:rPr>
                <w:b/>
                <w:color w:val="000000"/>
                <w:sz w:val="18"/>
                <w:szCs w:val="18"/>
                <w:lang w:val="de-DE" w:eastAsia="ru-RU"/>
              </w:rPr>
              <w:t>Hinter</w:t>
            </w:r>
            <w:r w:rsidRPr="00DD2A86">
              <w:rPr>
                <w:b/>
                <w:color w:val="000000"/>
                <w:sz w:val="18"/>
                <w:szCs w:val="18"/>
                <w:lang w:val="de-DE" w:eastAsia="ru-RU"/>
              </w:rPr>
              <w:softHyphen/>
              <w:t>grund</w:t>
            </w:r>
          </w:p>
        </w:tc>
        <w:tc>
          <w:tcPr>
            <w:tcW w:w="1276" w:type="dxa"/>
            <w:shd w:val="clear" w:color="auto" w:fill="auto"/>
            <w:vAlign w:val="center"/>
          </w:tcPr>
          <w:p w:rsidR="006608CB" w:rsidRPr="00DD2A86" w:rsidRDefault="006608CB" w:rsidP="006608CB">
            <w:pPr>
              <w:suppressAutoHyphens w:val="0"/>
              <w:spacing w:line="240" w:lineRule="auto"/>
              <w:jc w:val="center"/>
              <w:rPr>
                <w:b/>
                <w:color w:val="000000"/>
                <w:sz w:val="18"/>
                <w:szCs w:val="18"/>
                <w:lang w:val="de-DE" w:eastAsia="ru-RU"/>
              </w:rPr>
            </w:pPr>
            <w:r w:rsidRPr="00DD2A86">
              <w:rPr>
                <w:b/>
                <w:color w:val="000000"/>
                <w:sz w:val="18"/>
                <w:szCs w:val="18"/>
                <w:lang w:val="de-DE" w:eastAsia="ru-RU"/>
              </w:rPr>
              <w:t>Ziffer in der unteren Ecke (und Farbe der Ziffer)</w:t>
            </w:r>
          </w:p>
        </w:tc>
        <w:tc>
          <w:tcPr>
            <w:tcW w:w="3261" w:type="dxa"/>
            <w:gridSpan w:val="2"/>
            <w:shd w:val="clear" w:color="auto" w:fill="auto"/>
            <w:vAlign w:val="center"/>
          </w:tcPr>
          <w:p w:rsidR="006608CB" w:rsidRPr="00DD2A86" w:rsidRDefault="006608CB" w:rsidP="006608CB">
            <w:pPr>
              <w:suppressAutoHyphens w:val="0"/>
              <w:spacing w:line="240" w:lineRule="auto"/>
              <w:jc w:val="center"/>
              <w:rPr>
                <w:b/>
                <w:color w:val="000000"/>
                <w:sz w:val="18"/>
                <w:szCs w:val="18"/>
                <w:lang w:val="de-DE" w:eastAsia="ru-RU"/>
              </w:rPr>
            </w:pPr>
            <w:r w:rsidRPr="00DD2A86">
              <w:rPr>
                <w:b/>
                <w:color w:val="000000"/>
                <w:sz w:val="18"/>
                <w:szCs w:val="18"/>
                <w:lang w:val="de-DE" w:eastAsia="ru-RU"/>
              </w:rPr>
              <w:t>Gefahrzettelmuster</w:t>
            </w:r>
          </w:p>
        </w:tc>
        <w:tc>
          <w:tcPr>
            <w:tcW w:w="2693" w:type="dxa"/>
            <w:shd w:val="clear" w:color="auto" w:fill="auto"/>
            <w:vAlign w:val="center"/>
          </w:tcPr>
          <w:p w:rsidR="006608CB" w:rsidRPr="00DD2A86" w:rsidRDefault="006608CB" w:rsidP="006608CB">
            <w:pPr>
              <w:suppressAutoHyphens w:val="0"/>
              <w:spacing w:line="240" w:lineRule="auto"/>
              <w:jc w:val="center"/>
              <w:rPr>
                <w:b/>
                <w:color w:val="000000"/>
                <w:sz w:val="18"/>
                <w:szCs w:val="18"/>
                <w:lang w:val="de-DE" w:eastAsia="ru-RU"/>
              </w:rPr>
            </w:pPr>
            <w:r w:rsidRPr="00DD2A86">
              <w:rPr>
                <w:b/>
                <w:color w:val="000000"/>
                <w:sz w:val="18"/>
                <w:szCs w:val="18"/>
                <w:lang w:val="de-DE" w:eastAsia="ru-RU"/>
              </w:rPr>
              <w:t>Bemerkung</w:t>
            </w:r>
          </w:p>
        </w:tc>
      </w:tr>
      <w:tr w:rsidR="006608CB" w:rsidRPr="00E139A8" w:rsidTr="00973598">
        <w:trPr>
          <w:cantSplit/>
          <w:trHeight w:val="431"/>
        </w:trPr>
        <w:tc>
          <w:tcPr>
            <w:tcW w:w="14063" w:type="dxa"/>
            <w:gridSpan w:val="8"/>
            <w:shd w:val="clear" w:color="auto" w:fill="auto"/>
            <w:vAlign w:val="center"/>
          </w:tcPr>
          <w:p w:rsidR="006608CB" w:rsidRPr="00DD2A86" w:rsidRDefault="006608CB" w:rsidP="006608CB">
            <w:pPr>
              <w:tabs>
                <w:tab w:val="left" w:pos="221"/>
              </w:tabs>
              <w:suppressAutoHyphens w:val="0"/>
              <w:spacing w:line="240" w:lineRule="auto"/>
              <w:ind w:left="221" w:hanging="221"/>
              <w:jc w:val="center"/>
              <w:rPr>
                <w:b/>
                <w:color w:val="000000"/>
                <w:sz w:val="18"/>
                <w:szCs w:val="18"/>
                <w:lang w:val="de-DE" w:eastAsia="ru-RU"/>
              </w:rPr>
            </w:pPr>
            <w:r w:rsidRPr="00DD2A86">
              <w:rPr>
                <w:b/>
                <w:color w:val="000000"/>
                <w:sz w:val="18"/>
                <w:szCs w:val="18"/>
                <w:lang w:val="de-DE" w:eastAsia="ru-RU"/>
              </w:rPr>
              <w:t xml:space="preserve">Gefahr der Klasse 3: </w:t>
            </w:r>
            <w:r w:rsidRPr="00DD2A86">
              <w:rPr>
                <w:b/>
                <w:color w:val="000000"/>
                <w:sz w:val="18"/>
                <w:szCs w:val="18"/>
                <w:lang w:val="de-DE" w:eastAsia="de-DE"/>
              </w:rPr>
              <w:t>Entzündbare flüssige Stoffe</w:t>
            </w:r>
          </w:p>
        </w:tc>
      </w:tr>
      <w:tr w:rsidR="006608CB" w:rsidRPr="00DD2A86" w:rsidTr="00973598">
        <w:trPr>
          <w:cantSplit/>
          <w:trHeight w:val="1648"/>
        </w:trPr>
        <w:tc>
          <w:tcPr>
            <w:tcW w:w="828" w:type="dxa"/>
            <w:shd w:val="clear" w:color="auto" w:fill="auto"/>
          </w:tcPr>
          <w:p w:rsidR="006608CB" w:rsidRPr="00DD2A86" w:rsidRDefault="006608CB" w:rsidP="006608CB">
            <w:pPr>
              <w:keepNext/>
              <w:keepLines/>
              <w:suppressAutoHyphens w:val="0"/>
              <w:spacing w:line="240" w:lineRule="auto"/>
              <w:jc w:val="center"/>
              <w:rPr>
                <w:color w:val="000000"/>
                <w:sz w:val="18"/>
                <w:szCs w:val="18"/>
                <w:lang w:val="de-DE" w:eastAsia="ru-RU"/>
              </w:rPr>
            </w:pPr>
            <w:r w:rsidRPr="00DD2A86">
              <w:rPr>
                <w:color w:val="000000"/>
                <w:sz w:val="18"/>
                <w:szCs w:val="18"/>
                <w:lang w:val="de-DE" w:eastAsia="ru-RU"/>
              </w:rPr>
              <w:t>3</w:t>
            </w:r>
          </w:p>
        </w:tc>
        <w:tc>
          <w:tcPr>
            <w:tcW w:w="1742" w:type="dxa"/>
            <w:shd w:val="clear" w:color="auto" w:fill="auto"/>
          </w:tcPr>
          <w:p w:rsidR="006608CB" w:rsidRPr="00DD2A86" w:rsidRDefault="006608CB" w:rsidP="006608CB">
            <w:pPr>
              <w:keepNext/>
              <w:keepLines/>
              <w:suppressAutoHyphens w:val="0"/>
              <w:autoSpaceDE w:val="0"/>
              <w:autoSpaceDN w:val="0"/>
              <w:adjustRightInd w:val="0"/>
              <w:spacing w:line="240" w:lineRule="auto"/>
              <w:jc w:val="center"/>
              <w:rPr>
                <w:color w:val="000000"/>
                <w:sz w:val="18"/>
                <w:szCs w:val="18"/>
                <w:lang w:val="de-DE" w:eastAsia="ru-RU"/>
              </w:rPr>
            </w:pPr>
            <w:r w:rsidRPr="00DD2A86">
              <w:rPr>
                <w:color w:val="000000"/>
                <w:sz w:val="18"/>
                <w:szCs w:val="18"/>
                <w:lang w:val="de-DE" w:eastAsia="ru-RU"/>
              </w:rPr>
              <w:t>–</w:t>
            </w:r>
          </w:p>
        </w:tc>
        <w:tc>
          <w:tcPr>
            <w:tcW w:w="3260" w:type="dxa"/>
            <w:shd w:val="clear" w:color="auto" w:fill="auto"/>
          </w:tcPr>
          <w:p w:rsidR="006608CB" w:rsidRPr="00DD2A86" w:rsidRDefault="006608CB" w:rsidP="006608CB">
            <w:pPr>
              <w:keepNext/>
              <w:keepLines/>
              <w:suppressAutoHyphens w:val="0"/>
              <w:autoSpaceDE w:val="0"/>
              <w:autoSpaceDN w:val="0"/>
              <w:adjustRightInd w:val="0"/>
              <w:spacing w:line="240" w:lineRule="auto"/>
              <w:jc w:val="center"/>
              <w:rPr>
                <w:color w:val="000000"/>
                <w:sz w:val="18"/>
                <w:szCs w:val="18"/>
                <w:lang w:val="de-DE" w:eastAsia="ru-RU"/>
              </w:rPr>
            </w:pPr>
            <w:r w:rsidRPr="00DD2A86">
              <w:rPr>
                <w:color w:val="000000"/>
                <w:sz w:val="18"/>
                <w:szCs w:val="18"/>
                <w:lang w:val="de-DE" w:eastAsia="ru-RU"/>
              </w:rPr>
              <w:t>Flamme: schwarz oder weiß</w:t>
            </w:r>
          </w:p>
        </w:tc>
        <w:tc>
          <w:tcPr>
            <w:tcW w:w="1003" w:type="dxa"/>
            <w:shd w:val="clear" w:color="auto" w:fill="auto"/>
          </w:tcPr>
          <w:p w:rsidR="006608CB" w:rsidRPr="00DD2A86" w:rsidRDefault="006608CB" w:rsidP="006608CB">
            <w:pPr>
              <w:keepNext/>
              <w:keepLines/>
              <w:suppressAutoHyphens w:val="0"/>
              <w:spacing w:line="240" w:lineRule="auto"/>
              <w:jc w:val="center"/>
              <w:rPr>
                <w:color w:val="000000"/>
                <w:sz w:val="18"/>
                <w:szCs w:val="18"/>
                <w:lang w:val="de-DE" w:eastAsia="ru-RU"/>
              </w:rPr>
            </w:pPr>
            <w:r w:rsidRPr="00DD2A86">
              <w:rPr>
                <w:color w:val="000000"/>
                <w:sz w:val="18"/>
                <w:szCs w:val="18"/>
                <w:lang w:val="de-DE" w:eastAsia="ru-RU"/>
              </w:rPr>
              <w:t>rot</w:t>
            </w:r>
          </w:p>
        </w:tc>
        <w:tc>
          <w:tcPr>
            <w:tcW w:w="1276" w:type="dxa"/>
            <w:shd w:val="clear" w:color="auto" w:fill="auto"/>
          </w:tcPr>
          <w:p w:rsidR="006608CB" w:rsidRPr="00DD2A86" w:rsidRDefault="006608CB" w:rsidP="006608CB">
            <w:pPr>
              <w:keepNext/>
              <w:keepLines/>
              <w:suppressAutoHyphens w:val="0"/>
              <w:spacing w:line="240" w:lineRule="auto"/>
              <w:jc w:val="center"/>
              <w:rPr>
                <w:color w:val="000000"/>
                <w:sz w:val="18"/>
                <w:szCs w:val="18"/>
                <w:lang w:val="de-DE" w:eastAsia="ru-RU"/>
              </w:rPr>
            </w:pPr>
            <w:r w:rsidRPr="00DD2A86">
              <w:rPr>
                <w:color w:val="000000"/>
                <w:sz w:val="18"/>
                <w:szCs w:val="18"/>
                <w:lang w:val="de-DE" w:eastAsia="ru-RU"/>
              </w:rPr>
              <w:t>3</w:t>
            </w:r>
          </w:p>
          <w:p w:rsidR="006608CB" w:rsidRPr="00DD2A86" w:rsidRDefault="006608CB" w:rsidP="006608CB">
            <w:pPr>
              <w:keepNext/>
              <w:keepLines/>
              <w:suppressAutoHyphens w:val="0"/>
              <w:spacing w:line="240" w:lineRule="auto"/>
              <w:jc w:val="center"/>
              <w:rPr>
                <w:color w:val="000000"/>
                <w:sz w:val="18"/>
                <w:szCs w:val="18"/>
                <w:lang w:val="de-DE" w:eastAsia="ru-RU"/>
              </w:rPr>
            </w:pPr>
            <w:r w:rsidRPr="00DD2A86">
              <w:rPr>
                <w:color w:val="000000"/>
                <w:sz w:val="18"/>
                <w:szCs w:val="18"/>
                <w:lang w:val="de-DE" w:eastAsia="ru-RU"/>
              </w:rPr>
              <w:t>(schwarz oder weiß)</w:t>
            </w:r>
          </w:p>
        </w:tc>
        <w:tc>
          <w:tcPr>
            <w:tcW w:w="1701" w:type="dxa"/>
            <w:shd w:val="clear" w:color="auto" w:fill="auto"/>
            <w:vAlign w:val="center"/>
          </w:tcPr>
          <w:p w:rsidR="006608CB" w:rsidRPr="00DD2A86" w:rsidRDefault="006608CB" w:rsidP="006608CB">
            <w:pPr>
              <w:tabs>
                <w:tab w:val="left" w:pos="221"/>
              </w:tabs>
              <w:suppressAutoHyphens w:val="0"/>
              <w:spacing w:line="240" w:lineRule="auto"/>
              <w:jc w:val="center"/>
              <w:rPr>
                <w:noProof/>
                <w:color w:val="000000"/>
                <w:sz w:val="18"/>
                <w:szCs w:val="18"/>
                <w:lang w:val="de-DE" w:eastAsia="de-CH"/>
              </w:rPr>
            </w:pPr>
            <w:r w:rsidRPr="00DD2A86">
              <w:rPr>
                <w:noProof/>
                <w:color w:val="000000"/>
                <w:sz w:val="18"/>
                <w:szCs w:val="18"/>
                <w:lang w:val="fr-FR" w:eastAsia="fr-FR"/>
              </w:rPr>
              <w:drawing>
                <wp:inline distT="0" distB="0" distL="0" distR="0" wp14:anchorId="72DE83F3" wp14:editId="5D78F4E4">
                  <wp:extent cx="851535" cy="851535"/>
                  <wp:effectExtent l="19050" t="0" r="5715" b="0"/>
                  <wp:docPr id="2387" name="Picture 13" descr="rouge3_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uge3_noir"/>
                          <pic:cNvPicPr>
                            <a:picLocks noChangeAspect="1" noChangeArrowheads="1"/>
                          </pic:cNvPicPr>
                        </pic:nvPicPr>
                        <pic:blipFill>
                          <a:blip r:embed="rId76" cstate="print"/>
                          <a:srcRect/>
                          <a:stretch>
                            <a:fillRect/>
                          </a:stretch>
                        </pic:blipFill>
                        <pic:spPr bwMode="auto">
                          <a:xfrm>
                            <a:off x="0" y="0"/>
                            <a:ext cx="851535" cy="851535"/>
                          </a:xfrm>
                          <a:prstGeom prst="rect">
                            <a:avLst/>
                          </a:prstGeom>
                          <a:noFill/>
                          <a:ln w="9525">
                            <a:noFill/>
                            <a:miter lim="800000"/>
                            <a:headEnd/>
                            <a:tailEnd/>
                          </a:ln>
                        </pic:spPr>
                      </pic:pic>
                    </a:graphicData>
                  </a:graphic>
                </wp:inline>
              </w:drawing>
            </w:r>
          </w:p>
        </w:tc>
        <w:tc>
          <w:tcPr>
            <w:tcW w:w="1560" w:type="dxa"/>
            <w:shd w:val="clear" w:color="auto" w:fill="auto"/>
            <w:vAlign w:val="center"/>
          </w:tcPr>
          <w:p w:rsidR="006608CB" w:rsidRPr="00DD2A86" w:rsidRDefault="006608CB" w:rsidP="006608CB">
            <w:pPr>
              <w:tabs>
                <w:tab w:val="left" w:pos="221"/>
              </w:tabs>
              <w:suppressAutoHyphens w:val="0"/>
              <w:spacing w:line="240" w:lineRule="auto"/>
              <w:jc w:val="center"/>
              <w:rPr>
                <w:noProof/>
                <w:color w:val="000000"/>
                <w:sz w:val="18"/>
                <w:szCs w:val="18"/>
                <w:lang w:val="de-DE" w:eastAsia="de-CH"/>
              </w:rPr>
            </w:pPr>
            <w:r w:rsidRPr="00DD2A86">
              <w:rPr>
                <w:noProof/>
                <w:color w:val="000000"/>
                <w:sz w:val="18"/>
                <w:szCs w:val="18"/>
                <w:lang w:val="fr-FR" w:eastAsia="fr-FR"/>
              </w:rPr>
              <w:drawing>
                <wp:inline distT="0" distB="0" distL="0" distR="0" wp14:anchorId="0457B329" wp14:editId="3380E7B0">
                  <wp:extent cx="851535" cy="851535"/>
                  <wp:effectExtent l="19050" t="0" r="5715" b="0"/>
                  <wp:docPr id="2388" name="Picture 14" descr="rou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uge3"/>
                          <pic:cNvPicPr>
                            <a:picLocks noChangeAspect="1" noChangeArrowheads="1"/>
                          </pic:cNvPicPr>
                        </pic:nvPicPr>
                        <pic:blipFill>
                          <a:blip r:embed="rId77" cstate="print"/>
                          <a:srcRect/>
                          <a:stretch>
                            <a:fillRect/>
                          </a:stretch>
                        </pic:blipFill>
                        <pic:spPr bwMode="auto">
                          <a:xfrm>
                            <a:off x="0" y="0"/>
                            <a:ext cx="851535" cy="851535"/>
                          </a:xfrm>
                          <a:prstGeom prst="rect">
                            <a:avLst/>
                          </a:prstGeom>
                          <a:noFill/>
                          <a:ln w="9525">
                            <a:noFill/>
                            <a:miter lim="800000"/>
                            <a:headEnd/>
                            <a:tailEnd/>
                          </a:ln>
                        </pic:spPr>
                      </pic:pic>
                    </a:graphicData>
                  </a:graphic>
                </wp:inline>
              </w:drawing>
            </w:r>
          </w:p>
        </w:tc>
        <w:tc>
          <w:tcPr>
            <w:tcW w:w="2693" w:type="dxa"/>
            <w:shd w:val="clear" w:color="auto" w:fill="auto"/>
          </w:tcPr>
          <w:p w:rsidR="006608CB" w:rsidRPr="00DD2A86" w:rsidRDefault="006608CB" w:rsidP="006608CB">
            <w:pPr>
              <w:tabs>
                <w:tab w:val="left" w:pos="221"/>
              </w:tabs>
              <w:suppressAutoHyphens w:val="0"/>
              <w:spacing w:line="240" w:lineRule="auto"/>
              <w:ind w:left="221" w:hanging="221"/>
              <w:jc w:val="center"/>
              <w:rPr>
                <w:color w:val="000000"/>
                <w:sz w:val="18"/>
                <w:szCs w:val="18"/>
                <w:lang w:val="de-DE" w:eastAsia="ru-RU"/>
              </w:rPr>
            </w:pPr>
            <w:r w:rsidRPr="00DD2A86">
              <w:rPr>
                <w:color w:val="000000"/>
                <w:sz w:val="18"/>
                <w:szCs w:val="18"/>
                <w:lang w:val="de-DE" w:eastAsia="ru-RU"/>
              </w:rPr>
              <w:t>–</w:t>
            </w:r>
          </w:p>
        </w:tc>
      </w:tr>
      <w:tr w:rsidR="006608CB" w:rsidRPr="00E139A8" w:rsidTr="00973598">
        <w:trPr>
          <w:cantSplit/>
          <w:trHeight w:val="431"/>
        </w:trPr>
        <w:tc>
          <w:tcPr>
            <w:tcW w:w="14063" w:type="dxa"/>
            <w:gridSpan w:val="8"/>
            <w:shd w:val="clear" w:color="auto" w:fill="auto"/>
            <w:vAlign w:val="center"/>
          </w:tcPr>
          <w:p w:rsidR="006608CB" w:rsidRPr="00DD2A86" w:rsidRDefault="006608CB" w:rsidP="006608CB">
            <w:pPr>
              <w:tabs>
                <w:tab w:val="left" w:pos="221"/>
              </w:tabs>
              <w:suppressAutoHyphens w:val="0"/>
              <w:spacing w:line="240" w:lineRule="auto"/>
              <w:ind w:left="221" w:hanging="221"/>
              <w:jc w:val="center"/>
              <w:rPr>
                <w:b/>
                <w:color w:val="000000"/>
                <w:sz w:val="18"/>
                <w:szCs w:val="18"/>
                <w:lang w:val="de-DE" w:eastAsia="ru-RU"/>
              </w:rPr>
            </w:pPr>
            <w:r w:rsidRPr="00DD2A86">
              <w:rPr>
                <w:b/>
                <w:color w:val="000000"/>
                <w:sz w:val="18"/>
                <w:szCs w:val="18"/>
                <w:lang w:val="de-DE" w:eastAsia="ru-RU"/>
              </w:rPr>
              <w:t xml:space="preserve">Gefahr der Klasse 4.1: </w:t>
            </w:r>
            <w:r w:rsidRPr="00DD2A86">
              <w:rPr>
                <w:b/>
                <w:color w:val="000000"/>
                <w:sz w:val="18"/>
                <w:szCs w:val="18"/>
                <w:lang w:val="de-DE" w:eastAsia="de-DE"/>
              </w:rPr>
              <w:t>Entzündbare feste Stoffe, selbstzersetzliche Stoffe, desensibilisierte explosive feste Stoffe und polymerisierende Stoffe</w:t>
            </w:r>
          </w:p>
        </w:tc>
      </w:tr>
      <w:tr w:rsidR="006608CB" w:rsidRPr="00DD2A86" w:rsidTr="00973598">
        <w:trPr>
          <w:cantSplit/>
          <w:trHeight w:val="1648"/>
        </w:trPr>
        <w:tc>
          <w:tcPr>
            <w:tcW w:w="828" w:type="dxa"/>
            <w:shd w:val="clear" w:color="auto" w:fill="auto"/>
          </w:tcPr>
          <w:p w:rsidR="006608CB" w:rsidRPr="00DD2A86" w:rsidRDefault="006608CB" w:rsidP="006608CB">
            <w:pPr>
              <w:keepNext/>
              <w:keepLines/>
              <w:suppressAutoHyphens w:val="0"/>
              <w:spacing w:line="240" w:lineRule="auto"/>
              <w:jc w:val="center"/>
              <w:rPr>
                <w:color w:val="000000"/>
                <w:sz w:val="18"/>
                <w:szCs w:val="18"/>
                <w:lang w:val="de-DE" w:eastAsia="ru-RU"/>
              </w:rPr>
            </w:pPr>
            <w:r w:rsidRPr="00DD2A86">
              <w:rPr>
                <w:color w:val="000000"/>
                <w:sz w:val="18"/>
                <w:szCs w:val="18"/>
                <w:lang w:val="de-DE" w:eastAsia="ru-RU"/>
              </w:rPr>
              <w:t>4.1</w:t>
            </w:r>
          </w:p>
        </w:tc>
        <w:tc>
          <w:tcPr>
            <w:tcW w:w="1742" w:type="dxa"/>
            <w:shd w:val="clear" w:color="auto" w:fill="auto"/>
          </w:tcPr>
          <w:p w:rsidR="006608CB" w:rsidRPr="00DD2A86" w:rsidRDefault="006608CB" w:rsidP="006608CB">
            <w:pPr>
              <w:keepNext/>
              <w:keepLines/>
              <w:suppressAutoHyphens w:val="0"/>
              <w:spacing w:line="240" w:lineRule="auto"/>
              <w:jc w:val="center"/>
              <w:rPr>
                <w:color w:val="000000"/>
                <w:sz w:val="18"/>
                <w:szCs w:val="18"/>
                <w:lang w:val="de-DE" w:eastAsia="ru-RU"/>
              </w:rPr>
            </w:pPr>
            <w:r w:rsidRPr="00DD2A86">
              <w:rPr>
                <w:color w:val="000000"/>
                <w:sz w:val="18"/>
                <w:szCs w:val="18"/>
                <w:lang w:val="de-DE" w:eastAsia="ru-RU"/>
              </w:rPr>
              <w:t>–</w:t>
            </w:r>
          </w:p>
        </w:tc>
        <w:tc>
          <w:tcPr>
            <w:tcW w:w="3260" w:type="dxa"/>
            <w:shd w:val="clear" w:color="auto" w:fill="auto"/>
          </w:tcPr>
          <w:p w:rsidR="006608CB" w:rsidRPr="00DD2A86" w:rsidRDefault="006608CB" w:rsidP="006608CB">
            <w:pPr>
              <w:keepNext/>
              <w:keepLines/>
              <w:suppressAutoHyphens w:val="0"/>
              <w:spacing w:line="240" w:lineRule="auto"/>
              <w:jc w:val="center"/>
              <w:rPr>
                <w:color w:val="000000"/>
                <w:sz w:val="18"/>
                <w:szCs w:val="18"/>
                <w:lang w:val="de-DE" w:eastAsia="ru-RU"/>
              </w:rPr>
            </w:pPr>
            <w:r w:rsidRPr="00DD2A86">
              <w:rPr>
                <w:color w:val="000000"/>
                <w:sz w:val="18"/>
                <w:szCs w:val="18"/>
                <w:lang w:val="de-DE" w:eastAsia="ru-RU"/>
              </w:rPr>
              <w:t>Flamme: schwarz</w:t>
            </w:r>
          </w:p>
        </w:tc>
        <w:tc>
          <w:tcPr>
            <w:tcW w:w="1003" w:type="dxa"/>
            <w:shd w:val="clear" w:color="auto" w:fill="auto"/>
          </w:tcPr>
          <w:p w:rsidR="006608CB" w:rsidRPr="00DD2A86" w:rsidRDefault="006608CB" w:rsidP="006608CB">
            <w:pPr>
              <w:keepNext/>
              <w:keepLines/>
              <w:suppressAutoHyphens w:val="0"/>
              <w:spacing w:line="240" w:lineRule="auto"/>
              <w:jc w:val="center"/>
              <w:rPr>
                <w:color w:val="000000"/>
                <w:sz w:val="18"/>
                <w:szCs w:val="18"/>
                <w:lang w:val="de-DE" w:eastAsia="ru-RU"/>
              </w:rPr>
            </w:pPr>
            <w:r w:rsidRPr="00DD2A86">
              <w:rPr>
                <w:color w:val="000000"/>
                <w:sz w:val="18"/>
                <w:szCs w:val="18"/>
                <w:lang w:val="de-DE" w:eastAsia="ru-RU"/>
              </w:rPr>
              <w:t xml:space="preserve">weiß </w:t>
            </w:r>
            <w:r w:rsidRPr="00DD2A86">
              <w:rPr>
                <w:color w:val="000000"/>
                <w:sz w:val="18"/>
                <w:szCs w:val="18"/>
                <w:lang w:val="de-DE" w:eastAsia="de-DE"/>
              </w:rPr>
              <w:t>mit sieben senkrechten roten Streifen</w:t>
            </w:r>
          </w:p>
        </w:tc>
        <w:tc>
          <w:tcPr>
            <w:tcW w:w="1276" w:type="dxa"/>
            <w:shd w:val="clear" w:color="auto" w:fill="auto"/>
          </w:tcPr>
          <w:p w:rsidR="006608CB" w:rsidRPr="00DD2A86" w:rsidRDefault="006608CB" w:rsidP="006608CB">
            <w:pPr>
              <w:keepNext/>
              <w:keepLines/>
              <w:suppressAutoHyphens w:val="0"/>
              <w:spacing w:line="240" w:lineRule="auto"/>
              <w:jc w:val="center"/>
              <w:rPr>
                <w:color w:val="000000"/>
                <w:sz w:val="18"/>
                <w:szCs w:val="18"/>
                <w:lang w:val="de-DE" w:eastAsia="ru-RU"/>
              </w:rPr>
            </w:pPr>
            <w:r w:rsidRPr="00DD2A86">
              <w:rPr>
                <w:color w:val="000000"/>
                <w:sz w:val="18"/>
                <w:szCs w:val="18"/>
                <w:lang w:val="de-DE" w:eastAsia="ru-RU"/>
              </w:rPr>
              <w:t>4</w:t>
            </w:r>
          </w:p>
          <w:p w:rsidR="006608CB" w:rsidRPr="00DD2A86" w:rsidRDefault="006608CB" w:rsidP="006608CB">
            <w:pPr>
              <w:keepNext/>
              <w:keepLines/>
              <w:suppressAutoHyphens w:val="0"/>
              <w:spacing w:line="240" w:lineRule="auto"/>
              <w:jc w:val="center"/>
              <w:rPr>
                <w:color w:val="000000"/>
                <w:sz w:val="18"/>
                <w:szCs w:val="18"/>
                <w:lang w:val="de-DE" w:eastAsia="ru-RU"/>
              </w:rPr>
            </w:pPr>
            <w:r w:rsidRPr="00DD2A86">
              <w:rPr>
                <w:color w:val="000000"/>
                <w:sz w:val="18"/>
                <w:szCs w:val="18"/>
                <w:lang w:val="de-DE" w:eastAsia="ru-RU"/>
              </w:rPr>
              <w:t>(schwarz)</w:t>
            </w:r>
          </w:p>
        </w:tc>
        <w:tc>
          <w:tcPr>
            <w:tcW w:w="3261" w:type="dxa"/>
            <w:gridSpan w:val="2"/>
            <w:shd w:val="clear" w:color="auto" w:fill="auto"/>
            <w:vAlign w:val="center"/>
          </w:tcPr>
          <w:p w:rsidR="006608CB" w:rsidRPr="00DD2A86" w:rsidRDefault="006608CB" w:rsidP="006608CB">
            <w:pPr>
              <w:tabs>
                <w:tab w:val="left" w:pos="221"/>
              </w:tabs>
              <w:suppressAutoHyphens w:val="0"/>
              <w:spacing w:line="240" w:lineRule="auto"/>
              <w:jc w:val="center"/>
              <w:rPr>
                <w:noProof/>
                <w:color w:val="000000"/>
                <w:sz w:val="18"/>
                <w:szCs w:val="18"/>
                <w:lang w:val="de-DE" w:eastAsia="de-CH"/>
              </w:rPr>
            </w:pPr>
            <w:r w:rsidRPr="00DD2A86">
              <w:rPr>
                <w:noProof/>
                <w:color w:val="000000"/>
                <w:sz w:val="18"/>
                <w:szCs w:val="18"/>
                <w:lang w:val="fr-FR" w:eastAsia="fr-FR"/>
              </w:rPr>
              <w:drawing>
                <wp:inline distT="0" distB="0" distL="0" distR="0" wp14:anchorId="734522D3" wp14:editId="3E55FB54">
                  <wp:extent cx="887730" cy="883285"/>
                  <wp:effectExtent l="19050" t="0" r="7620" b="0"/>
                  <wp:docPr id="2389" name="Picture 15" descr="str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ripes"/>
                          <pic:cNvPicPr>
                            <a:picLocks noChangeAspect="1" noChangeArrowheads="1"/>
                          </pic:cNvPicPr>
                        </pic:nvPicPr>
                        <pic:blipFill>
                          <a:blip r:embed="rId78" cstate="print"/>
                          <a:srcRect/>
                          <a:stretch>
                            <a:fillRect/>
                          </a:stretch>
                        </pic:blipFill>
                        <pic:spPr bwMode="auto">
                          <a:xfrm>
                            <a:off x="0" y="0"/>
                            <a:ext cx="887730" cy="883285"/>
                          </a:xfrm>
                          <a:prstGeom prst="rect">
                            <a:avLst/>
                          </a:prstGeom>
                          <a:noFill/>
                          <a:ln w="9525">
                            <a:noFill/>
                            <a:miter lim="800000"/>
                            <a:headEnd/>
                            <a:tailEnd/>
                          </a:ln>
                        </pic:spPr>
                      </pic:pic>
                    </a:graphicData>
                  </a:graphic>
                </wp:inline>
              </w:drawing>
            </w:r>
          </w:p>
        </w:tc>
        <w:tc>
          <w:tcPr>
            <w:tcW w:w="2693" w:type="dxa"/>
            <w:shd w:val="clear" w:color="auto" w:fill="auto"/>
          </w:tcPr>
          <w:p w:rsidR="006608CB" w:rsidRPr="00DD2A86" w:rsidRDefault="006608CB" w:rsidP="006608CB">
            <w:pPr>
              <w:tabs>
                <w:tab w:val="left" w:pos="221"/>
              </w:tabs>
              <w:suppressAutoHyphens w:val="0"/>
              <w:spacing w:line="240" w:lineRule="auto"/>
              <w:ind w:left="221" w:hanging="221"/>
              <w:jc w:val="center"/>
              <w:rPr>
                <w:color w:val="000000"/>
                <w:sz w:val="18"/>
                <w:szCs w:val="18"/>
                <w:lang w:val="de-DE" w:eastAsia="ru-RU"/>
              </w:rPr>
            </w:pPr>
            <w:r w:rsidRPr="00DD2A86">
              <w:rPr>
                <w:color w:val="000000"/>
                <w:sz w:val="18"/>
                <w:szCs w:val="18"/>
                <w:lang w:val="de-DE" w:eastAsia="ru-RU"/>
              </w:rPr>
              <w:t>–</w:t>
            </w:r>
          </w:p>
        </w:tc>
      </w:tr>
      <w:tr w:rsidR="006608CB" w:rsidRPr="00E139A8" w:rsidTr="00973598">
        <w:trPr>
          <w:cantSplit/>
          <w:trHeight w:val="448"/>
        </w:trPr>
        <w:tc>
          <w:tcPr>
            <w:tcW w:w="14063" w:type="dxa"/>
            <w:gridSpan w:val="8"/>
            <w:shd w:val="clear" w:color="auto" w:fill="auto"/>
            <w:vAlign w:val="center"/>
          </w:tcPr>
          <w:p w:rsidR="006608CB" w:rsidRPr="00DD2A86" w:rsidRDefault="006608CB" w:rsidP="006608CB">
            <w:pPr>
              <w:tabs>
                <w:tab w:val="left" w:pos="221"/>
              </w:tabs>
              <w:suppressAutoHyphens w:val="0"/>
              <w:spacing w:line="240" w:lineRule="auto"/>
              <w:ind w:left="221" w:hanging="221"/>
              <w:jc w:val="center"/>
              <w:rPr>
                <w:b/>
                <w:color w:val="000000"/>
                <w:sz w:val="18"/>
                <w:szCs w:val="18"/>
                <w:lang w:val="de-DE" w:eastAsia="ru-RU"/>
              </w:rPr>
            </w:pPr>
            <w:r w:rsidRPr="00DD2A86">
              <w:rPr>
                <w:b/>
                <w:color w:val="000000"/>
                <w:sz w:val="18"/>
                <w:szCs w:val="18"/>
                <w:lang w:val="de-DE" w:eastAsia="ru-RU"/>
              </w:rPr>
              <w:t xml:space="preserve">Gefahr der Klasse 4.2: </w:t>
            </w:r>
            <w:r w:rsidRPr="00DD2A86">
              <w:rPr>
                <w:b/>
                <w:color w:val="000000"/>
                <w:sz w:val="18"/>
                <w:szCs w:val="18"/>
                <w:lang w:val="de-DE" w:eastAsia="de-DE"/>
              </w:rPr>
              <w:t>Selbstentzündliche Stoffe</w:t>
            </w:r>
          </w:p>
        </w:tc>
      </w:tr>
      <w:tr w:rsidR="006608CB" w:rsidRPr="00DD2A86" w:rsidTr="00973598">
        <w:trPr>
          <w:cantSplit/>
          <w:trHeight w:val="1648"/>
        </w:trPr>
        <w:tc>
          <w:tcPr>
            <w:tcW w:w="828" w:type="dxa"/>
            <w:shd w:val="clear" w:color="auto" w:fill="auto"/>
          </w:tcPr>
          <w:p w:rsidR="006608CB" w:rsidRPr="00DD2A86" w:rsidRDefault="006608CB" w:rsidP="006608CB">
            <w:pPr>
              <w:keepNext/>
              <w:keepLines/>
              <w:suppressAutoHyphens w:val="0"/>
              <w:spacing w:line="240" w:lineRule="auto"/>
              <w:jc w:val="center"/>
              <w:rPr>
                <w:color w:val="000000"/>
                <w:sz w:val="18"/>
                <w:szCs w:val="18"/>
                <w:lang w:val="de-DE" w:eastAsia="ru-RU"/>
              </w:rPr>
            </w:pPr>
            <w:r w:rsidRPr="00DD2A86">
              <w:rPr>
                <w:color w:val="000000"/>
                <w:sz w:val="18"/>
                <w:szCs w:val="18"/>
                <w:lang w:val="de-DE" w:eastAsia="ru-RU"/>
              </w:rPr>
              <w:t>4.2</w:t>
            </w:r>
          </w:p>
        </w:tc>
        <w:tc>
          <w:tcPr>
            <w:tcW w:w="1742" w:type="dxa"/>
            <w:shd w:val="clear" w:color="auto" w:fill="auto"/>
          </w:tcPr>
          <w:p w:rsidR="006608CB" w:rsidRPr="00DD2A86" w:rsidRDefault="006608CB" w:rsidP="006608CB">
            <w:pPr>
              <w:keepNext/>
              <w:keepLines/>
              <w:suppressAutoHyphens w:val="0"/>
              <w:spacing w:line="240" w:lineRule="auto"/>
              <w:jc w:val="center"/>
              <w:rPr>
                <w:color w:val="000000"/>
                <w:sz w:val="18"/>
                <w:szCs w:val="18"/>
                <w:lang w:val="de-DE" w:eastAsia="ru-RU"/>
              </w:rPr>
            </w:pPr>
            <w:r w:rsidRPr="00DD2A86">
              <w:rPr>
                <w:color w:val="000000"/>
                <w:sz w:val="18"/>
                <w:szCs w:val="18"/>
                <w:lang w:val="de-DE" w:eastAsia="ru-RU"/>
              </w:rPr>
              <w:t>–</w:t>
            </w:r>
          </w:p>
        </w:tc>
        <w:tc>
          <w:tcPr>
            <w:tcW w:w="3260"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Flamme: schwarz</w:t>
            </w:r>
          </w:p>
        </w:tc>
        <w:tc>
          <w:tcPr>
            <w:tcW w:w="1003"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de-DE"/>
              </w:rPr>
              <w:t>obere Hälfte weiß, untere Hälfte rot</w:t>
            </w:r>
          </w:p>
        </w:tc>
        <w:tc>
          <w:tcPr>
            <w:tcW w:w="1276"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4</w:t>
            </w:r>
          </w:p>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(schwarz)</w:t>
            </w:r>
          </w:p>
        </w:tc>
        <w:tc>
          <w:tcPr>
            <w:tcW w:w="3261" w:type="dxa"/>
            <w:gridSpan w:val="2"/>
            <w:shd w:val="clear" w:color="auto" w:fill="auto"/>
            <w:vAlign w:val="center"/>
          </w:tcPr>
          <w:p w:rsidR="006608CB" w:rsidRPr="00DD2A86" w:rsidRDefault="006608CB" w:rsidP="006608CB">
            <w:pPr>
              <w:tabs>
                <w:tab w:val="left" w:pos="221"/>
              </w:tabs>
              <w:suppressAutoHyphens w:val="0"/>
              <w:spacing w:line="240" w:lineRule="auto"/>
              <w:jc w:val="center"/>
              <w:rPr>
                <w:noProof/>
                <w:color w:val="000000"/>
                <w:sz w:val="18"/>
                <w:szCs w:val="18"/>
                <w:lang w:val="de-DE" w:eastAsia="de-CH"/>
              </w:rPr>
            </w:pPr>
            <w:r w:rsidRPr="00DD2A86">
              <w:rPr>
                <w:noProof/>
                <w:color w:val="000000"/>
                <w:sz w:val="18"/>
                <w:szCs w:val="18"/>
                <w:lang w:val="fr-FR" w:eastAsia="fr-FR"/>
              </w:rPr>
              <w:drawing>
                <wp:inline distT="0" distB="0" distL="0" distR="0" wp14:anchorId="039796F7" wp14:editId="69874636">
                  <wp:extent cx="869315" cy="873760"/>
                  <wp:effectExtent l="19050" t="0" r="6985" b="0"/>
                  <wp:docPr id="2390" name="Picture 16" descr="blan-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lan-red"/>
                          <pic:cNvPicPr>
                            <a:picLocks noChangeAspect="1" noChangeArrowheads="1"/>
                          </pic:cNvPicPr>
                        </pic:nvPicPr>
                        <pic:blipFill>
                          <a:blip r:embed="rId79" cstate="print"/>
                          <a:srcRect/>
                          <a:stretch>
                            <a:fillRect/>
                          </a:stretch>
                        </pic:blipFill>
                        <pic:spPr bwMode="auto">
                          <a:xfrm>
                            <a:off x="0" y="0"/>
                            <a:ext cx="869315" cy="873760"/>
                          </a:xfrm>
                          <a:prstGeom prst="rect">
                            <a:avLst/>
                          </a:prstGeom>
                          <a:noFill/>
                          <a:ln w="9525">
                            <a:noFill/>
                            <a:miter lim="800000"/>
                            <a:headEnd/>
                            <a:tailEnd/>
                          </a:ln>
                        </pic:spPr>
                      </pic:pic>
                    </a:graphicData>
                  </a:graphic>
                </wp:inline>
              </w:drawing>
            </w:r>
          </w:p>
        </w:tc>
        <w:tc>
          <w:tcPr>
            <w:tcW w:w="2693" w:type="dxa"/>
            <w:shd w:val="clear" w:color="auto" w:fill="auto"/>
          </w:tcPr>
          <w:p w:rsidR="006608CB" w:rsidRPr="00DD2A86" w:rsidRDefault="006608CB" w:rsidP="006608CB">
            <w:pPr>
              <w:tabs>
                <w:tab w:val="left" w:pos="221"/>
              </w:tabs>
              <w:suppressAutoHyphens w:val="0"/>
              <w:spacing w:line="240" w:lineRule="auto"/>
              <w:ind w:left="221" w:hanging="221"/>
              <w:jc w:val="center"/>
              <w:rPr>
                <w:color w:val="000000"/>
                <w:sz w:val="18"/>
                <w:szCs w:val="18"/>
                <w:lang w:val="de-DE" w:eastAsia="ru-RU"/>
              </w:rPr>
            </w:pPr>
            <w:r w:rsidRPr="00DD2A86">
              <w:rPr>
                <w:color w:val="000000"/>
                <w:sz w:val="18"/>
                <w:szCs w:val="18"/>
                <w:lang w:val="de-DE" w:eastAsia="ru-RU"/>
              </w:rPr>
              <w:t>–</w:t>
            </w:r>
          </w:p>
        </w:tc>
      </w:tr>
    </w:tbl>
    <w:p w:rsidR="006608CB" w:rsidRPr="00DD2A86" w:rsidRDefault="006608CB" w:rsidP="006608CB">
      <w:pPr>
        <w:tabs>
          <w:tab w:val="left" w:pos="425"/>
          <w:tab w:val="left" w:pos="851"/>
          <w:tab w:val="left" w:pos="1276"/>
        </w:tabs>
        <w:suppressAutoHyphens w:val="0"/>
        <w:spacing w:line="240" w:lineRule="auto"/>
        <w:jc w:val="both"/>
        <w:rPr>
          <w:rFonts w:ascii="Arial" w:hAnsi="Arial"/>
          <w:color w:val="000000"/>
          <w:sz w:val="22"/>
          <w:lang w:val="de-DE" w:eastAsia="de-DE"/>
        </w:rPr>
      </w:pPr>
      <w:r w:rsidRPr="00DD2A86">
        <w:rPr>
          <w:rFonts w:ascii="Arial" w:hAnsi="Arial"/>
          <w:color w:val="000000"/>
          <w:sz w:val="22"/>
          <w:lang w:val="de-DE" w:eastAsia="de-DE"/>
        </w:rPr>
        <w:br w:type="page"/>
      </w:r>
    </w:p>
    <w:tbl>
      <w:tblPr>
        <w:tblW w:w="14063"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28"/>
        <w:gridCol w:w="1742"/>
        <w:gridCol w:w="3260"/>
        <w:gridCol w:w="1003"/>
        <w:gridCol w:w="1276"/>
        <w:gridCol w:w="1560"/>
        <w:gridCol w:w="1701"/>
        <w:gridCol w:w="2693"/>
      </w:tblGrid>
      <w:tr w:rsidR="006608CB" w:rsidRPr="00DD2A86" w:rsidTr="00973598">
        <w:trPr>
          <w:cantSplit/>
          <w:tblHeader/>
        </w:trPr>
        <w:tc>
          <w:tcPr>
            <w:tcW w:w="828" w:type="dxa"/>
            <w:shd w:val="clear" w:color="auto" w:fill="auto"/>
            <w:vAlign w:val="center"/>
          </w:tcPr>
          <w:p w:rsidR="006608CB" w:rsidRPr="00DD2A86" w:rsidRDefault="006608CB" w:rsidP="006608CB">
            <w:pPr>
              <w:suppressAutoHyphens w:val="0"/>
              <w:spacing w:line="240" w:lineRule="auto"/>
              <w:jc w:val="center"/>
              <w:rPr>
                <w:b/>
                <w:color w:val="000000"/>
                <w:sz w:val="18"/>
                <w:szCs w:val="18"/>
                <w:lang w:val="de-DE" w:eastAsia="ru-RU"/>
              </w:rPr>
            </w:pPr>
            <w:r w:rsidRPr="00DD2A86">
              <w:rPr>
                <w:b/>
                <w:color w:val="000000"/>
                <w:sz w:val="18"/>
                <w:szCs w:val="18"/>
                <w:lang w:val="de-DE" w:eastAsia="ru-RU"/>
              </w:rPr>
              <w:t>Gefahr</w:t>
            </w:r>
            <w:r w:rsidRPr="00DD2A86">
              <w:rPr>
                <w:b/>
                <w:color w:val="000000"/>
                <w:sz w:val="18"/>
                <w:szCs w:val="18"/>
                <w:lang w:val="de-DE" w:eastAsia="ru-RU"/>
              </w:rPr>
              <w:softHyphen/>
              <w:t>zettel</w:t>
            </w:r>
            <w:r w:rsidRPr="00DD2A86">
              <w:rPr>
                <w:b/>
                <w:color w:val="000000"/>
                <w:sz w:val="18"/>
                <w:szCs w:val="18"/>
                <w:lang w:val="de-DE" w:eastAsia="ru-RU"/>
              </w:rPr>
              <w:softHyphen/>
              <w:t>muster Nr.</w:t>
            </w:r>
          </w:p>
        </w:tc>
        <w:tc>
          <w:tcPr>
            <w:tcW w:w="1742" w:type="dxa"/>
            <w:shd w:val="clear" w:color="auto" w:fill="auto"/>
            <w:vAlign w:val="center"/>
          </w:tcPr>
          <w:p w:rsidR="006608CB" w:rsidRPr="00DD2A86" w:rsidRDefault="006608CB" w:rsidP="006608CB">
            <w:pPr>
              <w:suppressAutoHyphens w:val="0"/>
              <w:spacing w:line="240" w:lineRule="auto"/>
              <w:jc w:val="center"/>
              <w:rPr>
                <w:b/>
                <w:color w:val="000000"/>
                <w:sz w:val="18"/>
                <w:szCs w:val="18"/>
                <w:lang w:val="de-DE" w:eastAsia="ru-RU"/>
              </w:rPr>
            </w:pPr>
            <w:r w:rsidRPr="00DD2A86">
              <w:rPr>
                <w:b/>
                <w:color w:val="000000"/>
                <w:sz w:val="18"/>
                <w:szCs w:val="18"/>
                <w:lang w:val="de-DE" w:eastAsia="ru-RU"/>
              </w:rPr>
              <w:t>Unterklasse oder Kategorie</w:t>
            </w:r>
          </w:p>
        </w:tc>
        <w:tc>
          <w:tcPr>
            <w:tcW w:w="3260" w:type="dxa"/>
            <w:shd w:val="clear" w:color="auto" w:fill="auto"/>
            <w:vAlign w:val="center"/>
          </w:tcPr>
          <w:p w:rsidR="006608CB" w:rsidRPr="00DD2A86" w:rsidRDefault="006608CB" w:rsidP="006608CB">
            <w:pPr>
              <w:suppressAutoHyphens w:val="0"/>
              <w:spacing w:line="240" w:lineRule="auto"/>
              <w:jc w:val="center"/>
              <w:rPr>
                <w:b/>
                <w:color w:val="000000"/>
                <w:sz w:val="18"/>
                <w:szCs w:val="18"/>
                <w:lang w:val="de-DE" w:eastAsia="ru-RU"/>
              </w:rPr>
            </w:pPr>
            <w:r w:rsidRPr="00DD2A86">
              <w:rPr>
                <w:b/>
                <w:color w:val="000000"/>
                <w:sz w:val="18"/>
                <w:szCs w:val="18"/>
                <w:lang w:val="de-DE" w:eastAsia="ru-RU"/>
              </w:rPr>
              <w:t>Symbol und Farbe des Symbols</w:t>
            </w:r>
          </w:p>
        </w:tc>
        <w:tc>
          <w:tcPr>
            <w:tcW w:w="1003" w:type="dxa"/>
            <w:shd w:val="clear" w:color="auto" w:fill="auto"/>
            <w:vAlign w:val="center"/>
          </w:tcPr>
          <w:p w:rsidR="006608CB" w:rsidRPr="00DD2A86" w:rsidRDefault="006608CB" w:rsidP="006608CB">
            <w:pPr>
              <w:suppressAutoHyphens w:val="0"/>
              <w:spacing w:line="240" w:lineRule="auto"/>
              <w:jc w:val="center"/>
              <w:rPr>
                <w:b/>
                <w:color w:val="000000"/>
                <w:sz w:val="18"/>
                <w:szCs w:val="18"/>
                <w:lang w:val="de-DE" w:eastAsia="ru-RU"/>
              </w:rPr>
            </w:pPr>
            <w:r w:rsidRPr="00DD2A86">
              <w:rPr>
                <w:b/>
                <w:color w:val="000000"/>
                <w:sz w:val="18"/>
                <w:szCs w:val="18"/>
                <w:lang w:val="de-DE" w:eastAsia="ru-RU"/>
              </w:rPr>
              <w:t>Hinter</w:t>
            </w:r>
            <w:r w:rsidRPr="00DD2A86">
              <w:rPr>
                <w:b/>
                <w:color w:val="000000"/>
                <w:sz w:val="18"/>
                <w:szCs w:val="18"/>
                <w:lang w:val="de-DE" w:eastAsia="ru-RU"/>
              </w:rPr>
              <w:softHyphen/>
              <w:t>grund</w:t>
            </w:r>
          </w:p>
        </w:tc>
        <w:tc>
          <w:tcPr>
            <w:tcW w:w="1276" w:type="dxa"/>
            <w:shd w:val="clear" w:color="auto" w:fill="auto"/>
            <w:vAlign w:val="center"/>
          </w:tcPr>
          <w:p w:rsidR="006608CB" w:rsidRPr="00DD2A86" w:rsidRDefault="006608CB" w:rsidP="006608CB">
            <w:pPr>
              <w:suppressAutoHyphens w:val="0"/>
              <w:spacing w:line="240" w:lineRule="auto"/>
              <w:jc w:val="center"/>
              <w:rPr>
                <w:b/>
                <w:color w:val="000000"/>
                <w:sz w:val="18"/>
                <w:szCs w:val="18"/>
                <w:lang w:val="de-DE" w:eastAsia="ru-RU"/>
              </w:rPr>
            </w:pPr>
            <w:r w:rsidRPr="00DD2A86">
              <w:rPr>
                <w:b/>
                <w:color w:val="000000"/>
                <w:sz w:val="18"/>
                <w:szCs w:val="18"/>
                <w:lang w:val="de-DE" w:eastAsia="ru-RU"/>
              </w:rPr>
              <w:t>Ziffer in der unteren Ecke (und Farbe der Ziffer)</w:t>
            </w:r>
          </w:p>
        </w:tc>
        <w:tc>
          <w:tcPr>
            <w:tcW w:w="3261" w:type="dxa"/>
            <w:gridSpan w:val="2"/>
            <w:shd w:val="clear" w:color="auto" w:fill="auto"/>
            <w:vAlign w:val="center"/>
          </w:tcPr>
          <w:p w:rsidR="006608CB" w:rsidRPr="00DD2A86" w:rsidRDefault="006608CB" w:rsidP="006608CB">
            <w:pPr>
              <w:suppressAutoHyphens w:val="0"/>
              <w:spacing w:line="240" w:lineRule="auto"/>
              <w:jc w:val="center"/>
              <w:rPr>
                <w:b/>
                <w:color w:val="000000"/>
                <w:sz w:val="18"/>
                <w:szCs w:val="18"/>
                <w:lang w:val="de-DE" w:eastAsia="ru-RU"/>
              </w:rPr>
            </w:pPr>
            <w:r w:rsidRPr="00DD2A86">
              <w:rPr>
                <w:b/>
                <w:color w:val="000000"/>
                <w:sz w:val="18"/>
                <w:szCs w:val="18"/>
                <w:lang w:val="de-DE" w:eastAsia="ru-RU"/>
              </w:rPr>
              <w:t>Gefahrzettelmuster</w:t>
            </w:r>
          </w:p>
        </w:tc>
        <w:tc>
          <w:tcPr>
            <w:tcW w:w="2693" w:type="dxa"/>
            <w:shd w:val="clear" w:color="auto" w:fill="auto"/>
            <w:vAlign w:val="center"/>
          </w:tcPr>
          <w:p w:rsidR="006608CB" w:rsidRPr="00DD2A86" w:rsidRDefault="006608CB" w:rsidP="006608CB">
            <w:pPr>
              <w:suppressAutoHyphens w:val="0"/>
              <w:spacing w:line="240" w:lineRule="auto"/>
              <w:jc w:val="center"/>
              <w:rPr>
                <w:b/>
                <w:color w:val="000000"/>
                <w:sz w:val="18"/>
                <w:szCs w:val="18"/>
                <w:lang w:val="de-DE" w:eastAsia="ru-RU"/>
              </w:rPr>
            </w:pPr>
            <w:r w:rsidRPr="00DD2A86">
              <w:rPr>
                <w:b/>
                <w:color w:val="000000"/>
                <w:sz w:val="18"/>
                <w:szCs w:val="18"/>
                <w:lang w:val="de-DE" w:eastAsia="ru-RU"/>
              </w:rPr>
              <w:t>Bemerkung</w:t>
            </w:r>
          </w:p>
        </w:tc>
      </w:tr>
      <w:tr w:rsidR="006608CB" w:rsidRPr="00E139A8" w:rsidTr="00973598">
        <w:trPr>
          <w:cantSplit/>
          <w:trHeight w:val="431"/>
        </w:trPr>
        <w:tc>
          <w:tcPr>
            <w:tcW w:w="14063" w:type="dxa"/>
            <w:gridSpan w:val="8"/>
            <w:shd w:val="clear" w:color="auto" w:fill="auto"/>
            <w:vAlign w:val="center"/>
          </w:tcPr>
          <w:p w:rsidR="006608CB" w:rsidRPr="00DD2A86" w:rsidRDefault="006608CB" w:rsidP="006608CB">
            <w:pPr>
              <w:tabs>
                <w:tab w:val="left" w:pos="221"/>
              </w:tabs>
              <w:suppressAutoHyphens w:val="0"/>
              <w:spacing w:line="240" w:lineRule="auto"/>
              <w:ind w:left="221" w:hanging="221"/>
              <w:jc w:val="center"/>
              <w:rPr>
                <w:b/>
                <w:color w:val="000000"/>
                <w:sz w:val="18"/>
                <w:szCs w:val="18"/>
                <w:lang w:val="de-DE" w:eastAsia="ru-RU"/>
              </w:rPr>
            </w:pPr>
            <w:r w:rsidRPr="00DD2A86">
              <w:rPr>
                <w:b/>
                <w:color w:val="000000"/>
                <w:sz w:val="18"/>
                <w:szCs w:val="18"/>
                <w:lang w:val="de-DE" w:eastAsia="ru-RU"/>
              </w:rPr>
              <w:t xml:space="preserve">Gefahr der Klasse 4.3: </w:t>
            </w:r>
            <w:r w:rsidRPr="00DD2A86">
              <w:rPr>
                <w:b/>
                <w:color w:val="000000"/>
                <w:sz w:val="18"/>
                <w:szCs w:val="18"/>
                <w:lang w:val="de-DE" w:eastAsia="de-DE"/>
              </w:rPr>
              <w:t>Stoffe, die in Berührung mit Wasser entzündbare Gase entwickeln</w:t>
            </w:r>
          </w:p>
        </w:tc>
      </w:tr>
      <w:tr w:rsidR="006608CB" w:rsidRPr="00DD2A86" w:rsidTr="00973598">
        <w:trPr>
          <w:cantSplit/>
          <w:trHeight w:val="1648"/>
        </w:trPr>
        <w:tc>
          <w:tcPr>
            <w:tcW w:w="828" w:type="dxa"/>
            <w:shd w:val="clear" w:color="auto" w:fill="auto"/>
          </w:tcPr>
          <w:p w:rsidR="006608CB" w:rsidRPr="00DD2A86" w:rsidRDefault="006608CB" w:rsidP="006608CB">
            <w:pPr>
              <w:keepNext/>
              <w:keepLines/>
              <w:suppressAutoHyphens w:val="0"/>
              <w:spacing w:line="240" w:lineRule="auto"/>
              <w:jc w:val="center"/>
              <w:rPr>
                <w:color w:val="000000"/>
                <w:sz w:val="18"/>
                <w:szCs w:val="18"/>
                <w:lang w:val="de-DE" w:eastAsia="ru-RU"/>
              </w:rPr>
            </w:pPr>
            <w:r w:rsidRPr="00DD2A86">
              <w:rPr>
                <w:color w:val="000000"/>
                <w:sz w:val="18"/>
                <w:szCs w:val="18"/>
                <w:lang w:val="de-DE" w:eastAsia="ru-RU"/>
              </w:rPr>
              <w:t>4.3</w:t>
            </w:r>
          </w:p>
        </w:tc>
        <w:tc>
          <w:tcPr>
            <w:tcW w:w="1742"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w:t>
            </w:r>
          </w:p>
        </w:tc>
        <w:tc>
          <w:tcPr>
            <w:tcW w:w="3260"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Flamme: schwarz oder weiß</w:t>
            </w:r>
          </w:p>
        </w:tc>
        <w:tc>
          <w:tcPr>
            <w:tcW w:w="1003"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blau</w:t>
            </w:r>
          </w:p>
        </w:tc>
        <w:tc>
          <w:tcPr>
            <w:tcW w:w="1276"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4</w:t>
            </w:r>
          </w:p>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(schwarz oder weiß)</w:t>
            </w:r>
          </w:p>
        </w:tc>
        <w:tc>
          <w:tcPr>
            <w:tcW w:w="1560" w:type="dxa"/>
            <w:shd w:val="clear" w:color="auto" w:fill="auto"/>
            <w:vAlign w:val="center"/>
          </w:tcPr>
          <w:p w:rsidR="006608CB" w:rsidRPr="00DD2A86" w:rsidRDefault="006608CB" w:rsidP="006608CB">
            <w:pPr>
              <w:tabs>
                <w:tab w:val="left" w:pos="221"/>
              </w:tabs>
              <w:suppressAutoHyphens w:val="0"/>
              <w:spacing w:line="240" w:lineRule="auto"/>
              <w:jc w:val="center"/>
              <w:rPr>
                <w:noProof/>
                <w:color w:val="000000"/>
                <w:sz w:val="18"/>
                <w:szCs w:val="18"/>
                <w:lang w:val="de-DE" w:eastAsia="de-CH"/>
              </w:rPr>
            </w:pPr>
            <w:r w:rsidRPr="00DD2A86">
              <w:rPr>
                <w:noProof/>
                <w:color w:val="000000"/>
                <w:sz w:val="18"/>
                <w:szCs w:val="18"/>
                <w:lang w:val="fr-FR" w:eastAsia="fr-FR"/>
              </w:rPr>
              <w:drawing>
                <wp:inline distT="0" distB="0" distL="0" distR="0" wp14:anchorId="059D8693" wp14:editId="074059AC">
                  <wp:extent cx="887730" cy="887730"/>
                  <wp:effectExtent l="19050" t="0" r="7620" b="0"/>
                  <wp:docPr id="2391" name="Picture 17" descr="bleu4_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leu4_noir"/>
                          <pic:cNvPicPr>
                            <a:picLocks noChangeAspect="1" noChangeArrowheads="1"/>
                          </pic:cNvPicPr>
                        </pic:nvPicPr>
                        <pic:blipFill>
                          <a:blip r:embed="rId80" cstate="print"/>
                          <a:srcRect/>
                          <a:stretch>
                            <a:fillRect/>
                          </a:stretch>
                        </pic:blipFill>
                        <pic:spPr bwMode="auto">
                          <a:xfrm>
                            <a:off x="0" y="0"/>
                            <a:ext cx="887730" cy="887730"/>
                          </a:xfrm>
                          <a:prstGeom prst="rect">
                            <a:avLst/>
                          </a:prstGeom>
                          <a:noFill/>
                          <a:ln w="9525">
                            <a:noFill/>
                            <a:miter lim="800000"/>
                            <a:headEnd/>
                            <a:tailEnd/>
                          </a:ln>
                        </pic:spPr>
                      </pic:pic>
                    </a:graphicData>
                  </a:graphic>
                </wp:inline>
              </w:drawing>
            </w:r>
          </w:p>
        </w:tc>
        <w:tc>
          <w:tcPr>
            <w:tcW w:w="1701" w:type="dxa"/>
            <w:shd w:val="clear" w:color="auto" w:fill="auto"/>
            <w:vAlign w:val="center"/>
          </w:tcPr>
          <w:p w:rsidR="006608CB" w:rsidRPr="00DD2A86" w:rsidRDefault="006608CB" w:rsidP="006608CB">
            <w:pPr>
              <w:tabs>
                <w:tab w:val="left" w:pos="221"/>
              </w:tabs>
              <w:suppressAutoHyphens w:val="0"/>
              <w:spacing w:line="240" w:lineRule="auto"/>
              <w:jc w:val="center"/>
              <w:rPr>
                <w:noProof/>
                <w:color w:val="000000"/>
                <w:sz w:val="18"/>
                <w:szCs w:val="18"/>
                <w:lang w:val="de-DE" w:eastAsia="de-CH"/>
              </w:rPr>
            </w:pPr>
            <w:r w:rsidRPr="00DD2A86">
              <w:rPr>
                <w:noProof/>
                <w:color w:val="000000"/>
                <w:sz w:val="18"/>
                <w:szCs w:val="18"/>
                <w:lang w:val="fr-FR" w:eastAsia="fr-FR"/>
              </w:rPr>
              <w:drawing>
                <wp:inline distT="0" distB="0" distL="0" distR="0" wp14:anchorId="4ABCCBAA" wp14:editId="47DE0ABB">
                  <wp:extent cx="887730" cy="887730"/>
                  <wp:effectExtent l="19050" t="0" r="7620" b="0"/>
                  <wp:docPr id="2392" name="Picture 18" descr="ble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leu4"/>
                          <pic:cNvPicPr>
                            <a:picLocks noChangeAspect="1" noChangeArrowheads="1"/>
                          </pic:cNvPicPr>
                        </pic:nvPicPr>
                        <pic:blipFill>
                          <a:blip r:embed="rId81" cstate="print"/>
                          <a:srcRect/>
                          <a:stretch>
                            <a:fillRect/>
                          </a:stretch>
                        </pic:blipFill>
                        <pic:spPr bwMode="auto">
                          <a:xfrm>
                            <a:off x="0" y="0"/>
                            <a:ext cx="887730" cy="887730"/>
                          </a:xfrm>
                          <a:prstGeom prst="rect">
                            <a:avLst/>
                          </a:prstGeom>
                          <a:noFill/>
                          <a:ln w="9525">
                            <a:noFill/>
                            <a:miter lim="800000"/>
                            <a:headEnd/>
                            <a:tailEnd/>
                          </a:ln>
                        </pic:spPr>
                      </pic:pic>
                    </a:graphicData>
                  </a:graphic>
                </wp:inline>
              </w:drawing>
            </w:r>
          </w:p>
        </w:tc>
        <w:tc>
          <w:tcPr>
            <w:tcW w:w="2693" w:type="dxa"/>
            <w:shd w:val="clear" w:color="auto" w:fill="auto"/>
          </w:tcPr>
          <w:p w:rsidR="006608CB" w:rsidRPr="00DD2A86" w:rsidRDefault="006608CB" w:rsidP="006608CB">
            <w:pPr>
              <w:tabs>
                <w:tab w:val="left" w:pos="221"/>
              </w:tabs>
              <w:suppressAutoHyphens w:val="0"/>
              <w:spacing w:line="240" w:lineRule="auto"/>
              <w:ind w:left="221" w:hanging="221"/>
              <w:jc w:val="center"/>
              <w:rPr>
                <w:color w:val="000000"/>
                <w:sz w:val="18"/>
                <w:szCs w:val="18"/>
                <w:lang w:val="de-DE" w:eastAsia="ru-RU"/>
              </w:rPr>
            </w:pPr>
            <w:r w:rsidRPr="00DD2A86">
              <w:rPr>
                <w:color w:val="000000"/>
                <w:sz w:val="18"/>
                <w:szCs w:val="18"/>
                <w:lang w:val="de-DE" w:eastAsia="ru-RU"/>
              </w:rPr>
              <w:t>–</w:t>
            </w:r>
          </w:p>
        </w:tc>
      </w:tr>
      <w:tr w:rsidR="006608CB" w:rsidRPr="00E139A8" w:rsidTr="00973598">
        <w:trPr>
          <w:cantSplit/>
          <w:trHeight w:val="431"/>
        </w:trPr>
        <w:tc>
          <w:tcPr>
            <w:tcW w:w="14063" w:type="dxa"/>
            <w:gridSpan w:val="8"/>
            <w:shd w:val="clear" w:color="auto" w:fill="auto"/>
            <w:vAlign w:val="center"/>
          </w:tcPr>
          <w:p w:rsidR="006608CB" w:rsidRPr="00DD2A86" w:rsidRDefault="006608CB" w:rsidP="006608CB">
            <w:pPr>
              <w:tabs>
                <w:tab w:val="left" w:pos="221"/>
              </w:tabs>
              <w:suppressAutoHyphens w:val="0"/>
              <w:spacing w:line="240" w:lineRule="auto"/>
              <w:ind w:left="221" w:hanging="221"/>
              <w:jc w:val="center"/>
              <w:rPr>
                <w:b/>
                <w:color w:val="000000"/>
                <w:sz w:val="18"/>
                <w:szCs w:val="18"/>
                <w:lang w:val="de-DE" w:eastAsia="ru-RU"/>
              </w:rPr>
            </w:pPr>
            <w:r w:rsidRPr="00DD2A86">
              <w:rPr>
                <w:b/>
                <w:color w:val="000000"/>
                <w:sz w:val="18"/>
                <w:szCs w:val="18"/>
                <w:lang w:val="de-DE" w:eastAsia="ru-RU"/>
              </w:rPr>
              <w:t xml:space="preserve">Gefahr der Klasse 5.1: </w:t>
            </w:r>
            <w:r w:rsidRPr="00DD2A86">
              <w:rPr>
                <w:b/>
                <w:color w:val="000000"/>
                <w:sz w:val="18"/>
                <w:szCs w:val="18"/>
                <w:lang w:val="de-DE" w:eastAsia="de-DE"/>
              </w:rPr>
              <w:t>Entzündend (oxidierend) wirkende Stoffe</w:t>
            </w:r>
          </w:p>
        </w:tc>
      </w:tr>
      <w:tr w:rsidR="006608CB" w:rsidRPr="00DD2A86" w:rsidTr="00973598">
        <w:trPr>
          <w:cantSplit/>
          <w:trHeight w:val="1648"/>
        </w:trPr>
        <w:tc>
          <w:tcPr>
            <w:tcW w:w="828" w:type="dxa"/>
            <w:shd w:val="clear" w:color="auto" w:fill="auto"/>
          </w:tcPr>
          <w:p w:rsidR="006608CB" w:rsidRPr="00DD2A86" w:rsidRDefault="006608CB" w:rsidP="006608CB">
            <w:pPr>
              <w:keepNext/>
              <w:keepLines/>
              <w:suppressAutoHyphens w:val="0"/>
              <w:spacing w:line="240" w:lineRule="auto"/>
              <w:jc w:val="center"/>
              <w:rPr>
                <w:color w:val="000000"/>
                <w:sz w:val="18"/>
                <w:szCs w:val="18"/>
                <w:lang w:val="de-DE" w:eastAsia="ru-RU"/>
              </w:rPr>
            </w:pPr>
            <w:r w:rsidRPr="00DD2A86">
              <w:rPr>
                <w:color w:val="000000"/>
                <w:sz w:val="18"/>
                <w:szCs w:val="18"/>
                <w:lang w:val="de-DE" w:eastAsia="ru-RU"/>
              </w:rPr>
              <w:t>5.1</w:t>
            </w:r>
          </w:p>
        </w:tc>
        <w:tc>
          <w:tcPr>
            <w:tcW w:w="1742" w:type="dxa"/>
            <w:shd w:val="clear" w:color="auto" w:fill="auto"/>
          </w:tcPr>
          <w:p w:rsidR="006608CB" w:rsidRPr="00DD2A86" w:rsidRDefault="006608CB" w:rsidP="006608CB">
            <w:pPr>
              <w:keepNext/>
              <w:keepLines/>
              <w:suppressAutoHyphens w:val="0"/>
              <w:spacing w:line="240" w:lineRule="auto"/>
              <w:jc w:val="center"/>
              <w:rPr>
                <w:color w:val="000000"/>
                <w:sz w:val="18"/>
                <w:szCs w:val="18"/>
                <w:lang w:val="de-DE" w:eastAsia="ru-RU"/>
              </w:rPr>
            </w:pPr>
            <w:r w:rsidRPr="00DD2A86">
              <w:rPr>
                <w:color w:val="000000"/>
                <w:sz w:val="18"/>
                <w:szCs w:val="18"/>
                <w:lang w:val="de-DE" w:eastAsia="ru-RU"/>
              </w:rPr>
              <w:t>–</w:t>
            </w:r>
          </w:p>
        </w:tc>
        <w:tc>
          <w:tcPr>
            <w:tcW w:w="3260" w:type="dxa"/>
            <w:shd w:val="clear" w:color="auto" w:fill="auto"/>
          </w:tcPr>
          <w:p w:rsidR="006608CB" w:rsidRPr="00DD2A86" w:rsidRDefault="006608CB" w:rsidP="006608CB">
            <w:pPr>
              <w:keepNext/>
              <w:keepLines/>
              <w:suppressAutoHyphens w:val="0"/>
              <w:spacing w:line="240" w:lineRule="auto"/>
              <w:jc w:val="center"/>
              <w:rPr>
                <w:color w:val="000000"/>
                <w:sz w:val="18"/>
                <w:szCs w:val="18"/>
                <w:lang w:val="de-DE" w:eastAsia="ru-RU"/>
              </w:rPr>
            </w:pPr>
            <w:r w:rsidRPr="00DD2A86">
              <w:rPr>
                <w:color w:val="000000"/>
                <w:sz w:val="18"/>
                <w:szCs w:val="18"/>
                <w:lang w:val="de-DE" w:eastAsia="de-DE"/>
              </w:rPr>
              <w:t>Flamme über einem Kreis</w:t>
            </w:r>
            <w:r w:rsidRPr="00DD2A86">
              <w:rPr>
                <w:color w:val="000000"/>
                <w:sz w:val="18"/>
                <w:szCs w:val="18"/>
                <w:lang w:val="de-DE" w:eastAsia="ru-RU"/>
              </w:rPr>
              <w:t>: schwarz</w:t>
            </w:r>
          </w:p>
        </w:tc>
        <w:tc>
          <w:tcPr>
            <w:tcW w:w="1003" w:type="dxa"/>
            <w:shd w:val="clear" w:color="auto" w:fill="auto"/>
          </w:tcPr>
          <w:p w:rsidR="006608CB" w:rsidRPr="00DD2A86" w:rsidRDefault="006608CB" w:rsidP="006608CB">
            <w:pPr>
              <w:keepNext/>
              <w:keepLines/>
              <w:suppressAutoHyphens w:val="0"/>
              <w:spacing w:line="240" w:lineRule="auto"/>
              <w:jc w:val="center"/>
              <w:rPr>
                <w:color w:val="000000"/>
                <w:sz w:val="18"/>
                <w:szCs w:val="18"/>
                <w:lang w:val="de-DE" w:eastAsia="ru-RU"/>
              </w:rPr>
            </w:pPr>
            <w:r w:rsidRPr="00DD2A86">
              <w:rPr>
                <w:color w:val="000000"/>
                <w:sz w:val="18"/>
                <w:szCs w:val="18"/>
                <w:lang w:val="de-DE" w:eastAsia="ru-RU"/>
              </w:rPr>
              <w:t>gelb</w:t>
            </w:r>
          </w:p>
        </w:tc>
        <w:tc>
          <w:tcPr>
            <w:tcW w:w="1276" w:type="dxa"/>
            <w:shd w:val="clear" w:color="auto" w:fill="auto"/>
          </w:tcPr>
          <w:p w:rsidR="006608CB" w:rsidRPr="00DD2A86" w:rsidRDefault="006608CB" w:rsidP="006608CB">
            <w:pPr>
              <w:keepNext/>
              <w:keepLines/>
              <w:suppressAutoHyphens w:val="0"/>
              <w:spacing w:line="240" w:lineRule="auto"/>
              <w:jc w:val="center"/>
              <w:rPr>
                <w:color w:val="000000"/>
                <w:sz w:val="18"/>
                <w:szCs w:val="18"/>
                <w:lang w:val="de-DE" w:eastAsia="ru-RU"/>
              </w:rPr>
            </w:pPr>
            <w:r w:rsidRPr="00DD2A86">
              <w:rPr>
                <w:color w:val="000000"/>
                <w:sz w:val="18"/>
                <w:szCs w:val="18"/>
                <w:lang w:val="de-DE" w:eastAsia="ru-RU"/>
              </w:rPr>
              <w:t>5.1</w:t>
            </w:r>
          </w:p>
          <w:p w:rsidR="006608CB" w:rsidRPr="00DD2A86" w:rsidRDefault="006608CB" w:rsidP="006608CB">
            <w:pPr>
              <w:keepNext/>
              <w:keepLines/>
              <w:suppressAutoHyphens w:val="0"/>
              <w:spacing w:line="240" w:lineRule="auto"/>
              <w:jc w:val="center"/>
              <w:rPr>
                <w:color w:val="000000"/>
                <w:sz w:val="18"/>
                <w:szCs w:val="18"/>
                <w:lang w:val="de-DE" w:eastAsia="ru-RU"/>
              </w:rPr>
            </w:pPr>
            <w:r w:rsidRPr="00DD2A86">
              <w:rPr>
                <w:color w:val="000000"/>
                <w:sz w:val="18"/>
                <w:szCs w:val="18"/>
                <w:lang w:val="de-DE" w:eastAsia="ru-RU"/>
              </w:rPr>
              <w:t>(schwarz)</w:t>
            </w:r>
          </w:p>
        </w:tc>
        <w:tc>
          <w:tcPr>
            <w:tcW w:w="3261" w:type="dxa"/>
            <w:gridSpan w:val="2"/>
            <w:shd w:val="clear" w:color="auto" w:fill="auto"/>
            <w:vAlign w:val="center"/>
          </w:tcPr>
          <w:p w:rsidR="006608CB" w:rsidRPr="00DD2A86" w:rsidRDefault="006608CB" w:rsidP="006608CB">
            <w:pPr>
              <w:tabs>
                <w:tab w:val="left" w:pos="221"/>
              </w:tabs>
              <w:suppressAutoHyphens w:val="0"/>
              <w:spacing w:line="240" w:lineRule="auto"/>
              <w:jc w:val="center"/>
              <w:rPr>
                <w:noProof/>
                <w:color w:val="000000"/>
                <w:sz w:val="18"/>
                <w:szCs w:val="18"/>
                <w:lang w:val="de-DE" w:eastAsia="de-CH"/>
              </w:rPr>
            </w:pPr>
            <w:r w:rsidRPr="00DD2A86">
              <w:rPr>
                <w:rFonts w:eastAsia="SimSun"/>
                <w:noProof/>
                <w:color w:val="000000"/>
                <w:sz w:val="18"/>
                <w:szCs w:val="18"/>
                <w:lang w:val="fr-FR" w:eastAsia="fr-FR"/>
              </w:rPr>
              <w:drawing>
                <wp:inline distT="0" distB="0" distL="0" distR="0" wp14:anchorId="2C4E76D6" wp14:editId="5931AD7B">
                  <wp:extent cx="855980" cy="855980"/>
                  <wp:effectExtent l="19050" t="0" r="1270" b="0"/>
                  <wp:docPr id="2393" name="Picture 19" descr="jaun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aune5-1"/>
                          <pic:cNvPicPr>
                            <a:picLocks noChangeAspect="1" noChangeArrowheads="1"/>
                          </pic:cNvPicPr>
                        </pic:nvPicPr>
                        <pic:blipFill>
                          <a:blip r:embed="rId82" cstate="print"/>
                          <a:srcRect/>
                          <a:stretch>
                            <a:fillRect/>
                          </a:stretch>
                        </pic:blipFill>
                        <pic:spPr bwMode="auto">
                          <a:xfrm>
                            <a:off x="0" y="0"/>
                            <a:ext cx="855980" cy="855980"/>
                          </a:xfrm>
                          <a:prstGeom prst="rect">
                            <a:avLst/>
                          </a:prstGeom>
                          <a:noFill/>
                          <a:ln w="9525">
                            <a:noFill/>
                            <a:miter lim="800000"/>
                            <a:headEnd/>
                            <a:tailEnd/>
                          </a:ln>
                        </pic:spPr>
                      </pic:pic>
                    </a:graphicData>
                  </a:graphic>
                </wp:inline>
              </w:drawing>
            </w:r>
          </w:p>
        </w:tc>
        <w:tc>
          <w:tcPr>
            <w:tcW w:w="2693" w:type="dxa"/>
            <w:shd w:val="clear" w:color="auto" w:fill="auto"/>
          </w:tcPr>
          <w:p w:rsidR="006608CB" w:rsidRPr="00DD2A86" w:rsidRDefault="006608CB" w:rsidP="006608CB">
            <w:pPr>
              <w:tabs>
                <w:tab w:val="left" w:pos="221"/>
              </w:tabs>
              <w:suppressAutoHyphens w:val="0"/>
              <w:spacing w:line="240" w:lineRule="auto"/>
              <w:ind w:left="221" w:hanging="221"/>
              <w:jc w:val="center"/>
              <w:rPr>
                <w:color w:val="000000"/>
                <w:sz w:val="18"/>
                <w:szCs w:val="18"/>
                <w:lang w:val="de-DE" w:eastAsia="ru-RU"/>
              </w:rPr>
            </w:pPr>
            <w:r w:rsidRPr="00DD2A86">
              <w:rPr>
                <w:color w:val="000000"/>
                <w:sz w:val="18"/>
                <w:szCs w:val="18"/>
                <w:lang w:val="de-DE" w:eastAsia="ru-RU"/>
              </w:rPr>
              <w:t>–</w:t>
            </w:r>
          </w:p>
        </w:tc>
      </w:tr>
      <w:tr w:rsidR="006608CB" w:rsidRPr="00E139A8" w:rsidTr="00973598">
        <w:trPr>
          <w:cantSplit/>
          <w:trHeight w:val="431"/>
        </w:trPr>
        <w:tc>
          <w:tcPr>
            <w:tcW w:w="14063" w:type="dxa"/>
            <w:gridSpan w:val="8"/>
            <w:shd w:val="clear" w:color="auto" w:fill="auto"/>
            <w:vAlign w:val="center"/>
          </w:tcPr>
          <w:p w:rsidR="006608CB" w:rsidRPr="00DD2A86" w:rsidRDefault="006608CB" w:rsidP="006608CB">
            <w:pPr>
              <w:tabs>
                <w:tab w:val="left" w:pos="221"/>
              </w:tabs>
              <w:suppressAutoHyphens w:val="0"/>
              <w:spacing w:line="240" w:lineRule="auto"/>
              <w:ind w:left="221" w:hanging="221"/>
              <w:jc w:val="center"/>
              <w:rPr>
                <w:b/>
                <w:color w:val="000000"/>
                <w:sz w:val="18"/>
                <w:szCs w:val="18"/>
                <w:lang w:val="de-DE" w:eastAsia="ru-RU"/>
              </w:rPr>
            </w:pPr>
            <w:r w:rsidRPr="00DD2A86">
              <w:rPr>
                <w:b/>
                <w:color w:val="000000"/>
                <w:sz w:val="18"/>
                <w:szCs w:val="18"/>
                <w:lang w:val="de-DE" w:eastAsia="ru-RU"/>
              </w:rPr>
              <w:t xml:space="preserve">Gefahr der Klasse 5.2: </w:t>
            </w:r>
            <w:r w:rsidRPr="00DD2A86">
              <w:rPr>
                <w:b/>
                <w:color w:val="000000"/>
                <w:sz w:val="18"/>
                <w:szCs w:val="18"/>
                <w:lang w:val="de-DE" w:eastAsia="de-DE"/>
              </w:rPr>
              <w:t>Organische Peroxide</w:t>
            </w:r>
          </w:p>
        </w:tc>
      </w:tr>
      <w:tr w:rsidR="006608CB" w:rsidRPr="00DD2A86" w:rsidTr="00973598">
        <w:trPr>
          <w:cantSplit/>
          <w:trHeight w:val="1648"/>
        </w:trPr>
        <w:tc>
          <w:tcPr>
            <w:tcW w:w="828"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5.2</w:t>
            </w:r>
          </w:p>
        </w:tc>
        <w:tc>
          <w:tcPr>
            <w:tcW w:w="1742"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w:t>
            </w:r>
          </w:p>
        </w:tc>
        <w:tc>
          <w:tcPr>
            <w:tcW w:w="3260"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Flamme: schwarz oder weiß</w:t>
            </w:r>
          </w:p>
        </w:tc>
        <w:tc>
          <w:tcPr>
            <w:tcW w:w="1003"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de-DE"/>
              </w:rPr>
              <w:t>obere Hälfte rot, untere Hälfte gelb</w:t>
            </w:r>
          </w:p>
        </w:tc>
        <w:tc>
          <w:tcPr>
            <w:tcW w:w="1276"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5.2</w:t>
            </w:r>
          </w:p>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(schwarz)</w:t>
            </w:r>
          </w:p>
        </w:tc>
        <w:tc>
          <w:tcPr>
            <w:tcW w:w="1560" w:type="dxa"/>
            <w:shd w:val="clear" w:color="auto" w:fill="auto"/>
            <w:vAlign w:val="center"/>
          </w:tcPr>
          <w:p w:rsidR="006608CB" w:rsidRPr="00DD2A86" w:rsidRDefault="006608CB" w:rsidP="006608CB">
            <w:pPr>
              <w:tabs>
                <w:tab w:val="left" w:pos="221"/>
              </w:tabs>
              <w:suppressAutoHyphens w:val="0"/>
              <w:spacing w:line="240" w:lineRule="auto"/>
              <w:jc w:val="center"/>
              <w:rPr>
                <w:noProof/>
                <w:color w:val="000000"/>
                <w:sz w:val="18"/>
                <w:szCs w:val="18"/>
                <w:lang w:val="de-DE" w:eastAsia="de-CH"/>
              </w:rPr>
            </w:pPr>
            <w:r w:rsidRPr="00DD2A86">
              <w:rPr>
                <w:rFonts w:eastAsia="SimSun"/>
                <w:noProof/>
                <w:color w:val="000000"/>
                <w:sz w:val="18"/>
                <w:szCs w:val="18"/>
                <w:lang w:val="fr-FR" w:eastAsia="fr-FR"/>
              </w:rPr>
              <w:drawing>
                <wp:inline distT="0" distB="0" distL="0" distR="0" wp14:anchorId="61D93B4C" wp14:editId="65C4B6DD">
                  <wp:extent cx="864870" cy="860425"/>
                  <wp:effectExtent l="19050" t="0" r="0" b="0"/>
                  <wp:docPr id="2394" name="Picture 20" descr="5-2red_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2red_noir"/>
                          <pic:cNvPicPr>
                            <a:picLocks noChangeAspect="1" noChangeArrowheads="1"/>
                          </pic:cNvPicPr>
                        </pic:nvPicPr>
                        <pic:blipFill>
                          <a:blip r:embed="rId83" cstate="print"/>
                          <a:srcRect/>
                          <a:stretch>
                            <a:fillRect/>
                          </a:stretch>
                        </pic:blipFill>
                        <pic:spPr bwMode="auto">
                          <a:xfrm>
                            <a:off x="0" y="0"/>
                            <a:ext cx="864870" cy="860425"/>
                          </a:xfrm>
                          <a:prstGeom prst="rect">
                            <a:avLst/>
                          </a:prstGeom>
                          <a:noFill/>
                          <a:ln w="9525">
                            <a:noFill/>
                            <a:miter lim="800000"/>
                            <a:headEnd/>
                            <a:tailEnd/>
                          </a:ln>
                        </pic:spPr>
                      </pic:pic>
                    </a:graphicData>
                  </a:graphic>
                </wp:inline>
              </w:drawing>
            </w:r>
          </w:p>
        </w:tc>
        <w:tc>
          <w:tcPr>
            <w:tcW w:w="1701" w:type="dxa"/>
            <w:shd w:val="clear" w:color="auto" w:fill="auto"/>
            <w:vAlign w:val="center"/>
          </w:tcPr>
          <w:p w:rsidR="006608CB" w:rsidRPr="00DD2A86" w:rsidRDefault="006608CB" w:rsidP="006608CB">
            <w:pPr>
              <w:tabs>
                <w:tab w:val="left" w:pos="221"/>
              </w:tabs>
              <w:suppressAutoHyphens w:val="0"/>
              <w:spacing w:line="240" w:lineRule="auto"/>
              <w:jc w:val="center"/>
              <w:rPr>
                <w:noProof/>
                <w:color w:val="000000"/>
                <w:sz w:val="18"/>
                <w:szCs w:val="18"/>
                <w:lang w:val="de-DE" w:eastAsia="de-CH"/>
              </w:rPr>
            </w:pPr>
            <w:r w:rsidRPr="00DD2A86">
              <w:rPr>
                <w:rFonts w:eastAsia="SimSun"/>
                <w:noProof/>
                <w:color w:val="000000"/>
                <w:sz w:val="18"/>
                <w:szCs w:val="18"/>
                <w:lang w:val="fr-FR" w:eastAsia="fr-FR"/>
              </w:rPr>
              <w:drawing>
                <wp:inline distT="0" distB="0" distL="0" distR="0" wp14:anchorId="46A81779" wp14:editId="399958F8">
                  <wp:extent cx="878840" cy="873760"/>
                  <wp:effectExtent l="19050" t="0" r="0" b="0"/>
                  <wp:docPr id="2395" name="Picture 21" descr="5-2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2red"/>
                          <pic:cNvPicPr>
                            <a:picLocks noChangeAspect="1" noChangeArrowheads="1"/>
                          </pic:cNvPicPr>
                        </pic:nvPicPr>
                        <pic:blipFill>
                          <a:blip r:embed="rId84" cstate="print"/>
                          <a:srcRect/>
                          <a:stretch>
                            <a:fillRect/>
                          </a:stretch>
                        </pic:blipFill>
                        <pic:spPr bwMode="auto">
                          <a:xfrm>
                            <a:off x="0" y="0"/>
                            <a:ext cx="878840" cy="873760"/>
                          </a:xfrm>
                          <a:prstGeom prst="rect">
                            <a:avLst/>
                          </a:prstGeom>
                          <a:noFill/>
                          <a:ln w="9525">
                            <a:noFill/>
                            <a:miter lim="800000"/>
                            <a:headEnd/>
                            <a:tailEnd/>
                          </a:ln>
                        </pic:spPr>
                      </pic:pic>
                    </a:graphicData>
                  </a:graphic>
                </wp:inline>
              </w:drawing>
            </w:r>
          </w:p>
        </w:tc>
        <w:tc>
          <w:tcPr>
            <w:tcW w:w="2693" w:type="dxa"/>
            <w:shd w:val="clear" w:color="auto" w:fill="auto"/>
          </w:tcPr>
          <w:p w:rsidR="006608CB" w:rsidRPr="00DD2A86" w:rsidRDefault="006608CB" w:rsidP="006608CB">
            <w:pPr>
              <w:tabs>
                <w:tab w:val="left" w:pos="221"/>
              </w:tabs>
              <w:suppressAutoHyphens w:val="0"/>
              <w:spacing w:line="240" w:lineRule="auto"/>
              <w:ind w:left="221" w:hanging="221"/>
              <w:jc w:val="center"/>
              <w:rPr>
                <w:color w:val="000000"/>
                <w:sz w:val="18"/>
                <w:szCs w:val="18"/>
                <w:lang w:val="de-DE" w:eastAsia="ru-RU"/>
              </w:rPr>
            </w:pPr>
            <w:r w:rsidRPr="00DD2A86">
              <w:rPr>
                <w:color w:val="000000"/>
                <w:sz w:val="18"/>
                <w:szCs w:val="18"/>
                <w:lang w:val="de-DE" w:eastAsia="ru-RU"/>
              </w:rPr>
              <w:t>–</w:t>
            </w:r>
          </w:p>
        </w:tc>
      </w:tr>
    </w:tbl>
    <w:p w:rsidR="006608CB" w:rsidRPr="00DD2A86" w:rsidRDefault="006608CB" w:rsidP="006608CB">
      <w:pPr>
        <w:tabs>
          <w:tab w:val="left" w:pos="425"/>
          <w:tab w:val="left" w:pos="851"/>
          <w:tab w:val="left" w:pos="1276"/>
        </w:tabs>
        <w:suppressAutoHyphens w:val="0"/>
        <w:spacing w:line="240" w:lineRule="auto"/>
        <w:jc w:val="both"/>
        <w:rPr>
          <w:rFonts w:ascii="Arial" w:hAnsi="Arial"/>
          <w:color w:val="000000"/>
          <w:sz w:val="22"/>
          <w:lang w:val="de-DE" w:eastAsia="de-DE"/>
        </w:rPr>
      </w:pPr>
      <w:r w:rsidRPr="00DD2A86">
        <w:rPr>
          <w:rFonts w:ascii="Arial" w:hAnsi="Arial"/>
          <w:color w:val="000000"/>
          <w:sz w:val="22"/>
          <w:lang w:val="de-DE" w:eastAsia="de-DE"/>
        </w:rPr>
        <w:br w:type="page"/>
      </w:r>
    </w:p>
    <w:tbl>
      <w:tblPr>
        <w:tblW w:w="14063"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28"/>
        <w:gridCol w:w="1742"/>
        <w:gridCol w:w="3260"/>
        <w:gridCol w:w="1003"/>
        <w:gridCol w:w="1276"/>
        <w:gridCol w:w="3261"/>
        <w:gridCol w:w="2693"/>
      </w:tblGrid>
      <w:tr w:rsidR="006608CB" w:rsidRPr="00DD2A86" w:rsidTr="00973598">
        <w:trPr>
          <w:cantSplit/>
          <w:tblHeader/>
        </w:trPr>
        <w:tc>
          <w:tcPr>
            <w:tcW w:w="828" w:type="dxa"/>
            <w:shd w:val="clear" w:color="auto" w:fill="auto"/>
            <w:vAlign w:val="center"/>
          </w:tcPr>
          <w:p w:rsidR="006608CB" w:rsidRPr="00DD2A86" w:rsidRDefault="006608CB" w:rsidP="006608CB">
            <w:pPr>
              <w:suppressAutoHyphens w:val="0"/>
              <w:spacing w:line="240" w:lineRule="auto"/>
              <w:jc w:val="center"/>
              <w:rPr>
                <w:b/>
                <w:color w:val="000000"/>
                <w:sz w:val="18"/>
                <w:szCs w:val="18"/>
                <w:lang w:val="de-DE" w:eastAsia="ru-RU"/>
              </w:rPr>
            </w:pPr>
            <w:r w:rsidRPr="00DD2A86">
              <w:rPr>
                <w:b/>
                <w:color w:val="000000"/>
                <w:sz w:val="18"/>
                <w:szCs w:val="18"/>
                <w:lang w:val="de-DE" w:eastAsia="ru-RU"/>
              </w:rPr>
              <w:t>Gefahr</w:t>
            </w:r>
            <w:r w:rsidRPr="00DD2A86">
              <w:rPr>
                <w:b/>
                <w:color w:val="000000"/>
                <w:sz w:val="18"/>
                <w:szCs w:val="18"/>
                <w:lang w:val="de-DE" w:eastAsia="ru-RU"/>
              </w:rPr>
              <w:softHyphen/>
              <w:t>zettel</w:t>
            </w:r>
            <w:r w:rsidRPr="00DD2A86">
              <w:rPr>
                <w:b/>
                <w:color w:val="000000"/>
                <w:sz w:val="18"/>
                <w:szCs w:val="18"/>
                <w:lang w:val="de-DE" w:eastAsia="ru-RU"/>
              </w:rPr>
              <w:softHyphen/>
              <w:t>muster Nr.</w:t>
            </w:r>
          </w:p>
        </w:tc>
        <w:tc>
          <w:tcPr>
            <w:tcW w:w="1742" w:type="dxa"/>
            <w:shd w:val="clear" w:color="auto" w:fill="auto"/>
            <w:vAlign w:val="center"/>
          </w:tcPr>
          <w:p w:rsidR="006608CB" w:rsidRPr="00DD2A86" w:rsidRDefault="006608CB" w:rsidP="006608CB">
            <w:pPr>
              <w:suppressAutoHyphens w:val="0"/>
              <w:spacing w:line="240" w:lineRule="auto"/>
              <w:jc w:val="center"/>
              <w:rPr>
                <w:b/>
                <w:color w:val="000000"/>
                <w:sz w:val="18"/>
                <w:szCs w:val="18"/>
                <w:lang w:val="de-DE" w:eastAsia="ru-RU"/>
              </w:rPr>
            </w:pPr>
            <w:r w:rsidRPr="00DD2A86">
              <w:rPr>
                <w:b/>
                <w:color w:val="000000"/>
                <w:sz w:val="18"/>
                <w:szCs w:val="18"/>
                <w:lang w:val="de-DE" w:eastAsia="ru-RU"/>
              </w:rPr>
              <w:t>Unterklasse oder Kategorie</w:t>
            </w:r>
          </w:p>
        </w:tc>
        <w:tc>
          <w:tcPr>
            <w:tcW w:w="3260" w:type="dxa"/>
            <w:shd w:val="clear" w:color="auto" w:fill="auto"/>
            <w:vAlign w:val="center"/>
          </w:tcPr>
          <w:p w:rsidR="006608CB" w:rsidRPr="00DD2A86" w:rsidRDefault="006608CB" w:rsidP="006608CB">
            <w:pPr>
              <w:suppressAutoHyphens w:val="0"/>
              <w:spacing w:line="240" w:lineRule="auto"/>
              <w:jc w:val="center"/>
              <w:rPr>
                <w:b/>
                <w:color w:val="000000"/>
                <w:sz w:val="18"/>
                <w:szCs w:val="18"/>
                <w:lang w:val="de-DE" w:eastAsia="ru-RU"/>
              </w:rPr>
            </w:pPr>
            <w:r w:rsidRPr="00DD2A86">
              <w:rPr>
                <w:b/>
                <w:color w:val="000000"/>
                <w:sz w:val="18"/>
                <w:szCs w:val="18"/>
                <w:lang w:val="de-DE" w:eastAsia="ru-RU"/>
              </w:rPr>
              <w:t>Symbol und Farbe des Symbols</w:t>
            </w:r>
          </w:p>
        </w:tc>
        <w:tc>
          <w:tcPr>
            <w:tcW w:w="1003" w:type="dxa"/>
            <w:shd w:val="clear" w:color="auto" w:fill="auto"/>
            <w:vAlign w:val="center"/>
          </w:tcPr>
          <w:p w:rsidR="006608CB" w:rsidRPr="00DD2A86" w:rsidRDefault="006608CB" w:rsidP="006608CB">
            <w:pPr>
              <w:suppressAutoHyphens w:val="0"/>
              <w:spacing w:line="240" w:lineRule="auto"/>
              <w:jc w:val="center"/>
              <w:rPr>
                <w:b/>
                <w:color w:val="000000"/>
                <w:sz w:val="18"/>
                <w:szCs w:val="18"/>
                <w:lang w:val="de-DE" w:eastAsia="ru-RU"/>
              </w:rPr>
            </w:pPr>
            <w:r w:rsidRPr="00DD2A86">
              <w:rPr>
                <w:b/>
                <w:color w:val="000000"/>
                <w:sz w:val="18"/>
                <w:szCs w:val="18"/>
                <w:lang w:val="de-DE" w:eastAsia="ru-RU"/>
              </w:rPr>
              <w:t>Hinter</w:t>
            </w:r>
            <w:r w:rsidRPr="00DD2A86">
              <w:rPr>
                <w:b/>
                <w:color w:val="000000"/>
                <w:sz w:val="18"/>
                <w:szCs w:val="18"/>
                <w:lang w:val="de-DE" w:eastAsia="ru-RU"/>
              </w:rPr>
              <w:softHyphen/>
              <w:t>grund</w:t>
            </w:r>
          </w:p>
        </w:tc>
        <w:tc>
          <w:tcPr>
            <w:tcW w:w="1276" w:type="dxa"/>
            <w:shd w:val="clear" w:color="auto" w:fill="auto"/>
            <w:vAlign w:val="center"/>
          </w:tcPr>
          <w:p w:rsidR="006608CB" w:rsidRPr="00DD2A86" w:rsidRDefault="006608CB" w:rsidP="006608CB">
            <w:pPr>
              <w:suppressAutoHyphens w:val="0"/>
              <w:spacing w:line="240" w:lineRule="auto"/>
              <w:jc w:val="center"/>
              <w:rPr>
                <w:b/>
                <w:color w:val="000000"/>
                <w:sz w:val="18"/>
                <w:szCs w:val="18"/>
                <w:lang w:val="de-DE" w:eastAsia="ru-RU"/>
              </w:rPr>
            </w:pPr>
            <w:r w:rsidRPr="00DD2A86">
              <w:rPr>
                <w:b/>
                <w:color w:val="000000"/>
                <w:sz w:val="18"/>
                <w:szCs w:val="18"/>
                <w:lang w:val="de-DE" w:eastAsia="ru-RU"/>
              </w:rPr>
              <w:t>Ziffer in der unteren Ecke (und Farbe der Ziffer)</w:t>
            </w:r>
          </w:p>
        </w:tc>
        <w:tc>
          <w:tcPr>
            <w:tcW w:w="3261" w:type="dxa"/>
            <w:shd w:val="clear" w:color="auto" w:fill="auto"/>
            <w:vAlign w:val="center"/>
          </w:tcPr>
          <w:p w:rsidR="006608CB" w:rsidRPr="00DD2A86" w:rsidRDefault="006608CB" w:rsidP="006608CB">
            <w:pPr>
              <w:suppressAutoHyphens w:val="0"/>
              <w:spacing w:line="240" w:lineRule="auto"/>
              <w:jc w:val="center"/>
              <w:rPr>
                <w:b/>
                <w:color w:val="000000"/>
                <w:sz w:val="18"/>
                <w:szCs w:val="18"/>
                <w:lang w:val="de-DE" w:eastAsia="ru-RU"/>
              </w:rPr>
            </w:pPr>
            <w:r w:rsidRPr="00DD2A86">
              <w:rPr>
                <w:b/>
                <w:color w:val="000000"/>
                <w:sz w:val="18"/>
                <w:szCs w:val="18"/>
                <w:lang w:val="de-DE" w:eastAsia="ru-RU"/>
              </w:rPr>
              <w:t>Gefahrzettelmuster</w:t>
            </w:r>
          </w:p>
        </w:tc>
        <w:tc>
          <w:tcPr>
            <w:tcW w:w="2693" w:type="dxa"/>
            <w:shd w:val="clear" w:color="auto" w:fill="auto"/>
            <w:vAlign w:val="center"/>
          </w:tcPr>
          <w:p w:rsidR="006608CB" w:rsidRPr="00DD2A86" w:rsidRDefault="006608CB" w:rsidP="006608CB">
            <w:pPr>
              <w:suppressAutoHyphens w:val="0"/>
              <w:spacing w:line="240" w:lineRule="auto"/>
              <w:jc w:val="center"/>
              <w:rPr>
                <w:b/>
                <w:color w:val="000000"/>
                <w:sz w:val="18"/>
                <w:szCs w:val="18"/>
                <w:lang w:val="de-DE" w:eastAsia="ru-RU"/>
              </w:rPr>
            </w:pPr>
            <w:r w:rsidRPr="00DD2A86">
              <w:rPr>
                <w:b/>
                <w:color w:val="000000"/>
                <w:sz w:val="18"/>
                <w:szCs w:val="18"/>
                <w:lang w:val="de-DE" w:eastAsia="ru-RU"/>
              </w:rPr>
              <w:t>Bemerkung</w:t>
            </w:r>
          </w:p>
        </w:tc>
      </w:tr>
      <w:tr w:rsidR="006608CB" w:rsidRPr="00E139A8" w:rsidTr="00973598">
        <w:trPr>
          <w:cantSplit/>
          <w:trHeight w:val="431"/>
        </w:trPr>
        <w:tc>
          <w:tcPr>
            <w:tcW w:w="14063" w:type="dxa"/>
            <w:gridSpan w:val="7"/>
            <w:shd w:val="clear" w:color="auto" w:fill="auto"/>
            <w:vAlign w:val="center"/>
          </w:tcPr>
          <w:p w:rsidR="006608CB" w:rsidRPr="00DD2A86" w:rsidRDefault="006608CB" w:rsidP="006608CB">
            <w:pPr>
              <w:tabs>
                <w:tab w:val="left" w:pos="221"/>
              </w:tabs>
              <w:suppressAutoHyphens w:val="0"/>
              <w:spacing w:line="240" w:lineRule="auto"/>
              <w:ind w:left="221" w:hanging="221"/>
              <w:jc w:val="center"/>
              <w:rPr>
                <w:b/>
                <w:color w:val="000000"/>
                <w:sz w:val="18"/>
                <w:szCs w:val="18"/>
                <w:lang w:val="de-DE" w:eastAsia="ru-RU"/>
              </w:rPr>
            </w:pPr>
            <w:r w:rsidRPr="00DD2A86">
              <w:rPr>
                <w:b/>
                <w:color w:val="000000"/>
                <w:sz w:val="18"/>
                <w:szCs w:val="18"/>
                <w:lang w:val="de-DE" w:eastAsia="ru-RU"/>
              </w:rPr>
              <w:t>Gefahr der Klasse 6.1: Giftige Stoffe</w:t>
            </w:r>
          </w:p>
        </w:tc>
      </w:tr>
      <w:tr w:rsidR="006608CB" w:rsidRPr="00DD2A86" w:rsidTr="00973598">
        <w:trPr>
          <w:cantSplit/>
          <w:trHeight w:val="1648"/>
        </w:trPr>
        <w:tc>
          <w:tcPr>
            <w:tcW w:w="828"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6.1</w:t>
            </w:r>
          </w:p>
        </w:tc>
        <w:tc>
          <w:tcPr>
            <w:tcW w:w="1742"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w:t>
            </w:r>
          </w:p>
        </w:tc>
        <w:tc>
          <w:tcPr>
            <w:tcW w:w="3260"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de-DE"/>
              </w:rPr>
              <w:t>Totenkopf mit gekreuzten Gebeinen</w:t>
            </w:r>
            <w:r w:rsidRPr="00DD2A86">
              <w:rPr>
                <w:color w:val="000000"/>
                <w:sz w:val="18"/>
                <w:szCs w:val="18"/>
                <w:lang w:val="de-DE" w:eastAsia="ru-RU"/>
              </w:rPr>
              <w:t>: schwarz</w:t>
            </w:r>
          </w:p>
        </w:tc>
        <w:tc>
          <w:tcPr>
            <w:tcW w:w="1003"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weiß</w:t>
            </w:r>
          </w:p>
        </w:tc>
        <w:tc>
          <w:tcPr>
            <w:tcW w:w="1276"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6</w:t>
            </w:r>
          </w:p>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(schwarz)</w:t>
            </w:r>
          </w:p>
        </w:tc>
        <w:tc>
          <w:tcPr>
            <w:tcW w:w="3261" w:type="dxa"/>
            <w:shd w:val="clear" w:color="auto" w:fill="auto"/>
            <w:vAlign w:val="center"/>
          </w:tcPr>
          <w:p w:rsidR="006608CB" w:rsidRPr="00DD2A86" w:rsidRDefault="006608CB" w:rsidP="006608CB">
            <w:pPr>
              <w:tabs>
                <w:tab w:val="left" w:pos="221"/>
              </w:tabs>
              <w:suppressAutoHyphens w:val="0"/>
              <w:spacing w:line="240" w:lineRule="auto"/>
              <w:jc w:val="center"/>
              <w:rPr>
                <w:rFonts w:eastAsia="SimSun"/>
                <w:noProof/>
                <w:color w:val="000000"/>
                <w:sz w:val="18"/>
                <w:szCs w:val="18"/>
                <w:lang w:val="de-DE" w:eastAsia="de-CH"/>
              </w:rPr>
            </w:pPr>
            <w:r w:rsidRPr="00DD2A86">
              <w:rPr>
                <w:rFonts w:eastAsia="SimSun"/>
                <w:noProof/>
                <w:color w:val="000000"/>
                <w:sz w:val="18"/>
                <w:szCs w:val="18"/>
                <w:lang w:val="fr-FR" w:eastAsia="fr-FR"/>
              </w:rPr>
              <w:drawing>
                <wp:inline distT="0" distB="0" distL="0" distR="0" wp14:anchorId="4AF6FE08" wp14:editId="007C4DE1">
                  <wp:extent cx="869315" cy="869315"/>
                  <wp:effectExtent l="19050" t="0" r="6985" b="0"/>
                  <wp:docPr id="2396" name="Picture 22" descr="skul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kull6"/>
                          <pic:cNvPicPr>
                            <a:picLocks noChangeAspect="1" noChangeArrowheads="1"/>
                          </pic:cNvPicPr>
                        </pic:nvPicPr>
                        <pic:blipFill>
                          <a:blip r:embed="rId85" cstate="print"/>
                          <a:srcRect/>
                          <a:stretch>
                            <a:fillRect/>
                          </a:stretch>
                        </pic:blipFill>
                        <pic:spPr bwMode="auto">
                          <a:xfrm>
                            <a:off x="0" y="0"/>
                            <a:ext cx="869315" cy="869315"/>
                          </a:xfrm>
                          <a:prstGeom prst="rect">
                            <a:avLst/>
                          </a:prstGeom>
                          <a:noFill/>
                          <a:ln w="9525">
                            <a:noFill/>
                            <a:miter lim="800000"/>
                            <a:headEnd/>
                            <a:tailEnd/>
                          </a:ln>
                        </pic:spPr>
                      </pic:pic>
                    </a:graphicData>
                  </a:graphic>
                </wp:inline>
              </w:drawing>
            </w:r>
          </w:p>
        </w:tc>
        <w:tc>
          <w:tcPr>
            <w:tcW w:w="2693" w:type="dxa"/>
            <w:shd w:val="clear" w:color="auto" w:fill="auto"/>
          </w:tcPr>
          <w:p w:rsidR="006608CB" w:rsidRPr="00DD2A86" w:rsidRDefault="006608CB" w:rsidP="006608CB">
            <w:pPr>
              <w:tabs>
                <w:tab w:val="left" w:pos="221"/>
              </w:tabs>
              <w:suppressAutoHyphens w:val="0"/>
              <w:spacing w:line="240" w:lineRule="auto"/>
              <w:ind w:left="221" w:hanging="221"/>
              <w:jc w:val="center"/>
              <w:rPr>
                <w:color w:val="000000"/>
                <w:sz w:val="18"/>
                <w:szCs w:val="18"/>
                <w:lang w:val="de-DE" w:eastAsia="ru-RU"/>
              </w:rPr>
            </w:pPr>
            <w:r w:rsidRPr="00DD2A86">
              <w:rPr>
                <w:color w:val="000000"/>
                <w:sz w:val="18"/>
                <w:szCs w:val="18"/>
                <w:lang w:val="de-DE" w:eastAsia="ru-RU"/>
              </w:rPr>
              <w:t>–</w:t>
            </w:r>
          </w:p>
        </w:tc>
      </w:tr>
      <w:tr w:rsidR="006608CB" w:rsidRPr="00E139A8" w:rsidTr="00973598">
        <w:trPr>
          <w:cantSplit/>
          <w:trHeight w:val="431"/>
        </w:trPr>
        <w:tc>
          <w:tcPr>
            <w:tcW w:w="14063" w:type="dxa"/>
            <w:gridSpan w:val="7"/>
            <w:shd w:val="clear" w:color="auto" w:fill="auto"/>
            <w:vAlign w:val="center"/>
          </w:tcPr>
          <w:p w:rsidR="006608CB" w:rsidRPr="00DD2A86" w:rsidRDefault="006608CB" w:rsidP="006608CB">
            <w:pPr>
              <w:tabs>
                <w:tab w:val="left" w:pos="221"/>
              </w:tabs>
              <w:suppressAutoHyphens w:val="0"/>
              <w:spacing w:line="240" w:lineRule="auto"/>
              <w:ind w:left="221" w:hanging="221"/>
              <w:jc w:val="center"/>
              <w:rPr>
                <w:b/>
                <w:color w:val="000000"/>
                <w:sz w:val="18"/>
                <w:szCs w:val="18"/>
                <w:lang w:val="de-DE" w:eastAsia="ru-RU"/>
              </w:rPr>
            </w:pPr>
            <w:r w:rsidRPr="00DD2A86">
              <w:rPr>
                <w:b/>
                <w:color w:val="000000"/>
                <w:sz w:val="18"/>
                <w:szCs w:val="18"/>
                <w:lang w:val="de-DE" w:eastAsia="ru-RU"/>
              </w:rPr>
              <w:t xml:space="preserve">Gefahr der Klasse 6.2: </w:t>
            </w:r>
            <w:r w:rsidRPr="00DD2A86">
              <w:rPr>
                <w:b/>
                <w:color w:val="000000"/>
                <w:sz w:val="18"/>
                <w:szCs w:val="18"/>
                <w:lang w:val="de-DE" w:eastAsia="de-DE"/>
              </w:rPr>
              <w:t>Ansteckungsgefährliche Stoffe</w:t>
            </w:r>
          </w:p>
        </w:tc>
      </w:tr>
      <w:tr w:rsidR="006608CB" w:rsidRPr="00E139A8" w:rsidTr="00973598">
        <w:trPr>
          <w:cantSplit/>
          <w:trHeight w:val="1648"/>
        </w:trPr>
        <w:tc>
          <w:tcPr>
            <w:tcW w:w="828"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6.2</w:t>
            </w:r>
          </w:p>
        </w:tc>
        <w:tc>
          <w:tcPr>
            <w:tcW w:w="1742"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w:t>
            </w:r>
          </w:p>
        </w:tc>
        <w:tc>
          <w:tcPr>
            <w:tcW w:w="3260"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de-DE"/>
              </w:rPr>
              <w:t>Kreis, der von drei sichelförmigen Zeichen überlagert wird: schwarz</w:t>
            </w:r>
          </w:p>
        </w:tc>
        <w:tc>
          <w:tcPr>
            <w:tcW w:w="1003"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weiß</w:t>
            </w:r>
          </w:p>
        </w:tc>
        <w:tc>
          <w:tcPr>
            <w:tcW w:w="1276"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6</w:t>
            </w:r>
          </w:p>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(schwarz)</w:t>
            </w:r>
          </w:p>
        </w:tc>
        <w:tc>
          <w:tcPr>
            <w:tcW w:w="3261" w:type="dxa"/>
            <w:shd w:val="clear" w:color="auto" w:fill="auto"/>
            <w:vAlign w:val="center"/>
          </w:tcPr>
          <w:p w:rsidR="006608CB" w:rsidRPr="00DD2A86" w:rsidRDefault="006608CB" w:rsidP="006608CB">
            <w:pPr>
              <w:tabs>
                <w:tab w:val="left" w:pos="221"/>
              </w:tabs>
              <w:suppressAutoHyphens w:val="0"/>
              <w:spacing w:line="240" w:lineRule="auto"/>
              <w:jc w:val="center"/>
              <w:rPr>
                <w:rFonts w:eastAsia="SimSun"/>
                <w:noProof/>
                <w:color w:val="000000"/>
                <w:sz w:val="18"/>
                <w:szCs w:val="18"/>
                <w:lang w:val="de-DE" w:eastAsia="de-CH"/>
              </w:rPr>
            </w:pPr>
            <w:r w:rsidRPr="00DD2A86">
              <w:rPr>
                <w:rFonts w:eastAsia="SimSun"/>
                <w:noProof/>
                <w:color w:val="000000"/>
                <w:sz w:val="18"/>
                <w:szCs w:val="18"/>
                <w:lang w:val="fr-FR" w:eastAsia="fr-FR"/>
              </w:rPr>
              <w:drawing>
                <wp:inline distT="0" distB="0" distL="0" distR="0" wp14:anchorId="3BC46377" wp14:editId="7828A4F2">
                  <wp:extent cx="864870" cy="864870"/>
                  <wp:effectExtent l="19050" t="0" r="0" b="0"/>
                  <wp:docPr id="2397" name="Picture 2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
                          <pic:cNvPicPr>
                            <a:picLocks noChangeAspect="1" noChangeArrowheads="1"/>
                          </pic:cNvPicPr>
                        </pic:nvPicPr>
                        <pic:blipFill>
                          <a:blip r:embed="rId86" cstate="print"/>
                          <a:srcRect/>
                          <a:stretch>
                            <a:fillRect/>
                          </a:stretch>
                        </pic:blipFill>
                        <pic:spPr bwMode="auto">
                          <a:xfrm>
                            <a:off x="0" y="0"/>
                            <a:ext cx="864870" cy="864870"/>
                          </a:xfrm>
                          <a:prstGeom prst="rect">
                            <a:avLst/>
                          </a:prstGeom>
                          <a:noFill/>
                          <a:ln w="9525">
                            <a:noFill/>
                            <a:miter lim="800000"/>
                            <a:headEnd/>
                            <a:tailEnd/>
                          </a:ln>
                        </pic:spPr>
                      </pic:pic>
                    </a:graphicData>
                  </a:graphic>
                </wp:inline>
              </w:drawing>
            </w:r>
          </w:p>
        </w:tc>
        <w:tc>
          <w:tcPr>
            <w:tcW w:w="2693" w:type="dxa"/>
            <w:shd w:val="clear" w:color="auto" w:fill="auto"/>
          </w:tcPr>
          <w:p w:rsidR="006608CB" w:rsidRPr="00DD2A86" w:rsidRDefault="006608CB" w:rsidP="006608CB">
            <w:pPr>
              <w:tabs>
                <w:tab w:val="left" w:pos="221"/>
              </w:tabs>
              <w:suppressAutoHyphens w:val="0"/>
              <w:spacing w:line="240" w:lineRule="auto"/>
              <w:rPr>
                <w:color w:val="000000"/>
                <w:sz w:val="18"/>
                <w:szCs w:val="18"/>
                <w:lang w:val="de-DE" w:eastAsia="ru-RU"/>
              </w:rPr>
            </w:pPr>
            <w:r w:rsidRPr="00DD2A86">
              <w:rPr>
                <w:color w:val="000000"/>
                <w:sz w:val="18"/>
                <w:szCs w:val="18"/>
                <w:lang w:val="de-DE" w:eastAsia="de-DE"/>
              </w:rPr>
              <w:t>In der unteren Hälfte des Gefahrzettels darf in Schwarz angegeben sein: „</w:t>
            </w:r>
            <w:r w:rsidRPr="00DD2A86">
              <w:rPr>
                <w:caps/>
                <w:color w:val="000000"/>
                <w:sz w:val="18"/>
                <w:szCs w:val="18"/>
                <w:lang w:val="de-DE" w:eastAsia="de-DE"/>
              </w:rPr>
              <w:t>Ansteckungsgefährliche Stoffe“</w:t>
            </w:r>
            <w:r w:rsidRPr="00DD2A86">
              <w:rPr>
                <w:color w:val="000000"/>
                <w:sz w:val="18"/>
                <w:szCs w:val="18"/>
                <w:lang w:val="de-DE" w:eastAsia="de-DE"/>
              </w:rPr>
              <w:t xml:space="preserve"> und „</w:t>
            </w:r>
            <w:r w:rsidRPr="00DD2A86">
              <w:rPr>
                <w:caps/>
                <w:color w:val="000000"/>
                <w:sz w:val="18"/>
                <w:szCs w:val="18"/>
                <w:lang w:val="de-DE" w:eastAsia="de-DE"/>
              </w:rPr>
              <w:t>Bei Beschädigung oder Freiwerden unverzüglich Gesundheitsbehörden verständigen“</w:t>
            </w:r>
            <w:r w:rsidRPr="00DD2A86">
              <w:rPr>
                <w:color w:val="000000"/>
                <w:sz w:val="18"/>
                <w:szCs w:val="18"/>
                <w:lang w:val="de-DE" w:eastAsia="de-DE"/>
              </w:rPr>
              <w:t>.</w:t>
            </w:r>
          </w:p>
        </w:tc>
      </w:tr>
    </w:tbl>
    <w:p w:rsidR="006608CB" w:rsidRPr="00DD2A86" w:rsidRDefault="006608CB" w:rsidP="006608CB">
      <w:pPr>
        <w:tabs>
          <w:tab w:val="left" w:pos="425"/>
          <w:tab w:val="left" w:pos="851"/>
          <w:tab w:val="left" w:pos="1276"/>
        </w:tabs>
        <w:suppressAutoHyphens w:val="0"/>
        <w:spacing w:line="240" w:lineRule="auto"/>
        <w:jc w:val="both"/>
        <w:rPr>
          <w:rFonts w:ascii="Arial" w:hAnsi="Arial"/>
          <w:color w:val="000000"/>
          <w:sz w:val="22"/>
          <w:lang w:val="de-DE" w:eastAsia="de-DE"/>
        </w:rPr>
      </w:pPr>
      <w:r w:rsidRPr="00DD2A86">
        <w:rPr>
          <w:rFonts w:ascii="Arial" w:hAnsi="Arial"/>
          <w:color w:val="000000"/>
          <w:sz w:val="22"/>
          <w:lang w:val="de-DE" w:eastAsia="de-DE"/>
        </w:rPr>
        <w:br w:type="page"/>
      </w:r>
    </w:p>
    <w:tbl>
      <w:tblPr>
        <w:tblW w:w="14063"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28"/>
        <w:gridCol w:w="1742"/>
        <w:gridCol w:w="3260"/>
        <w:gridCol w:w="1003"/>
        <w:gridCol w:w="1276"/>
        <w:gridCol w:w="3261"/>
        <w:gridCol w:w="2693"/>
      </w:tblGrid>
      <w:tr w:rsidR="006608CB" w:rsidRPr="00DD2A86" w:rsidTr="00973598">
        <w:trPr>
          <w:cantSplit/>
          <w:tblHeader/>
        </w:trPr>
        <w:tc>
          <w:tcPr>
            <w:tcW w:w="828" w:type="dxa"/>
            <w:shd w:val="clear" w:color="auto" w:fill="auto"/>
            <w:vAlign w:val="center"/>
          </w:tcPr>
          <w:p w:rsidR="006608CB" w:rsidRPr="00DD2A86" w:rsidRDefault="006608CB" w:rsidP="006608CB">
            <w:pPr>
              <w:suppressAutoHyphens w:val="0"/>
              <w:spacing w:line="240" w:lineRule="auto"/>
              <w:jc w:val="center"/>
              <w:rPr>
                <w:b/>
                <w:color w:val="000000"/>
                <w:sz w:val="18"/>
                <w:szCs w:val="18"/>
                <w:lang w:val="de-DE" w:eastAsia="ru-RU"/>
              </w:rPr>
            </w:pPr>
            <w:r w:rsidRPr="00DD2A86">
              <w:rPr>
                <w:b/>
                <w:color w:val="000000"/>
                <w:sz w:val="18"/>
                <w:szCs w:val="18"/>
                <w:lang w:val="de-DE" w:eastAsia="ru-RU"/>
              </w:rPr>
              <w:t>Gefahr</w:t>
            </w:r>
            <w:r w:rsidRPr="00DD2A86">
              <w:rPr>
                <w:b/>
                <w:color w:val="000000"/>
                <w:sz w:val="18"/>
                <w:szCs w:val="18"/>
                <w:lang w:val="de-DE" w:eastAsia="ru-RU"/>
              </w:rPr>
              <w:softHyphen/>
              <w:t>zettel</w:t>
            </w:r>
            <w:r w:rsidRPr="00DD2A86">
              <w:rPr>
                <w:b/>
                <w:color w:val="000000"/>
                <w:sz w:val="18"/>
                <w:szCs w:val="18"/>
                <w:lang w:val="de-DE" w:eastAsia="ru-RU"/>
              </w:rPr>
              <w:softHyphen/>
              <w:t>muster Nr.</w:t>
            </w:r>
          </w:p>
        </w:tc>
        <w:tc>
          <w:tcPr>
            <w:tcW w:w="1742" w:type="dxa"/>
            <w:shd w:val="clear" w:color="auto" w:fill="auto"/>
            <w:vAlign w:val="center"/>
          </w:tcPr>
          <w:p w:rsidR="006608CB" w:rsidRPr="00DD2A86" w:rsidRDefault="006608CB" w:rsidP="006608CB">
            <w:pPr>
              <w:suppressAutoHyphens w:val="0"/>
              <w:spacing w:line="240" w:lineRule="auto"/>
              <w:jc w:val="center"/>
              <w:rPr>
                <w:b/>
                <w:color w:val="000000"/>
                <w:sz w:val="18"/>
                <w:szCs w:val="18"/>
                <w:lang w:val="de-DE" w:eastAsia="ru-RU"/>
              </w:rPr>
            </w:pPr>
            <w:r w:rsidRPr="00DD2A86">
              <w:rPr>
                <w:b/>
                <w:color w:val="000000"/>
                <w:sz w:val="18"/>
                <w:szCs w:val="18"/>
                <w:lang w:val="de-DE" w:eastAsia="ru-RU"/>
              </w:rPr>
              <w:t>Unterklasse oder Kategorie</w:t>
            </w:r>
          </w:p>
        </w:tc>
        <w:tc>
          <w:tcPr>
            <w:tcW w:w="3260" w:type="dxa"/>
            <w:shd w:val="clear" w:color="auto" w:fill="auto"/>
            <w:vAlign w:val="center"/>
          </w:tcPr>
          <w:p w:rsidR="006608CB" w:rsidRPr="00DD2A86" w:rsidRDefault="006608CB" w:rsidP="006608CB">
            <w:pPr>
              <w:suppressAutoHyphens w:val="0"/>
              <w:spacing w:line="240" w:lineRule="auto"/>
              <w:jc w:val="center"/>
              <w:rPr>
                <w:b/>
                <w:color w:val="000000"/>
                <w:sz w:val="18"/>
                <w:szCs w:val="18"/>
                <w:lang w:val="de-DE" w:eastAsia="ru-RU"/>
              </w:rPr>
            </w:pPr>
            <w:r w:rsidRPr="00DD2A86">
              <w:rPr>
                <w:b/>
                <w:color w:val="000000"/>
                <w:sz w:val="18"/>
                <w:szCs w:val="18"/>
                <w:lang w:val="de-DE" w:eastAsia="ru-RU"/>
              </w:rPr>
              <w:t>Symbol und Farbe des Symbols</w:t>
            </w:r>
          </w:p>
        </w:tc>
        <w:tc>
          <w:tcPr>
            <w:tcW w:w="1003" w:type="dxa"/>
            <w:shd w:val="clear" w:color="auto" w:fill="auto"/>
            <w:vAlign w:val="center"/>
          </w:tcPr>
          <w:p w:rsidR="006608CB" w:rsidRPr="00DD2A86" w:rsidRDefault="006608CB" w:rsidP="006608CB">
            <w:pPr>
              <w:suppressAutoHyphens w:val="0"/>
              <w:spacing w:line="240" w:lineRule="auto"/>
              <w:jc w:val="center"/>
              <w:rPr>
                <w:b/>
                <w:color w:val="000000"/>
                <w:sz w:val="18"/>
                <w:szCs w:val="18"/>
                <w:lang w:val="de-DE" w:eastAsia="ru-RU"/>
              </w:rPr>
            </w:pPr>
            <w:r w:rsidRPr="00DD2A86">
              <w:rPr>
                <w:b/>
                <w:color w:val="000000"/>
                <w:sz w:val="18"/>
                <w:szCs w:val="18"/>
                <w:lang w:val="de-DE" w:eastAsia="ru-RU"/>
              </w:rPr>
              <w:t>Hinter</w:t>
            </w:r>
            <w:r w:rsidRPr="00DD2A86">
              <w:rPr>
                <w:b/>
                <w:color w:val="000000"/>
                <w:sz w:val="18"/>
                <w:szCs w:val="18"/>
                <w:lang w:val="de-DE" w:eastAsia="ru-RU"/>
              </w:rPr>
              <w:softHyphen/>
              <w:t>grund</w:t>
            </w:r>
          </w:p>
        </w:tc>
        <w:tc>
          <w:tcPr>
            <w:tcW w:w="1276" w:type="dxa"/>
            <w:shd w:val="clear" w:color="auto" w:fill="auto"/>
            <w:vAlign w:val="center"/>
          </w:tcPr>
          <w:p w:rsidR="006608CB" w:rsidRPr="00DD2A86" w:rsidRDefault="006608CB" w:rsidP="006608CB">
            <w:pPr>
              <w:suppressAutoHyphens w:val="0"/>
              <w:spacing w:line="240" w:lineRule="auto"/>
              <w:jc w:val="center"/>
              <w:rPr>
                <w:b/>
                <w:color w:val="000000"/>
                <w:sz w:val="18"/>
                <w:szCs w:val="18"/>
                <w:lang w:val="de-DE" w:eastAsia="ru-RU"/>
              </w:rPr>
            </w:pPr>
            <w:r w:rsidRPr="00DD2A86">
              <w:rPr>
                <w:b/>
                <w:color w:val="000000"/>
                <w:sz w:val="18"/>
                <w:szCs w:val="18"/>
                <w:lang w:val="de-DE" w:eastAsia="ru-RU"/>
              </w:rPr>
              <w:t>Ziffer in der unteren Ecke (und Farbe der Ziffer)</w:t>
            </w:r>
          </w:p>
        </w:tc>
        <w:tc>
          <w:tcPr>
            <w:tcW w:w="3261" w:type="dxa"/>
            <w:shd w:val="clear" w:color="auto" w:fill="auto"/>
            <w:vAlign w:val="center"/>
          </w:tcPr>
          <w:p w:rsidR="006608CB" w:rsidRPr="00DD2A86" w:rsidRDefault="006608CB" w:rsidP="006608CB">
            <w:pPr>
              <w:suppressAutoHyphens w:val="0"/>
              <w:spacing w:line="240" w:lineRule="auto"/>
              <w:jc w:val="center"/>
              <w:rPr>
                <w:b/>
                <w:color w:val="000000"/>
                <w:sz w:val="18"/>
                <w:szCs w:val="18"/>
                <w:lang w:val="de-DE" w:eastAsia="ru-RU"/>
              </w:rPr>
            </w:pPr>
            <w:r w:rsidRPr="00DD2A86">
              <w:rPr>
                <w:b/>
                <w:color w:val="000000"/>
                <w:sz w:val="18"/>
                <w:szCs w:val="18"/>
                <w:lang w:val="de-DE" w:eastAsia="ru-RU"/>
              </w:rPr>
              <w:t>Gefahrzettelmuster</w:t>
            </w:r>
          </w:p>
        </w:tc>
        <w:tc>
          <w:tcPr>
            <w:tcW w:w="2693" w:type="dxa"/>
            <w:shd w:val="clear" w:color="auto" w:fill="auto"/>
            <w:vAlign w:val="center"/>
          </w:tcPr>
          <w:p w:rsidR="006608CB" w:rsidRPr="00DD2A86" w:rsidRDefault="006608CB" w:rsidP="006608CB">
            <w:pPr>
              <w:suppressAutoHyphens w:val="0"/>
              <w:spacing w:line="240" w:lineRule="auto"/>
              <w:jc w:val="center"/>
              <w:rPr>
                <w:b/>
                <w:color w:val="000000"/>
                <w:sz w:val="18"/>
                <w:szCs w:val="18"/>
                <w:lang w:val="de-DE" w:eastAsia="ru-RU"/>
              </w:rPr>
            </w:pPr>
            <w:r w:rsidRPr="00DD2A86">
              <w:rPr>
                <w:b/>
                <w:color w:val="000000"/>
                <w:sz w:val="18"/>
                <w:szCs w:val="18"/>
                <w:lang w:val="de-DE" w:eastAsia="ru-RU"/>
              </w:rPr>
              <w:t>Bemerkung</w:t>
            </w:r>
          </w:p>
        </w:tc>
      </w:tr>
      <w:tr w:rsidR="006608CB" w:rsidRPr="00E139A8" w:rsidTr="00973598">
        <w:trPr>
          <w:cantSplit/>
          <w:trHeight w:val="431"/>
        </w:trPr>
        <w:tc>
          <w:tcPr>
            <w:tcW w:w="14063" w:type="dxa"/>
            <w:gridSpan w:val="7"/>
            <w:shd w:val="clear" w:color="auto" w:fill="auto"/>
            <w:vAlign w:val="center"/>
          </w:tcPr>
          <w:p w:rsidR="006608CB" w:rsidRPr="00DD2A86" w:rsidRDefault="006608CB" w:rsidP="006608CB">
            <w:pPr>
              <w:tabs>
                <w:tab w:val="left" w:pos="221"/>
              </w:tabs>
              <w:suppressAutoHyphens w:val="0"/>
              <w:spacing w:line="240" w:lineRule="auto"/>
              <w:ind w:left="221" w:hanging="221"/>
              <w:jc w:val="center"/>
              <w:rPr>
                <w:b/>
                <w:color w:val="000000"/>
                <w:sz w:val="18"/>
                <w:szCs w:val="18"/>
                <w:lang w:val="de-DE" w:eastAsia="ru-RU"/>
              </w:rPr>
            </w:pPr>
            <w:r w:rsidRPr="00DD2A86">
              <w:rPr>
                <w:b/>
                <w:color w:val="000000"/>
                <w:sz w:val="18"/>
                <w:szCs w:val="18"/>
                <w:lang w:val="de-DE" w:eastAsia="ru-RU"/>
              </w:rPr>
              <w:t>Gefahr der Klasse 7: Radioaktive Stoffe</w:t>
            </w:r>
          </w:p>
        </w:tc>
      </w:tr>
      <w:tr w:rsidR="006608CB" w:rsidRPr="00E139A8" w:rsidTr="00973598">
        <w:trPr>
          <w:cantSplit/>
          <w:trHeight w:val="1648"/>
        </w:trPr>
        <w:tc>
          <w:tcPr>
            <w:tcW w:w="828" w:type="dxa"/>
            <w:shd w:val="clear" w:color="auto" w:fill="auto"/>
          </w:tcPr>
          <w:p w:rsidR="006608CB" w:rsidRPr="00DD2A86" w:rsidRDefault="006608CB" w:rsidP="006608CB">
            <w:pPr>
              <w:keepNext/>
              <w:keepLines/>
              <w:suppressAutoHyphens w:val="0"/>
              <w:spacing w:line="240" w:lineRule="auto"/>
              <w:jc w:val="center"/>
              <w:rPr>
                <w:color w:val="000000"/>
                <w:sz w:val="18"/>
                <w:szCs w:val="18"/>
                <w:lang w:val="de-DE" w:eastAsia="ru-RU"/>
              </w:rPr>
            </w:pPr>
            <w:r w:rsidRPr="00DD2A86">
              <w:rPr>
                <w:color w:val="000000"/>
                <w:sz w:val="18"/>
                <w:szCs w:val="18"/>
                <w:lang w:val="de-DE" w:eastAsia="ru-RU"/>
              </w:rPr>
              <w:t>7A</w:t>
            </w:r>
          </w:p>
        </w:tc>
        <w:tc>
          <w:tcPr>
            <w:tcW w:w="1742" w:type="dxa"/>
            <w:shd w:val="clear" w:color="auto" w:fill="auto"/>
          </w:tcPr>
          <w:p w:rsidR="006608CB" w:rsidRPr="00DD2A86" w:rsidRDefault="006608CB" w:rsidP="006608CB">
            <w:pPr>
              <w:keepNext/>
              <w:keepLines/>
              <w:suppressAutoHyphens w:val="0"/>
              <w:spacing w:line="240" w:lineRule="auto"/>
              <w:jc w:val="center"/>
              <w:rPr>
                <w:color w:val="000000"/>
                <w:sz w:val="18"/>
                <w:szCs w:val="18"/>
                <w:lang w:val="de-DE" w:eastAsia="ru-RU"/>
              </w:rPr>
            </w:pPr>
            <w:r w:rsidRPr="00DD2A86">
              <w:rPr>
                <w:color w:val="000000"/>
                <w:sz w:val="18"/>
                <w:szCs w:val="18"/>
                <w:lang w:val="de-DE" w:eastAsia="ru-RU"/>
              </w:rPr>
              <w:t>Kategorie I – WEISS</w:t>
            </w:r>
          </w:p>
        </w:tc>
        <w:tc>
          <w:tcPr>
            <w:tcW w:w="3260" w:type="dxa"/>
            <w:shd w:val="clear" w:color="auto" w:fill="auto"/>
          </w:tcPr>
          <w:p w:rsidR="006608CB" w:rsidRPr="00DD2A86" w:rsidRDefault="006608CB" w:rsidP="006608CB">
            <w:pPr>
              <w:keepNext/>
              <w:keepLines/>
              <w:suppressAutoHyphens w:val="0"/>
              <w:spacing w:line="240" w:lineRule="auto"/>
              <w:jc w:val="center"/>
              <w:rPr>
                <w:color w:val="000000"/>
                <w:sz w:val="18"/>
                <w:szCs w:val="18"/>
                <w:lang w:val="de-DE" w:eastAsia="ru-RU"/>
              </w:rPr>
            </w:pPr>
            <w:r w:rsidRPr="00DD2A86">
              <w:rPr>
                <w:color w:val="000000"/>
                <w:sz w:val="18"/>
                <w:szCs w:val="18"/>
                <w:lang w:val="de-DE" w:eastAsia="de-DE"/>
              </w:rPr>
              <w:t>Strahlensymbol</w:t>
            </w:r>
            <w:r w:rsidRPr="00DD2A86">
              <w:rPr>
                <w:color w:val="000000"/>
                <w:sz w:val="18"/>
                <w:szCs w:val="18"/>
                <w:lang w:val="de-DE" w:eastAsia="ru-RU"/>
              </w:rPr>
              <w:t>: schwarz</w:t>
            </w:r>
          </w:p>
        </w:tc>
        <w:tc>
          <w:tcPr>
            <w:tcW w:w="1003" w:type="dxa"/>
            <w:shd w:val="clear" w:color="auto" w:fill="auto"/>
          </w:tcPr>
          <w:p w:rsidR="006608CB" w:rsidRPr="00DD2A86" w:rsidRDefault="006608CB" w:rsidP="006608CB">
            <w:pPr>
              <w:keepNext/>
              <w:keepLines/>
              <w:tabs>
                <w:tab w:val="left" w:pos="1418"/>
                <w:tab w:val="left" w:pos="1496"/>
              </w:tabs>
              <w:suppressAutoHyphens w:val="0"/>
              <w:spacing w:line="240" w:lineRule="auto"/>
              <w:jc w:val="center"/>
              <w:rPr>
                <w:color w:val="000000"/>
                <w:sz w:val="18"/>
                <w:szCs w:val="18"/>
                <w:lang w:val="de-DE" w:eastAsia="ru-RU"/>
              </w:rPr>
            </w:pPr>
            <w:r w:rsidRPr="00DD2A86">
              <w:rPr>
                <w:color w:val="000000"/>
                <w:sz w:val="18"/>
                <w:szCs w:val="18"/>
                <w:lang w:val="de-DE" w:eastAsia="ru-RU"/>
              </w:rPr>
              <w:t>weiß</w:t>
            </w:r>
          </w:p>
        </w:tc>
        <w:tc>
          <w:tcPr>
            <w:tcW w:w="1276" w:type="dxa"/>
            <w:shd w:val="clear" w:color="auto" w:fill="auto"/>
          </w:tcPr>
          <w:p w:rsidR="006608CB" w:rsidRPr="00DD2A86" w:rsidRDefault="006608CB" w:rsidP="006608CB">
            <w:pPr>
              <w:keepNext/>
              <w:keepLines/>
              <w:tabs>
                <w:tab w:val="left" w:pos="1418"/>
                <w:tab w:val="left" w:pos="1496"/>
              </w:tabs>
              <w:suppressAutoHyphens w:val="0"/>
              <w:spacing w:line="240" w:lineRule="auto"/>
              <w:jc w:val="center"/>
              <w:rPr>
                <w:color w:val="000000"/>
                <w:sz w:val="18"/>
                <w:szCs w:val="18"/>
                <w:lang w:val="de-DE" w:eastAsia="ru-RU"/>
              </w:rPr>
            </w:pPr>
            <w:r w:rsidRPr="00DD2A86">
              <w:rPr>
                <w:color w:val="000000"/>
                <w:sz w:val="18"/>
                <w:szCs w:val="18"/>
                <w:lang w:val="de-DE" w:eastAsia="ru-RU"/>
              </w:rPr>
              <w:t>7</w:t>
            </w:r>
          </w:p>
          <w:p w:rsidR="006608CB" w:rsidRPr="00DD2A86" w:rsidRDefault="006608CB" w:rsidP="006608CB">
            <w:pPr>
              <w:keepNext/>
              <w:keepLines/>
              <w:tabs>
                <w:tab w:val="left" w:pos="1418"/>
                <w:tab w:val="left" w:pos="1496"/>
              </w:tabs>
              <w:suppressAutoHyphens w:val="0"/>
              <w:spacing w:line="240" w:lineRule="auto"/>
              <w:jc w:val="center"/>
              <w:rPr>
                <w:color w:val="000000"/>
                <w:sz w:val="18"/>
                <w:szCs w:val="18"/>
                <w:lang w:val="de-DE" w:eastAsia="ru-RU"/>
              </w:rPr>
            </w:pPr>
            <w:r w:rsidRPr="00DD2A86">
              <w:rPr>
                <w:color w:val="000000"/>
                <w:sz w:val="18"/>
                <w:szCs w:val="18"/>
                <w:lang w:val="de-DE" w:eastAsia="ru-RU"/>
              </w:rPr>
              <w:t>(schwarz)</w:t>
            </w:r>
          </w:p>
        </w:tc>
        <w:tc>
          <w:tcPr>
            <w:tcW w:w="3261" w:type="dxa"/>
            <w:shd w:val="clear" w:color="auto" w:fill="auto"/>
            <w:vAlign w:val="center"/>
          </w:tcPr>
          <w:p w:rsidR="006608CB" w:rsidRPr="00DD2A86" w:rsidRDefault="006608CB" w:rsidP="006608CB">
            <w:pPr>
              <w:keepNext/>
              <w:keepLines/>
              <w:tabs>
                <w:tab w:val="left" w:pos="1418"/>
                <w:tab w:val="left" w:pos="1496"/>
              </w:tabs>
              <w:suppressAutoHyphens w:val="0"/>
              <w:spacing w:line="240" w:lineRule="auto"/>
              <w:jc w:val="center"/>
              <w:rPr>
                <w:color w:val="000000"/>
                <w:sz w:val="18"/>
                <w:szCs w:val="18"/>
                <w:lang w:val="de-DE" w:eastAsia="ru-RU"/>
              </w:rPr>
            </w:pPr>
            <w:r w:rsidRPr="00DD2A86">
              <w:rPr>
                <w:rFonts w:eastAsia="SimSun"/>
                <w:noProof/>
                <w:color w:val="000000"/>
                <w:sz w:val="18"/>
                <w:szCs w:val="18"/>
                <w:lang w:val="fr-FR" w:eastAsia="fr-FR"/>
              </w:rPr>
              <w:drawing>
                <wp:inline distT="0" distB="0" distL="0" distR="0" wp14:anchorId="4A4CBF9D" wp14:editId="7D5FD2DB">
                  <wp:extent cx="892175" cy="892175"/>
                  <wp:effectExtent l="19050" t="0" r="3175" b="0"/>
                  <wp:docPr id="2398" name="Picture 24" descr="radioactiv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adioactive1"/>
                          <pic:cNvPicPr>
                            <a:picLocks noChangeAspect="1" noChangeArrowheads="1"/>
                          </pic:cNvPicPr>
                        </pic:nvPicPr>
                        <pic:blipFill>
                          <a:blip r:embed="rId87" cstate="print"/>
                          <a:srcRect/>
                          <a:stretch>
                            <a:fillRect/>
                          </a:stretch>
                        </pic:blipFill>
                        <pic:spPr bwMode="auto">
                          <a:xfrm>
                            <a:off x="0" y="0"/>
                            <a:ext cx="892175" cy="892175"/>
                          </a:xfrm>
                          <a:prstGeom prst="rect">
                            <a:avLst/>
                          </a:prstGeom>
                          <a:noFill/>
                          <a:ln w="9525">
                            <a:noFill/>
                            <a:miter lim="800000"/>
                            <a:headEnd/>
                            <a:tailEnd/>
                          </a:ln>
                        </pic:spPr>
                      </pic:pic>
                    </a:graphicData>
                  </a:graphic>
                </wp:inline>
              </w:drawing>
            </w:r>
          </w:p>
        </w:tc>
        <w:tc>
          <w:tcPr>
            <w:tcW w:w="2693" w:type="dxa"/>
            <w:shd w:val="clear" w:color="auto" w:fill="auto"/>
          </w:tcPr>
          <w:p w:rsidR="006608CB" w:rsidRPr="00DD2A86" w:rsidRDefault="006608CB" w:rsidP="006608CB">
            <w:pPr>
              <w:keepNext/>
              <w:keepLines/>
              <w:suppressAutoHyphens w:val="0"/>
              <w:spacing w:line="240" w:lineRule="auto"/>
              <w:rPr>
                <w:color w:val="000000"/>
                <w:sz w:val="18"/>
                <w:szCs w:val="18"/>
                <w:lang w:val="de-DE" w:eastAsia="ru-RU"/>
              </w:rPr>
            </w:pPr>
            <w:r w:rsidRPr="00DD2A86">
              <w:rPr>
                <w:color w:val="000000"/>
                <w:sz w:val="18"/>
                <w:szCs w:val="18"/>
                <w:lang w:val="de-DE" w:eastAsia="ru-RU"/>
              </w:rPr>
              <w:t>(vorgeschriebener) Text, schwarz, in der unteren Hälfte des Gefahrzettels:</w:t>
            </w:r>
          </w:p>
          <w:p w:rsidR="006608CB" w:rsidRPr="00DD2A86" w:rsidRDefault="006608CB" w:rsidP="006608CB">
            <w:pPr>
              <w:keepNext/>
              <w:keepLines/>
              <w:suppressAutoHyphens w:val="0"/>
              <w:spacing w:line="240" w:lineRule="auto"/>
              <w:rPr>
                <w:color w:val="000000"/>
                <w:sz w:val="18"/>
                <w:szCs w:val="18"/>
                <w:lang w:val="de-DE" w:eastAsia="ru-RU"/>
              </w:rPr>
            </w:pPr>
            <w:r w:rsidRPr="00DD2A86">
              <w:rPr>
                <w:color w:val="000000"/>
                <w:sz w:val="18"/>
                <w:szCs w:val="18"/>
                <w:lang w:val="de-DE" w:eastAsia="ru-RU"/>
              </w:rPr>
              <w:t>„RADIOACTIVE“</w:t>
            </w:r>
          </w:p>
          <w:p w:rsidR="006608CB" w:rsidRPr="00DD2A86" w:rsidRDefault="006608CB" w:rsidP="006608CB">
            <w:pPr>
              <w:keepNext/>
              <w:keepLines/>
              <w:suppressAutoHyphens w:val="0"/>
              <w:spacing w:line="240" w:lineRule="auto"/>
              <w:rPr>
                <w:color w:val="000000"/>
                <w:sz w:val="18"/>
                <w:szCs w:val="18"/>
                <w:lang w:val="de-DE" w:eastAsia="ru-RU"/>
              </w:rPr>
            </w:pPr>
            <w:r w:rsidRPr="00DD2A86">
              <w:rPr>
                <w:color w:val="000000"/>
                <w:sz w:val="18"/>
                <w:szCs w:val="18"/>
                <w:lang w:val="de-DE" w:eastAsia="ru-RU"/>
              </w:rPr>
              <w:t>„CONTENTS ...“</w:t>
            </w:r>
          </w:p>
          <w:p w:rsidR="006608CB" w:rsidRPr="00DD2A86" w:rsidRDefault="006608CB" w:rsidP="006608CB">
            <w:pPr>
              <w:keepNext/>
              <w:keepLines/>
              <w:suppressAutoHyphens w:val="0"/>
              <w:spacing w:line="240" w:lineRule="auto"/>
              <w:rPr>
                <w:color w:val="000000"/>
                <w:sz w:val="18"/>
                <w:szCs w:val="18"/>
                <w:lang w:val="de-DE" w:eastAsia="ru-RU"/>
              </w:rPr>
            </w:pPr>
            <w:r w:rsidRPr="00DD2A86">
              <w:rPr>
                <w:color w:val="000000"/>
                <w:sz w:val="18"/>
                <w:szCs w:val="18"/>
                <w:lang w:val="de-DE" w:eastAsia="ru-RU"/>
              </w:rPr>
              <w:t>„</w:t>
            </w:r>
            <w:r w:rsidRPr="00DD2A86">
              <w:rPr>
                <w:caps/>
                <w:color w:val="000000"/>
                <w:sz w:val="18"/>
                <w:szCs w:val="18"/>
                <w:lang w:val="de-DE" w:eastAsia="ru-RU"/>
              </w:rPr>
              <w:t>ActivitY</w:t>
            </w:r>
            <w:r w:rsidRPr="00DD2A86">
              <w:rPr>
                <w:color w:val="000000"/>
                <w:sz w:val="18"/>
                <w:szCs w:val="18"/>
                <w:lang w:val="de-DE" w:eastAsia="ru-RU"/>
              </w:rPr>
              <w:t xml:space="preserve"> ...“;</w:t>
            </w:r>
          </w:p>
          <w:p w:rsidR="006608CB" w:rsidRPr="00DD2A86" w:rsidRDefault="006608CB" w:rsidP="006608CB">
            <w:pPr>
              <w:keepNext/>
              <w:keepLines/>
              <w:suppressAutoHyphens w:val="0"/>
              <w:spacing w:line="240" w:lineRule="auto"/>
              <w:rPr>
                <w:color w:val="000000"/>
                <w:sz w:val="18"/>
                <w:szCs w:val="18"/>
                <w:lang w:val="de-DE" w:eastAsia="ru-RU"/>
              </w:rPr>
            </w:pPr>
            <w:r w:rsidRPr="00DD2A86">
              <w:rPr>
                <w:color w:val="000000"/>
                <w:sz w:val="18"/>
                <w:szCs w:val="18"/>
                <w:lang w:val="de-DE" w:eastAsia="ru-RU"/>
              </w:rPr>
              <w:t>dem Ausdruck „</w:t>
            </w:r>
            <w:r w:rsidRPr="00DD2A86">
              <w:rPr>
                <w:caps/>
                <w:color w:val="000000"/>
                <w:sz w:val="18"/>
                <w:szCs w:val="18"/>
                <w:lang w:val="de-DE" w:eastAsia="ru-RU"/>
              </w:rPr>
              <w:t>RadioaCtivE“</w:t>
            </w:r>
            <w:r w:rsidRPr="00DD2A86">
              <w:rPr>
                <w:color w:val="000000"/>
                <w:sz w:val="18"/>
                <w:szCs w:val="18"/>
                <w:lang w:val="de-DE" w:eastAsia="ru-RU"/>
              </w:rPr>
              <w:t xml:space="preserve"> folgt ein senkrechter roter Streifen</w:t>
            </w:r>
          </w:p>
        </w:tc>
      </w:tr>
      <w:tr w:rsidR="006608CB" w:rsidRPr="00E139A8" w:rsidTr="00973598">
        <w:trPr>
          <w:cantSplit/>
          <w:trHeight w:val="1648"/>
        </w:trPr>
        <w:tc>
          <w:tcPr>
            <w:tcW w:w="828"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7B</w:t>
            </w:r>
          </w:p>
        </w:tc>
        <w:tc>
          <w:tcPr>
            <w:tcW w:w="1742"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Kategorie II – GELB</w:t>
            </w:r>
          </w:p>
          <w:p w:rsidR="006608CB" w:rsidRPr="00DD2A86" w:rsidRDefault="006608CB" w:rsidP="006608CB">
            <w:pPr>
              <w:suppressAutoHyphens w:val="0"/>
              <w:spacing w:line="240" w:lineRule="auto"/>
              <w:jc w:val="both"/>
              <w:rPr>
                <w:color w:val="000000"/>
                <w:sz w:val="18"/>
                <w:szCs w:val="18"/>
                <w:lang w:val="de-DE" w:eastAsia="ru-RU"/>
              </w:rPr>
            </w:pPr>
          </w:p>
        </w:tc>
        <w:tc>
          <w:tcPr>
            <w:tcW w:w="3260"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de-DE"/>
              </w:rPr>
              <w:t>Strahlensymbol</w:t>
            </w:r>
            <w:r w:rsidRPr="00DD2A86">
              <w:rPr>
                <w:color w:val="000000"/>
                <w:sz w:val="18"/>
                <w:szCs w:val="18"/>
                <w:lang w:val="de-DE" w:eastAsia="ru-RU"/>
              </w:rPr>
              <w:t>: schwarz</w:t>
            </w:r>
          </w:p>
        </w:tc>
        <w:tc>
          <w:tcPr>
            <w:tcW w:w="1003" w:type="dxa"/>
            <w:shd w:val="clear" w:color="auto" w:fill="auto"/>
          </w:tcPr>
          <w:p w:rsidR="006608CB" w:rsidRPr="00DD2A86" w:rsidRDefault="006608CB" w:rsidP="006608CB">
            <w:pPr>
              <w:tabs>
                <w:tab w:val="left" w:pos="1418"/>
                <w:tab w:val="left" w:pos="1496"/>
              </w:tabs>
              <w:suppressAutoHyphens w:val="0"/>
              <w:spacing w:line="240" w:lineRule="auto"/>
              <w:jc w:val="center"/>
              <w:rPr>
                <w:color w:val="000000"/>
                <w:sz w:val="18"/>
                <w:szCs w:val="18"/>
                <w:lang w:val="de-DE" w:eastAsia="ru-RU"/>
              </w:rPr>
            </w:pPr>
            <w:r w:rsidRPr="00DD2A86">
              <w:rPr>
                <w:color w:val="000000"/>
                <w:sz w:val="18"/>
                <w:szCs w:val="18"/>
                <w:lang w:val="de-DE" w:eastAsia="de-DE"/>
              </w:rPr>
              <w:t>obere Hälfte gelb mit weißem Rand, untere Hälfte weiß</w:t>
            </w:r>
          </w:p>
        </w:tc>
        <w:tc>
          <w:tcPr>
            <w:tcW w:w="1276" w:type="dxa"/>
            <w:shd w:val="clear" w:color="auto" w:fill="auto"/>
          </w:tcPr>
          <w:p w:rsidR="006608CB" w:rsidRPr="00DD2A86" w:rsidRDefault="006608CB" w:rsidP="006608CB">
            <w:pPr>
              <w:tabs>
                <w:tab w:val="left" w:pos="1418"/>
                <w:tab w:val="left" w:pos="1496"/>
              </w:tabs>
              <w:suppressAutoHyphens w:val="0"/>
              <w:spacing w:line="240" w:lineRule="auto"/>
              <w:jc w:val="center"/>
              <w:rPr>
                <w:color w:val="000000"/>
                <w:sz w:val="18"/>
                <w:szCs w:val="18"/>
                <w:lang w:val="de-DE" w:eastAsia="ru-RU"/>
              </w:rPr>
            </w:pPr>
            <w:r w:rsidRPr="00DD2A86">
              <w:rPr>
                <w:color w:val="000000"/>
                <w:sz w:val="18"/>
                <w:szCs w:val="18"/>
                <w:lang w:val="de-DE" w:eastAsia="ru-RU"/>
              </w:rPr>
              <w:t>7</w:t>
            </w:r>
          </w:p>
          <w:p w:rsidR="006608CB" w:rsidRPr="00DD2A86" w:rsidRDefault="006608CB" w:rsidP="006608CB">
            <w:pPr>
              <w:tabs>
                <w:tab w:val="left" w:pos="1418"/>
                <w:tab w:val="left" w:pos="1496"/>
              </w:tabs>
              <w:suppressAutoHyphens w:val="0"/>
              <w:spacing w:line="240" w:lineRule="auto"/>
              <w:jc w:val="center"/>
              <w:rPr>
                <w:color w:val="000000"/>
                <w:sz w:val="18"/>
                <w:szCs w:val="18"/>
                <w:lang w:val="de-DE" w:eastAsia="ru-RU"/>
              </w:rPr>
            </w:pPr>
            <w:r w:rsidRPr="00DD2A86">
              <w:rPr>
                <w:color w:val="000000"/>
                <w:sz w:val="18"/>
                <w:szCs w:val="18"/>
                <w:lang w:val="de-DE" w:eastAsia="ru-RU"/>
              </w:rPr>
              <w:t>(schwarz)</w:t>
            </w:r>
          </w:p>
        </w:tc>
        <w:tc>
          <w:tcPr>
            <w:tcW w:w="3261" w:type="dxa"/>
            <w:shd w:val="clear" w:color="auto" w:fill="auto"/>
            <w:vAlign w:val="center"/>
          </w:tcPr>
          <w:p w:rsidR="006608CB" w:rsidRPr="00DD2A86" w:rsidRDefault="006608CB" w:rsidP="006608CB">
            <w:pPr>
              <w:tabs>
                <w:tab w:val="left" w:pos="1418"/>
                <w:tab w:val="left" w:pos="1496"/>
              </w:tabs>
              <w:suppressAutoHyphens w:val="0"/>
              <w:spacing w:line="240" w:lineRule="auto"/>
              <w:jc w:val="center"/>
              <w:rPr>
                <w:color w:val="000000"/>
                <w:sz w:val="18"/>
                <w:szCs w:val="18"/>
                <w:lang w:val="de-DE" w:eastAsia="ru-RU"/>
              </w:rPr>
            </w:pPr>
            <w:r w:rsidRPr="00DD2A86">
              <w:rPr>
                <w:rFonts w:eastAsia="SimSun"/>
                <w:noProof/>
                <w:color w:val="000000"/>
                <w:sz w:val="18"/>
                <w:szCs w:val="18"/>
                <w:lang w:val="fr-FR" w:eastAsia="fr-FR"/>
              </w:rPr>
              <w:drawing>
                <wp:inline distT="0" distB="0" distL="0" distR="0" wp14:anchorId="6029202E" wp14:editId="24C471E2">
                  <wp:extent cx="864870" cy="864870"/>
                  <wp:effectExtent l="19050" t="0" r="0" b="0"/>
                  <wp:docPr id="2399" name="Picture 25" descr="radioactiv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adioactive2"/>
                          <pic:cNvPicPr>
                            <a:picLocks noChangeAspect="1" noChangeArrowheads="1"/>
                          </pic:cNvPicPr>
                        </pic:nvPicPr>
                        <pic:blipFill>
                          <a:blip r:embed="rId88" cstate="print"/>
                          <a:srcRect/>
                          <a:stretch>
                            <a:fillRect/>
                          </a:stretch>
                        </pic:blipFill>
                        <pic:spPr bwMode="auto">
                          <a:xfrm>
                            <a:off x="0" y="0"/>
                            <a:ext cx="864870" cy="864870"/>
                          </a:xfrm>
                          <a:prstGeom prst="rect">
                            <a:avLst/>
                          </a:prstGeom>
                          <a:noFill/>
                          <a:ln w="9525">
                            <a:noFill/>
                            <a:miter lim="800000"/>
                            <a:headEnd/>
                            <a:tailEnd/>
                          </a:ln>
                        </pic:spPr>
                      </pic:pic>
                    </a:graphicData>
                  </a:graphic>
                </wp:inline>
              </w:drawing>
            </w:r>
          </w:p>
        </w:tc>
        <w:tc>
          <w:tcPr>
            <w:tcW w:w="2693" w:type="dxa"/>
            <w:shd w:val="clear" w:color="auto" w:fill="auto"/>
          </w:tcPr>
          <w:p w:rsidR="006608CB" w:rsidRPr="00DD2A86" w:rsidRDefault="006608CB" w:rsidP="006608CB">
            <w:pPr>
              <w:suppressAutoHyphens w:val="0"/>
              <w:spacing w:line="240" w:lineRule="auto"/>
              <w:rPr>
                <w:color w:val="000000"/>
                <w:sz w:val="18"/>
                <w:szCs w:val="18"/>
                <w:lang w:val="de-DE" w:eastAsia="ru-RU"/>
              </w:rPr>
            </w:pPr>
            <w:r w:rsidRPr="00DD2A86">
              <w:rPr>
                <w:color w:val="000000"/>
                <w:sz w:val="18"/>
                <w:szCs w:val="18"/>
                <w:lang w:val="de-DE" w:eastAsia="ru-RU"/>
              </w:rPr>
              <w:t>(vorgeschriebener) Text, schwarz, in der unteren Hälfte des Gefahrzettels:</w:t>
            </w:r>
          </w:p>
          <w:p w:rsidR="006608CB" w:rsidRPr="00DD2A86" w:rsidRDefault="006608CB" w:rsidP="006608CB">
            <w:pPr>
              <w:suppressAutoHyphens w:val="0"/>
              <w:spacing w:line="240" w:lineRule="auto"/>
              <w:rPr>
                <w:color w:val="000000"/>
                <w:sz w:val="18"/>
                <w:szCs w:val="18"/>
                <w:lang w:val="de-DE" w:eastAsia="ru-RU"/>
              </w:rPr>
            </w:pPr>
            <w:r w:rsidRPr="00DD2A86">
              <w:rPr>
                <w:color w:val="000000"/>
                <w:sz w:val="18"/>
                <w:szCs w:val="18"/>
                <w:lang w:val="de-DE" w:eastAsia="ru-RU"/>
              </w:rPr>
              <w:t>„</w:t>
            </w:r>
            <w:r w:rsidRPr="00DD2A86">
              <w:rPr>
                <w:caps/>
                <w:color w:val="000000"/>
                <w:sz w:val="18"/>
                <w:szCs w:val="18"/>
                <w:lang w:val="de-DE" w:eastAsia="ru-RU"/>
              </w:rPr>
              <w:t>RadioaCtivE“</w:t>
            </w:r>
          </w:p>
          <w:p w:rsidR="006608CB" w:rsidRPr="00DD2A86" w:rsidRDefault="006608CB" w:rsidP="006608CB">
            <w:pPr>
              <w:suppressAutoHyphens w:val="0"/>
              <w:spacing w:line="240" w:lineRule="auto"/>
              <w:rPr>
                <w:color w:val="000000"/>
                <w:sz w:val="18"/>
                <w:szCs w:val="18"/>
                <w:lang w:val="de-DE" w:eastAsia="ru-RU"/>
              </w:rPr>
            </w:pPr>
            <w:r w:rsidRPr="00DD2A86">
              <w:rPr>
                <w:color w:val="000000"/>
                <w:sz w:val="18"/>
                <w:szCs w:val="18"/>
                <w:lang w:val="de-DE" w:eastAsia="ru-RU"/>
              </w:rPr>
              <w:t>„CONTENTS ...“</w:t>
            </w:r>
          </w:p>
          <w:p w:rsidR="006608CB" w:rsidRPr="00DD2A86" w:rsidRDefault="006608CB" w:rsidP="006608CB">
            <w:pPr>
              <w:suppressAutoHyphens w:val="0"/>
              <w:spacing w:line="240" w:lineRule="auto"/>
              <w:rPr>
                <w:color w:val="000000"/>
                <w:sz w:val="18"/>
                <w:szCs w:val="18"/>
                <w:lang w:val="de-DE" w:eastAsia="ru-RU"/>
              </w:rPr>
            </w:pPr>
            <w:r w:rsidRPr="00DD2A86">
              <w:rPr>
                <w:color w:val="000000"/>
                <w:sz w:val="18"/>
                <w:szCs w:val="18"/>
                <w:lang w:val="de-DE" w:eastAsia="ru-RU"/>
              </w:rPr>
              <w:t>„</w:t>
            </w:r>
            <w:r w:rsidRPr="00DD2A86">
              <w:rPr>
                <w:caps/>
                <w:color w:val="000000"/>
                <w:sz w:val="18"/>
                <w:szCs w:val="18"/>
                <w:lang w:val="de-DE" w:eastAsia="ru-RU"/>
              </w:rPr>
              <w:t>ActivitY</w:t>
            </w:r>
            <w:r w:rsidRPr="00DD2A86">
              <w:rPr>
                <w:color w:val="000000"/>
                <w:sz w:val="18"/>
                <w:szCs w:val="18"/>
                <w:lang w:val="de-DE" w:eastAsia="ru-RU"/>
              </w:rPr>
              <w:t xml:space="preserve"> ...“;</w:t>
            </w:r>
          </w:p>
          <w:p w:rsidR="006608CB" w:rsidRPr="00DD2A86" w:rsidRDefault="006608CB" w:rsidP="006608CB">
            <w:pPr>
              <w:suppressAutoHyphens w:val="0"/>
              <w:spacing w:line="240" w:lineRule="auto"/>
              <w:rPr>
                <w:color w:val="000000"/>
                <w:sz w:val="18"/>
                <w:szCs w:val="18"/>
                <w:lang w:val="de-DE" w:eastAsia="ru-RU"/>
              </w:rPr>
            </w:pPr>
            <w:r w:rsidRPr="00DD2A86">
              <w:rPr>
                <w:color w:val="000000"/>
                <w:sz w:val="18"/>
                <w:szCs w:val="18"/>
                <w:lang w:val="de-DE" w:eastAsia="ru-RU"/>
              </w:rPr>
              <w:t>in einem schwarz eingerahmten Feld:</w:t>
            </w:r>
          </w:p>
          <w:p w:rsidR="006608CB" w:rsidRPr="00DD2A86" w:rsidRDefault="006608CB" w:rsidP="006608CB">
            <w:pPr>
              <w:suppressAutoHyphens w:val="0"/>
              <w:spacing w:line="240" w:lineRule="auto"/>
              <w:rPr>
                <w:color w:val="000000"/>
                <w:sz w:val="18"/>
                <w:szCs w:val="18"/>
                <w:lang w:val="de-DE" w:eastAsia="ru-RU"/>
              </w:rPr>
            </w:pPr>
            <w:r w:rsidRPr="00DD2A86">
              <w:rPr>
                <w:color w:val="000000"/>
                <w:sz w:val="18"/>
                <w:szCs w:val="18"/>
                <w:lang w:val="de-DE" w:eastAsia="ru-RU"/>
              </w:rPr>
              <w:t>„</w:t>
            </w:r>
            <w:r w:rsidRPr="00DD2A86">
              <w:rPr>
                <w:caps/>
                <w:color w:val="000000"/>
                <w:sz w:val="18"/>
                <w:szCs w:val="18"/>
                <w:lang w:val="de-DE" w:eastAsia="ru-RU"/>
              </w:rPr>
              <w:t xml:space="preserve">Transport </w:t>
            </w:r>
            <w:r w:rsidRPr="00DD2A86">
              <w:rPr>
                <w:color w:val="000000"/>
                <w:sz w:val="18"/>
                <w:szCs w:val="18"/>
                <w:lang w:val="de-DE" w:eastAsia="ru-RU"/>
              </w:rPr>
              <w:t>INDEX“;</w:t>
            </w:r>
          </w:p>
          <w:p w:rsidR="006608CB" w:rsidRPr="00DD2A86" w:rsidRDefault="006608CB" w:rsidP="006608CB">
            <w:pPr>
              <w:suppressAutoHyphens w:val="0"/>
              <w:spacing w:line="240" w:lineRule="auto"/>
              <w:rPr>
                <w:color w:val="000000"/>
                <w:sz w:val="18"/>
                <w:szCs w:val="18"/>
                <w:lang w:val="de-DE" w:eastAsia="ru-RU"/>
              </w:rPr>
            </w:pPr>
            <w:r w:rsidRPr="00DD2A86">
              <w:rPr>
                <w:color w:val="000000"/>
                <w:sz w:val="18"/>
                <w:szCs w:val="18"/>
                <w:lang w:val="de-DE" w:eastAsia="de-DE"/>
              </w:rPr>
              <w:t>dem Ausdruck „</w:t>
            </w:r>
            <w:r w:rsidRPr="00DD2A86">
              <w:rPr>
                <w:caps/>
                <w:color w:val="000000"/>
                <w:sz w:val="18"/>
                <w:szCs w:val="18"/>
                <w:lang w:val="de-DE" w:eastAsia="de-DE"/>
              </w:rPr>
              <w:t>RadioaCtivE“</w:t>
            </w:r>
            <w:r w:rsidRPr="00DD2A86">
              <w:rPr>
                <w:color w:val="000000"/>
                <w:sz w:val="18"/>
                <w:szCs w:val="18"/>
                <w:lang w:val="de-DE" w:eastAsia="de-DE"/>
              </w:rPr>
              <w:t xml:space="preserve"> folgen zwei senkrechte rote Streifen</w:t>
            </w:r>
          </w:p>
        </w:tc>
      </w:tr>
      <w:tr w:rsidR="006608CB" w:rsidRPr="00E139A8" w:rsidTr="00973598">
        <w:trPr>
          <w:cantSplit/>
          <w:trHeight w:val="1648"/>
        </w:trPr>
        <w:tc>
          <w:tcPr>
            <w:tcW w:w="828"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7C</w:t>
            </w:r>
          </w:p>
        </w:tc>
        <w:tc>
          <w:tcPr>
            <w:tcW w:w="1742"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Kategorie III – GELB</w:t>
            </w:r>
          </w:p>
        </w:tc>
        <w:tc>
          <w:tcPr>
            <w:tcW w:w="3260"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de-DE"/>
              </w:rPr>
              <w:t>Strahlensymbol</w:t>
            </w:r>
            <w:r w:rsidRPr="00DD2A86">
              <w:rPr>
                <w:color w:val="000000"/>
                <w:sz w:val="18"/>
                <w:szCs w:val="18"/>
                <w:lang w:val="de-DE" w:eastAsia="ru-RU"/>
              </w:rPr>
              <w:t>: schwarz</w:t>
            </w:r>
          </w:p>
        </w:tc>
        <w:tc>
          <w:tcPr>
            <w:tcW w:w="1003" w:type="dxa"/>
            <w:shd w:val="clear" w:color="auto" w:fill="auto"/>
          </w:tcPr>
          <w:p w:rsidR="006608CB" w:rsidRPr="00DD2A86" w:rsidRDefault="006608CB" w:rsidP="006608CB">
            <w:pPr>
              <w:tabs>
                <w:tab w:val="left" w:pos="1418"/>
                <w:tab w:val="left" w:pos="1496"/>
              </w:tabs>
              <w:suppressAutoHyphens w:val="0"/>
              <w:spacing w:line="240" w:lineRule="auto"/>
              <w:jc w:val="center"/>
              <w:rPr>
                <w:color w:val="000000"/>
                <w:sz w:val="18"/>
                <w:szCs w:val="18"/>
                <w:lang w:val="de-DE" w:eastAsia="ru-RU"/>
              </w:rPr>
            </w:pPr>
            <w:r w:rsidRPr="00DD2A86">
              <w:rPr>
                <w:color w:val="000000"/>
                <w:sz w:val="18"/>
                <w:szCs w:val="18"/>
                <w:lang w:val="de-DE" w:eastAsia="de-DE"/>
              </w:rPr>
              <w:t>obere Hälfte gelb mit weißem Rand, untere Hälfte weiß</w:t>
            </w:r>
          </w:p>
        </w:tc>
        <w:tc>
          <w:tcPr>
            <w:tcW w:w="1276" w:type="dxa"/>
            <w:shd w:val="clear" w:color="auto" w:fill="auto"/>
          </w:tcPr>
          <w:p w:rsidR="006608CB" w:rsidRPr="00DD2A86" w:rsidRDefault="006608CB" w:rsidP="006608CB">
            <w:pPr>
              <w:tabs>
                <w:tab w:val="left" w:pos="1418"/>
                <w:tab w:val="left" w:pos="1496"/>
              </w:tabs>
              <w:suppressAutoHyphens w:val="0"/>
              <w:spacing w:line="240" w:lineRule="auto"/>
              <w:jc w:val="center"/>
              <w:rPr>
                <w:color w:val="000000"/>
                <w:sz w:val="18"/>
                <w:szCs w:val="18"/>
                <w:lang w:val="de-DE" w:eastAsia="ru-RU"/>
              </w:rPr>
            </w:pPr>
            <w:r w:rsidRPr="00DD2A86">
              <w:rPr>
                <w:color w:val="000000"/>
                <w:sz w:val="18"/>
                <w:szCs w:val="18"/>
                <w:lang w:val="de-DE" w:eastAsia="ru-RU"/>
              </w:rPr>
              <w:t>7</w:t>
            </w:r>
          </w:p>
          <w:p w:rsidR="006608CB" w:rsidRPr="00DD2A86" w:rsidRDefault="006608CB" w:rsidP="006608CB">
            <w:pPr>
              <w:tabs>
                <w:tab w:val="left" w:pos="1418"/>
                <w:tab w:val="left" w:pos="1496"/>
              </w:tabs>
              <w:suppressAutoHyphens w:val="0"/>
              <w:spacing w:line="240" w:lineRule="auto"/>
              <w:jc w:val="center"/>
              <w:rPr>
                <w:color w:val="000000"/>
                <w:sz w:val="18"/>
                <w:szCs w:val="18"/>
                <w:lang w:val="de-DE" w:eastAsia="ru-RU"/>
              </w:rPr>
            </w:pPr>
            <w:r w:rsidRPr="00DD2A86">
              <w:rPr>
                <w:color w:val="000000"/>
                <w:sz w:val="18"/>
                <w:szCs w:val="18"/>
                <w:lang w:val="de-DE" w:eastAsia="ru-RU"/>
              </w:rPr>
              <w:t>(schwarz)</w:t>
            </w:r>
          </w:p>
        </w:tc>
        <w:tc>
          <w:tcPr>
            <w:tcW w:w="3261" w:type="dxa"/>
            <w:shd w:val="clear" w:color="auto" w:fill="auto"/>
            <w:vAlign w:val="center"/>
          </w:tcPr>
          <w:p w:rsidR="006608CB" w:rsidRPr="00DD2A86" w:rsidRDefault="006608CB" w:rsidP="006608CB">
            <w:pPr>
              <w:tabs>
                <w:tab w:val="left" w:pos="1418"/>
                <w:tab w:val="left" w:pos="1496"/>
              </w:tabs>
              <w:suppressAutoHyphens w:val="0"/>
              <w:spacing w:line="240" w:lineRule="auto"/>
              <w:jc w:val="center"/>
              <w:rPr>
                <w:rFonts w:eastAsia="SimSun"/>
                <w:noProof/>
                <w:color w:val="000000"/>
                <w:sz w:val="18"/>
                <w:szCs w:val="18"/>
                <w:lang w:val="de-DE" w:eastAsia="de-CH"/>
              </w:rPr>
            </w:pPr>
            <w:r w:rsidRPr="00DD2A86">
              <w:rPr>
                <w:rFonts w:eastAsia="SimSun"/>
                <w:noProof/>
                <w:color w:val="000000"/>
                <w:sz w:val="18"/>
                <w:szCs w:val="18"/>
                <w:lang w:val="fr-FR" w:eastAsia="fr-FR"/>
              </w:rPr>
              <w:drawing>
                <wp:inline distT="0" distB="0" distL="0" distR="0" wp14:anchorId="1F51B788" wp14:editId="1CFA9A60">
                  <wp:extent cx="869315" cy="869315"/>
                  <wp:effectExtent l="19050" t="0" r="6985" b="0"/>
                  <wp:docPr id="2400" name="Picture 26" descr="radioactiv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adioactive3"/>
                          <pic:cNvPicPr>
                            <a:picLocks noChangeAspect="1" noChangeArrowheads="1"/>
                          </pic:cNvPicPr>
                        </pic:nvPicPr>
                        <pic:blipFill>
                          <a:blip r:embed="rId89" cstate="print"/>
                          <a:srcRect/>
                          <a:stretch>
                            <a:fillRect/>
                          </a:stretch>
                        </pic:blipFill>
                        <pic:spPr bwMode="auto">
                          <a:xfrm>
                            <a:off x="0" y="0"/>
                            <a:ext cx="869315" cy="869315"/>
                          </a:xfrm>
                          <a:prstGeom prst="rect">
                            <a:avLst/>
                          </a:prstGeom>
                          <a:noFill/>
                          <a:ln w="9525">
                            <a:noFill/>
                            <a:miter lim="800000"/>
                            <a:headEnd/>
                            <a:tailEnd/>
                          </a:ln>
                        </pic:spPr>
                      </pic:pic>
                    </a:graphicData>
                  </a:graphic>
                </wp:inline>
              </w:drawing>
            </w:r>
          </w:p>
        </w:tc>
        <w:tc>
          <w:tcPr>
            <w:tcW w:w="2693" w:type="dxa"/>
            <w:shd w:val="clear" w:color="auto" w:fill="auto"/>
          </w:tcPr>
          <w:p w:rsidR="006608CB" w:rsidRPr="00DD2A86" w:rsidRDefault="006608CB" w:rsidP="006608CB">
            <w:pPr>
              <w:suppressAutoHyphens w:val="0"/>
              <w:spacing w:line="240" w:lineRule="auto"/>
              <w:rPr>
                <w:color w:val="000000"/>
                <w:sz w:val="18"/>
                <w:szCs w:val="18"/>
                <w:lang w:val="de-DE" w:eastAsia="ru-RU"/>
              </w:rPr>
            </w:pPr>
            <w:r w:rsidRPr="00DD2A86">
              <w:rPr>
                <w:color w:val="000000"/>
                <w:sz w:val="18"/>
                <w:szCs w:val="18"/>
                <w:lang w:val="de-DE" w:eastAsia="ru-RU"/>
              </w:rPr>
              <w:t>(vorgeschriebener) Text, schwarz, in der unteren Hälfte des Gefahrzettels:</w:t>
            </w:r>
          </w:p>
          <w:p w:rsidR="006608CB" w:rsidRPr="00DD2A86" w:rsidRDefault="006608CB" w:rsidP="006608CB">
            <w:pPr>
              <w:suppressAutoHyphens w:val="0"/>
              <w:spacing w:line="240" w:lineRule="auto"/>
              <w:rPr>
                <w:color w:val="000000"/>
                <w:sz w:val="18"/>
                <w:szCs w:val="18"/>
                <w:lang w:val="de-DE" w:eastAsia="ru-RU"/>
              </w:rPr>
            </w:pPr>
            <w:r w:rsidRPr="00DD2A86">
              <w:rPr>
                <w:color w:val="000000"/>
                <w:sz w:val="18"/>
                <w:szCs w:val="18"/>
                <w:lang w:val="de-DE" w:eastAsia="ru-RU"/>
              </w:rPr>
              <w:t>„</w:t>
            </w:r>
            <w:r w:rsidRPr="00DD2A86">
              <w:rPr>
                <w:caps/>
                <w:color w:val="000000"/>
                <w:sz w:val="18"/>
                <w:szCs w:val="18"/>
                <w:lang w:val="de-DE" w:eastAsia="ru-RU"/>
              </w:rPr>
              <w:t>RadioaCtivE“</w:t>
            </w:r>
          </w:p>
          <w:p w:rsidR="006608CB" w:rsidRPr="00DD2A86" w:rsidRDefault="006608CB" w:rsidP="006608CB">
            <w:pPr>
              <w:suppressAutoHyphens w:val="0"/>
              <w:spacing w:line="240" w:lineRule="auto"/>
              <w:rPr>
                <w:color w:val="000000"/>
                <w:sz w:val="18"/>
                <w:szCs w:val="18"/>
                <w:lang w:val="de-DE" w:eastAsia="ru-RU"/>
              </w:rPr>
            </w:pPr>
            <w:r w:rsidRPr="00DD2A86">
              <w:rPr>
                <w:color w:val="000000"/>
                <w:sz w:val="18"/>
                <w:szCs w:val="18"/>
                <w:lang w:val="de-DE" w:eastAsia="ru-RU"/>
              </w:rPr>
              <w:t>„CONTENTS ...“</w:t>
            </w:r>
          </w:p>
          <w:p w:rsidR="006608CB" w:rsidRPr="00DD2A86" w:rsidRDefault="006608CB" w:rsidP="006608CB">
            <w:pPr>
              <w:suppressAutoHyphens w:val="0"/>
              <w:spacing w:line="240" w:lineRule="auto"/>
              <w:rPr>
                <w:color w:val="000000"/>
                <w:sz w:val="18"/>
                <w:szCs w:val="18"/>
                <w:lang w:val="de-DE" w:eastAsia="ru-RU"/>
              </w:rPr>
            </w:pPr>
            <w:r w:rsidRPr="00DD2A86">
              <w:rPr>
                <w:color w:val="000000"/>
                <w:sz w:val="18"/>
                <w:szCs w:val="18"/>
                <w:lang w:val="de-DE" w:eastAsia="ru-RU"/>
              </w:rPr>
              <w:t>„</w:t>
            </w:r>
            <w:r w:rsidRPr="00DD2A86">
              <w:rPr>
                <w:caps/>
                <w:color w:val="000000"/>
                <w:sz w:val="18"/>
                <w:szCs w:val="18"/>
                <w:lang w:val="de-DE" w:eastAsia="ru-RU"/>
              </w:rPr>
              <w:t>ActivitY</w:t>
            </w:r>
            <w:r w:rsidRPr="00DD2A86">
              <w:rPr>
                <w:color w:val="000000"/>
                <w:sz w:val="18"/>
                <w:szCs w:val="18"/>
                <w:lang w:val="de-DE" w:eastAsia="ru-RU"/>
              </w:rPr>
              <w:t xml:space="preserve"> ...“;</w:t>
            </w:r>
          </w:p>
          <w:p w:rsidR="006608CB" w:rsidRPr="00DD2A86" w:rsidRDefault="006608CB" w:rsidP="006608CB">
            <w:pPr>
              <w:suppressAutoHyphens w:val="0"/>
              <w:spacing w:line="240" w:lineRule="auto"/>
              <w:rPr>
                <w:color w:val="000000"/>
                <w:sz w:val="18"/>
                <w:szCs w:val="18"/>
                <w:lang w:val="de-DE" w:eastAsia="ru-RU"/>
              </w:rPr>
            </w:pPr>
            <w:r w:rsidRPr="00DD2A86">
              <w:rPr>
                <w:color w:val="000000"/>
                <w:sz w:val="18"/>
                <w:szCs w:val="18"/>
                <w:lang w:val="de-DE" w:eastAsia="ru-RU"/>
              </w:rPr>
              <w:t xml:space="preserve">in einem schwarz eingerahmten Feld: </w:t>
            </w:r>
          </w:p>
          <w:p w:rsidR="006608CB" w:rsidRPr="00DD2A86" w:rsidRDefault="006608CB" w:rsidP="006608CB">
            <w:pPr>
              <w:suppressAutoHyphens w:val="0"/>
              <w:spacing w:line="240" w:lineRule="auto"/>
              <w:rPr>
                <w:color w:val="000000"/>
                <w:sz w:val="18"/>
                <w:szCs w:val="18"/>
                <w:lang w:val="de-DE" w:eastAsia="ru-RU"/>
              </w:rPr>
            </w:pPr>
            <w:r w:rsidRPr="00DD2A86">
              <w:rPr>
                <w:color w:val="000000"/>
                <w:sz w:val="18"/>
                <w:szCs w:val="18"/>
                <w:lang w:val="de-DE" w:eastAsia="ru-RU"/>
              </w:rPr>
              <w:t>„</w:t>
            </w:r>
            <w:r w:rsidRPr="00DD2A86">
              <w:rPr>
                <w:caps/>
                <w:color w:val="000000"/>
                <w:sz w:val="18"/>
                <w:szCs w:val="18"/>
                <w:lang w:val="de-DE" w:eastAsia="ru-RU"/>
              </w:rPr>
              <w:t>Transport</w:t>
            </w:r>
            <w:r w:rsidRPr="00DD2A86">
              <w:rPr>
                <w:color w:val="000000"/>
                <w:sz w:val="18"/>
                <w:szCs w:val="18"/>
                <w:lang w:val="de-DE" w:eastAsia="ru-RU"/>
              </w:rPr>
              <w:t xml:space="preserve"> INDEX“;</w:t>
            </w:r>
          </w:p>
          <w:p w:rsidR="006608CB" w:rsidRPr="00DD2A86" w:rsidRDefault="006608CB" w:rsidP="006608CB">
            <w:pPr>
              <w:suppressAutoHyphens w:val="0"/>
              <w:spacing w:line="240" w:lineRule="auto"/>
              <w:rPr>
                <w:color w:val="000000"/>
                <w:sz w:val="18"/>
                <w:szCs w:val="18"/>
                <w:lang w:val="de-DE" w:eastAsia="ru-RU"/>
              </w:rPr>
            </w:pPr>
            <w:r w:rsidRPr="00DD2A86">
              <w:rPr>
                <w:color w:val="000000"/>
                <w:sz w:val="18"/>
                <w:szCs w:val="18"/>
                <w:lang w:val="de-DE" w:eastAsia="de-DE"/>
              </w:rPr>
              <w:t>dem Ausdruck „</w:t>
            </w:r>
            <w:r w:rsidRPr="00DD2A86">
              <w:rPr>
                <w:caps/>
                <w:color w:val="000000"/>
                <w:sz w:val="18"/>
                <w:szCs w:val="18"/>
                <w:lang w:val="de-DE" w:eastAsia="de-DE"/>
              </w:rPr>
              <w:t>RadioaCtivE“</w:t>
            </w:r>
            <w:r w:rsidRPr="00DD2A86">
              <w:rPr>
                <w:color w:val="000000"/>
                <w:sz w:val="18"/>
                <w:szCs w:val="18"/>
                <w:lang w:val="de-DE" w:eastAsia="de-DE"/>
              </w:rPr>
              <w:t xml:space="preserve"> folgen drei senkrechte rote Streifen</w:t>
            </w:r>
          </w:p>
        </w:tc>
      </w:tr>
      <w:tr w:rsidR="006608CB" w:rsidRPr="00E139A8" w:rsidTr="00973598">
        <w:trPr>
          <w:cantSplit/>
          <w:trHeight w:val="1648"/>
        </w:trPr>
        <w:tc>
          <w:tcPr>
            <w:tcW w:w="828" w:type="dxa"/>
            <w:shd w:val="clear" w:color="auto" w:fill="auto"/>
          </w:tcPr>
          <w:p w:rsidR="006608CB" w:rsidRPr="00DD2A86" w:rsidRDefault="006608CB" w:rsidP="006608CB">
            <w:pPr>
              <w:keepNext/>
              <w:keepLines/>
              <w:suppressAutoHyphens w:val="0"/>
              <w:spacing w:line="240" w:lineRule="auto"/>
              <w:jc w:val="center"/>
              <w:rPr>
                <w:color w:val="000000"/>
                <w:sz w:val="18"/>
                <w:szCs w:val="18"/>
                <w:lang w:val="de-DE" w:eastAsia="ru-RU"/>
              </w:rPr>
            </w:pPr>
            <w:r w:rsidRPr="00DD2A86">
              <w:rPr>
                <w:color w:val="000000"/>
                <w:sz w:val="18"/>
                <w:szCs w:val="18"/>
                <w:lang w:val="de-DE" w:eastAsia="ru-RU"/>
              </w:rPr>
              <w:t>7E</w:t>
            </w:r>
          </w:p>
        </w:tc>
        <w:tc>
          <w:tcPr>
            <w:tcW w:w="1742" w:type="dxa"/>
            <w:shd w:val="clear" w:color="auto" w:fill="auto"/>
          </w:tcPr>
          <w:p w:rsidR="006608CB" w:rsidRPr="00DD2A86" w:rsidRDefault="006608CB" w:rsidP="006608CB">
            <w:pPr>
              <w:keepNext/>
              <w:keepLines/>
              <w:suppressAutoHyphens w:val="0"/>
              <w:spacing w:line="240" w:lineRule="auto"/>
              <w:jc w:val="center"/>
              <w:rPr>
                <w:color w:val="000000"/>
                <w:sz w:val="18"/>
                <w:szCs w:val="18"/>
                <w:lang w:val="de-DE" w:eastAsia="ru-RU"/>
              </w:rPr>
            </w:pPr>
            <w:r w:rsidRPr="00DD2A86">
              <w:rPr>
                <w:color w:val="000000"/>
                <w:sz w:val="18"/>
                <w:szCs w:val="18"/>
                <w:lang w:val="de-DE" w:eastAsia="ru-RU"/>
              </w:rPr>
              <w:t>Spaltbare Stoffe</w:t>
            </w:r>
          </w:p>
        </w:tc>
        <w:tc>
          <w:tcPr>
            <w:tcW w:w="3260" w:type="dxa"/>
            <w:shd w:val="clear" w:color="auto" w:fill="auto"/>
          </w:tcPr>
          <w:p w:rsidR="006608CB" w:rsidRPr="00DD2A86" w:rsidRDefault="006608CB" w:rsidP="006608CB">
            <w:pPr>
              <w:keepNext/>
              <w:keepLines/>
              <w:suppressAutoHyphens w:val="0"/>
              <w:spacing w:line="240" w:lineRule="auto"/>
              <w:jc w:val="center"/>
              <w:rPr>
                <w:color w:val="000000"/>
                <w:sz w:val="18"/>
                <w:szCs w:val="18"/>
                <w:lang w:val="de-DE" w:eastAsia="ru-RU"/>
              </w:rPr>
            </w:pPr>
            <w:r w:rsidRPr="00DD2A86">
              <w:rPr>
                <w:color w:val="000000"/>
                <w:sz w:val="18"/>
                <w:szCs w:val="18"/>
                <w:lang w:val="de-DE" w:eastAsia="ru-RU"/>
              </w:rPr>
              <w:t>–</w:t>
            </w:r>
          </w:p>
        </w:tc>
        <w:tc>
          <w:tcPr>
            <w:tcW w:w="1003" w:type="dxa"/>
            <w:shd w:val="clear" w:color="auto" w:fill="auto"/>
          </w:tcPr>
          <w:p w:rsidR="006608CB" w:rsidRPr="00DD2A86" w:rsidRDefault="006608CB" w:rsidP="006608CB">
            <w:pPr>
              <w:keepNext/>
              <w:keepLines/>
              <w:tabs>
                <w:tab w:val="left" w:pos="1418"/>
                <w:tab w:val="left" w:pos="1496"/>
              </w:tabs>
              <w:suppressAutoHyphens w:val="0"/>
              <w:spacing w:line="240" w:lineRule="auto"/>
              <w:jc w:val="center"/>
              <w:rPr>
                <w:color w:val="000000"/>
                <w:sz w:val="18"/>
                <w:szCs w:val="18"/>
                <w:lang w:val="de-DE" w:eastAsia="ru-RU"/>
              </w:rPr>
            </w:pPr>
            <w:r w:rsidRPr="00DD2A86">
              <w:rPr>
                <w:color w:val="000000"/>
                <w:sz w:val="18"/>
                <w:szCs w:val="18"/>
                <w:lang w:val="de-DE" w:eastAsia="ru-RU"/>
              </w:rPr>
              <w:t>weiß</w:t>
            </w:r>
          </w:p>
        </w:tc>
        <w:tc>
          <w:tcPr>
            <w:tcW w:w="1276" w:type="dxa"/>
            <w:shd w:val="clear" w:color="auto" w:fill="auto"/>
          </w:tcPr>
          <w:p w:rsidR="006608CB" w:rsidRPr="00DD2A86" w:rsidRDefault="006608CB" w:rsidP="006608CB">
            <w:pPr>
              <w:keepNext/>
              <w:keepLines/>
              <w:tabs>
                <w:tab w:val="left" w:pos="1418"/>
                <w:tab w:val="left" w:pos="1496"/>
              </w:tabs>
              <w:suppressAutoHyphens w:val="0"/>
              <w:spacing w:line="240" w:lineRule="auto"/>
              <w:jc w:val="center"/>
              <w:rPr>
                <w:color w:val="000000"/>
                <w:sz w:val="18"/>
                <w:szCs w:val="18"/>
                <w:lang w:val="de-DE" w:eastAsia="ru-RU"/>
              </w:rPr>
            </w:pPr>
            <w:r w:rsidRPr="00DD2A86">
              <w:rPr>
                <w:color w:val="000000"/>
                <w:sz w:val="18"/>
                <w:szCs w:val="18"/>
                <w:lang w:val="de-DE" w:eastAsia="ru-RU"/>
              </w:rPr>
              <w:t>7</w:t>
            </w:r>
          </w:p>
          <w:p w:rsidR="006608CB" w:rsidRPr="00DD2A86" w:rsidRDefault="006608CB" w:rsidP="006608CB">
            <w:pPr>
              <w:keepNext/>
              <w:keepLines/>
              <w:tabs>
                <w:tab w:val="left" w:pos="1418"/>
                <w:tab w:val="left" w:pos="1496"/>
              </w:tabs>
              <w:suppressAutoHyphens w:val="0"/>
              <w:spacing w:line="240" w:lineRule="auto"/>
              <w:jc w:val="center"/>
              <w:rPr>
                <w:color w:val="000000"/>
                <w:sz w:val="18"/>
                <w:szCs w:val="18"/>
                <w:lang w:val="de-DE" w:eastAsia="ru-RU"/>
              </w:rPr>
            </w:pPr>
            <w:r w:rsidRPr="00DD2A86">
              <w:rPr>
                <w:color w:val="000000"/>
                <w:sz w:val="18"/>
                <w:szCs w:val="18"/>
                <w:lang w:val="de-DE" w:eastAsia="ru-RU"/>
              </w:rPr>
              <w:t>(schwarz)</w:t>
            </w:r>
          </w:p>
        </w:tc>
        <w:tc>
          <w:tcPr>
            <w:tcW w:w="3261" w:type="dxa"/>
            <w:shd w:val="clear" w:color="auto" w:fill="auto"/>
            <w:vAlign w:val="center"/>
          </w:tcPr>
          <w:p w:rsidR="006608CB" w:rsidRPr="00DD2A86" w:rsidRDefault="006608CB" w:rsidP="006608CB">
            <w:pPr>
              <w:keepNext/>
              <w:keepLines/>
              <w:tabs>
                <w:tab w:val="left" w:pos="1418"/>
                <w:tab w:val="left" w:pos="1496"/>
              </w:tabs>
              <w:suppressAutoHyphens w:val="0"/>
              <w:spacing w:line="240" w:lineRule="auto"/>
              <w:jc w:val="center"/>
              <w:rPr>
                <w:color w:val="000000"/>
                <w:sz w:val="18"/>
                <w:szCs w:val="18"/>
                <w:lang w:val="de-DE" w:eastAsia="ru-RU"/>
              </w:rPr>
            </w:pPr>
            <w:r w:rsidRPr="00DD2A86">
              <w:rPr>
                <w:rFonts w:eastAsia="SimSun"/>
                <w:noProof/>
                <w:color w:val="000000"/>
                <w:sz w:val="18"/>
                <w:szCs w:val="18"/>
                <w:lang w:val="fr-FR" w:eastAsia="fr-FR"/>
              </w:rPr>
              <w:drawing>
                <wp:inline distT="0" distB="0" distL="0" distR="0" wp14:anchorId="550110AB" wp14:editId="24E94804">
                  <wp:extent cx="855980" cy="855980"/>
                  <wp:effectExtent l="19050" t="0" r="1270" b="0"/>
                  <wp:docPr id="2401" name="Picture 27" descr="fiss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ssile"/>
                          <pic:cNvPicPr>
                            <a:picLocks noChangeAspect="1" noChangeArrowheads="1"/>
                          </pic:cNvPicPr>
                        </pic:nvPicPr>
                        <pic:blipFill>
                          <a:blip r:embed="rId90" cstate="print"/>
                          <a:srcRect/>
                          <a:stretch>
                            <a:fillRect/>
                          </a:stretch>
                        </pic:blipFill>
                        <pic:spPr bwMode="auto">
                          <a:xfrm>
                            <a:off x="0" y="0"/>
                            <a:ext cx="855980" cy="855980"/>
                          </a:xfrm>
                          <a:prstGeom prst="rect">
                            <a:avLst/>
                          </a:prstGeom>
                          <a:noFill/>
                          <a:ln w="9525">
                            <a:noFill/>
                            <a:miter lim="800000"/>
                            <a:headEnd/>
                            <a:tailEnd/>
                          </a:ln>
                        </pic:spPr>
                      </pic:pic>
                    </a:graphicData>
                  </a:graphic>
                </wp:inline>
              </w:drawing>
            </w:r>
          </w:p>
        </w:tc>
        <w:tc>
          <w:tcPr>
            <w:tcW w:w="2693" w:type="dxa"/>
            <w:shd w:val="clear" w:color="auto" w:fill="auto"/>
          </w:tcPr>
          <w:p w:rsidR="006608CB" w:rsidRPr="00DD2A86" w:rsidRDefault="006608CB" w:rsidP="006608CB">
            <w:pPr>
              <w:keepNext/>
              <w:keepLines/>
              <w:suppressAutoHyphens w:val="0"/>
              <w:spacing w:line="240" w:lineRule="auto"/>
              <w:rPr>
                <w:color w:val="000000"/>
                <w:sz w:val="18"/>
                <w:szCs w:val="18"/>
                <w:lang w:val="de-DE" w:eastAsia="de-DE"/>
              </w:rPr>
            </w:pPr>
            <w:r w:rsidRPr="00DD2A86">
              <w:rPr>
                <w:color w:val="000000"/>
                <w:sz w:val="18"/>
                <w:szCs w:val="18"/>
                <w:lang w:val="de-DE" w:eastAsia="de-DE"/>
              </w:rPr>
              <w:t>(vorgeschriebener) Text, schwarz, in der oberen Hälfte des Gefahrzettels: „FISSILE“;</w:t>
            </w:r>
          </w:p>
          <w:p w:rsidR="006608CB" w:rsidRPr="00DD2A86" w:rsidRDefault="006608CB" w:rsidP="006608CB">
            <w:pPr>
              <w:keepNext/>
              <w:keepLines/>
              <w:suppressAutoHyphens w:val="0"/>
              <w:spacing w:line="240" w:lineRule="auto"/>
              <w:rPr>
                <w:color w:val="000000"/>
                <w:sz w:val="18"/>
                <w:szCs w:val="18"/>
                <w:lang w:val="de-DE" w:eastAsia="ru-RU"/>
              </w:rPr>
            </w:pPr>
            <w:r w:rsidRPr="00DD2A86">
              <w:rPr>
                <w:color w:val="000000"/>
                <w:sz w:val="18"/>
                <w:szCs w:val="18"/>
                <w:lang w:val="de-DE" w:eastAsia="de-DE"/>
              </w:rPr>
              <w:t>in einem schwarz eingerahmten Feld in der unteren Hälfte des Gefahrzettels: „CRITICALITY SAFETY INDEX“</w:t>
            </w:r>
          </w:p>
        </w:tc>
      </w:tr>
      <w:tr w:rsidR="006608CB" w:rsidRPr="00E139A8" w:rsidTr="00973598">
        <w:trPr>
          <w:cantSplit/>
          <w:trHeight w:val="431"/>
        </w:trPr>
        <w:tc>
          <w:tcPr>
            <w:tcW w:w="14063" w:type="dxa"/>
            <w:gridSpan w:val="7"/>
            <w:shd w:val="clear" w:color="auto" w:fill="auto"/>
            <w:vAlign w:val="center"/>
          </w:tcPr>
          <w:p w:rsidR="006608CB" w:rsidRPr="00DD2A86" w:rsidRDefault="006608CB" w:rsidP="006608CB">
            <w:pPr>
              <w:tabs>
                <w:tab w:val="left" w:pos="221"/>
              </w:tabs>
              <w:suppressAutoHyphens w:val="0"/>
              <w:spacing w:line="240" w:lineRule="auto"/>
              <w:ind w:left="221" w:hanging="221"/>
              <w:jc w:val="center"/>
              <w:rPr>
                <w:b/>
                <w:color w:val="000000"/>
                <w:sz w:val="18"/>
                <w:szCs w:val="18"/>
                <w:lang w:val="de-DE" w:eastAsia="ru-RU"/>
              </w:rPr>
            </w:pPr>
            <w:r w:rsidRPr="00DD2A86">
              <w:rPr>
                <w:b/>
                <w:color w:val="000000"/>
                <w:sz w:val="18"/>
                <w:szCs w:val="18"/>
                <w:lang w:val="de-DE" w:eastAsia="ru-RU"/>
              </w:rPr>
              <w:t>Gefahr der Klasse 8: Ätzende Stoffe</w:t>
            </w:r>
          </w:p>
        </w:tc>
      </w:tr>
      <w:tr w:rsidR="006608CB" w:rsidRPr="00DD2A86" w:rsidTr="00973598">
        <w:trPr>
          <w:cantSplit/>
          <w:trHeight w:val="1648"/>
        </w:trPr>
        <w:tc>
          <w:tcPr>
            <w:tcW w:w="828"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8</w:t>
            </w:r>
          </w:p>
        </w:tc>
        <w:tc>
          <w:tcPr>
            <w:tcW w:w="1742"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w:t>
            </w:r>
          </w:p>
        </w:tc>
        <w:tc>
          <w:tcPr>
            <w:tcW w:w="3260"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de-DE"/>
              </w:rPr>
              <w:t>Flüssigkeiten, die aus zwei Reagenzgläsern ausgeschüttet werden und eine Hand und ein Metall angreifen: schwarz</w:t>
            </w:r>
          </w:p>
        </w:tc>
        <w:tc>
          <w:tcPr>
            <w:tcW w:w="1003" w:type="dxa"/>
            <w:shd w:val="clear" w:color="auto" w:fill="auto"/>
          </w:tcPr>
          <w:p w:rsidR="006608CB" w:rsidRPr="00DD2A86" w:rsidRDefault="006608CB" w:rsidP="006608CB">
            <w:pPr>
              <w:tabs>
                <w:tab w:val="left" w:pos="1418"/>
                <w:tab w:val="left" w:pos="1496"/>
              </w:tabs>
              <w:suppressAutoHyphens w:val="0"/>
              <w:spacing w:line="240" w:lineRule="auto"/>
              <w:jc w:val="center"/>
              <w:rPr>
                <w:color w:val="000000"/>
                <w:sz w:val="18"/>
                <w:szCs w:val="18"/>
                <w:lang w:val="de-DE" w:eastAsia="ru-RU"/>
              </w:rPr>
            </w:pPr>
            <w:r w:rsidRPr="00DD2A86">
              <w:rPr>
                <w:color w:val="000000"/>
                <w:sz w:val="18"/>
                <w:szCs w:val="18"/>
                <w:lang w:val="de-DE" w:eastAsia="de-DE"/>
              </w:rPr>
              <w:t>obere Hälfte weiß, untere Hälfte schwarz mit weißem Rand</w:t>
            </w:r>
          </w:p>
        </w:tc>
        <w:tc>
          <w:tcPr>
            <w:tcW w:w="1276" w:type="dxa"/>
            <w:shd w:val="clear" w:color="auto" w:fill="auto"/>
          </w:tcPr>
          <w:p w:rsidR="006608CB" w:rsidRPr="00DD2A86" w:rsidRDefault="006608CB" w:rsidP="006608CB">
            <w:pPr>
              <w:tabs>
                <w:tab w:val="left" w:pos="1418"/>
                <w:tab w:val="left" w:pos="1496"/>
              </w:tabs>
              <w:suppressAutoHyphens w:val="0"/>
              <w:spacing w:line="240" w:lineRule="auto"/>
              <w:jc w:val="center"/>
              <w:rPr>
                <w:color w:val="000000"/>
                <w:sz w:val="18"/>
                <w:szCs w:val="18"/>
                <w:lang w:val="de-DE" w:eastAsia="ru-RU"/>
              </w:rPr>
            </w:pPr>
            <w:r w:rsidRPr="00DD2A86">
              <w:rPr>
                <w:color w:val="000000"/>
                <w:sz w:val="18"/>
                <w:szCs w:val="18"/>
                <w:lang w:val="de-DE" w:eastAsia="ru-RU"/>
              </w:rPr>
              <w:t>8</w:t>
            </w:r>
          </w:p>
          <w:p w:rsidR="006608CB" w:rsidRPr="00DD2A86" w:rsidRDefault="006608CB" w:rsidP="006608CB">
            <w:pPr>
              <w:tabs>
                <w:tab w:val="left" w:pos="1418"/>
                <w:tab w:val="left" w:pos="1496"/>
              </w:tabs>
              <w:suppressAutoHyphens w:val="0"/>
              <w:spacing w:line="240" w:lineRule="auto"/>
              <w:jc w:val="center"/>
              <w:rPr>
                <w:color w:val="000000"/>
                <w:sz w:val="18"/>
                <w:szCs w:val="18"/>
                <w:lang w:val="de-DE" w:eastAsia="ru-RU"/>
              </w:rPr>
            </w:pPr>
            <w:r w:rsidRPr="00DD2A86">
              <w:rPr>
                <w:color w:val="000000"/>
                <w:sz w:val="18"/>
                <w:szCs w:val="18"/>
                <w:lang w:val="de-DE" w:eastAsia="ru-RU"/>
              </w:rPr>
              <w:t>(weiß)</w:t>
            </w:r>
          </w:p>
        </w:tc>
        <w:tc>
          <w:tcPr>
            <w:tcW w:w="3261" w:type="dxa"/>
            <w:shd w:val="clear" w:color="auto" w:fill="auto"/>
            <w:vAlign w:val="center"/>
          </w:tcPr>
          <w:p w:rsidR="006608CB" w:rsidRPr="00DD2A86" w:rsidRDefault="006608CB" w:rsidP="006608CB">
            <w:pPr>
              <w:tabs>
                <w:tab w:val="left" w:pos="1418"/>
                <w:tab w:val="left" w:pos="1496"/>
              </w:tabs>
              <w:suppressAutoHyphens w:val="0"/>
              <w:spacing w:line="240" w:lineRule="auto"/>
              <w:jc w:val="center"/>
              <w:rPr>
                <w:color w:val="000000"/>
                <w:sz w:val="18"/>
                <w:szCs w:val="18"/>
                <w:lang w:val="de-DE" w:eastAsia="ru-RU"/>
              </w:rPr>
            </w:pPr>
            <w:r w:rsidRPr="00DD2A86">
              <w:rPr>
                <w:rFonts w:eastAsia="SimSun"/>
                <w:noProof/>
                <w:color w:val="000000"/>
                <w:sz w:val="18"/>
                <w:szCs w:val="18"/>
                <w:lang w:val="fr-FR" w:eastAsia="fr-FR"/>
              </w:rPr>
              <w:drawing>
                <wp:inline distT="0" distB="0" distL="0" distR="0" wp14:anchorId="247C7767" wp14:editId="55FD7BDD">
                  <wp:extent cx="855980" cy="855980"/>
                  <wp:effectExtent l="19050" t="0" r="1270" b="0"/>
                  <wp:docPr id="2402" name="Picture 28" descr="ac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cide"/>
                          <pic:cNvPicPr>
                            <a:picLocks noChangeAspect="1" noChangeArrowheads="1"/>
                          </pic:cNvPicPr>
                        </pic:nvPicPr>
                        <pic:blipFill>
                          <a:blip r:embed="rId91" cstate="print"/>
                          <a:srcRect/>
                          <a:stretch>
                            <a:fillRect/>
                          </a:stretch>
                        </pic:blipFill>
                        <pic:spPr bwMode="auto">
                          <a:xfrm>
                            <a:off x="0" y="0"/>
                            <a:ext cx="855980" cy="855980"/>
                          </a:xfrm>
                          <a:prstGeom prst="rect">
                            <a:avLst/>
                          </a:prstGeom>
                          <a:noFill/>
                          <a:ln w="9525">
                            <a:noFill/>
                            <a:miter lim="800000"/>
                            <a:headEnd/>
                            <a:tailEnd/>
                          </a:ln>
                        </pic:spPr>
                      </pic:pic>
                    </a:graphicData>
                  </a:graphic>
                </wp:inline>
              </w:drawing>
            </w:r>
          </w:p>
        </w:tc>
        <w:tc>
          <w:tcPr>
            <w:tcW w:w="2693" w:type="dxa"/>
            <w:shd w:val="clear" w:color="auto" w:fill="auto"/>
          </w:tcPr>
          <w:p w:rsidR="006608CB" w:rsidRPr="00DD2A86" w:rsidRDefault="006608CB" w:rsidP="006608CB">
            <w:pPr>
              <w:tabs>
                <w:tab w:val="left" w:pos="221"/>
              </w:tabs>
              <w:suppressAutoHyphens w:val="0"/>
              <w:spacing w:line="240" w:lineRule="auto"/>
              <w:ind w:left="221" w:hanging="221"/>
              <w:jc w:val="center"/>
              <w:rPr>
                <w:color w:val="000000"/>
                <w:sz w:val="18"/>
                <w:szCs w:val="18"/>
                <w:lang w:val="de-DE" w:eastAsia="ru-RU"/>
              </w:rPr>
            </w:pPr>
            <w:r w:rsidRPr="00DD2A86">
              <w:rPr>
                <w:color w:val="000000"/>
                <w:sz w:val="18"/>
                <w:szCs w:val="18"/>
                <w:lang w:val="de-DE" w:eastAsia="ru-RU"/>
              </w:rPr>
              <w:t>–</w:t>
            </w:r>
          </w:p>
        </w:tc>
      </w:tr>
      <w:tr w:rsidR="006608CB" w:rsidRPr="00E139A8" w:rsidTr="00973598">
        <w:trPr>
          <w:cantSplit/>
          <w:trHeight w:val="380"/>
        </w:trPr>
        <w:tc>
          <w:tcPr>
            <w:tcW w:w="14063" w:type="dxa"/>
            <w:gridSpan w:val="7"/>
            <w:shd w:val="clear" w:color="auto" w:fill="auto"/>
            <w:vAlign w:val="center"/>
          </w:tcPr>
          <w:p w:rsidR="006608CB" w:rsidRPr="00DD2A86" w:rsidRDefault="006608CB" w:rsidP="006608CB">
            <w:pPr>
              <w:tabs>
                <w:tab w:val="left" w:pos="221"/>
              </w:tabs>
              <w:suppressAutoHyphens w:val="0"/>
              <w:spacing w:line="240" w:lineRule="auto"/>
              <w:ind w:left="221" w:hanging="221"/>
              <w:jc w:val="center"/>
              <w:rPr>
                <w:b/>
                <w:color w:val="000000"/>
                <w:sz w:val="18"/>
                <w:szCs w:val="18"/>
                <w:lang w:val="de-DE" w:eastAsia="ru-RU"/>
              </w:rPr>
            </w:pPr>
            <w:r w:rsidRPr="00DD2A86">
              <w:rPr>
                <w:b/>
                <w:color w:val="000000"/>
                <w:sz w:val="18"/>
                <w:szCs w:val="18"/>
                <w:lang w:val="de-DE" w:eastAsia="ru-RU"/>
              </w:rPr>
              <w:t xml:space="preserve">Gefahr der Klasse 9: </w:t>
            </w:r>
            <w:r w:rsidRPr="00DD2A86">
              <w:rPr>
                <w:b/>
                <w:color w:val="000000"/>
                <w:sz w:val="18"/>
                <w:szCs w:val="18"/>
                <w:lang w:val="de-DE" w:eastAsia="de-DE"/>
              </w:rPr>
              <w:t>Verschiedene gefährliche Stoffe und Gegenstände</w:t>
            </w:r>
          </w:p>
        </w:tc>
      </w:tr>
      <w:tr w:rsidR="006608CB" w:rsidRPr="00DD2A86" w:rsidTr="00973598">
        <w:trPr>
          <w:cantSplit/>
          <w:trHeight w:val="1648"/>
        </w:trPr>
        <w:tc>
          <w:tcPr>
            <w:tcW w:w="828"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9</w:t>
            </w:r>
          </w:p>
          <w:p w:rsidR="006608CB" w:rsidRPr="00DD2A86" w:rsidRDefault="006608CB" w:rsidP="006608CB">
            <w:pPr>
              <w:suppressAutoHyphens w:val="0"/>
              <w:spacing w:line="240" w:lineRule="auto"/>
              <w:jc w:val="both"/>
              <w:rPr>
                <w:color w:val="000000"/>
                <w:sz w:val="18"/>
                <w:szCs w:val="18"/>
                <w:lang w:val="de-DE" w:eastAsia="ru-RU"/>
              </w:rPr>
            </w:pPr>
          </w:p>
        </w:tc>
        <w:tc>
          <w:tcPr>
            <w:tcW w:w="1742"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w:t>
            </w:r>
          </w:p>
        </w:tc>
        <w:tc>
          <w:tcPr>
            <w:tcW w:w="3260"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de-DE"/>
              </w:rPr>
              <w:t>sieben senkrechte Streifen in der oberen Hälfte: schwarz</w:t>
            </w:r>
          </w:p>
        </w:tc>
        <w:tc>
          <w:tcPr>
            <w:tcW w:w="1003"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weiß</w:t>
            </w:r>
          </w:p>
        </w:tc>
        <w:tc>
          <w:tcPr>
            <w:tcW w:w="1276"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9, unterstrichen</w:t>
            </w:r>
          </w:p>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(schwarz)</w:t>
            </w:r>
          </w:p>
        </w:tc>
        <w:tc>
          <w:tcPr>
            <w:tcW w:w="3261" w:type="dxa"/>
            <w:shd w:val="clear" w:color="auto" w:fill="auto"/>
            <w:vAlign w:val="center"/>
          </w:tcPr>
          <w:p w:rsidR="006608CB" w:rsidRPr="00DD2A86" w:rsidRDefault="006608CB" w:rsidP="006608CB">
            <w:pPr>
              <w:suppressAutoHyphens w:val="0"/>
              <w:spacing w:line="240" w:lineRule="auto"/>
              <w:jc w:val="center"/>
              <w:rPr>
                <w:color w:val="000000"/>
                <w:sz w:val="18"/>
                <w:szCs w:val="18"/>
                <w:lang w:val="de-DE" w:eastAsia="ru-RU"/>
              </w:rPr>
            </w:pPr>
            <w:r w:rsidRPr="00DD2A86">
              <w:rPr>
                <w:rFonts w:eastAsia="SimSun"/>
                <w:noProof/>
                <w:color w:val="000000"/>
                <w:sz w:val="18"/>
                <w:szCs w:val="18"/>
                <w:lang w:val="fr-FR" w:eastAsia="fr-FR"/>
              </w:rPr>
              <w:drawing>
                <wp:inline distT="0" distB="0" distL="0" distR="0" wp14:anchorId="7885B821" wp14:editId="3CF5CAF1">
                  <wp:extent cx="878840" cy="873760"/>
                  <wp:effectExtent l="19050" t="0" r="0" b="0"/>
                  <wp:docPr id="2403" name="Picture 29" descr="stripes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tripes_black"/>
                          <pic:cNvPicPr>
                            <a:picLocks noChangeAspect="1" noChangeArrowheads="1"/>
                          </pic:cNvPicPr>
                        </pic:nvPicPr>
                        <pic:blipFill>
                          <a:blip r:embed="rId92" cstate="print"/>
                          <a:srcRect/>
                          <a:stretch>
                            <a:fillRect/>
                          </a:stretch>
                        </pic:blipFill>
                        <pic:spPr bwMode="auto">
                          <a:xfrm>
                            <a:off x="0" y="0"/>
                            <a:ext cx="878840" cy="873760"/>
                          </a:xfrm>
                          <a:prstGeom prst="rect">
                            <a:avLst/>
                          </a:prstGeom>
                          <a:noFill/>
                          <a:ln w="9525">
                            <a:noFill/>
                            <a:miter lim="800000"/>
                            <a:headEnd/>
                            <a:tailEnd/>
                          </a:ln>
                        </pic:spPr>
                      </pic:pic>
                    </a:graphicData>
                  </a:graphic>
                </wp:inline>
              </w:drawing>
            </w:r>
          </w:p>
        </w:tc>
        <w:tc>
          <w:tcPr>
            <w:tcW w:w="2693" w:type="dxa"/>
            <w:shd w:val="clear" w:color="auto" w:fill="auto"/>
          </w:tcPr>
          <w:p w:rsidR="006608CB" w:rsidRPr="00DD2A86" w:rsidRDefault="006608CB" w:rsidP="006608CB">
            <w:pPr>
              <w:tabs>
                <w:tab w:val="left" w:pos="221"/>
              </w:tabs>
              <w:suppressAutoHyphens w:val="0"/>
              <w:spacing w:line="240" w:lineRule="auto"/>
              <w:ind w:left="221" w:hanging="221"/>
              <w:jc w:val="center"/>
              <w:rPr>
                <w:color w:val="000000"/>
                <w:sz w:val="18"/>
                <w:szCs w:val="18"/>
                <w:lang w:val="de-DE" w:eastAsia="ru-RU"/>
              </w:rPr>
            </w:pPr>
            <w:r w:rsidRPr="00DD2A86">
              <w:rPr>
                <w:color w:val="000000"/>
                <w:sz w:val="18"/>
                <w:szCs w:val="18"/>
                <w:lang w:val="de-DE" w:eastAsia="ru-RU"/>
              </w:rPr>
              <w:t>–</w:t>
            </w:r>
          </w:p>
        </w:tc>
      </w:tr>
      <w:tr w:rsidR="006608CB" w:rsidRPr="00DD2A86" w:rsidTr="00973598">
        <w:trPr>
          <w:cantSplit/>
          <w:trHeight w:val="1648"/>
        </w:trPr>
        <w:tc>
          <w:tcPr>
            <w:tcW w:w="828"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9A</w:t>
            </w:r>
          </w:p>
        </w:tc>
        <w:tc>
          <w:tcPr>
            <w:tcW w:w="1742"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w:t>
            </w:r>
          </w:p>
        </w:tc>
        <w:tc>
          <w:tcPr>
            <w:tcW w:w="3260" w:type="dxa"/>
            <w:shd w:val="clear" w:color="auto" w:fill="auto"/>
          </w:tcPr>
          <w:p w:rsidR="006608CB" w:rsidRPr="00DD2A86" w:rsidRDefault="006608CB" w:rsidP="006608CB">
            <w:pPr>
              <w:suppressAutoHyphens w:val="0"/>
              <w:spacing w:line="240" w:lineRule="auto"/>
              <w:jc w:val="center"/>
              <w:rPr>
                <w:color w:val="000000"/>
                <w:sz w:val="18"/>
                <w:szCs w:val="18"/>
                <w:lang w:val="de-DE" w:eastAsia="de-DE"/>
              </w:rPr>
            </w:pPr>
            <w:r w:rsidRPr="00DD2A86">
              <w:rPr>
                <w:color w:val="000000"/>
                <w:sz w:val="18"/>
                <w:szCs w:val="18"/>
                <w:lang w:val="de-DE" w:eastAsia="de-DE"/>
              </w:rPr>
              <w:t>sieben senkrechte Streifen in der oberen Hälfte: schwarz;</w:t>
            </w:r>
          </w:p>
          <w:p w:rsidR="006608CB" w:rsidRPr="00DD2A86" w:rsidRDefault="006608CB" w:rsidP="006608CB">
            <w:pPr>
              <w:suppressAutoHyphens w:val="0"/>
              <w:spacing w:line="240" w:lineRule="auto"/>
              <w:jc w:val="center"/>
              <w:rPr>
                <w:color w:val="000000"/>
                <w:sz w:val="18"/>
                <w:szCs w:val="18"/>
                <w:lang w:val="de-DE" w:eastAsia="ru-RU"/>
              </w:rPr>
            </w:pPr>
            <w:r w:rsidRPr="00DD2A86">
              <w:rPr>
                <w:snapToGrid w:val="0"/>
                <w:color w:val="000000"/>
                <w:sz w:val="18"/>
                <w:szCs w:val="18"/>
                <w:lang w:val="de-DE" w:eastAsia="de-DE"/>
              </w:rPr>
              <w:t>Ansammlung von Batterien, von denen eine beschädigt und entflammt ist, in der unteren Hälfte: schwarz</w:t>
            </w:r>
          </w:p>
        </w:tc>
        <w:tc>
          <w:tcPr>
            <w:tcW w:w="1003"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weiß</w:t>
            </w:r>
          </w:p>
        </w:tc>
        <w:tc>
          <w:tcPr>
            <w:tcW w:w="1276" w:type="dxa"/>
            <w:shd w:val="clear" w:color="auto" w:fill="auto"/>
          </w:tcPr>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9, unterstrichen</w:t>
            </w:r>
          </w:p>
          <w:p w:rsidR="006608CB" w:rsidRPr="00DD2A86" w:rsidRDefault="006608CB" w:rsidP="006608CB">
            <w:pPr>
              <w:suppressAutoHyphens w:val="0"/>
              <w:spacing w:line="240" w:lineRule="auto"/>
              <w:jc w:val="center"/>
              <w:rPr>
                <w:color w:val="000000"/>
                <w:sz w:val="18"/>
                <w:szCs w:val="18"/>
                <w:lang w:val="de-DE" w:eastAsia="ru-RU"/>
              </w:rPr>
            </w:pPr>
            <w:r w:rsidRPr="00DD2A86">
              <w:rPr>
                <w:color w:val="000000"/>
                <w:sz w:val="18"/>
                <w:szCs w:val="18"/>
                <w:lang w:val="de-DE" w:eastAsia="ru-RU"/>
              </w:rPr>
              <w:t>(schwarz)</w:t>
            </w:r>
          </w:p>
        </w:tc>
        <w:tc>
          <w:tcPr>
            <w:tcW w:w="3261" w:type="dxa"/>
            <w:shd w:val="clear" w:color="auto" w:fill="auto"/>
            <w:vAlign w:val="center"/>
          </w:tcPr>
          <w:p w:rsidR="006608CB" w:rsidRPr="00DD2A86" w:rsidRDefault="006608CB" w:rsidP="006608CB">
            <w:pPr>
              <w:suppressAutoHyphens w:val="0"/>
              <w:spacing w:line="240" w:lineRule="auto"/>
              <w:jc w:val="center"/>
              <w:rPr>
                <w:noProof/>
                <w:color w:val="000000"/>
                <w:sz w:val="18"/>
                <w:szCs w:val="18"/>
                <w:lang w:val="de-DE" w:eastAsia="en-GB"/>
              </w:rPr>
            </w:pPr>
            <w:r w:rsidRPr="00DD2A86">
              <w:rPr>
                <w:rFonts w:eastAsia="SimSun"/>
                <w:noProof/>
                <w:color w:val="000000"/>
                <w:sz w:val="18"/>
                <w:szCs w:val="18"/>
                <w:lang w:val="fr-FR" w:eastAsia="fr-FR"/>
              </w:rPr>
              <w:drawing>
                <wp:inline distT="0" distB="0" distL="0" distR="0" wp14:anchorId="3C774A41" wp14:editId="47687D20">
                  <wp:extent cx="883285" cy="878840"/>
                  <wp:effectExtent l="19050" t="0" r="0" b="0"/>
                  <wp:docPr id="2404" name="Picture 30" descr="Losange-Batteri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sange-Batteries3"/>
                          <pic:cNvPicPr>
                            <a:picLocks noChangeAspect="1" noChangeArrowheads="1"/>
                          </pic:cNvPicPr>
                        </pic:nvPicPr>
                        <pic:blipFill>
                          <a:blip r:embed="rId93" cstate="print"/>
                          <a:srcRect/>
                          <a:stretch>
                            <a:fillRect/>
                          </a:stretch>
                        </pic:blipFill>
                        <pic:spPr bwMode="auto">
                          <a:xfrm>
                            <a:off x="0" y="0"/>
                            <a:ext cx="883285" cy="878840"/>
                          </a:xfrm>
                          <a:prstGeom prst="rect">
                            <a:avLst/>
                          </a:prstGeom>
                          <a:noFill/>
                          <a:ln w="9525">
                            <a:noFill/>
                            <a:miter lim="800000"/>
                            <a:headEnd/>
                            <a:tailEnd/>
                          </a:ln>
                        </pic:spPr>
                      </pic:pic>
                    </a:graphicData>
                  </a:graphic>
                </wp:inline>
              </w:drawing>
            </w:r>
          </w:p>
        </w:tc>
        <w:tc>
          <w:tcPr>
            <w:tcW w:w="2693" w:type="dxa"/>
            <w:shd w:val="clear" w:color="auto" w:fill="auto"/>
          </w:tcPr>
          <w:p w:rsidR="006608CB" w:rsidRPr="00DD2A86" w:rsidRDefault="006608CB" w:rsidP="006608CB">
            <w:pPr>
              <w:tabs>
                <w:tab w:val="left" w:pos="221"/>
              </w:tabs>
              <w:suppressAutoHyphens w:val="0"/>
              <w:spacing w:line="240" w:lineRule="auto"/>
              <w:ind w:left="221" w:hanging="221"/>
              <w:jc w:val="center"/>
              <w:rPr>
                <w:color w:val="000000"/>
                <w:sz w:val="18"/>
                <w:szCs w:val="18"/>
                <w:lang w:val="de-DE" w:eastAsia="ru-RU"/>
              </w:rPr>
            </w:pPr>
            <w:r w:rsidRPr="00DD2A86">
              <w:rPr>
                <w:color w:val="000000"/>
                <w:sz w:val="18"/>
                <w:szCs w:val="18"/>
                <w:lang w:val="de-DE" w:eastAsia="ru-RU"/>
              </w:rPr>
              <w:t>–</w:t>
            </w:r>
          </w:p>
        </w:tc>
      </w:tr>
    </w:tbl>
    <w:p w:rsidR="006608CB" w:rsidRPr="00DD2A86" w:rsidRDefault="008679D3" w:rsidP="006608CB">
      <w:pPr>
        <w:suppressAutoHyphens w:val="0"/>
        <w:spacing w:line="240" w:lineRule="auto"/>
        <w:rPr>
          <w:lang w:val="de-DE"/>
        </w:rPr>
      </w:pPr>
      <w:r w:rsidRPr="00DD2A86">
        <w:rPr>
          <w:b/>
          <w:iCs/>
          <w:lang w:val="de-DE"/>
        </w:rPr>
        <w:t>“</w:t>
      </w:r>
      <w:r w:rsidR="006608CB" w:rsidRPr="00DD2A86">
        <w:rPr>
          <w:lang w:val="de-DE"/>
        </w:rPr>
        <w:t>.</w:t>
      </w:r>
    </w:p>
    <w:p w:rsidR="006608CB" w:rsidRPr="00DD2A86" w:rsidRDefault="006608CB" w:rsidP="006608CB">
      <w:pPr>
        <w:rPr>
          <w:lang w:val="de-DE"/>
        </w:rPr>
        <w:sectPr w:rsidR="006608CB" w:rsidRPr="00DD2A86" w:rsidSect="00973598">
          <w:headerReference w:type="even" r:id="rId94"/>
          <w:headerReference w:type="default" r:id="rId95"/>
          <w:footerReference w:type="even" r:id="rId96"/>
          <w:footerReference w:type="default" r:id="rId97"/>
          <w:headerReference w:type="first" r:id="rId98"/>
          <w:endnotePr>
            <w:numFmt w:val="decimal"/>
          </w:endnotePr>
          <w:pgSz w:w="16840" w:h="11907" w:orient="landscape" w:code="9"/>
          <w:pgMar w:top="1134" w:right="1701" w:bottom="1134" w:left="2268" w:header="567" w:footer="567" w:gutter="0"/>
          <w:cols w:space="720"/>
          <w:docGrid w:linePitch="272"/>
        </w:sectPr>
      </w:pPr>
    </w:p>
    <w:p w:rsidR="003B5A4C" w:rsidRPr="00DD2A86" w:rsidRDefault="003B5A4C" w:rsidP="003B5A4C">
      <w:pPr>
        <w:keepNext/>
        <w:keepLines/>
        <w:tabs>
          <w:tab w:val="right" w:pos="851"/>
        </w:tabs>
        <w:spacing w:line="270" w:lineRule="exact"/>
        <w:ind w:left="1134" w:right="1134" w:hanging="1134"/>
        <w:rPr>
          <w:b/>
          <w:sz w:val="24"/>
          <w:lang w:val="de-DE"/>
        </w:rPr>
      </w:pPr>
    </w:p>
    <w:p w:rsidR="00EB786C" w:rsidRPr="00DD2A86" w:rsidRDefault="00EB786C" w:rsidP="00EB786C">
      <w:pPr>
        <w:keepNext/>
        <w:keepLines/>
        <w:tabs>
          <w:tab w:val="right" w:pos="851"/>
        </w:tabs>
        <w:spacing w:after="240" w:line="270" w:lineRule="exact"/>
        <w:ind w:left="1134" w:right="1134" w:hanging="1134"/>
        <w:rPr>
          <w:b/>
          <w:sz w:val="24"/>
          <w:lang w:val="de-DE"/>
        </w:rPr>
      </w:pPr>
      <w:r w:rsidRPr="00DD2A86">
        <w:rPr>
          <w:b/>
          <w:sz w:val="24"/>
          <w:lang w:val="de-DE"/>
        </w:rPr>
        <w:tab/>
      </w:r>
      <w:r w:rsidRPr="00DD2A86">
        <w:rPr>
          <w:b/>
          <w:sz w:val="24"/>
          <w:lang w:val="de-DE"/>
        </w:rPr>
        <w:tab/>
        <w:t>Kapitel 5.3</w:t>
      </w:r>
    </w:p>
    <w:p w:rsidR="00713506" w:rsidRPr="00DD2A86" w:rsidRDefault="00713506" w:rsidP="00713506">
      <w:pPr>
        <w:spacing w:after="120"/>
        <w:ind w:left="1134" w:right="1134"/>
        <w:jc w:val="both"/>
        <w:rPr>
          <w:iCs/>
          <w:lang w:val="de-DE"/>
        </w:rPr>
      </w:pPr>
      <w:r w:rsidRPr="00DD2A86">
        <w:rPr>
          <w:iCs/>
          <w:lang w:val="de-DE"/>
        </w:rPr>
        <w:t>5.3</w:t>
      </w:r>
      <w:r w:rsidRPr="00DD2A86">
        <w:rPr>
          <w:iCs/>
          <w:lang w:val="de-DE"/>
        </w:rPr>
        <w:tab/>
        <w:t>Die Überschrift erhält folgenden Wortlaut:</w:t>
      </w:r>
    </w:p>
    <w:p w:rsidR="00713506" w:rsidRPr="00DD2A86" w:rsidRDefault="00713506" w:rsidP="00713506">
      <w:pPr>
        <w:spacing w:after="120"/>
        <w:ind w:left="1134" w:right="1134"/>
        <w:jc w:val="both"/>
        <w:rPr>
          <w:b/>
          <w:iCs/>
          <w:lang w:val="de-DE"/>
        </w:rPr>
      </w:pPr>
      <w:r w:rsidRPr="00DD2A86">
        <w:rPr>
          <w:b/>
          <w:iCs/>
          <w:lang w:val="de-DE"/>
        </w:rPr>
        <w:t>„Anbringen von Großzetteln (Placards) an und Kennzeichnung von Containern, Schüttgut-Containern, MEGC, MEMU, Tankcontainern, ortsbeweglichen Tanks</w:t>
      </w:r>
      <w:r w:rsidR="00BE0AC7" w:rsidRPr="00DD2A86">
        <w:rPr>
          <w:b/>
          <w:iCs/>
          <w:lang w:val="de-DE"/>
        </w:rPr>
        <w:t>,</w:t>
      </w:r>
      <w:r w:rsidRPr="00DD2A86">
        <w:rPr>
          <w:b/>
          <w:iCs/>
          <w:lang w:val="de-DE"/>
        </w:rPr>
        <w:t xml:space="preserve"> Fahrzeugen und Wagen“</w:t>
      </w:r>
    </w:p>
    <w:p w:rsidR="00713506" w:rsidRPr="00DD2A86" w:rsidRDefault="00713506" w:rsidP="00713506">
      <w:pPr>
        <w:spacing w:after="120"/>
        <w:ind w:left="1134" w:right="1134"/>
        <w:jc w:val="both"/>
        <w:rPr>
          <w:iCs/>
          <w:lang w:val="de-DE"/>
        </w:rPr>
      </w:pPr>
      <w:r w:rsidRPr="00DD2A86">
        <w:rPr>
          <w:iCs/>
          <w:lang w:val="de-DE"/>
        </w:rPr>
        <w:t>5.3</w:t>
      </w:r>
      <w:r w:rsidRPr="00DD2A86">
        <w:rPr>
          <w:iCs/>
          <w:lang w:val="de-DE"/>
        </w:rPr>
        <w:tab/>
        <w:t>Die bestehende Bem. unter der Überschrift wird zu Bem. 1.</w:t>
      </w:r>
    </w:p>
    <w:p w:rsidR="00713506" w:rsidRPr="00DD2A86" w:rsidRDefault="00713506" w:rsidP="00713506">
      <w:pPr>
        <w:spacing w:after="120"/>
        <w:ind w:left="1134" w:right="1134"/>
        <w:jc w:val="both"/>
        <w:rPr>
          <w:iCs/>
          <w:lang w:val="de-DE"/>
        </w:rPr>
      </w:pPr>
      <w:r w:rsidRPr="00DD2A86">
        <w:rPr>
          <w:iCs/>
          <w:lang w:val="de-DE"/>
        </w:rPr>
        <w:t>In der Bem. 1 unter der Überschrift nach „Containern,“ einfügen: „Schüttgut-Containern,“.</w:t>
      </w:r>
    </w:p>
    <w:p w:rsidR="00713506" w:rsidRPr="00DD2A86" w:rsidRDefault="00713506" w:rsidP="00713506">
      <w:pPr>
        <w:spacing w:after="120"/>
        <w:ind w:left="1134" w:right="1134"/>
        <w:jc w:val="both"/>
        <w:rPr>
          <w:iCs/>
          <w:lang w:val="de-DE"/>
        </w:rPr>
      </w:pPr>
      <w:r w:rsidRPr="00DD2A86">
        <w:rPr>
          <w:iCs/>
          <w:lang w:val="de-DE"/>
        </w:rPr>
        <w:t>Eine neue Bem. 2 mit folgendem Wortlaut hinzufügen:</w:t>
      </w:r>
    </w:p>
    <w:p w:rsidR="00713506" w:rsidRPr="00DD2A86" w:rsidRDefault="00713506" w:rsidP="00713506">
      <w:pPr>
        <w:spacing w:after="120"/>
        <w:ind w:left="1134" w:right="1134"/>
        <w:jc w:val="both"/>
        <w:rPr>
          <w:iCs/>
          <w:lang w:val="de-DE"/>
        </w:rPr>
      </w:pPr>
      <w:r w:rsidRPr="00DD2A86">
        <w:rPr>
          <w:iCs/>
          <w:lang w:val="de-DE"/>
        </w:rPr>
        <w:t>„</w:t>
      </w:r>
      <w:r w:rsidRPr="00DD2A86">
        <w:rPr>
          <w:b/>
          <w:iCs/>
          <w:lang w:val="de-DE"/>
        </w:rPr>
        <w:t>2.</w:t>
      </w:r>
      <w:r w:rsidRPr="00DD2A86">
        <w:rPr>
          <w:iCs/>
          <w:lang w:val="de-DE"/>
        </w:rPr>
        <w:tab/>
        <w:t>In Übereinstimmung mit dem GHS sollte ein nach dem ADN nicht vorgeschriebenes GHS-Piktogramm während der Beförderung nur als vollständiges GHS-Kennzeichnungsetikett und nicht eigenständig erscheinen (siehe Absatz 1.4.10.4.4 des GHS).“.</w:t>
      </w:r>
    </w:p>
    <w:p w:rsidR="00713506" w:rsidRPr="00DD2A86" w:rsidRDefault="00713506" w:rsidP="00713506">
      <w:pPr>
        <w:spacing w:after="120"/>
        <w:ind w:left="1134" w:right="1134"/>
        <w:jc w:val="both"/>
        <w:rPr>
          <w:iCs/>
          <w:lang w:val="de-DE"/>
        </w:rPr>
      </w:pPr>
      <w:r w:rsidRPr="00DD2A86">
        <w:rPr>
          <w:iCs/>
          <w:lang w:val="de-DE"/>
        </w:rPr>
        <w:t>5.3.1.1.1</w:t>
      </w:r>
      <w:r w:rsidRPr="00DD2A86">
        <w:rPr>
          <w:iCs/>
          <w:lang w:val="de-DE"/>
        </w:rPr>
        <w:tab/>
        <w:t>Im ersten Satz nach „Container,“ einfügen: „Schüttgut-Container,“.</w:t>
      </w:r>
    </w:p>
    <w:p w:rsidR="00713506" w:rsidRPr="00DD2A86" w:rsidRDefault="00713506" w:rsidP="00713506">
      <w:pPr>
        <w:spacing w:after="120"/>
        <w:ind w:left="2268" w:right="1134"/>
        <w:jc w:val="both"/>
        <w:rPr>
          <w:iCs/>
          <w:lang w:val="de-DE"/>
        </w:rPr>
      </w:pPr>
      <w:r w:rsidRPr="00DD2A86">
        <w:rPr>
          <w:iCs/>
          <w:lang w:val="de-DE"/>
        </w:rPr>
        <w:t>Im zweiten Satz nach „Container,“ einfügen: „Schüttgut-Container,“.</w:t>
      </w:r>
    </w:p>
    <w:p w:rsidR="00713506" w:rsidRPr="00DD2A86" w:rsidRDefault="00713506" w:rsidP="00713506">
      <w:pPr>
        <w:spacing w:after="120"/>
        <w:ind w:left="1134" w:right="1134"/>
        <w:jc w:val="both"/>
        <w:rPr>
          <w:lang w:val="de-DE"/>
        </w:rPr>
      </w:pPr>
      <w:r w:rsidRPr="00DD2A86">
        <w:rPr>
          <w:lang w:val="de-DE"/>
        </w:rPr>
        <w:t>5.3.1.1.1</w:t>
      </w:r>
      <w:r w:rsidRPr="00DD2A86">
        <w:rPr>
          <w:lang w:val="de-DE"/>
        </w:rPr>
        <w:tab/>
        <w:t>Am Ende folgenden Satz hinzufügen:</w:t>
      </w:r>
    </w:p>
    <w:p w:rsidR="00713506" w:rsidRPr="00DD2A86" w:rsidRDefault="00713506" w:rsidP="00713506">
      <w:pPr>
        <w:spacing w:after="120"/>
        <w:ind w:left="1134" w:right="1134"/>
        <w:jc w:val="both"/>
        <w:rPr>
          <w:lang w:val="de-DE"/>
        </w:rPr>
      </w:pPr>
      <w:r w:rsidRPr="00DD2A86">
        <w:rPr>
          <w:lang w:val="de-DE"/>
        </w:rPr>
        <w:t>„Die Großzettel (Placards) müssen witterungsbeständig sein und eine dauerhafte Kennzeichnung während der gesamten Beförderung gewährleisten.“.</w:t>
      </w:r>
    </w:p>
    <w:p w:rsidR="005956BE" w:rsidRPr="00DD2A86" w:rsidRDefault="005956BE" w:rsidP="005956BE">
      <w:pPr>
        <w:spacing w:after="120"/>
        <w:ind w:left="1134" w:right="1134"/>
        <w:jc w:val="both"/>
        <w:rPr>
          <w:iCs/>
          <w:lang w:val="de-DE"/>
        </w:rPr>
      </w:pPr>
      <w:r w:rsidRPr="00DD2A86">
        <w:rPr>
          <w:iCs/>
          <w:lang w:val="de-DE"/>
        </w:rPr>
        <w:t>5.3.1.1.3</w:t>
      </w:r>
      <w:r w:rsidRPr="00DD2A86">
        <w:rPr>
          <w:iCs/>
          <w:lang w:val="de-DE"/>
        </w:rPr>
        <w:tab/>
        <w:t>[Die Änderung zum ersten Unterabsatz in der englischen und französischen Fassung hat keine Auswirkungen auf den deutschen Text.]</w:t>
      </w:r>
    </w:p>
    <w:p w:rsidR="005956BE" w:rsidRPr="00DD2A86" w:rsidRDefault="005956BE" w:rsidP="005956BE">
      <w:pPr>
        <w:spacing w:after="120"/>
        <w:ind w:left="1134" w:right="1134"/>
        <w:jc w:val="both"/>
        <w:rPr>
          <w:iCs/>
          <w:lang w:val="de-DE"/>
        </w:rPr>
      </w:pPr>
      <w:r w:rsidRPr="00DD2A86">
        <w:rPr>
          <w:iCs/>
          <w:lang w:val="de-DE"/>
        </w:rPr>
        <w:t>5.3.1.1.5</w:t>
      </w:r>
      <w:r w:rsidRPr="00DD2A86">
        <w:rPr>
          <w:iCs/>
          <w:lang w:val="de-DE"/>
        </w:rPr>
        <w:tab/>
        <w:t>[Die Änderungen in der englischen und französischen Fassung haben keine Auswirkungen auf den deutschen Text.]</w:t>
      </w:r>
    </w:p>
    <w:p w:rsidR="005956BE" w:rsidRPr="00DD2A86" w:rsidRDefault="005956BE" w:rsidP="005956BE">
      <w:pPr>
        <w:spacing w:after="120"/>
        <w:ind w:left="1134" w:right="1134"/>
        <w:jc w:val="both"/>
        <w:rPr>
          <w:iCs/>
          <w:lang w:val="de-DE"/>
        </w:rPr>
      </w:pPr>
      <w:r w:rsidRPr="00DD2A86">
        <w:rPr>
          <w:iCs/>
          <w:lang w:val="de-DE"/>
        </w:rPr>
        <w:t>5.3.1.2</w:t>
      </w:r>
      <w:r w:rsidRPr="00DD2A86">
        <w:rPr>
          <w:iCs/>
          <w:lang w:val="de-DE"/>
        </w:rPr>
        <w:tab/>
      </w:r>
      <w:r w:rsidRPr="00DD2A86">
        <w:rPr>
          <w:iCs/>
          <w:lang w:val="de-DE"/>
        </w:rPr>
        <w:tab/>
        <w:t>In der Überschrift nach „Containern,“ einfügen: „Schüttgut-Containern,“.</w:t>
      </w:r>
    </w:p>
    <w:p w:rsidR="005956BE" w:rsidRPr="00DD2A86" w:rsidRDefault="005956BE" w:rsidP="005956BE">
      <w:pPr>
        <w:spacing w:after="120"/>
        <w:ind w:left="2268" w:right="1134"/>
        <w:jc w:val="both"/>
        <w:rPr>
          <w:iCs/>
          <w:lang w:val="de-DE"/>
        </w:rPr>
      </w:pPr>
      <w:r w:rsidRPr="00DD2A86">
        <w:rPr>
          <w:iCs/>
          <w:lang w:val="de-DE"/>
        </w:rPr>
        <w:t>Im Satz nach der Bem. vor „anzubringen“ einfügen: „und an zwei gegenüberliegenden Seiten des Schüttgut-Containers“.</w:t>
      </w:r>
    </w:p>
    <w:p w:rsidR="005956BE" w:rsidRPr="00DD2A86" w:rsidRDefault="005956BE" w:rsidP="005956BE">
      <w:pPr>
        <w:spacing w:after="120"/>
        <w:ind w:left="1134" w:right="1134"/>
        <w:jc w:val="both"/>
        <w:rPr>
          <w:iCs/>
          <w:lang w:val="de-DE"/>
        </w:rPr>
      </w:pPr>
      <w:r w:rsidRPr="00DD2A86">
        <w:rPr>
          <w:iCs/>
          <w:lang w:val="de-DE"/>
        </w:rPr>
        <w:t>5.3.1.3</w:t>
      </w:r>
      <w:r w:rsidRPr="00DD2A86">
        <w:rPr>
          <w:iCs/>
          <w:lang w:val="de-DE"/>
        </w:rPr>
        <w:tab/>
      </w:r>
      <w:r w:rsidRPr="00DD2A86">
        <w:rPr>
          <w:iCs/>
          <w:lang w:val="de-DE"/>
        </w:rPr>
        <w:tab/>
        <w:t>In der Überschrift nach „Container,“ einfügen: „Schüttgut-Container,“.</w:t>
      </w:r>
    </w:p>
    <w:p w:rsidR="005956BE" w:rsidRPr="00DD2A86" w:rsidRDefault="005956BE" w:rsidP="005956BE">
      <w:pPr>
        <w:spacing w:after="120"/>
        <w:ind w:left="2268" w:right="1134"/>
        <w:jc w:val="both"/>
        <w:rPr>
          <w:iCs/>
          <w:lang w:val="de-DE"/>
        </w:rPr>
      </w:pPr>
      <w:r w:rsidRPr="00DD2A86">
        <w:rPr>
          <w:iCs/>
          <w:lang w:val="de-DE"/>
        </w:rPr>
        <w:t>Im Satz nach der Bem. nach „Containern,“ einfügen: „Schüttgut-Containern,“.</w:t>
      </w:r>
    </w:p>
    <w:p w:rsidR="005956BE" w:rsidRPr="00DD2A86" w:rsidRDefault="005956BE" w:rsidP="005956BE">
      <w:pPr>
        <w:spacing w:after="120"/>
        <w:ind w:left="2268" w:right="1134" w:hanging="1134"/>
        <w:jc w:val="both"/>
        <w:rPr>
          <w:iCs/>
          <w:lang w:val="de-DE"/>
        </w:rPr>
      </w:pPr>
      <w:r w:rsidRPr="00DD2A86">
        <w:rPr>
          <w:iCs/>
          <w:lang w:val="de-DE"/>
        </w:rPr>
        <w:t>5.3.2.1.4</w:t>
      </w:r>
      <w:r w:rsidRPr="00DD2A86">
        <w:rPr>
          <w:iCs/>
          <w:lang w:val="de-DE"/>
        </w:rPr>
        <w:tab/>
        <w:t xml:space="preserve">Im ersten Satz „bei Beförderungseinheiten und Containern“ ändern in: „bei </w:t>
      </w:r>
      <w:r w:rsidR="00AC5DA0" w:rsidRPr="00DD2A86">
        <w:rPr>
          <w:iCs/>
          <w:lang w:val="de-DE"/>
        </w:rPr>
        <w:t>Fahrzeugen</w:t>
      </w:r>
      <w:r w:rsidRPr="00DD2A86">
        <w:rPr>
          <w:iCs/>
          <w:lang w:val="de-DE"/>
        </w:rPr>
        <w:t>, Containern und Schüttgut-Containern“.</w:t>
      </w:r>
    </w:p>
    <w:p w:rsidR="005956BE" w:rsidRPr="00DD2A86" w:rsidRDefault="005956BE" w:rsidP="005956BE">
      <w:pPr>
        <w:spacing w:after="120"/>
        <w:ind w:left="2268" w:right="1134"/>
        <w:jc w:val="both"/>
        <w:rPr>
          <w:iCs/>
          <w:lang w:val="de-DE"/>
        </w:rPr>
      </w:pPr>
      <w:r w:rsidRPr="00DD2A86">
        <w:rPr>
          <w:iCs/>
          <w:lang w:val="de-DE"/>
        </w:rPr>
        <w:t>Im ersten Satz „jeder Beförderungseinheit oder jedes Containers“ ändern in: „</w:t>
      </w:r>
      <w:r w:rsidR="00AC5DA0" w:rsidRPr="00DD2A86">
        <w:rPr>
          <w:iCs/>
          <w:lang w:val="de-DE"/>
        </w:rPr>
        <w:t>jedes Fahrzeugs</w:t>
      </w:r>
      <w:r w:rsidRPr="00DD2A86">
        <w:rPr>
          <w:iCs/>
          <w:lang w:val="de-DE"/>
        </w:rPr>
        <w:t>, jedes Containers oder jedes Schüttgut-Containers“.</w:t>
      </w:r>
    </w:p>
    <w:p w:rsidR="005956BE" w:rsidRPr="00DD2A86" w:rsidRDefault="005956BE" w:rsidP="005956BE">
      <w:pPr>
        <w:spacing w:after="120"/>
        <w:ind w:left="2268" w:right="1134"/>
        <w:jc w:val="both"/>
        <w:rPr>
          <w:iCs/>
          <w:lang w:val="de-DE"/>
        </w:rPr>
      </w:pPr>
      <w:r w:rsidRPr="00DD2A86">
        <w:rPr>
          <w:iCs/>
          <w:lang w:val="de-DE"/>
        </w:rPr>
        <w:t>Im zweiten Satz (erste Fundestelle) „in der Beförderungseinheit oder im Container“ ändern in: „</w:t>
      </w:r>
      <w:r w:rsidR="00AC5DA0" w:rsidRPr="00DD2A86">
        <w:rPr>
          <w:iCs/>
          <w:lang w:val="de-DE"/>
        </w:rPr>
        <w:t>im Fahrzeug</w:t>
      </w:r>
      <w:r w:rsidRPr="00DD2A86">
        <w:rPr>
          <w:iCs/>
          <w:lang w:val="de-DE"/>
        </w:rPr>
        <w:t>, Container oder Schüttgut-Container“.</w:t>
      </w:r>
    </w:p>
    <w:p w:rsidR="00080D01" w:rsidRPr="00DD2A86" w:rsidRDefault="00080D01" w:rsidP="005956BE">
      <w:pPr>
        <w:spacing w:after="120"/>
        <w:ind w:left="2268" w:right="1134"/>
        <w:jc w:val="both"/>
        <w:rPr>
          <w:iCs/>
          <w:lang w:val="de-DE"/>
        </w:rPr>
      </w:pPr>
      <w:r w:rsidRPr="00DD2A86">
        <w:rPr>
          <w:iCs/>
          <w:lang w:val="de-DE"/>
        </w:rPr>
        <w:t>Im zweiten Satz (zweite Fundstelle) „in der Beförderungseinheit oder im Container“ ändern in: „im Fahrzeug oder im Container</w:t>
      </w:r>
    </w:p>
    <w:p w:rsidR="009A1750" w:rsidRPr="00DD2A86" w:rsidRDefault="009A1750" w:rsidP="009A1750">
      <w:pPr>
        <w:spacing w:after="120"/>
        <w:ind w:left="1134" w:right="1134"/>
        <w:jc w:val="both"/>
        <w:rPr>
          <w:iCs/>
          <w:lang w:val="de-DE"/>
        </w:rPr>
      </w:pPr>
      <w:r w:rsidRPr="00DD2A86">
        <w:rPr>
          <w:iCs/>
          <w:lang w:val="de-DE"/>
        </w:rPr>
        <w:t>5.3.2.1.5</w:t>
      </w:r>
      <w:r w:rsidRPr="00DD2A86">
        <w:rPr>
          <w:iCs/>
          <w:lang w:val="de-DE"/>
        </w:rPr>
        <w:tab/>
        <w:t>Nach „Containern,“ einfügen: „Schüttgut-Containern,“.</w:t>
      </w:r>
    </w:p>
    <w:p w:rsidR="009A1750" w:rsidRPr="00DD2A86" w:rsidRDefault="009A1750" w:rsidP="009A1750">
      <w:pPr>
        <w:spacing w:after="120"/>
        <w:ind w:left="1134" w:right="1134"/>
        <w:jc w:val="both"/>
        <w:rPr>
          <w:iCs/>
          <w:lang w:val="de-DE"/>
        </w:rPr>
      </w:pPr>
      <w:r w:rsidRPr="00DD2A86">
        <w:rPr>
          <w:iCs/>
          <w:lang w:val="de-DE"/>
        </w:rPr>
        <w:t>5.3.2.3.2</w:t>
      </w:r>
      <w:r w:rsidRPr="00DD2A86">
        <w:rPr>
          <w:iCs/>
          <w:lang w:val="de-DE"/>
        </w:rPr>
        <w:tab/>
        <w:t>Bei der Nummer zur Kennzeichnung der Gefahr „20“ „Zusatzgefahr“ ändern in: „Nebengefahr“.</w:t>
      </w:r>
    </w:p>
    <w:p w:rsidR="00EB786C" w:rsidRPr="00DD2A86" w:rsidRDefault="00EB786C" w:rsidP="00EB786C">
      <w:pPr>
        <w:spacing w:after="120"/>
        <w:ind w:left="1134" w:right="1134"/>
        <w:jc w:val="both"/>
        <w:rPr>
          <w:lang w:val="de-DE"/>
        </w:rPr>
      </w:pPr>
      <w:r w:rsidRPr="00DD2A86">
        <w:rPr>
          <w:lang w:val="de-DE"/>
        </w:rPr>
        <w:t>5.3.3</w:t>
      </w:r>
      <w:r w:rsidRPr="00DD2A86">
        <w:rPr>
          <w:lang w:val="de-DE"/>
        </w:rPr>
        <w:tab/>
        <w:t>Am Ende folgenden Satz hinzufügen: „Das Kennzeichen muss witterungsbeständig sein und eine dauerhafte Kennzeichnung während der gesamten Beförderung gewährleisten.“.</w:t>
      </w:r>
    </w:p>
    <w:p w:rsidR="009A1750" w:rsidRPr="00DD2A86" w:rsidRDefault="009A1750" w:rsidP="009A1750">
      <w:pPr>
        <w:spacing w:after="120"/>
        <w:ind w:left="1134" w:right="1134"/>
        <w:jc w:val="both"/>
        <w:rPr>
          <w:iCs/>
          <w:lang w:val="de-DE"/>
        </w:rPr>
      </w:pPr>
      <w:r w:rsidRPr="00DD2A86">
        <w:rPr>
          <w:iCs/>
          <w:lang w:val="de-DE"/>
        </w:rPr>
        <w:t>5.3.6.1 und 5.3.6.2</w:t>
      </w:r>
      <w:r w:rsidRPr="00DD2A86">
        <w:rPr>
          <w:iCs/>
          <w:lang w:val="de-DE"/>
        </w:rPr>
        <w:tab/>
        <w:t>Nach „Container,“ einfügen: „Schüttgut-Container,“.</w:t>
      </w:r>
    </w:p>
    <w:p w:rsidR="005666AB" w:rsidRPr="00DD2A86" w:rsidRDefault="005666AB" w:rsidP="005666AB">
      <w:pPr>
        <w:spacing w:after="120"/>
        <w:ind w:left="1134" w:right="1134"/>
        <w:jc w:val="both"/>
        <w:rPr>
          <w:lang w:val="de-DE"/>
        </w:rPr>
      </w:pPr>
      <w:r w:rsidRPr="00DD2A86">
        <w:rPr>
          <w:lang w:val="de-DE"/>
        </w:rPr>
        <w:t>5.3.6.1</w:t>
      </w:r>
      <w:r w:rsidRPr="00DD2A86">
        <w:rPr>
          <w:lang w:val="de-DE"/>
        </w:rPr>
        <w:tab/>
      </w:r>
      <w:r w:rsidRPr="00DD2A86">
        <w:rPr>
          <w:lang w:val="de-DE"/>
        </w:rPr>
        <w:tab/>
        <w:t>Am Ende hinzufügen: „Dies gilt nicht für die in Absatz 5.2.1.8.1 genannten Ausnahmen.“.</w:t>
      </w:r>
    </w:p>
    <w:p w:rsidR="009A1750" w:rsidRPr="00DD2A86" w:rsidRDefault="009A1750" w:rsidP="00EB786C">
      <w:pPr>
        <w:spacing w:after="120"/>
        <w:ind w:left="1134" w:right="1134"/>
        <w:jc w:val="both"/>
        <w:rPr>
          <w:b/>
          <w:sz w:val="24"/>
          <w:lang w:val="de-DE"/>
        </w:rPr>
      </w:pPr>
    </w:p>
    <w:p w:rsidR="004F7853" w:rsidRPr="00DD2A86" w:rsidRDefault="004F7853" w:rsidP="00B61A90">
      <w:pPr>
        <w:keepNext/>
        <w:keepLines/>
        <w:tabs>
          <w:tab w:val="right" w:pos="851"/>
        </w:tabs>
        <w:spacing w:before="360" w:after="240" w:line="270" w:lineRule="exact"/>
        <w:ind w:left="1134" w:right="521" w:hanging="1134"/>
        <w:rPr>
          <w:b/>
          <w:sz w:val="24"/>
          <w:lang w:val="de-DE"/>
        </w:rPr>
      </w:pPr>
      <w:r w:rsidRPr="00DD2A86">
        <w:rPr>
          <w:b/>
          <w:sz w:val="24"/>
          <w:lang w:val="de-DE"/>
        </w:rPr>
        <w:t>Kapitel 5</w:t>
      </w:r>
      <w:r w:rsidR="00EB786C" w:rsidRPr="00DD2A86">
        <w:rPr>
          <w:b/>
          <w:sz w:val="24"/>
          <w:lang w:val="de-DE"/>
        </w:rPr>
        <w:t>.4</w:t>
      </w:r>
    </w:p>
    <w:p w:rsidR="00977903" w:rsidRPr="00DD2A86" w:rsidRDefault="00977903" w:rsidP="00977903">
      <w:pPr>
        <w:spacing w:after="120"/>
        <w:ind w:left="1134" w:right="1134"/>
        <w:jc w:val="both"/>
        <w:rPr>
          <w:iCs/>
          <w:lang w:val="de-DE"/>
        </w:rPr>
      </w:pPr>
      <w:r w:rsidRPr="00DD2A86">
        <w:rPr>
          <w:lang w:val="de-DE"/>
        </w:rPr>
        <w:t>5.4.1.1.1</w:t>
      </w:r>
      <w:r w:rsidRPr="00DD2A86">
        <w:rPr>
          <w:lang w:val="de-DE"/>
        </w:rPr>
        <w:tab/>
      </w:r>
      <w:r w:rsidRPr="00DD2A86">
        <w:rPr>
          <w:iCs/>
          <w:lang w:val="de-DE"/>
        </w:rPr>
        <w:t>[Die Änderungen zu den Absätzen c) und d) in der englischen und französischen Fassung haben keine Auswirkungen auf den deutschen Text.]</w:t>
      </w:r>
    </w:p>
    <w:p w:rsidR="00977903" w:rsidRPr="00DD2A86" w:rsidRDefault="00977903" w:rsidP="00977903">
      <w:pPr>
        <w:spacing w:after="120"/>
        <w:ind w:left="1134" w:right="1134"/>
        <w:jc w:val="both"/>
        <w:rPr>
          <w:iCs/>
          <w:lang w:val="de-DE"/>
        </w:rPr>
      </w:pPr>
      <w:r w:rsidRPr="00DD2A86">
        <w:rPr>
          <w:lang w:val="de-DE"/>
        </w:rPr>
        <w:t>5.4.1.1.5</w:t>
      </w:r>
      <w:r w:rsidRPr="00DD2A86">
        <w:rPr>
          <w:lang w:val="de-DE"/>
        </w:rPr>
        <w:tab/>
      </w:r>
      <w:r w:rsidRPr="00DD2A86">
        <w:rPr>
          <w:iCs/>
          <w:lang w:val="de-DE"/>
        </w:rPr>
        <w:t>In der Überschrift nach „Bergungsverpackungen“ einfügen: „, einschließlich Bergungsgroßverpackungen,“.</w:t>
      </w:r>
    </w:p>
    <w:p w:rsidR="00977903" w:rsidRPr="00DD2A86" w:rsidRDefault="00977903" w:rsidP="00977903">
      <w:pPr>
        <w:spacing w:after="120"/>
        <w:ind w:left="1134" w:right="1134"/>
        <w:jc w:val="both"/>
        <w:rPr>
          <w:iCs/>
          <w:lang w:val="de-DE"/>
        </w:rPr>
      </w:pPr>
      <w:r w:rsidRPr="00DD2A86">
        <w:rPr>
          <w:iCs/>
          <w:lang w:val="de-DE"/>
        </w:rPr>
        <w:t>Im ersten Satz nach „in einer Bergungsverpackung“ einfügen: „, einschließlich einer Bergungsgroßverpackung,“.</w:t>
      </w:r>
    </w:p>
    <w:p w:rsidR="00977903" w:rsidRPr="00DD2A86" w:rsidRDefault="00977903" w:rsidP="00977903">
      <w:pPr>
        <w:tabs>
          <w:tab w:val="left" w:pos="1854"/>
        </w:tabs>
        <w:spacing w:after="120"/>
        <w:ind w:left="1134" w:right="1134"/>
        <w:jc w:val="both"/>
        <w:rPr>
          <w:iCs/>
          <w:lang w:val="de-DE"/>
        </w:rPr>
      </w:pPr>
      <w:r w:rsidRPr="00DD2A86">
        <w:rPr>
          <w:lang w:val="de-DE"/>
        </w:rPr>
        <w:t>5.4.1.1.6.2.1 b)</w:t>
      </w:r>
      <w:r w:rsidRPr="00DD2A86">
        <w:rPr>
          <w:lang w:val="de-DE"/>
        </w:rPr>
        <w:tab/>
      </w:r>
      <w:r w:rsidRPr="00DD2A86">
        <w:rPr>
          <w:iCs/>
          <w:lang w:val="de-DE"/>
        </w:rPr>
        <w:t>[Die Änderungen zu Absatz b) in der englischen und französischen Fassung haben keine Auswirkungen auf den deutschen Text.]</w:t>
      </w:r>
    </w:p>
    <w:p w:rsidR="00977903" w:rsidRPr="00DD2A86" w:rsidRDefault="00977903" w:rsidP="00977903">
      <w:pPr>
        <w:spacing w:before="120" w:after="120"/>
        <w:ind w:left="1134" w:right="1134"/>
        <w:jc w:val="both"/>
        <w:rPr>
          <w:iCs/>
          <w:lang w:val="de-DE"/>
        </w:rPr>
      </w:pPr>
      <w:r w:rsidRPr="00DD2A86">
        <w:rPr>
          <w:lang w:val="de-DE"/>
        </w:rPr>
        <w:t>5.4.1.1.15</w:t>
      </w:r>
      <w:r w:rsidRPr="00DD2A86">
        <w:rPr>
          <w:lang w:val="de-DE"/>
        </w:rPr>
        <w:tab/>
        <w:t>„</w:t>
      </w:r>
      <w:r w:rsidRPr="00DD2A86">
        <w:rPr>
          <w:iCs/>
          <w:lang w:val="de-DE"/>
        </w:rPr>
        <w:t>(siehe Absatz 2.2.41.1.17)“ ändern in: „(siehe Abschnitt 7.1.7)“.</w:t>
      </w:r>
    </w:p>
    <w:p w:rsidR="00977903" w:rsidRPr="00DD2A86" w:rsidRDefault="00977903" w:rsidP="00977903">
      <w:pPr>
        <w:tabs>
          <w:tab w:val="left" w:pos="1854"/>
        </w:tabs>
        <w:spacing w:after="120"/>
        <w:ind w:left="1134" w:right="1134"/>
        <w:jc w:val="both"/>
        <w:rPr>
          <w:iCs/>
          <w:lang w:val="de-DE"/>
        </w:rPr>
      </w:pPr>
      <w:r w:rsidRPr="00DD2A86">
        <w:rPr>
          <w:lang w:val="de-DE"/>
        </w:rPr>
        <w:t>5.4.1.1.19</w:t>
      </w:r>
      <w:r w:rsidRPr="00DD2A86">
        <w:rPr>
          <w:lang w:val="de-DE"/>
        </w:rPr>
        <w:tab/>
      </w:r>
      <w:r w:rsidRPr="00DD2A86">
        <w:rPr>
          <w:iCs/>
          <w:lang w:val="de-DE"/>
        </w:rPr>
        <w:t>[Die Änderungen zum ersten und zweiten Unterabsatz in der englischen und französischen Fassung haben keine Auswirkungen auf den deutschen Text.]</w:t>
      </w:r>
    </w:p>
    <w:p w:rsidR="00977903" w:rsidRPr="00DD2A86" w:rsidRDefault="00977903" w:rsidP="00977903">
      <w:pPr>
        <w:spacing w:after="120"/>
        <w:ind w:left="1134" w:right="1134"/>
        <w:jc w:val="both"/>
        <w:rPr>
          <w:iCs/>
          <w:lang w:val="de-DE"/>
        </w:rPr>
      </w:pPr>
      <w:r w:rsidRPr="00DD2A86">
        <w:rPr>
          <w:lang w:val="de-DE"/>
        </w:rPr>
        <w:t>5.4.1.2.3.1</w:t>
      </w:r>
      <w:r w:rsidRPr="00DD2A86">
        <w:rPr>
          <w:lang w:val="de-DE"/>
        </w:rPr>
        <w:tab/>
        <w:t>„</w:t>
      </w:r>
      <w:r w:rsidRPr="00DD2A86">
        <w:rPr>
          <w:iCs/>
          <w:lang w:val="de-DE"/>
        </w:rPr>
        <w:t>Absätze 2.2.52.1.15 bis 2.2.52.1.17“ ändern in: „Absatz 2.2.52.1.15“.</w:t>
      </w:r>
    </w:p>
    <w:p w:rsidR="00977903" w:rsidRPr="00DD2A86" w:rsidRDefault="00977903" w:rsidP="00977903">
      <w:pPr>
        <w:tabs>
          <w:tab w:val="left" w:pos="1854"/>
        </w:tabs>
        <w:spacing w:after="120"/>
        <w:ind w:left="1134" w:right="1134"/>
        <w:jc w:val="both"/>
        <w:rPr>
          <w:iCs/>
          <w:lang w:val="de-DE" w:eastAsia="en-GB"/>
        </w:rPr>
      </w:pPr>
      <w:r w:rsidRPr="00DD2A86">
        <w:rPr>
          <w:lang w:val="de-DE"/>
        </w:rPr>
        <w:t>5.4.1.2.5.1 b)</w:t>
      </w:r>
      <w:r w:rsidRPr="00DD2A86">
        <w:rPr>
          <w:lang w:val="de-DE"/>
        </w:rPr>
        <w:tab/>
      </w:r>
      <w:r w:rsidRPr="00DD2A86">
        <w:rPr>
          <w:lang w:val="de-DE"/>
        </w:rPr>
        <w:tab/>
      </w:r>
      <w:r w:rsidRPr="00DD2A86">
        <w:rPr>
          <w:iCs/>
          <w:lang w:val="de-DE" w:eastAsia="en-GB"/>
        </w:rPr>
        <w:t>[Die Änderung zu Absatz b) in der englischen und französischen Fassung hat keine Auswirkungen auf den deutschen Text.]</w:t>
      </w:r>
    </w:p>
    <w:p w:rsidR="00494C86" w:rsidRPr="00DD2A86" w:rsidRDefault="00494C86" w:rsidP="00494C86">
      <w:pPr>
        <w:tabs>
          <w:tab w:val="left" w:pos="2268"/>
        </w:tabs>
        <w:spacing w:after="120"/>
        <w:ind w:left="1134" w:right="1134"/>
        <w:jc w:val="both"/>
        <w:rPr>
          <w:iCs/>
          <w:lang w:val="de-DE"/>
        </w:rPr>
      </w:pPr>
      <w:r w:rsidRPr="00DD2A86">
        <w:rPr>
          <w:iCs/>
          <w:lang w:val="de-DE"/>
        </w:rPr>
        <w:t>5.4.2</w:t>
      </w:r>
      <w:r w:rsidRPr="00DD2A86">
        <w:rPr>
          <w:iCs/>
          <w:lang w:val="de-DE"/>
        </w:rPr>
        <w:tab/>
        <w:t>In der Fußnote 6), im Absatz 5.4.2.1.8 des IMDG-Codes „eine Erstickungsgefahr“ ändern in: „ein Erstickungsrisiko“.</w:t>
      </w:r>
    </w:p>
    <w:p w:rsidR="00494C86" w:rsidRPr="00DD2A86" w:rsidRDefault="00494C86" w:rsidP="00494C86">
      <w:pPr>
        <w:tabs>
          <w:tab w:val="left" w:pos="2268"/>
        </w:tabs>
        <w:spacing w:after="120"/>
        <w:ind w:left="1134" w:right="1134"/>
        <w:jc w:val="both"/>
        <w:rPr>
          <w:iCs/>
          <w:lang w:val="de-DE"/>
        </w:rPr>
      </w:pPr>
      <w:r w:rsidRPr="00DD2A86">
        <w:rPr>
          <w:iCs/>
          <w:lang w:val="de-DE"/>
        </w:rPr>
        <w:t>[Betrifft nur die deutsche Sprachfassung]</w:t>
      </w:r>
    </w:p>
    <w:p w:rsidR="004F7853" w:rsidRPr="00DD2A86" w:rsidRDefault="004F7853" w:rsidP="00817C87">
      <w:pPr>
        <w:spacing w:before="240"/>
        <w:ind w:left="1134" w:right="1134"/>
        <w:jc w:val="both"/>
        <w:rPr>
          <w:rFonts w:eastAsia="Calibri"/>
          <w:lang w:val="de-DE" w:eastAsia="de-DE"/>
        </w:rPr>
      </w:pPr>
      <w:r w:rsidRPr="00DD2A86">
        <w:rPr>
          <w:rFonts w:eastAsia="Calibri"/>
          <w:lang w:val="de-DE" w:eastAsia="de-DE"/>
        </w:rPr>
        <w:t>5.4.3</w:t>
      </w:r>
      <w:r w:rsidRPr="00DD2A86">
        <w:rPr>
          <w:rFonts w:eastAsia="Calibri"/>
          <w:lang w:val="de-DE" w:eastAsia="de-DE"/>
        </w:rPr>
        <w:tab/>
        <w:t>SCHRIFTLICHE WEISUNGEN GEMÄSS ADN - Maßnahmen bei einem Unfall oder Zwischenfall:</w:t>
      </w:r>
    </w:p>
    <w:p w:rsidR="004F7853" w:rsidRPr="00DD2A86" w:rsidRDefault="004F7853" w:rsidP="00817C87">
      <w:pPr>
        <w:spacing w:before="120" w:after="120"/>
        <w:ind w:left="1134" w:right="1134"/>
        <w:jc w:val="both"/>
        <w:rPr>
          <w:rFonts w:eastAsia="Calibri"/>
          <w:lang w:val="de-DE" w:eastAsia="de-DE"/>
        </w:rPr>
      </w:pPr>
      <w:r w:rsidRPr="00DD2A86">
        <w:rPr>
          <w:rFonts w:eastAsia="Calibri"/>
          <w:lang w:val="de-DE" w:eastAsia="de-DE"/>
        </w:rPr>
        <w:t>Der zweite Anstrich erhält folgenden Wortlaut:</w:t>
      </w:r>
    </w:p>
    <w:p w:rsidR="004F7853" w:rsidRPr="00DD2A86" w:rsidRDefault="004F7853" w:rsidP="008679D3">
      <w:pPr>
        <w:ind w:left="1418" w:right="1134" w:hanging="284"/>
        <w:jc w:val="both"/>
        <w:rPr>
          <w:rFonts w:eastAsia="Calibri"/>
          <w:lang w:val="de-DE" w:eastAsia="de-DE"/>
        </w:rPr>
      </w:pPr>
      <w:r w:rsidRPr="00DD2A86">
        <w:rPr>
          <w:rFonts w:eastAsia="Calibri"/>
          <w:lang w:val="de-DE" w:eastAsia="de-DE"/>
        </w:rPr>
        <w:t>„-</w:t>
      </w:r>
      <w:r w:rsidRPr="00DD2A86">
        <w:rPr>
          <w:rFonts w:eastAsia="Calibri"/>
          <w:lang w:val="de-DE" w:eastAsia="de-DE"/>
        </w:rPr>
        <w:tab/>
        <w:t xml:space="preserve">Zündquellen vermeiden, insbesondere nicht rauchen oder elektronische Zigaretten oder ähnliche Geräte verwenden und keine Anlagen und Geräte ein- oder ausschalten, sofern sie nicht mindestens die Anforderungen für den Betrieb in Zone 1 erfüllen (d.h. keine Anlagen und Geräte, die gemäß Absatz 9.1.0.52.1, 9.3.1.52.2, 9.3.2.52.2 oder 9.3.3.52.2 rot gekennzeichnet sind) und nicht als </w:t>
      </w:r>
      <w:r w:rsidR="0006709A" w:rsidRPr="00DD2A86">
        <w:rPr>
          <w:rFonts w:eastAsia="Calibri"/>
          <w:lang w:val="de-DE" w:eastAsia="de-DE"/>
        </w:rPr>
        <w:t xml:space="preserve">Notfallmaßnahme </w:t>
      </w:r>
      <w:r w:rsidRPr="00DD2A86">
        <w:rPr>
          <w:rFonts w:eastAsia="Calibri"/>
          <w:lang w:val="de-DE" w:eastAsia="de-DE"/>
        </w:rPr>
        <w:t>dienen;“.</w:t>
      </w:r>
    </w:p>
    <w:p w:rsidR="00FF1228" w:rsidRPr="00DD2A86" w:rsidRDefault="00FF1228" w:rsidP="00817C87">
      <w:pPr>
        <w:spacing w:after="240"/>
        <w:ind w:left="2268" w:right="1134"/>
        <w:jc w:val="both"/>
        <w:rPr>
          <w:rFonts w:eastAsia="Calibri"/>
          <w:lang w:val="de-DE" w:eastAsia="de-DE"/>
        </w:rPr>
      </w:pPr>
    </w:p>
    <w:p w:rsidR="00494C86" w:rsidRPr="00DD2A86" w:rsidRDefault="00494C86" w:rsidP="00817C87">
      <w:pPr>
        <w:keepNext/>
        <w:keepLines/>
        <w:tabs>
          <w:tab w:val="right" w:pos="851"/>
        </w:tabs>
        <w:spacing w:before="240" w:after="240" w:line="270" w:lineRule="exact"/>
        <w:ind w:left="1134" w:right="1134" w:hanging="1134"/>
        <w:rPr>
          <w:b/>
          <w:sz w:val="24"/>
          <w:lang w:val="de-DE"/>
        </w:rPr>
      </w:pPr>
      <w:r w:rsidRPr="00DD2A86">
        <w:rPr>
          <w:b/>
          <w:sz w:val="24"/>
          <w:lang w:val="de-DE"/>
        </w:rPr>
        <w:t>Kapitel 5.5</w:t>
      </w:r>
    </w:p>
    <w:p w:rsidR="00494C86" w:rsidRPr="00DD2A86" w:rsidRDefault="00494C86" w:rsidP="00494C86">
      <w:pPr>
        <w:tabs>
          <w:tab w:val="left" w:pos="2268"/>
        </w:tabs>
        <w:spacing w:after="120"/>
        <w:ind w:left="1134" w:right="1134"/>
        <w:jc w:val="both"/>
        <w:rPr>
          <w:iCs/>
          <w:lang w:val="de-DE"/>
        </w:rPr>
      </w:pPr>
      <w:r w:rsidRPr="00DD2A86">
        <w:rPr>
          <w:iCs/>
          <w:lang w:val="de-DE"/>
        </w:rPr>
        <w:t>5.5.3</w:t>
      </w:r>
      <w:r w:rsidRPr="00DD2A86">
        <w:rPr>
          <w:iCs/>
          <w:lang w:val="de-DE"/>
        </w:rPr>
        <w:tab/>
        <w:t>In der Überschrift „eine Erstickungsgefahr“ ändern in: „ein Erstickungsrisiko“.</w:t>
      </w:r>
    </w:p>
    <w:p w:rsidR="00494C86" w:rsidRPr="00DD2A86" w:rsidRDefault="00494C86" w:rsidP="00494C86">
      <w:pPr>
        <w:tabs>
          <w:tab w:val="left" w:pos="2268"/>
        </w:tabs>
        <w:spacing w:after="120"/>
        <w:ind w:left="1134" w:right="1134"/>
        <w:jc w:val="both"/>
        <w:rPr>
          <w:iCs/>
          <w:lang w:val="de-DE"/>
        </w:rPr>
      </w:pPr>
      <w:r w:rsidRPr="00DD2A86">
        <w:rPr>
          <w:iCs/>
          <w:lang w:val="de-DE"/>
        </w:rPr>
        <w:t>[Betrifft nur die deutsche Sprachfassung]</w:t>
      </w:r>
    </w:p>
    <w:p w:rsidR="00494C86" w:rsidRPr="00DD2A86" w:rsidRDefault="00494C86" w:rsidP="00494C86">
      <w:pPr>
        <w:tabs>
          <w:tab w:val="left" w:pos="2268"/>
        </w:tabs>
        <w:spacing w:after="120"/>
        <w:ind w:left="1134" w:right="1134"/>
        <w:jc w:val="both"/>
        <w:rPr>
          <w:iCs/>
          <w:lang w:val="de-DE"/>
        </w:rPr>
      </w:pPr>
      <w:r w:rsidRPr="00DD2A86">
        <w:rPr>
          <w:iCs/>
          <w:lang w:val="de-DE"/>
        </w:rPr>
        <w:t>5.5.3.1.5</w:t>
      </w:r>
      <w:r w:rsidRPr="00DD2A86">
        <w:rPr>
          <w:iCs/>
          <w:lang w:val="de-DE"/>
        </w:rPr>
        <w:tab/>
        <w:t>Im ersten Satz „eine tatsächliche Erstickungsgefahr“ ändern in: „ein tatsächliches Erstickungsrisiko“.</w:t>
      </w:r>
    </w:p>
    <w:p w:rsidR="00494C86" w:rsidRPr="00DD2A86" w:rsidRDefault="00494C86" w:rsidP="00494C86">
      <w:pPr>
        <w:tabs>
          <w:tab w:val="left" w:pos="2268"/>
        </w:tabs>
        <w:spacing w:after="120"/>
        <w:ind w:left="1134" w:right="1134"/>
        <w:jc w:val="both"/>
        <w:rPr>
          <w:iCs/>
          <w:lang w:val="de-DE"/>
        </w:rPr>
      </w:pPr>
      <w:r w:rsidRPr="00DD2A86">
        <w:rPr>
          <w:iCs/>
          <w:lang w:val="de-DE"/>
        </w:rPr>
        <w:t>[Betrifft nur die deutsche Sprachfassung]</w:t>
      </w:r>
    </w:p>
    <w:p w:rsidR="00494C86" w:rsidRPr="00DD2A86" w:rsidRDefault="00494C86" w:rsidP="00817C87">
      <w:pPr>
        <w:keepNext/>
        <w:keepLines/>
        <w:tabs>
          <w:tab w:val="right" w:pos="851"/>
        </w:tabs>
        <w:spacing w:before="240" w:after="240" w:line="270" w:lineRule="exact"/>
        <w:ind w:left="1134" w:right="1134" w:hanging="1134"/>
        <w:rPr>
          <w:b/>
          <w:sz w:val="24"/>
          <w:lang w:val="de-DE"/>
        </w:rPr>
      </w:pPr>
    </w:p>
    <w:p w:rsidR="004F7853" w:rsidRPr="00DD2A86" w:rsidRDefault="004F7853" w:rsidP="00817C87">
      <w:pPr>
        <w:keepNext/>
        <w:keepLines/>
        <w:tabs>
          <w:tab w:val="right" w:pos="851"/>
        </w:tabs>
        <w:spacing w:before="240" w:after="240" w:line="270" w:lineRule="exact"/>
        <w:ind w:left="1134" w:right="1134" w:hanging="1134"/>
        <w:rPr>
          <w:b/>
          <w:sz w:val="24"/>
          <w:lang w:val="de-DE"/>
        </w:rPr>
      </w:pPr>
      <w:r w:rsidRPr="00DD2A86">
        <w:rPr>
          <w:b/>
          <w:sz w:val="24"/>
          <w:lang w:val="de-DE"/>
        </w:rPr>
        <w:t>Kapitel 7.1</w:t>
      </w:r>
    </w:p>
    <w:p w:rsidR="004F7853" w:rsidRPr="00DD2A86" w:rsidRDefault="004F7853" w:rsidP="00817C87">
      <w:pPr>
        <w:spacing w:after="120"/>
        <w:ind w:left="1134" w:right="1134"/>
        <w:jc w:val="both"/>
        <w:rPr>
          <w:lang w:val="de-DE"/>
        </w:rPr>
      </w:pPr>
      <w:r w:rsidRPr="00DD2A86">
        <w:rPr>
          <w:rFonts w:eastAsia="Calibri"/>
          <w:lang w:val="de-DE"/>
        </w:rPr>
        <w:t>7.1.2.19.1</w:t>
      </w:r>
      <w:r w:rsidRPr="00DD2A86">
        <w:rPr>
          <w:rFonts w:eastAsia="Calibri"/>
          <w:lang w:val="de-DE"/>
        </w:rPr>
        <w:tab/>
      </w:r>
      <w:r w:rsidRPr="00DD2A86">
        <w:rPr>
          <w:lang w:val="de-DE"/>
        </w:rPr>
        <w:t>der zweite Absatz erhält nach dem Doppelpunkt folgenden Wortlaut:</w:t>
      </w:r>
    </w:p>
    <w:p w:rsidR="006143DB" w:rsidRPr="00DD2A86" w:rsidRDefault="004F7853" w:rsidP="008679D3">
      <w:pPr>
        <w:spacing w:after="120"/>
        <w:ind w:left="1134" w:right="1134"/>
        <w:jc w:val="both"/>
        <w:rPr>
          <w:rFonts w:eastAsia="Calibri"/>
          <w:lang w:val="de-DE"/>
        </w:rPr>
      </w:pPr>
      <w:r w:rsidRPr="00DD2A86">
        <w:rPr>
          <w:rFonts w:eastAsia="Calibri"/>
          <w:lang w:val="de-DE"/>
        </w:rPr>
        <w:t>„1.16.1.1, 1.16.1.2, 1.16.1.3, 1.16.1.4, 7.1.2.5, 8.1.4, 8.1.5, 8.1.6.1, 8.1.6.3, 8.1.7, 8.3.5, 9.1.0.0, 9.1.0.12.3, 9.1.0.12.4, 9.1.0.17.2, 9.1.0.17.3, 9.1.0.31, 9.1.0.32.2, 9.1.0.34, 9.1.0.40.2, 9.1.0.41, 9.1.0.51, 9.1.0.52, 9.1.0.71 und 9.1.0.74.“.</w:t>
      </w:r>
    </w:p>
    <w:p w:rsidR="00584DD1" w:rsidRPr="00DD2A86" w:rsidRDefault="00584DD1" w:rsidP="00817C87">
      <w:pPr>
        <w:kinsoku w:val="0"/>
        <w:overflowPunct w:val="0"/>
        <w:autoSpaceDE w:val="0"/>
        <w:autoSpaceDN w:val="0"/>
        <w:adjustRightInd w:val="0"/>
        <w:snapToGrid w:val="0"/>
        <w:spacing w:before="120" w:after="120"/>
        <w:ind w:left="2268" w:right="1134" w:hanging="1134"/>
        <w:jc w:val="both"/>
        <w:rPr>
          <w:rFonts w:eastAsiaTheme="minorHAnsi"/>
          <w:lang w:val="de-DE"/>
        </w:rPr>
      </w:pPr>
      <w:r w:rsidRPr="00DD2A86">
        <w:rPr>
          <w:rFonts w:eastAsiaTheme="minorHAnsi"/>
          <w:lang w:val="de-DE"/>
        </w:rPr>
        <w:t>7.1.3.1</w:t>
      </w:r>
      <w:r w:rsidRPr="00DD2A86">
        <w:rPr>
          <w:rFonts w:eastAsiaTheme="minorHAnsi"/>
          <w:lang w:val="de-DE"/>
        </w:rPr>
        <w:tab/>
        <w:t>Die Absätze 7.1.3.1.3 bis 7.1.3.1.7 erhalten folgenden Wortlaut:</w:t>
      </w:r>
    </w:p>
    <w:p w:rsidR="00584DD1" w:rsidRPr="00DD2A86" w:rsidRDefault="00584DD1" w:rsidP="00817C87">
      <w:pPr>
        <w:suppressAutoHyphens w:val="0"/>
        <w:autoSpaceDE w:val="0"/>
        <w:adjustRightInd w:val="0"/>
        <w:spacing w:before="120" w:after="120"/>
        <w:ind w:left="2268" w:right="1134" w:hanging="1134"/>
        <w:jc w:val="both"/>
        <w:rPr>
          <w:rFonts w:eastAsia="Calibri"/>
          <w:kern w:val="3"/>
          <w:lang w:val="de-DE" w:eastAsia="nl-NL" w:bidi="hi-IN"/>
        </w:rPr>
      </w:pPr>
      <w:r w:rsidRPr="00DD2A86">
        <w:rPr>
          <w:lang w:val="de-DE"/>
        </w:rPr>
        <w:t>„7.1.3.1.3</w:t>
      </w:r>
      <w:r w:rsidRPr="00DD2A86">
        <w:rPr>
          <w:lang w:val="de-DE"/>
        </w:rPr>
        <w:tab/>
      </w:r>
      <w:r w:rsidRPr="00DD2A86">
        <w:rPr>
          <w:rFonts w:eastAsia="Calibri"/>
          <w:kern w:val="3"/>
          <w:lang w:val="de-DE" w:eastAsia="nl-NL" w:bidi="hi-IN"/>
        </w:rPr>
        <w:t xml:space="preserve">Wenn vor dem Betreten der Laderäume, Wallgänge oder Doppelböden die aus der Ladung herrührende Konzentration von Gasen und Dämpfen oder der Sauerstoffgehalt gemessen werden muss, müssen diese Messergebnisse schriftlich festgehalten werden. Die Messung darf nur von </w:t>
      </w:r>
      <w:r w:rsidRPr="00DD2A86">
        <w:rPr>
          <w:lang w:val="de-DE" w:eastAsia="nl-NL"/>
        </w:rPr>
        <w:t>einem in Abschnitt 8.2.1.2 genannten Sachkundigen</w:t>
      </w:r>
      <w:r w:rsidRPr="00DD2A86">
        <w:rPr>
          <w:rFonts w:eastAsia="Calibri"/>
          <w:kern w:val="3"/>
          <w:lang w:val="de-DE" w:eastAsia="nl-NL" w:bidi="hi-IN"/>
        </w:rPr>
        <w:t xml:space="preserve"> durchgeführt werden, der mit einem für den beförderten Stoff geeigneten Atemschutzgerät ausgerüstet ist.</w:t>
      </w:r>
    </w:p>
    <w:p w:rsidR="00584DD1" w:rsidRPr="00DD2A86" w:rsidRDefault="00584DD1" w:rsidP="00817C87">
      <w:pPr>
        <w:spacing w:before="120" w:after="120"/>
        <w:ind w:left="2268" w:right="1134"/>
        <w:jc w:val="both"/>
        <w:rPr>
          <w:lang w:val="de-DE"/>
        </w:rPr>
      </w:pPr>
      <w:r w:rsidRPr="00DD2A86">
        <w:rPr>
          <w:rFonts w:eastAsia="Calibri"/>
          <w:kern w:val="3"/>
          <w:lang w:val="de-DE" w:eastAsia="nl-NL" w:bidi="hi-IN"/>
        </w:rPr>
        <w:t>Die zu prüfenden Räume dürfen zur Messung nicht betreten werden.</w:t>
      </w:r>
    </w:p>
    <w:p w:rsidR="00584DD1" w:rsidRPr="00DD2A86" w:rsidRDefault="00584DD1" w:rsidP="00817C87">
      <w:pPr>
        <w:spacing w:before="120" w:after="120"/>
        <w:ind w:left="2259" w:right="1134" w:hanging="1125"/>
        <w:jc w:val="both"/>
        <w:rPr>
          <w:lang w:val="de-DE" w:eastAsia="nl-NL"/>
        </w:rPr>
      </w:pPr>
      <w:r w:rsidRPr="00DD2A86">
        <w:rPr>
          <w:lang w:val="de-DE"/>
        </w:rPr>
        <w:t>7.1.3.1.4</w:t>
      </w:r>
      <w:r w:rsidRPr="00DD2A86">
        <w:rPr>
          <w:lang w:val="de-DE" w:eastAsia="nl-NL"/>
        </w:rPr>
        <w:tab/>
        <w:t>Beförderung von gefährlichen Gütern in loser Schüttung oder unverpackt</w:t>
      </w:r>
    </w:p>
    <w:p w:rsidR="00584DD1" w:rsidRPr="00DD2A86" w:rsidRDefault="00584DD1" w:rsidP="00817C87">
      <w:pPr>
        <w:suppressAutoHyphens w:val="0"/>
        <w:autoSpaceDE w:val="0"/>
        <w:autoSpaceDN w:val="0"/>
        <w:adjustRightInd w:val="0"/>
        <w:spacing w:before="120" w:after="120"/>
        <w:ind w:left="2268" w:right="1134"/>
        <w:jc w:val="both"/>
        <w:rPr>
          <w:rFonts w:eastAsia="SimSun"/>
          <w:lang w:val="de-DE" w:eastAsia="zh-CN"/>
        </w:rPr>
      </w:pPr>
      <w:r w:rsidRPr="00DD2A86">
        <w:rPr>
          <w:rFonts w:eastAsia="SimSun"/>
          <w:lang w:val="de-DE" w:eastAsia="zh-CN"/>
        </w:rPr>
        <w:t>Bevor Personen Laderäume betreten, muss bei Beförderung von gefährlichen Gütern in loser Schüttung oder unverpackt, für die EX und/oder TOX in Kapitel 3.2 Tabelle A Spalte (9) eingetragen ist, die</w:t>
      </w:r>
      <w:r w:rsidRPr="00DD2A86">
        <w:rPr>
          <w:snapToGrid w:val="0"/>
          <w:lang w:val="de-DE" w:eastAsia="fr-FR"/>
        </w:rPr>
        <w:t xml:space="preserve"> </w:t>
      </w:r>
      <w:r w:rsidRPr="00DD2A86">
        <w:rPr>
          <w:rFonts w:eastAsia="SimSun"/>
          <w:lang w:val="de-DE" w:eastAsia="zh-CN"/>
        </w:rPr>
        <w:t>Konzentration von aus der Ladung herrührenden entzündbaren und/oder</w:t>
      </w:r>
      <w:r w:rsidRPr="00DD2A86" w:rsidDel="00234C2C">
        <w:rPr>
          <w:rFonts w:eastAsia="SimSun"/>
          <w:lang w:val="de-DE" w:eastAsia="zh-CN"/>
        </w:rPr>
        <w:t xml:space="preserve"> </w:t>
      </w:r>
      <w:r w:rsidRPr="00DD2A86">
        <w:rPr>
          <w:rFonts w:eastAsia="SimSun"/>
          <w:lang w:val="de-DE" w:eastAsia="zh-CN"/>
        </w:rPr>
        <w:t>giftigen Gasen und Dämpfen in diesen Laderäumen und in den benachbarten Laderäumen gemessen werden.</w:t>
      </w:r>
    </w:p>
    <w:p w:rsidR="00584DD1" w:rsidRPr="00DD2A86" w:rsidRDefault="00584DD1" w:rsidP="00817C87">
      <w:pPr>
        <w:spacing w:before="120" w:after="120"/>
        <w:ind w:left="2259" w:right="1134" w:hanging="1125"/>
        <w:jc w:val="both"/>
        <w:rPr>
          <w:szCs w:val="18"/>
          <w:lang w:val="de-DE" w:eastAsia="en-GB"/>
        </w:rPr>
      </w:pPr>
      <w:r w:rsidRPr="00DD2A86">
        <w:rPr>
          <w:lang w:val="de-DE"/>
        </w:rPr>
        <w:t>7.1.3.1.5</w:t>
      </w:r>
      <w:r w:rsidRPr="00DD2A86">
        <w:rPr>
          <w:lang w:val="de-DE" w:eastAsia="nl-NL"/>
        </w:rPr>
        <w:tab/>
      </w:r>
      <w:r w:rsidRPr="00DD2A86">
        <w:rPr>
          <w:szCs w:val="18"/>
          <w:lang w:val="de-DE" w:eastAsia="en-GB"/>
        </w:rPr>
        <w:t>Bei Beförderung von gefährlichen Gütern in loser Schüttung oder unverpackt ist das Betreten der Laderäume sowie das Betreten der Wallgänge und Doppelböden nur zugelassen, wenn:</w:t>
      </w:r>
    </w:p>
    <w:p w:rsidR="00584DD1" w:rsidRPr="00DD2A86" w:rsidRDefault="00584DD1" w:rsidP="00817C87">
      <w:pPr>
        <w:suppressAutoHyphens w:val="0"/>
        <w:autoSpaceDE w:val="0"/>
        <w:adjustRightInd w:val="0"/>
        <w:spacing w:before="120" w:after="120"/>
        <w:ind w:left="2268" w:right="1134"/>
        <w:jc w:val="both"/>
        <w:rPr>
          <w:szCs w:val="18"/>
          <w:lang w:val="de-DE" w:eastAsia="en-GB"/>
        </w:rPr>
      </w:pPr>
      <w:r w:rsidRPr="00DD2A86">
        <w:rPr>
          <w:szCs w:val="18"/>
          <w:lang w:val="de-DE" w:eastAsia="en-GB"/>
        </w:rPr>
        <w:t xml:space="preserve">– die Konzentration von aus der Ladung herrührenden entzündbaren Gasen und Dämpfen </w:t>
      </w:r>
      <w:r w:rsidRPr="00DD2A86">
        <w:rPr>
          <w:szCs w:val="18"/>
          <w:lang w:val="de-DE"/>
        </w:rPr>
        <w:t>i</w:t>
      </w:r>
      <w:r w:rsidRPr="00DD2A86">
        <w:rPr>
          <w:szCs w:val="18"/>
          <w:lang w:val="de-DE" w:eastAsia="en-GB"/>
        </w:rPr>
        <w:t>m Laderaum, Wallgang oder Doppelboden unter 10 % der UEG liegt, die Konzentration von aus der Ladung herrührenden giftigen Gasen und Dämpfen</w:t>
      </w:r>
      <w:r w:rsidRPr="00DD2A86">
        <w:rPr>
          <w:snapToGrid w:val="0"/>
          <w:sz w:val="16"/>
          <w:szCs w:val="16"/>
          <w:lang w:val="de-DE" w:eastAsia="fr-FR"/>
        </w:rPr>
        <w:t xml:space="preserve"> </w:t>
      </w:r>
      <w:r w:rsidRPr="00DD2A86">
        <w:rPr>
          <w:szCs w:val="18"/>
          <w:lang w:val="de-DE" w:eastAsia="en-GB"/>
        </w:rPr>
        <w:t xml:space="preserve">unter den </w:t>
      </w:r>
      <w:r w:rsidRPr="00DD2A86">
        <w:rPr>
          <w:bCs/>
          <w:szCs w:val="18"/>
          <w:lang w:val="de-DE" w:eastAsia="en-GB"/>
        </w:rPr>
        <w:t>national zulässigen  Expositionsgrenzwerten</w:t>
      </w:r>
      <w:r w:rsidRPr="00DD2A86">
        <w:rPr>
          <w:szCs w:val="18"/>
          <w:lang w:val="de-DE" w:eastAsia="en-GB"/>
        </w:rPr>
        <w:t xml:space="preserve"> liegt und der Sauerstoffanteil zwischen 20 und 23,5 Vol.-% beträgt,</w:t>
      </w:r>
    </w:p>
    <w:p w:rsidR="003B5A4C" w:rsidRPr="00DD2A86" w:rsidRDefault="00584DD1" w:rsidP="00817C87">
      <w:pPr>
        <w:suppressAutoHyphens w:val="0"/>
        <w:autoSpaceDE w:val="0"/>
        <w:adjustRightInd w:val="0"/>
        <w:spacing w:before="120" w:after="120"/>
        <w:ind w:left="2268" w:right="567"/>
        <w:jc w:val="both"/>
        <w:rPr>
          <w:szCs w:val="18"/>
          <w:lang w:val="de-DE" w:eastAsia="en-GB"/>
        </w:rPr>
      </w:pPr>
      <w:r w:rsidRPr="00DD2A86">
        <w:rPr>
          <w:szCs w:val="18"/>
          <w:lang w:val="de-DE" w:eastAsia="en-GB"/>
        </w:rPr>
        <w:t>oder</w:t>
      </w:r>
    </w:p>
    <w:p w:rsidR="00584DD1" w:rsidRPr="00DD2A86" w:rsidRDefault="00584DD1" w:rsidP="00817C87">
      <w:pPr>
        <w:suppressAutoHyphens w:val="0"/>
        <w:autoSpaceDE w:val="0"/>
        <w:adjustRightInd w:val="0"/>
        <w:spacing w:before="120" w:after="120"/>
        <w:ind w:left="2268" w:right="1134"/>
        <w:jc w:val="both"/>
        <w:rPr>
          <w:szCs w:val="18"/>
          <w:lang w:val="de-DE" w:eastAsia="en-GB"/>
        </w:rPr>
      </w:pPr>
      <w:r w:rsidRPr="00DD2A86">
        <w:rPr>
          <w:szCs w:val="18"/>
          <w:lang w:val="de-DE" w:eastAsia="en-GB"/>
        </w:rPr>
        <w:t>– die Konzentration von aus der Ladung herrührenden entzündbaren Gasen und Dämpfen</w:t>
      </w:r>
      <w:r w:rsidRPr="00DD2A86">
        <w:rPr>
          <w:snapToGrid w:val="0"/>
          <w:sz w:val="16"/>
          <w:szCs w:val="16"/>
          <w:lang w:val="de-DE" w:eastAsia="fr-FR"/>
        </w:rPr>
        <w:t xml:space="preserve"> </w:t>
      </w:r>
      <w:r w:rsidRPr="00DD2A86">
        <w:rPr>
          <w:szCs w:val="18"/>
          <w:lang w:val="de-DE" w:eastAsia="en-GB"/>
        </w:rPr>
        <w:t>unter 10 % der UEG liegt und die Person, welche den Raum betritt, ein umluftunabhängiges Atemschutzgerät und andere erforderliche Schutz- und Rettungsausrüstungen trägt sowie durch eine Leine gesichert ist. Das Betreten dieser Räume darf nur unter Aufsicht einer zweiten Person geschehen, für welche die gleiche Ausrüstung bereitgelegt ist. Zwei zusätzliche Personen, die im Notfall Hilfe leisten können, müssen sich in Rufweite auf dem Schiff befinden.</w:t>
      </w:r>
    </w:p>
    <w:p w:rsidR="00584DD1" w:rsidRPr="00DD2A86" w:rsidRDefault="00584DD1" w:rsidP="00817C87">
      <w:pPr>
        <w:spacing w:before="120" w:after="120"/>
        <w:ind w:left="2268" w:right="1134"/>
        <w:jc w:val="both"/>
        <w:rPr>
          <w:lang w:val="de-DE" w:eastAsia="nl-NL"/>
        </w:rPr>
      </w:pPr>
      <w:r w:rsidRPr="00DD2A86">
        <w:rPr>
          <w:szCs w:val="18"/>
          <w:lang w:val="de-DE" w:eastAsia="en-GB"/>
        </w:rPr>
        <w:t>In Abweichung zu Unterabschnitt 1.1.4.6 gehen strengere</w:t>
      </w:r>
      <w:r w:rsidRPr="00DD2A86">
        <w:rPr>
          <w:snapToGrid w:val="0"/>
          <w:sz w:val="16"/>
          <w:szCs w:val="16"/>
          <w:lang w:val="de-DE" w:eastAsia="fr-FR"/>
        </w:rPr>
        <w:t xml:space="preserve"> </w:t>
      </w:r>
      <w:r w:rsidRPr="00DD2A86">
        <w:rPr>
          <w:szCs w:val="18"/>
          <w:lang w:val="de-DE" w:eastAsia="en-GB"/>
        </w:rPr>
        <w:t xml:space="preserve"> nationale Vorschriften über das Betreten von Laderäumen den Bestimmungen des ADN vor.</w:t>
      </w:r>
    </w:p>
    <w:p w:rsidR="00584DD1" w:rsidRPr="00DD2A86" w:rsidRDefault="00584DD1" w:rsidP="00817C87">
      <w:pPr>
        <w:suppressAutoHyphens w:val="0"/>
        <w:autoSpaceDN w:val="0"/>
        <w:spacing w:before="120" w:after="120"/>
        <w:ind w:left="1134" w:right="1134"/>
        <w:textAlignment w:val="baseline"/>
        <w:rPr>
          <w:rFonts w:eastAsia="Calibri"/>
          <w:szCs w:val="18"/>
          <w:lang w:val="de-DE" w:eastAsia="zh-CN" w:bidi="hi-IN"/>
        </w:rPr>
      </w:pPr>
      <w:r w:rsidRPr="00DD2A86">
        <w:rPr>
          <w:lang w:val="de-DE"/>
        </w:rPr>
        <w:t>7.1.3.1.6</w:t>
      </w:r>
      <w:r w:rsidRPr="00DD2A86">
        <w:rPr>
          <w:szCs w:val="18"/>
          <w:lang w:val="de-DE"/>
        </w:rPr>
        <w:tab/>
      </w:r>
      <w:r w:rsidRPr="00DD2A86">
        <w:rPr>
          <w:rFonts w:eastAsia="Calibri"/>
          <w:szCs w:val="18"/>
          <w:lang w:val="de-DE" w:eastAsia="zh-CN" w:bidi="hi-IN"/>
        </w:rPr>
        <w:t>Beförderung in Versandstücken</w:t>
      </w:r>
    </w:p>
    <w:p w:rsidR="00584DD1" w:rsidRPr="00DD2A86" w:rsidRDefault="00584DD1" w:rsidP="00817C87">
      <w:pPr>
        <w:spacing w:before="120" w:after="120"/>
        <w:ind w:left="2268" w:right="1134"/>
        <w:jc w:val="both"/>
        <w:rPr>
          <w:szCs w:val="18"/>
          <w:lang w:val="de-DE"/>
        </w:rPr>
      </w:pPr>
      <w:r w:rsidRPr="00DD2A86">
        <w:rPr>
          <w:rFonts w:eastAsia="Calibri"/>
          <w:szCs w:val="18"/>
          <w:lang w:val="de-DE" w:eastAsia="zh-CN" w:bidi="hi-IN"/>
        </w:rPr>
        <w:t>Bevor Personen Laderäume betreten, muss bei Beförderung von gefährlichen Gütern der Klassen 2, 3, 4.3, 5.2, 6.1 und 8, für die EX und/oder TOX in Kapitel 3.2 Tabelle A Spalte (9) eingetragen ist, bei Verdacht auf Beschädigung von Versandstücken die Konzentration von aus der Ladung herrührenden entzündbaren und/oder giftigen Gasen und Dämpfen in diesen Laderäumen gemessen werden.</w:t>
      </w:r>
    </w:p>
    <w:p w:rsidR="00584DD1" w:rsidRPr="00DD2A86" w:rsidRDefault="00584DD1" w:rsidP="00817C87">
      <w:pPr>
        <w:spacing w:before="120" w:after="120"/>
        <w:ind w:left="2259" w:right="1134" w:hanging="1125"/>
        <w:jc w:val="both"/>
        <w:rPr>
          <w:lang w:val="de-DE"/>
        </w:rPr>
      </w:pPr>
      <w:r w:rsidRPr="00DD2A86">
        <w:rPr>
          <w:lang w:val="de-DE"/>
        </w:rPr>
        <w:t>7.1.3.1.7</w:t>
      </w:r>
      <w:r w:rsidRPr="00DD2A86">
        <w:rPr>
          <w:lang w:val="de-DE"/>
        </w:rPr>
        <w:tab/>
        <w:t xml:space="preserve">Bei Beförderung von gefährlichen Gütern der Klassen 2, 3, 4.3, 5.2, 6.1 und 8 ist das Betreten der Laderäume bei einem Schadensverdacht sowie das Betreten der Wallgänge und Doppelböden nur zugelassen, wenn: </w:t>
      </w:r>
    </w:p>
    <w:p w:rsidR="00584DD1" w:rsidRPr="00DD2A86" w:rsidRDefault="00584DD1" w:rsidP="00817C87">
      <w:pPr>
        <w:spacing w:before="120" w:after="120"/>
        <w:ind w:left="2259" w:right="1134"/>
        <w:jc w:val="both"/>
        <w:rPr>
          <w:lang w:val="de-DE"/>
        </w:rPr>
      </w:pPr>
      <w:r w:rsidRPr="00DD2A86">
        <w:rPr>
          <w:lang w:val="de-DE"/>
        </w:rPr>
        <w:t xml:space="preserve">– die Konzentration von aus der Ladung herrührenden entzündbaren Gasen und Dämpfen im Laderaum, Wallgang oder Doppelboden unter 10 % der UEG liegt, die Konzentration von aus der Ladung herrührenden giftigen Gasen und Dämpfen unter den </w:t>
      </w:r>
      <w:r w:rsidRPr="00DD2A86">
        <w:rPr>
          <w:lang w:val="de-DE" w:eastAsia="nl-NL"/>
        </w:rPr>
        <w:t xml:space="preserve">national zulässigen </w:t>
      </w:r>
      <w:r w:rsidRPr="00DD2A86">
        <w:rPr>
          <w:lang w:val="de-DE"/>
        </w:rPr>
        <w:t>Expositionsgrenzwerten liegt und der Sauerstoffanteil zwischen 20 und 23.5 Vol.-% beträgt,</w:t>
      </w:r>
    </w:p>
    <w:p w:rsidR="00584DD1" w:rsidRPr="00DD2A86" w:rsidRDefault="00584DD1" w:rsidP="00817C87">
      <w:pPr>
        <w:spacing w:before="120" w:after="120"/>
        <w:ind w:left="1134" w:right="1134"/>
        <w:jc w:val="both"/>
        <w:rPr>
          <w:rFonts w:eastAsia="SimSun"/>
          <w:lang w:val="de-DE" w:eastAsia="zh-CN"/>
        </w:rPr>
      </w:pPr>
      <w:r w:rsidRPr="00DD2A86">
        <w:rPr>
          <w:rFonts w:eastAsia="SimSun"/>
          <w:lang w:val="de-DE" w:eastAsia="zh-CN"/>
        </w:rPr>
        <w:tab/>
      </w:r>
      <w:r w:rsidRPr="00DD2A86">
        <w:rPr>
          <w:rFonts w:eastAsia="SimSun"/>
          <w:lang w:val="de-DE" w:eastAsia="zh-CN"/>
        </w:rPr>
        <w:tab/>
        <w:t>oder</w:t>
      </w:r>
    </w:p>
    <w:p w:rsidR="00584DD1" w:rsidRPr="00DD2A86" w:rsidRDefault="00584DD1" w:rsidP="00817C87">
      <w:pPr>
        <w:spacing w:before="120" w:after="120"/>
        <w:ind w:left="2268" w:right="1134"/>
        <w:jc w:val="both"/>
        <w:rPr>
          <w:rFonts w:eastAsia="SimSun"/>
          <w:lang w:val="de-DE" w:eastAsia="zh-CN"/>
        </w:rPr>
      </w:pPr>
      <w:r w:rsidRPr="00DD2A86">
        <w:rPr>
          <w:rFonts w:eastAsia="Calibri"/>
          <w:szCs w:val="18"/>
          <w:lang w:val="de-DE" w:eastAsia="zh-CN" w:bidi="hi-IN"/>
        </w:rPr>
        <w:t xml:space="preserve">– die Konzentration </w:t>
      </w:r>
      <w:r w:rsidRPr="00DD2A86">
        <w:rPr>
          <w:szCs w:val="18"/>
          <w:lang w:val="de-DE" w:eastAsia="en-GB"/>
        </w:rPr>
        <w:t>von aus der Ladung herrührenden</w:t>
      </w:r>
      <w:r w:rsidRPr="00DD2A86">
        <w:rPr>
          <w:rFonts w:eastAsia="Calibri"/>
          <w:szCs w:val="18"/>
          <w:lang w:val="de-DE" w:eastAsia="zh-CN" w:bidi="hi-IN"/>
        </w:rPr>
        <w:t xml:space="preserve"> entzündbaren Gasen und Dämpfen im Laderaum unter 10 % der UEG liegt und </w:t>
      </w:r>
      <w:r w:rsidRPr="00DD2A86">
        <w:rPr>
          <w:rFonts w:eastAsia="SimSun"/>
          <w:lang w:val="de-DE" w:eastAsia="zh-CN"/>
        </w:rPr>
        <w:t>die Person, welche den Raum betritt, ein umluftunabhängiges Atemschutzgerät und andere erforderliche Schutz- und Rettungsausrüstungen trägt sowie durch eine Leine gesichert ist. Das Betreten dieser Räume darf nur unter Aufsicht einer zweiten Person geschehen, für welche die gleiche Ausrüstung bereitgelegt ist. Zwei zusätzliche Personen, die im Notfall Hilfe leisten können, müssen sich in Rufweite auf dem Schiff befinden.</w:t>
      </w:r>
    </w:p>
    <w:p w:rsidR="00584DD1" w:rsidRPr="00DD2A86" w:rsidRDefault="00584DD1" w:rsidP="00817C87">
      <w:pPr>
        <w:tabs>
          <w:tab w:val="left" w:pos="9072"/>
        </w:tabs>
        <w:spacing w:before="120" w:after="120"/>
        <w:ind w:left="2268" w:right="1134"/>
        <w:jc w:val="both"/>
        <w:rPr>
          <w:rFonts w:eastAsia="SimSun"/>
          <w:lang w:val="de-DE" w:eastAsia="zh-CN"/>
        </w:rPr>
      </w:pPr>
      <w:r w:rsidRPr="00DD2A86">
        <w:rPr>
          <w:rFonts w:eastAsia="SimSun"/>
          <w:lang w:val="de-DE" w:eastAsia="zh-CN"/>
        </w:rPr>
        <w:t>In Abweichung zu Unterabschnitt 1.1.4.6 gehen strengere nationale Vorschriften über das Betreten von Laderäumen den Bestimmungen des ADN vor.“.</w:t>
      </w:r>
    </w:p>
    <w:p w:rsidR="00584DD1" w:rsidRPr="00DD2A86" w:rsidRDefault="00584DD1" w:rsidP="00AA380A">
      <w:pPr>
        <w:tabs>
          <w:tab w:val="left" w:pos="2268"/>
        </w:tabs>
        <w:kinsoku w:val="0"/>
        <w:overflowPunct w:val="0"/>
        <w:autoSpaceDE w:val="0"/>
        <w:autoSpaceDN w:val="0"/>
        <w:adjustRightInd w:val="0"/>
        <w:snapToGrid w:val="0"/>
        <w:spacing w:before="120" w:after="120"/>
        <w:ind w:left="1134" w:right="1134"/>
        <w:jc w:val="both"/>
        <w:rPr>
          <w:rFonts w:eastAsiaTheme="minorHAnsi"/>
          <w:i/>
          <w:lang w:val="de-DE"/>
        </w:rPr>
      </w:pPr>
      <w:r w:rsidRPr="00DD2A86">
        <w:rPr>
          <w:rFonts w:eastAsiaTheme="minorHAnsi"/>
          <w:lang w:val="de-DE"/>
        </w:rPr>
        <w:t>7.1.3</w:t>
      </w:r>
      <w:r w:rsidRPr="00DD2A86">
        <w:rPr>
          <w:rFonts w:eastAsiaTheme="minorHAnsi"/>
          <w:lang w:val="de-DE"/>
        </w:rPr>
        <w:tab/>
        <w:t>Einen neuen Unterabschnitt 7.1.3.16 mit folgendem Wortlaut einfügen:</w:t>
      </w:r>
    </w:p>
    <w:p w:rsidR="00584DD1" w:rsidRPr="00DD2A86" w:rsidRDefault="00584DD1" w:rsidP="00AA380A">
      <w:pPr>
        <w:spacing w:before="120" w:after="120"/>
        <w:ind w:left="2268" w:right="1134" w:hanging="1134"/>
        <w:jc w:val="both"/>
        <w:rPr>
          <w:rFonts w:eastAsia="SimSun"/>
          <w:lang w:val="de-DE" w:eastAsia="zh-CN"/>
        </w:rPr>
      </w:pPr>
      <w:r w:rsidRPr="00DD2A86">
        <w:rPr>
          <w:rFonts w:eastAsia="SimSun"/>
          <w:lang w:val="de-DE" w:eastAsia="zh-CN"/>
        </w:rPr>
        <w:t>„</w:t>
      </w:r>
      <w:r w:rsidRPr="00DD2A86">
        <w:rPr>
          <w:rFonts w:eastAsiaTheme="minorHAnsi"/>
          <w:lang w:val="de-DE"/>
        </w:rPr>
        <w:t>7.1.3.16</w:t>
      </w:r>
      <w:r w:rsidRPr="00DD2A86">
        <w:rPr>
          <w:rFonts w:eastAsiaTheme="minorHAnsi"/>
          <w:lang w:val="de-DE"/>
        </w:rPr>
        <w:tab/>
      </w:r>
      <w:r w:rsidRPr="00DD2A86">
        <w:rPr>
          <w:rFonts w:eastAsia="SimSun"/>
          <w:lang w:val="de-DE" w:eastAsia="zh-CN"/>
        </w:rPr>
        <w:t>Alle Messungen an Bord müssen von einem Sachkundigen gemäß Unterabschnitt 8.2.1.2 durchgeführt werden, sofern in der dem ADN beigefügten Verordnung nichts anderes vorgeschrieben ist. Die Messergebnisse müssen in dem Prüfbuch gemäß Unterabschnitt 8.1.2.1 Buchstabe g) schriftlich festgehalten werden.“.</w:t>
      </w:r>
    </w:p>
    <w:p w:rsidR="00584DD1" w:rsidRPr="00DD2A86" w:rsidRDefault="00584DD1" w:rsidP="00817C87">
      <w:pPr>
        <w:kinsoku w:val="0"/>
        <w:overflowPunct w:val="0"/>
        <w:autoSpaceDE w:val="0"/>
        <w:autoSpaceDN w:val="0"/>
        <w:adjustRightInd w:val="0"/>
        <w:snapToGrid w:val="0"/>
        <w:spacing w:before="120" w:after="120"/>
        <w:ind w:left="1134" w:right="1134"/>
        <w:jc w:val="both"/>
        <w:rPr>
          <w:rFonts w:eastAsiaTheme="minorHAnsi"/>
          <w:lang w:val="de-DE"/>
        </w:rPr>
      </w:pPr>
      <w:r w:rsidRPr="00DD2A86">
        <w:rPr>
          <w:rFonts w:eastAsiaTheme="minorHAnsi"/>
          <w:lang w:val="de-DE"/>
        </w:rPr>
        <w:t>7.1.3</w:t>
      </w:r>
      <w:r w:rsidRPr="00DD2A86">
        <w:rPr>
          <w:rFonts w:eastAsiaTheme="minorHAnsi"/>
          <w:lang w:val="de-DE"/>
        </w:rPr>
        <w:tab/>
        <w:t>„7.1.3.16 - 7.1.3.19 (bleibt offen)“ ändern in: „7.1.3.17 - 7.1.3.19 (bleibt offen)“.</w:t>
      </w:r>
    </w:p>
    <w:p w:rsidR="00584DD1" w:rsidRPr="00DD2A86" w:rsidRDefault="00584DD1" w:rsidP="00584DD1">
      <w:pPr>
        <w:spacing w:after="120"/>
        <w:ind w:left="1134" w:right="1134"/>
        <w:jc w:val="both"/>
        <w:rPr>
          <w:rFonts w:eastAsia="SimSun"/>
          <w:lang w:val="de-DE" w:eastAsia="zh-CN"/>
        </w:rPr>
      </w:pPr>
      <w:r w:rsidRPr="00DD2A86">
        <w:rPr>
          <w:rFonts w:eastAsia="SimSun"/>
          <w:lang w:val="de-DE" w:eastAsia="zh-CN"/>
        </w:rPr>
        <w:t>7.1.3.31</w:t>
      </w:r>
      <w:r w:rsidRPr="00DD2A86">
        <w:rPr>
          <w:rFonts w:eastAsia="SimSun"/>
          <w:lang w:val="de-DE" w:eastAsia="zh-CN"/>
        </w:rPr>
        <w:tab/>
        <w:t>Erhält folgenden Wortlaut:</w:t>
      </w:r>
    </w:p>
    <w:p w:rsidR="00584DD1" w:rsidRPr="00DD2A86" w:rsidRDefault="00584DD1" w:rsidP="00584DD1">
      <w:pPr>
        <w:spacing w:after="120"/>
        <w:ind w:left="1134" w:right="1134"/>
        <w:jc w:val="both"/>
        <w:rPr>
          <w:rFonts w:eastAsia="SimSun"/>
          <w:i/>
          <w:lang w:val="de-DE" w:eastAsia="zh-CN"/>
        </w:rPr>
      </w:pPr>
      <w:r w:rsidRPr="00DD2A86">
        <w:rPr>
          <w:rFonts w:eastAsia="SimSun"/>
          <w:lang w:val="de-DE" w:eastAsia="zh-CN"/>
        </w:rPr>
        <w:t>„</w:t>
      </w:r>
      <w:r w:rsidRPr="00DD2A86">
        <w:rPr>
          <w:rFonts w:eastAsia="SimSun"/>
          <w:b/>
          <w:lang w:val="de-DE" w:eastAsia="zh-CN"/>
        </w:rPr>
        <w:t>7.1.3.31</w:t>
      </w:r>
      <w:r w:rsidRPr="00DD2A86">
        <w:rPr>
          <w:rFonts w:eastAsia="SimSun"/>
          <w:b/>
          <w:lang w:val="de-DE" w:eastAsia="zh-CN"/>
        </w:rPr>
        <w:tab/>
        <w:t>Maschinen</w:t>
      </w:r>
    </w:p>
    <w:p w:rsidR="00584DD1" w:rsidRPr="00DD2A86" w:rsidRDefault="00584DD1" w:rsidP="00584DD1">
      <w:pPr>
        <w:spacing w:after="120"/>
        <w:ind w:left="1134" w:right="1134"/>
        <w:jc w:val="both"/>
        <w:rPr>
          <w:rFonts w:eastAsia="SimSun"/>
          <w:lang w:val="de-DE" w:eastAsia="zh-CN"/>
        </w:rPr>
      </w:pPr>
      <w:r w:rsidRPr="00DD2A86">
        <w:rPr>
          <w:rFonts w:eastAsia="SimSun"/>
          <w:lang w:val="de-DE" w:eastAsia="zh-CN"/>
        </w:rPr>
        <w:t>Es ist verboten, Motoren zu verwenden, die mit Kraftstoff mit einem Flammpunkt von 55 °C oder darunter betrieben werden (z. B. Benzinmotoren). Diese Vorschrift gilt nicht für</w:t>
      </w:r>
    </w:p>
    <w:p w:rsidR="00584DD1" w:rsidRPr="00DD2A86" w:rsidRDefault="00584DD1" w:rsidP="007C000A">
      <w:pPr>
        <w:spacing w:after="120"/>
        <w:ind w:left="1418" w:right="1134" w:hanging="284"/>
        <w:jc w:val="both"/>
        <w:rPr>
          <w:rFonts w:eastAsia="SimSun"/>
          <w:lang w:val="de-DE" w:eastAsia="zh-CN"/>
        </w:rPr>
      </w:pPr>
      <w:r w:rsidRPr="00DD2A86">
        <w:rPr>
          <w:rFonts w:eastAsia="SimSun"/>
          <w:lang w:val="de-DE" w:eastAsia="zh-CN"/>
        </w:rPr>
        <w:t>-</w:t>
      </w:r>
      <w:r w:rsidR="007C000A" w:rsidRPr="00DD2A86">
        <w:rPr>
          <w:rFonts w:eastAsia="SimSun"/>
          <w:lang w:val="de-DE" w:eastAsia="zh-CN"/>
        </w:rPr>
        <w:tab/>
      </w:r>
      <w:r w:rsidRPr="00DD2A86">
        <w:rPr>
          <w:rFonts w:eastAsia="SimSun"/>
          <w:lang w:val="de-DE" w:eastAsia="zh-CN"/>
        </w:rPr>
        <w:t>benzinbetriebene Außenbordmotoren von Beibooten;</w:t>
      </w:r>
    </w:p>
    <w:p w:rsidR="00584DD1" w:rsidRPr="00DD2A86" w:rsidRDefault="00584DD1" w:rsidP="007C000A">
      <w:pPr>
        <w:spacing w:after="120"/>
        <w:ind w:left="1418" w:right="1134" w:hanging="284"/>
        <w:jc w:val="both"/>
        <w:rPr>
          <w:rFonts w:eastAsia="SimSun"/>
          <w:lang w:val="de-DE" w:eastAsia="zh-CN"/>
        </w:rPr>
      </w:pPr>
      <w:r w:rsidRPr="00DD2A86">
        <w:rPr>
          <w:rFonts w:eastAsia="SimSun"/>
          <w:lang w:val="de-DE" w:eastAsia="zh-CN"/>
        </w:rPr>
        <w:t>-</w:t>
      </w:r>
      <w:r w:rsidR="007C000A" w:rsidRPr="00DD2A86">
        <w:rPr>
          <w:rFonts w:eastAsia="SimSun"/>
          <w:lang w:val="de-DE" w:eastAsia="zh-CN"/>
        </w:rPr>
        <w:tab/>
      </w:r>
      <w:r w:rsidRPr="00DD2A86">
        <w:rPr>
          <w:rFonts w:eastAsia="SimSun"/>
          <w:lang w:val="de-DE" w:eastAsia="zh-CN"/>
        </w:rPr>
        <w:t xml:space="preserve">Antriebs- und Hilfssysteme, die den Anforderungen des Kapitels 30 und der Anlage 8 Abschnitt 1 des Europäischen Standards der technischen Vorschriften für Binnenschiffe </w:t>
      </w:r>
      <w:r w:rsidR="006119B5" w:rsidRPr="00DD2A86">
        <w:rPr>
          <w:rFonts w:eastAsia="SimSun"/>
          <w:lang w:val="de-DE" w:eastAsia="zh-CN"/>
        </w:rPr>
        <w:t xml:space="preserve">(ES-TRIN) </w:t>
      </w:r>
      <w:r w:rsidRPr="00DD2A86">
        <w:rPr>
          <w:rFonts w:eastAsia="SimSun"/>
          <w:lang w:val="de-DE" w:eastAsia="zh-CN"/>
        </w:rPr>
        <w:t>in der jeweils geltenden Fassung entsprechen</w:t>
      </w:r>
      <w:r w:rsidRPr="00DD2A86">
        <w:rPr>
          <w:rFonts w:eastAsia="SimSun"/>
          <w:sz w:val="18"/>
          <w:vertAlign w:val="superscript"/>
          <w:lang w:val="de-DE" w:eastAsia="zh-CN"/>
        </w:rPr>
        <w:t xml:space="preserve"> </w:t>
      </w:r>
      <w:r w:rsidRPr="00DD2A86">
        <w:rPr>
          <w:rFonts w:eastAsia="SimSun"/>
          <w:sz w:val="18"/>
          <w:vertAlign w:val="superscript"/>
          <w:lang w:val="de-DE" w:eastAsia="zh-CN"/>
        </w:rPr>
        <w:footnoteReference w:customMarkFollows="1" w:id="56"/>
        <w:t>*</w:t>
      </w:r>
      <w:r w:rsidRPr="00DD2A86">
        <w:rPr>
          <w:rFonts w:eastAsia="SimSun"/>
          <w:lang w:val="de-DE" w:eastAsia="zh-CN"/>
        </w:rPr>
        <w:t>.</w:t>
      </w:r>
    </w:p>
    <w:p w:rsidR="00672848" w:rsidRPr="00DD2A86" w:rsidRDefault="00672848">
      <w:pPr>
        <w:suppressAutoHyphens w:val="0"/>
        <w:spacing w:line="240" w:lineRule="auto"/>
        <w:rPr>
          <w:rFonts w:eastAsia="Calibri" w:cs="Arial"/>
          <w:lang w:val="de-DE" w:eastAsia="fr-FR"/>
        </w:rPr>
      </w:pPr>
      <w:r w:rsidRPr="00DD2A86">
        <w:rPr>
          <w:rFonts w:eastAsia="Calibri" w:cs="Arial"/>
          <w:lang w:val="de-DE" w:eastAsia="fr-FR"/>
        </w:rPr>
        <w:br w:type="page"/>
      </w:r>
    </w:p>
    <w:p w:rsidR="003E120C" w:rsidRPr="00DD2A86" w:rsidRDefault="003E120C" w:rsidP="00817C87">
      <w:pPr>
        <w:tabs>
          <w:tab w:val="left" w:pos="426"/>
          <w:tab w:val="left" w:pos="2268"/>
        </w:tabs>
        <w:suppressAutoHyphens w:val="0"/>
        <w:spacing w:before="120" w:line="240" w:lineRule="auto"/>
        <w:ind w:left="2268" w:right="1134"/>
        <w:jc w:val="both"/>
        <w:rPr>
          <w:rFonts w:eastAsia="Calibri" w:cs="Arial"/>
          <w:lang w:val="de-DE" w:eastAsia="fr-FR"/>
        </w:rPr>
      </w:pPr>
      <w:r w:rsidRPr="00DD2A86">
        <w:rPr>
          <w:rFonts w:eastAsia="Calibri" w:cs="Arial"/>
          <w:lang w:val="de-DE" w:eastAsia="fr-FR"/>
        </w:rPr>
        <w:t xml:space="preserve">Wenn </w:t>
      </w:r>
      <w:r w:rsidR="00284226" w:rsidRPr="00DD2A86">
        <w:rPr>
          <w:rFonts w:eastAsia="Calibri" w:cs="Arial"/>
          <w:lang w:val="de-DE" w:eastAsia="fr-FR"/>
        </w:rPr>
        <w:t xml:space="preserve"> </w:t>
      </w:r>
      <w:r w:rsidR="00E3493D" w:rsidRPr="00DD2A86">
        <w:rPr>
          <w:rFonts w:eastAsia="Calibri" w:cs="Arial"/>
          <w:lang w:val="de-DE" w:eastAsia="fr-FR"/>
        </w:rPr>
        <w:t>Stoffe</w:t>
      </w:r>
      <w:r w:rsidRPr="00DD2A86">
        <w:rPr>
          <w:rFonts w:eastAsia="Calibri" w:cs="Arial"/>
          <w:lang w:val="de-DE" w:eastAsia="fr-FR"/>
        </w:rPr>
        <w:t xml:space="preserve"> in loser Schüttung</w:t>
      </w:r>
      <w:r w:rsidR="001563A1" w:rsidRPr="00DD2A86">
        <w:rPr>
          <w:rFonts w:eastAsia="Calibri" w:cs="Arial"/>
          <w:lang w:val="de-DE" w:eastAsia="fr-FR"/>
        </w:rPr>
        <w:t xml:space="preserve"> befördert werden,</w:t>
      </w:r>
      <w:r w:rsidRPr="00DD2A86">
        <w:rPr>
          <w:rFonts w:eastAsia="Calibri" w:cs="Arial"/>
          <w:lang w:val="de-DE" w:eastAsia="fr-FR"/>
        </w:rPr>
        <w:t xml:space="preserve"> </w:t>
      </w:r>
      <w:r w:rsidR="001563A1" w:rsidRPr="00DD2A86">
        <w:rPr>
          <w:rFonts w:eastAsia="Calibri" w:cs="Arial"/>
          <w:lang w:val="de-DE" w:eastAsia="fr-FR"/>
        </w:rPr>
        <w:t xml:space="preserve">für die in </w:t>
      </w:r>
      <w:r w:rsidR="00E3493D" w:rsidRPr="00DD2A86">
        <w:rPr>
          <w:rFonts w:eastAsia="Calibri" w:cs="Arial"/>
          <w:lang w:val="de-DE" w:eastAsia="fr-FR"/>
        </w:rPr>
        <w:t xml:space="preserve">Abschnitt </w:t>
      </w:r>
      <w:r w:rsidRPr="00DD2A86">
        <w:rPr>
          <w:rFonts w:eastAsia="Calibri" w:cs="Arial"/>
          <w:lang w:val="de-DE" w:eastAsia="fr-FR"/>
        </w:rPr>
        <w:t xml:space="preserve">3.2.1 Tabelle A, Spalte (9) </w:t>
      </w:r>
      <w:r w:rsidR="00E3493D" w:rsidRPr="00DD2A86">
        <w:rPr>
          <w:rFonts w:eastAsia="Calibri" w:cs="Arial"/>
          <w:lang w:val="de-DE" w:eastAsia="fr-FR"/>
        </w:rPr>
        <w:t>der Code EX eingetragen</w:t>
      </w:r>
      <w:r w:rsidRPr="00DD2A86">
        <w:rPr>
          <w:rFonts w:eastAsia="Calibri" w:cs="Arial"/>
          <w:lang w:val="de-DE" w:eastAsia="fr-FR"/>
        </w:rPr>
        <w:t xml:space="preserve"> ist, dürfen</w:t>
      </w:r>
    </w:p>
    <w:p w:rsidR="003E120C" w:rsidRPr="00DD2A86" w:rsidRDefault="003E120C" w:rsidP="00817C87">
      <w:pPr>
        <w:suppressAutoHyphens w:val="0"/>
        <w:spacing w:before="60" w:line="240" w:lineRule="auto"/>
        <w:ind w:left="2552" w:right="1134" w:hanging="284"/>
        <w:jc w:val="both"/>
        <w:rPr>
          <w:rFonts w:eastAsia="Calibri" w:cs="Arial"/>
          <w:lang w:val="de-DE" w:eastAsia="fr-FR"/>
        </w:rPr>
      </w:pPr>
      <w:r w:rsidRPr="00DD2A86">
        <w:rPr>
          <w:rFonts w:eastAsia="Calibri" w:cs="Arial"/>
          <w:lang w:val="de-DE" w:eastAsia="fr-FR"/>
        </w:rPr>
        <w:t>-</w:t>
      </w:r>
      <w:r w:rsidRPr="00DD2A86">
        <w:rPr>
          <w:rFonts w:eastAsia="Calibri" w:cs="Arial"/>
          <w:lang w:val="de-DE" w:eastAsia="fr-FR"/>
        </w:rPr>
        <w:tab/>
        <w:t>benzinbetriebene Außenbordmotore und deren Kraftstoffbehälter nur außerhalb des geschützten Bereichs mitgeführt werden</w:t>
      </w:r>
      <w:r w:rsidR="0006709A" w:rsidRPr="00DD2A86">
        <w:rPr>
          <w:rFonts w:eastAsia="Calibri" w:cs="Arial"/>
          <w:lang w:val="de-DE" w:eastAsia="fr-FR"/>
        </w:rPr>
        <w:t xml:space="preserve"> und</w:t>
      </w:r>
    </w:p>
    <w:p w:rsidR="003E120C" w:rsidRPr="00DD2A86" w:rsidRDefault="003E120C" w:rsidP="00817C87">
      <w:pPr>
        <w:tabs>
          <w:tab w:val="left" w:pos="709"/>
        </w:tabs>
        <w:suppressAutoHyphens w:val="0"/>
        <w:spacing w:before="60" w:line="240" w:lineRule="auto"/>
        <w:ind w:left="2552" w:right="1134" w:hanging="284"/>
        <w:jc w:val="both"/>
        <w:rPr>
          <w:rFonts w:eastAsia="Calibri" w:cs="Arial"/>
          <w:lang w:val="de-DE" w:eastAsia="fr-FR"/>
        </w:rPr>
      </w:pPr>
      <w:r w:rsidRPr="00DD2A86">
        <w:rPr>
          <w:rFonts w:eastAsia="Calibri" w:cs="Arial"/>
          <w:lang w:val="de-DE" w:eastAsia="fr-FR"/>
        </w:rPr>
        <w:t>-</w:t>
      </w:r>
      <w:r w:rsidRPr="00DD2A86">
        <w:rPr>
          <w:rFonts w:eastAsia="Calibri" w:cs="Arial"/>
          <w:lang w:val="de-DE" w:eastAsia="fr-FR"/>
        </w:rPr>
        <w:tab/>
        <w:t>mechanische Aufblasvorrichtungen, Außenbordmotore</w:t>
      </w:r>
      <w:r w:rsidR="0006709A" w:rsidRPr="00DD2A86">
        <w:rPr>
          <w:rFonts w:eastAsia="Calibri" w:cs="Arial"/>
          <w:lang w:val="de-DE" w:eastAsia="fr-FR"/>
        </w:rPr>
        <w:t>n</w:t>
      </w:r>
      <w:r w:rsidRPr="00DD2A86">
        <w:rPr>
          <w:rFonts w:eastAsia="Calibri" w:cs="Arial"/>
          <w:lang w:val="de-DE" w:eastAsia="fr-FR"/>
        </w:rPr>
        <w:t xml:space="preserve"> und deren elektrische Einrichtungen nur außerhalb des geschützten Bereichs in Betrieb genommen werden.“.</w:t>
      </w:r>
    </w:p>
    <w:p w:rsidR="004F7853" w:rsidRPr="00DD2A86" w:rsidRDefault="004F7853" w:rsidP="00817C87">
      <w:pPr>
        <w:spacing w:before="240" w:after="120"/>
        <w:ind w:left="1134" w:right="1134"/>
        <w:jc w:val="both"/>
        <w:rPr>
          <w:rFonts w:eastAsia="Calibri"/>
          <w:bCs/>
          <w:lang w:val="de-DE"/>
        </w:rPr>
      </w:pPr>
      <w:r w:rsidRPr="00DD2A86">
        <w:rPr>
          <w:rFonts w:eastAsia="Calibri"/>
          <w:bCs/>
          <w:lang w:val="de-DE"/>
        </w:rPr>
        <w:t>7.1.3.41</w:t>
      </w:r>
      <w:r w:rsidRPr="00DD2A86">
        <w:rPr>
          <w:rFonts w:eastAsia="Calibri"/>
          <w:bCs/>
          <w:lang w:val="de-DE"/>
        </w:rPr>
        <w:tab/>
        <w:t xml:space="preserve">Der Titel </w:t>
      </w:r>
      <w:r w:rsidR="00396368" w:rsidRPr="00DD2A86">
        <w:rPr>
          <w:rFonts w:eastAsia="Calibri"/>
          <w:bCs/>
          <w:lang w:val="de-DE"/>
        </w:rPr>
        <w:t>erhält folgenden Wortlaut</w:t>
      </w:r>
      <w:r w:rsidRPr="00DD2A86">
        <w:rPr>
          <w:rFonts w:eastAsia="Calibri"/>
          <w:bCs/>
          <w:lang w:val="de-DE"/>
        </w:rPr>
        <w:t>: „Rauchen, Feuer und offenes Licht“.</w:t>
      </w:r>
    </w:p>
    <w:p w:rsidR="004F7853" w:rsidRPr="00DD2A86" w:rsidRDefault="004F7853" w:rsidP="00817C87">
      <w:pPr>
        <w:spacing w:before="240" w:after="120"/>
        <w:ind w:left="1134" w:right="1134"/>
        <w:jc w:val="both"/>
        <w:rPr>
          <w:rFonts w:eastAsia="Calibri"/>
          <w:bCs/>
          <w:lang w:val="de-DE"/>
        </w:rPr>
      </w:pPr>
      <w:r w:rsidRPr="00DD2A86">
        <w:rPr>
          <w:rFonts w:eastAsia="Calibri"/>
          <w:bCs/>
          <w:lang w:val="de-DE"/>
        </w:rPr>
        <w:t>7.1.3.41.1</w:t>
      </w:r>
      <w:r w:rsidRPr="00DD2A86">
        <w:rPr>
          <w:rFonts w:eastAsia="Calibri"/>
          <w:bCs/>
          <w:lang w:val="de-DE"/>
        </w:rPr>
        <w:tab/>
        <w:t>Erhält folgenden Wortlaut:</w:t>
      </w:r>
    </w:p>
    <w:p w:rsidR="004F7853" w:rsidRPr="00DD2A86" w:rsidRDefault="004F7853" w:rsidP="001E47B6">
      <w:pPr>
        <w:spacing w:before="120"/>
        <w:ind w:left="2268" w:right="1134"/>
        <w:jc w:val="both"/>
        <w:rPr>
          <w:rFonts w:eastAsia="Calibri"/>
          <w:bCs/>
          <w:lang w:val="de-DE"/>
        </w:rPr>
      </w:pPr>
      <w:r w:rsidRPr="00DD2A86">
        <w:rPr>
          <w:rFonts w:eastAsia="Calibri"/>
          <w:bCs/>
          <w:lang w:val="de-DE"/>
        </w:rPr>
        <w:t>„</w:t>
      </w:r>
      <w:r w:rsidR="005B6BDB" w:rsidRPr="00DD2A86">
        <w:rPr>
          <w:rFonts w:eastAsia="Calibri"/>
          <w:bCs/>
          <w:lang w:val="de-DE"/>
        </w:rPr>
        <w:t>7.1.3.41.1</w:t>
      </w:r>
      <w:r w:rsidR="005B6BDB" w:rsidRPr="00DD2A86">
        <w:rPr>
          <w:rFonts w:eastAsia="Calibri"/>
          <w:bCs/>
          <w:lang w:val="de-DE"/>
        </w:rPr>
        <w:tab/>
      </w:r>
      <w:r w:rsidRPr="00DD2A86">
        <w:rPr>
          <w:rFonts w:eastAsia="Calibri"/>
          <w:bCs/>
          <w:lang w:val="de-DE"/>
        </w:rPr>
        <w:t>Rauchen, einschließlich elektronischer Zigaretten und ähnlicher Geräte, Feuer und offenes Licht sind an Bord verboten.</w:t>
      </w:r>
    </w:p>
    <w:p w:rsidR="004F7853" w:rsidRPr="00DD2A86" w:rsidRDefault="004F7853" w:rsidP="001E47B6">
      <w:pPr>
        <w:spacing w:before="120"/>
        <w:ind w:left="2268" w:right="1134"/>
        <w:jc w:val="both"/>
        <w:rPr>
          <w:rFonts w:eastAsia="Calibri"/>
          <w:bCs/>
          <w:lang w:val="de-DE"/>
        </w:rPr>
      </w:pPr>
      <w:r w:rsidRPr="00DD2A86">
        <w:rPr>
          <w:rFonts w:eastAsia="Calibri"/>
          <w:bCs/>
          <w:lang w:val="de-DE"/>
        </w:rPr>
        <w:t>Dieses Verbot ist mittels Hinweistafeln an geeigneten Stellen anzuschlagen.</w:t>
      </w:r>
    </w:p>
    <w:p w:rsidR="004F7853" w:rsidRPr="00DD2A86" w:rsidRDefault="004F7853" w:rsidP="001E47B6">
      <w:pPr>
        <w:spacing w:before="120" w:after="240"/>
        <w:ind w:left="2268" w:right="1134"/>
        <w:jc w:val="both"/>
        <w:rPr>
          <w:rFonts w:eastAsia="Calibri"/>
          <w:bCs/>
          <w:lang w:val="de-DE"/>
        </w:rPr>
      </w:pPr>
      <w:r w:rsidRPr="00DD2A86">
        <w:rPr>
          <w:rFonts w:eastAsia="Calibri"/>
          <w:bCs/>
          <w:lang w:val="de-DE"/>
        </w:rPr>
        <w:t xml:space="preserve">Das </w:t>
      </w:r>
      <w:r w:rsidR="0007773C" w:rsidRPr="00DD2A86">
        <w:rPr>
          <w:rFonts w:eastAsia="Calibri"/>
          <w:bCs/>
          <w:lang w:val="de-DE"/>
        </w:rPr>
        <w:t xml:space="preserve">Verbot </w:t>
      </w:r>
      <w:r w:rsidRPr="00DD2A86">
        <w:rPr>
          <w:rFonts w:eastAsia="Calibri"/>
          <w:bCs/>
          <w:lang w:val="de-DE"/>
        </w:rPr>
        <w:t>gilt nicht in Wohnungen und Steuerhaus, wenn Fenster, Türen, Oberlichter und Luken geschlossen sind oder das Lüftungssystem so eingestellt wird, dass ein Überdruck von 0,1 kPa gewährleistet ist.“.</w:t>
      </w:r>
    </w:p>
    <w:p w:rsidR="004F7853" w:rsidRPr="00DD2A86" w:rsidRDefault="004F7853" w:rsidP="00817C87">
      <w:pPr>
        <w:spacing w:before="240" w:after="120"/>
        <w:ind w:left="2268" w:right="1134" w:hanging="1134"/>
        <w:jc w:val="both"/>
        <w:rPr>
          <w:rFonts w:eastAsia="Calibri"/>
          <w:bCs/>
          <w:lang w:val="de-DE"/>
        </w:rPr>
      </w:pPr>
      <w:r w:rsidRPr="00DD2A86">
        <w:rPr>
          <w:rFonts w:eastAsia="Calibri"/>
          <w:bCs/>
          <w:lang w:val="de-DE"/>
        </w:rPr>
        <w:t>7.1.3.51</w:t>
      </w:r>
      <w:r w:rsidRPr="00DD2A86">
        <w:rPr>
          <w:rFonts w:eastAsia="Calibri"/>
          <w:bCs/>
          <w:lang w:val="de-DE"/>
        </w:rPr>
        <w:tab/>
        <w:t>Der Titel erhält folgenden Wortlaut: „</w:t>
      </w:r>
      <w:r w:rsidR="00EE3D34" w:rsidRPr="00DD2A86">
        <w:rPr>
          <w:rFonts w:eastAsia="Calibri"/>
          <w:bCs/>
          <w:lang w:val="de-DE"/>
        </w:rPr>
        <w:t xml:space="preserve">Elektrische </w:t>
      </w:r>
      <w:r w:rsidRPr="00DD2A86">
        <w:rPr>
          <w:rFonts w:eastAsia="Calibri"/>
          <w:bCs/>
          <w:lang w:val="de-DE"/>
        </w:rPr>
        <w:t>und nicht-elektrische Anlagen und Geräte“.</w:t>
      </w:r>
    </w:p>
    <w:p w:rsidR="004F7853" w:rsidRPr="00DD2A86" w:rsidRDefault="004F7853" w:rsidP="00817C87">
      <w:pPr>
        <w:spacing w:before="240" w:after="120"/>
        <w:ind w:left="2268" w:right="1134" w:hanging="1134"/>
        <w:jc w:val="both"/>
        <w:rPr>
          <w:rFonts w:eastAsia="Calibri"/>
          <w:bCs/>
          <w:lang w:val="de-DE"/>
        </w:rPr>
      </w:pPr>
      <w:r w:rsidRPr="00DD2A86">
        <w:rPr>
          <w:rFonts w:eastAsia="Calibri"/>
          <w:bCs/>
          <w:lang w:val="de-DE"/>
        </w:rPr>
        <w:t>7.1.3.51.1</w:t>
      </w:r>
      <w:r w:rsidRPr="00DD2A86">
        <w:rPr>
          <w:rFonts w:eastAsia="Calibri"/>
          <w:bCs/>
          <w:lang w:val="de-DE"/>
        </w:rPr>
        <w:tab/>
        <w:t>„Elektrische Einrichtungen“ ändern in: „Elektrische und nicht-elektrische Anlagen und Geräte.“.</w:t>
      </w:r>
    </w:p>
    <w:p w:rsidR="00B457AC" w:rsidRPr="00DD2A86" w:rsidRDefault="004F7853" w:rsidP="00817C87">
      <w:pPr>
        <w:spacing w:before="240" w:after="120"/>
        <w:ind w:left="1134" w:right="1134"/>
        <w:jc w:val="both"/>
        <w:rPr>
          <w:rFonts w:eastAsia="Calibri"/>
          <w:bCs/>
          <w:lang w:val="de-DE"/>
        </w:rPr>
      </w:pPr>
      <w:r w:rsidRPr="00DD2A86">
        <w:rPr>
          <w:rFonts w:eastAsia="Calibri"/>
          <w:bCs/>
          <w:lang w:val="de-DE"/>
        </w:rPr>
        <w:t>7.1.3.51.2</w:t>
      </w:r>
      <w:r w:rsidRPr="00DD2A86">
        <w:rPr>
          <w:rFonts w:eastAsia="Calibri"/>
          <w:bCs/>
          <w:lang w:val="de-DE"/>
        </w:rPr>
        <w:tab/>
      </w:r>
      <w:r w:rsidR="00B457AC" w:rsidRPr="00DD2A86">
        <w:rPr>
          <w:rFonts w:eastAsia="Calibri"/>
          <w:bCs/>
          <w:lang w:val="de-DE"/>
        </w:rPr>
        <w:t>Erhält folgenden Wortlaut:</w:t>
      </w:r>
    </w:p>
    <w:p w:rsidR="00B457AC" w:rsidRPr="00DD2A86" w:rsidRDefault="00B457AC" w:rsidP="00817C87">
      <w:pPr>
        <w:spacing w:before="120" w:after="120"/>
        <w:ind w:left="2268" w:right="1134"/>
        <w:jc w:val="both"/>
        <w:rPr>
          <w:rFonts w:eastAsia="Calibri"/>
          <w:bCs/>
          <w:lang w:val="de-DE"/>
        </w:rPr>
      </w:pPr>
      <w:r w:rsidRPr="00DD2A86">
        <w:rPr>
          <w:rFonts w:eastAsia="Calibri"/>
          <w:bCs/>
          <w:lang w:val="de-DE"/>
        </w:rPr>
        <w:t>„</w:t>
      </w:r>
      <w:r w:rsidR="005B6BDB" w:rsidRPr="00DD2A86">
        <w:rPr>
          <w:rFonts w:eastAsia="Calibri"/>
          <w:bCs/>
          <w:lang w:val="de-DE"/>
        </w:rPr>
        <w:t>7.1.3.51.2</w:t>
      </w:r>
      <w:r w:rsidR="005B6BDB" w:rsidRPr="00DD2A86">
        <w:rPr>
          <w:rFonts w:eastAsia="Calibri"/>
          <w:bCs/>
          <w:lang w:val="de-DE"/>
        </w:rPr>
        <w:tab/>
      </w:r>
      <w:r w:rsidRPr="00DD2A86">
        <w:rPr>
          <w:rFonts w:eastAsia="Calibri"/>
          <w:bCs/>
          <w:lang w:val="de-DE"/>
        </w:rPr>
        <w:t>Es ist verboten, im geschützten Bereich bewegliche elektrische Kabel zu verwenden. Dies gilt nicht für die in Absatz 9.1.0.53.5 genannten beweglichen elektrischen Kabel.</w:t>
      </w:r>
    </w:p>
    <w:p w:rsidR="00B457AC" w:rsidRPr="00DD2A86" w:rsidRDefault="00B457AC" w:rsidP="00817C87">
      <w:pPr>
        <w:spacing w:before="120" w:after="120"/>
        <w:ind w:left="2268" w:right="1134"/>
        <w:jc w:val="both"/>
        <w:rPr>
          <w:rFonts w:eastAsia="Calibri"/>
          <w:bCs/>
          <w:lang w:val="de-DE"/>
        </w:rPr>
      </w:pPr>
      <w:r w:rsidRPr="00DD2A86">
        <w:rPr>
          <w:rFonts w:eastAsia="Calibri"/>
          <w:bCs/>
          <w:lang w:val="de-DE"/>
        </w:rPr>
        <w:t>Bewegliche elektrische Kabel müssen vor jedem Einsatz einer Sichtprüfung unterzogen werden. Sie müssen so geführt werden, dass eine Beschädigung nicht zu befürchten ist. Leitungskupplungen müssen sich außerhalb des geschützten Bereichs befinden.</w:t>
      </w:r>
    </w:p>
    <w:p w:rsidR="00B457AC" w:rsidRPr="00DD2A86" w:rsidRDefault="00B457AC" w:rsidP="00817C87">
      <w:pPr>
        <w:spacing w:before="120" w:after="120"/>
        <w:ind w:left="2268" w:right="1134"/>
        <w:jc w:val="both"/>
        <w:rPr>
          <w:rFonts w:eastAsia="Calibri"/>
          <w:bCs/>
          <w:lang w:val="de-DE"/>
        </w:rPr>
      </w:pPr>
      <w:r w:rsidRPr="00DD2A86">
        <w:rPr>
          <w:rFonts w:eastAsia="Calibri"/>
          <w:bCs/>
          <w:lang w:val="de-DE"/>
        </w:rPr>
        <w:t>Elektrische Kabel zum Anschluss des Schiffsstromnetzes an ein Landstromnetz dürfen nicht verwendet werden</w:t>
      </w:r>
    </w:p>
    <w:p w:rsidR="00B457AC" w:rsidRPr="00DD2A86" w:rsidRDefault="00B457AC" w:rsidP="00596493">
      <w:pPr>
        <w:numPr>
          <w:ilvl w:val="0"/>
          <w:numId w:val="36"/>
        </w:numPr>
        <w:spacing w:before="120" w:after="120"/>
        <w:ind w:left="2552" w:right="1134" w:hanging="284"/>
        <w:jc w:val="both"/>
        <w:rPr>
          <w:rFonts w:eastAsia="Calibri"/>
          <w:bCs/>
          <w:lang w:val="de-DE"/>
        </w:rPr>
      </w:pPr>
      <w:r w:rsidRPr="00DD2A86">
        <w:rPr>
          <w:rFonts w:eastAsia="Calibri"/>
          <w:bCs/>
          <w:lang w:val="de-DE"/>
        </w:rPr>
        <w:t>beim Laden und Löschen von Stoffen</w:t>
      </w:r>
      <w:r w:rsidR="009E4ED2" w:rsidRPr="00DD2A86">
        <w:rPr>
          <w:rFonts w:eastAsia="Calibri"/>
          <w:bCs/>
          <w:lang w:val="de-DE"/>
        </w:rPr>
        <w:t>,</w:t>
      </w:r>
      <w:r w:rsidRPr="00DD2A86">
        <w:rPr>
          <w:rFonts w:eastAsia="Calibri"/>
          <w:bCs/>
          <w:lang w:val="de-DE"/>
        </w:rPr>
        <w:t xml:space="preserve"> für die </w:t>
      </w:r>
      <w:r w:rsidR="001563A1" w:rsidRPr="00DD2A86">
        <w:rPr>
          <w:rFonts w:eastAsia="Calibri"/>
          <w:bCs/>
          <w:lang w:val="de-DE"/>
        </w:rPr>
        <w:t>in</w:t>
      </w:r>
      <w:r w:rsidRPr="00DD2A86">
        <w:rPr>
          <w:rFonts w:eastAsia="Calibri"/>
          <w:bCs/>
          <w:lang w:val="de-DE"/>
        </w:rPr>
        <w:t xml:space="preserve"> </w:t>
      </w:r>
      <w:r w:rsidR="008D6D63" w:rsidRPr="00DD2A86">
        <w:rPr>
          <w:rFonts w:eastAsia="Calibri"/>
          <w:bCs/>
          <w:lang w:val="de-DE"/>
        </w:rPr>
        <w:t>A</w:t>
      </w:r>
      <w:r w:rsidRPr="00DD2A86">
        <w:rPr>
          <w:rFonts w:eastAsia="Calibri"/>
          <w:bCs/>
          <w:lang w:val="de-DE"/>
        </w:rPr>
        <w:t>bschnitt 3.2.</w:t>
      </w:r>
      <w:r w:rsidR="008D6D63" w:rsidRPr="00DD2A86">
        <w:rPr>
          <w:rFonts w:eastAsia="Calibri"/>
          <w:bCs/>
          <w:lang w:val="de-DE"/>
        </w:rPr>
        <w:t>1</w:t>
      </w:r>
      <w:r w:rsidRPr="00DD2A86">
        <w:rPr>
          <w:rFonts w:eastAsia="Calibri"/>
          <w:bCs/>
          <w:lang w:val="de-DE"/>
        </w:rPr>
        <w:t>, Tabelle A, Spalte (</w:t>
      </w:r>
      <w:r w:rsidR="00E662DD" w:rsidRPr="00DD2A86">
        <w:rPr>
          <w:rFonts w:eastAsia="Calibri"/>
          <w:bCs/>
          <w:lang w:val="de-DE"/>
        </w:rPr>
        <w:t>9</w:t>
      </w:r>
      <w:r w:rsidRPr="00DD2A86">
        <w:rPr>
          <w:rFonts w:eastAsia="Calibri"/>
          <w:bCs/>
          <w:lang w:val="de-DE"/>
        </w:rPr>
        <w:t xml:space="preserve">) </w:t>
      </w:r>
      <w:r w:rsidR="001563A1" w:rsidRPr="00DD2A86">
        <w:rPr>
          <w:rFonts w:eastAsia="Calibri"/>
          <w:bCs/>
          <w:lang w:val="de-DE"/>
        </w:rPr>
        <w:t>der Code EX</w:t>
      </w:r>
      <w:r w:rsidR="00B27FA3" w:rsidRPr="00DD2A86">
        <w:rPr>
          <w:rFonts w:eastAsia="Calibri"/>
          <w:bCs/>
          <w:lang w:val="de-DE"/>
        </w:rPr>
        <w:t xml:space="preserve"> </w:t>
      </w:r>
      <w:r w:rsidR="001563A1" w:rsidRPr="00DD2A86">
        <w:rPr>
          <w:rFonts w:eastAsia="Calibri"/>
          <w:bCs/>
          <w:lang w:val="de-DE"/>
        </w:rPr>
        <w:t>eingetragen</w:t>
      </w:r>
      <w:r w:rsidRPr="00DD2A86">
        <w:rPr>
          <w:rFonts w:eastAsia="Calibri"/>
          <w:bCs/>
          <w:lang w:val="de-DE"/>
        </w:rPr>
        <w:t xml:space="preserve"> ist</w:t>
      </w:r>
      <w:r w:rsidR="009E4ED2" w:rsidRPr="00DD2A86">
        <w:rPr>
          <w:rFonts w:eastAsia="Calibri"/>
          <w:bCs/>
          <w:lang w:val="de-DE"/>
        </w:rPr>
        <w:t xml:space="preserve">, </w:t>
      </w:r>
      <w:r w:rsidRPr="00DD2A86">
        <w:rPr>
          <w:rFonts w:eastAsia="Calibri"/>
          <w:bCs/>
          <w:lang w:val="de-DE"/>
        </w:rPr>
        <w:t>oder</w:t>
      </w:r>
    </w:p>
    <w:p w:rsidR="00B457AC" w:rsidRPr="00DD2A86" w:rsidRDefault="00B457AC" w:rsidP="00596493">
      <w:pPr>
        <w:numPr>
          <w:ilvl w:val="0"/>
          <w:numId w:val="36"/>
        </w:numPr>
        <w:spacing w:before="120" w:after="120"/>
        <w:ind w:left="2552" w:right="1134" w:hanging="284"/>
        <w:jc w:val="both"/>
        <w:rPr>
          <w:rFonts w:eastAsia="Calibri"/>
          <w:bCs/>
          <w:lang w:val="de-DE"/>
        </w:rPr>
      </w:pPr>
      <w:r w:rsidRPr="00DD2A86">
        <w:rPr>
          <w:rFonts w:eastAsia="Calibri"/>
          <w:bCs/>
          <w:lang w:val="de-DE"/>
        </w:rPr>
        <w:t>wenn sich das Schiff in einer oder unmittelbar angrenzend an eine landseitig ausgewiesene Zone befindet.“.</w:t>
      </w:r>
    </w:p>
    <w:p w:rsidR="00B457AC" w:rsidRPr="00DD2A86" w:rsidRDefault="00B457AC" w:rsidP="00817C87">
      <w:pPr>
        <w:spacing w:before="240" w:after="120"/>
        <w:ind w:left="2268" w:right="1134" w:hanging="1134"/>
        <w:jc w:val="both"/>
        <w:rPr>
          <w:rFonts w:eastAsia="Calibri"/>
          <w:bCs/>
          <w:lang w:val="de-DE"/>
        </w:rPr>
      </w:pPr>
      <w:r w:rsidRPr="00DD2A86">
        <w:rPr>
          <w:rFonts w:eastAsia="Calibri"/>
          <w:bCs/>
          <w:lang w:val="de-DE"/>
        </w:rPr>
        <w:t>7.1.3.51.3</w:t>
      </w:r>
      <w:r w:rsidRPr="00DD2A86">
        <w:rPr>
          <w:rFonts w:eastAsia="Calibri"/>
          <w:bCs/>
          <w:lang w:val="de-DE"/>
        </w:rPr>
        <w:tab/>
        <w:t>Im letzten Satz „Lösen“ ändern in: „Trennen“ und Streichen: „im geschützten Bereich“.</w:t>
      </w:r>
    </w:p>
    <w:p w:rsidR="007C000A" w:rsidRPr="00DD2A86" w:rsidRDefault="007C000A">
      <w:pPr>
        <w:suppressAutoHyphens w:val="0"/>
        <w:spacing w:line="240" w:lineRule="auto"/>
        <w:rPr>
          <w:rFonts w:eastAsia="Calibri"/>
          <w:bCs/>
          <w:lang w:val="de-DE"/>
        </w:rPr>
      </w:pPr>
      <w:r w:rsidRPr="00DD2A86">
        <w:rPr>
          <w:rFonts w:eastAsia="Calibri"/>
          <w:bCs/>
          <w:lang w:val="de-DE"/>
        </w:rPr>
        <w:br w:type="page"/>
      </w:r>
    </w:p>
    <w:p w:rsidR="004F7853" w:rsidRPr="00DD2A86" w:rsidRDefault="004F7853" w:rsidP="00817C87">
      <w:pPr>
        <w:spacing w:before="240" w:after="120"/>
        <w:ind w:left="1134" w:right="1134"/>
        <w:jc w:val="both"/>
        <w:rPr>
          <w:rFonts w:eastAsia="Calibri"/>
          <w:bCs/>
          <w:lang w:val="de-DE"/>
        </w:rPr>
      </w:pPr>
      <w:r w:rsidRPr="00DD2A86">
        <w:rPr>
          <w:rFonts w:eastAsia="Calibri"/>
          <w:bCs/>
          <w:lang w:val="de-DE"/>
        </w:rPr>
        <w:t>7.1.3.</w:t>
      </w:r>
      <w:r w:rsidR="002C0B79" w:rsidRPr="00DD2A86">
        <w:rPr>
          <w:rFonts w:eastAsia="Calibri"/>
          <w:bCs/>
          <w:lang w:val="de-DE"/>
        </w:rPr>
        <w:t>51.4</w:t>
      </w:r>
      <w:r w:rsidR="002C0B79" w:rsidRPr="00DD2A86">
        <w:rPr>
          <w:rFonts w:eastAsia="Calibri"/>
          <w:bCs/>
          <w:lang w:val="de-DE"/>
        </w:rPr>
        <w:tab/>
        <w:t>Erhält folgenden Wortlaut:</w:t>
      </w:r>
    </w:p>
    <w:p w:rsidR="004F7853" w:rsidRPr="00DD2A86" w:rsidRDefault="004F7853" w:rsidP="00817C87">
      <w:pPr>
        <w:spacing w:before="120" w:after="120"/>
        <w:ind w:left="2268" w:right="1134"/>
        <w:jc w:val="both"/>
        <w:rPr>
          <w:rFonts w:eastAsia="Calibri"/>
          <w:bCs/>
          <w:lang w:val="de-DE"/>
        </w:rPr>
      </w:pPr>
      <w:r w:rsidRPr="00DD2A86">
        <w:rPr>
          <w:rFonts w:eastAsia="Calibri"/>
          <w:bCs/>
          <w:lang w:val="de-DE"/>
        </w:rPr>
        <w:t>„</w:t>
      </w:r>
      <w:r w:rsidR="004103DB" w:rsidRPr="00DD2A86">
        <w:rPr>
          <w:rFonts w:eastAsia="Calibri"/>
          <w:bCs/>
          <w:lang w:val="de-DE"/>
        </w:rPr>
        <w:t>7.1.3.51.4</w:t>
      </w:r>
      <w:r w:rsidR="004103DB" w:rsidRPr="00DD2A86">
        <w:rPr>
          <w:rFonts w:eastAsia="Calibri"/>
          <w:bCs/>
          <w:lang w:val="de-DE"/>
        </w:rPr>
        <w:tab/>
      </w:r>
      <w:r w:rsidRPr="00DD2A86">
        <w:rPr>
          <w:rFonts w:eastAsia="Calibri"/>
          <w:bCs/>
          <w:lang w:val="de-DE"/>
        </w:rPr>
        <w:t>Elektrische Anlagen und Geräte in Laderäumen müssen spannungslos und gegen unbeabsichtigtes Einschalten gesichert sein.</w:t>
      </w:r>
    </w:p>
    <w:p w:rsidR="004F7853" w:rsidRPr="00DD2A86" w:rsidRDefault="004F7853" w:rsidP="00817C87">
      <w:pPr>
        <w:spacing w:before="120" w:after="120"/>
        <w:ind w:left="2268" w:right="1134"/>
        <w:jc w:val="both"/>
        <w:rPr>
          <w:rFonts w:eastAsia="Calibri"/>
          <w:bCs/>
          <w:lang w:val="de-DE"/>
        </w:rPr>
      </w:pPr>
      <w:r w:rsidRPr="00DD2A86">
        <w:rPr>
          <w:rFonts w:eastAsia="Calibri"/>
          <w:bCs/>
          <w:lang w:val="de-DE"/>
        </w:rPr>
        <w:t>Dies gilt nicht für durchgehende, fest installierte elektrische Kabel, für bewegliche elektrische Kabel zum Anschluss von nach Absatz 7.1.4.4.4 gestauten Containern sowie für elektrische Anlagen und Geräte</w:t>
      </w:r>
      <w:r w:rsidR="009E4ED2" w:rsidRPr="00DD2A86">
        <w:rPr>
          <w:rFonts w:eastAsia="Calibri"/>
          <w:bCs/>
          <w:lang w:val="de-DE"/>
        </w:rPr>
        <w:t>,</w:t>
      </w:r>
      <w:r w:rsidRPr="00DD2A86">
        <w:rPr>
          <w:rFonts w:eastAsia="Calibri"/>
          <w:bCs/>
          <w:lang w:val="de-DE"/>
        </w:rPr>
        <w:t xml:space="preserve"> die mindestens die Anforderungen für den Betrieb in Zone 1 erfüllen.“.</w:t>
      </w:r>
    </w:p>
    <w:p w:rsidR="004F7853" w:rsidRPr="00DD2A86" w:rsidRDefault="004F7853" w:rsidP="00817C87">
      <w:pPr>
        <w:spacing w:before="240" w:after="120"/>
        <w:ind w:left="1134" w:right="1134"/>
        <w:jc w:val="both"/>
        <w:rPr>
          <w:rFonts w:eastAsia="Calibri"/>
          <w:bCs/>
          <w:lang w:val="de-DE"/>
        </w:rPr>
      </w:pPr>
      <w:r w:rsidRPr="00DD2A86">
        <w:rPr>
          <w:rFonts w:eastAsia="Calibri"/>
          <w:bCs/>
          <w:lang w:val="de-DE"/>
        </w:rPr>
        <w:t>7.1.3.51</w:t>
      </w:r>
      <w:r w:rsidRPr="00DD2A86">
        <w:rPr>
          <w:rFonts w:eastAsia="Calibri"/>
          <w:bCs/>
          <w:lang w:val="de-DE"/>
        </w:rPr>
        <w:tab/>
        <w:t>Folgende neue Absätze hinzufügen:</w:t>
      </w:r>
    </w:p>
    <w:p w:rsidR="004F7853" w:rsidRPr="00DD2A86" w:rsidRDefault="004F7853" w:rsidP="00817C87">
      <w:pPr>
        <w:spacing w:before="120" w:after="120"/>
        <w:ind w:left="3402" w:right="1134" w:hanging="1134"/>
        <w:jc w:val="both"/>
        <w:rPr>
          <w:rFonts w:eastAsia="Calibri"/>
          <w:bCs/>
          <w:lang w:val="de-DE"/>
        </w:rPr>
      </w:pPr>
      <w:r w:rsidRPr="00DD2A86">
        <w:rPr>
          <w:rFonts w:eastAsia="Calibri"/>
          <w:bCs/>
          <w:lang w:val="de-DE"/>
        </w:rPr>
        <w:t>„7.1.3.51.5</w:t>
      </w:r>
      <w:r w:rsidRPr="00DD2A86">
        <w:rPr>
          <w:rFonts w:eastAsia="Calibri"/>
          <w:bCs/>
          <w:lang w:val="de-DE"/>
        </w:rPr>
        <w:tab/>
        <w:t>Während eines Aufenthalts in einer oder unmittelbar angrenzend an eine landseitig ausgewiesene Zone müssen elektrische und nicht-elektrische Anlagen und Geräte, die den in Absatz 9.1.0.52.1 angegebenen Vorschriften nicht entsprechen, oder bei denen höhere Oberflächentemperaturen als 200 °C auftreten können (gemäß Unterabschnitt 9.1.0.51 und Absatz 9.1.0.52.2 rot gekennzeichnet), abgeschaltet sein, auf Temperaturen unterhalb 200</w:t>
      </w:r>
      <w:r w:rsidR="0070614C" w:rsidRPr="00DD2A86">
        <w:rPr>
          <w:rFonts w:eastAsia="Calibri"/>
          <w:bCs/>
          <w:lang w:val="de-DE"/>
        </w:rPr>
        <w:t xml:space="preserve"> </w:t>
      </w:r>
      <w:r w:rsidRPr="00DD2A86">
        <w:rPr>
          <w:rFonts w:eastAsia="Calibri"/>
          <w:bCs/>
          <w:lang w:val="de-DE"/>
        </w:rPr>
        <w:t>°C abgekühlt sein oder es müssen die in 7.1.3.51.6  aufgeführten Maßnahmen ergriffen sein.</w:t>
      </w:r>
    </w:p>
    <w:p w:rsidR="004F7853" w:rsidRPr="00DD2A86" w:rsidRDefault="004F7853" w:rsidP="00817C87">
      <w:pPr>
        <w:spacing w:before="240"/>
        <w:ind w:left="3402" w:right="1134" w:hanging="1134"/>
        <w:jc w:val="both"/>
        <w:rPr>
          <w:rFonts w:eastAsia="Calibri"/>
          <w:bCs/>
          <w:lang w:val="de-DE"/>
        </w:rPr>
      </w:pPr>
      <w:r w:rsidRPr="00DD2A86">
        <w:rPr>
          <w:rFonts w:eastAsia="Calibri"/>
          <w:bCs/>
          <w:lang w:val="de-DE"/>
        </w:rPr>
        <w:t>7.1.3.51.6</w:t>
      </w:r>
      <w:r w:rsidRPr="00DD2A86">
        <w:rPr>
          <w:rFonts w:eastAsia="Calibri"/>
          <w:bCs/>
          <w:lang w:val="de-DE"/>
        </w:rPr>
        <w:tab/>
        <w:t>Absatz 7.1.3.51.5 gilt nicht in Wohnungen, Ste</w:t>
      </w:r>
      <w:r w:rsidR="002C0B79" w:rsidRPr="00DD2A86">
        <w:rPr>
          <w:rFonts w:eastAsia="Calibri"/>
          <w:bCs/>
          <w:lang w:val="de-DE"/>
        </w:rPr>
        <w:t xml:space="preserve">uerhaus und Betriebsräumen </w:t>
      </w:r>
      <w:r w:rsidR="0007773C" w:rsidRPr="00DD2A86">
        <w:rPr>
          <w:rFonts w:eastAsia="Calibri"/>
          <w:bCs/>
          <w:lang w:val="de-DE"/>
        </w:rPr>
        <w:t>außerhalb des geschützten Bereichs</w:t>
      </w:r>
      <w:r w:rsidR="009E4ED2" w:rsidRPr="00DD2A86">
        <w:rPr>
          <w:rFonts w:eastAsia="Calibri"/>
          <w:bCs/>
          <w:lang w:val="de-DE"/>
        </w:rPr>
        <w:t>,</w:t>
      </w:r>
      <w:r w:rsidR="0007773C" w:rsidRPr="00DD2A86">
        <w:rPr>
          <w:rFonts w:eastAsia="Calibri"/>
          <w:bCs/>
          <w:lang w:val="de-DE"/>
        </w:rPr>
        <w:t xml:space="preserve"> </w:t>
      </w:r>
      <w:r w:rsidR="002C0B79" w:rsidRPr="00DD2A86">
        <w:rPr>
          <w:rFonts w:eastAsia="Calibri"/>
          <w:bCs/>
          <w:lang w:val="de-DE"/>
        </w:rPr>
        <w:t>wenn</w:t>
      </w:r>
    </w:p>
    <w:p w:rsidR="004F7853" w:rsidRPr="00DD2A86" w:rsidRDefault="004F7853" w:rsidP="00817C87">
      <w:pPr>
        <w:spacing w:before="60"/>
        <w:ind w:left="3686" w:right="1134" w:hanging="284"/>
        <w:jc w:val="both"/>
        <w:rPr>
          <w:rFonts w:eastAsia="Calibri"/>
          <w:bCs/>
          <w:lang w:val="de-DE"/>
        </w:rPr>
      </w:pPr>
      <w:r w:rsidRPr="00DD2A86">
        <w:rPr>
          <w:rFonts w:eastAsia="Calibri"/>
          <w:bCs/>
          <w:lang w:val="de-DE"/>
        </w:rPr>
        <w:t>a)</w:t>
      </w:r>
      <w:r w:rsidRPr="00DD2A86">
        <w:rPr>
          <w:rFonts w:eastAsia="Calibri"/>
          <w:bCs/>
          <w:lang w:val="de-DE"/>
        </w:rPr>
        <w:tab/>
        <w:t>das Lüftungssystem so eingestellt wird, dass ein Überdruck von mindestens 0,1 kPa gewährleistet ist und</w:t>
      </w:r>
    </w:p>
    <w:p w:rsidR="004F7853" w:rsidRPr="00DD2A86" w:rsidRDefault="004F7853" w:rsidP="00817C87">
      <w:pPr>
        <w:spacing w:before="60"/>
        <w:ind w:left="3686" w:right="1134" w:hanging="284"/>
        <w:jc w:val="both"/>
        <w:rPr>
          <w:rFonts w:eastAsia="Calibri"/>
          <w:bCs/>
          <w:lang w:val="de-DE"/>
        </w:rPr>
      </w:pPr>
      <w:r w:rsidRPr="00DD2A86">
        <w:rPr>
          <w:rFonts w:eastAsia="Calibri"/>
          <w:bCs/>
          <w:lang w:val="de-DE"/>
        </w:rPr>
        <w:t>b)</w:t>
      </w:r>
      <w:r w:rsidRPr="00DD2A86">
        <w:rPr>
          <w:rFonts w:eastAsia="Calibri"/>
          <w:bCs/>
          <w:lang w:val="de-DE"/>
        </w:rPr>
        <w:tab/>
        <w:t>die Gasspüranlage eingeschaltet ist und stetig misst.</w:t>
      </w:r>
    </w:p>
    <w:p w:rsidR="00DA09F0" w:rsidRPr="00DD2A86" w:rsidRDefault="004F7853" w:rsidP="00817C87">
      <w:pPr>
        <w:spacing w:before="240"/>
        <w:ind w:left="3402" w:right="1134" w:hanging="1134"/>
        <w:jc w:val="both"/>
        <w:rPr>
          <w:rFonts w:eastAsia="Calibri"/>
          <w:bCs/>
          <w:lang w:val="de-DE"/>
        </w:rPr>
      </w:pPr>
      <w:r w:rsidRPr="00DD2A86">
        <w:rPr>
          <w:rFonts w:eastAsia="Calibri"/>
          <w:bCs/>
          <w:lang w:val="de-DE"/>
        </w:rPr>
        <w:t>7.1.3.51.7</w:t>
      </w:r>
      <w:r w:rsidRPr="00DD2A86">
        <w:rPr>
          <w:rFonts w:eastAsia="Calibri"/>
          <w:bCs/>
          <w:lang w:val="de-DE"/>
        </w:rPr>
        <w:tab/>
        <w:t xml:space="preserve">Anlagen und Geräte gemäß 7.1.3.51.5, die während </w:t>
      </w:r>
      <w:r w:rsidR="00DA09F0" w:rsidRPr="00DD2A86">
        <w:rPr>
          <w:rFonts w:eastAsia="Calibri"/>
          <w:bCs/>
          <w:lang w:val="de-DE"/>
        </w:rPr>
        <w:t xml:space="preserve">des Ladens oder Löschens oder während </w:t>
      </w:r>
      <w:r w:rsidRPr="00DD2A86">
        <w:rPr>
          <w:rFonts w:eastAsia="Calibri"/>
          <w:bCs/>
          <w:lang w:val="de-DE"/>
        </w:rPr>
        <w:t xml:space="preserve">eines Aufenthalts in einer oder unmittelbar angrenzend an eine landseitig ausgewiesene Zone, abgeschaltet waren, dürfen erst wieder eingeschaltet werden, </w:t>
      </w:r>
    </w:p>
    <w:p w:rsidR="00DA09F0" w:rsidRPr="00DD2A86" w:rsidRDefault="009E4ED2" w:rsidP="00817C87">
      <w:pPr>
        <w:ind w:left="3686" w:right="1134" w:hanging="284"/>
        <w:jc w:val="both"/>
        <w:rPr>
          <w:rFonts w:eastAsia="Calibri"/>
          <w:bCs/>
          <w:lang w:val="de-DE"/>
        </w:rPr>
      </w:pPr>
      <w:r w:rsidRPr="00DD2A86">
        <w:rPr>
          <w:rFonts w:eastAsia="Calibri"/>
          <w:bCs/>
          <w:lang w:val="de-DE"/>
        </w:rPr>
        <w:t>a)</w:t>
      </w:r>
      <w:r w:rsidR="00524F37" w:rsidRPr="00DD2A86">
        <w:rPr>
          <w:rFonts w:eastAsia="Calibri"/>
          <w:bCs/>
          <w:lang w:val="de-DE"/>
        </w:rPr>
        <w:tab/>
      </w:r>
      <w:r w:rsidR="004F7853" w:rsidRPr="00DD2A86">
        <w:rPr>
          <w:rFonts w:eastAsia="Calibri"/>
          <w:bCs/>
          <w:lang w:val="de-DE"/>
        </w:rPr>
        <w:t>nachdem sich das Schiff nicht mehr in einer oder unmittelbar angrenzend an eine landseitig ausgewiesene Zone aufhält</w:t>
      </w:r>
    </w:p>
    <w:p w:rsidR="00DA09F0" w:rsidRPr="00DD2A86" w:rsidRDefault="00DA09F0" w:rsidP="00817C87">
      <w:pPr>
        <w:ind w:left="3402" w:right="1134"/>
        <w:jc w:val="both"/>
        <w:rPr>
          <w:rFonts w:eastAsia="Calibri"/>
          <w:bCs/>
          <w:lang w:val="de-DE"/>
        </w:rPr>
      </w:pPr>
      <w:r w:rsidRPr="00DD2A86">
        <w:rPr>
          <w:rFonts w:eastAsia="Calibri"/>
          <w:bCs/>
          <w:lang w:val="de-DE"/>
        </w:rPr>
        <w:t>o</w:t>
      </w:r>
      <w:r w:rsidR="004F7853" w:rsidRPr="00DD2A86">
        <w:rPr>
          <w:rFonts w:eastAsia="Calibri"/>
          <w:bCs/>
          <w:lang w:val="de-DE"/>
        </w:rPr>
        <w:t>der</w:t>
      </w:r>
    </w:p>
    <w:p w:rsidR="004F7853" w:rsidRPr="00DD2A86" w:rsidRDefault="009E4ED2" w:rsidP="00817C87">
      <w:pPr>
        <w:ind w:left="3686" w:right="1134" w:hanging="284"/>
        <w:jc w:val="both"/>
        <w:rPr>
          <w:rFonts w:eastAsia="Calibri"/>
          <w:bCs/>
          <w:lang w:val="de-DE"/>
        </w:rPr>
      </w:pPr>
      <w:r w:rsidRPr="00DD2A86">
        <w:rPr>
          <w:rFonts w:eastAsia="Calibri"/>
          <w:bCs/>
          <w:lang w:val="de-DE"/>
        </w:rPr>
        <w:t>b)</w:t>
      </w:r>
      <w:r w:rsidR="00524F37" w:rsidRPr="00DD2A86">
        <w:rPr>
          <w:rFonts w:eastAsia="Calibri"/>
          <w:bCs/>
          <w:lang w:val="de-DE"/>
        </w:rPr>
        <w:tab/>
      </w:r>
      <w:r w:rsidR="004F7853" w:rsidRPr="00DD2A86">
        <w:rPr>
          <w:rFonts w:eastAsia="Calibri"/>
          <w:bCs/>
          <w:lang w:val="de-DE"/>
        </w:rPr>
        <w:t xml:space="preserve">im Steuerhaus, in den Wohnungen und Betriebsräumen </w:t>
      </w:r>
      <w:r w:rsidR="0007773C" w:rsidRPr="00DD2A86">
        <w:rPr>
          <w:rFonts w:eastAsia="Calibri"/>
          <w:bCs/>
          <w:lang w:val="de-DE"/>
        </w:rPr>
        <w:t xml:space="preserve">außerhalb des geschützten Bereichs </w:t>
      </w:r>
      <w:r w:rsidR="004F7853" w:rsidRPr="00DD2A86">
        <w:rPr>
          <w:rFonts w:eastAsia="Calibri"/>
          <w:bCs/>
          <w:lang w:val="de-DE"/>
        </w:rPr>
        <w:t>10 % der UEG von n-Hexan unterschritten sind.</w:t>
      </w:r>
    </w:p>
    <w:p w:rsidR="004F7853" w:rsidRPr="00DD2A86" w:rsidRDefault="004F7853" w:rsidP="00817C87">
      <w:pPr>
        <w:spacing w:after="120"/>
        <w:ind w:left="3402" w:right="1134"/>
        <w:jc w:val="both"/>
        <w:rPr>
          <w:rFonts w:eastAsia="Calibri"/>
          <w:bCs/>
          <w:lang w:val="de-DE"/>
        </w:rPr>
      </w:pPr>
      <w:r w:rsidRPr="00DD2A86">
        <w:rPr>
          <w:rFonts w:eastAsia="Calibri"/>
          <w:bCs/>
          <w:lang w:val="de-DE"/>
        </w:rPr>
        <w:t>Die Messergebnisse müssen schriftlich festgehalten werden.</w:t>
      </w:r>
    </w:p>
    <w:p w:rsidR="004F7853" w:rsidRPr="00DD2A86" w:rsidRDefault="004F7853" w:rsidP="00817C87">
      <w:pPr>
        <w:spacing w:before="240" w:after="120"/>
        <w:ind w:left="3402" w:right="1134" w:hanging="1134"/>
        <w:jc w:val="both"/>
        <w:rPr>
          <w:rFonts w:eastAsia="Calibri"/>
          <w:bCs/>
          <w:lang w:val="de-DE"/>
        </w:rPr>
      </w:pPr>
      <w:r w:rsidRPr="00DD2A86">
        <w:rPr>
          <w:rFonts w:eastAsia="Calibri"/>
          <w:bCs/>
          <w:lang w:val="de-DE"/>
        </w:rPr>
        <w:t>7.1.3.51.8</w:t>
      </w:r>
      <w:r w:rsidRPr="00DD2A86">
        <w:rPr>
          <w:rFonts w:eastAsia="Calibri"/>
          <w:bCs/>
          <w:lang w:val="de-DE"/>
        </w:rPr>
        <w:tab/>
        <w:t>Können die Schiffe die Anforderungen aus 7.1.3.51.5 und 7.1.3.51.6 nicht erfüllen, ist ein Aufenthalt in einer oder unmittelbar angrenzend an eine landseitig ausgewiesene Zone nicht gestattet.</w:t>
      </w:r>
      <w:r w:rsidR="008E0ACD" w:rsidRPr="00DD2A86">
        <w:rPr>
          <w:rFonts w:eastAsia="Calibri"/>
          <w:bCs/>
          <w:lang w:val="de-DE"/>
        </w:rPr>
        <w:t xml:space="preserve"> </w:t>
      </w:r>
      <w:r w:rsidR="008E0ACD" w:rsidRPr="00DD2A86">
        <w:rPr>
          <w:rFonts w:eastAsia="Calibri"/>
          <w:lang w:val="de-DE"/>
        </w:rPr>
        <w:t>Die zuständige Behörde kann im Einzelfall Ausnahmen zulassen.</w:t>
      </w:r>
      <w:r w:rsidRPr="00DD2A86">
        <w:rPr>
          <w:rFonts w:eastAsia="Calibri"/>
          <w:bCs/>
          <w:lang w:val="de-DE"/>
        </w:rPr>
        <w:t>“.</w:t>
      </w:r>
    </w:p>
    <w:p w:rsidR="00C06949" w:rsidRPr="00DD2A86" w:rsidRDefault="00C06949" w:rsidP="00C06949">
      <w:pPr>
        <w:tabs>
          <w:tab w:val="left" w:pos="2268"/>
        </w:tabs>
        <w:spacing w:before="120" w:after="120"/>
        <w:ind w:left="1134" w:right="1134"/>
        <w:jc w:val="both"/>
        <w:rPr>
          <w:rFonts w:eastAsia="SimSun"/>
          <w:lang w:val="de-DE" w:eastAsia="zh-CN"/>
        </w:rPr>
      </w:pPr>
      <w:r w:rsidRPr="00DD2A86">
        <w:rPr>
          <w:lang w:val="de-DE"/>
        </w:rPr>
        <w:t>7.1.4.1.4</w:t>
      </w:r>
      <w:r w:rsidRPr="00DD2A86">
        <w:rPr>
          <w:lang w:val="de-DE"/>
        </w:rPr>
        <w:tab/>
      </w:r>
      <w:r w:rsidRPr="00DD2A86">
        <w:rPr>
          <w:rFonts w:eastAsia="SimSun"/>
          <w:lang w:val="de-DE" w:eastAsia="zh-CN"/>
        </w:rPr>
        <w:t>[Die Änderung in der englischen Fassung hat keine Auswirkungen auf den deutschen Text.]</w:t>
      </w:r>
    </w:p>
    <w:p w:rsidR="00C06949" w:rsidRPr="00DD2A86" w:rsidRDefault="00C06949" w:rsidP="00C06949">
      <w:pPr>
        <w:tabs>
          <w:tab w:val="left" w:pos="2268"/>
        </w:tabs>
        <w:spacing w:before="120" w:after="120"/>
        <w:ind w:left="1134" w:right="1134"/>
        <w:jc w:val="both"/>
        <w:rPr>
          <w:lang w:val="de-DE"/>
        </w:rPr>
      </w:pPr>
      <w:r w:rsidRPr="00DD2A86">
        <w:rPr>
          <w:lang w:val="de-DE"/>
        </w:rPr>
        <w:t>7.1.4.1.5</w:t>
      </w:r>
      <w:r w:rsidRPr="00DD2A86">
        <w:rPr>
          <w:lang w:val="de-DE"/>
        </w:rPr>
        <w:tab/>
        <w:t>Erhält folgenden Wortlaut: „(gestrichen)“.</w:t>
      </w:r>
    </w:p>
    <w:p w:rsidR="007C000A" w:rsidRPr="00DD2A86" w:rsidRDefault="007C000A">
      <w:pPr>
        <w:suppressAutoHyphens w:val="0"/>
        <w:spacing w:line="240" w:lineRule="auto"/>
        <w:rPr>
          <w:rFonts w:eastAsiaTheme="minorHAnsi"/>
          <w:lang w:val="de-DE"/>
        </w:rPr>
      </w:pPr>
      <w:r w:rsidRPr="00DD2A86">
        <w:rPr>
          <w:rFonts w:eastAsiaTheme="minorHAnsi"/>
          <w:lang w:val="de-DE"/>
        </w:rPr>
        <w:br w:type="page"/>
      </w:r>
    </w:p>
    <w:p w:rsidR="00A0486B" w:rsidRPr="00DD2A86" w:rsidRDefault="00A0486B" w:rsidP="00817C87">
      <w:pPr>
        <w:kinsoku w:val="0"/>
        <w:overflowPunct w:val="0"/>
        <w:autoSpaceDE w:val="0"/>
        <w:autoSpaceDN w:val="0"/>
        <w:adjustRightInd w:val="0"/>
        <w:snapToGrid w:val="0"/>
        <w:spacing w:before="120" w:after="120"/>
        <w:ind w:left="1134" w:right="1134"/>
        <w:jc w:val="both"/>
        <w:rPr>
          <w:rFonts w:eastAsiaTheme="minorHAnsi"/>
          <w:lang w:val="de-DE"/>
        </w:rPr>
      </w:pPr>
      <w:r w:rsidRPr="00DD2A86">
        <w:rPr>
          <w:rFonts w:eastAsiaTheme="minorHAnsi"/>
          <w:lang w:val="de-DE"/>
        </w:rPr>
        <w:t>7.1.4.3.4</w:t>
      </w:r>
      <w:r w:rsidRPr="00DD2A86">
        <w:rPr>
          <w:rFonts w:eastAsiaTheme="minorHAnsi"/>
          <w:lang w:val="de-DE"/>
        </w:rPr>
        <w:tab/>
      </w:r>
      <w:r w:rsidRPr="00DD2A86">
        <w:rPr>
          <w:rFonts w:eastAsiaTheme="minorHAnsi"/>
          <w:bCs/>
          <w:lang w:val="de-DE"/>
        </w:rPr>
        <w:t>Die Fußnote 1 zur Tabelle erhält folgenden Wortlaut</w:t>
      </w:r>
      <w:r w:rsidRPr="00DD2A86">
        <w:rPr>
          <w:rFonts w:eastAsiaTheme="minorHAnsi"/>
          <w:lang w:val="de-DE"/>
        </w:rPr>
        <w:t>:</w:t>
      </w:r>
    </w:p>
    <w:p w:rsidR="00A0486B" w:rsidRPr="00DD2A86" w:rsidRDefault="00C860AD" w:rsidP="00817C87">
      <w:pPr>
        <w:kinsoku w:val="0"/>
        <w:overflowPunct w:val="0"/>
        <w:autoSpaceDE w:val="0"/>
        <w:autoSpaceDN w:val="0"/>
        <w:adjustRightInd w:val="0"/>
        <w:snapToGrid w:val="0"/>
        <w:spacing w:before="120" w:after="120"/>
        <w:ind w:left="1134" w:right="1134"/>
        <w:jc w:val="both"/>
        <w:rPr>
          <w:rFonts w:eastAsiaTheme="minorHAnsi"/>
          <w:lang w:val="de-DE"/>
        </w:rPr>
      </w:pPr>
      <w:r>
        <w:rPr>
          <w:rFonts w:eastAsiaTheme="minorHAnsi"/>
          <w:lang w:val="de-DE"/>
        </w:rPr>
        <w:t>„</w:t>
      </w:r>
      <w:r w:rsidR="00A0486B" w:rsidRPr="00DD2A86">
        <w:rPr>
          <w:rFonts w:eastAsiaTheme="minorHAnsi"/>
          <w:i/>
          <w:vertAlign w:val="superscript"/>
          <w:lang w:val="de-DE"/>
        </w:rPr>
        <w:t>1</w:t>
      </w:r>
      <w:r w:rsidR="00A0486B" w:rsidRPr="00DD2A86">
        <w:rPr>
          <w:rFonts w:eastAsiaTheme="minorHAnsi"/>
          <w:lang w:val="de-DE"/>
        </w:rPr>
        <w:tab/>
        <w:t xml:space="preserve">„Versandstücke mit Gegenständen der Verträglichkeitsgruppe „B“ und Versandstücke mit Stoffen und Gegenständen der Verträglichkeitsgruppe „D“ dürfen nur zusammen in einem Laderaum gestaut werden, wenn sie in geschlossenen Containern, gedeckten Fahrzeugen oder gedeckten Wagen verladen sind.“. </w:t>
      </w:r>
    </w:p>
    <w:p w:rsidR="00A0486B" w:rsidRPr="00DD2A86" w:rsidRDefault="00A0486B" w:rsidP="00817C87">
      <w:pPr>
        <w:spacing w:after="120"/>
        <w:ind w:left="1134" w:right="1134"/>
        <w:jc w:val="both"/>
        <w:rPr>
          <w:lang w:val="de-DE"/>
        </w:rPr>
      </w:pPr>
      <w:r w:rsidRPr="00DD2A86">
        <w:rPr>
          <w:lang w:val="de-DE"/>
        </w:rPr>
        <w:t>7.1.4.4.2</w:t>
      </w:r>
      <w:r w:rsidRPr="00DD2A86">
        <w:rPr>
          <w:lang w:val="de-DE"/>
        </w:rPr>
        <w:tab/>
        <w:t>Der erste Anstrich erhält folgenden Wortlaut: „- geschlossene Container;“.</w:t>
      </w:r>
    </w:p>
    <w:p w:rsidR="00A0486B" w:rsidRPr="00DD2A86" w:rsidRDefault="00A0486B" w:rsidP="00817C87">
      <w:pPr>
        <w:kinsoku w:val="0"/>
        <w:overflowPunct w:val="0"/>
        <w:autoSpaceDE w:val="0"/>
        <w:autoSpaceDN w:val="0"/>
        <w:adjustRightInd w:val="0"/>
        <w:snapToGrid w:val="0"/>
        <w:spacing w:before="120" w:after="120"/>
        <w:ind w:left="1134" w:right="1134"/>
        <w:jc w:val="both"/>
        <w:rPr>
          <w:rFonts w:eastAsiaTheme="minorHAnsi"/>
          <w:bCs/>
          <w:lang w:val="de-DE"/>
        </w:rPr>
      </w:pPr>
      <w:r w:rsidRPr="00DD2A86">
        <w:rPr>
          <w:rFonts w:eastAsiaTheme="minorHAnsi"/>
          <w:lang w:val="de-DE"/>
        </w:rPr>
        <w:t>7.1.4.4.2</w:t>
      </w:r>
      <w:r w:rsidRPr="00DD2A86">
        <w:rPr>
          <w:rFonts w:eastAsiaTheme="minorHAnsi"/>
          <w:lang w:val="de-DE"/>
        </w:rPr>
        <w:tab/>
      </w:r>
      <w:r w:rsidRPr="00DD2A86">
        <w:rPr>
          <w:rFonts w:eastAsiaTheme="minorHAnsi"/>
          <w:bCs/>
          <w:lang w:val="de-DE"/>
        </w:rPr>
        <w:t>Im zweiten Anstrich streichen: „mit geschlossenen Metallwänden“.</w:t>
      </w:r>
    </w:p>
    <w:p w:rsidR="004F7853" w:rsidRPr="00DD2A86" w:rsidRDefault="004F7853" w:rsidP="00817C87">
      <w:pPr>
        <w:spacing w:before="240"/>
        <w:ind w:left="1134" w:right="1134"/>
        <w:jc w:val="both"/>
        <w:rPr>
          <w:rFonts w:eastAsia="Calibri"/>
          <w:bCs/>
          <w:lang w:val="de-DE"/>
        </w:rPr>
      </w:pPr>
      <w:r w:rsidRPr="00DD2A86">
        <w:rPr>
          <w:rFonts w:eastAsia="Calibri"/>
          <w:bCs/>
          <w:lang w:val="de-DE"/>
        </w:rPr>
        <w:t>7.1.4.4.4</w:t>
      </w:r>
      <w:r w:rsidRPr="00DD2A86">
        <w:rPr>
          <w:rFonts w:eastAsia="Calibri"/>
          <w:bCs/>
          <w:lang w:val="de-DE"/>
        </w:rPr>
        <w:tab/>
        <w:t>Im Einleitungssatz:</w:t>
      </w:r>
    </w:p>
    <w:p w:rsidR="004F7853" w:rsidRPr="00DD2A86" w:rsidRDefault="004F7853" w:rsidP="00817C87">
      <w:pPr>
        <w:ind w:left="2552" w:right="1134" w:hanging="284"/>
        <w:jc w:val="both"/>
        <w:rPr>
          <w:rFonts w:eastAsia="Calibri"/>
          <w:bCs/>
          <w:lang w:val="de-DE"/>
        </w:rPr>
      </w:pPr>
      <w:r w:rsidRPr="00DD2A86">
        <w:rPr>
          <w:rFonts w:eastAsia="Calibri"/>
          <w:bCs/>
          <w:lang w:val="de-DE"/>
        </w:rPr>
        <w:t>-</w:t>
      </w:r>
      <w:r w:rsidR="00537308" w:rsidRPr="00DD2A86">
        <w:rPr>
          <w:rFonts w:eastAsia="Calibri"/>
          <w:bCs/>
          <w:lang w:val="de-DE"/>
        </w:rPr>
        <w:tab/>
      </w:r>
      <w:r w:rsidRPr="00DD2A86">
        <w:rPr>
          <w:rFonts w:eastAsia="Calibri"/>
          <w:bCs/>
          <w:lang w:val="de-DE"/>
        </w:rPr>
        <w:t>„elektrische Anlagen“ ändern in: „elektrische Anlagen und Geräte“.</w:t>
      </w:r>
    </w:p>
    <w:p w:rsidR="004F7853" w:rsidRPr="00DD2A86" w:rsidRDefault="004F7853" w:rsidP="00817C87">
      <w:pPr>
        <w:ind w:left="2552" w:right="1134" w:hanging="284"/>
        <w:jc w:val="both"/>
        <w:rPr>
          <w:rFonts w:eastAsia="Calibri"/>
          <w:bCs/>
          <w:lang w:val="de-DE"/>
        </w:rPr>
      </w:pPr>
      <w:r w:rsidRPr="00DD2A86">
        <w:rPr>
          <w:rFonts w:eastAsia="Calibri"/>
          <w:bCs/>
          <w:lang w:val="de-DE"/>
        </w:rPr>
        <w:t>-</w:t>
      </w:r>
      <w:r w:rsidR="00537308" w:rsidRPr="00DD2A86">
        <w:rPr>
          <w:rFonts w:eastAsia="Calibri"/>
          <w:bCs/>
          <w:lang w:val="de-DE"/>
        </w:rPr>
        <w:tab/>
      </w:r>
      <w:r w:rsidRPr="00DD2A86">
        <w:rPr>
          <w:rFonts w:eastAsia="Calibri"/>
          <w:bCs/>
          <w:lang w:val="de-DE"/>
        </w:rPr>
        <w:t>„Unterabschnitt 9.1.0.56“ ändern in: „Absatz 9.1.0.53.5“.</w:t>
      </w:r>
    </w:p>
    <w:p w:rsidR="004F7853" w:rsidRPr="00DD2A86" w:rsidRDefault="004F7853" w:rsidP="00817C87">
      <w:pPr>
        <w:ind w:left="2552" w:right="1134" w:hanging="284"/>
        <w:jc w:val="both"/>
        <w:rPr>
          <w:rFonts w:eastAsia="Calibri"/>
          <w:bCs/>
          <w:lang w:val="de-DE"/>
        </w:rPr>
      </w:pPr>
      <w:r w:rsidRPr="00DD2A86">
        <w:rPr>
          <w:rFonts w:eastAsia="Calibri"/>
          <w:bCs/>
          <w:lang w:val="de-DE"/>
        </w:rPr>
        <w:t>-</w:t>
      </w:r>
      <w:r w:rsidR="00537308" w:rsidRPr="00DD2A86">
        <w:rPr>
          <w:rFonts w:eastAsia="Calibri"/>
          <w:bCs/>
          <w:lang w:val="de-DE"/>
        </w:rPr>
        <w:tab/>
      </w:r>
      <w:r w:rsidRPr="00DD2A86">
        <w:rPr>
          <w:rFonts w:eastAsia="Calibri"/>
          <w:bCs/>
          <w:lang w:val="de-DE"/>
        </w:rPr>
        <w:t>„und in Betrieb“ ändern in: „oder in Betrieb“.</w:t>
      </w:r>
    </w:p>
    <w:p w:rsidR="004F7853" w:rsidRPr="00DD2A86" w:rsidRDefault="004F7853" w:rsidP="00817C87">
      <w:pPr>
        <w:spacing w:before="240" w:after="120"/>
        <w:ind w:left="1134" w:right="1134"/>
        <w:jc w:val="both"/>
        <w:rPr>
          <w:rFonts w:eastAsia="Calibri"/>
          <w:bCs/>
          <w:lang w:val="de-DE"/>
        </w:rPr>
      </w:pPr>
      <w:r w:rsidRPr="00DD2A86">
        <w:rPr>
          <w:rFonts w:eastAsia="Calibri"/>
          <w:bCs/>
          <w:lang w:val="de-DE"/>
        </w:rPr>
        <w:t>7.1.4.4.4 a)</w:t>
      </w:r>
      <w:r w:rsidRPr="00DD2A86">
        <w:rPr>
          <w:rFonts w:eastAsia="Calibri"/>
          <w:bCs/>
          <w:lang w:val="de-DE"/>
        </w:rPr>
        <w:tab/>
      </w:r>
      <w:r w:rsidR="00B72557" w:rsidRPr="00DD2A86">
        <w:rPr>
          <w:rFonts w:eastAsia="Calibri"/>
          <w:bCs/>
          <w:lang w:val="de-DE"/>
        </w:rPr>
        <w:t>Der Buchstabe</w:t>
      </w:r>
      <w:r w:rsidR="00537308" w:rsidRPr="00DD2A86">
        <w:rPr>
          <w:rFonts w:eastAsia="Calibri"/>
          <w:bCs/>
          <w:lang w:val="de-DE"/>
        </w:rPr>
        <w:t xml:space="preserve"> a) erhält folgenden Wortlaut:</w:t>
      </w:r>
    </w:p>
    <w:p w:rsidR="004F7853" w:rsidRPr="00DD2A86" w:rsidRDefault="004F7853" w:rsidP="00817C87">
      <w:pPr>
        <w:spacing w:before="120" w:after="120"/>
        <w:ind w:left="2268" w:right="1134"/>
        <w:jc w:val="both"/>
        <w:rPr>
          <w:rFonts w:eastAsia="Calibri"/>
          <w:bCs/>
          <w:lang w:val="de-DE"/>
        </w:rPr>
      </w:pPr>
      <w:r w:rsidRPr="00DD2A86">
        <w:rPr>
          <w:rFonts w:eastAsia="Calibri"/>
          <w:bCs/>
          <w:lang w:val="de-DE"/>
        </w:rPr>
        <w:t>„a) die elektrischen Anlagen und Geräte mindestens für den Betrieb in Zone</w:t>
      </w:r>
      <w:r w:rsidR="001E47B6" w:rsidRPr="00DD2A86">
        <w:rPr>
          <w:rFonts w:eastAsia="Calibri"/>
          <w:bCs/>
          <w:lang w:val="de-DE"/>
        </w:rPr>
        <w:t> </w:t>
      </w:r>
      <w:r w:rsidRPr="00DD2A86">
        <w:rPr>
          <w:rFonts w:eastAsia="Calibri"/>
          <w:bCs/>
          <w:lang w:val="de-DE"/>
        </w:rPr>
        <w:t>1 geeignet sind und die Anforderungen für die Temperaturklasse T4 und Explosionsgruppe II B erfüllen; oder“</w:t>
      </w:r>
      <w:r w:rsidR="00C30E39" w:rsidRPr="00DD2A86">
        <w:rPr>
          <w:rFonts w:eastAsia="Calibri"/>
          <w:bCs/>
          <w:lang w:val="de-DE"/>
        </w:rPr>
        <w:t>.</w:t>
      </w:r>
    </w:p>
    <w:p w:rsidR="004F7853" w:rsidRPr="00DD2A86" w:rsidRDefault="004F7853" w:rsidP="001E47B6">
      <w:pPr>
        <w:tabs>
          <w:tab w:val="left" w:pos="2268"/>
          <w:tab w:val="left" w:pos="2552"/>
        </w:tabs>
        <w:spacing w:before="240" w:after="120"/>
        <w:ind w:left="2552" w:right="1134" w:hanging="1418"/>
        <w:jc w:val="both"/>
        <w:rPr>
          <w:rFonts w:eastAsia="Calibri"/>
          <w:bCs/>
          <w:lang w:val="de-DE"/>
        </w:rPr>
      </w:pPr>
      <w:r w:rsidRPr="00DD2A86">
        <w:rPr>
          <w:rFonts w:eastAsia="Calibri"/>
          <w:bCs/>
          <w:lang w:val="de-DE"/>
        </w:rPr>
        <w:t>7.1.4.4.4 b)</w:t>
      </w:r>
      <w:r w:rsidRPr="00DD2A86">
        <w:rPr>
          <w:rFonts w:eastAsia="Calibri"/>
          <w:bCs/>
          <w:lang w:val="de-DE"/>
        </w:rPr>
        <w:tab/>
        <w:t>-</w:t>
      </w:r>
      <w:r w:rsidRPr="00DD2A86">
        <w:rPr>
          <w:rFonts w:eastAsia="Calibri"/>
          <w:bCs/>
          <w:lang w:val="de-DE"/>
        </w:rPr>
        <w:tab/>
        <w:t xml:space="preserve">Der </w:t>
      </w:r>
      <w:r w:rsidR="00B72557" w:rsidRPr="00DD2A86">
        <w:rPr>
          <w:rFonts w:eastAsia="Calibri"/>
          <w:bCs/>
          <w:lang w:val="de-DE"/>
        </w:rPr>
        <w:t xml:space="preserve">Buchstabe </w:t>
      </w:r>
      <w:r w:rsidRPr="00DD2A86">
        <w:rPr>
          <w:rFonts w:eastAsia="Calibri"/>
          <w:bCs/>
          <w:lang w:val="de-DE"/>
        </w:rPr>
        <w:t>b) erhält am Anfang vor der Aufzählung folgenden Wortlaut: „b) die elektrischen Anlagen und Geräte die Anforderungen unter a) nicht erfüllen, jedoch ausreichend von anderen Containern getrennt sind, die Stoffe der“.</w:t>
      </w:r>
    </w:p>
    <w:p w:rsidR="004F7853" w:rsidRPr="00DD2A86" w:rsidRDefault="004F7853" w:rsidP="00817C87">
      <w:pPr>
        <w:numPr>
          <w:ilvl w:val="0"/>
          <w:numId w:val="26"/>
        </w:numPr>
        <w:tabs>
          <w:tab w:val="left" w:pos="9072"/>
        </w:tabs>
        <w:suppressAutoHyphens w:val="0"/>
        <w:spacing w:before="120" w:line="240" w:lineRule="auto"/>
        <w:ind w:left="2552" w:right="1134" w:hanging="284"/>
        <w:contextualSpacing/>
        <w:rPr>
          <w:bCs/>
          <w:lang w:val="de-DE" w:eastAsia="de-DE"/>
        </w:rPr>
      </w:pPr>
      <w:r w:rsidRPr="00DD2A86">
        <w:rPr>
          <w:bCs/>
          <w:lang w:val="de-DE" w:eastAsia="de-DE"/>
        </w:rPr>
        <w:t>Im ersten Anstrich des Absatzes b): „Kapitel 3.2“ ändern in: „Abschnitt 3.2.1“.</w:t>
      </w:r>
    </w:p>
    <w:p w:rsidR="004F7853" w:rsidRPr="00DD2A86" w:rsidRDefault="004F7853" w:rsidP="00817C87">
      <w:pPr>
        <w:tabs>
          <w:tab w:val="left" w:pos="9072"/>
        </w:tabs>
        <w:suppressAutoHyphens w:val="0"/>
        <w:spacing w:before="120" w:line="240" w:lineRule="auto"/>
        <w:ind w:left="2552" w:right="1134" w:hanging="284"/>
        <w:rPr>
          <w:bCs/>
          <w:lang w:val="de-DE" w:eastAsia="de-DE"/>
        </w:rPr>
      </w:pPr>
      <w:r w:rsidRPr="00DD2A86">
        <w:rPr>
          <w:bCs/>
          <w:lang w:val="de-DE" w:eastAsia="de-DE"/>
        </w:rPr>
        <w:t>-</w:t>
      </w:r>
      <w:r w:rsidRPr="00DD2A86">
        <w:rPr>
          <w:bCs/>
          <w:lang w:val="de-DE" w:eastAsia="de-DE"/>
        </w:rPr>
        <w:tab/>
        <w:t>Im Satz nach den Anstrichen „2,4 m um die elektrischen Anlagen“ ändern in: „2,40 m um die elektrischen Anlagen und Geräte“.</w:t>
      </w:r>
    </w:p>
    <w:p w:rsidR="004F7853" w:rsidRPr="00DD2A86" w:rsidRDefault="004F7853" w:rsidP="00817C87">
      <w:pPr>
        <w:spacing w:before="240" w:after="120"/>
        <w:ind w:left="2268" w:right="1134" w:hanging="1134"/>
        <w:jc w:val="both"/>
        <w:rPr>
          <w:rFonts w:eastAsia="Calibri"/>
          <w:bCs/>
          <w:lang w:val="de-DE"/>
        </w:rPr>
      </w:pPr>
      <w:r w:rsidRPr="00DD2A86">
        <w:rPr>
          <w:rFonts w:eastAsia="Calibri"/>
          <w:bCs/>
          <w:lang w:val="de-DE"/>
        </w:rPr>
        <w:t>7.1.4.4.4</w:t>
      </w:r>
      <w:r w:rsidRPr="00DD2A86">
        <w:rPr>
          <w:rFonts w:eastAsia="Calibri"/>
          <w:bCs/>
          <w:lang w:val="de-DE"/>
        </w:rPr>
        <w:tab/>
        <w:t>Der Satz vor den „Beispielen für die Stauung und Trennung der Container“ erhält folgenden Wortlaut:</w:t>
      </w:r>
    </w:p>
    <w:p w:rsidR="004F7853" w:rsidRPr="00DD2A86" w:rsidRDefault="004F7853" w:rsidP="00817C87">
      <w:pPr>
        <w:spacing w:before="120" w:after="120"/>
        <w:ind w:left="2268" w:right="1134"/>
        <w:jc w:val="both"/>
        <w:rPr>
          <w:rFonts w:eastAsia="Calibri"/>
          <w:bCs/>
          <w:lang w:val="de-DE"/>
        </w:rPr>
      </w:pPr>
      <w:r w:rsidRPr="00DD2A86">
        <w:rPr>
          <w:rFonts w:eastAsia="Calibri"/>
          <w:bCs/>
          <w:lang w:val="de-DE"/>
        </w:rPr>
        <w:t>„a) oder b) ist nicht erforderlich, wenn die Container mit elektrischen Anlagen und Geräte</w:t>
      </w:r>
      <w:r w:rsidR="0076028B" w:rsidRPr="00DD2A86">
        <w:rPr>
          <w:rFonts w:eastAsia="Calibri"/>
          <w:bCs/>
          <w:lang w:val="de-DE"/>
        </w:rPr>
        <w:t>n</w:t>
      </w:r>
      <w:r w:rsidRPr="00DD2A86">
        <w:rPr>
          <w:rFonts w:eastAsia="Calibri"/>
          <w:bCs/>
          <w:lang w:val="de-DE"/>
        </w:rPr>
        <w:t>, die die Anforderungen für den Einsatz in explosionsgefährdeten Bereichen nicht erfüllen und Container, die die oben genannten Stoffe enthalten, in getrennten Laderäumen gestaut sind.“.</w:t>
      </w:r>
    </w:p>
    <w:p w:rsidR="004F7853" w:rsidRPr="00DD2A86" w:rsidRDefault="004F7853" w:rsidP="00817C87">
      <w:pPr>
        <w:spacing w:before="240" w:after="120"/>
        <w:ind w:left="1134" w:right="1134"/>
        <w:jc w:val="both"/>
        <w:rPr>
          <w:rFonts w:eastAsia="Calibri"/>
          <w:bCs/>
          <w:lang w:val="de-DE"/>
        </w:rPr>
      </w:pPr>
      <w:r w:rsidRPr="00DD2A86">
        <w:rPr>
          <w:rFonts w:eastAsia="Calibri"/>
          <w:bCs/>
          <w:lang w:val="de-DE"/>
        </w:rPr>
        <w:t>7.1.4.4.5</w:t>
      </w:r>
      <w:r w:rsidRPr="00DD2A86">
        <w:rPr>
          <w:rFonts w:eastAsia="Calibri"/>
          <w:bCs/>
          <w:lang w:val="de-DE"/>
        </w:rPr>
        <w:tab/>
        <w:t>Erhält folgenden Wortlaut:</w:t>
      </w:r>
    </w:p>
    <w:p w:rsidR="004F7853" w:rsidRPr="00DD2A86" w:rsidRDefault="004F7853" w:rsidP="00817C87">
      <w:pPr>
        <w:spacing w:before="120" w:after="120"/>
        <w:ind w:left="2268" w:right="1134"/>
        <w:jc w:val="both"/>
        <w:rPr>
          <w:rFonts w:eastAsia="Calibri"/>
          <w:bCs/>
          <w:lang w:val="de-DE"/>
        </w:rPr>
      </w:pPr>
      <w:r w:rsidRPr="00DD2A86">
        <w:rPr>
          <w:rFonts w:eastAsia="Calibri"/>
          <w:bCs/>
          <w:lang w:val="de-DE"/>
        </w:rPr>
        <w:t>„</w:t>
      </w:r>
      <w:r w:rsidR="004103DB" w:rsidRPr="00DD2A86">
        <w:rPr>
          <w:rFonts w:eastAsia="Calibri"/>
          <w:bCs/>
          <w:lang w:val="de-DE"/>
        </w:rPr>
        <w:t>7.1.4.4.5</w:t>
      </w:r>
      <w:r w:rsidR="004103DB" w:rsidRPr="00DD2A86">
        <w:rPr>
          <w:rFonts w:eastAsia="Calibri"/>
          <w:bCs/>
          <w:lang w:val="de-DE"/>
        </w:rPr>
        <w:tab/>
      </w:r>
      <w:r w:rsidRPr="00DD2A86">
        <w:rPr>
          <w:rFonts w:eastAsia="Calibri"/>
          <w:bCs/>
          <w:lang w:val="de-DE"/>
        </w:rPr>
        <w:t>An einem offenen Container angebrachte elektrische Anlagen und Geräte dürfen weder mit beweglichen elektrischen Kabeln nach Absatz 9.1.0.53.5 verbunden noch in Betrieb genommen werden, es sei denn, sie sind mindestens für den Betrieb in Zone 1 geeignet und erfüllen die Anforderungen für die Temperaturklasse T4 und Explosionsgruppe II B oder der Container befindet sich in einen Laderaum, der keine Container mit den in Absatz 7.1.4.4.4. Buchstabe b genannten Stoffen enthält.“.</w:t>
      </w:r>
    </w:p>
    <w:p w:rsidR="004F7853" w:rsidRPr="00DD2A86" w:rsidRDefault="004F7853" w:rsidP="00817C87">
      <w:pPr>
        <w:spacing w:before="240" w:after="120"/>
        <w:ind w:left="1134" w:right="1134"/>
        <w:jc w:val="both"/>
        <w:rPr>
          <w:rFonts w:eastAsia="Calibri"/>
          <w:lang w:val="de-DE"/>
        </w:rPr>
      </w:pPr>
      <w:r w:rsidRPr="00DD2A86">
        <w:rPr>
          <w:rFonts w:eastAsia="Calibri"/>
          <w:lang w:val="de-DE"/>
        </w:rPr>
        <w:t>7.1.4.7.3</w:t>
      </w:r>
      <w:r w:rsidRPr="00DD2A86">
        <w:rPr>
          <w:rFonts w:eastAsia="Calibri"/>
          <w:lang w:val="de-DE"/>
        </w:rPr>
        <w:tab/>
        <w:t>Folgenden neuen Absatz hinzufügen:</w:t>
      </w:r>
    </w:p>
    <w:p w:rsidR="004F7853" w:rsidRPr="00DD2A86" w:rsidRDefault="004F7853" w:rsidP="00817C87">
      <w:pPr>
        <w:spacing w:before="120" w:after="120"/>
        <w:ind w:left="2268" w:right="1134"/>
        <w:jc w:val="both"/>
        <w:rPr>
          <w:rFonts w:eastAsia="Calibri"/>
          <w:bCs/>
          <w:lang w:val="de-DE"/>
        </w:rPr>
      </w:pPr>
      <w:r w:rsidRPr="00DD2A86">
        <w:rPr>
          <w:rFonts w:eastAsia="Calibri"/>
          <w:bCs/>
          <w:lang w:val="de-DE"/>
        </w:rPr>
        <w:t>„7.1.4.7.3</w:t>
      </w:r>
      <w:r w:rsidRPr="00DD2A86">
        <w:rPr>
          <w:rFonts w:eastAsia="Calibri"/>
          <w:bCs/>
          <w:lang w:val="de-DE"/>
        </w:rPr>
        <w:tab/>
        <w:t>Ist an der Lade- oder Löschstelle landseitig eine Zone ausgewiesen, darf sich das Schiff nur dann in dieser oder unmittelbar angrenzend an diese Zone aufhalten, wenn es die Anforderungen der Absätze 9.1.0.12.3 b) oder c), 9.1.0.51, 9.1.0.52.1 und 9.1.0.52.2 erfüllt.</w:t>
      </w:r>
      <w:r w:rsidR="008E0ACD" w:rsidRPr="00DD2A86">
        <w:rPr>
          <w:rFonts w:eastAsia="Calibri"/>
          <w:bCs/>
          <w:lang w:val="de-DE"/>
        </w:rPr>
        <w:t xml:space="preserve"> </w:t>
      </w:r>
      <w:r w:rsidR="008E0ACD" w:rsidRPr="00DD2A86">
        <w:rPr>
          <w:rFonts w:eastAsia="Calibri"/>
          <w:lang w:val="de-DE"/>
        </w:rPr>
        <w:t>Die zuständige Behörde kann im Einzelfall Ausnahmen zulassen.</w:t>
      </w:r>
      <w:r w:rsidRPr="00DD2A86">
        <w:rPr>
          <w:rFonts w:eastAsia="Calibri"/>
          <w:bCs/>
          <w:lang w:val="de-DE"/>
        </w:rPr>
        <w:t>“.</w:t>
      </w:r>
    </w:p>
    <w:p w:rsidR="00A0486B" w:rsidRPr="00DD2A86" w:rsidRDefault="00A0486B" w:rsidP="00A0486B">
      <w:pPr>
        <w:spacing w:before="120" w:after="120"/>
        <w:ind w:left="2259" w:right="1134" w:hanging="1125"/>
        <w:jc w:val="both"/>
        <w:rPr>
          <w:rFonts w:eastAsiaTheme="minorHAnsi"/>
          <w:lang w:val="de-DE"/>
        </w:rPr>
      </w:pPr>
      <w:r w:rsidRPr="00DD2A86">
        <w:rPr>
          <w:rFonts w:eastAsiaTheme="minorHAnsi"/>
          <w:lang w:val="de-DE"/>
        </w:rPr>
        <w:t>7.1.4.12.2</w:t>
      </w:r>
      <w:r w:rsidRPr="00DD2A86">
        <w:rPr>
          <w:rFonts w:eastAsiaTheme="minorHAnsi"/>
          <w:lang w:val="de-DE"/>
        </w:rPr>
        <w:tab/>
        <w:t>Der letzte Satz erhält folgenden Wortlaut:</w:t>
      </w:r>
    </w:p>
    <w:p w:rsidR="00A0486B" w:rsidRPr="00DD2A86" w:rsidRDefault="00A0486B" w:rsidP="00702401">
      <w:pPr>
        <w:spacing w:before="120" w:after="120"/>
        <w:ind w:left="2268" w:right="1134"/>
        <w:jc w:val="both"/>
        <w:rPr>
          <w:rFonts w:eastAsia="SimSun"/>
          <w:lang w:val="de-DE" w:eastAsia="zh-CN"/>
        </w:rPr>
      </w:pPr>
      <w:r w:rsidRPr="00DD2A86">
        <w:rPr>
          <w:rFonts w:eastAsia="SimSun"/>
          <w:szCs w:val="18"/>
          <w:lang w:val="de-DE" w:eastAsia="zh-CN"/>
        </w:rPr>
        <w:t>„Bei Verdacht auf Beschädigung der Container oder bei Verdacht, dass der Inhalt sich innerhalb der Container freigesetzt hat, müssen die Laderäume so gelüftet werden, dass bei aus der Ladung herrührenden entzündbaren Gasen und Dämpfen</w:t>
      </w:r>
      <w:r w:rsidRPr="00DD2A86">
        <w:rPr>
          <w:lang w:val="de-DE"/>
        </w:rPr>
        <w:t>, deren Konzentration</w:t>
      </w:r>
      <w:r w:rsidRPr="00DD2A86" w:rsidDel="00F26D86">
        <w:rPr>
          <w:rFonts w:eastAsia="SimSun"/>
          <w:szCs w:val="18"/>
          <w:lang w:val="de-DE" w:eastAsia="zh-CN"/>
        </w:rPr>
        <w:t xml:space="preserve"> </w:t>
      </w:r>
      <w:r w:rsidRPr="00DD2A86">
        <w:rPr>
          <w:rFonts w:eastAsia="SimSun"/>
          <w:szCs w:val="18"/>
          <w:lang w:val="de-DE" w:eastAsia="zh-CN"/>
        </w:rPr>
        <w:t xml:space="preserve">unter 10 % der UEG oder bei aus der Ladung herrührenden giftigen Gasen und Dämpfen unter den national </w:t>
      </w:r>
      <w:r w:rsidRPr="00DD2A86">
        <w:rPr>
          <w:lang w:val="de-DE"/>
        </w:rPr>
        <w:t xml:space="preserve">zulässigen </w:t>
      </w:r>
      <w:r w:rsidRPr="00DD2A86">
        <w:rPr>
          <w:rFonts w:eastAsia="SimSun"/>
          <w:szCs w:val="18"/>
          <w:lang w:val="de-DE" w:eastAsia="zh-CN"/>
        </w:rPr>
        <w:t>Expositionsgrenzwerten liegt.“.</w:t>
      </w:r>
    </w:p>
    <w:p w:rsidR="00A0486B" w:rsidRPr="00DD2A86" w:rsidRDefault="00A0486B" w:rsidP="00A0486B">
      <w:pPr>
        <w:spacing w:before="120" w:after="120"/>
        <w:ind w:left="1134" w:right="1134"/>
        <w:jc w:val="both"/>
        <w:rPr>
          <w:rFonts w:eastAsiaTheme="minorHAnsi"/>
          <w:bCs/>
          <w:lang w:val="de-DE"/>
        </w:rPr>
      </w:pPr>
      <w:r w:rsidRPr="00DD2A86">
        <w:rPr>
          <w:rFonts w:eastAsiaTheme="minorHAnsi"/>
          <w:lang w:val="de-DE"/>
        </w:rPr>
        <w:t>7.1.4.14.4</w:t>
      </w:r>
      <w:r w:rsidRPr="00DD2A86">
        <w:rPr>
          <w:rFonts w:eastAsiaTheme="minorHAnsi"/>
          <w:lang w:val="de-DE"/>
        </w:rPr>
        <w:tab/>
      </w:r>
      <w:r w:rsidRPr="00DD2A86">
        <w:rPr>
          <w:rFonts w:eastAsiaTheme="minorHAnsi"/>
          <w:bCs/>
          <w:lang w:val="de-DE"/>
        </w:rPr>
        <w:t>Der erste Anstrich erhält folgenden Wortlaut: „geschlossenen Containern;“.</w:t>
      </w:r>
    </w:p>
    <w:p w:rsidR="00A0486B" w:rsidRPr="00DD2A86" w:rsidRDefault="00A0486B" w:rsidP="00A0486B">
      <w:pPr>
        <w:kinsoku w:val="0"/>
        <w:overflowPunct w:val="0"/>
        <w:autoSpaceDE w:val="0"/>
        <w:autoSpaceDN w:val="0"/>
        <w:adjustRightInd w:val="0"/>
        <w:snapToGrid w:val="0"/>
        <w:spacing w:before="120" w:after="120"/>
        <w:ind w:left="2268" w:right="1134"/>
        <w:jc w:val="both"/>
        <w:rPr>
          <w:rFonts w:eastAsiaTheme="minorHAnsi"/>
          <w:bCs/>
          <w:lang w:val="de-DE"/>
        </w:rPr>
      </w:pPr>
      <w:r w:rsidRPr="00DD2A86">
        <w:rPr>
          <w:rFonts w:eastAsiaTheme="minorHAnsi"/>
          <w:bCs/>
          <w:lang w:val="de-DE"/>
        </w:rPr>
        <w:t>Der dritte Anstrich erhält folgenden Wortlaut: „gedeckten Fahrzeugen oder gedeckten Wagen;“.</w:t>
      </w:r>
    </w:p>
    <w:p w:rsidR="004F7853" w:rsidRPr="00DD2A86" w:rsidRDefault="004F7853" w:rsidP="00817C87">
      <w:pPr>
        <w:spacing w:before="240" w:after="120"/>
        <w:ind w:left="2268" w:right="1134" w:hanging="1134"/>
        <w:jc w:val="both"/>
        <w:rPr>
          <w:rFonts w:eastAsia="Calibri"/>
          <w:szCs w:val="24"/>
          <w:lang w:val="de-DE" w:eastAsia="en-GB"/>
        </w:rPr>
      </w:pPr>
      <w:r w:rsidRPr="00DD2A86">
        <w:rPr>
          <w:rFonts w:eastAsia="Calibri"/>
          <w:szCs w:val="24"/>
          <w:lang w:val="de-DE" w:eastAsia="en-GB"/>
        </w:rPr>
        <w:t>7.1.4.53</w:t>
      </w:r>
      <w:r w:rsidRPr="00DD2A86">
        <w:rPr>
          <w:rFonts w:eastAsia="Calibri"/>
          <w:szCs w:val="24"/>
          <w:lang w:val="de-DE" w:eastAsia="en-GB"/>
        </w:rPr>
        <w:tab/>
        <w:t>Der letzte Satz erhält folgenden Wortlaut: “Sind diese Leuchten an Deck in Zone 2 angeordnet, müssen sie die Anforderungen für den Betrieb in Zone 2 erfüllen.“.</w:t>
      </w:r>
    </w:p>
    <w:p w:rsidR="008E0ACD" w:rsidRPr="00DD2A86" w:rsidRDefault="008E0ACD" w:rsidP="00817C87">
      <w:pPr>
        <w:spacing w:before="240" w:after="120"/>
        <w:ind w:left="1134" w:right="1134"/>
        <w:jc w:val="both"/>
        <w:rPr>
          <w:rFonts w:eastAsia="Calibri"/>
          <w:szCs w:val="24"/>
          <w:lang w:val="de-DE" w:eastAsia="en-GB"/>
        </w:rPr>
      </w:pPr>
      <w:r w:rsidRPr="00DD2A86">
        <w:rPr>
          <w:rFonts w:eastAsia="Calibri"/>
          <w:szCs w:val="24"/>
          <w:lang w:val="de-DE" w:eastAsia="en-GB"/>
        </w:rPr>
        <w:t>7.1.4.75</w:t>
      </w:r>
      <w:r w:rsidR="00672848" w:rsidRPr="00DD2A86">
        <w:rPr>
          <w:rFonts w:eastAsia="Calibri"/>
          <w:szCs w:val="24"/>
          <w:lang w:val="de-DE" w:eastAsia="en-GB"/>
        </w:rPr>
        <w:tab/>
        <w:t>E</w:t>
      </w:r>
      <w:r w:rsidRPr="00DD2A86">
        <w:rPr>
          <w:rFonts w:eastAsia="Calibri"/>
          <w:szCs w:val="24"/>
          <w:lang w:val="de-DE" w:eastAsia="en-GB"/>
        </w:rPr>
        <w:t>rhält folgenden Wortlaut:</w:t>
      </w:r>
    </w:p>
    <w:p w:rsidR="008E0ACD" w:rsidRPr="00DD2A86" w:rsidRDefault="008E0ACD" w:rsidP="00596493">
      <w:pPr>
        <w:spacing w:before="120" w:after="120"/>
        <w:ind w:left="1134" w:right="1134"/>
        <w:jc w:val="both"/>
        <w:rPr>
          <w:rFonts w:eastAsia="Calibri"/>
          <w:szCs w:val="24"/>
          <w:lang w:val="de-DE" w:eastAsia="en-GB"/>
        </w:rPr>
      </w:pPr>
      <w:r w:rsidRPr="00DD2A86">
        <w:rPr>
          <w:rFonts w:eastAsia="Calibri"/>
          <w:szCs w:val="24"/>
          <w:lang w:val="de-DE" w:eastAsia="en-GB"/>
        </w:rPr>
        <w:t>„7.1.4.75</w:t>
      </w:r>
      <w:r w:rsidRPr="00DD2A86">
        <w:rPr>
          <w:rFonts w:eastAsia="Calibri"/>
          <w:szCs w:val="24"/>
          <w:lang w:val="de-DE" w:eastAsia="en-GB"/>
        </w:rPr>
        <w:tab/>
        <w:t>Gefahr der Funkenbildung</w:t>
      </w:r>
    </w:p>
    <w:p w:rsidR="004F7853" w:rsidRPr="00DD2A86" w:rsidRDefault="008E0ACD" w:rsidP="00596493">
      <w:pPr>
        <w:spacing w:before="120" w:after="120"/>
        <w:ind w:left="1134" w:right="1134"/>
        <w:jc w:val="both"/>
        <w:rPr>
          <w:rFonts w:eastAsia="Calibri"/>
          <w:szCs w:val="24"/>
          <w:lang w:val="de-DE" w:eastAsia="en-GB"/>
        </w:rPr>
      </w:pPr>
      <w:r w:rsidRPr="00DD2A86">
        <w:rPr>
          <w:rFonts w:eastAsia="Calibri"/>
          <w:szCs w:val="24"/>
          <w:lang w:val="de-DE" w:eastAsia="en-GB"/>
        </w:rPr>
        <w:t xml:space="preserve">Elektrisch leitende Verbindungen zwischen Schiff und Land müssen so beschaffen sein, dass sie keine Zündquelle darstellen. </w:t>
      </w:r>
      <w:r w:rsidR="00D57DB7" w:rsidRPr="00DD2A86">
        <w:rPr>
          <w:lang w:val="de-DE" w:eastAsia="fr-FR"/>
        </w:rPr>
        <w:t>Wenn Stoffe befördert werden</w:t>
      </w:r>
      <w:r w:rsidR="00D57DB7" w:rsidRPr="00DD2A86">
        <w:rPr>
          <w:rFonts w:eastAsia="Calibri"/>
          <w:lang w:val="de-DE" w:eastAsia="fr-FR"/>
        </w:rPr>
        <w:t xml:space="preserve">, für die </w:t>
      </w:r>
      <w:r w:rsidR="00975738" w:rsidRPr="00DD2A86">
        <w:rPr>
          <w:rFonts w:eastAsia="Calibri"/>
          <w:lang w:val="de-DE" w:eastAsia="fr-FR"/>
        </w:rPr>
        <w:t>in</w:t>
      </w:r>
      <w:r w:rsidR="00D57DB7" w:rsidRPr="00DD2A86">
        <w:rPr>
          <w:rFonts w:eastAsia="Calibri"/>
          <w:lang w:val="de-DE" w:eastAsia="fr-FR"/>
        </w:rPr>
        <w:t xml:space="preserve"> Abschnitt 3.2.1 Tabelle A Spalte (9) der Code EX eingetragen ist, ist im geschützten Bereich das Ablegen von </w:t>
      </w:r>
      <w:r w:rsidR="00D57DB7" w:rsidRPr="00DD2A86">
        <w:rPr>
          <w:rFonts w:cs="Arial"/>
          <w:lang w:val="de-DE" w:eastAsia="fr-FR"/>
        </w:rPr>
        <w:t>nicht ausreichend ableitfähiger</w:t>
      </w:r>
      <w:r w:rsidR="00D57DB7" w:rsidRPr="00DD2A86">
        <w:rPr>
          <w:rFonts w:eastAsia="Calibri"/>
          <w:lang w:val="de-DE" w:eastAsia="fr-FR"/>
        </w:rPr>
        <w:t xml:space="preserve"> Kleidung verboten.</w:t>
      </w:r>
      <w:r w:rsidRPr="00DD2A86">
        <w:rPr>
          <w:rFonts w:eastAsia="Calibri"/>
          <w:szCs w:val="24"/>
          <w:lang w:val="de-DE" w:eastAsia="en-GB"/>
        </w:rPr>
        <w:t>“.</w:t>
      </w:r>
    </w:p>
    <w:p w:rsidR="00596493" w:rsidRPr="00DD2A86" w:rsidRDefault="00DB1381" w:rsidP="00975E76">
      <w:pPr>
        <w:tabs>
          <w:tab w:val="left" w:pos="2268"/>
        </w:tabs>
        <w:spacing w:before="240" w:after="120"/>
        <w:ind w:left="1134" w:right="567"/>
        <w:jc w:val="both"/>
        <w:rPr>
          <w:lang w:val="de-DE" w:eastAsia="fr-FR"/>
        </w:rPr>
      </w:pPr>
      <w:r w:rsidRPr="00DD2A86">
        <w:rPr>
          <w:lang w:val="de-DE" w:eastAsia="fr-FR"/>
        </w:rPr>
        <w:t>7.1.5.3</w:t>
      </w:r>
      <w:r w:rsidRPr="00DD2A86">
        <w:rPr>
          <w:lang w:val="de-DE" w:eastAsia="fr-FR"/>
        </w:rPr>
        <w:tab/>
      </w:r>
      <w:r w:rsidR="00975E76" w:rsidRPr="00DD2A86">
        <w:rPr>
          <w:lang w:val="de-DE" w:eastAsia="fr-FR"/>
        </w:rPr>
        <w:t>Erhält folgenden Wortlaut:</w:t>
      </w:r>
    </w:p>
    <w:p w:rsidR="005B66C8" w:rsidRPr="00DD2A86" w:rsidRDefault="00975E76" w:rsidP="00596493">
      <w:pPr>
        <w:tabs>
          <w:tab w:val="left" w:pos="2268"/>
        </w:tabs>
        <w:spacing w:before="120" w:after="120"/>
        <w:ind w:left="1134" w:right="567"/>
        <w:jc w:val="both"/>
        <w:rPr>
          <w:lang w:val="de-DE" w:eastAsia="fr-FR"/>
        </w:rPr>
      </w:pPr>
      <w:r w:rsidRPr="00DD2A86">
        <w:rPr>
          <w:lang w:val="de-DE" w:eastAsia="fr-FR"/>
        </w:rPr>
        <w:t>„</w:t>
      </w:r>
      <w:r w:rsidR="004103DB" w:rsidRPr="00DD2A86">
        <w:rPr>
          <w:lang w:val="de-DE" w:eastAsia="fr-FR"/>
        </w:rPr>
        <w:t>7.1.5.3</w:t>
      </w:r>
      <w:r w:rsidR="004103DB" w:rsidRPr="00DD2A86">
        <w:rPr>
          <w:lang w:val="de-DE" w:eastAsia="fr-FR"/>
        </w:rPr>
        <w:tab/>
      </w:r>
      <w:r w:rsidRPr="00DD2A86">
        <w:rPr>
          <w:lang w:val="de-DE" w:eastAsia="fr-FR"/>
        </w:rPr>
        <w:t>Schiffe müssen sicher, jedoch so festgemacht sein, dass sie bei Gefahr rasch losgemacht werden können und dass elektrische Leitungen nicht gequetscht oder geknickt werden und keinen Zugbeanspruchungen ausgesetzt sind.“.</w:t>
      </w:r>
      <w:r w:rsidRPr="00DD2A86" w:rsidDel="00975E76">
        <w:rPr>
          <w:lang w:val="de-DE" w:eastAsia="fr-FR"/>
        </w:rPr>
        <w:t xml:space="preserve"> </w:t>
      </w:r>
    </w:p>
    <w:p w:rsidR="00A0486B" w:rsidRPr="00DD2A86" w:rsidRDefault="00A0486B" w:rsidP="00A0486B">
      <w:pPr>
        <w:spacing w:after="120"/>
        <w:ind w:left="1134" w:right="1134"/>
        <w:jc w:val="both"/>
        <w:rPr>
          <w:rFonts w:eastAsiaTheme="minorHAnsi"/>
          <w:lang w:val="de-DE"/>
        </w:rPr>
      </w:pPr>
      <w:r w:rsidRPr="00DD2A86">
        <w:rPr>
          <w:rFonts w:eastAsiaTheme="minorHAnsi"/>
          <w:lang w:val="de-DE"/>
        </w:rPr>
        <w:t>7.1.5.4.1</w:t>
      </w:r>
      <w:r w:rsidRPr="00DD2A86">
        <w:rPr>
          <w:rFonts w:eastAsiaTheme="minorHAnsi"/>
          <w:lang w:val="de-DE"/>
        </w:rPr>
        <w:tab/>
        <w:t>Erhält folgenden Wortlaut:</w:t>
      </w:r>
    </w:p>
    <w:p w:rsidR="00A0486B" w:rsidRPr="00DD2A86" w:rsidRDefault="00A0486B" w:rsidP="00A0486B">
      <w:pPr>
        <w:kinsoku w:val="0"/>
        <w:overflowPunct w:val="0"/>
        <w:autoSpaceDE w:val="0"/>
        <w:autoSpaceDN w:val="0"/>
        <w:adjustRightInd w:val="0"/>
        <w:snapToGrid w:val="0"/>
        <w:spacing w:after="120"/>
        <w:ind w:left="1134" w:right="1134"/>
        <w:jc w:val="both"/>
        <w:rPr>
          <w:snapToGrid w:val="0"/>
          <w:szCs w:val="22"/>
          <w:lang w:val="de-DE" w:eastAsia="fr-FR"/>
        </w:rPr>
      </w:pPr>
      <w:r w:rsidRPr="00DD2A86">
        <w:rPr>
          <w:snapToGrid w:val="0"/>
          <w:szCs w:val="22"/>
          <w:lang w:val="de-DE" w:eastAsia="fr-FR"/>
        </w:rPr>
        <w:t>„</w:t>
      </w:r>
      <w:r w:rsidR="004103DB" w:rsidRPr="00DD2A86">
        <w:rPr>
          <w:snapToGrid w:val="0"/>
          <w:szCs w:val="22"/>
          <w:lang w:val="de-DE" w:eastAsia="fr-FR"/>
        </w:rPr>
        <w:t>7.1.5.4.1</w:t>
      </w:r>
      <w:r w:rsidR="004103DB" w:rsidRPr="00DD2A86">
        <w:rPr>
          <w:snapToGrid w:val="0"/>
          <w:szCs w:val="22"/>
          <w:lang w:val="de-DE" w:eastAsia="fr-FR"/>
        </w:rPr>
        <w:tab/>
      </w:r>
      <w:r w:rsidRPr="00DD2A86">
        <w:rPr>
          <w:snapToGrid w:val="0"/>
          <w:szCs w:val="22"/>
          <w:lang w:val="de-DE" w:eastAsia="fr-FR"/>
        </w:rPr>
        <w:t>Schiffe, die gefährliche Güter befördern, dürfen nicht in geringerer Entfernung von anderen Schiffen stillliegen als in den in Unterabschnitt 1.1.4.6 genannten Vorschriften vorgeschrieben.“</w:t>
      </w:r>
    </w:p>
    <w:p w:rsidR="00A0486B" w:rsidRPr="00DD2A86" w:rsidRDefault="00A0486B" w:rsidP="00A0486B">
      <w:pPr>
        <w:kinsoku w:val="0"/>
        <w:overflowPunct w:val="0"/>
        <w:autoSpaceDE w:val="0"/>
        <w:autoSpaceDN w:val="0"/>
        <w:adjustRightInd w:val="0"/>
        <w:snapToGrid w:val="0"/>
        <w:spacing w:before="120" w:after="120"/>
        <w:ind w:left="1134" w:right="1134"/>
        <w:jc w:val="both"/>
        <w:rPr>
          <w:rFonts w:eastAsiaTheme="minorHAnsi"/>
          <w:lang w:val="de-DE"/>
        </w:rPr>
      </w:pPr>
      <w:r w:rsidRPr="00DD2A86">
        <w:rPr>
          <w:rFonts w:eastAsiaTheme="minorHAnsi"/>
          <w:lang w:val="de-DE"/>
        </w:rPr>
        <w:t>7.1.6.12, VE01</w:t>
      </w:r>
      <w:r w:rsidRPr="00DD2A86">
        <w:rPr>
          <w:rFonts w:eastAsiaTheme="minorHAnsi"/>
          <w:lang w:val="de-DE"/>
        </w:rPr>
        <w:tab/>
        <w:t>Erhält folgenden Wortlaut:</w:t>
      </w:r>
    </w:p>
    <w:p w:rsidR="00A0486B" w:rsidRPr="00DD2A86" w:rsidRDefault="00A0486B" w:rsidP="00A0486B">
      <w:pPr>
        <w:suppressAutoHyphens w:val="0"/>
        <w:autoSpaceDE w:val="0"/>
        <w:adjustRightInd w:val="0"/>
        <w:spacing w:before="120" w:after="120"/>
        <w:ind w:left="1134" w:right="992"/>
        <w:jc w:val="both"/>
        <w:rPr>
          <w:szCs w:val="18"/>
          <w:lang w:val="de-DE" w:eastAsia="en-GB"/>
        </w:rPr>
      </w:pPr>
      <w:r w:rsidRPr="00DD2A86">
        <w:rPr>
          <w:szCs w:val="18"/>
          <w:lang w:val="de-DE" w:eastAsia="en-GB"/>
        </w:rPr>
        <w:t>„VE01: Laderäume, die diese Stoffe enthalten, müssen mit der vollen Leistung der Ventilatoren gelüftet werden, wenn nach Messung festgestellt wird, dass die Konzentration an von aus der Ladung herrührenden entzündbaren Gasen und Dämpfen 10 % der UEG übersteigt. Diese Messung ist sofort nach dem Beladen durchzuführen. Eine Kontrollmessung muss nach einer Stunde wiederholt werden. Diese Messergebnisse müssen schriftlich festgehalten werden.“.</w:t>
      </w:r>
    </w:p>
    <w:p w:rsidR="00A0486B" w:rsidRPr="00DD2A86" w:rsidRDefault="00A0486B" w:rsidP="00A0486B">
      <w:pPr>
        <w:kinsoku w:val="0"/>
        <w:overflowPunct w:val="0"/>
        <w:autoSpaceDE w:val="0"/>
        <w:autoSpaceDN w:val="0"/>
        <w:adjustRightInd w:val="0"/>
        <w:snapToGrid w:val="0"/>
        <w:spacing w:before="120" w:after="120"/>
        <w:ind w:left="1134" w:right="1134"/>
        <w:jc w:val="both"/>
        <w:rPr>
          <w:szCs w:val="18"/>
          <w:lang w:val="de-DE" w:eastAsia="en-GB"/>
        </w:rPr>
      </w:pPr>
      <w:r w:rsidRPr="00DD2A86">
        <w:rPr>
          <w:szCs w:val="18"/>
          <w:lang w:val="de-DE" w:eastAsia="en-GB"/>
        </w:rPr>
        <w:t>7.1.6.12, VE02</w:t>
      </w:r>
      <w:r w:rsidRPr="00DD2A86">
        <w:rPr>
          <w:szCs w:val="18"/>
          <w:lang w:val="de-DE" w:eastAsia="en-GB"/>
        </w:rPr>
        <w:tab/>
        <w:t>Im ersten Satz „herrührenden Gasen“ ändern in: „herrührenden giftigen Gasen und Dämpfen“. Der dritte Satz erhält folgenden Wortlaut: „Eine Kontrollmessung muss nach einer Stunde wiederholt werden.“. Im vorletzten Satz „herrührenden Gasen“ ändern in: „herrührenden giftigen Gasen und Dämpfen“.</w:t>
      </w:r>
    </w:p>
    <w:p w:rsidR="00A0486B" w:rsidRPr="00DD2A86" w:rsidRDefault="00A0486B" w:rsidP="00A0486B">
      <w:pPr>
        <w:kinsoku w:val="0"/>
        <w:overflowPunct w:val="0"/>
        <w:autoSpaceDE w:val="0"/>
        <w:autoSpaceDN w:val="0"/>
        <w:adjustRightInd w:val="0"/>
        <w:snapToGrid w:val="0"/>
        <w:spacing w:before="120" w:after="120"/>
        <w:ind w:left="1134" w:right="1134"/>
        <w:jc w:val="both"/>
        <w:rPr>
          <w:rFonts w:eastAsiaTheme="minorHAnsi"/>
          <w:lang w:val="de-DE"/>
        </w:rPr>
      </w:pPr>
      <w:r w:rsidRPr="00DD2A86">
        <w:rPr>
          <w:rFonts w:eastAsiaTheme="minorHAnsi"/>
          <w:lang w:val="de-DE"/>
        </w:rPr>
        <w:t>7.1.6.12, VE03</w:t>
      </w:r>
      <w:r w:rsidRPr="00DD2A86">
        <w:rPr>
          <w:rFonts w:eastAsiaTheme="minorHAnsi"/>
          <w:lang w:val="de-DE"/>
        </w:rPr>
        <w:tab/>
        <w:t>Der dritte Satz erhält folgenden Wortlaut: „</w:t>
      </w:r>
      <w:r w:rsidRPr="00DD2A86">
        <w:rPr>
          <w:szCs w:val="18"/>
          <w:lang w:val="de-DE" w:eastAsia="en-GB"/>
        </w:rPr>
        <w:t xml:space="preserve">Nach dem Belüften muss die </w:t>
      </w:r>
      <w:r w:rsidRPr="00DD2A86">
        <w:rPr>
          <w:rFonts w:eastAsia="Calibri"/>
          <w:szCs w:val="18"/>
          <w:lang w:val="de-DE" w:eastAsia="zh-CN" w:bidi="hi-IN"/>
        </w:rPr>
        <w:t xml:space="preserve">Konzentration </w:t>
      </w:r>
      <w:r w:rsidRPr="00DD2A86">
        <w:rPr>
          <w:szCs w:val="18"/>
          <w:lang w:val="de-DE" w:eastAsia="en-GB"/>
        </w:rPr>
        <w:t>von aus der Ladung herrührenden</w:t>
      </w:r>
      <w:r w:rsidRPr="00DD2A86">
        <w:rPr>
          <w:rFonts w:eastAsia="Calibri"/>
          <w:szCs w:val="18"/>
          <w:lang w:val="de-DE" w:eastAsia="zh-CN" w:bidi="hi-IN"/>
        </w:rPr>
        <w:t xml:space="preserve"> entzündbaren oder giftigen Gasen </w:t>
      </w:r>
      <w:r w:rsidRPr="00DD2A86">
        <w:rPr>
          <w:szCs w:val="18"/>
          <w:lang w:val="de-DE" w:eastAsia="en-GB"/>
        </w:rPr>
        <w:t>und Dämpfen in diesen Laderäumen gemessen werden.“.</w:t>
      </w:r>
    </w:p>
    <w:p w:rsidR="007C000A" w:rsidRPr="00DD2A86" w:rsidRDefault="007C000A">
      <w:pPr>
        <w:suppressAutoHyphens w:val="0"/>
        <w:spacing w:line="240" w:lineRule="auto"/>
        <w:rPr>
          <w:rFonts w:eastAsiaTheme="minorHAnsi"/>
          <w:lang w:val="de-DE"/>
        </w:rPr>
      </w:pPr>
      <w:r w:rsidRPr="00DD2A86">
        <w:rPr>
          <w:rFonts w:eastAsiaTheme="minorHAnsi"/>
          <w:lang w:val="de-DE"/>
        </w:rPr>
        <w:br w:type="page"/>
      </w:r>
    </w:p>
    <w:p w:rsidR="00A0486B" w:rsidRPr="00DD2A86" w:rsidRDefault="00A0486B" w:rsidP="00A0486B">
      <w:pPr>
        <w:kinsoku w:val="0"/>
        <w:overflowPunct w:val="0"/>
        <w:autoSpaceDE w:val="0"/>
        <w:autoSpaceDN w:val="0"/>
        <w:adjustRightInd w:val="0"/>
        <w:snapToGrid w:val="0"/>
        <w:spacing w:before="120" w:after="120"/>
        <w:ind w:left="1134" w:right="1134"/>
        <w:jc w:val="both"/>
        <w:rPr>
          <w:rFonts w:eastAsiaTheme="minorHAnsi"/>
          <w:lang w:val="de-DE"/>
        </w:rPr>
      </w:pPr>
      <w:r w:rsidRPr="00DD2A86">
        <w:rPr>
          <w:rFonts w:eastAsiaTheme="minorHAnsi"/>
          <w:lang w:val="de-DE"/>
        </w:rPr>
        <w:t>7.1.6.16, IN01</w:t>
      </w:r>
      <w:r w:rsidRPr="00DD2A86">
        <w:rPr>
          <w:rFonts w:eastAsiaTheme="minorHAnsi"/>
          <w:lang w:val="de-DE"/>
        </w:rPr>
        <w:tab/>
        <w:t>Erhält folgenden Wortlaut:</w:t>
      </w:r>
    </w:p>
    <w:p w:rsidR="00A0486B" w:rsidRPr="00DD2A86" w:rsidRDefault="00A0486B" w:rsidP="00A0486B">
      <w:pPr>
        <w:suppressAutoHyphens w:val="0"/>
        <w:overflowPunct w:val="0"/>
        <w:autoSpaceDE w:val="0"/>
        <w:autoSpaceDN w:val="0"/>
        <w:adjustRightInd w:val="0"/>
        <w:spacing w:before="120" w:after="120"/>
        <w:ind w:left="1134" w:right="1134"/>
        <w:jc w:val="both"/>
        <w:textAlignment w:val="baseline"/>
        <w:rPr>
          <w:rFonts w:eastAsia="SimSun"/>
          <w:lang w:val="de-DE" w:eastAsia="zh-CN"/>
        </w:rPr>
      </w:pPr>
      <w:r w:rsidRPr="00DD2A86">
        <w:rPr>
          <w:rFonts w:eastAsia="SimSun"/>
          <w:lang w:val="de-DE" w:eastAsia="zh-CN"/>
        </w:rPr>
        <w:t>„IN01:</w:t>
      </w:r>
      <w:r w:rsidRPr="00DD2A86">
        <w:rPr>
          <w:rFonts w:eastAsia="SimSun"/>
          <w:lang w:val="de-DE" w:eastAsia="zh-CN"/>
        </w:rPr>
        <w:tab/>
        <w:t>Nach dem Laden und Löschen dieser Stoffe in loser Schüttung oder unverpackt und vor dem Verlassen der Umschlagstelle muss vom Verlader oder vom Entlader oder von einem Sachkundigen nach Unterabschnitt 8.2.1.2 in den Wohnungen, Maschinenräumen und angrenzenden Laderäumen die Konzentration von aus der Ladung herrührenden entzündbaren Gasen und Dämpfen mit einem Gasspürgerät gemessen werden. Die Messergebnisse müssen schriftlich festgehalten werden.</w:t>
      </w:r>
    </w:p>
    <w:p w:rsidR="00A0486B" w:rsidRPr="00DD2A86" w:rsidRDefault="00A0486B" w:rsidP="00A0486B">
      <w:pPr>
        <w:suppressAutoHyphens w:val="0"/>
        <w:overflowPunct w:val="0"/>
        <w:autoSpaceDE w:val="0"/>
        <w:autoSpaceDN w:val="0"/>
        <w:adjustRightInd w:val="0"/>
        <w:spacing w:before="120" w:after="120"/>
        <w:ind w:left="1134" w:right="1134"/>
        <w:jc w:val="both"/>
        <w:textAlignment w:val="baseline"/>
        <w:rPr>
          <w:rFonts w:eastAsia="SimSun"/>
          <w:lang w:val="de-DE" w:eastAsia="zh-CN"/>
        </w:rPr>
      </w:pPr>
      <w:r w:rsidRPr="00DD2A86">
        <w:rPr>
          <w:rFonts w:eastAsia="SimSun"/>
          <w:lang w:val="de-DE" w:eastAsia="zh-CN"/>
        </w:rPr>
        <w:t>Bevor Personen die Laderäume betreten und vor dem Löschen muss die Konzentration von aus der Ladung herrührenden entzündbaren Gasen und Dämpfen vom Entlader der Ladung oder von einem Sachkundigen nach Unterabschnitt 8.2.1.2 gemessen werden.</w:t>
      </w:r>
      <w:r w:rsidRPr="00DD2A86">
        <w:rPr>
          <w:snapToGrid w:val="0"/>
          <w:lang w:val="de-DE" w:eastAsia="fr-FR"/>
        </w:rPr>
        <w:t xml:space="preserve"> </w:t>
      </w:r>
      <w:r w:rsidRPr="00DD2A86">
        <w:rPr>
          <w:rFonts w:eastAsia="SimSun"/>
          <w:lang w:val="de-DE" w:eastAsia="zh-CN"/>
        </w:rPr>
        <w:t>Die Messergebnisse müssen schriftlich festgehalten werden.</w:t>
      </w:r>
    </w:p>
    <w:p w:rsidR="00A0486B" w:rsidRPr="00DD2A86" w:rsidRDefault="00A0486B" w:rsidP="00A0486B">
      <w:pPr>
        <w:suppressAutoHyphens w:val="0"/>
        <w:overflowPunct w:val="0"/>
        <w:autoSpaceDE w:val="0"/>
        <w:autoSpaceDN w:val="0"/>
        <w:adjustRightInd w:val="0"/>
        <w:spacing w:before="120" w:after="120"/>
        <w:ind w:left="1134" w:right="1134"/>
        <w:jc w:val="both"/>
        <w:textAlignment w:val="baseline"/>
        <w:rPr>
          <w:rFonts w:eastAsia="SimSun"/>
          <w:lang w:val="de-DE" w:eastAsia="zh-CN"/>
        </w:rPr>
      </w:pPr>
      <w:r w:rsidRPr="00DD2A86">
        <w:rPr>
          <w:rFonts w:eastAsia="SimSun"/>
          <w:lang w:val="de-DE" w:eastAsia="zh-CN"/>
        </w:rPr>
        <w:t xml:space="preserve">Der Laderaum darf erst betreten und mit dem Löschen </w:t>
      </w:r>
      <w:r w:rsidR="004D47B1" w:rsidRPr="00DD2A86">
        <w:rPr>
          <w:rFonts w:eastAsia="SimSun"/>
          <w:lang w:val="de-DE" w:eastAsia="zh-CN"/>
        </w:rPr>
        <w:t xml:space="preserve">darf </w:t>
      </w:r>
      <w:r w:rsidRPr="00DD2A86">
        <w:rPr>
          <w:rFonts w:eastAsia="SimSun"/>
          <w:lang w:val="de-DE" w:eastAsia="zh-CN"/>
        </w:rPr>
        <w:t>erst begonnen werden, wenn die Konzentration von aus der Ladung herrührenden entzündbaren Gasen und Dämpfen im freien Luftraum über der Ladung unter 50 % der UEG liegt.</w:t>
      </w:r>
    </w:p>
    <w:p w:rsidR="00A0486B" w:rsidRPr="00DD2A86" w:rsidRDefault="00A0486B" w:rsidP="00A0486B">
      <w:pPr>
        <w:suppressAutoHyphens w:val="0"/>
        <w:autoSpaceDE w:val="0"/>
        <w:adjustRightInd w:val="0"/>
        <w:spacing w:before="120" w:after="120"/>
        <w:ind w:left="1134" w:right="1134"/>
        <w:jc w:val="both"/>
        <w:rPr>
          <w:szCs w:val="18"/>
          <w:lang w:val="de-DE"/>
        </w:rPr>
      </w:pPr>
      <w:r w:rsidRPr="00DD2A86">
        <w:rPr>
          <w:szCs w:val="18"/>
          <w:lang w:val="de-DE"/>
        </w:rPr>
        <w:t>Liegt in diesen Räumen die Konzentration von aus der Ladung herrührenden entzündbaren Gasen und Dämpfen nicht unter 50 % der UEG, müssen durch den Verlader, den Entlader oder den Schiffsführer die für die Sicherheit notwendigen Sofortmaßnahmen getroffen werden.“.</w:t>
      </w:r>
    </w:p>
    <w:p w:rsidR="00A0486B" w:rsidRPr="00DD2A86" w:rsidRDefault="00A0486B" w:rsidP="00A0486B">
      <w:pPr>
        <w:kinsoku w:val="0"/>
        <w:overflowPunct w:val="0"/>
        <w:autoSpaceDE w:val="0"/>
        <w:autoSpaceDN w:val="0"/>
        <w:adjustRightInd w:val="0"/>
        <w:snapToGrid w:val="0"/>
        <w:spacing w:before="120" w:after="120"/>
        <w:ind w:left="1134" w:right="1134"/>
        <w:jc w:val="both"/>
        <w:rPr>
          <w:rFonts w:eastAsia="SimSun"/>
          <w:lang w:val="de-DE" w:eastAsia="zh-CN"/>
        </w:rPr>
      </w:pPr>
      <w:r w:rsidRPr="00DD2A86">
        <w:rPr>
          <w:rFonts w:eastAsia="SimSun"/>
          <w:lang w:val="de-DE" w:eastAsia="zh-CN"/>
        </w:rPr>
        <w:t>7.1.6.16, IN02</w:t>
      </w:r>
      <w:r w:rsidRPr="00DD2A86">
        <w:rPr>
          <w:rFonts w:eastAsia="SimSun"/>
          <w:lang w:val="de-DE" w:eastAsia="zh-CN"/>
        </w:rPr>
        <w:tab/>
        <w:t>„die Gaskonzentration“ ändern in: „die Konzentration von aus der Ladung herrührenden giftigen Gasen und Dämpfen“.</w:t>
      </w:r>
    </w:p>
    <w:p w:rsidR="00C9149F" w:rsidRPr="00DD2A86" w:rsidRDefault="00C9149F" w:rsidP="00B61A90">
      <w:pPr>
        <w:keepNext/>
        <w:keepLines/>
        <w:tabs>
          <w:tab w:val="right" w:pos="851"/>
        </w:tabs>
        <w:spacing w:before="360" w:after="240" w:line="270" w:lineRule="exact"/>
        <w:ind w:left="1134" w:right="521" w:hanging="1134"/>
        <w:rPr>
          <w:b/>
          <w:sz w:val="24"/>
          <w:lang w:val="de-DE"/>
        </w:rPr>
      </w:pPr>
      <w:r w:rsidRPr="00DD2A86">
        <w:rPr>
          <w:b/>
          <w:sz w:val="24"/>
          <w:lang w:val="de-DE"/>
        </w:rPr>
        <w:t>Kapitel 7.2</w:t>
      </w:r>
    </w:p>
    <w:p w:rsidR="00C9149F" w:rsidRPr="00DD2A86" w:rsidRDefault="00C9149F" w:rsidP="003B5A4C">
      <w:pPr>
        <w:spacing w:before="240" w:after="120"/>
        <w:ind w:left="1134" w:right="1134"/>
        <w:jc w:val="both"/>
        <w:rPr>
          <w:rFonts w:eastAsia="Calibri"/>
          <w:szCs w:val="24"/>
          <w:lang w:val="de-DE" w:eastAsia="en-GB"/>
        </w:rPr>
      </w:pPr>
      <w:r w:rsidRPr="00DD2A86">
        <w:rPr>
          <w:rFonts w:eastAsia="Calibri"/>
          <w:szCs w:val="24"/>
          <w:lang w:val="de-DE" w:eastAsia="en-GB"/>
        </w:rPr>
        <w:t>7.2.2.0</w:t>
      </w:r>
      <w:r w:rsidRPr="00DD2A86">
        <w:rPr>
          <w:rFonts w:eastAsia="Calibri"/>
          <w:szCs w:val="24"/>
          <w:lang w:val="de-DE" w:eastAsia="en-GB"/>
        </w:rPr>
        <w:tab/>
      </w:r>
      <w:r w:rsidR="006945FC" w:rsidRPr="00DD2A86">
        <w:rPr>
          <w:rFonts w:eastAsia="Calibri"/>
          <w:szCs w:val="24"/>
          <w:lang w:val="de-DE" w:eastAsia="en-GB"/>
        </w:rPr>
        <w:tab/>
      </w:r>
      <w:r w:rsidRPr="00DD2A86">
        <w:rPr>
          <w:rFonts w:eastAsia="Calibri"/>
          <w:szCs w:val="24"/>
          <w:lang w:val="de-DE" w:eastAsia="en-GB"/>
        </w:rPr>
        <w:t>In der Bem. 1.</w:t>
      </w:r>
      <w:r w:rsidRPr="00DD2A86">
        <w:rPr>
          <w:rFonts w:eastAsia="Calibri"/>
          <w:szCs w:val="24"/>
          <w:lang w:val="de-DE" w:eastAsia="en-GB"/>
        </w:rPr>
        <w:tab/>
        <w:t>Streichen: „oder Hochgeschwindigkeitsventile“.</w:t>
      </w:r>
    </w:p>
    <w:p w:rsidR="00C9149F" w:rsidRPr="00DD2A86" w:rsidRDefault="00C9149F" w:rsidP="003B5A4C">
      <w:pPr>
        <w:spacing w:before="240" w:after="120"/>
        <w:ind w:left="1134" w:right="1134"/>
        <w:jc w:val="both"/>
        <w:rPr>
          <w:rFonts w:eastAsia="Calibri"/>
          <w:szCs w:val="24"/>
          <w:lang w:val="de-DE" w:eastAsia="en-GB"/>
        </w:rPr>
      </w:pPr>
      <w:r w:rsidRPr="00DD2A86">
        <w:rPr>
          <w:rFonts w:eastAsia="Calibri"/>
          <w:szCs w:val="24"/>
          <w:lang w:val="de-DE" w:eastAsia="en-GB"/>
        </w:rPr>
        <w:t>7.2.2.6</w:t>
      </w:r>
      <w:r w:rsidRPr="00DD2A86">
        <w:rPr>
          <w:rFonts w:eastAsia="Calibri"/>
          <w:szCs w:val="24"/>
          <w:lang w:val="de-DE" w:eastAsia="en-GB"/>
        </w:rPr>
        <w:tab/>
      </w:r>
      <w:r w:rsidR="006945FC" w:rsidRPr="00DD2A86">
        <w:rPr>
          <w:rFonts w:eastAsia="Calibri"/>
          <w:szCs w:val="24"/>
          <w:lang w:val="de-DE" w:eastAsia="en-GB"/>
        </w:rPr>
        <w:tab/>
      </w:r>
      <w:r w:rsidR="0017020D" w:rsidRPr="00DD2A86">
        <w:rPr>
          <w:rFonts w:eastAsia="Calibri"/>
          <w:szCs w:val="24"/>
          <w:lang w:val="de-DE" w:eastAsia="en-GB"/>
        </w:rPr>
        <w:t>Erhält folgenden Wortlaut:</w:t>
      </w:r>
    </w:p>
    <w:p w:rsidR="00C9149F" w:rsidRPr="00DD2A86" w:rsidRDefault="00C9149F" w:rsidP="003B5A4C">
      <w:pPr>
        <w:spacing w:before="120" w:after="120"/>
        <w:ind w:left="2268" w:right="1134"/>
        <w:jc w:val="both"/>
        <w:rPr>
          <w:rFonts w:eastAsia="Calibri"/>
          <w:b/>
          <w:szCs w:val="24"/>
          <w:lang w:val="de-DE" w:eastAsia="en-GB"/>
        </w:rPr>
      </w:pPr>
      <w:r w:rsidRPr="00DD2A86">
        <w:rPr>
          <w:rFonts w:eastAsia="Calibri"/>
          <w:b/>
          <w:szCs w:val="24"/>
          <w:lang w:val="de-DE" w:eastAsia="en-GB"/>
        </w:rPr>
        <w:t>„</w:t>
      </w:r>
      <w:r w:rsidR="0040555A" w:rsidRPr="00DD2A86">
        <w:rPr>
          <w:rFonts w:eastAsia="Calibri"/>
          <w:b/>
          <w:szCs w:val="24"/>
          <w:lang w:val="de-DE" w:eastAsia="en-GB"/>
        </w:rPr>
        <w:t>7.2.2.6</w:t>
      </w:r>
      <w:r w:rsidR="0040555A" w:rsidRPr="00DD2A86">
        <w:rPr>
          <w:rFonts w:eastAsia="Calibri"/>
          <w:b/>
          <w:szCs w:val="24"/>
          <w:lang w:val="de-DE" w:eastAsia="en-GB"/>
        </w:rPr>
        <w:tab/>
      </w:r>
      <w:r w:rsidRPr="00DD2A86">
        <w:rPr>
          <w:rFonts w:eastAsia="Calibri"/>
          <w:b/>
          <w:szCs w:val="24"/>
          <w:lang w:val="de-DE" w:eastAsia="en-GB"/>
        </w:rPr>
        <w:t>Gasspüranlagen</w:t>
      </w:r>
    </w:p>
    <w:p w:rsidR="00C9149F" w:rsidRPr="00DD2A86" w:rsidRDefault="00C9149F" w:rsidP="003B5A4C">
      <w:pPr>
        <w:spacing w:before="120" w:after="120"/>
        <w:ind w:left="2268" w:right="1134"/>
        <w:jc w:val="both"/>
        <w:rPr>
          <w:bCs/>
          <w:lang w:val="de-DE" w:eastAsia="de-DE"/>
        </w:rPr>
      </w:pPr>
      <w:r w:rsidRPr="00DD2A86">
        <w:rPr>
          <w:rFonts w:eastAsia="Calibri"/>
          <w:szCs w:val="24"/>
          <w:lang w:val="de-DE" w:eastAsia="en-GB"/>
        </w:rPr>
        <w:t>Enthält die Schiffsstoffliste nach Absatz 1.16.1.2.5 Stoffe, für die n-Hexan nicht als repräsentativ gelten kann, muss die Gasspüranlage zusätzlich bezüglich der kritischsten UEG der zur Beförderung im Schiff zugelassenen Stoffe kalibriert</w:t>
      </w:r>
      <w:r w:rsidRPr="00DD2A86">
        <w:rPr>
          <w:bCs/>
          <w:lang w:val="de-DE" w:eastAsia="de-DE"/>
        </w:rPr>
        <w:t xml:space="preserve"> sein.“.</w:t>
      </w:r>
    </w:p>
    <w:p w:rsidR="002503DB" w:rsidRPr="00DD2A86" w:rsidRDefault="002503DB" w:rsidP="003B5A4C">
      <w:pPr>
        <w:suppressAutoHyphens w:val="0"/>
        <w:spacing w:before="240" w:line="240" w:lineRule="auto"/>
        <w:ind w:left="1134" w:right="1134"/>
        <w:rPr>
          <w:bCs/>
          <w:lang w:val="de-DE" w:eastAsia="de-DE"/>
        </w:rPr>
      </w:pPr>
      <w:r w:rsidRPr="00DD2A86">
        <w:rPr>
          <w:bCs/>
          <w:lang w:val="de-DE" w:eastAsia="de-DE"/>
        </w:rPr>
        <w:t>7.2.2.19.3</w:t>
      </w:r>
      <w:r w:rsidRPr="00DD2A86">
        <w:rPr>
          <w:bCs/>
          <w:lang w:val="de-DE" w:eastAsia="de-DE"/>
        </w:rPr>
        <w:tab/>
      </w:r>
      <w:r w:rsidR="005A17F5" w:rsidRPr="00DD2A86">
        <w:rPr>
          <w:bCs/>
          <w:lang w:val="de-DE" w:eastAsia="de-DE"/>
        </w:rPr>
        <w:t xml:space="preserve">Der Absatz nach dem Doppelpunkt </w:t>
      </w:r>
      <w:r w:rsidR="00DF620D" w:rsidRPr="00DD2A86">
        <w:rPr>
          <w:bCs/>
          <w:lang w:val="de-DE" w:eastAsia="de-DE"/>
        </w:rPr>
        <w:t xml:space="preserve">erhält </w:t>
      </w:r>
      <w:r w:rsidR="005A17F5" w:rsidRPr="00DD2A86">
        <w:rPr>
          <w:bCs/>
          <w:lang w:val="de-DE" w:eastAsia="de-DE"/>
        </w:rPr>
        <w:t>folgenden Wortlaut:</w:t>
      </w:r>
    </w:p>
    <w:p w:rsidR="005A17F5" w:rsidRPr="00DD2A86" w:rsidRDefault="005A17F5" w:rsidP="003B5A4C">
      <w:pPr>
        <w:suppressAutoHyphens w:val="0"/>
        <w:autoSpaceDE w:val="0"/>
        <w:autoSpaceDN w:val="0"/>
        <w:adjustRightInd w:val="0"/>
        <w:spacing w:before="120" w:line="240" w:lineRule="auto"/>
        <w:ind w:left="2268" w:right="1134"/>
        <w:jc w:val="both"/>
        <w:rPr>
          <w:rFonts w:eastAsia="Calibri"/>
          <w:lang w:val="de-DE" w:eastAsia="de-DE"/>
        </w:rPr>
      </w:pPr>
      <w:r w:rsidRPr="00DD2A86">
        <w:rPr>
          <w:bCs/>
          <w:lang w:val="de-DE" w:eastAsia="de-DE"/>
        </w:rPr>
        <w:t>„</w:t>
      </w:r>
      <w:r w:rsidRPr="00DD2A86">
        <w:rPr>
          <w:rFonts w:eastAsia="Calibri"/>
          <w:bCs/>
          <w:lang w:val="de-DE"/>
        </w:rPr>
        <w:t>1.16.1.1, 1.16.1.2, 1.16.1.3, 1.</w:t>
      </w:r>
      <w:r w:rsidRPr="00DD2A86">
        <w:rPr>
          <w:rFonts w:eastAsia="Calibri"/>
          <w:lang w:val="de-DE"/>
        </w:rPr>
        <w:t xml:space="preserve">16.1.4, </w:t>
      </w:r>
      <w:r w:rsidRPr="00DD2A86">
        <w:rPr>
          <w:rFonts w:eastAsia="Calibri"/>
          <w:lang w:val="de-DE" w:eastAsia="de-DE"/>
        </w:rPr>
        <w:t xml:space="preserve">7.2.2.5, 8.1.4, 8.1.5, 8.1.6.1, 8.1.6.3, 8.1.7, 8.3.5, 9.3.3.0.1, 9.3.3.0.3 d), 9.3.3.0.5, 9.3.3.10.1, 9.3.3.10.2, </w:t>
      </w:r>
      <w:r w:rsidRPr="00DD2A86">
        <w:rPr>
          <w:rFonts w:eastAsia="Calibri"/>
          <w:lang w:val="de-DE"/>
        </w:rPr>
        <w:t xml:space="preserve">9.3.3.10.5, </w:t>
      </w:r>
      <w:r w:rsidRPr="00DD2A86">
        <w:rPr>
          <w:rFonts w:eastAsia="Calibri"/>
          <w:lang w:val="de-DE" w:eastAsia="de-DE"/>
        </w:rPr>
        <w:t xml:space="preserve">9.3.3.12.4, 9.3.3.12.6, 9.3.3.16.1, 9.3.3.16.2, 9.3.3.17.1 bis 9.3.3.17.4, 9.3.3.31.1 bis 9.3.3.31.5, 9.3.3.32.2, 9.3.3.34.1, 9.3.3.34.2, 9.3.3.40.1, (jedoch genügt eine einzige Feuerlösch- oder Ballastpumpe), 9.3.3.40.2, 9.3.3.41, </w:t>
      </w:r>
      <w:r w:rsidRPr="00DD2A86">
        <w:rPr>
          <w:rFonts w:eastAsia="Calibri"/>
          <w:lang w:val="de-DE"/>
        </w:rPr>
        <w:t>9.3.3.51, 9.3.3.52.1 bis 9.3.3.52.8</w:t>
      </w:r>
      <w:r w:rsidRPr="00DD2A86">
        <w:rPr>
          <w:rFonts w:eastAsia="Calibri"/>
          <w:bCs/>
          <w:lang w:val="de-DE" w:eastAsia="de-DE"/>
        </w:rPr>
        <w:t>,</w:t>
      </w:r>
      <w:r w:rsidRPr="00DD2A86">
        <w:rPr>
          <w:rFonts w:eastAsia="Calibri"/>
          <w:lang w:val="de-DE" w:eastAsia="de-DE"/>
        </w:rPr>
        <w:t xml:space="preserve"> 9.3.3.71 und 9.3.3.74.“.</w:t>
      </w:r>
    </w:p>
    <w:p w:rsidR="007C000A" w:rsidRPr="00DD2A86" w:rsidRDefault="007C000A">
      <w:pPr>
        <w:suppressAutoHyphens w:val="0"/>
        <w:spacing w:line="240" w:lineRule="auto"/>
        <w:rPr>
          <w:bCs/>
          <w:lang w:val="de-DE" w:eastAsia="de-DE"/>
        </w:rPr>
      </w:pPr>
      <w:r w:rsidRPr="00DD2A86">
        <w:rPr>
          <w:bCs/>
          <w:lang w:val="de-DE" w:eastAsia="de-DE"/>
        </w:rPr>
        <w:br w:type="page"/>
      </w:r>
    </w:p>
    <w:p w:rsidR="005A17F5" w:rsidRPr="00DD2A86" w:rsidRDefault="005A17F5" w:rsidP="003B5A4C">
      <w:pPr>
        <w:suppressAutoHyphens w:val="0"/>
        <w:spacing w:before="120" w:line="240" w:lineRule="auto"/>
        <w:ind w:left="1134" w:right="1134"/>
        <w:rPr>
          <w:bCs/>
          <w:lang w:val="de-DE" w:eastAsia="de-DE"/>
        </w:rPr>
      </w:pPr>
      <w:r w:rsidRPr="00DD2A86">
        <w:rPr>
          <w:bCs/>
          <w:lang w:val="de-DE" w:eastAsia="de-DE"/>
        </w:rPr>
        <w:t>7.2.2.19.3</w:t>
      </w:r>
      <w:r w:rsidRPr="00DD2A86">
        <w:rPr>
          <w:bCs/>
          <w:lang w:val="de-DE" w:eastAsia="de-DE"/>
        </w:rPr>
        <w:tab/>
        <w:t xml:space="preserve">Der </w:t>
      </w:r>
      <w:r w:rsidR="003A4E91" w:rsidRPr="00DD2A86">
        <w:rPr>
          <w:bCs/>
          <w:lang w:val="de-DE" w:eastAsia="de-DE"/>
        </w:rPr>
        <w:t>letzte</w:t>
      </w:r>
      <w:r w:rsidRPr="00DD2A86">
        <w:rPr>
          <w:bCs/>
          <w:lang w:val="de-DE" w:eastAsia="de-DE"/>
        </w:rPr>
        <w:t xml:space="preserve"> Absatz erhält folgenden Wortlaut:</w:t>
      </w:r>
    </w:p>
    <w:p w:rsidR="005A17F5" w:rsidRPr="00DD2A86" w:rsidRDefault="005A17F5" w:rsidP="003B5A4C">
      <w:pPr>
        <w:suppressAutoHyphens w:val="0"/>
        <w:spacing w:before="120" w:line="240" w:lineRule="auto"/>
        <w:ind w:left="2268" w:right="1134"/>
        <w:jc w:val="both"/>
        <w:rPr>
          <w:rFonts w:eastAsia="Calibri"/>
          <w:lang w:val="de-DE" w:eastAsia="de-DE"/>
        </w:rPr>
      </w:pPr>
      <w:r w:rsidRPr="00DD2A86">
        <w:rPr>
          <w:bCs/>
          <w:lang w:val="de-DE" w:eastAsia="de-DE"/>
        </w:rPr>
        <w:tab/>
        <w:t>„</w:t>
      </w:r>
      <w:r w:rsidRPr="00DD2A86">
        <w:rPr>
          <w:rFonts w:eastAsia="Calibri"/>
          <w:lang w:val="de-DE" w:eastAsia="de-DE"/>
        </w:rPr>
        <w:t>Schiffe, die ausschließlich zum Fortbewegen von Tankschiffen</w:t>
      </w:r>
      <w:r w:rsidR="009E4ED2" w:rsidRPr="00DD2A86">
        <w:rPr>
          <w:rFonts w:eastAsia="Calibri"/>
          <w:lang w:val="de-DE" w:eastAsia="de-DE"/>
        </w:rPr>
        <w:t>,</w:t>
      </w:r>
      <w:r w:rsidRPr="00DD2A86">
        <w:rPr>
          <w:rFonts w:eastAsia="Calibri"/>
          <w:lang w:val="de-DE" w:eastAsia="de-DE"/>
        </w:rPr>
        <w:t xml:space="preserve"> deren Stoffliste </w:t>
      </w:r>
      <w:r w:rsidRPr="00DD2A86">
        <w:rPr>
          <w:rFonts w:eastAsia="Calibri"/>
          <w:lang w:val="de-DE"/>
        </w:rPr>
        <w:t xml:space="preserve">nach Absatz 1.16.1.2.5 </w:t>
      </w:r>
      <w:r w:rsidRPr="00DD2A86">
        <w:rPr>
          <w:rFonts w:eastAsia="Calibri"/>
          <w:lang w:val="de-DE" w:eastAsia="de-DE"/>
        </w:rPr>
        <w:t xml:space="preserve">ausschließlich Stoffe enthält, für die Explosionsschutz nicht erforderlich ist, genutzt werden, müssen den Absätzen 9.3.3.10.1, </w:t>
      </w:r>
      <w:r w:rsidRPr="00DD2A86">
        <w:rPr>
          <w:rFonts w:eastAsia="Calibri"/>
          <w:lang w:val="de-DE"/>
        </w:rPr>
        <w:t xml:space="preserve">9.3.3.10.5, </w:t>
      </w:r>
      <w:r w:rsidRPr="00DD2A86">
        <w:rPr>
          <w:rFonts w:eastAsia="Calibri"/>
          <w:lang w:val="de-DE" w:eastAsia="de-DE"/>
        </w:rPr>
        <w:t>9.3.3.12.6, 9.3.3.51 und 9.3.3.52.1 nicht entsprechen. In diesem Fall ist im Zulassungszeugnis bzw. im vorläufigen Zulassungszeugnis unter Nummer 5, „Zugelassene Abweichungen“, einzutragen: „Abweichung von 9.3.3.10.1,</w:t>
      </w:r>
      <w:r w:rsidRPr="00DD2A86">
        <w:rPr>
          <w:rFonts w:eastAsia="Calibri"/>
          <w:lang w:val="de-DE"/>
        </w:rPr>
        <w:t xml:space="preserve"> 9.3.3.10.5, </w:t>
      </w:r>
      <w:r w:rsidRPr="00DD2A86">
        <w:rPr>
          <w:rFonts w:eastAsia="Calibri"/>
          <w:lang w:val="de-DE" w:eastAsia="de-DE"/>
        </w:rPr>
        <w:t xml:space="preserve">9.3.3.12.6, 9.3.3.51 und 9.3.3.52.1; das Schiff darf ausschließlich Tankschiffe, deren Stoffliste </w:t>
      </w:r>
      <w:r w:rsidRPr="00DD2A86">
        <w:rPr>
          <w:rFonts w:eastAsia="Calibri"/>
          <w:lang w:val="de-DE"/>
        </w:rPr>
        <w:t xml:space="preserve">nach Absatz 1.16.1.2.5 </w:t>
      </w:r>
      <w:r w:rsidRPr="00DD2A86">
        <w:rPr>
          <w:rFonts w:eastAsia="Calibri"/>
          <w:lang w:val="de-DE" w:eastAsia="de-DE"/>
        </w:rPr>
        <w:t>ausschließlich Stoffe enthält, für die Explosionsschutzschutz nicht erforderlich ist, fortbewegen.“</w:t>
      </w:r>
      <w:r w:rsidR="002C0B79" w:rsidRPr="00DD2A86">
        <w:rPr>
          <w:rFonts w:eastAsia="Calibri"/>
          <w:lang w:val="de-DE" w:eastAsia="de-DE"/>
        </w:rPr>
        <w:t>.</w:t>
      </w:r>
    </w:p>
    <w:p w:rsidR="0089676A" w:rsidRPr="00DD2A86" w:rsidRDefault="0089676A" w:rsidP="003B5A4C">
      <w:pPr>
        <w:suppressAutoHyphens w:val="0"/>
        <w:spacing w:before="240" w:line="240" w:lineRule="auto"/>
        <w:ind w:left="1134" w:right="1134"/>
        <w:rPr>
          <w:bCs/>
          <w:lang w:val="de-DE" w:eastAsia="de-DE"/>
        </w:rPr>
      </w:pPr>
      <w:r w:rsidRPr="00DD2A86">
        <w:rPr>
          <w:bCs/>
          <w:lang w:val="de-DE" w:eastAsia="de-DE"/>
        </w:rPr>
        <w:t>7.2.2.19.4</w:t>
      </w:r>
      <w:r w:rsidRPr="00DD2A86">
        <w:rPr>
          <w:bCs/>
          <w:lang w:val="de-DE" w:eastAsia="de-DE"/>
        </w:rPr>
        <w:tab/>
        <w:t>Folgenden neuen Absatz hinzufügen:</w:t>
      </w:r>
    </w:p>
    <w:p w:rsidR="0089676A" w:rsidRPr="00DD2A86" w:rsidRDefault="0089676A" w:rsidP="003B5A4C">
      <w:pPr>
        <w:suppressAutoHyphens w:val="0"/>
        <w:spacing w:before="120" w:line="240" w:lineRule="auto"/>
        <w:ind w:left="2268" w:right="1134"/>
        <w:jc w:val="both"/>
        <w:rPr>
          <w:rFonts w:eastAsia="Calibri"/>
          <w:szCs w:val="24"/>
          <w:lang w:val="de-DE"/>
        </w:rPr>
      </w:pPr>
      <w:r w:rsidRPr="00DD2A86">
        <w:rPr>
          <w:bCs/>
          <w:lang w:val="de-DE" w:eastAsia="de-DE"/>
        </w:rPr>
        <w:t>„7.2.2.19.4</w:t>
      </w:r>
      <w:r w:rsidRPr="00DD2A86">
        <w:rPr>
          <w:bCs/>
          <w:lang w:val="de-DE" w:eastAsia="de-DE"/>
        </w:rPr>
        <w:tab/>
      </w:r>
      <w:r w:rsidRPr="00DD2A86">
        <w:rPr>
          <w:rFonts w:eastAsia="Calibri"/>
          <w:szCs w:val="24"/>
          <w:lang w:val="de-DE"/>
        </w:rPr>
        <w:t xml:space="preserve">Während des Ladens  und Löschens von Stoffen, für die nach Unterabschnitt 3.2.3.2 Tabelle C, Spalte (17) Explosionsschutz gefordert ist, dürfen auf den anderen Schiffen der Zusammenstellung an Deck nur Anlagen und Geräte betrieben werden die die Anforderungen nach </w:t>
      </w:r>
      <w:r w:rsidRPr="00DD2A86">
        <w:rPr>
          <w:rFonts w:eastAsia="Calibri"/>
          <w:lang w:val="de-DE"/>
        </w:rPr>
        <w:t>9.3.3.53 erfüllen</w:t>
      </w:r>
      <w:r w:rsidR="002C0B79" w:rsidRPr="00DD2A86">
        <w:rPr>
          <w:rFonts w:eastAsia="Calibri"/>
          <w:szCs w:val="24"/>
          <w:lang w:val="de-DE"/>
        </w:rPr>
        <w:t>. Davon ausgenommen sind</w:t>
      </w:r>
    </w:p>
    <w:p w:rsidR="0089676A" w:rsidRPr="00DD2A86" w:rsidRDefault="0089676A" w:rsidP="003B5A4C">
      <w:pPr>
        <w:suppressAutoHyphens w:val="0"/>
        <w:spacing w:before="60" w:line="240" w:lineRule="auto"/>
        <w:ind w:left="2694" w:right="1134" w:hanging="426"/>
        <w:jc w:val="both"/>
        <w:rPr>
          <w:rFonts w:eastAsia="Calibri"/>
          <w:lang w:val="de-DE"/>
        </w:rPr>
      </w:pPr>
      <w:r w:rsidRPr="00DD2A86">
        <w:rPr>
          <w:rFonts w:eastAsia="Calibri"/>
          <w:szCs w:val="24"/>
          <w:lang w:val="de-DE"/>
        </w:rPr>
        <w:t>a)</w:t>
      </w:r>
      <w:r w:rsidRPr="00DD2A86">
        <w:rPr>
          <w:rFonts w:eastAsia="Calibri"/>
          <w:szCs w:val="24"/>
          <w:lang w:val="de-DE"/>
        </w:rPr>
        <w:tab/>
        <w:t>Anlagen und Geräte auf Schiffen, die vor oder hinter dem ladenden oder löschenden Schiff gekuppelt sind, wenn das ladende oder löschende Tankschiff an diesem Ende des Bereichs der Ladung mit einer Schutzwand ausgerüstet ist</w:t>
      </w:r>
      <w:r w:rsidR="0007773C" w:rsidRPr="00DD2A86">
        <w:rPr>
          <w:sz w:val="22"/>
          <w:szCs w:val="22"/>
          <w:lang w:val="de-DE" w:eastAsia="de-DE"/>
        </w:rPr>
        <w:t xml:space="preserve"> </w:t>
      </w:r>
      <w:r w:rsidR="0007773C" w:rsidRPr="00DD2A86">
        <w:rPr>
          <w:lang w:val="de-DE" w:eastAsia="de-DE"/>
        </w:rPr>
        <w:t>oder die mindestens einen Abstand von 12</w:t>
      </w:r>
      <w:r w:rsidR="00AE4EF0" w:rsidRPr="00DD2A86">
        <w:rPr>
          <w:lang w:val="de-DE" w:eastAsia="de-DE"/>
        </w:rPr>
        <w:t>,00</w:t>
      </w:r>
      <w:r w:rsidR="0007773C" w:rsidRPr="00DD2A86">
        <w:rPr>
          <w:lang w:val="de-DE" w:eastAsia="de-DE"/>
        </w:rPr>
        <w:t xml:space="preserve"> m zur Begrenzungsebene des Bereichs der Ladung des ladenden oder löschenden Tankschiffes haben.</w:t>
      </w:r>
    </w:p>
    <w:p w:rsidR="00C9149F" w:rsidRPr="00DD2A86" w:rsidRDefault="0089676A" w:rsidP="003B5A4C">
      <w:pPr>
        <w:suppressAutoHyphens w:val="0"/>
        <w:spacing w:before="60" w:line="240" w:lineRule="auto"/>
        <w:ind w:left="2694" w:right="1134" w:hanging="426"/>
        <w:jc w:val="both"/>
        <w:rPr>
          <w:rFonts w:eastAsia="Calibri"/>
          <w:szCs w:val="24"/>
          <w:lang w:val="de-DE"/>
        </w:rPr>
      </w:pPr>
      <w:r w:rsidRPr="00DD2A86">
        <w:rPr>
          <w:rFonts w:eastAsia="Calibri"/>
          <w:szCs w:val="24"/>
          <w:lang w:val="de-DE"/>
        </w:rPr>
        <w:t>b)</w:t>
      </w:r>
      <w:r w:rsidRPr="00DD2A86">
        <w:rPr>
          <w:rFonts w:eastAsia="Calibri"/>
          <w:szCs w:val="24"/>
          <w:lang w:val="de-DE"/>
        </w:rPr>
        <w:tab/>
        <w:t>Anlagen und Geräte auf Tankschiffen, die längsseits an das ladende oder löschende Schiff gekuppelt sind, wenn diese Anlagen und Geräte hinter einer Schutzwand gemäß 9.3.3.10.3 angeordnet sind und diese Schutzwand nicht neben dem Bereich der Ladung des ladende</w:t>
      </w:r>
      <w:r w:rsidR="00E879FD" w:rsidRPr="00DD2A86">
        <w:rPr>
          <w:rFonts w:eastAsia="Calibri"/>
          <w:szCs w:val="24"/>
          <w:lang w:val="de-DE"/>
        </w:rPr>
        <w:t>n</w:t>
      </w:r>
      <w:r w:rsidRPr="00DD2A86">
        <w:rPr>
          <w:rFonts w:eastAsia="Calibri"/>
          <w:szCs w:val="24"/>
          <w:lang w:val="de-DE"/>
        </w:rPr>
        <w:t xml:space="preserve"> oder löschende</w:t>
      </w:r>
      <w:r w:rsidR="00E879FD" w:rsidRPr="00DD2A86">
        <w:rPr>
          <w:rFonts w:eastAsia="Calibri"/>
          <w:szCs w:val="24"/>
          <w:lang w:val="de-DE"/>
        </w:rPr>
        <w:t>n</w:t>
      </w:r>
      <w:r w:rsidRPr="00DD2A86">
        <w:rPr>
          <w:rFonts w:eastAsia="Calibri"/>
          <w:szCs w:val="24"/>
          <w:lang w:val="de-DE"/>
        </w:rPr>
        <w:t xml:space="preserve"> Schiffes liegt</w:t>
      </w:r>
      <w:r w:rsidR="0007773C" w:rsidRPr="00DD2A86">
        <w:rPr>
          <w:lang w:val="de-DE"/>
        </w:rPr>
        <w:t xml:space="preserve"> </w:t>
      </w:r>
      <w:r w:rsidR="0007773C" w:rsidRPr="00DD2A86">
        <w:rPr>
          <w:rFonts w:eastAsia="Calibri"/>
          <w:szCs w:val="24"/>
          <w:lang w:val="de-DE"/>
        </w:rPr>
        <w:t>oder die mindestens einen Abstand von 12</w:t>
      </w:r>
      <w:r w:rsidR="00AE4EF0" w:rsidRPr="00DD2A86">
        <w:rPr>
          <w:rFonts w:eastAsia="Calibri"/>
          <w:szCs w:val="24"/>
          <w:lang w:val="de-DE"/>
        </w:rPr>
        <w:t>,00</w:t>
      </w:r>
      <w:r w:rsidR="001E47B6" w:rsidRPr="00DD2A86">
        <w:rPr>
          <w:rFonts w:eastAsia="Calibri"/>
          <w:szCs w:val="24"/>
          <w:lang w:val="de-DE"/>
        </w:rPr>
        <w:t> </w:t>
      </w:r>
      <w:r w:rsidR="0007773C" w:rsidRPr="00DD2A86">
        <w:rPr>
          <w:rFonts w:eastAsia="Calibri"/>
          <w:szCs w:val="24"/>
          <w:lang w:val="de-DE"/>
        </w:rPr>
        <w:t>m zur Begrenzungsebene des Bereichs der Ladung des ladenden oder löschenden Schiffes haben.</w:t>
      </w:r>
      <w:r w:rsidRPr="00DD2A86">
        <w:rPr>
          <w:rFonts w:eastAsia="Calibri"/>
          <w:szCs w:val="24"/>
          <w:lang w:val="de-DE"/>
        </w:rPr>
        <w:t>“.</w:t>
      </w:r>
    </w:p>
    <w:p w:rsidR="00E6374D" w:rsidRPr="00DD2A86" w:rsidRDefault="00E6374D" w:rsidP="00E6374D">
      <w:pPr>
        <w:tabs>
          <w:tab w:val="left" w:pos="1701"/>
        </w:tabs>
        <w:spacing w:before="120" w:after="120"/>
        <w:ind w:left="1134" w:right="1134"/>
        <w:jc w:val="both"/>
        <w:rPr>
          <w:rFonts w:eastAsia="SimSun"/>
          <w:i/>
          <w:lang w:val="de-DE" w:eastAsia="zh-CN"/>
        </w:rPr>
      </w:pPr>
      <w:r w:rsidRPr="00DD2A86">
        <w:rPr>
          <w:rFonts w:eastAsia="SimSun"/>
          <w:lang w:val="de-DE" w:eastAsia="zh-CN"/>
        </w:rPr>
        <w:t>7.2.2.21</w:t>
      </w:r>
      <w:r w:rsidRPr="00DD2A86">
        <w:rPr>
          <w:rFonts w:eastAsia="SimSun"/>
          <w:lang w:val="de-DE" w:eastAsia="zh-CN"/>
        </w:rPr>
        <w:tab/>
        <w:t>[Die Änderung in der englischen Fassung hat keine Auswirkungen auf den deutschen Text.]</w:t>
      </w:r>
    </w:p>
    <w:p w:rsidR="00BE6120" w:rsidRPr="00DD2A86" w:rsidRDefault="00BE6120" w:rsidP="00B61A90">
      <w:pPr>
        <w:suppressAutoHyphens w:val="0"/>
        <w:spacing w:before="240" w:line="240" w:lineRule="auto"/>
        <w:ind w:left="1134" w:right="567"/>
        <w:rPr>
          <w:bCs/>
          <w:lang w:val="de-DE" w:eastAsia="de-DE"/>
        </w:rPr>
      </w:pPr>
      <w:r w:rsidRPr="00DD2A86">
        <w:rPr>
          <w:bCs/>
          <w:lang w:val="de-DE" w:eastAsia="de-DE"/>
        </w:rPr>
        <w:t>7.2.2.22</w:t>
      </w:r>
      <w:r w:rsidRPr="00DD2A86">
        <w:rPr>
          <w:bCs/>
          <w:lang w:val="de-DE" w:eastAsia="de-DE"/>
        </w:rPr>
        <w:tab/>
        <w:t>Erhält folgenden Wortlaut: „(gestrichen)“.</w:t>
      </w:r>
    </w:p>
    <w:p w:rsidR="00D52459" w:rsidRPr="00DD2A86" w:rsidRDefault="00D52459" w:rsidP="00D52459">
      <w:pPr>
        <w:suppressAutoHyphens w:val="0"/>
        <w:autoSpaceDE w:val="0"/>
        <w:autoSpaceDN w:val="0"/>
        <w:adjustRightInd w:val="0"/>
        <w:spacing w:before="120" w:after="120"/>
        <w:ind w:left="1134" w:right="1134"/>
        <w:jc w:val="both"/>
        <w:rPr>
          <w:rFonts w:eastAsia="SimSun"/>
          <w:lang w:val="de-DE" w:eastAsia="zh-CN"/>
        </w:rPr>
      </w:pPr>
      <w:r w:rsidRPr="00DD2A86">
        <w:rPr>
          <w:rFonts w:eastAsia="SimSun"/>
          <w:lang w:val="de-DE" w:eastAsia="zh-CN"/>
        </w:rPr>
        <w:t>7.2.3.1.4</w:t>
      </w:r>
      <w:r w:rsidRPr="00DD2A86">
        <w:rPr>
          <w:rFonts w:eastAsia="SimSun"/>
          <w:lang w:val="de-DE" w:eastAsia="zh-CN"/>
        </w:rPr>
        <w:tab/>
        <w:t>Im ersten Satz „Gaskonzentration“ ändern in: „Konzentration von aus der Ladung herrührenden entzündbaren oder giftigen Gasen und Dämpfen“. Der zweite Satz erhält folgenden Wortlaut: „Die Messung darf nur von einem in Abschnitt 8.2.1.2 genannten Sachkundigen, durchgeführt werden, der mit einem für den zu befördernden Stoff geeigneten Atemfilter ausgerüstet ist.“.</w:t>
      </w:r>
    </w:p>
    <w:p w:rsidR="007C000A" w:rsidRPr="00DD2A86" w:rsidRDefault="007C000A">
      <w:pPr>
        <w:suppressAutoHyphens w:val="0"/>
        <w:spacing w:line="240" w:lineRule="auto"/>
        <w:rPr>
          <w:rFonts w:eastAsiaTheme="minorHAnsi"/>
          <w:lang w:val="de-DE"/>
        </w:rPr>
      </w:pPr>
      <w:r w:rsidRPr="00DD2A86">
        <w:rPr>
          <w:rFonts w:eastAsiaTheme="minorHAnsi"/>
          <w:lang w:val="de-DE"/>
        </w:rPr>
        <w:br w:type="page"/>
      </w:r>
    </w:p>
    <w:p w:rsidR="001F15E8" w:rsidRPr="00DD2A86" w:rsidRDefault="001F15E8" w:rsidP="001F15E8">
      <w:pPr>
        <w:kinsoku w:val="0"/>
        <w:overflowPunct w:val="0"/>
        <w:autoSpaceDE w:val="0"/>
        <w:autoSpaceDN w:val="0"/>
        <w:adjustRightInd w:val="0"/>
        <w:snapToGrid w:val="0"/>
        <w:spacing w:before="120" w:after="120"/>
        <w:ind w:left="1134" w:right="1134"/>
        <w:jc w:val="both"/>
        <w:rPr>
          <w:rFonts w:eastAsiaTheme="minorHAnsi"/>
          <w:lang w:val="de-DE"/>
        </w:rPr>
      </w:pPr>
      <w:r w:rsidRPr="00DD2A86">
        <w:rPr>
          <w:rFonts w:eastAsiaTheme="minorHAnsi"/>
          <w:lang w:val="de-DE"/>
        </w:rPr>
        <w:t>7.2.3.1.5</w:t>
      </w:r>
      <w:r w:rsidRPr="00DD2A86">
        <w:rPr>
          <w:rFonts w:eastAsiaTheme="minorHAnsi"/>
          <w:lang w:val="de-DE"/>
        </w:rPr>
        <w:tab/>
        <w:t>Erhält folgenden Wortlaut:</w:t>
      </w:r>
    </w:p>
    <w:p w:rsidR="001F15E8" w:rsidRPr="00DD2A86" w:rsidRDefault="001F15E8" w:rsidP="001F15E8">
      <w:pPr>
        <w:suppressAutoHyphens w:val="0"/>
        <w:autoSpaceDE w:val="0"/>
        <w:adjustRightInd w:val="0"/>
        <w:spacing w:before="120" w:after="120"/>
        <w:ind w:left="2259" w:right="1134" w:hanging="1125"/>
        <w:jc w:val="both"/>
        <w:rPr>
          <w:lang w:val="de-DE"/>
        </w:rPr>
      </w:pPr>
      <w:r w:rsidRPr="00DD2A86">
        <w:rPr>
          <w:lang w:val="de-DE"/>
        </w:rPr>
        <w:t>„7.2.3.1.5</w:t>
      </w:r>
      <w:r w:rsidRPr="00DD2A86">
        <w:rPr>
          <w:lang w:val="de-DE"/>
        </w:rPr>
        <w:tab/>
        <w:t xml:space="preserve">Bevor Personen Ladetanks, </w:t>
      </w:r>
      <w:r w:rsidRPr="00DD2A86">
        <w:rPr>
          <w:szCs w:val="18"/>
          <w:lang w:val="de-DE" w:eastAsia="en-GB"/>
        </w:rPr>
        <w:t>Restetanks,</w:t>
      </w:r>
      <w:r w:rsidRPr="00DD2A86">
        <w:rPr>
          <w:lang w:val="de-DE"/>
        </w:rPr>
        <w:t xml:space="preserve"> Pumpenräume unter Deck, Kofferdämme, Wallgänge, Doppelböden, Aufstellungsräume oder andere geschlossene Räume betreten, muss:</w:t>
      </w:r>
    </w:p>
    <w:p w:rsidR="001F15E8" w:rsidRPr="00DD2A86" w:rsidRDefault="001F15E8" w:rsidP="006119B5">
      <w:pPr>
        <w:suppressAutoHyphens w:val="0"/>
        <w:autoSpaceDE w:val="0"/>
        <w:adjustRightInd w:val="0"/>
        <w:spacing w:before="120" w:after="120"/>
        <w:ind w:left="2694" w:right="1134" w:hanging="426"/>
        <w:jc w:val="both"/>
        <w:rPr>
          <w:lang w:val="de-DE"/>
        </w:rPr>
      </w:pPr>
      <w:r w:rsidRPr="00DD2A86">
        <w:rPr>
          <w:lang w:val="de-DE"/>
        </w:rPr>
        <w:t>a)</w:t>
      </w:r>
      <w:r w:rsidRPr="00DD2A86">
        <w:rPr>
          <w:lang w:val="de-DE"/>
        </w:rPr>
        <w:tab/>
        <w:t>wenn das Schiff gefährliche Stoffe der Klasse 2, 3, 4.1, 6.1, 8 oder 9 befördert, für die in Unterabschnitt 3.2.3.2 Tabelle C Spalte (18) ein Gasspürgerät gefordert wird, mit Hilfe dieses Gerätes festgestellt sein, dass die Konzentration von aus der Ladung herrührenden entzündbaren Gasen und Dämpfen in diesen Ladetanks, Restetanks, Pumpenräumen unter Deck, Kofferdämmen, Wallgängen, Doppelböden oder Aufstellungsräumen 50 % der UEG nicht übersteigt. In Pumpenräumen unter Deck darf dies mit Hilfe der fest eingebauten Gasspüranlage festgestellt werden;</w:t>
      </w:r>
    </w:p>
    <w:p w:rsidR="001F15E8" w:rsidRPr="00DD2A86" w:rsidRDefault="001F15E8" w:rsidP="006119B5">
      <w:pPr>
        <w:suppressAutoHyphens w:val="0"/>
        <w:autoSpaceDE w:val="0"/>
        <w:adjustRightInd w:val="0"/>
        <w:spacing w:before="120" w:after="120"/>
        <w:ind w:left="2694" w:right="1134" w:hanging="425"/>
        <w:jc w:val="both"/>
        <w:rPr>
          <w:lang w:val="de-DE"/>
        </w:rPr>
      </w:pPr>
      <w:r w:rsidRPr="00DD2A86">
        <w:rPr>
          <w:lang w:val="de-DE"/>
        </w:rPr>
        <w:t>b)</w:t>
      </w:r>
      <w:r w:rsidRPr="00DD2A86">
        <w:rPr>
          <w:lang w:val="de-DE"/>
        </w:rPr>
        <w:tab/>
        <w:t xml:space="preserve">wenn das Schiff gefährliche Stoffe der Klasse 2, 3, 4.1, 6.1, 8 oder 9 befördert, für die in Unterabschnitt 3.2.3.2 Tabelle C Spalte (18) ein Toximeter gefordert wird, mit Hilfe dieses Gerätes festgestellt sein, dass in diesen Ladetanks, </w:t>
      </w:r>
      <w:r w:rsidRPr="00DD2A86">
        <w:rPr>
          <w:szCs w:val="18"/>
          <w:lang w:val="de-DE" w:eastAsia="en-GB"/>
        </w:rPr>
        <w:t>Restetanks,</w:t>
      </w:r>
      <w:r w:rsidRPr="00DD2A86">
        <w:rPr>
          <w:lang w:val="de-DE"/>
        </w:rPr>
        <w:t xml:space="preserve"> Pumpenräumen unter Deck, Kofferdämmen, Wallgängen, Doppelböden oder Aufstellungsräumen keine Konzentration von aus der Ladung herrührenden giftigen Gasen und Dämpfen enthalten ist</w:t>
      </w:r>
      <w:r w:rsidRPr="00DD2A86">
        <w:rPr>
          <w:rFonts w:eastAsia="SimSun"/>
          <w:lang w:val="de-DE" w:eastAsia="zh-CN"/>
        </w:rPr>
        <w:t>, welche die national zulässigen Expositionsgrenzwerte überschreitet</w:t>
      </w:r>
      <w:r w:rsidRPr="00DD2A86">
        <w:rPr>
          <w:lang w:val="de-DE"/>
        </w:rPr>
        <w:t>.</w:t>
      </w:r>
    </w:p>
    <w:p w:rsidR="001F15E8" w:rsidRPr="00DD2A86" w:rsidRDefault="001F15E8" w:rsidP="001F15E8">
      <w:pPr>
        <w:spacing w:before="120"/>
        <w:ind w:left="2259" w:right="1134"/>
        <w:jc w:val="both"/>
        <w:rPr>
          <w:rFonts w:eastAsia="SimSun"/>
          <w:lang w:val="de-DE" w:eastAsia="zh-CN"/>
        </w:rPr>
      </w:pPr>
      <w:r w:rsidRPr="00DD2A86">
        <w:rPr>
          <w:rFonts w:eastAsia="SimSun"/>
          <w:lang w:val="de-DE" w:eastAsia="zh-CN"/>
        </w:rPr>
        <w:t>In Abweichung zu Unterabschnitt 1.1.4.6 gehen strengere nationale Vorschriften über das Betreten von Laderäumen den Bestimmungen des ADN vor.“.</w:t>
      </w:r>
    </w:p>
    <w:p w:rsidR="001F15E8" w:rsidRPr="00DD2A86" w:rsidRDefault="001F15E8" w:rsidP="001F15E8">
      <w:pPr>
        <w:kinsoku w:val="0"/>
        <w:overflowPunct w:val="0"/>
        <w:autoSpaceDE w:val="0"/>
        <w:autoSpaceDN w:val="0"/>
        <w:adjustRightInd w:val="0"/>
        <w:snapToGrid w:val="0"/>
        <w:spacing w:before="120" w:after="120"/>
        <w:ind w:left="1134" w:right="1134"/>
        <w:jc w:val="both"/>
        <w:rPr>
          <w:rFonts w:eastAsiaTheme="minorHAnsi"/>
          <w:lang w:val="de-DE"/>
        </w:rPr>
      </w:pPr>
      <w:r w:rsidRPr="00DD2A86">
        <w:rPr>
          <w:rFonts w:eastAsiaTheme="minorHAnsi"/>
          <w:lang w:val="de-DE"/>
        </w:rPr>
        <w:t>7.2.3.1.6</w:t>
      </w:r>
      <w:r w:rsidRPr="00DD2A86">
        <w:rPr>
          <w:rFonts w:eastAsiaTheme="minorHAnsi"/>
          <w:lang w:val="de-DE"/>
        </w:rPr>
        <w:tab/>
        <w:t>Erhält folgenden Wortlaut:</w:t>
      </w:r>
    </w:p>
    <w:p w:rsidR="001F15E8" w:rsidRPr="00DD2A86" w:rsidRDefault="001F15E8" w:rsidP="001F15E8">
      <w:pPr>
        <w:suppressAutoHyphens w:val="0"/>
        <w:autoSpaceDE w:val="0"/>
        <w:adjustRightInd w:val="0"/>
        <w:spacing w:before="120" w:after="120"/>
        <w:ind w:left="2259" w:right="1134" w:hanging="1125"/>
        <w:jc w:val="both"/>
        <w:rPr>
          <w:lang w:val="de-DE"/>
        </w:rPr>
      </w:pPr>
      <w:r w:rsidRPr="00DD2A86">
        <w:rPr>
          <w:lang w:val="de-DE"/>
        </w:rPr>
        <w:t>„7.2.3.1.6</w:t>
      </w:r>
      <w:r w:rsidRPr="00DD2A86">
        <w:rPr>
          <w:lang w:val="de-DE"/>
        </w:rPr>
        <w:tab/>
        <w:t xml:space="preserve">Das Betreten leerer Ladetanks, Restetanks, Pumpenräume unter Deck, Kofferdämme, Wallgänge, Doppelböden, Aufstellungsräume </w:t>
      </w:r>
      <w:r w:rsidRPr="00DD2A86">
        <w:rPr>
          <w:szCs w:val="18"/>
          <w:lang w:val="de-DE" w:eastAsia="en-GB"/>
        </w:rPr>
        <w:t xml:space="preserve">oder anderer geschlossener Räume </w:t>
      </w:r>
      <w:r w:rsidRPr="00DD2A86">
        <w:rPr>
          <w:lang w:val="de-DE"/>
        </w:rPr>
        <w:t>ist nur zugelassen, wenn:</w:t>
      </w:r>
    </w:p>
    <w:p w:rsidR="001F15E8" w:rsidRPr="00DD2A86" w:rsidRDefault="001F15E8" w:rsidP="001F15E8">
      <w:pPr>
        <w:numPr>
          <w:ilvl w:val="0"/>
          <w:numId w:val="43"/>
        </w:numPr>
        <w:suppressAutoHyphens w:val="0"/>
        <w:autoSpaceDE w:val="0"/>
        <w:adjustRightInd w:val="0"/>
        <w:spacing w:before="120" w:after="120"/>
        <w:ind w:left="2841" w:right="1134" w:hanging="573"/>
        <w:jc w:val="both"/>
        <w:rPr>
          <w:szCs w:val="18"/>
          <w:lang w:val="de-DE" w:eastAsia="en-GB"/>
        </w:rPr>
      </w:pPr>
      <w:r w:rsidRPr="00DD2A86">
        <w:rPr>
          <w:szCs w:val="18"/>
          <w:lang w:val="de-DE" w:eastAsia="en-GB"/>
        </w:rPr>
        <w:t>die Konzentration von aus der Ladung herrührenden entzündbaren Gasen und Dämpfen in Ladetanks, Restetanks, Pumpenräumen unter Deck, Kofferdämmen, Wallgängen, Doppelböden, Aufstellungsräumen oder anderen geschlossenen Räumen unter 10 % UEG liegt, die Konzentration von aus der Ladung herrührenden giftigen Gasen und Dämpfen unter den national zulässigen Expositionsgrenzwerten liegt und der Sauerstoffanteil zwischen 20% und 23,5 Vol.-% beträgt,</w:t>
      </w:r>
    </w:p>
    <w:p w:rsidR="007C000A" w:rsidRPr="00DD2A86" w:rsidRDefault="007C000A">
      <w:pPr>
        <w:suppressAutoHyphens w:val="0"/>
        <w:spacing w:line="240" w:lineRule="auto"/>
        <w:rPr>
          <w:szCs w:val="18"/>
          <w:lang w:val="de-DE" w:eastAsia="en-GB"/>
        </w:rPr>
      </w:pPr>
      <w:r w:rsidRPr="00DD2A86">
        <w:rPr>
          <w:szCs w:val="18"/>
          <w:lang w:val="de-DE" w:eastAsia="en-GB"/>
        </w:rPr>
        <w:br w:type="page"/>
      </w:r>
    </w:p>
    <w:p w:rsidR="00672848" w:rsidRPr="00DD2A86" w:rsidRDefault="001F15E8" w:rsidP="001F15E8">
      <w:pPr>
        <w:suppressAutoHyphens w:val="0"/>
        <w:autoSpaceDE w:val="0"/>
        <w:adjustRightInd w:val="0"/>
        <w:spacing w:before="120" w:after="120"/>
        <w:ind w:left="2268" w:right="1134"/>
        <w:jc w:val="both"/>
        <w:rPr>
          <w:szCs w:val="18"/>
          <w:lang w:val="de-DE" w:eastAsia="en-GB"/>
        </w:rPr>
      </w:pPr>
      <w:r w:rsidRPr="00DD2A86">
        <w:rPr>
          <w:szCs w:val="18"/>
          <w:lang w:val="de-DE" w:eastAsia="en-GB"/>
        </w:rPr>
        <w:t>oder</w:t>
      </w:r>
    </w:p>
    <w:p w:rsidR="001F15E8" w:rsidRPr="00DD2A86" w:rsidRDefault="001F15E8" w:rsidP="001F15E8">
      <w:pPr>
        <w:numPr>
          <w:ilvl w:val="0"/>
          <w:numId w:val="43"/>
        </w:numPr>
        <w:suppressAutoHyphens w:val="0"/>
        <w:autoSpaceDE w:val="0"/>
        <w:adjustRightInd w:val="0"/>
        <w:spacing w:before="120" w:after="120"/>
        <w:ind w:left="2841" w:right="1134" w:hanging="573"/>
        <w:jc w:val="both"/>
        <w:rPr>
          <w:lang w:val="de-DE"/>
        </w:rPr>
      </w:pPr>
      <w:r w:rsidRPr="00DD2A86">
        <w:rPr>
          <w:szCs w:val="18"/>
          <w:lang w:val="de-DE" w:eastAsia="en-GB"/>
        </w:rPr>
        <w:t>die Konzentration von aus der Ladung herrührenden entzündbaren Gasen und Dämpfen in Ladetanks, Restetanks, Pumpenräumen unter Deck, Kofferdämmen, Wallgängen, Doppelböden, Aufstellungsräumen oder anderen geschlossenen Räumen unter 10 % UEG liegt und die Person, welche den Raum betritt, ein umluftunabhängiges Atemschutzgerät und andere erforderliche Schutz- und Rettungsausrüstung trägt sowie durch eine Leine gesichert ist. Das Betreten dieser Räume darf nur unter Aufsicht einer zweiten Person erfolgen, für welche die gleiche Ausrüstung bereitgelegt ist. Zwei zusätzliche Personen, die im Notfall Hilfe leisten können, müssen sich in Rufweite auf dem Schiff befinden.</w:t>
      </w:r>
      <w:r w:rsidRPr="00DD2A86">
        <w:rPr>
          <w:lang w:val="de-DE"/>
        </w:rPr>
        <w:t xml:space="preserve"> Falls eine Rettungswinde angebracht ist, genügt eine zusätzliche Person.</w:t>
      </w:r>
    </w:p>
    <w:p w:rsidR="001F15E8" w:rsidRPr="00DD2A86" w:rsidRDefault="001F15E8" w:rsidP="001F15E8">
      <w:pPr>
        <w:spacing w:before="120" w:after="120"/>
        <w:ind w:left="2838" w:right="1134"/>
        <w:jc w:val="both"/>
        <w:rPr>
          <w:szCs w:val="18"/>
          <w:lang w:val="de-DE" w:eastAsia="en-GB"/>
        </w:rPr>
      </w:pPr>
      <w:r w:rsidRPr="00DD2A86">
        <w:rPr>
          <w:szCs w:val="18"/>
          <w:lang w:val="de-DE" w:eastAsia="en-GB"/>
        </w:rPr>
        <w:t>In Notfällen oder bei mechanischen Problemen darf der Tank bei einer Konzentration von aus der Ladung herrührenden entzündbaren Gasen und Dämpfen von 10 % bis 50 % der UEG betreten werden. Das verwendete Atemschutzgerät (umluftunabhängig) muss so beschaffen sein, dass Funkenbildung vermieden wird.</w:t>
      </w:r>
    </w:p>
    <w:p w:rsidR="001F15E8" w:rsidRPr="00DD2A86" w:rsidRDefault="001F15E8" w:rsidP="006119B5">
      <w:pPr>
        <w:spacing w:before="120" w:after="120"/>
        <w:ind w:left="2268" w:right="1134"/>
        <w:jc w:val="both"/>
        <w:rPr>
          <w:szCs w:val="18"/>
          <w:lang w:val="de-DE" w:eastAsia="en-GB"/>
        </w:rPr>
      </w:pPr>
      <w:r w:rsidRPr="00DD2A86">
        <w:rPr>
          <w:szCs w:val="18"/>
          <w:lang w:val="de-DE" w:eastAsia="en-GB"/>
        </w:rPr>
        <w:t>In Abweichung zu Unterabschnitt 1.1.4.6 gehen strengere nationale Vorschriften über das Betreten von Ladetanks den Bestimmungen des ADN vor.“.</w:t>
      </w:r>
    </w:p>
    <w:p w:rsidR="0020111D" w:rsidRPr="00DD2A86" w:rsidRDefault="0020111D" w:rsidP="00817C87">
      <w:pPr>
        <w:suppressAutoHyphens w:val="0"/>
        <w:spacing w:before="240" w:line="240" w:lineRule="auto"/>
        <w:ind w:left="1134" w:right="1134"/>
        <w:jc w:val="both"/>
        <w:rPr>
          <w:bCs/>
          <w:lang w:val="de-DE" w:eastAsia="de-DE"/>
        </w:rPr>
      </w:pPr>
      <w:r w:rsidRPr="00DD2A86">
        <w:rPr>
          <w:bCs/>
          <w:lang w:val="de-DE" w:eastAsia="de-DE"/>
        </w:rPr>
        <w:t>7.2.3.6</w:t>
      </w:r>
      <w:r w:rsidRPr="00DD2A86">
        <w:rPr>
          <w:bCs/>
          <w:lang w:val="de-DE" w:eastAsia="de-DE"/>
        </w:rPr>
        <w:tab/>
      </w:r>
      <w:r w:rsidRPr="00DD2A86">
        <w:rPr>
          <w:bCs/>
          <w:lang w:val="de-DE" w:eastAsia="de-DE"/>
        </w:rPr>
        <w:tab/>
        <w:t>Erhält folgenden Wortlaut:</w:t>
      </w:r>
    </w:p>
    <w:p w:rsidR="0020111D" w:rsidRPr="00DD2A86" w:rsidRDefault="0020111D" w:rsidP="001E47B6">
      <w:pPr>
        <w:suppressAutoHyphens w:val="0"/>
        <w:spacing w:before="120" w:after="120" w:line="240" w:lineRule="auto"/>
        <w:ind w:left="2268" w:right="1134" w:hanging="1134"/>
        <w:jc w:val="both"/>
        <w:rPr>
          <w:b/>
          <w:bCs/>
          <w:lang w:val="de-DE" w:eastAsia="de-DE"/>
        </w:rPr>
      </w:pPr>
      <w:r w:rsidRPr="00DD2A86">
        <w:rPr>
          <w:b/>
          <w:bCs/>
          <w:lang w:val="de-DE" w:eastAsia="de-DE"/>
        </w:rPr>
        <w:t>„</w:t>
      </w:r>
      <w:r w:rsidR="0040555A" w:rsidRPr="00DD2A86">
        <w:rPr>
          <w:b/>
          <w:bCs/>
          <w:lang w:val="de-DE" w:eastAsia="de-DE"/>
        </w:rPr>
        <w:t>7.2.3.6</w:t>
      </w:r>
      <w:r w:rsidR="0040555A" w:rsidRPr="00DD2A86">
        <w:rPr>
          <w:b/>
          <w:bCs/>
          <w:lang w:val="de-DE" w:eastAsia="de-DE"/>
        </w:rPr>
        <w:tab/>
      </w:r>
      <w:r w:rsidRPr="00DD2A86">
        <w:rPr>
          <w:b/>
          <w:bCs/>
          <w:lang w:val="de-DE" w:eastAsia="de-DE"/>
        </w:rPr>
        <w:t>Gasspüranlagen</w:t>
      </w:r>
    </w:p>
    <w:p w:rsidR="0020111D" w:rsidRPr="00DD2A86" w:rsidRDefault="0020111D" w:rsidP="001E47B6">
      <w:pPr>
        <w:suppressAutoHyphens w:val="0"/>
        <w:spacing w:line="240" w:lineRule="auto"/>
        <w:ind w:left="2268" w:right="1134" w:hanging="9"/>
        <w:jc w:val="both"/>
        <w:rPr>
          <w:bCs/>
          <w:lang w:val="de-DE" w:eastAsia="de-DE"/>
        </w:rPr>
      </w:pPr>
      <w:r w:rsidRPr="00DD2A86">
        <w:rPr>
          <w:bCs/>
          <w:lang w:val="de-DE" w:eastAsia="de-DE"/>
        </w:rPr>
        <w:t xml:space="preserve">Gasspüranlagen müssen entsprechend den Vorschriften des Herstellers durch </w:t>
      </w:r>
      <w:r w:rsidR="00FF5886" w:rsidRPr="00DD2A86">
        <w:rPr>
          <w:bCs/>
          <w:lang w:val="de-DE" w:eastAsia="de-DE"/>
        </w:rPr>
        <w:t xml:space="preserve">geschultes und </w:t>
      </w:r>
      <w:r w:rsidRPr="00DD2A86">
        <w:rPr>
          <w:bCs/>
          <w:lang w:val="de-DE" w:eastAsia="de-DE"/>
        </w:rPr>
        <w:t>eingewiesenes Personal gewartet werden.“.</w:t>
      </w:r>
    </w:p>
    <w:p w:rsidR="001F15E8" w:rsidRPr="00DD2A86" w:rsidRDefault="001F15E8" w:rsidP="001F15E8">
      <w:pPr>
        <w:spacing w:before="120" w:after="120"/>
        <w:ind w:left="2259" w:right="1134" w:hanging="1125"/>
        <w:jc w:val="both"/>
        <w:rPr>
          <w:rFonts w:eastAsia="SimSun"/>
          <w:lang w:val="de-DE" w:eastAsia="zh-CN"/>
        </w:rPr>
      </w:pPr>
      <w:r w:rsidRPr="00DD2A86">
        <w:rPr>
          <w:rFonts w:eastAsia="SimSun"/>
          <w:lang w:val="de-DE" w:eastAsia="zh-CN"/>
        </w:rPr>
        <w:t>7.2.3.7</w:t>
      </w:r>
      <w:r w:rsidRPr="00DD2A86">
        <w:rPr>
          <w:rFonts w:eastAsia="SimSun"/>
          <w:lang w:val="de-DE" w:eastAsia="zh-CN"/>
        </w:rPr>
        <w:tab/>
        <w:t>7.2.3.7 (Titel) und 7.2.3.7.0 bis 7.2.3.7.2 erhalten folgenden Wortlaut:</w:t>
      </w:r>
    </w:p>
    <w:p w:rsidR="001F15E8" w:rsidRPr="00DD2A86" w:rsidRDefault="001F15E8" w:rsidP="001F15E8">
      <w:pPr>
        <w:spacing w:before="120" w:after="120"/>
        <w:ind w:left="2259" w:right="1134" w:hanging="1125"/>
        <w:jc w:val="both"/>
        <w:rPr>
          <w:rFonts w:eastAsia="SimSun"/>
          <w:szCs w:val="18"/>
          <w:lang w:val="de-DE" w:eastAsia="zh-CN"/>
        </w:rPr>
      </w:pPr>
      <w:r w:rsidRPr="00DD2A86">
        <w:rPr>
          <w:rFonts w:eastAsia="SimSun"/>
          <w:lang w:val="de-DE" w:eastAsia="zh-CN"/>
        </w:rPr>
        <w:t>„</w:t>
      </w:r>
      <w:r w:rsidRPr="00DD2A86">
        <w:rPr>
          <w:rFonts w:eastAsia="SimSun"/>
          <w:b/>
          <w:lang w:val="de-DE" w:eastAsia="zh-CN"/>
        </w:rPr>
        <w:t>7.2.3.7</w:t>
      </w:r>
      <w:r w:rsidRPr="00DD2A86">
        <w:rPr>
          <w:rFonts w:eastAsia="SimSun"/>
          <w:b/>
          <w:szCs w:val="18"/>
          <w:lang w:val="de-DE" w:eastAsia="zh-CN"/>
        </w:rPr>
        <w:tab/>
      </w:r>
      <w:r w:rsidRPr="00DD2A86">
        <w:rPr>
          <w:rFonts w:eastAsia="SimSun"/>
          <w:b/>
          <w:bCs/>
          <w:szCs w:val="18"/>
          <w:lang w:val="de-DE" w:eastAsia="zh-CN"/>
        </w:rPr>
        <w:t>Entgasen entladener oder leerer Ladetanks und Lade- und Löschleitungen</w:t>
      </w:r>
    </w:p>
    <w:p w:rsidR="001F15E8" w:rsidRPr="00DD2A86" w:rsidRDefault="001F15E8" w:rsidP="001F15E8">
      <w:pPr>
        <w:spacing w:before="120" w:after="120"/>
        <w:ind w:left="2259" w:right="1134" w:hanging="1125"/>
        <w:jc w:val="both"/>
        <w:rPr>
          <w:rFonts w:eastAsia="SimSun"/>
          <w:szCs w:val="18"/>
          <w:lang w:val="de-DE" w:eastAsia="zh-CN"/>
        </w:rPr>
      </w:pPr>
      <w:r w:rsidRPr="00DD2A86">
        <w:rPr>
          <w:rFonts w:eastAsia="SimSun"/>
          <w:lang w:val="de-DE" w:eastAsia="zh-CN"/>
        </w:rPr>
        <w:t>7.2.3.7.0</w:t>
      </w:r>
      <w:r w:rsidRPr="00DD2A86">
        <w:rPr>
          <w:rFonts w:eastAsia="SimSun"/>
          <w:szCs w:val="18"/>
          <w:lang w:val="de-DE" w:eastAsia="zh-CN"/>
        </w:rPr>
        <w:tab/>
        <w:t xml:space="preserve">Das Entgasen entladener oder leerer Ladetanks </w:t>
      </w:r>
      <w:r w:rsidRPr="00DD2A86">
        <w:rPr>
          <w:rFonts w:eastAsia="SimSun"/>
          <w:bCs/>
          <w:szCs w:val="18"/>
          <w:lang w:val="de-DE" w:eastAsia="zh-CN"/>
        </w:rPr>
        <w:t>und Lade- und Löschleitungen</w:t>
      </w:r>
      <w:r w:rsidRPr="00DD2A86">
        <w:rPr>
          <w:rFonts w:eastAsia="SimSun"/>
          <w:szCs w:val="18"/>
          <w:lang w:val="de-DE" w:eastAsia="zh-CN"/>
        </w:rPr>
        <w:t xml:space="preserve"> in die Atmosphäre</w:t>
      </w:r>
      <w:r w:rsidRPr="00DD2A86">
        <w:rPr>
          <w:rFonts w:eastAsia="SimSun"/>
          <w:lang w:val="de-DE" w:eastAsia="zh-CN"/>
        </w:rPr>
        <w:t xml:space="preserve"> oder an Annahmestellen</w:t>
      </w:r>
      <w:r w:rsidRPr="00DD2A86">
        <w:rPr>
          <w:rFonts w:eastAsia="SimSun"/>
          <w:szCs w:val="18"/>
          <w:lang w:val="de-DE" w:eastAsia="zh-CN"/>
        </w:rPr>
        <w:t xml:space="preserve"> ist unter den nachfolgenden Bedingungen nur dann gestattet, wenn und soweit es aufgrund anderer Rechtsvorschriften nicht verboten ist.</w:t>
      </w:r>
    </w:p>
    <w:p w:rsidR="001F15E8" w:rsidRPr="00DD2A86" w:rsidRDefault="001F15E8" w:rsidP="001F15E8">
      <w:pPr>
        <w:spacing w:before="120" w:after="120"/>
        <w:ind w:left="2257" w:right="1134" w:hanging="1123"/>
        <w:jc w:val="both"/>
        <w:rPr>
          <w:rFonts w:eastAsia="SimSun"/>
          <w:szCs w:val="18"/>
          <w:lang w:val="de-DE" w:eastAsia="zh-CN"/>
        </w:rPr>
      </w:pPr>
      <w:r w:rsidRPr="00DD2A86">
        <w:rPr>
          <w:rFonts w:eastAsia="SimSun"/>
          <w:lang w:val="de-DE" w:eastAsia="zh-CN"/>
        </w:rPr>
        <w:t>7.2.3.7.1</w:t>
      </w:r>
      <w:r w:rsidRPr="00DD2A86">
        <w:rPr>
          <w:rFonts w:eastAsia="SimSun"/>
          <w:szCs w:val="18"/>
          <w:lang w:val="de-DE" w:eastAsia="zh-CN"/>
        </w:rPr>
        <w:tab/>
        <w:t xml:space="preserve">Entgasen von entladenen oder leeren Ladetanks </w:t>
      </w:r>
      <w:r w:rsidRPr="00DD2A86">
        <w:rPr>
          <w:rFonts w:eastAsia="SimSun"/>
          <w:bCs/>
          <w:szCs w:val="18"/>
          <w:lang w:val="de-DE" w:eastAsia="zh-CN"/>
        </w:rPr>
        <w:t>und Lade- und Löschleitungen</w:t>
      </w:r>
      <w:r w:rsidRPr="00DD2A86">
        <w:rPr>
          <w:rFonts w:eastAsia="SimSun"/>
          <w:szCs w:val="18"/>
          <w:lang w:val="de-DE" w:eastAsia="zh-CN"/>
        </w:rPr>
        <w:t xml:space="preserve"> in die Atmosphäre</w:t>
      </w:r>
    </w:p>
    <w:p w:rsidR="001F15E8" w:rsidRPr="00DD2A86" w:rsidRDefault="001F15E8" w:rsidP="001F15E8">
      <w:pPr>
        <w:spacing w:before="120" w:after="120"/>
        <w:ind w:left="2257" w:right="1134" w:hanging="1123"/>
        <w:jc w:val="both"/>
        <w:rPr>
          <w:rFonts w:eastAsia="SimSun"/>
          <w:lang w:val="de-DE" w:eastAsia="zh-CN"/>
        </w:rPr>
      </w:pPr>
      <w:r w:rsidRPr="00DD2A86">
        <w:rPr>
          <w:rFonts w:eastAsia="SimSun"/>
          <w:lang w:val="de-DE" w:eastAsia="zh-CN"/>
        </w:rPr>
        <w:t>7.2.3.7.1.1</w:t>
      </w:r>
      <w:r w:rsidRPr="00DD2A86">
        <w:rPr>
          <w:rFonts w:eastAsia="SimSun"/>
          <w:lang w:val="de-DE" w:eastAsia="zh-CN"/>
        </w:rPr>
        <w:tab/>
        <w:t>Entladene oder leere Ladetanks, die gefährliche Stoffe:</w:t>
      </w:r>
    </w:p>
    <w:p w:rsidR="001F15E8" w:rsidRPr="00DD2A86" w:rsidRDefault="001F15E8" w:rsidP="007C000A">
      <w:pPr>
        <w:spacing w:before="120" w:after="120"/>
        <w:ind w:left="2552" w:right="1134" w:hanging="284"/>
        <w:jc w:val="both"/>
        <w:rPr>
          <w:rFonts w:eastAsia="SimSun"/>
          <w:lang w:val="de-DE" w:eastAsia="zh-CN"/>
        </w:rPr>
      </w:pPr>
      <w:r w:rsidRPr="00DD2A86">
        <w:rPr>
          <w:rFonts w:eastAsia="SimSun"/>
          <w:lang w:val="de-DE" w:eastAsia="zh-CN"/>
        </w:rPr>
        <w:t>-</w:t>
      </w:r>
      <w:r w:rsidR="007C000A" w:rsidRPr="00DD2A86">
        <w:rPr>
          <w:rFonts w:eastAsia="SimSun"/>
          <w:lang w:val="de-DE" w:eastAsia="zh-CN"/>
        </w:rPr>
        <w:tab/>
      </w:r>
      <w:r w:rsidRPr="00DD2A86">
        <w:rPr>
          <w:rFonts w:eastAsia="SimSun"/>
          <w:lang w:val="de-DE" w:eastAsia="zh-CN"/>
        </w:rPr>
        <w:t xml:space="preserve">der Klasse 2 oder der Klasse 3 mit einem Klassifizierungscode in Kapitel 3.2 Tabelle C Spalte (3b), der den Buchstaben „T“ enthält, </w:t>
      </w:r>
    </w:p>
    <w:p w:rsidR="001F15E8" w:rsidRPr="00DD2A86" w:rsidRDefault="001F15E8" w:rsidP="007C000A">
      <w:pPr>
        <w:spacing w:before="120" w:after="120"/>
        <w:ind w:left="2552" w:right="1134" w:hanging="284"/>
        <w:jc w:val="both"/>
        <w:rPr>
          <w:rFonts w:eastAsia="SimSun"/>
          <w:lang w:val="de-DE" w:eastAsia="zh-CN"/>
        </w:rPr>
      </w:pPr>
      <w:r w:rsidRPr="00DD2A86">
        <w:rPr>
          <w:rFonts w:eastAsia="SimSun"/>
          <w:lang w:val="de-DE" w:eastAsia="zh-CN"/>
        </w:rPr>
        <w:t>-</w:t>
      </w:r>
      <w:r w:rsidR="007C000A" w:rsidRPr="00DD2A86">
        <w:rPr>
          <w:rFonts w:eastAsia="SimSun"/>
          <w:lang w:val="de-DE" w:eastAsia="zh-CN"/>
        </w:rPr>
        <w:tab/>
      </w:r>
      <w:r w:rsidRPr="00DD2A86">
        <w:rPr>
          <w:rFonts w:eastAsia="SimSun"/>
          <w:lang w:val="de-DE" w:eastAsia="zh-CN"/>
        </w:rPr>
        <w:t xml:space="preserve">der Klasse 6.1 oder </w:t>
      </w:r>
    </w:p>
    <w:p w:rsidR="001F15E8" w:rsidRPr="00DD2A86" w:rsidRDefault="001F15E8" w:rsidP="007C000A">
      <w:pPr>
        <w:spacing w:before="120" w:after="120"/>
        <w:ind w:left="2552" w:right="1134" w:hanging="284"/>
        <w:jc w:val="both"/>
        <w:rPr>
          <w:rFonts w:eastAsia="SimSun"/>
          <w:lang w:val="de-DE" w:eastAsia="zh-CN"/>
        </w:rPr>
      </w:pPr>
      <w:r w:rsidRPr="00DD2A86">
        <w:rPr>
          <w:rFonts w:eastAsia="SimSun"/>
          <w:lang w:val="de-DE" w:eastAsia="zh-CN"/>
        </w:rPr>
        <w:t>-</w:t>
      </w:r>
      <w:r w:rsidR="007C000A" w:rsidRPr="00DD2A86">
        <w:rPr>
          <w:rFonts w:eastAsia="SimSun"/>
          <w:lang w:val="de-DE" w:eastAsia="zh-CN"/>
        </w:rPr>
        <w:tab/>
      </w:r>
      <w:r w:rsidRPr="00DD2A86">
        <w:rPr>
          <w:rFonts w:eastAsia="SimSun"/>
          <w:lang w:val="de-DE" w:eastAsia="zh-CN"/>
        </w:rPr>
        <w:t>der Klasse 8 mit Verpackungsgruppe I</w:t>
      </w:r>
    </w:p>
    <w:p w:rsidR="001F15E8" w:rsidRPr="00DD2A86" w:rsidRDefault="001F15E8" w:rsidP="001F15E8">
      <w:pPr>
        <w:spacing w:before="120" w:after="120"/>
        <w:ind w:left="2257" w:right="1134"/>
        <w:jc w:val="both"/>
        <w:rPr>
          <w:rFonts w:eastAsia="SimSun"/>
          <w:lang w:val="de-DE" w:eastAsia="zh-CN"/>
        </w:rPr>
      </w:pPr>
      <w:r w:rsidRPr="00DD2A86">
        <w:rPr>
          <w:rFonts w:eastAsia="SimSun"/>
          <w:lang w:val="de-DE" w:eastAsia="zh-CN"/>
        </w:rPr>
        <w:t>enthalten haben, dürfen einen Sachkundigen gemäß Unterabschnitt 8.2.1.2 entgast werden. Dies darf nur an von der zuständigen Behörde zugelassenen Stellen erfolgen.</w:t>
      </w:r>
    </w:p>
    <w:p w:rsidR="007C000A" w:rsidRPr="00DD2A86" w:rsidRDefault="007C000A">
      <w:pPr>
        <w:suppressAutoHyphens w:val="0"/>
        <w:spacing w:line="240" w:lineRule="auto"/>
        <w:rPr>
          <w:rFonts w:eastAsia="SimSun"/>
          <w:lang w:val="de-DE" w:eastAsia="zh-CN"/>
        </w:rPr>
      </w:pPr>
      <w:r w:rsidRPr="00DD2A86">
        <w:rPr>
          <w:rFonts w:eastAsia="SimSun"/>
          <w:lang w:val="de-DE" w:eastAsia="zh-CN"/>
        </w:rPr>
        <w:br w:type="page"/>
      </w:r>
    </w:p>
    <w:p w:rsidR="001F15E8" w:rsidRPr="00DD2A86" w:rsidRDefault="001F15E8" w:rsidP="001F15E8">
      <w:pPr>
        <w:spacing w:before="120" w:after="120"/>
        <w:ind w:left="2251" w:right="1134" w:hanging="1117"/>
        <w:jc w:val="both"/>
        <w:rPr>
          <w:rFonts w:eastAsia="SimSun"/>
          <w:szCs w:val="18"/>
          <w:lang w:val="de-DE" w:eastAsia="zh-CN"/>
        </w:rPr>
      </w:pPr>
      <w:r w:rsidRPr="00DD2A86">
        <w:rPr>
          <w:rFonts w:eastAsia="SimSun"/>
          <w:lang w:val="de-DE" w:eastAsia="zh-CN"/>
        </w:rPr>
        <w:t>7.2.3.7.1.2</w:t>
      </w:r>
      <w:r w:rsidRPr="00DD2A86">
        <w:rPr>
          <w:rFonts w:eastAsia="SimSun"/>
          <w:szCs w:val="18"/>
          <w:lang w:val="de-DE" w:eastAsia="zh-CN"/>
        </w:rPr>
        <w:tab/>
        <w:t>Wenn das Entgasen von Ladetanks, die die in Absatz 7.2.3.7.1.1 genannten gefährlichen Stoffe enthalten haben, an den von der zuständigen Behörde für diesen Zweck zugelassenen Stellen nicht möglich ist, kann ein Entgasen während der Fahrt erfolgen, wenn:</w:t>
      </w:r>
    </w:p>
    <w:p w:rsidR="001F15E8" w:rsidRPr="00DD2A86" w:rsidRDefault="001F15E8" w:rsidP="001F15E8">
      <w:pPr>
        <w:tabs>
          <w:tab w:val="left" w:pos="2552"/>
        </w:tabs>
        <w:spacing w:before="120" w:after="120"/>
        <w:ind w:left="2552" w:right="1134" w:hanging="284"/>
        <w:jc w:val="both"/>
        <w:rPr>
          <w:rFonts w:eastAsia="SimSun"/>
          <w:szCs w:val="18"/>
          <w:lang w:val="de-DE" w:eastAsia="zh-CN"/>
        </w:rPr>
      </w:pPr>
      <w:r w:rsidRPr="00DD2A86">
        <w:rPr>
          <w:rFonts w:eastAsia="SimSun"/>
          <w:szCs w:val="18"/>
          <w:lang w:val="de-DE" w:eastAsia="zh-CN"/>
        </w:rPr>
        <w:t>-</w:t>
      </w:r>
      <w:r w:rsidRPr="00DD2A86">
        <w:rPr>
          <w:rFonts w:eastAsia="SimSun"/>
          <w:szCs w:val="18"/>
          <w:lang w:val="de-DE" w:eastAsia="zh-CN"/>
        </w:rPr>
        <w:tab/>
        <w:t xml:space="preserve">die im ersten Absatz von 7.2.3.7.1.3 genannten Bedingungen eingehalten werden, wobei jedoch in dem ausgeblasenen Gemisch die </w:t>
      </w:r>
      <w:r w:rsidRPr="00DD2A86">
        <w:rPr>
          <w:rFonts w:eastAsia="Calibri"/>
          <w:szCs w:val="18"/>
          <w:lang w:val="de-DE" w:eastAsia="zh-CN" w:bidi="hi-IN"/>
        </w:rPr>
        <w:t xml:space="preserve">Konzentration </w:t>
      </w:r>
      <w:r w:rsidRPr="00DD2A86">
        <w:rPr>
          <w:szCs w:val="18"/>
          <w:lang w:val="de-DE" w:eastAsia="en-GB"/>
        </w:rPr>
        <w:t>von aus der Ladung herrührenden</w:t>
      </w:r>
      <w:r w:rsidRPr="00DD2A86">
        <w:rPr>
          <w:rFonts w:eastAsia="Calibri"/>
          <w:szCs w:val="18"/>
          <w:lang w:val="de-DE" w:eastAsia="zh-CN" w:bidi="hi-IN"/>
        </w:rPr>
        <w:t xml:space="preserve"> entzündbaren Gasen und Dämpfen</w:t>
      </w:r>
      <w:r w:rsidRPr="00DD2A86">
        <w:rPr>
          <w:szCs w:val="18"/>
          <w:lang w:val="de-DE" w:eastAsia="en-GB"/>
        </w:rPr>
        <w:t xml:space="preserve"> </w:t>
      </w:r>
      <w:r w:rsidRPr="00DD2A86">
        <w:rPr>
          <w:rFonts w:eastAsia="SimSun"/>
          <w:szCs w:val="18"/>
          <w:lang w:val="de-DE" w:eastAsia="zh-CN"/>
        </w:rPr>
        <w:t xml:space="preserve">an der Austrittsstelle nicht mehr als 10 % der UEG betragen darf; </w:t>
      </w:r>
    </w:p>
    <w:p w:rsidR="001F15E8" w:rsidRPr="00DD2A86" w:rsidRDefault="001F15E8" w:rsidP="00AD4762">
      <w:pPr>
        <w:tabs>
          <w:tab w:val="left" w:pos="2552"/>
        </w:tabs>
        <w:spacing w:before="120" w:after="120"/>
        <w:ind w:left="2552" w:right="1134" w:hanging="284"/>
        <w:jc w:val="both"/>
        <w:rPr>
          <w:rFonts w:eastAsia="SimSun"/>
          <w:szCs w:val="18"/>
          <w:lang w:val="de-DE" w:eastAsia="zh-CN"/>
        </w:rPr>
      </w:pPr>
      <w:r w:rsidRPr="00DD2A86">
        <w:rPr>
          <w:rFonts w:eastAsia="SimSun"/>
          <w:szCs w:val="18"/>
          <w:lang w:val="de-DE" w:eastAsia="zh-CN"/>
        </w:rPr>
        <w:t>-</w:t>
      </w:r>
      <w:r w:rsidRPr="00DD2A86">
        <w:rPr>
          <w:rFonts w:eastAsia="SimSun"/>
          <w:szCs w:val="18"/>
          <w:lang w:val="de-DE" w:eastAsia="zh-CN"/>
        </w:rPr>
        <w:tab/>
        <w:t>die Besatzung nicht einer Konzentration von Gasen und Dämpfen ausgesetzt ist, welche die national zulässigen Expositionsgrenzwerte überschreitet;</w:t>
      </w:r>
    </w:p>
    <w:p w:rsidR="001F15E8" w:rsidRPr="00DD2A86" w:rsidRDefault="001F15E8" w:rsidP="006216C1">
      <w:pPr>
        <w:spacing w:before="120"/>
        <w:ind w:left="2251" w:right="1134" w:hanging="1117"/>
        <w:jc w:val="both"/>
        <w:rPr>
          <w:rFonts w:eastAsia="SimSun"/>
          <w:bCs/>
          <w:szCs w:val="18"/>
          <w:lang w:val="de-DE" w:eastAsia="zh-CN"/>
        </w:rPr>
      </w:pPr>
      <w:r w:rsidRPr="00DD2A86">
        <w:rPr>
          <w:rFonts w:eastAsia="SimSun"/>
          <w:bCs/>
          <w:szCs w:val="18"/>
          <w:lang w:val="de-DE" w:eastAsia="zh-CN"/>
        </w:rPr>
        <w:t>7.2.3.7.1.3</w:t>
      </w:r>
      <w:r w:rsidRPr="00DD2A86">
        <w:rPr>
          <w:rFonts w:eastAsia="SimSun"/>
          <w:bCs/>
          <w:szCs w:val="18"/>
          <w:lang w:val="de-DE" w:eastAsia="zh-CN"/>
        </w:rPr>
        <w:tab/>
        <w:t xml:space="preserve">Entladene oder leere Ladetanks, die andere als die in Absatz 7.2.3.7.1.1 genannten gefährlichen Stoffe enthalten haben, dürfen </w:t>
      </w:r>
      <w:r w:rsidRPr="00DD2A86">
        <w:rPr>
          <w:szCs w:val="18"/>
          <w:lang w:val="de-DE" w:eastAsia="en-GB"/>
        </w:rPr>
        <w:t xml:space="preserve">bei einer </w:t>
      </w:r>
      <w:r w:rsidRPr="00DD2A86">
        <w:rPr>
          <w:lang w:val="de-DE"/>
        </w:rPr>
        <w:t>Konzentration von</w:t>
      </w:r>
      <w:r w:rsidRPr="00DD2A86">
        <w:rPr>
          <w:b/>
          <w:lang w:val="de-DE"/>
        </w:rPr>
        <w:t xml:space="preserve"> </w:t>
      </w:r>
      <w:r w:rsidRPr="00DD2A86">
        <w:rPr>
          <w:szCs w:val="18"/>
          <w:lang w:val="de-DE" w:eastAsia="en-GB"/>
        </w:rPr>
        <w:t>aus der Ladung herrührenden entzündbaren Gasen und Dämpfen von 10 % der UEG oder mehr</w:t>
      </w:r>
      <w:r w:rsidRPr="00DD2A86">
        <w:rPr>
          <w:rFonts w:eastAsia="SimSun"/>
          <w:bCs/>
          <w:szCs w:val="18"/>
          <w:lang w:val="de-DE" w:eastAsia="zh-CN"/>
        </w:rPr>
        <w:t xml:space="preserve"> während der Fahrt oder an von der zuständigen Behörde zugelassenen Stellen mittels geeigneter Lüftungseinrichtungen bei geschlossenen Tanklukendeckeln und Abführung der Gas/Luftgemische durch dauerbrandsichere Flammendurchschlagsicherungen entgast werden (Explosionsgruppe / Untergruppe gemäß 3.2.3.2 Tabelle C, Spalte (16))</w:t>
      </w:r>
      <w:r w:rsidRPr="00DD2A86">
        <w:rPr>
          <w:rFonts w:eastAsia="SimSun"/>
          <w:bCs/>
          <w:i/>
          <w:szCs w:val="18"/>
          <w:lang w:val="de-DE" w:eastAsia="zh-CN"/>
        </w:rPr>
        <w:t>.</w:t>
      </w:r>
    </w:p>
    <w:p w:rsidR="001F15E8" w:rsidRPr="00DD2A86" w:rsidRDefault="001F15E8" w:rsidP="006216C1">
      <w:pPr>
        <w:spacing w:after="120"/>
        <w:ind w:left="2251" w:right="1134"/>
        <w:jc w:val="both"/>
        <w:rPr>
          <w:rFonts w:eastAsia="SimSun"/>
          <w:bCs/>
          <w:szCs w:val="18"/>
          <w:lang w:val="de-DE" w:eastAsia="zh-CN"/>
        </w:rPr>
      </w:pPr>
      <w:r w:rsidRPr="00DD2A86">
        <w:rPr>
          <w:rFonts w:eastAsia="SimSun"/>
          <w:bCs/>
          <w:szCs w:val="18"/>
          <w:lang w:val="de-DE" w:eastAsia="zh-CN"/>
        </w:rPr>
        <w:t>An der Austrittsstelle des Gas-/Luftgemisches muss  die Konzentration von entzündbaren Gasen und Dämpfen weniger als 50 % der UEG betragen. Geeignete Lüftungseinrichtungen bei der saugenden Entgasung dürfen nur mit einer unmittelbar auf der Saugseite des Ventilators vorgeschalteten Flammendurchschlagsicherung betrieben werden (Explosionsgruppe / Untergruppe gemäß 3.2.3.2 Tabelle C, Spalte (16)). Die Konzentration von entzündbaren Gasen und Dämpfen ist bei blasendem oder saugendem Betrieb der Lüftungseinrichtungen während der ersten zwei Stunden nach Beginn des Entgasens stündlich von einem Sachkundigen nach Absatz 8.2.1.2 zu messen. Die Messergebnisse müssen schriftlich festgehalten werden.</w:t>
      </w:r>
    </w:p>
    <w:p w:rsidR="001F15E8" w:rsidRPr="00DD2A86" w:rsidRDefault="001F15E8" w:rsidP="001F15E8">
      <w:pPr>
        <w:spacing w:before="120" w:after="120"/>
        <w:ind w:left="2251" w:right="1134"/>
        <w:jc w:val="both"/>
        <w:rPr>
          <w:rFonts w:eastAsia="SimSun"/>
          <w:bCs/>
          <w:szCs w:val="18"/>
          <w:lang w:val="de-DE" w:eastAsia="zh-CN"/>
        </w:rPr>
      </w:pPr>
      <w:r w:rsidRPr="00DD2A86">
        <w:rPr>
          <w:rFonts w:eastAsia="SimSun"/>
          <w:bCs/>
          <w:szCs w:val="18"/>
          <w:lang w:val="de-DE" w:eastAsia="zh-CN"/>
        </w:rPr>
        <w:t xml:space="preserve">Im Bereich von Schleusen einschließlich ihrer Vorhäfen, </w:t>
      </w:r>
      <w:r w:rsidRPr="00DD2A86">
        <w:rPr>
          <w:bCs/>
          <w:szCs w:val="18"/>
          <w:lang w:val="de-DE" w:eastAsia="en-GB"/>
        </w:rPr>
        <w:t>unter Brücken oder in dicht besiedelten Gebieten</w:t>
      </w:r>
      <w:r w:rsidRPr="00DD2A86">
        <w:rPr>
          <w:rFonts w:eastAsia="SimSun"/>
          <w:bCs/>
          <w:szCs w:val="18"/>
          <w:lang w:val="de-DE" w:eastAsia="zh-CN"/>
        </w:rPr>
        <w:t xml:space="preserve"> ist das Entgasen verboten.</w:t>
      </w:r>
    </w:p>
    <w:p w:rsidR="00EB6056" w:rsidRPr="00DD2A86" w:rsidRDefault="00EB6056">
      <w:pPr>
        <w:suppressAutoHyphens w:val="0"/>
        <w:spacing w:line="240" w:lineRule="auto"/>
        <w:rPr>
          <w:rFonts w:eastAsia="SimSun"/>
          <w:bCs/>
          <w:szCs w:val="18"/>
          <w:lang w:val="de-DE" w:eastAsia="zh-CN"/>
        </w:rPr>
      </w:pPr>
      <w:r w:rsidRPr="00DD2A86">
        <w:rPr>
          <w:rFonts w:eastAsia="SimSun"/>
          <w:bCs/>
          <w:szCs w:val="18"/>
          <w:lang w:val="de-DE" w:eastAsia="zh-CN"/>
        </w:rPr>
        <w:br w:type="page"/>
      </w:r>
    </w:p>
    <w:p w:rsidR="001F15E8" w:rsidRPr="00DD2A86" w:rsidRDefault="001F15E8" w:rsidP="001F15E8">
      <w:pPr>
        <w:spacing w:before="120" w:after="120"/>
        <w:ind w:left="2251" w:right="1134"/>
        <w:jc w:val="both"/>
        <w:rPr>
          <w:rFonts w:eastAsia="SimSun"/>
          <w:bCs/>
          <w:szCs w:val="18"/>
          <w:lang w:val="de-DE" w:eastAsia="zh-CN"/>
        </w:rPr>
      </w:pPr>
      <w:r w:rsidRPr="00DD2A86">
        <w:rPr>
          <w:rFonts w:eastAsia="SimSun"/>
          <w:bCs/>
          <w:szCs w:val="18"/>
          <w:lang w:val="de-DE" w:eastAsia="zh-CN"/>
        </w:rPr>
        <w:t xml:space="preserve">Entladene oder leere Ladetanks, die andere als die in Absatz 7.2.3.7.1.1 genannten gefährlichen Stoffe enthalten haben, dürfen bei einer aus der Ladung herrührenden Konzentration von Gasen und Dämpfen unter 10 % der UEG entgast werden und es dürfen auch zusätzliche Tanköffnungen geöffnet werden, solange die Besatzung nicht </w:t>
      </w:r>
      <w:r w:rsidRPr="00DD2A86">
        <w:rPr>
          <w:rFonts w:eastAsia="SimSun"/>
          <w:szCs w:val="18"/>
          <w:lang w:val="de-DE" w:eastAsia="zh-CN"/>
        </w:rPr>
        <w:t>einer Konzentration von Gasen und Dämpfen ausgesetzt ist, welche die national zulässigen Expositionsgrenzwerte überschreitet</w:t>
      </w:r>
      <w:r w:rsidRPr="00DD2A86">
        <w:rPr>
          <w:rFonts w:eastAsia="SimSun"/>
          <w:bCs/>
          <w:szCs w:val="18"/>
          <w:lang w:val="de-DE" w:eastAsia="zh-CN"/>
        </w:rPr>
        <w:t>. Es besteht auch keine Pflicht zur Verwendung einer Flammendurchschlag</w:t>
      </w:r>
      <w:r w:rsidRPr="00DD2A86">
        <w:rPr>
          <w:rFonts w:eastAsia="SimSun"/>
          <w:bCs/>
          <w:szCs w:val="18"/>
          <w:lang w:val="de-DE" w:eastAsia="zh-CN"/>
        </w:rPr>
        <w:softHyphen/>
        <w:t>sicherung.</w:t>
      </w:r>
    </w:p>
    <w:p w:rsidR="001F15E8" w:rsidRPr="00DD2A86" w:rsidRDefault="001F15E8" w:rsidP="001F15E8">
      <w:pPr>
        <w:spacing w:before="120" w:after="120"/>
        <w:ind w:left="2251" w:right="1134"/>
        <w:jc w:val="both"/>
        <w:rPr>
          <w:rFonts w:eastAsia="SimSun"/>
          <w:bCs/>
          <w:szCs w:val="18"/>
          <w:lang w:val="de-DE" w:eastAsia="zh-CN"/>
        </w:rPr>
      </w:pPr>
      <w:r w:rsidRPr="00DD2A86">
        <w:rPr>
          <w:rFonts w:eastAsia="SimSun"/>
          <w:bCs/>
          <w:szCs w:val="18"/>
          <w:lang w:val="de-DE" w:eastAsia="zh-CN"/>
        </w:rPr>
        <w:t>Im Bereich von Schleusen einschließlich ihrer Vorhäfen, unter Brücken oder in dicht besiedelten Gebieten ist das Entgasen verboten.</w:t>
      </w:r>
    </w:p>
    <w:p w:rsidR="001F15E8" w:rsidRPr="00DD2A86" w:rsidRDefault="001F15E8" w:rsidP="001F15E8">
      <w:pPr>
        <w:spacing w:before="120" w:after="120"/>
        <w:ind w:left="2251" w:right="1134" w:hanging="1117"/>
        <w:jc w:val="both"/>
        <w:rPr>
          <w:rFonts w:eastAsia="SimSun"/>
          <w:szCs w:val="18"/>
          <w:lang w:val="de-DE" w:eastAsia="zh-CN"/>
        </w:rPr>
      </w:pPr>
      <w:r w:rsidRPr="00DD2A86">
        <w:rPr>
          <w:rFonts w:eastAsia="SimSun"/>
          <w:szCs w:val="18"/>
          <w:lang w:val="de-DE" w:eastAsia="zh-CN"/>
        </w:rPr>
        <w:t>7.2.3.7.1.4</w:t>
      </w:r>
      <w:r w:rsidRPr="00DD2A86">
        <w:rPr>
          <w:rFonts w:eastAsia="SimSun"/>
          <w:szCs w:val="18"/>
          <w:lang w:val="de-DE" w:eastAsia="zh-CN"/>
        </w:rPr>
        <w:tab/>
        <w:t xml:space="preserve">Der Entgasungsvorgang muss während eines Gewitters und, wenn infolge ungünstiger Windverhältnisse außerhalb des Bereichs der Ladung vor der Wohnung, dem Steuerhaus oder Betriebsräumen mit gefährlichen </w:t>
      </w:r>
      <w:r w:rsidRPr="00DD2A86">
        <w:rPr>
          <w:szCs w:val="18"/>
          <w:lang w:val="de-DE" w:eastAsia="en-GB"/>
        </w:rPr>
        <w:t xml:space="preserve">Konzentrationen </w:t>
      </w:r>
      <w:r w:rsidRPr="00DD2A86">
        <w:rPr>
          <w:rFonts w:eastAsia="Calibri"/>
          <w:szCs w:val="18"/>
          <w:lang w:val="de-DE" w:eastAsia="zh-CN" w:bidi="hi-IN"/>
        </w:rPr>
        <w:t>an entzündbaren oder giftigen Gasen und Dämpfen</w:t>
      </w:r>
      <w:r w:rsidRPr="00DD2A86">
        <w:rPr>
          <w:rFonts w:eastAsia="SimSun"/>
          <w:szCs w:val="18"/>
          <w:lang w:val="de-DE" w:eastAsia="zh-CN"/>
        </w:rPr>
        <w:t xml:space="preserve"> zu rechnen ist, unterbrochen werden. Der kritische Zustand ist erreicht, sobald durch Messung mittels tragbaren Messgeräte Konzentrationen </w:t>
      </w:r>
      <w:r w:rsidRPr="00DD2A86">
        <w:rPr>
          <w:szCs w:val="18"/>
          <w:lang w:val="de-DE" w:eastAsia="en-GB"/>
        </w:rPr>
        <w:t>von aus der Ladung herrührenden</w:t>
      </w:r>
      <w:r w:rsidRPr="00DD2A86">
        <w:rPr>
          <w:rFonts w:eastAsia="Calibri"/>
          <w:szCs w:val="18"/>
          <w:lang w:val="de-DE" w:eastAsia="zh-CN" w:bidi="hi-IN"/>
        </w:rPr>
        <w:t xml:space="preserve"> entzündbaren Gasen und Dämpfen </w:t>
      </w:r>
      <w:r w:rsidRPr="00DD2A86">
        <w:rPr>
          <w:rFonts w:eastAsia="SimSun"/>
          <w:szCs w:val="18"/>
          <w:lang w:val="de-DE" w:eastAsia="zh-CN"/>
        </w:rPr>
        <w:t>von mehr als 20 % der UEG oder von giftigen Gasen und Dämpfen, welche die national zulässigen Expositionsgrenzwerte überschreiten, in diesen Bereichen nachgewiesen worden sind.</w:t>
      </w:r>
    </w:p>
    <w:p w:rsidR="001F15E8" w:rsidRPr="00DD2A86" w:rsidRDefault="001F15E8" w:rsidP="001F15E8">
      <w:pPr>
        <w:spacing w:before="120" w:after="120"/>
        <w:ind w:left="2251" w:right="1134" w:hanging="1117"/>
        <w:jc w:val="both"/>
        <w:rPr>
          <w:rFonts w:eastAsia="SimSun"/>
          <w:lang w:val="de-DE" w:eastAsia="zh-CN"/>
        </w:rPr>
      </w:pPr>
      <w:r w:rsidRPr="00DD2A86">
        <w:rPr>
          <w:rFonts w:eastAsia="SimSun"/>
          <w:szCs w:val="18"/>
          <w:lang w:val="de-DE" w:eastAsia="zh-CN"/>
        </w:rPr>
        <w:t>7.2.3.7.1.5</w:t>
      </w:r>
      <w:r w:rsidRPr="00DD2A86">
        <w:rPr>
          <w:rFonts w:eastAsia="SimSun"/>
          <w:szCs w:val="18"/>
          <w:lang w:val="de-DE" w:eastAsia="zh-CN"/>
        </w:rPr>
        <w:tab/>
      </w:r>
      <w:r w:rsidRPr="00DD2A86">
        <w:rPr>
          <w:rFonts w:eastAsia="SimSun"/>
          <w:lang w:val="de-DE" w:eastAsia="zh-CN"/>
        </w:rPr>
        <w:t xml:space="preserve">Wenn nach dem Entgasen der Ladetanks mit Hilfe der in Unterabschnitt 3.2.3.2 Tabelle C Spalte (18) genannten Geräte festgestellt wird, dass in keinem </w:t>
      </w:r>
      <w:r w:rsidR="00DF6A35" w:rsidRPr="00DD2A86">
        <w:rPr>
          <w:rFonts w:eastAsia="SimSun"/>
          <w:lang w:val="de-DE" w:eastAsia="zh-CN"/>
        </w:rPr>
        <w:t xml:space="preserve">der </w:t>
      </w:r>
      <w:r w:rsidRPr="00DD2A86">
        <w:rPr>
          <w:rFonts w:eastAsia="SimSun"/>
          <w:lang w:val="de-DE" w:eastAsia="zh-CN"/>
        </w:rPr>
        <w:t>Ladetank</w:t>
      </w:r>
      <w:r w:rsidR="00DF6A35" w:rsidRPr="00DD2A86">
        <w:rPr>
          <w:rFonts w:eastAsia="SimSun"/>
          <w:lang w:val="de-DE" w:eastAsia="zh-CN"/>
        </w:rPr>
        <w:t>s</w:t>
      </w:r>
      <w:r w:rsidRPr="00DD2A86">
        <w:rPr>
          <w:rFonts w:eastAsia="SimSun"/>
          <w:lang w:val="de-DE" w:eastAsia="zh-CN"/>
        </w:rPr>
        <w:t xml:space="preserve"> die Konzentration an entzündbaren</w:t>
      </w:r>
      <w:r w:rsidRPr="00DD2A86" w:rsidDel="007D101C">
        <w:rPr>
          <w:rFonts w:eastAsia="SimSun"/>
          <w:lang w:val="de-DE" w:eastAsia="zh-CN"/>
        </w:rPr>
        <w:t xml:space="preserve"> </w:t>
      </w:r>
      <w:r w:rsidRPr="00DD2A86">
        <w:rPr>
          <w:rFonts w:eastAsia="SimSun"/>
          <w:lang w:val="de-DE" w:eastAsia="zh-CN"/>
        </w:rPr>
        <w:t xml:space="preserve">Gasen und Dämpfen über 20 % der UEG liegt </w:t>
      </w:r>
      <w:r w:rsidR="00DF6A35" w:rsidRPr="00DD2A86">
        <w:rPr>
          <w:rFonts w:eastAsia="SimSun"/>
          <w:lang w:val="de-DE" w:eastAsia="zh-CN"/>
        </w:rPr>
        <w:t xml:space="preserve">und in keinem Ladetank eine </w:t>
      </w:r>
      <w:r w:rsidRPr="00DD2A86">
        <w:rPr>
          <w:rFonts w:eastAsia="SimSun"/>
          <w:lang w:val="de-DE" w:eastAsia="zh-CN"/>
        </w:rPr>
        <w:t xml:space="preserve"> Konzentration an giftigen Gasen und Dämpfen </w:t>
      </w:r>
      <w:r w:rsidR="00DF6A35" w:rsidRPr="00DD2A86">
        <w:rPr>
          <w:rFonts w:eastAsia="SimSun"/>
          <w:lang w:val="de-DE" w:eastAsia="zh-CN"/>
        </w:rPr>
        <w:t xml:space="preserve">feststellbar ist, welche </w:t>
      </w:r>
      <w:r w:rsidRPr="00DD2A86">
        <w:rPr>
          <w:rFonts w:eastAsia="SimSun"/>
          <w:szCs w:val="18"/>
          <w:lang w:val="de-DE" w:eastAsia="zh-CN"/>
        </w:rPr>
        <w:t xml:space="preserve">die national zulässigen Expositionsgrenzwerte überschreitet, </w:t>
      </w:r>
      <w:r w:rsidRPr="00DD2A86">
        <w:rPr>
          <w:rFonts w:eastAsia="SimSun"/>
          <w:lang w:val="de-DE" w:eastAsia="zh-CN"/>
        </w:rPr>
        <w:t xml:space="preserve">darf die Bezeichnung nach Absatz 7.2.5.0.1 </w:t>
      </w:r>
      <w:r w:rsidRPr="00DD2A86">
        <w:rPr>
          <w:szCs w:val="18"/>
          <w:lang w:val="de-DE" w:eastAsia="en-GB"/>
        </w:rPr>
        <w:t xml:space="preserve">auf Anordnung des </w:t>
      </w:r>
      <w:r w:rsidRPr="00DD2A86">
        <w:rPr>
          <w:rFonts w:eastAsia="SimSun"/>
          <w:lang w:val="de-DE" w:eastAsia="zh-CN"/>
        </w:rPr>
        <w:t>Schiffsführers weggenommen werden. Die Messergebnisse müssen schriftlich festgehalten werden.</w:t>
      </w:r>
    </w:p>
    <w:p w:rsidR="001F15E8" w:rsidRPr="00DD2A86" w:rsidRDefault="001F15E8" w:rsidP="001F15E8">
      <w:pPr>
        <w:spacing w:before="120" w:after="120"/>
        <w:ind w:left="2251" w:right="1134" w:hanging="1117"/>
        <w:jc w:val="both"/>
        <w:rPr>
          <w:rFonts w:eastAsia="SimSun"/>
          <w:szCs w:val="18"/>
          <w:lang w:val="de-DE" w:eastAsia="zh-CN"/>
        </w:rPr>
      </w:pPr>
      <w:r w:rsidRPr="00DD2A86">
        <w:rPr>
          <w:rFonts w:eastAsia="SimSun"/>
          <w:lang w:val="de-DE" w:eastAsia="zh-CN"/>
        </w:rPr>
        <w:t>7.2.3.7.1.6</w:t>
      </w:r>
      <w:r w:rsidRPr="00DD2A86">
        <w:rPr>
          <w:rFonts w:eastAsia="SimSun"/>
          <w:szCs w:val="18"/>
          <w:lang w:val="de-DE" w:eastAsia="zh-CN"/>
        </w:rPr>
        <w:tab/>
        <w:t xml:space="preserve">Vor der Durchführung von Arbeiten, die mit Gefahren gemäß Abschnitt 8.3.5 verbunden sein können, sind alle Ladetanks und die im Bereich der Ladung befindlichen Rohrleitungen </w:t>
      </w:r>
      <w:r w:rsidRPr="00DD2A86">
        <w:rPr>
          <w:szCs w:val="18"/>
          <w:lang w:val="de-DE"/>
        </w:rPr>
        <w:t>gasfrei zu machen</w:t>
      </w:r>
      <w:r w:rsidRPr="00DD2A86">
        <w:rPr>
          <w:rFonts w:eastAsia="SimSun"/>
          <w:szCs w:val="18"/>
          <w:lang w:val="de-DE" w:eastAsia="zh-CN"/>
        </w:rPr>
        <w:t>. Dies ist in einer am Tag des Beginns der Arbeiten gültigen Gasfreiheitsbescheinigung festzuhalten. Die Gasfreiheit darf nur durch eine Person festgestellt und bescheinigt werden, die hierfür von der zuständigen Behörde zugelassen ist.</w:t>
      </w:r>
    </w:p>
    <w:p w:rsidR="001F15E8" w:rsidRPr="00DD2A86" w:rsidRDefault="001F15E8" w:rsidP="001F15E8">
      <w:pPr>
        <w:spacing w:before="120" w:after="120"/>
        <w:ind w:left="2251" w:right="1134" w:hanging="1117"/>
        <w:jc w:val="both"/>
        <w:rPr>
          <w:rFonts w:eastAsia="SimSun"/>
          <w:szCs w:val="18"/>
          <w:lang w:val="de-DE" w:eastAsia="zh-CN"/>
        </w:rPr>
      </w:pPr>
      <w:r w:rsidRPr="00DD2A86">
        <w:rPr>
          <w:rFonts w:eastAsia="SimSun"/>
          <w:szCs w:val="18"/>
          <w:lang w:val="de-DE" w:eastAsia="zh-CN"/>
        </w:rPr>
        <w:t>7.2.3.7.2</w:t>
      </w:r>
      <w:r w:rsidRPr="00DD2A86">
        <w:rPr>
          <w:rFonts w:eastAsia="SimSun"/>
          <w:szCs w:val="18"/>
          <w:lang w:val="de-DE" w:eastAsia="zh-CN"/>
        </w:rPr>
        <w:tab/>
        <w:t>Entgasen von leeren oder entladenen Ladetanks und Lade- und Löschleitungen an Annahmestellen</w:t>
      </w:r>
    </w:p>
    <w:p w:rsidR="001F15E8" w:rsidRPr="00DD2A86" w:rsidRDefault="001F15E8" w:rsidP="001F15E8">
      <w:pPr>
        <w:spacing w:before="120" w:after="120"/>
        <w:ind w:left="2251" w:right="1134" w:hanging="1117"/>
        <w:jc w:val="both"/>
        <w:rPr>
          <w:rFonts w:eastAsia="SimSun"/>
          <w:szCs w:val="18"/>
          <w:lang w:val="de-DE" w:eastAsia="zh-CN"/>
        </w:rPr>
      </w:pPr>
      <w:r w:rsidRPr="00DD2A86">
        <w:rPr>
          <w:rFonts w:eastAsia="SimSun"/>
          <w:szCs w:val="18"/>
          <w:lang w:val="de-DE" w:eastAsia="zh-CN"/>
        </w:rPr>
        <w:t>7.2.3.7.2.1</w:t>
      </w:r>
      <w:r w:rsidRPr="00DD2A86">
        <w:rPr>
          <w:rFonts w:eastAsia="SimSun"/>
          <w:szCs w:val="18"/>
          <w:lang w:val="de-DE" w:eastAsia="zh-CN"/>
        </w:rPr>
        <w:tab/>
        <w:t xml:space="preserve">Leere oder entladene Ladetanks dürfen nur von einem Sachkundigen gemäß Unterabschnitt 8.2.1.2 entgast werden. Wenn es nach internationalem oder nationalem Recht vorgeschrieben ist, darf dies nur an den von der zuständigen Behörde </w:t>
      </w:r>
      <w:r w:rsidR="001B4438" w:rsidRPr="00DD2A86">
        <w:rPr>
          <w:rFonts w:eastAsia="SimSun"/>
          <w:szCs w:val="18"/>
          <w:lang w:val="de-DE" w:eastAsia="zh-CN"/>
        </w:rPr>
        <w:t xml:space="preserve">zugelassenen </w:t>
      </w:r>
      <w:r w:rsidRPr="00DD2A86">
        <w:rPr>
          <w:rFonts w:eastAsia="SimSun"/>
          <w:szCs w:val="18"/>
          <w:lang w:val="de-DE" w:eastAsia="zh-CN"/>
        </w:rPr>
        <w:t>Stellen geschehen. Das Entgasen an einer mobilen Annahmestelle während der Fahrt des Schiffes ist verboten. Das Entgasen an einer mobilen Annahmestelle, während ein anderes Schiff an derselben Stelle entgast wird, ist verboten. Das Entgasen an einer bordeigenen mobilen Annahmestelle ist verboten.</w:t>
      </w:r>
    </w:p>
    <w:p w:rsidR="001F15E8" w:rsidRPr="00DD2A86" w:rsidRDefault="001F15E8" w:rsidP="001F15E8">
      <w:pPr>
        <w:spacing w:before="120" w:after="120"/>
        <w:ind w:left="2268" w:right="1134" w:hanging="1134"/>
        <w:jc w:val="both"/>
        <w:rPr>
          <w:rFonts w:eastAsia="SimSun"/>
          <w:szCs w:val="18"/>
          <w:lang w:val="de-DE" w:eastAsia="zh-CN"/>
        </w:rPr>
      </w:pPr>
      <w:r w:rsidRPr="00DD2A86">
        <w:rPr>
          <w:rFonts w:eastAsia="SimSun"/>
          <w:szCs w:val="18"/>
          <w:lang w:val="de-DE" w:eastAsia="zh-CN"/>
        </w:rPr>
        <w:t>7.2.3.7.2.2</w:t>
      </w:r>
      <w:r w:rsidRPr="00DD2A86">
        <w:rPr>
          <w:rFonts w:eastAsia="SimSun"/>
          <w:szCs w:val="18"/>
          <w:lang w:val="de-DE" w:eastAsia="zh-CN"/>
        </w:rPr>
        <w:tab/>
        <w:t>Vor Beginn des Entgasungsvorgangs muss das zu entgasende Schiff geerdet werden. Der Schiffsführer des zu entgasenden Schiffes oder ein von ihm beauftragter Sachkundiger nach Unterabschnitt 8.2.1.2 und der Betreiber der Annahmestelle müssen eine Prüfliste gemäß Abschnitt 8.6.4 ADN ausgefüllt und unterzeichnet haben.</w:t>
      </w:r>
    </w:p>
    <w:p w:rsidR="001F15E8" w:rsidRPr="00DD2A86" w:rsidRDefault="001F15E8" w:rsidP="001F15E8">
      <w:pPr>
        <w:spacing w:before="120" w:after="120"/>
        <w:ind w:left="2251" w:right="1134" w:hanging="1117"/>
        <w:jc w:val="both"/>
        <w:rPr>
          <w:rFonts w:eastAsia="SimSun"/>
          <w:szCs w:val="18"/>
          <w:lang w:val="de-DE" w:eastAsia="zh-CN"/>
        </w:rPr>
      </w:pPr>
      <w:r w:rsidRPr="00DD2A86">
        <w:rPr>
          <w:rFonts w:eastAsia="SimSun"/>
          <w:szCs w:val="18"/>
          <w:lang w:val="de-DE" w:eastAsia="zh-CN"/>
        </w:rPr>
        <w:tab/>
        <w:t>Die Prüfliste ist mindestens in einer für den Schiffsführer oder Sachkundigen und einer für den Betreiber der Annahmestelle verständlichen Sprache zu drucken.</w:t>
      </w:r>
    </w:p>
    <w:p w:rsidR="001F15E8" w:rsidRPr="00DD2A86" w:rsidRDefault="001F15E8" w:rsidP="001F15E8">
      <w:pPr>
        <w:spacing w:before="120" w:after="120"/>
        <w:ind w:left="2251" w:right="1134" w:hanging="1117"/>
        <w:jc w:val="both"/>
        <w:rPr>
          <w:rFonts w:eastAsia="SimSun"/>
          <w:szCs w:val="18"/>
          <w:lang w:val="de-DE" w:eastAsia="zh-CN"/>
        </w:rPr>
      </w:pPr>
      <w:r w:rsidRPr="00DD2A86">
        <w:rPr>
          <w:rFonts w:eastAsia="SimSun"/>
          <w:szCs w:val="18"/>
          <w:lang w:val="de-DE" w:eastAsia="zh-CN"/>
        </w:rPr>
        <w:tab/>
        <w:t>Können nicht alle zutreffenden Fragen mit „JA“ beantwortet werden, ist das Entgasen an einer Annahmestelle nur mit Zustimmung der zuständigen Behörde gestattet.</w:t>
      </w:r>
    </w:p>
    <w:p w:rsidR="001F15E8" w:rsidRPr="00DD2A86" w:rsidRDefault="001F15E8" w:rsidP="001F15E8">
      <w:pPr>
        <w:spacing w:before="120" w:after="120"/>
        <w:ind w:left="2251" w:right="1134" w:hanging="1117"/>
        <w:jc w:val="both"/>
        <w:rPr>
          <w:rFonts w:eastAsia="SimSun"/>
          <w:szCs w:val="18"/>
          <w:lang w:val="de-DE" w:eastAsia="zh-CN"/>
        </w:rPr>
      </w:pPr>
      <w:r w:rsidRPr="00DD2A86">
        <w:rPr>
          <w:rFonts w:eastAsia="SimSun"/>
          <w:szCs w:val="18"/>
          <w:lang w:val="de-DE" w:eastAsia="zh-CN"/>
        </w:rPr>
        <w:t>7.2.3.7.2.3</w:t>
      </w:r>
      <w:r w:rsidRPr="00DD2A86">
        <w:rPr>
          <w:rFonts w:eastAsia="SimSun"/>
          <w:szCs w:val="18"/>
          <w:lang w:val="de-DE" w:eastAsia="zh-CN"/>
        </w:rPr>
        <w:tab/>
        <w:t xml:space="preserve">Das Entgasen an Annahmestellen kann durch die Lade- und Löschleitung oder die Gasabfuhrleitung erfolgen, um die Gase und Dämpfe aus den Ladetanks zu entfernen, wobei die jeweils andere Leitung dazu dient, eine Überschreitung des höchstzulässigen Über- oder Unterdrucks der Ladetanks zu verhindern. </w:t>
      </w:r>
    </w:p>
    <w:p w:rsidR="001F15E8" w:rsidRPr="00DD2A86" w:rsidRDefault="001F15E8" w:rsidP="001F15E8">
      <w:pPr>
        <w:spacing w:before="120" w:after="120"/>
        <w:ind w:left="2251" w:right="1134"/>
        <w:jc w:val="both"/>
        <w:rPr>
          <w:rFonts w:eastAsia="SimSun"/>
          <w:szCs w:val="18"/>
          <w:lang w:val="de-DE" w:eastAsia="zh-CN"/>
        </w:rPr>
      </w:pPr>
      <w:r w:rsidRPr="00DD2A86">
        <w:rPr>
          <w:rFonts w:eastAsia="SimSun"/>
          <w:szCs w:val="18"/>
          <w:lang w:val="de-DE" w:eastAsia="zh-CN"/>
        </w:rPr>
        <w:t>Die Leitungen müssen Teil eines geschlossenen Systems sein oder, wenn sie dazu dienen, eine Überschreitung des höchstzulässigen Unterdrucks in den Ladetanks zu verhindern, mit einem fest eingebauten oder beweglichen, federbelasteten Niederdruckventil, mit Flammendurch</w:t>
      </w:r>
      <w:r w:rsidRPr="00DD2A86">
        <w:rPr>
          <w:rFonts w:eastAsia="SimSun"/>
          <w:szCs w:val="18"/>
          <w:lang w:val="de-DE" w:eastAsia="zh-CN"/>
        </w:rPr>
        <w:softHyphen/>
        <w:t>schlagsicherung (Explosionsgruppe / -untergruppe nach Unterabschnitt 3.2.3.2 Tabelle C, Spalte (16)) versehen sein, falls Explosionsschutz erforderlich ist (Unterabschnitt 3.2.3.2 Tabelle C, Spalte (17)). Das Niederdruckventil muss so eingebaut sein, dass das Unterdruckventil unter normalen Betriebsbedingungen nicht betätigt wird. Ein fest eingebautes Ventil oder die Öffnung, an die ein bewegliches Ventil angeschlossen ist, muss mit einem Blindflansch geschlossen bleiben, wenn das Schiff nicht an einer Annahmestelle entgast wird.</w:t>
      </w:r>
    </w:p>
    <w:p w:rsidR="001F15E8" w:rsidRPr="00DD2A86" w:rsidRDefault="001F15E8" w:rsidP="001F15E8">
      <w:pPr>
        <w:spacing w:before="120" w:after="120"/>
        <w:ind w:left="2251" w:right="1134"/>
        <w:jc w:val="both"/>
        <w:rPr>
          <w:rFonts w:eastAsia="SimSun"/>
          <w:szCs w:val="18"/>
          <w:lang w:val="de-DE" w:eastAsia="zh-CN"/>
        </w:rPr>
      </w:pPr>
      <w:r w:rsidRPr="00DD2A86">
        <w:rPr>
          <w:rFonts w:eastAsia="SimSun"/>
          <w:szCs w:val="18"/>
          <w:lang w:val="de-DE" w:eastAsia="zh-CN"/>
        </w:rPr>
        <w:t>Alle zwischen dem zu entgasenden Schiff und der Annahmestelle angeschlossenen Leitungen müssen mit einer geeigneten Flammendurch</w:t>
      </w:r>
      <w:r w:rsidRPr="00DD2A86">
        <w:rPr>
          <w:rFonts w:eastAsia="SimSun"/>
          <w:szCs w:val="18"/>
          <w:lang w:val="de-DE" w:eastAsia="zh-CN"/>
        </w:rPr>
        <w:softHyphen/>
        <w:t>schlagsicherung versehen sein, falls Explosionsschutz erforderlich ist (Unterabschnitt 3.2.3.2 Tabelle C, Spalte (17)).</w:t>
      </w:r>
      <w:r w:rsidRPr="00DD2A86">
        <w:rPr>
          <w:lang w:val="de-DE"/>
        </w:rPr>
        <w:t xml:space="preserve"> </w:t>
      </w:r>
      <w:r w:rsidRPr="00DD2A86">
        <w:rPr>
          <w:rFonts w:eastAsia="SimSun"/>
          <w:szCs w:val="18"/>
          <w:lang w:val="de-DE" w:eastAsia="zh-CN"/>
        </w:rPr>
        <w:t>Die Anforderungen für die Leitungen an Bord sind: Explosionsgruppe / -untergruppe nach Unterabschnitt 3.2.3.2 Tabelle C, Spalte (16).</w:t>
      </w:r>
    </w:p>
    <w:p w:rsidR="001F15E8" w:rsidRPr="00DD2A86" w:rsidRDefault="001F15E8" w:rsidP="001F15E8">
      <w:pPr>
        <w:spacing w:before="120" w:after="120"/>
        <w:ind w:left="2251" w:right="1134" w:hanging="1117"/>
        <w:jc w:val="both"/>
        <w:rPr>
          <w:rFonts w:eastAsia="SimSun"/>
          <w:szCs w:val="18"/>
          <w:lang w:val="de-DE" w:eastAsia="zh-CN"/>
        </w:rPr>
      </w:pPr>
      <w:r w:rsidRPr="00DD2A86">
        <w:rPr>
          <w:rFonts w:eastAsia="SimSun"/>
          <w:szCs w:val="18"/>
          <w:lang w:val="de-DE" w:eastAsia="zh-CN"/>
        </w:rPr>
        <w:t>7.2.3.7.2.4</w:t>
      </w:r>
      <w:r w:rsidRPr="00DD2A86">
        <w:rPr>
          <w:rFonts w:eastAsia="SimSun"/>
          <w:szCs w:val="18"/>
          <w:lang w:val="de-DE" w:eastAsia="zh-CN"/>
        </w:rPr>
        <w:tab/>
        <w:t>Der Entgasungsvorgang muss durch Schalter, die an zwei Stellen auf dem Schiff (vorn und hinten) und an zwei Stellen an der Annahmestelle (direkt am Zugang zum Schiff und an der Stelle, von der aus die Annahmestelle betrieben wird) unterbrochen werden können. Die Unterbrechung des Entgasungsvorgangs muss durch ein Schnellschluss</w:t>
      </w:r>
      <w:r w:rsidRPr="00DD2A86">
        <w:rPr>
          <w:rFonts w:eastAsia="SimSun"/>
          <w:szCs w:val="18"/>
          <w:lang w:val="de-DE" w:eastAsia="zh-CN"/>
        </w:rPr>
        <w:softHyphen/>
        <w:t>ventil erfolgen, das sich direkt in der Verbindungsleitung zwischen dem zu entgasenden Schiff und der Annahmestelle befindet. Das Unterbrechungssystem muss im Ruhestromprinzip arbeiten und kann in die Notabschalteinrichtung der in Absatz 9.3.1.21.5, 9.3.2.21.5 und 9.3.3.21.5 vorgeschriebenen Ladepumpen und Überfüllsicherungen integriert werden.</w:t>
      </w:r>
    </w:p>
    <w:p w:rsidR="001F15E8" w:rsidRPr="00DD2A86" w:rsidRDefault="001F15E8" w:rsidP="001F15E8">
      <w:pPr>
        <w:spacing w:before="120" w:after="120"/>
        <w:ind w:left="2251" w:right="1134" w:hanging="1117"/>
        <w:jc w:val="both"/>
        <w:rPr>
          <w:rFonts w:eastAsia="SimSun"/>
          <w:szCs w:val="18"/>
          <w:lang w:val="de-DE" w:eastAsia="zh-CN"/>
        </w:rPr>
      </w:pPr>
      <w:r w:rsidRPr="00DD2A86">
        <w:rPr>
          <w:rFonts w:eastAsia="SimSun"/>
          <w:szCs w:val="18"/>
          <w:lang w:val="de-DE" w:eastAsia="zh-CN"/>
        </w:rPr>
        <w:tab/>
        <w:t>Während eines Gewitters muss der Entgasungsvorgang unterbrochen werden.</w:t>
      </w:r>
    </w:p>
    <w:p w:rsidR="001F15E8" w:rsidRPr="00DD2A86" w:rsidRDefault="001F15E8" w:rsidP="001F15E8">
      <w:pPr>
        <w:spacing w:before="120" w:after="120"/>
        <w:ind w:left="2251" w:right="1134" w:hanging="1117"/>
        <w:jc w:val="both"/>
        <w:rPr>
          <w:rFonts w:eastAsia="SimSun"/>
          <w:szCs w:val="18"/>
          <w:lang w:val="de-DE" w:eastAsia="zh-CN"/>
        </w:rPr>
      </w:pPr>
      <w:r w:rsidRPr="00DD2A86">
        <w:rPr>
          <w:rFonts w:eastAsia="SimSun"/>
          <w:szCs w:val="18"/>
          <w:lang w:val="de-DE" w:eastAsia="zh-CN"/>
        </w:rPr>
        <w:t>7.2.3.7.2.5</w:t>
      </w:r>
      <w:r w:rsidRPr="00DD2A86">
        <w:rPr>
          <w:rFonts w:eastAsia="SimSun"/>
          <w:szCs w:val="18"/>
          <w:lang w:val="de-DE" w:eastAsia="zh-CN"/>
        </w:rPr>
        <w:tab/>
        <w:t xml:space="preserve">Wenn nach dem Entgasen der Ladetanks mit Hilfe der in Unterabschnitt 3.2.3.2 Tabelle C Spalte (18) genannten Geräte festgestellt wird, dass in keinem </w:t>
      </w:r>
      <w:r w:rsidR="008F34A5" w:rsidRPr="00DD2A86">
        <w:rPr>
          <w:rFonts w:eastAsia="SimSun"/>
          <w:szCs w:val="18"/>
          <w:lang w:val="de-DE" w:eastAsia="zh-CN"/>
        </w:rPr>
        <w:t xml:space="preserve">der </w:t>
      </w:r>
      <w:r w:rsidRPr="00DD2A86">
        <w:rPr>
          <w:rFonts w:eastAsia="SimSun"/>
          <w:szCs w:val="18"/>
          <w:lang w:val="de-DE" w:eastAsia="zh-CN"/>
        </w:rPr>
        <w:t>Ladetank</w:t>
      </w:r>
      <w:r w:rsidR="008F34A5" w:rsidRPr="00DD2A86">
        <w:rPr>
          <w:rFonts w:eastAsia="SimSun"/>
          <w:szCs w:val="18"/>
          <w:lang w:val="de-DE" w:eastAsia="zh-CN"/>
        </w:rPr>
        <w:t>s</w:t>
      </w:r>
      <w:r w:rsidRPr="00DD2A86">
        <w:rPr>
          <w:rFonts w:eastAsia="SimSun"/>
          <w:szCs w:val="18"/>
          <w:lang w:val="de-DE" w:eastAsia="zh-CN"/>
        </w:rPr>
        <w:t xml:space="preserve"> die Konzentration an entzündbaren Gasen und Dämpfen über 20 % der UEG liegt </w:t>
      </w:r>
      <w:r w:rsidR="008F34A5" w:rsidRPr="00DD2A86">
        <w:rPr>
          <w:rFonts w:eastAsia="SimSun"/>
          <w:szCs w:val="18"/>
          <w:lang w:val="de-DE" w:eastAsia="zh-CN"/>
        </w:rPr>
        <w:t xml:space="preserve"> und in keinem Ladetank eine</w:t>
      </w:r>
      <w:r w:rsidRPr="00DD2A86">
        <w:rPr>
          <w:rFonts w:eastAsia="SimSun"/>
          <w:szCs w:val="18"/>
          <w:lang w:val="de-DE" w:eastAsia="zh-CN"/>
        </w:rPr>
        <w:t xml:space="preserve">  Konzentration an giftigen Gasen und Dämpfen </w:t>
      </w:r>
      <w:r w:rsidR="008F34A5" w:rsidRPr="00DD2A86">
        <w:rPr>
          <w:rFonts w:eastAsia="SimSun"/>
          <w:szCs w:val="18"/>
          <w:lang w:val="de-DE" w:eastAsia="zh-CN"/>
        </w:rPr>
        <w:t xml:space="preserve">feststellbar ist, welche </w:t>
      </w:r>
      <w:r w:rsidRPr="00DD2A86">
        <w:rPr>
          <w:rFonts w:eastAsia="SimSun"/>
          <w:szCs w:val="18"/>
          <w:lang w:val="de-DE" w:eastAsia="zh-CN"/>
        </w:rPr>
        <w:t>die national zulässigen Expositionsgrenzwerte überschreitet, darf die Bezeichnung nach Unterabschnitt 3.2.3.2 Tabelle C Spalte (19) auf Anordnung des Schiffsführers weggenommen werden. Die Messergebnisse müssen schriftlich festgehalten werden.</w:t>
      </w:r>
    </w:p>
    <w:p w:rsidR="001F15E8" w:rsidRPr="00DD2A86" w:rsidRDefault="001F15E8" w:rsidP="001F15E8">
      <w:pPr>
        <w:spacing w:before="120" w:after="120"/>
        <w:ind w:left="2251" w:right="1134" w:hanging="1117"/>
        <w:jc w:val="both"/>
        <w:rPr>
          <w:rFonts w:eastAsia="SimSun"/>
          <w:szCs w:val="18"/>
          <w:lang w:val="de-DE" w:eastAsia="zh-CN"/>
        </w:rPr>
      </w:pPr>
      <w:r w:rsidRPr="00DD2A86">
        <w:rPr>
          <w:rFonts w:eastAsia="SimSun"/>
          <w:szCs w:val="18"/>
          <w:lang w:val="de-DE" w:eastAsia="zh-CN"/>
        </w:rPr>
        <w:t>7.2.3.7.2.6</w:t>
      </w:r>
      <w:r w:rsidRPr="00DD2A86">
        <w:rPr>
          <w:rFonts w:eastAsia="SimSun"/>
          <w:szCs w:val="18"/>
          <w:lang w:val="de-DE" w:eastAsia="zh-CN"/>
        </w:rPr>
        <w:tab/>
        <w:t>Vor der Durchführung von Arbeiten, die mit Gefahren gemäß Abschnitt 8.3.5 verbunden sein können, sind alle Ladetanks und die im Bereich der Ladung befindlichen Rohrleitungen gasfrei zu machen. Dies ist in einer am Tag des Beginns der Arbeiten gültigen Gasfreiheitsbescheinigung festzuhalten. Die Gasfreiheit darf nur durch Personen festgestellt und bescheinigt werden, die hierfür von der zuständigen Behörde zugelassen sind.“.</w:t>
      </w:r>
    </w:p>
    <w:p w:rsidR="001F15E8" w:rsidRPr="00DD2A86" w:rsidRDefault="001F15E8" w:rsidP="001F15E8">
      <w:pPr>
        <w:kinsoku w:val="0"/>
        <w:overflowPunct w:val="0"/>
        <w:autoSpaceDE w:val="0"/>
        <w:autoSpaceDN w:val="0"/>
        <w:adjustRightInd w:val="0"/>
        <w:snapToGrid w:val="0"/>
        <w:spacing w:before="120" w:after="120"/>
        <w:ind w:left="1134" w:right="1134"/>
        <w:jc w:val="both"/>
        <w:rPr>
          <w:rFonts w:eastAsiaTheme="minorHAnsi"/>
          <w:i/>
          <w:lang w:val="de-DE"/>
        </w:rPr>
      </w:pPr>
      <w:r w:rsidRPr="00DD2A86">
        <w:rPr>
          <w:rFonts w:eastAsiaTheme="minorHAnsi"/>
          <w:szCs w:val="18"/>
          <w:lang w:val="de-DE"/>
        </w:rPr>
        <w:t>7.2.3.12.2</w:t>
      </w:r>
      <w:r w:rsidRPr="00DD2A86">
        <w:rPr>
          <w:rFonts w:eastAsiaTheme="minorHAnsi"/>
          <w:szCs w:val="18"/>
          <w:lang w:val="de-DE"/>
        </w:rPr>
        <w:tab/>
      </w:r>
      <w:r w:rsidRPr="00DD2A86">
        <w:rPr>
          <w:rFonts w:eastAsiaTheme="minorHAnsi"/>
          <w:lang w:val="de-DE"/>
        </w:rPr>
        <w:t>[Die Änderung in der englischen Fassung hat keine Auswirkungen auf den deutschen Text.]</w:t>
      </w:r>
    </w:p>
    <w:p w:rsidR="001F15E8" w:rsidRPr="00DD2A86" w:rsidRDefault="001F15E8" w:rsidP="00EB6056">
      <w:pPr>
        <w:tabs>
          <w:tab w:val="left" w:pos="2268"/>
        </w:tabs>
        <w:kinsoku w:val="0"/>
        <w:overflowPunct w:val="0"/>
        <w:autoSpaceDE w:val="0"/>
        <w:autoSpaceDN w:val="0"/>
        <w:adjustRightInd w:val="0"/>
        <w:snapToGrid w:val="0"/>
        <w:spacing w:before="120" w:after="120"/>
        <w:ind w:left="1134" w:right="1134"/>
        <w:jc w:val="both"/>
        <w:rPr>
          <w:rFonts w:eastAsiaTheme="minorHAnsi"/>
          <w:i/>
          <w:lang w:val="de-DE"/>
        </w:rPr>
      </w:pPr>
      <w:r w:rsidRPr="00DD2A86">
        <w:rPr>
          <w:rFonts w:eastAsiaTheme="minorHAnsi"/>
          <w:lang w:val="de-DE"/>
        </w:rPr>
        <w:t>7.2.3</w:t>
      </w:r>
      <w:r w:rsidRPr="00DD2A86">
        <w:rPr>
          <w:rFonts w:eastAsiaTheme="minorHAnsi"/>
          <w:lang w:val="de-DE"/>
        </w:rPr>
        <w:tab/>
        <w:t>Einen neuen Unterabschnitt 7.2.3.16 mit folgendem Wortlaut einfügen:</w:t>
      </w:r>
    </w:p>
    <w:p w:rsidR="001F15E8" w:rsidRPr="00DD2A86" w:rsidRDefault="001F15E8" w:rsidP="00EB6056">
      <w:pPr>
        <w:spacing w:before="120" w:after="120"/>
        <w:ind w:left="2268" w:right="1134"/>
        <w:jc w:val="both"/>
        <w:rPr>
          <w:rFonts w:eastAsia="SimSun"/>
          <w:lang w:val="de-DE" w:eastAsia="zh-CN"/>
        </w:rPr>
      </w:pPr>
      <w:r w:rsidRPr="00DD2A86">
        <w:rPr>
          <w:rFonts w:eastAsia="SimSun"/>
          <w:lang w:val="de-DE" w:eastAsia="zh-CN"/>
        </w:rPr>
        <w:t>„</w:t>
      </w:r>
      <w:r w:rsidRPr="00DD2A86">
        <w:rPr>
          <w:rFonts w:eastAsiaTheme="minorHAnsi"/>
          <w:lang w:val="de-DE"/>
        </w:rPr>
        <w:t>7.2.3.16</w:t>
      </w:r>
      <w:r w:rsidRPr="00DD2A86">
        <w:rPr>
          <w:rFonts w:eastAsiaTheme="minorHAnsi"/>
          <w:lang w:val="de-DE"/>
        </w:rPr>
        <w:tab/>
      </w:r>
      <w:r w:rsidRPr="00DD2A86">
        <w:rPr>
          <w:rFonts w:eastAsia="SimSun"/>
          <w:lang w:val="de-DE" w:eastAsia="zh-CN"/>
        </w:rPr>
        <w:t>Alle Messungen an Bord müssen von einem Sachkundigen gemäß Unterabschnitt 8.2.1.2 durchgeführt werden, sofern in der dem ADN beigefügten Verordnung nichts anderes vorgeschrieben ist. Die Messergebnisse müssen in dem Prüfbuch gemäß Unterabschnitt 8.1.2.1 Buchstabe g) schriftlich festgehalten werden.“.</w:t>
      </w:r>
    </w:p>
    <w:p w:rsidR="001F15E8" w:rsidRPr="00DD2A86" w:rsidRDefault="001F15E8" w:rsidP="0050494E">
      <w:pPr>
        <w:kinsoku w:val="0"/>
        <w:overflowPunct w:val="0"/>
        <w:autoSpaceDE w:val="0"/>
        <w:autoSpaceDN w:val="0"/>
        <w:adjustRightInd w:val="0"/>
        <w:snapToGrid w:val="0"/>
        <w:spacing w:before="120" w:after="120"/>
        <w:ind w:left="1134" w:right="1134"/>
        <w:jc w:val="both"/>
        <w:rPr>
          <w:rFonts w:eastAsiaTheme="minorHAnsi"/>
          <w:lang w:val="de-DE"/>
        </w:rPr>
      </w:pPr>
      <w:r w:rsidRPr="00DD2A86">
        <w:rPr>
          <w:rFonts w:eastAsiaTheme="minorHAnsi"/>
          <w:lang w:val="de-DE"/>
        </w:rPr>
        <w:t>7.2.3</w:t>
      </w:r>
      <w:r w:rsidRPr="00DD2A86">
        <w:rPr>
          <w:rFonts w:eastAsiaTheme="minorHAnsi"/>
          <w:lang w:val="de-DE"/>
        </w:rPr>
        <w:tab/>
        <w:t>„7.2.3.16 - 7.2.3.19 (bleibt offen)“ ändern in: „7.2.3.17 - 7.2.3.19 (bleibt offen)“.</w:t>
      </w:r>
    </w:p>
    <w:p w:rsidR="0007773C" w:rsidRPr="00DD2A86" w:rsidRDefault="0007773C" w:rsidP="0050494E">
      <w:pPr>
        <w:tabs>
          <w:tab w:val="left" w:pos="2268"/>
        </w:tabs>
        <w:suppressAutoHyphens w:val="0"/>
        <w:ind w:left="1134" w:right="1134"/>
        <w:rPr>
          <w:rFonts w:eastAsia="Calibri"/>
          <w:lang w:val="de-DE"/>
        </w:rPr>
      </w:pPr>
      <w:r w:rsidRPr="00DD2A86">
        <w:rPr>
          <w:rFonts w:eastAsia="Calibri"/>
          <w:lang w:val="de-DE"/>
        </w:rPr>
        <w:t>7.2.3.29.1</w:t>
      </w:r>
      <w:r w:rsidRPr="00DD2A86">
        <w:rPr>
          <w:rFonts w:eastAsia="Calibri"/>
          <w:b/>
          <w:lang w:val="de-DE"/>
        </w:rPr>
        <w:tab/>
      </w:r>
      <w:r w:rsidRPr="00DD2A86">
        <w:rPr>
          <w:rFonts w:eastAsia="Calibri"/>
          <w:lang w:val="de-DE"/>
        </w:rPr>
        <w:t>Im zweiten Satz „Wohnung“ ändern in: „Wohnungen“.</w:t>
      </w:r>
    </w:p>
    <w:p w:rsidR="0007773C" w:rsidRPr="00DD2A86" w:rsidRDefault="0007773C" w:rsidP="00D34B0A">
      <w:pPr>
        <w:tabs>
          <w:tab w:val="left" w:pos="2268"/>
        </w:tabs>
        <w:suppressAutoHyphens w:val="0"/>
        <w:spacing w:before="120"/>
        <w:ind w:left="1134" w:right="1134"/>
        <w:rPr>
          <w:rFonts w:eastAsia="Calibri"/>
          <w:lang w:val="de-DE"/>
        </w:rPr>
      </w:pPr>
      <w:r w:rsidRPr="00DD2A86">
        <w:rPr>
          <w:rFonts w:eastAsia="Calibri"/>
          <w:lang w:val="de-DE"/>
        </w:rPr>
        <w:t>7.2.3.29.1</w:t>
      </w:r>
      <w:r w:rsidRPr="00DD2A86">
        <w:rPr>
          <w:rFonts w:eastAsia="Calibri"/>
          <w:b/>
          <w:lang w:val="de-DE"/>
        </w:rPr>
        <w:tab/>
      </w:r>
      <w:r w:rsidRPr="00DD2A86">
        <w:rPr>
          <w:rFonts w:eastAsia="Calibri"/>
          <w:lang w:val="de-DE"/>
        </w:rPr>
        <w:t>Am Ende hinzufügen:</w:t>
      </w:r>
    </w:p>
    <w:p w:rsidR="0007773C" w:rsidRPr="00DD2A86" w:rsidRDefault="0007773C" w:rsidP="0050494E">
      <w:pPr>
        <w:tabs>
          <w:tab w:val="left" w:pos="2268"/>
        </w:tabs>
        <w:suppressAutoHyphens w:val="0"/>
        <w:spacing w:before="120" w:line="240" w:lineRule="auto"/>
        <w:ind w:left="2268" w:right="1134"/>
        <w:jc w:val="both"/>
        <w:rPr>
          <w:rFonts w:eastAsia="Calibri"/>
          <w:lang w:val="de-DE"/>
        </w:rPr>
      </w:pPr>
      <w:r w:rsidRPr="00DD2A86">
        <w:rPr>
          <w:rFonts w:eastAsia="Calibri"/>
          <w:lang w:val="de-DE"/>
        </w:rPr>
        <w:t>“Wenn die Schiffsstoffliste nach Absatz 1.16.1.2.5 Stoffe enthält, für die nach Unterabschnitt 3.2.3.2 Tabelle C, Spalte (17) Explosionsschutz gefordert ist, dürfen</w:t>
      </w:r>
    </w:p>
    <w:p w:rsidR="0007773C" w:rsidRPr="00DD2A86" w:rsidRDefault="0007773C" w:rsidP="0050494E">
      <w:pPr>
        <w:suppressAutoHyphens w:val="0"/>
        <w:spacing w:line="240" w:lineRule="auto"/>
        <w:ind w:left="2552" w:right="1134" w:hanging="284"/>
        <w:jc w:val="both"/>
        <w:rPr>
          <w:rFonts w:eastAsia="Calibri"/>
          <w:lang w:val="de-DE"/>
        </w:rPr>
      </w:pPr>
      <w:r w:rsidRPr="00DD2A86">
        <w:rPr>
          <w:rFonts w:eastAsia="Calibri"/>
          <w:lang w:val="de-DE"/>
        </w:rPr>
        <w:t>-</w:t>
      </w:r>
      <w:r w:rsidRPr="00DD2A86">
        <w:rPr>
          <w:rFonts w:eastAsia="Calibri"/>
          <w:lang w:val="de-DE"/>
        </w:rPr>
        <w:tab/>
        <w:t>benzinbetriebene Außenbordmotore und deren Kraftstoffbehälter nur außerhalb des Bereichs der Ladung mitgeführt werden</w:t>
      </w:r>
    </w:p>
    <w:p w:rsidR="0007773C" w:rsidRPr="00DD2A86" w:rsidRDefault="0007773C" w:rsidP="0050494E">
      <w:pPr>
        <w:tabs>
          <w:tab w:val="left" w:pos="2268"/>
        </w:tabs>
        <w:suppressAutoHyphens w:val="0"/>
        <w:spacing w:line="240" w:lineRule="auto"/>
        <w:ind w:left="2268" w:right="1134"/>
        <w:jc w:val="both"/>
        <w:rPr>
          <w:rFonts w:eastAsia="Calibri"/>
          <w:lang w:val="de-DE"/>
        </w:rPr>
      </w:pPr>
      <w:r w:rsidRPr="00DD2A86">
        <w:rPr>
          <w:rFonts w:eastAsia="Calibri"/>
          <w:lang w:val="de-DE"/>
        </w:rPr>
        <w:t>und</w:t>
      </w:r>
    </w:p>
    <w:p w:rsidR="0007773C" w:rsidRPr="00DD2A86" w:rsidRDefault="0007773C" w:rsidP="0050494E">
      <w:pPr>
        <w:suppressAutoHyphens w:val="0"/>
        <w:spacing w:line="240" w:lineRule="auto"/>
        <w:ind w:left="2552" w:right="1134" w:hanging="284"/>
        <w:jc w:val="both"/>
        <w:rPr>
          <w:rFonts w:eastAsia="Calibri"/>
          <w:lang w:val="de-DE"/>
        </w:rPr>
      </w:pPr>
      <w:r w:rsidRPr="00DD2A86">
        <w:rPr>
          <w:rFonts w:eastAsia="Calibri"/>
          <w:lang w:val="de-DE"/>
        </w:rPr>
        <w:t>-</w:t>
      </w:r>
      <w:r w:rsidRPr="00DD2A86">
        <w:rPr>
          <w:rFonts w:eastAsia="Calibri"/>
          <w:lang w:val="de-DE"/>
        </w:rPr>
        <w:tab/>
        <w:t>mechanische Aufblasvorrichtungen, Außenbordmotore und deren elektrische Einrichtungen nur außerhalb des Bereichs der Ladung in Betrieb genommen werden.“.</w:t>
      </w:r>
    </w:p>
    <w:p w:rsidR="00C13CC0" w:rsidRPr="00DD2A86" w:rsidRDefault="00C13CC0" w:rsidP="00D34B0A">
      <w:pPr>
        <w:tabs>
          <w:tab w:val="left" w:pos="2268"/>
        </w:tabs>
        <w:spacing w:before="120" w:after="120"/>
        <w:ind w:left="1134" w:right="1134"/>
        <w:jc w:val="both"/>
        <w:rPr>
          <w:lang w:val="de-DE"/>
        </w:rPr>
      </w:pPr>
      <w:r w:rsidRPr="00DD2A86">
        <w:rPr>
          <w:lang w:val="de-DE"/>
        </w:rPr>
        <w:t>7.2.3.31.1</w:t>
      </w:r>
      <w:r w:rsidRPr="00DD2A86">
        <w:rPr>
          <w:lang w:val="de-DE"/>
        </w:rPr>
        <w:tab/>
        <w:t>Erhält folgenden Wortlaut:</w:t>
      </w:r>
    </w:p>
    <w:p w:rsidR="00C13CC0" w:rsidRPr="00DD2A86" w:rsidRDefault="00C13CC0" w:rsidP="00EB6056">
      <w:pPr>
        <w:spacing w:after="120"/>
        <w:ind w:left="2268" w:right="1134"/>
        <w:jc w:val="both"/>
        <w:rPr>
          <w:rFonts w:eastAsia="SimSun"/>
          <w:lang w:val="de-DE" w:eastAsia="zh-CN"/>
        </w:rPr>
      </w:pPr>
      <w:r w:rsidRPr="00DD2A86">
        <w:rPr>
          <w:rFonts w:eastAsia="SimSun"/>
          <w:lang w:val="de-DE" w:eastAsia="zh-CN"/>
        </w:rPr>
        <w:t>„</w:t>
      </w:r>
      <w:r w:rsidR="004103DB" w:rsidRPr="00DD2A86">
        <w:rPr>
          <w:rFonts w:eastAsia="SimSun"/>
          <w:lang w:val="de-DE" w:eastAsia="zh-CN"/>
        </w:rPr>
        <w:t>7.2.3.31.1</w:t>
      </w:r>
      <w:r w:rsidR="004103DB" w:rsidRPr="00DD2A86">
        <w:rPr>
          <w:rFonts w:eastAsia="SimSun"/>
          <w:lang w:val="de-DE" w:eastAsia="zh-CN"/>
        </w:rPr>
        <w:tab/>
      </w:r>
      <w:r w:rsidRPr="00DD2A86">
        <w:rPr>
          <w:rFonts w:eastAsia="SimSun"/>
          <w:lang w:val="de-DE" w:eastAsia="zh-CN"/>
        </w:rPr>
        <w:t>Es ist verboten, Motoren zu verwenden, die mit Kraftstoff mit einem Flammpunkt von 55 °C oder darunter betrieben werden (z. B. Benzinmotoren). Diese Vorschrift gilt nicht für</w:t>
      </w:r>
    </w:p>
    <w:p w:rsidR="00C13CC0" w:rsidRPr="00DD2A86" w:rsidRDefault="00C13CC0" w:rsidP="00EB6056">
      <w:pPr>
        <w:spacing w:after="120"/>
        <w:ind w:left="2552" w:right="1134" w:hanging="284"/>
        <w:jc w:val="both"/>
        <w:rPr>
          <w:rFonts w:eastAsia="SimSun"/>
          <w:lang w:val="de-DE" w:eastAsia="zh-CN"/>
        </w:rPr>
      </w:pPr>
      <w:r w:rsidRPr="00DD2A86">
        <w:rPr>
          <w:rFonts w:eastAsia="SimSun"/>
          <w:lang w:val="de-DE" w:eastAsia="zh-CN"/>
        </w:rPr>
        <w:t>-</w:t>
      </w:r>
      <w:r w:rsidR="00EB6056" w:rsidRPr="00DD2A86">
        <w:rPr>
          <w:rFonts w:eastAsia="SimSun"/>
          <w:lang w:val="de-DE" w:eastAsia="zh-CN"/>
        </w:rPr>
        <w:tab/>
      </w:r>
      <w:r w:rsidRPr="00DD2A86">
        <w:rPr>
          <w:rFonts w:eastAsia="SimSun"/>
          <w:lang w:val="de-DE" w:eastAsia="zh-CN"/>
        </w:rPr>
        <w:t>benzinbetriebene Außenbordmotoren von Beibooten;</w:t>
      </w:r>
    </w:p>
    <w:p w:rsidR="00C13CC0" w:rsidRPr="00DD2A86" w:rsidRDefault="00C13CC0" w:rsidP="00EB6056">
      <w:pPr>
        <w:spacing w:after="120"/>
        <w:ind w:left="2552" w:right="1134" w:hanging="284"/>
        <w:jc w:val="both"/>
        <w:rPr>
          <w:rFonts w:eastAsia="SimSun"/>
          <w:lang w:val="de-DE" w:eastAsia="zh-CN"/>
        </w:rPr>
      </w:pPr>
      <w:r w:rsidRPr="00DD2A86">
        <w:rPr>
          <w:rFonts w:eastAsia="SimSun"/>
          <w:lang w:val="de-DE" w:eastAsia="zh-CN"/>
        </w:rPr>
        <w:t>-</w:t>
      </w:r>
      <w:r w:rsidR="00EB6056" w:rsidRPr="00DD2A86">
        <w:rPr>
          <w:rFonts w:eastAsia="SimSun"/>
          <w:lang w:val="de-DE" w:eastAsia="zh-CN"/>
        </w:rPr>
        <w:tab/>
      </w:r>
      <w:r w:rsidRPr="00DD2A86">
        <w:rPr>
          <w:rFonts w:eastAsia="SimSun"/>
          <w:lang w:val="de-DE" w:eastAsia="zh-CN"/>
        </w:rPr>
        <w:t>Antriebs- und Hilfssysteme, die den Anforderungen des Kapitels 30 und der Anlage 8 Abschnitt 1 des Europäischen Standards der technischen Vorschriften für Binnenschiffe (ES-TRIN) in der jeweils geltenden Fassung entsprechen.</w:t>
      </w:r>
      <w:r w:rsidRPr="00DD2A86">
        <w:rPr>
          <w:rFonts w:eastAsia="SimSun"/>
          <w:vertAlign w:val="superscript"/>
          <w:lang w:val="de-DE" w:eastAsia="zh-CN"/>
        </w:rPr>
        <w:t xml:space="preserve"> </w:t>
      </w:r>
      <w:r w:rsidRPr="00DD2A86">
        <w:rPr>
          <w:sz w:val="18"/>
          <w:vertAlign w:val="superscript"/>
          <w:lang w:val="de-DE"/>
        </w:rPr>
        <w:footnoteReference w:customMarkFollows="1" w:id="57"/>
        <w:t>*</w:t>
      </w:r>
      <w:r w:rsidRPr="00DD2A86">
        <w:rPr>
          <w:rFonts w:eastAsia="SimSun"/>
          <w:lang w:val="de-DE" w:eastAsia="zh-CN"/>
        </w:rPr>
        <w:t>“.</w:t>
      </w:r>
    </w:p>
    <w:p w:rsidR="00051B1F" w:rsidRPr="00DD2A86" w:rsidRDefault="00051B1F" w:rsidP="00B61A90">
      <w:pPr>
        <w:suppressAutoHyphens w:val="0"/>
        <w:spacing w:before="240" w:line="240" w:lineRule="auto"/>
        <w:ind w:left="1134" w:right="567"/>
        <w:jc w:val="both"/>
        <w:rPr>
          <w:bCs/>
          <w:lang w:val="de-DE" w:eastAsia="de-DE"/>
        </w:rPr>
      </w:pPr>
      <w:r w:rsidRPr="00DD2A86">
        <w:rPr>
          <w:bCs/>
          <w:lang w:val="de-DE" w:eastAsia="de-DE"/>
        </w:rPr>
        <w:t>7.2.3.41</w:t>
      </w:r>
      <w:r w:rsidRPr="00DD2A86">
        <w:rPr>
          <w:bCs/>
          <w:lang w:val="de-DE" w:eastAsia="de-DE"/>
        </w:rPr>
        <w:tab/>
        <w:t xml:space="preserve">Der Titel </w:t>
      </w:r>
      <w:r w:rsidR="000E7205" w:rsidRPr="00DD2A86">
        <w:rPr>
          <w:bCs/>
          <w:lang w:val="de-DE" w:eastAsia="de-DE"/>
        </w:rPr>
        <w:t>erhält folgenden Wortlaut</w:t>
      </w:r>
      <w:r w:rsidRPr="00DD2A86">
        <w:rPr>
          <w:bCs/>
          <w:lang w:val="de-DE" w:eastAsia="de-DE"/>
        </w:rPr>
        <w:t>: „Rauchen, Feuer und offenes Licht“.</w:t>
      </w:r>
    </w:p>
    <w:p w:rsidR="00051B1F" w:rsidRPr="00DD2A86" w:rsidRDefault="00D63E3C" w:rsidP="00B61A90">
      <w:pPr>
        <w:tabs>
          <w:tab w:val="left" w:pos="2268"/>
        </w:tabs>
        <w:autoSpaceDE w:val="0"/>
        <w:adjustRightInd w:val="0"/>
        <w:spacing w:before="240" w:line="240" w:lineRule="auto"/>
        <w:ind w:left="2268" w:right="567" w:hanging="1134"/>
        <w:jc w:val="both"/>
        <w:rPr>
          <w:bCs/>
          <w:lang w:val="de-DE" w:eastAsia="de-DE"/>
        </w:rPr>
      </w:pPr>
      <w:r w:rsidRPr="00DD2A86">
        <w:rPr>
          <w:bCs/>
          <w:lang w:val="de-DE" w:eastAsia="de-DE"/>
        </w:rPr>
        <w:t>7.2.3.41.1</w:t>
      </w:r>
      <w:r w:rsidRPr="00DD2A86">
        <w:rPr>
          <w:bCs/>
          <w:lang w:val="de-DE" w:eastAsia="de-DE"/>
        </w:rPr>
        <w:tab/>
        <w:t>Erhält folgenden Wortlaut:</w:t>
      </w:r>
    </w:p>
    <w:p w:rsidR="00051B1F" w:rsidRPr="00DD2A86" w:rsidRDefault="00051B1F" w:rsidP="006216C1">
      <w:pPr>
        <w:tabs>
          <w:tab w:val="left" w:pos="2268"/>
        </w:tabs>
        <w:autoSpaceDE w:val="0"/>
        <w:adjustRightInd w:val="0"/>
        <w:spacing w:before="120" w:line="240" w:lineRule="auto"/>
        <w:ind w:left="2268" w:right="567" w:hanging="1134"/>
        <w:jc w:val="both"/>
        <w:rPr>
          <w:lang w:val="de-DE"/>
        </w:rPr>
      </w:pPr>
      <w:r w:rsidRPr="00DD2A86">
        <w:rPr>
          <w:bCs/>
          <w:lang w:val="de-DE" w:eastAsia="de-DE"/>
        </w:rPr>
        <w:tab/>
        <w:t>„</w:t>
      </w:r>
      <w:r w:rsidR="004103DB" w:rsidRPr="00DD2A86">
        <w:rPr>
          <w:bCs/>
          <w:lang w:val="de-DE" w:eastAsia="de-DE"/>
        </w:rPr>
        <w:t>7.2.3.41.1</w:t>
      </w:r>
      <w:r w:rsidR="004103DB" w:rsidRPr="00DD2A86">
        <w:rPr>
          <w:bCs/>
          <w:lang w:val="de-DE" w:eastAsia="de-DE"/>
        </w:rPr>
        <w:tab/>
      </w:r>
      <w:r w:rsidRPr="00DD2A86">
        <w:rPr>
          <w:lang w:val="de-DE"/>
        </w:rPr>
        <w:t xml:space="preserve">Rauchen, einschließlich elektronischer Zigaretten und ähnlicher Geräte, Feuer und offenes Licht sind an Bord </w:t>
      </w:r>
      <w:r w:rsidR="000E7205" w:rsidRPr="00DD2A86">
        <w:rPr>
          <w:lang w:val="de-DE"/>
        </w:rPr>
        <w:t>verboten.</w:t>
      </w:r>
    </w:p>
    <w:p w:rsidR="00051B1F" w:rsidRPr="00DD2A86" w:rsidRDefault="00051B1F" w:rsidP="006216C1">
      <w:pPr>
        <w:tabs>
          <w:tab w:val="left" w:pos="2268"/>
        </w:tabs>
        <w:autoSpaceDE w:val="0"/>
        <w:adjustRightInd w:val="0"/>
        <w:spacing w:before="120" w:line="240" w:lineRule="auto"/>
        <w:ind w:left="2268" w:right="567"/>
        <w:jc w:val="both"/>
        <w:rPr>
          <w:lang w:val="de-DE"/>
        </w:rPr>
      </w:pPr>
      <w:r w:rsidRPr="00DD2A86">
        <w:rPr>
          <w:lang w:val="de-DE"/>
        </w:rPr>
        <w:t>Dieses Verbot ist mittels Hinweistafeln an geeigneten Stellen anzuschlagen.</w:t>
      </w:r>
    </w:p>
    <w:p w:rsidR="00051B1F" w:rsidRPr="00DD2A86" w:rsidRDefault="00051B1F" w:rsidP="006216C1">
      <w:pPr>
        <w:tabs>
          <w:tab w:val="left" w:pos="2268"/>
        </w:tabs>
        <w:autoSpaceDE w:val="0"/>
        <w:adjustRightInd w:val="0"/>
        <w:spacing w:before="120" w:line="240" w:lineRule="auto"/>
        <w:ind w:left="2268" w:right="567"/>
        <w:jc w:val="both"/>
        <w:rPr>
          <w:lang w:val="de-DE"/>
        </w:rPr>
      </w:pPr>
      <w:r w:rsidRPr="00DD2A86">
        <w:rPr>
          <w:lang w:val="de-DE"/>
        </w:rPr>
        <w:t>Das Rauchverbot gilt nicht in Wohnungen und Steuerhaus, wenn Fenster, Türen, Oberlichter und Luken geschlossen sind oder das Lüftungssystem so eingestellt wird, dass ein Überdruck von 0,1 kPa gewährleistet ist.“.</w:t>
      </w:r>
    </w:p>
    <w:p w:rsidR="004B5434" w:rsidRPr="00DD2A86" w:rsidRDefault="004B5434" w:rsidP="00B61A90">
      <w:pPr>
        <w:spacing w:before="240" w:line="240" w:lineRule="auto"/>
        <w:ind w:left="1134" w:hanging="1"/>
        <w:rPr>
          <w:bCs/>
          <w:lang w:val="de-DE" w:eastAsia="de-DE"/>
        </w:rPr>
      </w:pPr>
      <w:r w:rsidRPr="00DD2A86">
        <w:rPr>
          <w:bCs/>
          <w:lang w:val="de-DE" w:eastAsia="de-DE"/>
        </w:rPr>
        <w:t>7.2.3.44</w:t>
      </w:r>
      <w:r w:rsidRPr="00DD2A86">
        <w:rPr>
          <w:bCs/>
          <w:lang w:val="de-DE" w:eastAsia="de-DE"/>
        </w:rPr>
        <w:tab/>
        <w:t>Erhält folgenden Wortlaut:</w:t>
      </w:r>
    </w:p>
    <w:p w:rsidR="004B5434" w:rsidRPr="00DD2A86" w:rsidRDefault="004B5434" w:rsidP="00CE22C2">
      <w:pPr>
        <w:spacing w:before="120" w:line="240" w:lineRule="auto"/>
        <w:ind w:left="2268" w:hanging="1"/>
        <w:rPr>
          <w:bCs/>
          <w:lang w:val="de-DE" w:eastAsia="de-DE"/>
        </w:rPr>
      </w:pPr>
      <w:r w:rsidRPr="00DD2A86">
        <w:rPr>
          <w:bCs/>
          <w:lang w:val="de-DE" w:eastAsia="de-DE"/>
        </w:rPr>
        <w:t>„7.2.3.44</w:t>
      </w:r>
      <w:r w:rsidRPr="00DD2A86">
        <w:rPr>
          <w:bCs/>
          <w:lang w:val="de-DE" w:eastAsia="de-DE"/>
        </w:rPr>
        <w:tab/>
        <w:t>Reinigungsarbeiten</w:t>
      </w:r>
    </w:p>
    <w:p w:rsidR="004B5434" w:rsidRPr="00DD2A86" w:rsidRDefault="004B5434" w:rsidP="00CE22C2">
      <w:pPr>
        <w:spacing w:before="120" w:line="240" w:lineRule="auto"/>
        <w:ind w:left="2268"/>
        <w:rPr>
          <w:bCs/>
          <w:lang w:val="de-DE" w:eastAsia="de-DE"/>
        </w:rPr>
      </w:pPr>
      <w:r w:rsidRPr="00DD2A86">
        <w:rPr>
          <w:bCs/>
          <w:lang w:val="de-DE" w:eastAsia="de-DE"/>
        </w:rPr>
        <w:t xml:space="preserve">Die Verwendung </w:t>
      </w:r>
      <w:r w:rsidR="006902B6" w:rsidRPr="00DD2A86">
        <w:rPr>
          <w:bCs/>
          <w:lang w:val="de-DE" w:eastAsia="de-DE"/>
        </w:rPr>
        <w:t xml:space="preserve">von </w:t>
      </w:r>
      <w:r w:rsidRPr="00DD2A86">
        <w:rPr>
          <w:bCs/>
          <w:lang w:val="de-DE" w:eastAsia="de-DE"/>
        </w:rPr>
        <w:t>Flüssigkeiten mit einem Flammpunkt von weniger als 55 °C für Reinigungszwecke ist nur im explosionsgefährdeten Bereich erlaubt.“.</w:t>
      </w:r>
    </w:p>
    <w:p w:rsidR="006945FC" w:rsidRPr="00DD2A86" w:rsidRDefault="006945FC" w:rsidP="00B61A90">
      <w:pPr>
        <w:suppressAutoHyphens w:val="0"/>
        <w:spacing w:before="240" w:line="240" w:lineRule="auto"/>
        <w:ind w:left="2268" w:right="567" w:hanging="1134"/>
        <w:rPr>
          <w:bCs/>
          <w:lang w:val="de-DE" w:eastAsia="de-DE"/>
        </w:rPr>
      </w:pPr>
      <w:r w:rsidRPr="00DD2A86">
        <w:rPr>
          <w:bCs/>
          <w:lang w:val="de-DE" w:eastAsia="de-DE"/>
        </w:rPr>
        <w:t>7.2.3.51</w:t>
      </w:r>
      <w:r w:rsidRPr="00DD2A86">
        <w:rPr>
          <w:bCs/>
          <w:lang w:val="de-DE" w:eastAsia="de-DE"/>
        </w:rPr>
        <w:tab/>
        <w:t>Der Titel erhält folgenden Wortlaut: „Elektrische und nicht-elektrische Anlagen und Geräte“.</w:t>
      </w:r>
    </w:p>
    <w:p w:rsidR="006945FC" w:rsidRPr="00DD2A86" w:rsidRDefault="006945FC" w:rsidP="00B61A90">
      <w:pPr>
        <w:suppressAutoHyphens w:val="0"/>
        <w:spacing w:before="240" w:line="240" w:lineRule="auto"/>
        <w:ind w:left="2268" w:right="567" w:hanging="1134"/>
        <w:rPr>
          <w:bCs/>
          <w:lang w:val="de-DE" w:eastAsia="de-DE"/>
        </w:rPr>
      </w:pPr>
      <w:r w:rsidRPr="00DD2A86">
        <w:rPr>
          <w:bCs/>
          <w:lang w:val="de-DE" w:eastAsia="de-DE"/>
        </w:rPr>
        <w:t>7.2.3.51.1</w:t>
      </w:r>
      <w:r w:rsidRPr="00DD2A86">
        <w:rPr>
          <w:bCs/>
          <w:lang w:val="de-DE" w:eastAsia="de-DE"/>
        </w:rPr>
        <w:tab/>
        <w:t>„Elektrische Einrichtungen“ ändern in: „Elektrische und nicht-elektrische Anlagen und Geräte“.</w:t>
      </w:r>
    </w:p>
    <w:p w:rsidR="00914376" w:rsidRPr="00DD2A86" w:rsidRDefault="006945FC" w:rsidP="00B61A90">
      <w:pPr>
        <w:tabs>
          <w:tab w:val="left" w:pos="2552"/>
        </w:tabs>
        <w:suppressAutoHyphens w:val="0"/>
        <w:spacing w:before="240" w:after="120"/>
        <w:ind w:left="2268" w:right="567" w:hanging="1134"/>
        <w:jc w:val="both"/>
        <w:rPr>
          <w:bCs/>
          <w:lang w:val="de-DE" w:eastAsia="de-DE"/>
        </w:rPr>
      </w:pPr>
      <w:r w:rsidRPr="00DD2A86">
        <w:rPr>
          <w:bCs/>
          <w:lang w:val="de-DE" w:eastAsia="de-DE"/>
        </w:rPr>
        <w:t>7.2.3.51.2</w:t>
      </w:r>
      <w:r w:rsidRPr="00DD2A86">
        <w:rPr>
          <w:bCs/>
          <w:lang w:val="de-DE" w:eastAsia="de-DE"/>
        </w:rPr>
        <w:tab/>
      </w:r>
      <w:r w:rsidR="00914376" w:rsidRPr="00DD2A86">
        <w:rPr>
          <w:bCs/>
          <w:lang w:val="de-DE" w:eastAsia="de-DE"/>
        </w:rPr>
        <w:t>Erhält folgenden Wortlaut:</w:t>
      </w:r>
    </w:p>
    <w:p w:rsidR="00914376" w:rsidRPr="00DD2A86" w:rsidRDefault="00914376" w:rsidP="00B61A90">
      <w:pPr>
        <w:tabs>
          <w:tab w:val="left" w:pos="2552"/>
        </w:tabs>
        <w:suppressAutoHyphens w:val="0"/>
        <w:spacing w:after="120"/>
        <w:ind w:left="2268" w:right="567"/>
        <w:jc w:val="both"/>
        <w:rPr>
          <w:bCs/>
          <w:lang w:val="de-DE" w:eastAsia="de-DE"/>
        </w:rPr>
      </w:pPr>
      <w:r w:rsidRPr="00DD2A86">
        <w:rPr>
          <w:bCs/>
          <w:lang w:val="de-DE" w:eastAsia="de-DE"/>
        </w:rPr>
        <w:t>„</w:t>
      </w:r>
      <w:r w:rsidR="009E4ED2" w:rsidRPr="00DD2A86">
        <w:rPr>
          <w:bCs/>
          <w:lang w:val="de-DE" w:eastAsia="de-DE"/>
        </w:rPr>
        <w:t>7.2.3.51.2</w:t>
      </w:r>
      <w:r w:rsidR="009E4ED2" w:rsidRPr="00DD2A86">
        <w:rPr>
          <w:bCs/>
          <w:lang w:val="de-DE" w:eastAsia="de-DE"/>
        </w:rPr>
        <w:tab/>
      </w:r>
      <w:r w:rsidRPr="00DD2A86">
        <w:rPr>
          <w:bCs/>
          <w:lang w:val="de-DE" w:eastAsia="de-DE"/>
        </w:rPr>
        <w:t>Es ist verboten, im explosionsgefährdeten Bereich bewegliche elektrische Kabel zu verwenden. Dies gilt nicht für die in Absatz 9.3.1.53.3, 9.3.2.53.3, 9.3.3.53.3 genannten beweglichen elektrischen Kabel.</w:t>
      </w:r>
    </w:p>
    <w:p w:rsidR="00914376" w:rsidRPr="00DD2A86" w:rsidRDefault="00914376" w:rsidP="00B61A90">
      <w:pPr>
        <w:tabs>
          <w:tab w:val="left" w:pos="2552"/>
        </w:tabs>
        <w:suppressAutoHyphens w:val="0"/>
        <w:spacing w:after="120"/>
        <w:ind w:left="2268" w:right="567"/>
        <w:jc w:val="both"/>
        <w:rPr>
          <w:bCs/>
          <w:lang w:val="de-DE" w:eastAsia="de-DE"/>
        </w:rPr>
      </w:pPr>
      <w:r w:rsidRPr="00DD2A86">
        <w:rPr>
          <w:bCs/>
          <w:lang w:val="de-DE" w:eastAsia="de-DE"/>
        </w:rPr>
        <w:t>Bewegliche elektrische Kabel müssen vor jedem Einsatz einer Sichtprüfung unterzogen werden. Sie müssen so geführt werden, dass eine Beschädigung nicht zu befürchten ist. Leitungskupplungen müssen sich außerhalb des explosionsgefährdeten Bereichs befinden.</w:t>
      </w:r>
    </w:p>
    <w:p w:rsidR="00914376" w:rsidRPr="00DD2A86" w:rsidRDefault="00914376" w:rsidP="00B61A90">
      <w:pPr>
        <w:tabs>
          <w:tab w:val="left" w:pos="2552"/>
        </w:tabs>
        <w:suppressAutoHyphens w:val="0"/>
        <w:spacing w:after="120"/>
        <w:ind w:left="2268" w:right="567"/>
        <w:jc w:val="both"/>
        <w:rPr>
          <w:bCs/>
          <w:lang w:val="de-DE" w:eastAsia="de-DE"/>
        </w:rPr>
      </w:pPr>
      <w:r w:rsidRPr="00DD2A86">
        <w:rPr>
          <w:bCs/>
          <w:lang w:val="de-DE" w:eastAsia="de-DE"/>
        </w:rPr>
        <w:t>Elektrische Kabel zum Anschluss des Schiffsstromnetzes an ein Landstromnetz dürfen nicht verwendet werden</w:t>
      </w:r>
    </w:p>
    <w:p w:rsidR="00914376" w:rsidRPr="00DD2A86" w:rsidRDefault="00914376" w:rsidP="003B5A4C">
      <w:pPr>
        <w:numPr>
          <w:ilvl w:val="0"/>
          <w:numId w:val="36"/>
        </w:numPr>
        <w:tabs>
          <w:tab w:val="left" w:pos="2552"/>
        </w:tabs>
        <w:suppressAutoHyphens w:val="0"/>
        <w:ind w:left="2268" w:right="567" w:firstLine="0"/>
        <w:jc w:val="both"/>
        <w:rPr>
          <w:bCs/>
          <w:lang w:val="de-DE" w:eastAsia="de-DE"/>
        </w:rPr>
      </w:pPr>
      <w:r w:rsidRPr="00DD2A86">
        <w:rPr>
          <w:bCs/>
          <w:lang w:val="de-DE" w:eastAsia="de-DE"/>
        </w:rPr>
        <w:t>beim Laden und Löschen von Stoffen</w:t>
      </w:r>
      <w:r w:rsidR="009E4ED2" w:rsidRPr="00DD2A86">
        <w:rPr>
          <w:bCs/>
          <w:lang w:val="de-DE" w:eastAsia="de-DE"/>
        </w:rPr>
        <w:t>,</w:t>
      </w:r>
      <w:r w:rsidRPr="00DD2A86">
        <w:rPr>
          <w:bCs/>
          <w:lang w:val="de-DE" w:eastAsia="de-DE"/>
        </w:rPr>
        <w:t xml:space="preserve"> für die nach Unterabschnitt 3.2.3.2, Tabelle C, Spalte (17) Explosionsschutz gefordert ist</w:t>
      </w:r>
    </w:p>
    <w:p w:rsidR="00914376" w:rsidRPr="00DD2A86" w:rsidRDefault="00914376" w:rsidP="003B5A4C">
      <w:pPr>
        <w:tabs>
          <w:tab w:val="left" w:pos="2552"/>
        </w:tabs>
        <w:suppressAutoHyphens w:val="0"/>
        <w:ind w:left="2268" w:right="567"/>
        <w:jc w:val="both"/>
        <w:rPr>
          <w:bCs/>
          <w:lang w:val="de-DE" w:eastAsia="de-DE"/>
        </w:rPr>
      </w:pPr>
      <w:r w:rsidRPr="00DD2A86">
        <w:rPr>
          <w:bCs/>
          <w:lang w:val="de-DE" w:eastAsia="de-DE"/>
        </w:rPr>
        <w:t>oder</w:t>
      </w:r>
    </w:p>
    <w:p w:rsidR="00914376" w:rsidRPr="00DD2A86" w:rsidRDefault="00914376" w:rsidP="003B5A4C">
      <w:pPr>
        <w:numPr>
          <w:ilvl w:val="0"/>
          <w:numId w:val="36"/>
        </w:numPr>
        <w:tabs>
          <w:tab w:val="left" w:pos="2552"/>
        </w:tabs>
        <w:suppressAutoHyphens w:val="0"/>
        <w:ind w:left="2268" w:right="567" w:firstLine="0"/>
        <w:jc w:val="both"/>
        <w:rPr>
          <w:bCs/>
          <w:lang w:val="de-DE" w:eastAsia="de-DE"/>
        </w:rPr>
      </w:pPr>
      <w:r w:rsidRPr="00DD2A86">
        <w:rPr>
          <w:bCs/>
          <w:lang w:val="de-DE" w:eastAsia="de-DE"/>
        </w:rPr>
        <w:t>wenn sich das Schiff in einer oder unmittelbar angrenzend an eine landseitig ausgewiesene Zone befindet.“.</w:t>
      </w:r>
    </w:p>
    <w:p w:rsidR="005C417F" w:rsidRPr="00DD2A86" w:rsidRDefault="005C417F" w:rsidP="00B61A90">
      <w:pPr>
        <w:suppressAutoHyphens w:val="0"/>
        <w:spacing w:before="240" w:line="240" w:lineRule="auto"/>
        <w:ind w:left="2268" w:right="567" w:hanging="1134"/>
        <w:rPr>
          <w:bCs/>
          <w:lang w:val="de-DE" w:eastAsia="de-DE"/>
        </w:rPr>
      </w:pPr>
      <w:r w:rsidRPr="00DD2A86">
        <w:rPr>
          <w:bCs/>
          <w:lang w:val="de-DE" w:eastAsia="de-DE"/>
        </w:rPr>
        <w:t>7.2.3.51.3</w:t>
      </w:r>
      <w:r w:rsidRPr="00DD2A86">
        <w:rPr>
          <w:bCs/>
          <w:lang w:val="de-DE" w:eastAsia="de-DE"/>
        </w:rPr>
        <w:tab/>
        <w:t>Im letzten Satz „Lösen” ändern in: „Trennen”.</w:t>
      </w:r>
    </w:p>
    <w:p w:rsidR="0077736F" w:rsidRPr="00DD2A86" w:rsidRDefault="0077736F" w:rsidP="00B61A90">
      <w:pPr>
        <w:suppressAutoHyphens w:val="0"/>
        <w:spacing w:before="240" w:line="240" w:lineRule="auto"/>
        <w:ind w:left="2268" w:right="567" w:hanging="1134"/>
        <w:rPr>
          <w:bCs/>
          <w:lang w:val="de-DE" w:eastAsia="de-DE"/>
        </w:rPr>
      </w:pPr>
      <w:r w:rsidRPr="00DD2A86">
        <w:rPr>
          <w:bCs/>
          <w:lang w:val="de-DE" w:eastAsia="de-DE"/>
        </w:rPr>
        <w:t>7.</w:t>
      </w:r>
      <w:r w:rsidR="00F04560" w:rsidRPr="00DD2A86">
        <w:rPr>
          <w:bCs/>
          <w:lang w:val="de-DE" w:eastAsia="de-DE"/>
        </w:rPr>
        <w:t>2</w:t>
      </w:r>
      <w:r w:rsidRPr="00DD2A86">
        <w:rPr>
          <w:bCs/>
          <w:lang w:val="de-DE" w:eastAsia="de-DE"/>
        </w:rPr>
        <w:t>.3.51</w:t>
      </w:r>
      <w:r w:rsidRPr="00DD2A86">
        <w:rPr>
          <w:bCs/>
          <w:lang w:val="de-DE" w:eastAsia="de-DE"/>
        </w:rPr>
        <w:tab/>
        <w:t>Folgende neue Absätze hinzufügen:</w:t>
      </w:r>
    </w:p>
    <w:p w:rsidR="0077736F" w:rsidRPr="00DD2A86" w:rsidRDefault="0077736F" w:rsidP="00B61A90">
      <w:pPr>
        <w:suppressAutoHyphens w:val="0"/>
        <w:spacing w:before="120" w:line="240" w:lineRule="auto"/>
        <w:ind w:left="3402" w:right="567" w:hanging="1134"/>
        <w:jc w:val="both"/>
        <w:rPr>
          <w:bCs/>
          <w:lang w:val="de-DE" w:eastAsia="de-DE"/>
        </w:rPr>
      </w:pPr>
      <w:r w:rsidRPr="00DD2A86">
        <w:rPr>
          <w:bCs/>
          <w:lang w:val="de-DE" w:eastAsia="de-DE"/>
        </w:rPr>
        <w:t>„7.2.3.51.4</w:t>
      </w:r>
      <w:r w:rsidRPr="00DD2A86">
        <w:rPr>
          <w:bCs/>
          <w:lang w:val="de-DE" w:eastAsia="de-DE"/>
        </w:rPr>
        <w:tab/>
        <w:t>Während des Aufenthalts in einer oder unmittelbar angrenzend an eine landseitig ausgewiesene Zone müssen elektrische und nicht-elektrische Anlagen und Geräte, die den in Absatz 9.3.x.51 a), 9.3.x.51 b), 9.3.x.51 c) oder 9.3.x.52.1 angegebenen Vorschriften nicht entsprechen (rot gekennzeichnet gemäß Absatz 9.3.x.51 und 9.3.x.52.3), abgeschaltet werden, unter die jeweils in 9.3.x.51 a), bzw. 9.3.x.51 b) angegebene Temperatur abgekühlt sein, oder es müssen die in 7.2.3.51.6 aufgeführten Maßnahmen ergriffen sein.</w:t>
      </w:r>
    </w:p>
    <w:p w:rsidR="0077736F" w:rsidRPr="00DD2A86" w:rsidRDefault="0077736F" w:rsidP="00B61A90">
      <w:pPr>
        <w:suppressAutoHyphens w:val="0"/>
        <w:spacing w:before="120" w:line="240" w:lineRule="auto"/>
        <w:ind w:left="3402" w:right="567"/>
        <w:jc w:val="both"/>
        <w:rPr>
          <w:bCs/>
          <w:lang w:val="de-DE" w:eastAsia="de-DE"/>
        </w:rPr>
      </w:pPr>
      <w:r w:rsidRPr="00DD2A86">
        <w:rPr>
          <w:bCs/>
          <w:lang w:val="de-DE" w:eastAsia="de-DE"/>
        </w:rPr>
        <w:t>Wenn die Schiffsstoffliste nach Absatz 1.16.1.2.5 Stoffe enthält, für die nach Unterabschnitt 3.2.3.2 Tabelle C Spalte (17) Explosionsschutz gefordert ist, gilt dies auch während des Ladens und Löschens und während des Entgasens beim Stillliegen.</w:t>
      </w:r>
    </w:p>
    <w:p w:rsidR="007C000A" w:rsidRPr="00DD2A86" w:rsidRDefault="007C000A">
      <w:pPr>
        <w:suppressAutoHyphens w:val="0"/>
        <w:spacing w:line="240" w:lineRule="auto"/>
        <w:rPr>
          <w:bCs/>
          <w:lang w:val="de-DE" w:eastAsia="de-DE"/>
        </w:rPr>
      </w:pPr>
      <w:r w:rsidRPr="00DD2A86">
        <w:rPr>
          <w:bCs/>
          <w:lang w:val="de-DE" w:eastAsia="de-DE"/>
        </w:rPr>
        <w:br w:type="page"/>
      </w:r>
    </w:p>
    <w:p w:rsidR="0077736F" w:rsidRPr="00DD2A86" w:rsidRDefault="0077736F" w:rsidP="00B61A90">
      <w:pPr>
        <w:suppressAutoHyphens w:val="0"/>
        <w:spacing w:before="120" w:line="240" w:lineRule="auto"/>
        <w:ind w:left="3402" w:right="567" w:hanging="1134"/>
        <w:jc w:val="both"/>
        <w:rPr>
          <w:bCs/>
          <w:lang w:val="de-DE" w:eastAsia="de-DE"/>
        </w:rPr>
      </w:pPr>
      <w:r w:rsidRPr="00DD2A86">
        <w:rPr>
          <w:bCs/>
          <w:lang w:val="de-DE" w:eastAsia="de-DE"/>
        </w:rPr>
        <w:t>7.2.3.51.5</w:t>
      </w:r>
      <w:r w:rsidRPr="00DD2A86">
        <w:rPr>
          <w:bCs/>
          <w:lang w:val="de-DE" w:eastAsia="de-DE"/>
        </w:rPr>
        <w:tab/>
        <w:t>Wenn die Schiffsstoffliste nach Absatz 1.16.1.2.5 Stoffe enthält, für die nach Unterabschnitt 3.2.3.2 Tabelle C Spalte (15) eine Temperaturklasse T4, T5 oder T6 eingetragen ist, dürfen in den ausgewiesenen Zonen die entsprechenden Oberflächentemperaturen 135 °C (T4), 100 °C (T5) beziehungsweise 85 °C (T6) nicht überschr</w:t>
      </w:r>
      <w:r w:rsidR="00BE39EE" w:rsidRPr="00DD2A86">
        <w:rPr>
          <w:bCs/>
          <w:lang w:val="de-DE" w:eastAsia="de-DE"/>
        </w:rPr>
        <w:t>eiten</w:t>
      </w:r>
      <w:r w:rsidRPr="00DD2A86">
        <w:rPr>
          <w:bCs/>
          <w:lang w:val="de-DE" w:eastAsia="de-DE"/>
        </w:rPr>
        <w:t>.</w:t>
      </w:r>
    </w:p>
    <w:p w:rsidR="0077736F" w:rsidRPr="00DD2A86" w:rsidRDefault="0077736F" w:rsidP="00B61A90">
      <w:pPr>
        <w:suppressAutoHyphens w:val="0"/>
        <w:spacing w:before="120" w:line="240" w:lineRule="auto"/>
        <w:ind w:left="3402" w:right="567" w:hanging="1134"/>
        <w:jc w:val="both"/>
        <w:rPr>
          <w:bCs/>
          <w:lang w:val="de-DE" w:eastAsia="de-DE"/>
        </w:rPr>
      </w:pPr>
      <w:r w:rsidRPr="00DD2A86">
        <w:rPr>
          <w:bCs/>
          <w:lang w:val="de-DE" w:eastAsia="de-DE"/>
        </w:rPr>
        <w:t>7.2.3.51.6</w:t>
      </w:r>
      <w:r w:rsidRPr="00DD2A86">
        <w:rPr>
          <w:bCs/>
          <w:lang w:val="de-DE" w:eastAsia="de-DE"/>
        </w:rPr>
        <w:tab/>
        <w:t xml:space="preserve">Die Absätze 7.2.3.51.4 und 7.2.3.51.5 gelten nicht in </w:t>
      </w:r>
      <w:r w:rsidR="008E0ACD" w:rsidRPr="00DD2A86">
        <w:rPr>
          <w:bCs/>
          <w:lang w:val="de-DE" w:eastAsia="de-DE"/>
        </w:rPr>
        <w:t xml:space="preserve">den </w:t>
      </w:r>
      <w:r w:rsidRPr="00DD2A86">
        <w:rPr>
          <w:bCs/>
          <w:lang w:val="de-DE" w:eastAsia="de-DE"/>
        </w:rPr>
        <w:t>Wohnung</w:t>
      </w:r>
      <w:r w:rsidR="008E0ACD" w:rsidRPr="00DD2A86">
        <w:rPr>
          <w:bCs/>
          <w:lang w:val="de-DE" w:eastAsia="de-DE"/>
        </w:rPr>
        <w:t>en</w:t>
      </w:r>
      <w:r w:rsidRPr="00DD2A86">
        <w:rPr>
          <w:bCs/>
          <w:lang w:val="de-DE" w:eastAsia="de-DE"/>
        </w:rPr>
        <w:t xml:space="preserve">, Steuerhaus und Betriebsräumen </w:t>
      </w:r>
      <w:r w:rsidR="00487E04" w:rsidRPr="00DD2A86">
        <w:rPr>
          <w:bCs/>
          <w:lang w:val="de-DE" w:eastAsia="de-DE"/>
        </w:rPr>
        <w:t xml:space="preserve">außerhalb des Bereichs der Ladung </w:t>
      </w:r>
      <w:r w:rsidRPr="00DD2A86">
        <w:rPr>
          <w:bCs/>
          <w:lang w:val="de-DE" w:eastAsia="de-DE"/>
        </w:rPr>
        <w:t>wenn</w:t>
      </w:r>
    </w:p>
    <w:p w:rsidR="0077736F" w:rsidRPr="00DD2A86" w:rsidRDefault="0077736F" w:rsidP="00B61A90">
      <w:pPr>
        <w:suppressAutoHyphens w:val="0"/>
        <w:spacing w:line="240" w:lineRule="auto"/>
        <w:ind w:left="3686" w:right="567" w:hanging="284"/>
        <w:jc w:val="both"/>
        <w:rPr>
          <w:bCs/>
          <w:lang w:val="de-DE" w:eastAsia="de-DE"/>
        </w:rPr>
      </w:pPr>
      <w:r w:rsidRPr="00DD2A86">
        <w:rPr>
          <w:bCs/>
          <w:lang w:val="de-DE" w:eastAsia="de-DE"/>
        </w:rPr>
        <w:t>a)</w:t>
      </w:r>
      <w:r w:rsidRPr="00DD2A86">
        <w:rPr>
          <w:bCs/>
          <w:lang w:val="de-DE" w:eastAsia="de-DE"/>
        </w:rPr>
        <w:tab/>
        <w:t>das Lüftungssystem so eingestellt wird, dass ein Überdruck vo</w:t>
      </w:r>
      <w:r w:rsidR="00C050A4" w:rsidRPr="00DD2A86">
        <w:rPr>
          <w:bCs/>
          <w:lang w:val="de-DE" w:eastAsia="de-DE"/>
        </w:rPr>
        <w:t>n 0,1 kPa gewährleistet ist und</w:t>
      </w:r>
    </w:p>
    <w:p w:rsidR="0077736F" w:rsidRPr="00DD2A86" w:rsidRDefault="0077736F" w:rsidP="00B61A90">
      <w:pPr>
        <w:suppressAutoHyphens w:val="0"/>
        <w:spacing w:line="240" w:lineRule="auto"/>
        <w:ind w:left="3686" w:right="567" w:hanging="284"/>
        <w:jc w:val="both"/>
        <w:rPr>
          <w:bCs/>
          <w:lang w:val="de-DE" w:eastAsia="de-DE"/>
        </w:rPr>
      </w:pPr>
      <w:r w:rsidRPr="00DD2A86">
        <w:rPr>
          <w:bCs/>
          <w:lang w:val="de-DE" w:eastAsia="de-DE"/>
        </w:rPr>
        <w:t>b)</w:t>
      </w:r>
      <w:r w:rsidRPr="00DD2A86">
        <w:rPr>
          <w:bCs/>
          <w:lang w:val="de-DE" w:eastAsia="de-DE"/>
        </w:rPr>
        <w:tab/>
        <w:t>die Gasspüranlage eingeschaltet ist und stetig misst.</w:t>
      </w:r>
    </w:p>
    <w:p w:rsidR="00710BB2" w:rsidRPr="00DD2A86" w:rsidRDefault="00710BB2" w:rsidP="00B61A90">
      <w:pPr>
        <w:suppressAutoHyphens w:val="0"/>
        <w:spacing w:line="240" w:lineRule="auto"/>
        <w:rPr>
          <w:bCs/>
          <w:lang w:val="de-DE" w:eastAsia="de-DE"/>
        </w:rPr>
      </w:pPr>
    </w:p>
    <w:p w:rsidR="00487E04" w:rsidRPr="00DD2A86" w:rsidRDefault="0077736F" w:rsidP="00B61A90">
      <w:pPr>
        <w:suppressAutoHyphens w:val="0"/>
        <w:spacing w:line="240" w:lineRule="auto"/>
        <w:ind w:left="3402" w:right="567" w:hanging="1134"/>
        <w:jc w:val="both"/>
        <w:rPr>
          <w:bCs/>
          <w:lang w:val="de-DE" w:eastAsia="de-DE"/>
        </w:rPr>
      </w:pPr>
      <w:r w:rsidRPr="00DD2A86">
        <w:rPr>
          <w:bCs/>
          <w:lang w:val="de-DE" w:eastAsia="de-DE"/>
        </w:rPr>
        <w:t>7.2.3.51.7</w:t>
      </w:r>
      <w:r w:rsidRPr="00DD2A86">
        <w:rPr>
          <w:bCs/>
          <w:lang w:val="de-DE" w:eastAsia="de-DE"/>
        </w:rPr>
        <w:tab/>
        <w:t>Anlagen und Geräte gemäß 7.2.3.51.4, die währendes Ladens, des Löschens, des Entgasens beim Stillliegen  oder während eines Aufenthalts in einer oder unmittelbar angrenzend an eine landseitig ausgewiesene Zone, abgeschaltet waren, dürfen er</w:t>
      </w:r>
      <w:r w:rsidR="00487E04" w:rsidRPr="00DD2A86">
        <w:rPr>
          <w:bCs/>
          <w:lang w:val="de-DE" w:eastAsia="de-DE"/>
        </w:rPr>
        <w:t>st wieder eingeschaltet werden,</w:t>
      </w:r>
    </w:p>
    <w:p w:rsidR="00487E04" w:rsidRPr="00DD2A86" w:rsidRDefault="00487E04" w:rsidP="00B61A90">
      <w:pPr>
        <w:suppressAutoHyphens w:val="0"/>
        <w:spacing w:line="240" w:lineRule="auto"/>
        <w:ind w:left="3686" w:right="567" w:hanging="284"/>
        <w:jc w:val="both"/>
        <w:rPr>
          <w:bCs/>
          <w:lang w:val="de-DE" w:eastAsia="de-DE"/>
        </w:rPr>
      </w:pPr>
      <w:r w:rsidRPr="00DD2A86">
        <w:rPr>
          <w:bCs/>
          <w:lang w:val="de-DE" w:eastAsia="de-DE"/>
        </w:rPr>
        <w:t>-</w:t>
      </w:r>
      <w:r w:rsidRPr="00DD2A86">
        <w:rPr>
          <w:bCs/>
          <w:lang w:val="de-DE" w:eastAsia="de-DE"/>
        </w:rPr>
        <w:tab/>
      </w:r>
      <w:r w:rsidR="0077736F" w:rsidRPr="00DD2A86">
        <w:rPr>
          <w:bCs/>
          <w:lang w:val="de-DE" w:eastAsia="de-DE"/>
        </w:rPr>
        <w:t>nachdem sich das Schiff nicht mehr in einer oder unmittelbar angrenzend an eine landseitig ausgewiesene Zone aufhält</w:t>
      </w:r>
    </w:p>
    <w:p w:rsidR="00487E04" w:rsidRPr="00DD2A86" w:rsidRDefault="00487E04" w:rsidP="00B61A90">
      <w:pPr>
        <w:suppressAutoHyphens w:val="0"/>
        <w:spacing w:line="240" w:lineRule="auto"/>
        <w:ind w:left="3686" w:right="567" w:hanging="284"/>
        <w:jc w:val="both"/>
        <w:rPr>
          <w:bCs/>
          <w:lang w:val="de-DE" w:eastAsia="de-DE"/>
        </w:rPr>
      </w:pPr>
      <w:r w:rsidRPr="00DD2A86">
        <w:rPr>
          <w:bCs/>
          <w:lang w:val="de-DE" w:eastAsia="de-DE"/>
        </w:rPr>
        <w:t>o</w:t>
      </w:r>
      <w:r w:rsidR="0077736F" w:rsidRPr="00DD2A86">
        <w:rPr>
          <w:bCs/>
          <w:lang w:val="de-DE" w:eastAsia="de-DE"/>
        </w:rPr>
        <w:t>der</w:t>
      </w:r>
    </w:p>
    <w:p w:rsidR="0077736F" w:rsidRPr="00DD2A86" w:rsidRDefault="0077736F" w:rsidP="00B61A90">
      <w:pPr>
        <w:pStyle w:val="ListParagraph"/>
        <w:numPr>
          <w:ilvl w:val="0"/>
          <w:numId w:val="26"/>
        </w:numPr>
        <w:tabs>
          <w:tab w:val="left" w:pos="3686"/>
        </w:tabs>
        <w:suppressAutoHyphens w:val="0"/>
        <w:spacing w:line="240" w:lineRule="auto"/>
        <w:ind w:left="3686" w:right="567" w:hanging="284"/>
        <w:jc w:val="both"/>
        <w:rPr>
          <w:bCs/>
          <w:lang w:val="de-DE" w:eastAsia="de-DE"/>
        </w:rPr>
      </w:pPr>
      <w:r w:rsidRPr="00DD2A86">
        <w:rPr>
          <w:bCs/>
          <w:lang w:val="de-DE" w:eastAsia="de-DE"/>
        </w:rPr>
        <w:t xml:space="preserve">im Steuerhaus, in den Wohnungen und Betriebsräumen </w:t>
      </w:r>
      <w:r w:rsidR="00487E04" w:rsidRPr="00DD2A86">
        <w:rPr>
          <w:bCs/>
          <w:lang w:val="de-DE" w:eastAsia="de-DE"/>
        </w:rPr>
        <w:t xml:space="preserve">außerhalb des Bereichs der Ladung </w:t>
      </w:r>
      <w:r w:rsidRPr="00DD2A86">
        <w:rPr>
          <w:bCs/>
          <w:lang w:val="de-DE" w:eastAsia="de-DE"/>
        </w:rPr>
        <w:t xml:space="preserve">10 % der UEG der Ladung oder 10 % der UEG n-Hexan unterschritten sind, je nachdem </w:t>
      </w:r>
      <w:r w:rsidR="002C0B79" w:rsidRPr="00DD2A86">
        <w:rPr>
          <w:bCs/>
          <w:lang w:val="de-DE" w:eastAsia="de-DE"/>
        </w:rPr>
        <w:t>welche UEG die kritischere ist.</w:t>
      </w:r>
    </w:p>
    <w:p w:rsidR="0077736F" w:rsidRPr="00DD2A86" w:rsidRDefault="0077736F" w:rsidP="00B61A90">
      <w:pPr>
        <w:suppressAutoHyphens w:val="0"/>
        <w:spacing w:line="240" w:lineRule="auto"/>
        <w:ind w:left="3686" w:right="567" w:hanging="284"/>
        <w:jc w:val="both"/>
        <w:rPr>
          <w:bCs/>
          <w:lang w:val="de-DE" w:eastAsia="de-DE"/>
        </w:rPr>
      </w:pPr>
      <w:r w:rsidRPr="00DD2A86">
        <w:rPr>
          <w:bCs/>
          <w:lang w:val="de-DE" w:eastAsia="de-DE"/>
        </w:rPr>
        <w:t>Die Messergebnisse müssen schriftlich festgehalten werden.</w:t>
      </w:r>
    </w:p>
    <w:p w:rsidR="0077736F" w:rsidRPr="00DD2A86" w:rsidRDefault="00F04560" w:rsidP="00B61A90">
      <w:pPr>
        <w:suppressAutoHyphens w:val="0"/>
        <w:spacing w:before="120" w:line="240" w:lineRule="auto"/>
        <w:ind w:left="3402" w:right="567" w:hanging="1134"/>
        <w:jc w:val="both"/>
        <w:rPr>
          <w:bCs/>
          <w:lang w:val="de-DE" w:eastAsia="de-DE"/>
        </w:rPr>
      </w:pPr>
      <w:r w:rsidRPr="00DD2A86">
        <w:rPr>
          <w:bCs/>
          <w:lang w:val="de-DE" w:eastAsia="de-DE"/>
        </w:rPr>
        <w:t>7</w:t>
      </w:r>
      <w:r w:rsidR="0077736F" w:rsidRPr="00DD2A86">
        <w:rPr>
          <w:bCs/>
          <w:lang w:val="de-DE" w:eastAsia="de-DE"/>
        </w:rPr>
        <w:t>.2.3.51.8</w:t>
      </w:r>
      <w:r w:rsidR="0077736F" w:rsidRPr="00DD2A86">
        <w:rPr>
          <w:bCs/>
          <w:lang w:val="de-DE" w:eastAsia="de-DE"/>
        </w:rPr>
        <w:tab/>
        <w:t>Können die Schiffe die Anforderungen aus 7.2.3.51.4 und 7.2.3.51.6 nicht erfüllen, ist ein Aufenthalt in einer oder unmittelbar angrenzend an eine landseitig ausgewiesene Zone nicht gestattet.“.</w:t>
      </w:r>
    </w:p>
    <w:p w:rsidR="00215B9E" w:rsidRPr="00DD2A86" w:rsidRDefault="00215B9E" w:rsidP="00215B9E">
      <w:pPr>
        <w:suppressAutoHyphens w:val="0"/>
        <w:spacing w:before="240" w:after="120" w:line="276" w:lineRule="auto"/>
        <w:ind w:left="1134" w:right="1134"/>
        <w:rPr>
          <w:rFonts w:eastAsia="Calibri"/>
          <w:szCs w:val="24"/>
          <w:lang w:val="de-DE"/>
        </w:rPr>
      </w:pPr>
      <w:r w:rsidRPr="00DD2A86">
        <w:rPr>
          <w:rFonts w:eastAsia="Calibri"/>
          <w:szCs w:val="24"/>
          <w:lang w:val="de-DE"/>
        </w:rPr>
        <w:t>7.2.4.1.1</w:t>
      </w:r>
      <w:r w:rsidRPr="00DD2A86">
        <w:rPr>
          <w:rFonts w:eastAsia="Calibri"/>
          <w:szCs w:val="24"/>
          <w:lang w:val="de-DE"/>
        </w:rPr>
        <w:tab/>
        <w:t>Der erste Anstrich erhält folgenden Wortlaut:</w:t>
      </w:r>
    </w:p>
    <w:p w:rsidR="00215B9E" w:rsidRPr="00DD2A86" w:rsidRDefault="00215B9E" w:rsidP="00215B9E">
      <w:pPr>
        <w:widowControl w:val="0"/>
        <w:suppressAutoHyphens w:val="0"/>
        <w:overflowPunct w:val="0"/>
        <w:autoSpaceDE w:val="0"/>
        <w:autoSpaceDN w:val="0"/>
        <w:adjustRightInd w:val="0"/>
        <w:spacing w:line="240" w:lineRule="auto"/>
        <w:ind w:left="2552" w:right="1134" w:hanging="284"/>
        <w:jc w:val="both"/>
        <w:textAlignment w:val="baseline"/>
        <w:rPr>
          <w:lang w:val="de-DE" w:eastAsia="fr-FR"/>
        </w:rPr>
      </w:pPr>
      <w:r w:rsidRPr="00DD2A86">
        <w:rPr>
          <w:rFonts w:eastAsia="Calibri"/>
          <w:szCs w:val="24"/>
          <w:lang w:val="de-DE"/>
        </w:rPr>
        <w:t>„-</w:t>
      </w:r>
      <w:r w:rsidRPr="00DD2A86">
        <w:rPr>
          <w:rFonts w:eastAsia="Calibri"/>
          <w:szCs w:val="24"/>
          <w:lang w:val="de-DE"/>
        </w:rPr>
        <w:tab/>
      </w:r>
      <w:r w:rsidRPr="00DD2A86">
        <w:rPr>
          <w:lang w:val="de-DE" w:eastAsia="fr-FR"/>
        </w:rPr>
        <w:t>Restladung, Waschwasser, Ladungsrückstände und Slops in nicht mehr als sechs zugelassenen Restebehältern und Slopbehältern mit einem Fassungsvermögen von insgesamt nicht mehr als 12 m³. Die Restebehälter und Slopbehälter müssen in sicherer Weise im Bereich der Ladung aufgestellt sein und sich mindestens im Abstand von einem Viertel der Schiffsbreite zur Außenhaut befinden und den Anforderungen in Absatz 9.3.2.26.3 oder 9.3.3.26.3 entsprechen.“.</w:t>
      </w:r>
    </w:p>
    <w:p w:rsidR="00B33EBD" w:rsidRPr="00DD2A86" w:rsidRDefault="00B33EBD" w:rsidP="00B33EBD">
      <w:pPr>
        <w:tabs>
          <w:tab w:val="left" w:pos="2268"/>
          <w:tab w:val="left" w:pos="3119"/>
        </w:tabs>
        <w:kinsoku w:val="0"/>
        <w:overflowPunct w:val="0"/>
        <w:autoSpaceDE w:val="0"/>
        <w:autoSpaceDN w:val="0"/>
        <w:adjustRightInd w:val="0"/>
        <w:snapToGrid w:val="0"/>
        <w:spacing w:before="120" w:after="120"/>
        <w:ind w:left="1134" w:right="1134"/>
        <w:jc w:val="both"/>
        <w:rPr>
          <w:rFonts w:eastAsiaTheme="minorHAnsi"/>
          <w:szCs w:val="18"/>
          <w:lang w:val="de-DE"/>
        </w:rPr>
      </w:pPr>
      <w:r w:rsidRPr="00DD2A86">
        <w:rPr>
          <w:rFonts w:eastAsiaTheme="minorHAnsi"/>
          <w:szCs w:val="18"/>
          <w:lang w:val="de-DE"/>
        </w:rPr>
        <w:t xml:space="preserve">7.2.4.2.2 </w:t>
      </w:r>
      <w:r w:rsidRPr="00DD2A86">
        <w:rPr>
          <w:rFonts w:eastAsiaTheme="minorHAnsi"/>
          <w:szCs w:val="18"/>
          <w:lang w:val="de-DE"/>
        </w:rPr>
        <w:tab/>
        <w:t>Im ersten Satz „Anlegen“ ändern in: „Festmachen“.</w:t>
      </w:r>
    </w:p>
    <w:p w:rsidR="00B33EBD" w:rsidRPr="00DD2A86" w:rsidRDefault="00B33EBD" w:rsidP="00B33EBD">
      <w:pPr>
        <w:tabs>
          <w:tab w:val="left" w:pos="2268"/>
          <w:tab w:val="left" w:pos="3119"/>
        </w:tabs>
        <w:kinsoku w:val="0"/>
        <w:overflowPunct w:val="0"/>
        <w:autoSpaceDE w:val="0"/>
        <w:autoSpaceDN w:val="0"/>
        <w:adjustRightInd w:val="0"/>
        <w:snapToGrid w:val="0"/>
        <w:spacing w:before="120" w:after="120"/>
        <w:ind w:left="1134" w:right="1134"/>
        <w:jc w:val="both"/>
        <w:rPr>
          <w:rFonts w:eastAsiaTheme="minorHAnsi"/>
          <w:szCs w:val="18"/>
          <w:lang w:val="de-DE"/>
        </w:rPr>
      </w:pPr>
      <w:r w:rsidRPr="00DD2A86">
        <w:rPr>
          <w:rFonts w:eastAsiaTheme="minorHAnsi"/>
          <w:szCs w:val="18"/>
          <w:lang w:val="de-DE"/>
        </w:rPr>
        <w:t>7.2.4.2.3</w:t>
      </w:r>
      <w:r w:rsidRPr="00DD2A86">
        <w:rPr>
          <w:rFonts w:eastAsiaTheme="minorHAnsi"/>
          <w:szCs w:val="18"/>
          <w:lang w:val="de-DE"/>
        </w:rPr>
        <w:tab/>
        <w:t>Im ersten Satz „Anlegen“ ändern in: „Festmachen“.</w:t>
      </w:r>
    </w:p>
    <w:p w:rsidR="00B33EBD" w:rsidRPr="00DD2A86" w:rsidRDefault="00B33EBD" w:rsidP="00B33EBD">
      <w:pPr>
        <w:kinsoku w:val="0"/>
        <w:overflowPunct w:val="0"/>
        <w:autoSpaceDE w:val="0"/>
        <w:autoSpaceDN w:val="0"/>
        <w:adjustRightInd w:val="0"/>
        <w:snapToGrid w:val="0"/>
        <w:spacing w:before="120" w:after="120"/>
        <w:ind w:left="1134" w:right="1134"/>
        <w:jc w:val="both"/>
        <w:rPr>
          <w:rFonts w:eastAsia="SimSun"/>
          <w:strike/>
          <w:szCs w:val="18"/>
          <w:lang w:val="de-DE" w:eastAsia="zh-CN"/>
        </w:rPr>
      </w:pPr>
      <w:r w:rsidRPr="00DD2A86">
        <w:rPr>
          <w:rFonts w:eastAsiaTheme="minorHAnsi"/>
          <w:szCs w:val="18"/>
          <w:lang w:val="de-DE"/>
        </w:rPr>
        <w:t>7.2.4.7.1</w:t>
      </w:r>
      <w:r w:rsidRPr="00DD2A86">
        <w:rPr>
          <w:rFonts w:eastAsiaTheme="minorHAnsi"/>
          <w:szCs w:val="18"/>
          <w:lang w:val="de-DE"/>
        </w:rPr>
        <w:tab/>
        <w:t>„beladen, gelöscht oder entgast“ ändern in: „</w:t>
      </w:r>
      <w:r w:rsidRPr="00DD2A86">
        <w:rPr>
          <w:rFonts w:eastAsia="SimSun"/>
          <w:szCs w:val="18"/>
          <w:lang w:val="de-DE" w:eastAsia="zh-CN"/>
        </w:rPr>
        <w:t>beladen oder gelöscht“.</w:t>
      </w:r>
    </w:p>
    <w:p w:rsidR="00F04560" w:rsidRPr="00DD2A86" w:rsidRDefault="00F04560" w:rsidP="003B5A4C">
      <w:pPr>
        <w:suppressAutoHyphens w:val="0"/>
        <w:spacing w:before="240" w:line="240" w:lineRule="auto"/>
        <w:ind w:left="2268" w:right="1134" w:hanging="1134"/>
        <w:jc w:val="both"/>
        <w:rPr>
          <w:bCs/>
          <w:lang w:val="de-DE" w:eastAsia="de-DE"/>
        </w:rPr>
      </w:pPr>
      <w:r w:rsidRPr="00DD2A86">
        <w:rPr>
          <w:bCs/>
          <w:lang w:val="de-DE" w:eastAsia="de-DE"/>
        </w:rPr>
        <w:t>7.2.4.7</w:t>
      </w:r>
      <w:r w:rsidR="001A4FAC" w:rsidRPr="00DD2A86">
        <w:rPr>
          <w:bCs/>
          <w:lang w:val="de-DE" w:eastAsia="de-DE"/>
        </w:rPr>
        <w:t>.1</w:t>
      </w:r>
      <w:r w:rsidRPr="00DD2A86">
        <w:rPr>
          <w:bCs/>
          <w:lang w:val="de-DE" w:eastAsia="de-DE"/>
        </w:rPr>
        <w:tab/>
      </w:r>
      <w:r w:rsidRPr="00DD2A86">
        <w:rPr>
          <w:bCs/>
          <w:lang w:val="de-DE" w:eastAsia="de-DE"/>
        </w:rPr>
        <w:tab/>
        <w:t xml:space="preserve">Folgende neue </w:t>
      </w:r>
      <w:r w:rsidR="001A4FAC" w:rsidRPr="00DD2A86">
        <w:rPr>
          <w:bCs/>
          <w:lang w:val="de-DE" w:eastAsia="de-DE"/>
        </w:rPr>
        <w:t>S</w:t>
      </w:r>
      <w:r w:rsidR="0030595F" w:rsidRPr="00DD2A86">
        <w:rPr>
          <w:bCs/>
          <w:lang w:val="de-DE" w:eastAsia="de-DE"/>
        </w:rPr>
        <w:t>ä</w:t>
      </w:r>
      <w:r w:rsidR="001A4FAC" w:rsidRPr="00DD2A86">
        <w:rPr>
          <w:bCs/>
          <w:lang w:val="de-DE" w:eastAsia="de-DE"/>
        </w:rPr>
        <w:t>tz</w:t>
      </w:r>
      <w:r w:rsidR="0030595F" w:rsidRPr="00DD2A86">
        <w:rPr>
          <w:bCs/>
          <w:lang w:val="de-DE" w:eastAsia="de-DE"/>
        </w:rPr>
        <w:t>e</w:t>
      </w:r>
      <w:r w:rsidR="001A4FAC" w:rsidRPr="00DD2A86">
        <w:rPr>
          <w:bCs/>
          <w:lang w:val="de-DE" w:eastAsia="de-DE"/>
        </w:rPr>
        <w:t xml:space="preserve"> am Ende </w:t>
      </w:r>
      <w:r w:rsidRPr="00DD2A86">
        <w:rPr>
          <w:bCs/>
          <w:lang w:val="de-DE" w:eastAsia="de-DE"/>
        </w:rPr>
        <w:t>hinzufügen:</w:t>
      </w:r>
    </w:p>
    <w:p w:rsidR="0077736F" w:rsidRPr="00DD2A86" w:rsidRDefault="0077736F" w:rsidP="003B5A4C">
      <w:pPr>
        <w:suppressAutoHyphens w:val="0"/>
        <w:spacing w:before="120" w:line="240" w:lineRule="auto"/>
        <w:ind w:left="2268" w:right="1134"/>
        <w:jc w:val="both"/>
        <w:rPr>
          <w:bCs/>
          <w:lang w:val="de-DE" w:eastAsia="de-DE"/>
        </w:rPr>
      </w:pPr>
      <w:r w:rsidRPr="00DD2A86">
        <w:rPr>
          <w:bCs/>
          <w:lang w:val="de-DE" w:eastAsia="de-DE"/>
        </w:rPr>
        <w:t>„Ist an der Lade- oder Löschstelle landseitig eine Zone ausgewiesen, darf sich das Schiff nur</w:t>
      </w:r>
      <w:r w:rsidR="009E4ED2" w:rsidRPr="00DD2A86">
        <w:rPr>
          <w:bCs/>
          <w:lang w:val="de-DE" w:eastAsia="de-DE"/>
        </w:rPr>
        <w:t xml:space="preserve"> dann</w:t>
      </w:r>
      <w:r w:rsidRPr="00DD2A86">
        <w:rPr>
          <w:bCs/>
          <w:lang w:val="de-DE" w:eastAsia="de-DE"/>
        </w:rPr>
        <w:t xml:space="preserve"> in dieser oder unmittelbar angrenzend an diese landseitig ausgewiesene Zone aufhalten, wenn es die Anforderungen der Absätze 9.3.x.12.4 b) oder c), 9.3.x.51, 9.3.x.52.1 und 9.3.x.52.3 erfüllt.</w:t>
      </w:r>
      <w:r w:rsidR="00350629" w:rsidRPr="00DD2A86">
        <w:rPr>
          <w:rFonts w:cs="Arial"/>
          <w:lang w:val="de-DE" w:eastAsia="fr-FR"/>
        </w:rPr>
        <w:t xml:space="preserve"> Die zuständige Behörde kann im Einzelfall Ausnahmen zulassen.</w:t>
      </w:r>
      <w:r w:rsidRPr="00DD2A86">
        <w:rPr>
          <w:bCs/>
          <w:lang w:val="de-DE" w:eastAsia="de-DE"/>
        </w:rPr>
        <w:t>“.</w:t>
      </w:r>
    </w:p>
    <w:p w:rsidR="007C000A" w:rsidRPr="00DD2A86" w:rsidRDefault="007C000A">
      <w:pPr>
        <w:suppressAutoHyphens w:val="0"/>
        <w:spacing w:line="240" w:lineRule="auto"/>
        <w:rPr>
          <w:rFonts w:eastAsiaTheme="minorHAnsi"/>
          <w:lang w:val="de-DE"/>
        </w:rPr>
      </w:pPr>
      <w:r w:rsidRPr="00DD2A86">
        <w:rPr>
          <w:rFonts w:eastAsiaTheme="minorHAnsi"/>
          <w:lang w:val="de-DE"/>
        </w:rPr>
        <w:br w:type="page"/>
      </w:r>
    </w:p>
    <w:p w:rsidR="00B33EBD" w:rsidRPr="00DD2A86" w:rsidRDefault="00B33EBD" w:rsidP="00D34B0A">
      <w:pPr>
        <w:kinsoku w:val="0"/>
        <w:overflowPunct w:val="0"/>
        <w:autoSpaceDE w:val="0"/>
        <w:autoSpaceDN w:val="0"/>
        <w:adjustRightInd w:val="0"/>
        <w:snapToGrid w:val="0"/>
        <w:spacing w:before="120" w:after="120"/>
        <w:ind w:left="1134" w:right="1134"/>
        <w:jc w:val="both"/>
        <w:rPr>
          <w:rFonts w:eastAsiaTheme="minorHAnsi"/>
          <w:lang w:val="de-DE"/>
        </w:rPr>
      </w:pPr>
      <w:r w:rsidRPr="00DD2A86">
        <w:rPr>
          <w:rFonts w:eastAsiaTheme="minorHAnsi"/>
          <w:lang w:val="de-DE"/>
        </w:rPr>
        <w:t>7.2.4.7.2</w:t>
      </w:r>
      <w:r w:rsidRPr="00DD2A86">
        <w:rPr>
          <w:rFonts w:eastAsiaTheme="minorHAnsi"/>
          <w:lang w:val="de-DE"/>
        </w:rPr>
        <w:tab/>
        <w:t>Erhält folgenden Wortlaut:</w:t>
      </w:r>
    </w:p>
    <w:p w:rsidR="00B33EBD" w:rsidRPr="00DD2A86" w:rsidRDefault="00B33EBD" w:rsidP="00B33EBD">
      <w:pPr>
        <w:kinsoku w:val="0"/>
        <w:overflowPunct w:val="0"/>
        <w:autoSpaceDE w:val="0"/>
        <w:autoSpaceDN w:val="0"/>
        <w:adjustRightInd w:val="0"/>
        <w:snapToGrid w:val="0"/>
        <w:spacing w:after="120"/>
        <w:ind w:left="1134" w:right="1134"/>
        <w:jc w:val="both"/>
        <w:rPr>
          <w:rFonts w:eastAsiaTheme="minorHAnsi"/>
          <w:lang w:val="de-DE"/>
        </w:rPr>
      </w:pPr>
      <w:r w:rsidRPr="00DD2A86">
        <w:rPr>
          <w:rFonts w:eastAsiaTheme="minorHAnsi"/>
          <w:lang w:val="de-DE"/>
        </w:rPr>
        <w:t>„7.2.4.7.2</w:t>
      </w:r>
      <w:r w:rsidRPr="00DD2A86">
        <w:rPr>
          <w:rFonts w:eastAsiaTheme="minorHAnsi"/>
          <w:lang w:val="de-DE"/>
        </w:rPr>
        <w:tab/>
        <w:t>Die Übernahme von flüssigen, unverpackten öl- und fetthaltigen Schiffsbetriebsabfällen von anderen Schiffen und die Abgabe von Schiffsbetriebsstoffen in Bunker anderer Schiffe gilt nicht als Laden oder Löschen im Sinne des Absatzes 7.2.4.7.1 oder als Umladen im Sinne des Unterabschnittes 7.2.4.9.“.</w:t>
      </w:r>
    </w:p>
    <w:p w:rsidR="00B33EBD" w:rsidRPr="00DD2A86" w:rsidRDefault="00B33EBD" w:rsidP="00B33EBD">
      <w:pPr>
        <w:kinsoku w:val="0"/>
        <w:overflowPunct w:val="0"/>
        <w:autoSpaceDE w:val="0"/>
        <w:autoSpaceDN w:val="0"/>
        <w:adjustRightInd w:val="0"/>
        <w:snapToGrid w:val="0"/>
        <w:spacing w:after="120"/>
        <w:ind w:left="1134" w:right="1134"/>
        <w:jc w:val="both"/>
        <w:rPr>
          <w:rFonts w:eastAsiaTheme="minorHAnsi"/>
          <w:lang w:val="de-DE"/>
        </w:rPr>
      </w:pPr>
      <w:r w:rsidRPr="00DD2A86">
        <w:rPr>
          <w:rFonts w:eastAsiaTheme="minorHAnsi"/>
          <w:lang w:val="de-DE"/>
        </w:rPr>
        <w:t>7.2.4.9</w:t>
      </w:r>
      <w:r w:rsidRPr="00DD2A86">
        <w:rPr>
          <w:rFonts w:eastAsiaTheme="minorHAnsi"/>
          <w:lang w:val="de-DE"/>
        </w:rPr>
        <w:tab/>
      </w:r>
      <w:r w:rsidRPr="00DD2A86">
        <w:rPr>
          <w:rFonts w:eastAsiaTheme="minorHAnsi"/>
          <w:lang w:val="de-DE"/>
        </w:rPr>
        <w:tab/>
        <w:t xml:space="preserve">Die bestehende </w:t>
      </w:r>
      <w:r w:rsidRPr="00DD2A86">
        <w:rPr>
          <w:rFonts w:eastAsiaTheme="minorHAnsi"/>
          <w:b/>
          <w:lang w:val="de-DE"/>
        </w:rPr>
        <w:t>„Bem.“</w:t>
      </w:r>
      <w:r w:rsidRPr="00DD2A86">
        <w:rPr>
          <w:rFonts w:eastAsiaTheme="minorHAnsi"/>
          <w:lang w:val="de-DE"/>
        </w:rPr>
        <w:t xml:space="preserve"> wird </w:t>
      </w:r>
      <w:r w:rsidRPr="00DD2A86">
        <w:rPr>
          <w:rFonts w:eastAsiaTheme="minorHAnsi"/>
          <w:b/>
          <w:lang w:val="de-DE"/>
        </w:rPr>
        <w:t>„Bem. 1“.</w:t>
      </w:r>
      <w:r w:rsidRPr="00DD2A86">
        <w:rPr>
          <w:rFonts w:eastAsiaTheme="minorHAnsi"/>
          <w:lang w:val="de-DE"/>
        </w:rPr>
        <w:t xml:space="preserve"> Folgende neue „</w:t>
      </w:r>
      <w:r w:rsidRPr="00DD2A86">
        <w:rPr>
          <w:rFonts w:eastAsiaTheme="minorHAnsi"/>
          <w:b/>
          <w:lang w:val="de-DE"/>
        </w:rPr>
        <w:t>Bem. 2“</w:t>
      </w:r>
      <w:r w:rsidRPr="00DD2A86">
        <w:rPr>
          <w:rFonts w:eastAsiaTheme="minorHAnsi"/>
          <w:lang w:val="de-DE"/>
        </w:rPr>
        <w:t xml:space="preserve"> mit folgendem Wortlaut hinzufügen:</w:t>
      </w:r>
    </w:p>
    <w:p w:rsidR="00B33EBD" w:rsidRPr="00DD2A86" w:rsidRDefault="00B33EBD" w:rsidP="00B33EBD">
      <w:pPr>
        <w:tabs>
          <w:tab w:val="left" w:pos="1985"/>
        </w:tabs>
        <w:kinsoku w:val="0"/>
        <w:overflowPunct w:val="0"/>
        <w:autoSpaceDE w:val="0"/>
        <w:autoSpaceDN w:val="0"/>
        <w:adjustRightInd w:val="0"/>
        <w:snapToGrid w:val="0"/>
        <w:spacing w:after="120"/>
        <w:ind w:left="1134" w:right="1134"/>
        <w:jc w:val="both"/>
        <w:rPr>
          <w:rFonts w:eastAsiaTheme="minorHAnsi"/>
          <w:lang w:val="de-DE"/>
        </w:rPr>
      </w:pPr>
      <w:r w:rsidRPr="00DD2A86">
        <w:rPr>
          <w:rFonts w:eastAsiaTheme="minorHAnsi"/>
          <w:b/>
          <w:iCs/>
          <w:lang w:val="de-DE"/>
        </w:rPr>
        <w:t xml:space="preserve">„Bem.2 </w:t>
      </w:r>
      <w:r w:rsidRPr="00DD2A86">
        <w:rPr>
          <w:rFonts w:eastAsiaTheme="minorHAnsi"/>
          <w:b/>
          <w:iCs/>
          <w:lang w:val="de-DE"/>
        </w:rPr>
        <w:tab/>
      </w:r>
      <w:r w:rsidRPr="00DD2A86">
        <w:rPr>
          <w:rFonts w:eastAsiaTheme="minorHAnsi"/>
          <w:iCs/>
          <w:lang w:val="de-DE"/>
        </w:rPr>
        <w:t>Dieses Verbot gilt auch für das Umladen zwischen  Bunkerbooten.“.</w:t>
      </w:r>
    </w:p>
    <w:p w:rsidR="00B33EBD" w:rsidRPr="00DD2A86" w:rsidRDefault="00B33EBD" w:rsidP="00B33EBD">
      <w:pPr>
        <w:kinsoku w:val="0"/>
        <w:overflowPunct w:val="0"/>
        <w:autoSpaceDE w:val="0"/>
        <w:autoSpaceDN w:val="0"/>
        <w:adjustRightInd w:val="0"/>
        <w:snapToGrid w:val="0"/>
        <w:spacing w:before="120" w:after="120"/>
        <w:ind w:left="1134" w:right="1134"/>
        <w:jc w:val="both"/>
        <w:rPr>
          <w:rFonts w:eastAsiaTheme="minorHAnsi"/>
          <w:lang w:val="de-DE"/>
        </w:rPr>
      </w:pPr>
      <w:r w:rsidRPr="00DD2A86">
        <w:rPr>
          <w:rFonts w:eastAsiaTheme="minorHAnsi"/>
          <w:lang w:val="de-DE"/>
        </w:rPr>
        <w:t>7.2.4.10.1</w:t>
      </w:r>
      <w:r w:rsidRPr="00DD2A86">
        <w:rPr>
          <w:rFonts w:eastAsiaTheme="minorHAnsi"/>
          <w:lang w:val="de-DE"/>
        </w:rPr>
        <w:tab/>
        <w:t>Den letzten Absatz streichen.</w:t>
      </w:r>
    </w:p>
    <w:p w:rsidR="00B33EBD" w:rsidRPr="00DD2A86" w:rsidRDefault="00B33EBD" w:rsidP="004103DB">
      <w:pPr>
        <w:tabs>
          <w:tab w:val="left" w:pos="3119"/>
          <w:tab w:val="left" w:pos="3969"/>
        </w:tabs>
        <w:kinsoku w:val="0"/>
        <w:overflowPunct w:val="0"/>
        <w:autoSpaceDE w:val="0"/>
        <w:autoSpaceDN w:val="0"/>
        <w:adjustRightInd w:val="0"/>
        <w:snapToGrid w:val="0"/>
        <w:spacing w:before="120" w:after="120"/>
        <w:ind w:left="1134" w:right="1134"/>
        <w:jc w:val="both"/>
        <w:rPr>
          <w:rFonts w:eastAsiaTheme="minorHAnsi"/>
          <w:i/>
          <w:lang w:val="de-DE"/>
        </w:rPr>
      </w:pPr>
      <w:r w:rsidRPr="00DD2A86">
        <w:rPr>
          <w:rFonts w:eastAsiaTheme="minorHAnsi"/>
          <w:szCs w:val="18"/>
          <w:lang w:val="de-DE"/>
        </w:rPr>
        <w:t>7.2.4.12</w:t>
      </w:r>
      <w:r w:rsidRPr="00DD2A86">
        <w:rPr>
          <w:rFonts w:eastAsiaTheme="minorHAnsi"/>
          <w:szCs w:val="18"/>
          <w:lang w:val="de-DE"/>
        </w:rPr>
        <w:tab/>
        <w:t>[Die Änderung in der englischen Fassung hat keine Auswirkungen auf den deutschen Text.]</w:t>
      </w:r>
    </w:p>
    <w:p w:rsidR="00E6374D" w:rsidRPr="00DD2A86" w:rsidRDefault="00E6374D" w:rsidP="00E6374D">
      <w:pPr>
        <w:spacing w:before="120" w:after="120"/>
        <w:ind w:left="1134" w:right="1134"/>
        <w:jc w:val="both"/>
        <w:rPr>
          <w:lang w:val="de-DE"/>
        </w:rPr>
      </w:pPr>
      <w:r w:rsidRPr="00DD2A86">
        <w:rPr>
          <w:lang w:val="de-DE"/>
        </w:rPr>
        <w:t>7.2.4.13.1, dritter Absatz</w:t>
      </w:r>
      <w:r w:rsidRPr="00DD2A86">
        <w:rPr>
          <w:lang w:val="de-DE"/>
        </w:rPr>
        <w:tab/>
        <w:t>„Reste von einem Stoff“ ändern in: „Rückstände der vorhergehenden Ladung“.</w:t>
      </w:r>
    </w:p>
    <w:p w:rsidR="00215B9E" w:rsidRPr="00DD2A86" w:rsidRDefault="00215B9E" w:rsidP="00215B9E">
      <w:pPr>
        <w:tabs>
          <w:tab w:val="left" w:pos="2268"/>
          <w:tab w:val="left" w:pos="8505"/>
        </w:tabs>
        <w:suppressAutoHyphens w:val="0"/>
        <w:spacing w:before="240"/>
        <w:ind w:left="1134" w:right="1134"/>
        <w:rPr>
          <w:rFonts w:eastAsia="Calibri"/>
          <w:szCs w:val="24"/>
          <w:lang w:val="de-DE"/>
        </w:rPr>
      </w:pPr>
      <w:r w:rsidRPr="00DD2A86">
        <w:rPr>
          <w:rFonts w:eastAsia="Calibri"/>
          <w:szCs w:val="24"/>
          <w:lang w:val="de-DE"/>
        </w:rPr>
        <w:t>7.2.4.15.2</w:t>
      </w:r>
      <w:r w:rsidRPr="00DD2A86">
        <w:rPr>
          <w:rFonts w:eastAsia="Calibri"/>
          <w:szCs w:val="24"/>
          <w:lang w:val="de-DE"/>
        </w:rPr>
        <w:tab/>
        <w:t>Erhält folgenden Wortlaut:</w:t>
      </w:r>
    </w:p>
    <w:p w:rsidR="00215B9E" w:rsidRPr="00DD2A86" w:rsidRDefault="00215B9E" w:rsidP="006216C1">
      <w:pPr>
        <w:tabs>
          <w:tab w:val="left" w:pos="3402"/>
          <w:tab w:val="left" w:pos="8505"/>
        </w:tabs>
        <w:suppressAutoHyphens w:val="0"/>
        <w:spacing w:before="120" w:after="120"/>
        <w:ind w:left="2268" w:right="1134"/>
        <w:jc w:val="both"/>
        <w:rPr>
          <w:rFonts w:eastAsia="Calibri"/>
          <w:szCs w:val="24"/>
          <w:lang w:val="de-DE"/>
        </w:rPr>
      </w:pPr>
      <w:r w:rsidRPr="00DD2A86">
        <w:rPr>
          <w:rFonts w:eastAsia="Calibri"/>
          <w:szCs w:val="24"/>
          <w:lang w:val="de-DE"/>
        </w:rPr>
        <w:t>„</w:t>
      </w:r>
      <w:r w:rsidR="004103DB" w:rsidRPr="00DD2A86">
        <w:rPr>
          <w:rFonts w:eastAsia="Calibri"/>
          <w:szCs w:val="24"/>
          <w:lang w:val="de-DE"/>
        </w:rPr>
        <w:t xml:space="preserve">7.2.4.15.2 </w:t>
      </w:r>
      <w:r w:rsidR="004103DB" w:rsidRPr="00DD2A86">
        <w:rPr>
          <w:rFonts w:eastAsia="Calibri"/>
          <w:szCs w:val="24"/>
          <w:lang w:val="de-DE"/>
        </w:rPr>
        <w:tab/>
      </w:r>
      <w:r w:rsidRPr="00DD2A86">
        <w:rPr>
          <w:rFonts w:eastAsia="Calibri"/>
          <w:szCs w:val="24"/>
          <w:lang w:val="de-DE"/>
        </w:rPr>
        <w:t>Während der Befüllung der Resttanks und Restebehälter müssen die austretenden Gase in sicherer Weise abgeführt werden. Sie dürfen nur während der Zeit, welche für die Befüllung notwendig ist, mit der Gasabfuhrleitung der Ladetanks verbunden sein.</w:t>
      </w:r>
    </w:p>
    <w:p w:rsidR="00215B9E" w:rsidRPr="00DD2A86" w:rsidRDefault="00215B9E" w:rsidP="006216C1">
      <w:pPr>
        <w:tabs>
          <w:tab w:val="left" w:pos="8505"/>
        </w:tabs>
        <w:suppressAutoHyphens w:val="0"/>
        <w:spacing w:after="120" w:line="276" w:lineRule="auto"/>
        <w:ind w:left="2268" w:right="1134"/>
        <w:jc w:val="both"/>
        <w:rPr>
          <w:rFonts w:eastAsia="Calibri"/>
          <w:szCs w:val="24"/>
          <w:lang w:val="de-DE"/>
        </w:rPr>
      </w:pPr>
      <w:r w:rsidRPr="00DD2A86">
        <w:rPr>
          <w:rFonts w:eastAsia="Calibri"/>
          <w:szCs w:val="24"/>
          <w:lang w:val="de-DE"/>
        </w:rPr>
        <w:t>Während der Befüllung müssen unter den dafür benutzten Anschlüssen Mittel angebracht sein, um eventuell auftretende Leckflüssigkeiten aufnehmen zu können.“.</w:t>
      </w:r>
    </w:p>
    <w:p w:rsidR="006216C1" w:rsidRPr="00DD2A86" w:rsidRDefault="006216C1" w:rsidP="006216C1">
      <w:pPr>
        <w:tabs>
          <w:tab w:val="left" w:pos="3119"/>
          <w:tab w:val="left" w:pos="3969"/>
        </w:tabs>
        <w:kinsoku w:val="0"/>
        <w:overflowPunct w:val="0"/>
        <w:autoSpaceDE w:val="0"/>
        <w:autoSpaceDN w:val="0"/>
        <w:adjustRightInd w:val="0"/>
        <w:snapToGrid w:val="0"/>
        <w:spacing w:before="120" w:after="120"/>
        <w:ind w:left="1134" w:right="1134"/>
        <w:jc w:val="both"/>
        <w:rPr>
          <w:rFonts w:eastAsiaTheme="minorHAnsi"/>
          <w:i/>
          <w:lang w:val="de-DE"/>
        </w:rPr>
      </w:pPr>
      <w:r w:rsidRPr="00DD2A86">
        <w:rPr>
          <w:rFonts w:eastAsiaTheme="minorHAnsi"/>
          <w:szCs w:val="18"/>
          <w:lang w:val="de-DE"/>
        </w:rPr>
        <w:t>7.2.4.15.3 und 7.2.4.16.3</w:t>
      </w:r>
      <w:r w:rsidRPr="00DD2A86">
        <w:rPr>
          <w:rFonts w:eastAsiaTheme="minorHAnsi"/>
          <w:szCs w:val="18"/>
          <w:lang w:val="de-DE"/>
        </w:rPr>
        <w:tab/>
        <w:t>[Die Änderung in der englischen Fassung hat keine Auswirkungen auf den deutschen Text.]</w:t>
      </w:r>
    </w:p>
    <w:p w:rsidR="00F04560" w:rsidRPr="00DD2A86" w:rsidRDefault="00435E20" w:rsidP="00B61A90">
      <w:pPr>
        <w:tabs>
          <w:tab w:val="left" w:pos="2268"/>
          <w:tab w:val="left" w:pos="8190"/>
        </w:tabs>
        <w:suppressAutoHyphens w:val="0"/>
        <w:spacing w:before="240" w:line="240" w:lineRule="auto"/>
        <w:ind w:left="2835" w:right="567" w:hanging="1701"/>
        <w:jc w:val="both"/>
        <w:rPr>
          <w:bCs/>
          <w:lang w:val="de-DE" w:eastAsia="de-DE"/>
        </w:rPr>
      </w:pPr>
      <w:r w:rsidRPr="00DD2A86">
        <w:rPr>
          <w:bCs/>
          <w:lang w:val="de-DE" w:eastAsia="de-DE"/>
        </w:rPr>
        <w:t>7.2.4.16.3</w:t>
      </w:r>
      <w:r w:rsidRPr="00DD2A86">
        <w:rPr>
          <w:bCs/>
          <w:lang w:val="de-DE" w:eastAsia="de-DE"/>
        </w:rPr>
        <w:tab/>
      </w:r>
      <w:r w:rsidR="00CA2C3D" w:rsidRPr="00DD2A86">
        <w:rPr>
          <w:bCs/>
          <w:lang w:val="de-DE" w:eastAsia="de-DE"/>
        </w:rPr>
        <w:t>Nach „Lade- und Löschleitungen“ hinzufügen: „sofern vorhanden“.</w:t>
      </w:r>
    </w:p>
    <w:p w:rsidR="00CA2C3D" w:rsidRPr="00DD2A86" w:rsidRDefault="000E6E4B" w:rsidP="003B5A4C">
      <w:pPr>
        <w:tabs>
          <w:tab w:val="left" w:pos="2552"/>
        </w:tabs>
        <w:suppressAutoHyphens w:val="0"/>
        <w:spacing w:before="240" w:line="240" w:lineRule="auto"/>
        <w:ind w:left="2268" w:right="1134" w:hanging="1134"/>
        <w:jc w:val="both"/>
        <w:rPr>
          <w:bCs/>
          <w:lang w:val="de-DE" w:eastAsia="de-DE"/>
        </w:rPr>
      </w:pPr>
      <w:r w:rsidRPr="00DD2A86">
        <w:rPr>
          <w:bCs/>
          <w:lang w:val="de-DE" w:eastAsia="de-DE"/>
        </w:rPr>
        <w:t>7.2.4.16.6</w:t>
      </w:r>
      <w:r w:rsidR="00A3363C" w:rsidRPr="00DD2A86">
        <w:rPr>
          <w:bCs/>
          <w:lang w:val="de-DE" w:eastAsia="de-DE"/>
        </w:rPr>
        <w:tab/>
      </w:r>
      <w:r w:rsidRPr="00DD2A86">
        <w:rPr>
          <w:bCs/>
          <w:lang w:val="de-DE" w:eastAsia="de-DE"/>
        </w:rPr>
        <w:t>-</w:t>
      </w:r>
      <w:r w:rsidRPr="00DD2A86">
        <w:rPr>
          <w:bCs/>
          <w:lang w:val="de-DE" w:eastAsia="de-DE"/>
        </w:rPr>
        <w:tab/>
      </w:r>
      <w:r w:rsidR="00CA2C3D" w:rsidRPr="00DD2A86">
        <w:rPr>
          <w:bCs/>
          <w:lang w:val="de-DE" w:eastAsia="de-DE"/>
        </w:rPr>
        <w:t>„</w:t>
      </w:r>
      <w:r w:rsidR="006863E0" w:rsidRPr="00DD2A86">
        <w:rPr>
          <w:bCs/>
          <w:lang w:val="de-DE" w:eastAsia="de-DE"/>
        </w:rPr>
        <w:t xml:space="preserve">an der </w:t>
      </w:r>
      <w:r w:rsidR="00CA2C3D" w:rsidRPr="00DD2A86">
        <w:rPr>
          <w:bCs/>
          <w:lang w:val="de-DE" w:eastAsia="de-DE"/>
        </w:rPr>
        <w:t>Übergabestelle“ ändern in: „</w:t>
      </w:r>
      <w:r w:rsidR="006863E0" w:rsidRPr="00DD2A86">
        <w:rPr>
          <w:bCs/>
          <w:lang w:val="de-DE" w:eastAsia="de-DE"/>
        </w:rPr>
        <w:t xml:space="preserve">an der </w:t>
      </w:r>
      <w:r w:rsidR="00CA2C3D" w:rsidRPr="00DD2A86">
        <w:rPr>
          <w:bCs/>
          <w:lang w:val="de-DE" w:eastAsia="de-DE"/>
        </w:rPr>
        <w:t xml:space="preserve">Übergabestelle </w:t>
      </w:r>
      <w:r w:rsidR="006863E0" w:rsidRPr="00DD2A86">
        <w:rPr>
          <w:bCs/>
          <w:lang w:val="de-DE" w:eastAsia="de-DE"/>
        </w:rPr>
        <w:t xml:space="preserve">der </w:t>
      </w:r>
      <w:r w:rsidR="00CA2C3D" w:rsidRPr="00DD2A86">
        <w:rPr>
          <w:bCs/>
          <w:lang w:val="de-DE" w:eastAsia="de-DE"/>
        </w:rPr>
        <w:t>Gasabfu</w:t>
      </w:r>
      <w:r w:rsidRPr="00DD2A86">
        <w:rPr>
          <w:bCs/>
          <w:lang w:val="de-DE" w:eastAsia="de-DE"/>
        </w:rPr>
        <w:t>hr</w:t>
      </w:r>
      <w:r w:rsidR="006863E0" w:rsidRPr="00DD2A86">
        <w:rPr>
          <w:bCs/>
          <w:lang w:val="de-DE" w:eastAsia="de-DE"/>
        </w:rPr>
        <w:t>-  und</w:t>
      </w:r>
      <w:r w:rsidRPr="00DD2A86">
        <w:rPr>
          <w:bCs/>
          <w:lang w:val="de-DE" w:eastAsia="de-DE"/>
        </w:rPr>
        <w:t xml:space="preserve"> Gasrückfuhrleitung“</w:t>
      </w:r>
      <w:r w:rsidR="00537308" w:rsidRPr="00DD2A86">
        <w:rPr>
          <w:bCs/>
          <w:lang w:val="de-DE" w:eastAsia="de-DE"/>
        </w:rPr>
        <w:t>.</w:t>
      </w:r>
    </w:p>
    <w:p w:rsidR="000E6E4B" w:rsidRPr="00DD2A86" w:rsidRDefault="000E6E4B" w:rsidP="003B5A4C">
      <w:pPr>
        <w:tabs>
          <w:tab w:val="left" w:pos="2552"/>
        </w:tabs>
        <w:suppressAutoHyphens w:val="0"/>
        <w:spacing w:line="240" w:lineRule="auto"/>
        <w:ind w:left="2268" w:right="1134"/>
        <w:jc w:val="both"/>
        <w:rPr>
          <w:bCs/>
          <w:lang w:val="de-DE" w:eastAsia="de-DE"/>
        </w:rPr>
      </w:pPr>
      <w:r w:rsidRPr="00DD2A86">
        <w:rPr>
          <w:bCs/>
          <w:lang w:val="de-DE" w:eastAsia="de-DE"/>
        </w:rPr>
        <w:t>-</w:t>
      </w:r>
      <w:r w:rsidRPr="00DD2A86">
        <w:rPr>
          <w:bCs/>
          <w:lang w:val="de-DE" w:eastAsia="de-DE"/>
        </w:rPr>
        <w:tab/>
        <w:t>„Hochgeschwindigkeitsventils“ ändern in: „Überdruck-/Hochgeschwindigkeitsventils“.</w:t>
      </w:r>
    </w:p>
    <w:p w:rsidR="00F92046" w:rsidRPr="00DD2A86" w:rsidRDefault="000E6E4B" w:rsidP="003B5A4C">
      <w:pPr>
        <w:suppressAutoHyphens w:val="0"/>
        <w:spacing w:before="240" w:line="240" w:lineRule="auto"/>
        <w:ind w:left="2268" w:right="1134" w:hanging="1134"/>
        <w:jc w:val="both"/>
        <w:rPr>
          <w:bCs/>
          <w:lang w:val="de-DE" w:eastAsia="de-DE"/>
        </w:rPr>
      </w:pPr>
      <w:r w:rsidRPr="00DD2A86">
        <w:rPr>
          <w:bCs/>
          <w:lang w:val="de-DE" w:eastAsia="de-DE"/>
        </w:rPr>
        <w:t>7.2.4.16.7</w:t>
      </w:r>
      <w:r w:rsidRPr="00DD2A86">
        <w:rPr>
          <w:bCs/>
          <w:lang w:val="de-DE" w:eastAsia="de-DE"/>
        </w:rPr>
        <w:tab/>
        <w:t>E</w:t>
      </w:r>
      <w:r w:rsidR="002C0B79" w:rsidRPr="00DD2A86">
        <w:rPr>
          <w:bCs/>
          <w:lang w:val="de-DE" w:eastAsia="de-DE"/>
        </w:rPr>
        <w:t>rhält folgenden Wortlaut:</w:t>
      </w:r>
    </w:p>
    <w:p w:rsidR="000E6E4B" w:rsidRPr="00DD2A86" w:rsidRDefault="000E6E4B" w:rsidP="003B5A4C">
      <w:pPr>
        <w:suppressAutoHyphens w:val="0"/>
        <w:spacing w:before="120" w:line="240" w:lineRule="auto"/>
        <w:ind w:left="2268" w:right="1134"/>
        <w:jc w:val="both"/>
        <w:rPr>
          <w:bCs/>
          <w:lang w:val="de-DE" w:eastAsia="de-DE"/>
        </w:rPr>
      </w:pPr>
      <w:r w:rsidRPr="00DD2A86">
        <w:rPr>
          <w:bCs/>
          <w:lang w:val="de-DE" w:eastAsia="de-DE"/>
        </w:rPr>
        <w:t>„</w:t>
      </w:r>
      <w:r w:rsidR="0043079B" w:rsidRPr="00DD2A86">
        <w:rPr>
          <w:bCs/>
          <w:lang w:val="de-DE" w:eastAsia="de-DE"/>
        </w:rPr>
        <w:t>7.2.4.16.7</w:t>
      </w:r>
      <w:r w:rsidR="0043079B" w:rsidRPr="00DD2A86">
        <w:rPr>
          <w:bCs/>
          <w:lang w:val="de-DE" w:eastAsia="de-DE"/>
        </w:rPr>
        <w:tab/>
      </w:r>
      <w:r w:rsidRPr="00DD2A86">
        <w:rPr>
          <w:bCs/>
          <w:lang w:val="de-DE" w:eastAsia="de-DE"/>
        </w:rPr>
        <w:t>Wenn ein Tankschiff Absatz 9.3.2.22.4 b) oder 9.3.3.22.4 b) entspricht, müssen die einzelnen Ladetanks bei der Beförderung abgesperrt und während des Ladens und Löschens sowie des Entgasens geöffnet sein.“.</w:t>
      </w:r>
    </w:p>
    <w:p w:rsidR="000E6E4B" w:rsidRPr="00DD2A86" w:rsidRDefault="008E6F77" w:rsidP="003B5A4C">
      <w:pPr>
        <w:tabs>
          <w:tab w:val="left" w:pos="2552"/>
        </w:tabs>
        <w:suppressAutoHyphens w:val="0"/>
        <w:spacing w:before="240" w:line="240" w:lineRule="auto"/>
        <w:ind w:left="2268" w:right="1134" w:hanging="1134"/>
        <w:jc w:val="both"/>
        <w:rPr>
          <w:bCs/>
          <w:lang w:val="de-DE" w:eastAsia="de-DE"/>
        </w:rPr>
      </w:pPr>
      <w:r w:rsidRPr="00DD2A86">
        <w:rPr>
          <w:bCs/>
          <w:lang w:val="de-DE" w:eastAsia="de-DE"/>
        </w:rPr>
        <w:t>7.2.4.16.8</w:t>
      </w:r>
      <w:r w:rsidR="00363251" w:rsidRPr="00DD2A86">
        <w:rPr>
          <w:bCs/>
          <w:lang w:val="de-DE" w:eastAsia="de-DE"/>
        </w:rPr>
        <w:tab/>
      </w:r>
      <w:r w:rsidR="00F92046" w:rsidRPr="00DD2A86">
        <w:rPr>
          <w:bCs/>
          <w:lang w:val="de-DE" w:eastAsia="de-DE"/>
        </w:rPr>
        <w:t>-</w:t>
      </w:r>
      <w:r w:rsidR="00F92046" w:rsidRPr="00DD2A86">
        <w:rPr>
          <w:bCs/>
          <w:lang w:val="de-DE" w:eastAsia="de-DE"/>
        </w:rPr>
        <w:tab/>
      </w:r>
      <w:r w:rsidRPr="00DD2A86">
        <w:rPr>
          <w:bCs/>
          <w:lang w:val="de-DE" w:eastAsia="de-DE"/>
        </w:rPr>
        <w:t>Im ersten Satz „Kapitel 3.2“ ändern in: „</w:t>
      </w:r>
      <w:r w:rsidR="002A4460" w:rsidRPr="00DD2A86">
        <w:rPr>
          <w:bCs/>
          <w:lang w:val="de-DE" w:eastAsia="de-DE"/>
        </w:rPr>
        <w:t>Unterabschnitt 3.2.3.2“.</w:t>
      </w:r>
    </w:p>
    <w:p w:rsidR="002A4460" w:rsidRPr="00DD2A86" w:rsidRDefault="00F92046" w:rsidP="003B5A4C">
      <w:pPr>
        <w:tabs>
          <w:tab w:val="left" w:pos="2552"/>
        </w:tabs>
        <w:suppressAutoHyphens w:val="0"/>
        <w:spacing w:line="240" w:lineRule="auto"/>
        <w:ind w:left="2268" w:right="1134"/>
        <w:jc w:val="both"/>
        <w:rPr>
          <w:bCs/>
          <w:lang w:val="de-DE" w:eastAsia="de-DE"/>
        </w:rPr>
      </w:pPr>
      <w:r w:rsidRPr="00DD2A86">
        <w:rPr>
          <w:bCs/>
          <w:lang w:val="de-DE" w:eastAsia="de-DE"/>
        </w:rPr>
        <w:t>-</w:t>
      </w:r>
      <w:r w:rsidRPr="00DD2A86">
        <w:rPr>
          <w:bCs/>
          <w:lang w:val="de-DE" w:eastAsia="de-DE"/>
        </w:rPr>
        <w:tab/>
      </w:r>
      <w:r w:rsidR="002A4460" w:rsidRPr="00DD2A86">
        <w:rPr>
          <w:bCs/>
          <w:lang w:val="de-DE" w:eastAsia="de-DE"/>
        </w:rPr>
        <w:t>Der zweite Satz erhält folgenden Wortlaut: „Personen, welche die Lade-, Lösch- oder Gasabfuhrleitungen an- und abflanschen, die Ladetanks entspannen, eine Probeentnahme oder eine Peilung durchführen oder die Flammensperre reinigen oder austauschen (siehe Unterabschnitt 7.2.4.22)</w:t>
      </w:r>
      <w:r w:rsidR="00071FFB" w:rsidRPr="00DD2A86">
        <w:rPr>
          <w:bCs/>
          <w:lang w:val="de-DE" w:eastAsia="de-DE"/>
        </w:rPr>
        <w:t>,</w:t>
      </w:r>
      <w:r w:rsidR="002A4460" w:rsidRPr="00DD2A86">
        <w:rPr>
          <w:bCs/>
          <w:lang w:val="de-DE" w:eastAsia="de-DE"/>
        </w:rPr>
        <w:t xml:space="preserve"> müssen die in Abschnitt 8.1.5 genannte Schutzausrüstung PP tragen, wenn diese in Unterabschnitt 3.2.3.2 Tabelle C Spalte (18) gefordert wird; sie müssen zusätzlich die Schutzausrüstung A tragen, wenn in Unterabschnitt 3.2.3.2 Tabelle C Spalte (18) ein Toximeter (TOX) gefordert wird“.</w:t>
      </w:r>
    </w:p>
    <w:p w:rsidR="007C000A" w:rsidRPr="00DD2A86" w:rsidRDefault="007C000A">
      <w:pPr>
        <w:suppressAutoHyphens w:val="0"/>
        <w:spacing w:line="240" w:lineRule="auto"/>
        <w:rPr>
          <w:bCs/>
          <w:lang w:val="de-DE" w:eastAsia="de-DE"/>
        </w:rPr>
      </w:pPr>
      <w:r w:rsidRPr="00DD2A86">
        <w:rPr>
          <w:bCs/>
          <w:lang w:val="de-DE" w:eastAsia="de-DE"/>
        </w:rPr>
        <w:br w:type="page"/>
      </w:r>
    </w:p>
    <w:p w:rsidR="00CA0ADF" w:rsidRPr="00DD2A86" w:rsidRDefault="00CA0ADF" w:rsidP="003B5A4C">
      <w:pPr>
        <w:tabs>
          <w:tab w:val="left" w:pos="2552"/>
        </w:tabs>
        <w:suppressAutoHyphens w:val="0"/>
        <w:spacing w:before="240" w:line="240" w:lineRule="auto"/>
        <w:ind w:left="2268" w:right="1134" w:hanging="1134"/>
        <w:jc w:val="both"/>
        <w:rPr>
          <w:bCs/>
          <w:lang w:val="de-DE" w:eastAsia="de-DE"/>
        </w:rPr>
      </w:pPr>
      <w:r w:rsidRPr="00DD2A86">
        <w:rPr>
          <w:bCs/>
          <w:lang w:val="de-DE" w:eastAsia="de-DE"/>
        </w:rPr>
        <w:t>7.2.4.16.12</w:t>
      </w:r>
      <w:r w:rsidR="00363251" w:rsidRPr="00DD2A86">
        <w:rPr>
          <w:bCs/>
          <w:lang w:val="de-DE" w:eastAsia="de-DE"/>
        </w:rPr>
        <w:tab/>
      </w:r>
      <w:r w:rsidRPr="00DD2A86">
        <w:rPr>
          <w:bCs/>
          <w:lang w:val="de-DE" w:eastAsia="de-DE"/>
        </w:rPr>
        <w:t>-</w:t>
      </w:r>
      <w:r w:rsidRPr="00DD2A86">
        <w:rPr>
          <w:bCs/>
          <w:lang w:val="de-DE" w:eastAsia="de-DE"/>
        </w:rPr>
        <w:tab/>
        <w:t>Im ersten Satz „Kapitel 3.2“ ändern in: „</w:t>
      </w:r>
      <w:r w:rsidR="0014527E" w:rsidRPr="00DD2A86">
        <w:rPr>
          <w:bCs/>
          <w:lang w:val="de-DE" w:eastAsia="de-DE"/>
        </w:rPr>
        <w:t xml:space="preserve">Unterabschnitt </w:t>
      </w:r>
      <w:r w:rsidRPr="00DD2A86">
        <w:rPr>
          <w:bCs/>
          <w:lang w:val="de-DE" w:eastAsia="de-DE"/>
        </w:rPr>
        <w:t>3.2.3.2“.</w:t>
      </w:r>
    </w:p>
    <w:p w:rsidR="00CA0ADF" w:rsidRPr="00DD2A86" w:rsidRDefault="00CA0ADF" w:rsidP="003B5A4C">
      <w:pPr>
        <w:tabs>
          <w:tab w:val="left" w:pos="2552"/>
        </w:tabs>
        <w:suppressAutoHyphens w:val="0"/>
        <w:spacing w:line="240" w:lineRule="auto"/>
        <w:ind w:left="2268" w:right="1134"/>
        <w:jc w:val="both"/>
        <w:rPr>
          <w:bCs/>
          <w:lang w:val="de-DE" w:eastAsia="de-DE"/>
        </w:rPr>
      </w:pPr>
      <w:r w:rsidRPr="00DD2A86">
        <w:rPr>
          <w:bCs/>
          <w:lang w:val="de-DE" w:eastAsia="de-DE"/>
        </w:rPr>
        <w:t>-</w:t>
      </w:r>
      <w:r w:rsidRPr="00DD2A86">
        <w:rPr>
          <w:bCs/>
          <w:lang w:val="de-DE" w:eastAsia="de-DE"/>
        </w:rPr>
        <w:tab/>
        <w:t>Am Ende des ersten Satzes den Punkt löschen und hinzufügen: „(Explosionsgruppe/Untergruppe entsprechend Unterabschnitt 3.2.3.2 Tabelle C Spalte (16)).“.</w:t>
      </w:r>
    </w:p>
    <w:p w:rsidR="00F92046" w:rsidRPr="00DD2A86" w:rsidRDefault="00CC38F7" w:rsidP="003B5A4C">
      <w:pPr>
        <w:suppressAutoHyphens w:val="0"/>
        <w:spacing w:before="240" w:line="240" w:lineRule="auto"/>
        <w:ind w:left="2268" w:right="1134" w:hanging="1134"/>
        <w:jc w:val="both"/>
        <w:rPr>
          <w:bCs/>
          <w:lang w:val="de-DE" w:eastAsia="de-DE"/>
        </w:rPr>
      </w:pPr>
      <w:r w:rsidRPr="00DD2A86">
        <w:rPr>
          <w:bCs/>
          <w:lang w:val="de-DE" w:eastAsia="de-DE"/>
        </w:rPr>
        <w:t>7.2.4.17.1</w:t>
      </w:r>
      <w:r w:rsidRPr="00DD2A86">
        <w:rPr>
          <w:bCs/>
          <w:lang w:val="de-DE" w:eastAsia="de-DE"/>
        </w:rPr>
        <w:tab/>
      </w:r>
      <w:r w:rsidR="00564098" w:rsidRPr="00DD2A86">
        <w:rPr>
          <w:bCs/>
          <w:lang w:val="de-DE" w:eastAsia="de-DE"/>
        </w:rPr>
        <w:t>Der erste Absatz e</w:t>
      </w:r>
      <w:r w:rsidR="00AC2FD5" w:rsidRPr="00DD2A86">
        <w:rPr>
          <w:bCs/>
          <w:lang w:val="de-DE" w:eastAsia="de-DE"/>
        </w:rPr>
        <w:t>rhält folge</w:t>
      </w:r>
      <w:r w:rsidR="00564098" w:rsidRPr="00DD2A86">
        <w:rPr>
          <w:bCs/>
          <w:lang w:val="de-DE" w:eastAsia="de-DE"/>
        </w:rPr>
        <w:t>nden Wortlaut:</w:t>
      </w:r>
    </w:p>
    <w:p w:rsidR="00B50391" w:rsidRPr="00DD2A86" w:rsidRDefault="00AC2FD5" w:rsidP="003B5A4C">
      <w:pPr>
        <w:suppressAutoHyphens w:val="0"/>
        <w:spacing w:before="120" w:line="240" w:lineRule="auto"/>
        <w:ind w:left="2268" w:right="1134"/>
        <w:jc w:val="both"/>
        <w:rPr>
          <w:bCs/>
          <w:lang w:val="de-DE" w:eastAsia="de-DE"/>
        </w:rPr>
      </w:pPr>
      <w:r w:rsidRPr="00DD2A86">
        <w:rPr>
          <w:bCs/>
          <w:lang w:val="de-DE" w:eastAsia="de-DE"/>
        </w:rPr>
        <w:t>„</w:t>
      </w:r>
      <w:r w:rsidR="00B50391" w:rsidRPr="00DD2A86">
        <w:rPr>
          <w:bCs/>
          <w:lang w:val="de-DE" w:eastAsia="de-DE"/>
        </w:rPr>
        <w:t>Während des Ladens, Löschens, Entgasens oder während eines Aufenthalts in einer oder unmittelbar angrenzend an eine landseitig ausgewiesene Zone müssen alle Zugänge und Öffnungen von Räumen, welche von Deck zugänglich sind, und alle Öffnungen von Räumen ins Freie geschlossen sein.</w:t>
      </w:r>
      <w:r w:rsidRPr="00DD2A86">
        <w:rPr>
          <w:bCs/>
          <w:lang w:val="de-DE" w:eastAsia="de-DE"/>
        </w:rPr>
        <w:t>“.</w:t>
      </w:r>
    </w:p>
    <w:p w:rsidR="0090646A" w:rsidRPr="00DD2A86" w:rsidRDefault="0090646A" w:rsidP="0090646A">
      <w:pPr>
        <w:widowControl w:val="0"/>
        <w:suppressAutoHyphens w:val="0"/>
        <w:overflowPunct w:val="0"/>
        <w:autoSpaceDE w:val="0"/>
        <w:autoSpaceDN w:val="0"/>
        <w:adjustRightInd w:val="0"/>
        <w:spacing w:before="240" w:line="240" w:lineRule="auto"/>
        <w:ind w:left="2268" w:right="1134" w:hanging="1134"/>
        <w:jc w:val="both"/>
        <w:textAlignment w:val="baseline"/>
        <w:rPr>
          <w:lang w:val="de-DE" w:eastAsia="fr-FR"/>
        </w:rPr>
      </w:pPr>
      <w:r w:rsidRPr="00DD2A86">
        <w:rPr>
          <w:lang w:val="de-DE" w:eastAsia="fr-FR"/>
        </w:rPr>
        <w:t>7.2.4.17.1</w:t>
      </w:r>
      <w:r w:rsidRPr="00DD2A86">
        <w:rPr>
          <w:lang w:val="de-DE" w:eastAsia="fr-FR"/>
        </w:rPr>
        <w:tab/>
        <w:t>Im vorletzten Anstrich des zweiten Absatzes „einer Überdruckanlage“ ändern in; „eines Lüftungssystems“.</w:t>
      </w:r>
    </w:p>
    <w:p w:rsidR="00CC38F7" w:rsidRPr="00DD2A86" w:rsidRDefault="00CC38F7" w:rsidP="003B5A4C">
      <w:pPr>
        <w:widowControl w:val="0"/>
        <w:suppressAutoHyphens w:val="0"/>
        <w:overflowPunct w:val="0"/>
        <w:autoSpaceDE w:val="0"/>
        <w:autoSpaceDN w:val="0"/>
        <w:adjustRightInd w:val="0"/>
        <w:spacing w:before="240" w:line="240" w:lineRule="auto"/>
        <w:ind w:left="2268" w:right="1134" w:hanging="1134"/>
        <w:jc w:val="both"/>
        <w:textAlignment w:val="baseline"/>
        <w:rPr>
          <w:lang w:val="de-DE" w:eastAsia="fr-FR"/>
        </w:rPr>
      </w:pPr>
      <w:r w:rsidRPr="00DD2A86">
        <w:rPr>
          <w:lang w:val="de-DE" w:eastAsia="fr-FR"/>
        </w:rPr>
        <w:t>7.2.4.17.1</w:t>
      </w:r>
      <w:r w:rsidRPr="00DD2A86">
        <w:rPr>
          <w:lang w:val="de-DE" w:eastAsia="fr-FR"/>
        </w:rPr>
        <w:tab/>
      </w:r>
      <w:r w:rsidR="00775B62" w:rsidRPr="00DD2A86">
        <w:rPr>
          <w:lang w:val="de-DE" w:eastAsia="fr-FR"/>
        </w:rPr>
        <w:t>Im vorletzten</w:t>
      </w:r>
      <w:r w:rsidRPr="00DD2A86">
        <w:rPr>
          <w:lang w:val="de-DE" w:eastAsia="fr-FR"/>
        </w:rPr>
        <w:t xml:space="preserve"> Anstrich </w:t>
      </w:r>
      <w:r w:rsidR="009A2630" w:rsidRPr="00DD2A86">
        <w:rPr>
          <w:lang w:val="de-DE" w:eastAsia="fr-FR"/>
        </w:rPr>
        <w:t xml:space="preserve">des zweiten Absatzes </w:t>
      </w:r>
      <w:r w:rsidR="00775B62" w:rsidRPr="00DD2A86">
        <w:rPr>
          <w:lang w:val="de-DE" w:eastAsia="fr-FR"/>
        </w:rPr>
        <w:t>„9.3.1.52.3, 9.3.2.52.3 oder 9.3.3.52.3“ ändern in:„</w:t>
      </w:r>
      <w:r w:rsidRPr="00DD2A86">
        <w:rPr>
          <w:lang w:val="de-DE" w:eastAsia="fr-FR"/>
        </w:rPr>
        <w:t>9.3.1.12.4, 9.3.2.12.4 oder 9.3.3.12.4</w:t>
      </w:r>
      <w:r w:rsidR="00775B62" w:rsidRPr="00DD2A86">
        <w:rPr>
          <w:lang w:val="de-DE" w:eastAsia="fr-FR"/>
        </w:rPr>
        <w:t>“.</w:t>
      </w:r>
    </w:p>
    <w:p w:rsidR="00775B62" w:rsidRPr="00DD2A86" w:rsidRDefault="0038326E" w:rsidP="003B5A4C">
      <w:pPr>
        <w:widowControl w:val="0"/>
        <w:suppressAutoHyphens w:val="0"/>
        <w:overflowPunct w:val="0"/>
        <w:autoSpaceDE w:val="0"/>
        <w:autoSpaceDN w:val="0"/>
        <w:adjustRightInd w:val="0"/>
        <w:spacing w:before="240" w:line="240" w:lineRule="auto"/>
        <w:ind w:left="1134" w:right="1134"/>
        <w:jc w:val="both"/>
        <w:textAlignment w:val="baseline"/>
        <w:rPr>
          <w:lang w:val="de-DE" w:eastAsia="fr-FR"/>
        </w:rPr>
      </w:pPr>
      <w:r w:rsidRPr="00DD2A86">
        <w:rPr>
          <w:lang w:val="de-DE" w:eastAsia="fr-FR"/>
        </w:rPr>
        <w:t>7.2.4.17.1</w:t>
      </w:r>
      <w:r w:rsidRPr="00DD2A86">
        <w:rPr>
          <w:lang w:val="de-DE" w:eastAsia="fr-FR"/>
        </w:rPr>
        <w:tab/>
      </w:r>
      <w:r w:rsidR="00775B62" w:rsidRPr="00DD2A86">
        <w:rPr>
          <w:lang w:val="de-DE" w:eastAsia="fr-FR"/>
        </w:rPr>
        <w:t>Der letzte Anstrich des zweiten Absatzes erhält folgenden Wortlaut:</w:t>
      </w:r>
    </w:p>
    <w:p w:rsidR="00CC38F7" w:rsidRPr="00DD2A86" w:rsidRDefault="00775B62" w:rsidP="003B5A4C">
      <w:pPr>
        <w:widowControl w:val="0"/>
        <w:suppressAutoHyphens w:val="0"/>
        <w:overflowPunct w:val="0"/>
        <w:autoSpaceDE w:val="0"/>
        <w:autoSpaceDN w:val="0"/>
        <w:adjustRightInd w:val="0"/>
        <w:spacing w:line="240" w:lineRule="auto"/>
        <w:ind w:left="2268" w:right="1134"/>
        <w:jc w:val="both"/>
        <w:textAlignment w:val="baseline"/>
        <w:rPr>
          <w:lang w:val="de-DE" w:eastAsia="fr-FR"/>
        </w:rPr>
      </w:pPr>
      <w:r w:rsidRPr="00DD2A86">
        <w:rPr>
          <w:lang w:val="de-DE" w:eastAsia="fr-FR"/>
        </w:rPr>
        <w:t>„</w:t>
      </w:r>
      <w:r w:rsidR="00CC38F7" w:rsidRPr="00DD2A86">
        <w:rPr>
          <w:lang w:val="de-DE" w:eastAsia="fr-FR"/>
        </w:rPr>
        <w:t>-</w:t>
      </w:r>
      <w:r w:rsidR="00CC38F7" w:rsidRPr="00DD2A86">
        <w:rPr>
          <w:lang w:val="de-DE" w:eastAsia="fr-FR"/>
        </w:rPr>
        <w:tab/>
        <w:t>Lüftungsöffnungen, wenn diese Öffnungen mit einer Gasspüranlage gemäß Absatz 9.3.1.12.4, 9.3.2.12.4 oder 9.3.3.12.4 versehen sind.“.</w:t>
      </w:r>
    </w:p>
    <w:p w:rsidR="00F40B0A" w:rsidRPr="00DD2A86" w:rsidRDefault="00F40B0A" w:rsidP="00F40B0A">
      <w:pPr>
        <w:tabs>
          <w:tab w:val="left" w:pos="3119"/>
          <w:tab w:val="left" w:pos="3969"/>
        </w:tabs>
        <w:kinsoku w:val="0"/>
        <w:overflowPunct w:val="0"/>
        <w:autoSpaceDE w:val="0"/>
        <w:autoSpaceDN w:val="0"/>
        <w:adjustRightInd w:val="0"/>
        <w:snapToGrid w:val="0"/>
        <w:spacing w:before="120" w:after="120"/>
        <w:ind w:left="1134" w:right="1134"/>
        <w:jc w:val="both"/>
        <w:rPr>
          <w:rFonts w:eastAsiaTheme="minorHAnsi"/>
          <w:i/>
          <w:szCs w:val="18"/>
          <w:lang w:val="de-DE"/>
        </w:rPr>
      </w:pPr>
      <w:r w:rsidRPr="00DD2A86">
        <w:rPr>
          <w:rFonts w:eastAsiaTheme="minorHAnsi"/>
          <w:szCs w:val="18"/>
          <w:lang w:val="de-DE"/>
        </w:rPr>
        <w:t>7.2.4.17.1 und 7.2.4.17.2</w:t>
      </w:r>
      <w:r w:rsidRPr="00DD2A86">
        <w:rPr>
          <w:rFonts w:eastAsiaTheme="minorHAnsi"/>
          <w:szCs w:val="18"/>
          <w:lang w:val="de-DE"/>
        </w:rPr>
        <w:tab/>
        <w:t>[Die Änderungen in der englischen Fassung haben keine Auswirkungen auf den deutschen Text.]</w:t>
      </w:r>
    </w:p>
    <w:p w:rsidR="00F92046" w:rsidRPr="00DD2A86" w:rsidRDefault="00FE76B1" w:rsidP="003B5A4C">
      <w:pPr>
        <w:spacing w:before="240" w:line="240" w:lineRule="auto"/>
        <w:ind w:left="1134" w:right="1134" w:hanging="1"/>
        <w:rPr>
          <w:bCs/>
          <w:lang w:val="de-DE" w:eastAsia="de-DE"/>
        </w:rPr>
      </w:pPr>
      <w:r w:rsidRPr="00DD2A86">
        <w:rPr>
          <w:bCs/>
          <w:lang w:val="de-DE" w:eastAsia="de-DE"/>
        </w:rPr>
        <w:t>7.2.4.22.1</w:t>
      </w:r>
      <w:r w:rsidRPr="00DD2A86">
        <w:rPr>
          <w:bCs/>
          <w:lang w:val="de-DE" w:eastAsia="de-DE"/>
        </w:rPr>
        <w:tab/>
      </w:r>
      <w:r w:rsidR="00D4449B" w:rsidRPr="00DD2A86">
        <w:rPr>
          <w:bCs/>
          <w:lang w:val="de-DE" w:eastAsia="de-DE"/>
        </w:rPr>
        <w:t xml:space="preserve">Am Ende folgenden neuen Absatz hinzufügen: </w:t>
      </w:r>
    </w:p>
    <w:p w:rsidR="00FE76B1" w:rsidRPr="00DD2A86" w:rsidRDefault="00D4449B" w:rsidP="003B5A4C">
      <w:pPr>
        <w:spacing w:before="120" w:line="240" w:lineRule="auto"/>
        <w:ind w:left="2268" w:right="1134" w:hanging="1"/>
        <w:jc w:val="both"/>
        <w:rPr>
          <w:bCs/>
          <w:lang w:val="de-DE" w:eastAsia="de-DE"/>
        </w:rPr>
      </w:pPr>
      <w:r w:rsidRPr="00DD2A86">
        <w:rPr>
          <w:bCs/>
          <w:lang w:val="de-DE" w:eastAsia="de-DE"/>
        </w:rPr>
        <w:t>„Das Entspannen der Ladetanks ist nur mit Hilfe der in Absatz 9.3.2.22.4 a) und 9.3.2.22.4 b) oder 9.3.3.22.4 a) und 9.3.3.22.4</w:t>
      </w:r>
      <w:r w:rsidR="00A251EE" w:rsidRPr="00DD2A86">
        <w:rPr>
          <w:bCs/>
          <w:lang w:val="de-DE" w:eastAsia="de-DE"/>
        </w:rPr>
        <w:t xml:space="preserve"> </w:t>
      </w:r>
      <w:r w:rsidRPr="00DD2A86">
        <w:rPr>
          <w:bCs/>
          <w:lang w:val="de-DE" w:eastAsia="de-DE"/>
        </w:rPr>
        <w:t>b) vorgeschriebenen Vorrichtung zum gefahrlosen Entspannen der Ladetanks gestattet. Wenn in Unterabschnitt 3.2.3.2 Tabelle C Spalte (17) Explosionsschutz gefordert wird, ist das Öffnen der Ladetankluken erst gestattet, wenn die Ladetanks entladen sind und die Konzentration an entzündbaren Gasen im Ladetank unter 10 % der UEG der Ladung/Vorladung liegt. Die Messergebnisse müssen schriftlich festgehalten werden. Die zu prüfenden Ladetanks dürfen zur Messung nicht betreten werden.“.</w:t>
      </w:r>
    </w:p>
    <w:p w:rsidR="00975561" w:rsidRPr="00DD2A86" w:rsidRDefault="002258FB" w:rsidP="003B5A4C">
      <w:pPr>
        <w:spacing w:before="240" w:line="240" w:lineRule="auto"/>
        <w:ind w:left="1134" w:right="1134" w:hanging="1"/>
        <w:rPr>
          <w:bCs/>
          <w:lang w:val="de-DE" w:eastAsia="de-DE"/>
        </w:rPr>
      </w:pPr>
      <w:r w:rsidRPr="00DD2A86">
        <w:rPr>
          <w:bCs/>
          <w:lang w:val="de-DE" w:eastAsia="de-DE"/>
        </w:rPr>
        <w:t>7.2.4.22.2</w:t>
      </w:r>
      <w:r w:rsidRPr="00DD2A86">
        <w:rPr>
          <w:bCs/>
          <w:lang w:val="de-DE" w:eastAsia="de-DE"/>
        </w:rPr>
        <w:tab/>
        <w:t xml:space="preserve">Erhält folgenden Wortlaut: </w:t>
      </w:r>
    </w:p>
    <w:p w:rsidR="002258FB" w:rsidRPr="00DD2A86" w:rsidRDefault="002258FB" w:rsidP="003B5A4C">
      <w:pPr>
        <w:spacing w:before="120" w:line="240" w:lineRule="auto"/>
        <w:ind w:left="2268" w:right="1134" w:hanging="1"/>
        <w:rPr>
          <w:rFonts w:eastAsia="Calibri"/>
          <w:lang w:val="de-DE"/>
        </w:rPr>
      </w:pPr>
      <w:r w:rsidRPr="00DD2A86">
        <w:rPr>
          <w:bCs/>
          <w:lang w:val="de-DE" w:eastAsia="de-DE"/>
        </w:rPr>
        <w:t>„</w:t>
      </w:r>
      <w:r w:rsidR="009B7CF9" w:rsidRPr="00DD2A86">
        <w:rPr>
          <w:bCs/>
          <w:lang w:val="de-DE" w:eastAsia="de-DE"/>
        </w:rPr>
        <w:t>7.2.4.22.2</w:t>
      </w:r>
      <w:r w:rsidR="009B7CF9" w:rsidRPr="00DD2A86">
        <w:rPr>
          <w:bCs/>
          <w:lang w:val="de-DE" w:eastAsia="de-DE"/>
        </w:rPr>
        <w:tab/>
      </w:r>
      <w:r w:rsidRPr="00DD2A86">
        <w:rPr>
          <w:rFonts w:eastAsia="Calibri"/>
          <w:lang w:val="de-DE"/>
        </w:rPr>
        <w:t>Das Öffnen der Probeentnahmeöffnungen ist nur zur Probeentnahme sowie zur Kontrolle oder bei Reinigung leerer Ladetanks gestattet.“.</w:t>
      </w:r>
    </w:p>
    <w:p w:rsidR="002258FB" w:rsidRPr="00DD2A86" w:rsidRDefault="00D665EB" w:rsidP="003B5A4C">
      <w:pPr>
        <w:tabs>
          <w:tab w:val="left" w:pos="2268"/>
          <w:tab w:val="left" w:pos="2694"/>
        </w:tabs>
        <w:spacing w:before="240" w:line="240" w:lineRule="auto"/>
        <w:ind w:left="1134" w:right="1134" w:hanging="1"/>
        <w:rPr>
          <w:rFonts w:eastAsia="Calibri"/>
          <w:lang w:val="de-DE"/>
        </w:rPr>
      </w:pPr>
      <w:r w:rsidRPr="00DD2A86">
        <w:rPr>
          <w:rFonts w:eastAsia="Calibri"/>
          <w:lang w:val="de-DE"/>
        </w:rPr>
        <w:t>7.2.4.22.3</w:t>
      </w:r>
      <w:r w:rsidRPr="00DD2A86">
        <w:rPr>
          <w:rFonts w:eastAsia="Calibri"/>
          <w:lang w:val="de-DE"/>
        </w:rPr>
        <w:tab/>
        <w:t>-</w:t>
      </w:r>
      <w:r w:rsidRPr="00DD2A86">
        <w:rPr>
          <w:rFonts w:eastAsia="Calibri"/>
          <w:lang w:val="de-DE"/>
        </w:rPr>
        <w:tab/>
        <w:t>Im ersten Satz „in Kapitel 3.2“</w:t>
      </w:r>
      <w:r w:rsidR="00C30E39" w:rsidRPr="00DD2A86">
        <w:rPr>
          <w:rFonts w:eastAsia="Calibri"/>
          <w:lang w:val="de-DE"/>
        </w:rPr>
        <w:t xml:space="preserve"> </w:t>
      </w:r>
      <w:r w:rsidRPr="00DD2A86">
        <w:rPr>
          <w:rFonts w:eastAsia="Calibri"/>
          <w:lang w:val="de-DE"/>
        </w:rPr>
        <w:t>ändern in: „im Unterabschnitt</w:t>
      </w:r>
      <w:r w:rsidRPr="00DD2A86">
        <w:rPr>
          <w:rFonts w:eastAsia="Calibri"/>
          <w:lang w:val="de-DE" w:eastAsia="de-DE"/>
        </w:rPr>
        <w:t xml:space="preserve"> 3.2</w:t>
      </w:r>
      <w:r w:rsidRPr="00DD2A86">
        <w:rPr>
          <w:rFonts w:eastAsia="Calibri"/>
          <w:lang w:val="de-DE"/>
        </w:rPr>
        <w:t>.3.2“.</w:t>
      </w:r>
    </w:p>
    <w:p w:rsidR="0090646A" w:rsidRPr="00DD2A86" w:rsidRDefault="0090646A" w:rsidP="0090646A">
      <w:pPr>
        <w:tabs>
          <w:tab w:val="left" w:pos="2268"/>
          <w:tab w:val="left" w:pos="2694"/>
        </w:tabs>
        <w:spacing w:line="240" w:lineRule="auto"/>
        <w:ind w:left="2268" w:right="1134" w:hanging="1"/>
        <w:rPr>
          <w:rFonts w:eastAsia="Calibri"/>
          <w:lang w:val="de-DE"/>
        </w:rPr>
      </w:pPr>
      <w:r w:rsidRPr="00DD2A86">
        <w:rPr>
          <w:rFonts w:eastAsia="Calibri"/>
          <w:lang w:val="de-DE"/>
        </w:rPr>
        <w:t>-</w:t>
      </w:r>
      <w:r w:rsidRPr="00DD2A86">
        <w:rPr>
          <w:rFonts w:eastAsia="Calibri"/>
          <w:lang w:val="de-DE"/>
        </w:rPr>
        <w:tab/>
        <w:t>Im zweiten Satz streichen: „und Peilöffnungen“.</w:t>
      </w:r>
    </w:p>
    <w:p w:rsidR="00D665EB" w:rsidRPr="00DD2A86" w:rsidRDefault="00D665EB" w:rsidP="0090646A">
      <w:pPr>
        <w:tabs>
          <w:tab w:val="left" w:pos="2268"/>
          <w:tab w:val="left" w:pos="2694"/>
        </w:tabs>
        <w:spacing w:line="240" w:lineRule="auto"/>
        <w:ind w:left="2268" w:right="850" w:hanging="1"/>
        <w:rPr>
          <w:rFonts w:eastAsia="Calibri"/>
          <w:lang w:val="de-DE"/>
        </w:rPr>
      </w:pPr>
      <w:r w:rsidRPr="00DD2A86">
        <w:rPr>
          <w:rFonts w:eastAsia="Calibri"/>
          <w:lang w:val="de-DE"/>
        </w:rPr>
        <w:tab/>
        <w:t>-</w:t>
      </w:r>
      <w:r w:rsidRPr="00DD2A86">
        <w:rPr>
          <w:rFonts w:eastAsia="Calibri"/>
          <w:lang w:val="de-DE"/>
        </w:rPr>
        <w:tab/>
        <w:t>Im zweiten Satz „</w:t>
      </w:r>
      <w:r w:rsidR="00D96B6F" w:rsidRPr="00DD2A86">
        <w:rPr>
          <w:rFonts w:eastAsia="Calibri"/>
          <w:lang w:val="de-DE"/>
        </w:rPr>
        <w:t xml:space="preserve">in </w:t>
      </w:r>
      <w:r w:rsidRPr="00DD2A86">
        <w:rPr>
          <w:rFonts w:eastAsia="Calibri"/>
          <w:lang w:val="de-DE"/>
        </w:rPr>
        <w:t>Kapitel 3.2“ ändern in:  „nach Unterabschnitt</w:t>
      </w:r>
      <w:r w:rsidRPr="00DD2A86">
        <w:rPr>
          <w:rFonts w:eastAsia="Calibri"/>
          <w:lang w:val="de-DE" w:eastAsia="de-DE"/>
        </w:rPr>
        <w:t xml:space="preserve"> 3.2</w:t>
      </w:r>
      <w:r w:rsidRPr="00DD2A86">
        <w:rPr>
          <w:rFonts w:eastAsia="Calibri"/>
          <w:lang w:val="de-DE"/>
        </w:rPr>
        <w:t>.3.2“.</w:t>
      </w:r>
    </w:p>
    <w:p w:rsidR="00D665EB" w:rsidRPr="00DD2A86" w:rsidRDefault="00D665EB" w:rsidP="003B5A4C">
      <w:pPr>
        <w:spacing w:before="240" w:line="240" w:lineRule="auto"/>
        <w:ind w:left="1134" w:right="1134" w:hanging="1"/>
        <w:rPr>
          <w:bCs/>
          <w:lang w:val="de-DE" w:eastAsia="de-DE"/>
        </w:rPr>
      </w:pPr>
      <w:r w:rsidRPr="00DD2A86">
        <w:rPr>
          <w:bCs/>
          <w:lang w:val="de-DE" w:eastAsia="de-DE"/>
        </w:rPr>
        <w:t>7.2.4.22.5</w:t>
      </w:r>
      <w:r w:rsidRPr="00DD2A86">
        <w:rPr>
          <w:bCs/>
          <w:lang w:val="de-DE" w:eastAsia="de-DE"/>
        </w:rPr>
        <w:tab/>
        <w:t xml:space="preserve">Erhält folgenden Wortlaut: </w:t>
      </w:r>
    </w:p>
    <w:p w:rsidR="00D665EB" w:rsidRPr="00DD2A86" w:rsidRDefault="00D665EB" w:rsidP="003B5A4C">
      <w:pPr>
        <w:spacing w:before="120" w:line="240" w:lineRule="auto"/>
        <w:ind w:left="2268" w:right="1134" w:hanging="1"/>
        <w:jc w:val="both"/>
        <w:rPr>
          <w:bCs/>
          <w:lang w:val="de-DE" w:eastAsia="de-DE"/>
        </w:rPr>
      </w:pPr>
      <w:r w:rsidRPr="00DD2A86">
        <w:rPr>
          <w:bCs/>
          <w:lang w:val="de-DE" w:eastAsia="de-DE"/>
        </w:rPr>
        <w:t>„</w:t>
      </w:r>
      <w:r w:rsidR="009B7CF9" w:rsidRPr="00DD2A86">
        <w:rPr>
          <w:bCs/>
          <w:lang w:val="de-DE" w:eastAsia="de-DE"/>
        </w:rPr>
        <w:t>7.2.4.22.5</w:t>
      </w:r>
      <w:r w:rsidR="009B7CF9" w:rsidRPr="00DD2A86">
        <w:rPr>
          <w:bCs/>
          <w:lang w:val="de-DE" w:eastAsia="de-DE"/>
        </w:rPr>
        <w:tab/>
      </w:r>
      <w:r w:rsidRPr="00DD2A86">
        <w:rPr>
          <w:bCs/>
          <w:lang w:val="de-DE" w:eastAsia="de-DE"/>
        </w:rPr>
        <w:t>Das Öffnen des Gehäuses der Flammendurchschlagsicherungen ist nur zum Reinigen der Flammensperre oder zum Austausch gegen baugleiche Flammensperren gestattet.</w:t>
      </w:r>
    </w:p>
    <w:p w:rsidR="00D665EB" w:rsidRPr="00DD2A86" w:rsidRDefault="00D665EB" w:rsidP="003B5A4C">
      <w:pPr>
        <w:spacing w:before="120" w:line="240" w:lineRule="auto"/>
        <w:ind w:left="2268" w:right="1134" w:hanging="1"/>
        <w:jc w:val="both"/>
        <w:rPr>
          <w:bCs/>
          <w:lang w:val="de-DE" w:eastAsia="de-DE"/>
        </w:rPr>
      </w:pPr>
      <w:r w:rsidRPr="00DD2A86">
        <w:rPr>
          <w:bCs/>
          <w:lang w:val="de-DE" w:eastAsia="de-DE"/>
        </w:rPr>
        <w:t xml:space="preserve">Das Öffnen darf erst erfolgen, wenn die Ladetanks entladen sind und die Konzentration an entzündbaren Gasen im Ladetank unter 10 % der UEG der Ladung/Vorladung liegt. </w:t>
      </w:r>
    </w:p>
    <w:p w:rsidR="00D665EB" w:rsidRPr="00DD2A86" w:rsidRDefault="00D665EB" w:rsidP="003B5A4C">
      <w:pPr>
        <w:spacing w:before="120" w:line="240" w:lineRule="auto"/>
        <w:ind w:left="2268" w:right="1134" w:hanging="1"/>
        <w:jc w:val="both"/>
        <w:rPr>
          <w:bCs/>
          <w:lang w:val="de-DE" w:eastAsia="de-DE"/>
        </w:rPr>
      </w:pPr>
      <w:r w:rsidRPr="00DD2A86">
        <w:rPr>
          <w:bCs/>
          <w:lang w:val="de-DE" w:eastAsia="de-DE"/>
        </w:rPr>
        <w:t>Die Messergebnisse müssen schriftlich festgehalten werden.</w:t>
      </w:r>
    </w:p>
    <w:p w:rsidR="00D665EB" w:rsidRPr="00DD2A86" w:rsidRDefault="00D665EB" w:rsidP="003B5A4C">
      <w:pPr>
        <w:spacing w:before="120" w:line="240" w:lineRule="auto"/>
        <w:ind w:left="2268" w:right="1134" w:hanging="1"/>
        <w:jc w:val="both"/>
        <w:rPr>
          <w:rFonts w:eastAsia="Calibri"/>
          <w:lang w:val="de-DE"/>
        </w:rPr>
      </w:pPr>
      <w:r w:rsidRPr="00DD2A86">
        <w:rPr>
          <w:bCs/>
          <w:lang w:val="de-DE" w:eastAsia="de-DE"/>
        </w:rPr>
        <w:t>Die Reinigung und der Austausch der Flammensperre darf nur durch geschultes und eingewiesenes Personal erfolgen.</w:t>
      </w:r>
      <w:r w:rsidRPr="00DD2A86">
        <w:rPr>
          <w:rFonts w:eastAsia="Calibri"/>
          <w:lang w:val="de-DE"/>
        </w:rPr>
        <w:t>“.</w:t>
      </w:r>
    </w:p>
    <w:p w:rsidR="00A47F2F" w:rsidRPr="00DD2A86" w:rsidRDefault="00A47F2F" w:rsidP="003B5A4C">
      <w:pPr>
        <w:spacing w:before="240" w:line="240" w:lineRule="auto"/>
        <w:ind w:left="1134" w:right="1134" w:hanging="1"/>
        <w:rPr>
          <w:bCs/>
          <w:lang w:val="de-DE" w:eastAsia="de-DE"/>
        </w:rPr>
      </w:pPr>
      <w:r w:rsidRPr="00DD2A86">
        <w:rPr>
          <w:bCs/>
          <w:lang w:val="de-DE" w:eastAsia="de-DE"/>
        </w:rPr>
        <w:t>7.2.4.22.6</w:t>
      </w:r>
      <w:r w:rsidRPr="00DD2A86">
        <w:rPr>
          <w:bCs/>
          <w:lang w:val="de-DE" w:eastAsia="de-DE"/>
        </w:rPr>
        <w:tab/>
        <w:t xml:space="preserve">Erhält folgenden Wortlaut: </w:t>
      </w:r>
    </w:p>
    <w:p w:rsidR="00D665EB" w:rsidRPr="00DD2A86" w:rsidRDefault="00A47F2F" w:rsidP="006216C1">
      <w:pPr>
        <w:tabs>
          <w:tab w:val="left" w:pos="2268"/>
          <w:tab w:val="left" w:pos="2694"/>
        </w:tabs>
        <w:spacing w:before="120" w:line="240" w:lineRule="auto"/>
        <w:ind w:left="2268" w:right="1134" w:hanging="1"/>
        <w:jc w:val="both"/>
        <w:rPr>
          <w:rFonts w:eastAsia="Calibri"/>
          <w:lang w:val="de-DE"/>
        </w:rPr>
      </w:pPr>
      <w:r w:rsidRPr="00DD2A86">
        <w:rPr>
          <w:rFonts w:eastAsia="Calibri"/>
          <w:lang w:val="de-DE"/>
        </w:rPr>
        <w:t>„</w:t>
      </w:r>
      <w:r w:rsidR="009B7CF9" w:rsidRPr="00DD2A86">
        <w:rPr>
          <w:rFonts w:eastAsia="Calibri"/>
          <w:lang w:val="de-DE"/>
        </w:rPr>
        <w:t>7.2.4.22.6</w:t>
      </w:r>
      <w:r w:rsidR="009B7CF9" w:rsidRPr="00DD2A86">
        <w:rPr>
          <w:rFonts w:eastAsia="Calibri"/>
          <w:lang w:val="de-DE"/>
        </w:rPr>
        <w:tab/>
      </w:r>
      <w:r w:rsidRPr="00DD2A86">
        <w:rPr>
          <w:rFonts w:eastAsia="Calibri"/>
          <w:lang w:val="de-DE"/>
        </w:rPr>
        <w:t>Für die Tätigkeiten nach 7.2.4.22.4 und 7.2.4.22.5 darf nur funkenarmes Werkzeug wie z.B. Schraubendreher und Schraubenschlüssel aus Chrom-Vanadium-Stahl benutzt werden.“.</w:t>
      </w:r>
    </w:p>
    <w:p w:rsidR="00A47F2F" w:rsidRPr="00DD2A86" w:rsidRDefault="00A47F2F" w:rsidP="003B5A4C">
      <w:pPr>
        <w:spacing w:before="240" w:line="240" w:lineRule="auto"/>
        <w:ind w:left="1134" w:right="1134" w:hanging="1"/>
        <w:rPr>
          <w:bCs/>
          <w:lang w:val="de-DE" w:eastAsia="de-DE"/>
        </w:rPr>
      </w:pPr>
      <w:r w:rsidRPr="00DD2A86">
        <w:rPr>
          <w:bCs/>
          <w:lang w:val="de-DE" w:eastAsia="de-DE"/>
        </w:rPr>
        <w:t>7.2.4.22.7</w:t>
      </w:r>
      <w:r w:rsidRPr="00DD2A86">
        <w:rPr>
          <w:bCs/>
          <w:lang w:val="de-DE" w:eastAsia="de-DE"/>
        </w:rPr>
        <w:tab/>
        <w:t xml:space="preserve">Erhält folgenden Wortlaut: </w:t>
      </w:r>
    </w:p>
    <w:p w:rsidR="00A47F2F" w:rsidRPr="00DD2A86" w:rsidRDefault="00A47F2F" w:rsidP="006216C1">
      <w:pPr>
        <w:tabs>
          <w:tab w:val="left" w:pos="2268"/>
          <w:tab w:val="left" w:pos="2694"/>
        </w:tabs>
        <w:spacing w:before="120" w:line="240" w:lineRule="auto"/>
        <w:ind w:left="2268" w:right="1134" w:hanging="1"/>
        <w:jc w:val="both"/>
        <w:rPr>
          <w:rFonts w:eastAsia="Calibri"/>
          <w:lang w:val="de-DE"/>
        </w:rPr>
      </w:pPr>
      <w:r w:rsidRPr="00DD2A86">
        <w:rPr>
          <w:rFonts w:eastAsia="Calibri"/>
          <w:lang w:val="de-DE"/>
        </w:rPr>
        <w:t>„</w:t>
      </w:r>
      <w:r w:rsidR="009B7CF9" w:rsidRPr="00DD2A86">
        <w:rPr>
          <w:rFonts w:eastAsia="Calibri"/>
          <w:lang w:val="de-DE"/>
        </w:rPr>
        <w:t>7.2.4.22.7</w:t>
      </w:r>
      <w:r w:rsidR="009B7CF9" w:rsidRPr="00DD2A86">
        <w:rPr>
          <w:rFonts w:eastAsia="Calibri"/>
          <w:lang w:val="de-DE"/>
        </w:rPr>
        <w:tab/>
      </w:r>
      <w:r w:rsidRPr="00DD2A86">
        <w:rPr>
          <w:rFonts w:eastAsia="Calibri"/>
          <w:lang w:val="de-DE"/>
        </w:rPr>
        <w:t>Die Öffnungsdauer muss auf die Zeit der Kontrolle, der Reinigung, des Austauschs der Flammensperre oder der Probeentnahme beschränkt bleiben.“.</w:t>
      </w:r>
    </w:p>
    <w:p w:rsidR="00EB6056" w:rsidRPr="00DD2A86" w:rsidRDefault="00EB6056">
      <w:pPr>
        <w:suppressAutoHyphens w:val="0"/>
        <w:spacing w:line="240" w:lineRule="auto"/>
        <w:rPr>
          <w:bCs/>
          <w:lang w:val="de-DE" w:eastAsia="de-DE"/>
        </w:rPr>
      </w:pPr>
    </w:p>
    <w:p w:rsidR="009B7CF9" w:rsidRPr="00DD2A86" w:rsidRDefault="0003135D" w:rsidP="003B5A4C">
      <w:pPr>
        <w:spacing w:before="120" w:line="240" w:lineRule="auto"/>
        <w:ind w:left="2268" w:right="1134" w:hanging="1134"/>
        <w:jc w:val="both"/>
        <w:rPr>
          <w:bCs/>
          <w:lang w:val="de-DE" w:eastAsia="de-DE"/>
        </w:rPr>
      </w:pPr>
      <w:r w:rsidRPr="00DD2A86">
        <w:rPr>
          <w:bCs/>
          <w:lang w:val="de-DE" w:eastAsia="de-DE"/>
        </w:rPr>
        <w:t>7.2.4.22</w:t>
      </w:r>
      <w:r w:rsidRPr="00DD2A86">
        <w:rPr>
          <w:bCs/>
          <w:lang w:val="de-DE" w:eastAsia="de-DE"/>
        </w:rPr>
        <w:tab/>
      </w:r>
      <w:r w:rsidR="005E7851" w:rsidRPr="00DD2A86">
        <w:rPr>
          <w:bCs/>
          <w:lang w:val="de-DE" w:eastAsia="de-DE"/>
        </w:rPr>
        <w:t>Folgenden neuen Absatz hinzufügen:</w:t>
      </w:r>
      <w:r w:rsidR="005E7851" w:rsidRPr="00DD2A86" w:rsidDel="005E7851">
        <w:rPr>
          <w:bCs/>
          <w:lang w:val="de-DE" w:eastAsia="de-DE"/>
        </w:rPr>
        <w:t xml:space="preserve"> </w:t>
      </w:r>
    </w:p>
    <w:p w:rsidR="00A47F2F" w:rsidRPr="00DD2A86" w:rsidRDefault="0003135D" w:rsidP="009B7CF9">
      <w:pPr>
        <w:spacing w:before="120" w:line="240" w:lineRule="auto"/>
        <w:ind w:left="2268" w:right="1134"/>
        <w:jc w:val="both"/>
        <w:rPr>
          <w:rFonts w:eastAsia="Calibri"/>
          <w:lang w:val="de-DE"/>
        </w:rPr>
      </w:pPr>
      <w:r w:rsidRPr="00DD2A86">
        <w:rPr>
          <w:rFonts w:eastAsia="Calibri"/>
          <w:lang w:val="de-DE"/>
        </w:rPr>
        <w:t>„</w:t>
      </w:r>
      <w:r w:rsidR="001F723B" w:rsidRPr="00DD2A86">
        <w:rPr>
          <w:bCs/>
          <w:lang w:val="de-DE" w:eastAsia="de-DE"/>
        </w:rPr>
        <w:t>7.2.4.22.8</w:t>
      </w:r>
      <w:r w:rsidR="001F723B" w:rsidRPr="00DD2A86">
        <w:rPr>
          <w:bCs/>
          <w:lang w:val="de-DE" w:eastAsia="de-DE"/>
        </w:rPr>
        <w:tab/>
      </w:r>
      <w:r w:rsidR="009B7CF9" w:rsidRPr="00DD2A86">
        <w:rPr>
          <w:bCs/>
          <w:lang w:val="de-DE" w:eastAsia="de-DE"/>
        </w:rPr>
        <w:tab/>
      </w:r>
      <w:r w:rsidRPr="00DD2A86">
        <w:rPr>
          <w:rFonts w:eastAsia="Calibri"/>
          <w:lang w:val="de-DE"/>
        </w:rPr>
        <w:t>Die Vorschriften der Absätze 7.2.4.22.1 bis 7.2.4.22.7 gelten nicht für Bilgenentölungsboote und für Bunkerboote.“</w:t>
      </w:r>
      <w:r w:rsidR="002C0B79" w:rsidRPr="00DD2A86">
        <w:rPr>
          <w:rFonts w:eastAsia="Calibri"/>
          <w:lang w:val="de-DE"/>
        </w:rPr>
        <w:t>.</w:t>
      </w:r>
    </w:p>
    <w:p w:rsidR="00964603" w:rsidRPr="00DD2A86" w:rsidRDefault="00964603" w:rsidP="009B7CF9">
      <w:pPr>
        <w:spacing w:before="240" w:line="240" w:lineRule="auto"/>
        <w:ind w:left="1134" w:right="1134" w:hanging="1"/>
        <w:jc w:val="both"/>
        <w:rPr>
          <w:bCs/>
          <w:lang w:val="de-DE" w:eastAsia="de-DE"/>
        </w:rPr>
      </w:pPr>
      <w:r w:rsidRPr="00DD2A86">
        <w:rPr>
          <w:bCs/>
          <w:lang w:val="de-DE" w:eastAsia="de-DE"/>
        </w:rPr>
        <w:t>7.2.4.25</w:t>
      </w:r>
      <w:r w:rsidRPr="00DD2A86">
        <w:rPr>
          <w:bCs/>
          <w:lang w:val="de-DE" w:eastAsia="de-DE"/>
        </w:rPr>
        <w:tab/>
      </w:r>
      <w:r w:rsidR="00C70D42" w:rsidRPr="00DD2A86">
        <w:rPr>
          <w:bCs/>
          <w:lang w:val="de-DE" w:eastAsia="de-DE"/>
        </w:rPr>
        <w:t>Der Titel e</w:t>
      </w:r>
      <w:r w:rsidRPr="00DD2A86">
        <w:rPr>
          <w:bCs/>
          <w:lang w:val="de-DE" w:eastAsia="de-DE"/>
        </w:rPr>
        <w:t xml:space="preserve">rhält folgenden Wortlaut: „Lade-, Lösch- und </w:t>
      </w:r>
      <w:r w:rsidR="00C70D42" w:rsidRPr="00DD2A86">
        <w:rPr>
          <w:bCs/>
          <w:lang w:val="de-DE" w:eastAsia="de-DE"/>
        </w:rPr>
        <w:t xml:space="preserve"> </w:t>
      </w:r>
      <w:r w:rsidR="008C101B" w:rsidRPr="00DD2A86">
        <w:rPr>
          <w:bCs/>
          <w:lang w:val="de-DE" w:eastAsia="de-DE"/>
        </w:rPr>
        <w:t>Gasabfuhrleitungen</w:t>
      </w:r>
      <w:r w:rsidRPr="00DD2A86">
        <w:rPr>
          <w:bCs/>
          <w:lang w:val="de-DE" w:eastAsia="de-DE"/>
        </w:rPr>
        <w:t>“.</w:t>
      </w:r>
    </w:p>
    <w:p w:rsidR="00B33EBD" w:rsidRPr="00DD2A86" w:rsidRDefault="00B33EBD" w:rsidP="00B33EBD">
      <w:pPr>
        <w:kinsoku w:val="0"/>
        <w:overflowPunct w:val="0"/>
        <w:autoSpaceDE w:val="0"/>
        <w:autoSpaceDN w:val="0"/>
        <w:adjustRightInd w:val="0"/>
        <w:snapToGrid w:val="0"/>
        <w:spacing w:before="120" w:after="120"/>
        <w:ind w:left="1134" w:right="1134"/>
        <w:jc w:val="both"/>
        <w:rPr>
          <w:rFonts w:eastAsiaTheme="minorHAnsi"/>
          <w:szCs w:val="18"/>
          <w:lang w:val="de-DE"/>
        </w:rPr>
      </w:pPr>
      <w:r w:rsidRPr="00DD2A86">
        <w:rPr>
          <w:rFonts w:eastAsiaTheme="minorHAnsi"/>
          <w:szCs w:val="18"/>
          <w:lang w:val="de-DE"/>
        </w:rPr>
        <w:t>7.2.4.25.3</w:t>
      </w:r>
      <w:r w:rsidRPr="00DD2A86">
        <w:rPr>
          <w:rFonts w:eastAsiaTheme="minorHAnsi"/>
          <w:szCs w:val="18"/>
          <w:lang w:val="de-DE"/>
        </w:rPr>
        <w:tab/>
        <w:t>Erhält folgenden Wortlaut: „(bleibt offen)“.</w:t>
      </w:r>
    </w:p>
    <w:p w:rsidR="00B33EBD" w:rsidRPr="00DD2A86" w:rsidRDefault="00B33EBD" w:rsidP="00B33EBD">
      <w:pPr>
        <w:kinsoku w:val="0"/>
        <w:overflowPunct w:val="0"/>
        <w:autoSpaceDE w:val="0"/>
        <w:autoSpaceDN w:val="0"/>
        <w:adjustRightInd w:val="0"/>
        <w:snapToGrid w:val="0"/>
        <w:spacing w:before="120" w:after="120"/>
        <w:ind w:left="1134" w:right="1134"/>
        <w:jc w:val="both"/>
        <w:rPr>
          <w:rFonts w:eastAsiaTheme="minorHAnsi"/>
          <w:lang w:val="de-DE"/>
        </w:rPr>
      </w:pPr>
      <w:r w:rsidRPr="00DD2A86">
        <w:rPr>
          <w:rFonts w:eastAsiaTheme="minorHAnsi"/>
          <w:lang w:val="de-DE"/>
        </w:rPr>
        <w:t>7.2.4.25.5</w:t>
      </w:r>
      <w:r w:rsidRPr="00DD2A86">
        <w:rPr>
          <w:rFonts w:eastAsiaTheme="minorHAnsi"/>
          <w:lang w:val="de-DE"/>
        </w:rPr>
        <w:tab/>
        <w:t>Erhält folgenden Wortlaut:</w:t>
      </w:r>
    </w:p>
    <w:p w:rsidR="00B33EBD" w:rsidRPr="00DD2A86" w:rsidRDefault="00B33EBD" w:rsidP="00B33EBD">
      <w:pPr>
        <w:ind w:left="1134" w:right="1134"/>
        <w:jc w:val="both"/>
        <w:rPr>
          <w:rFonts w:eastAsia="SimSun"/>
          <w:lang w:val="de-DE" w:eastAsia="zh-CN"/>
        </w:rPr>
      </w:pPr>
      <w:r w:rsidRPr="00DD2A86">
        <w:rPr>
          <w:rFonts w:eastAsia="SimSun"/>
          <w:lang w:val="de-DE" w:eastAsia="zh-CN"/>
        </w:rPr>
        <w:t>„</w:t>
      </w:r>
      <w:r w:rsidRPr="00DD2A86">
        <w:rPr>
          <w:rFonts w:eastAsiaTheme="minorHAnsi"/>
          <w:lang w:val="de-DE"/>
        </w:rPr>
        <w:t>7.2.4.25.5</w:t>
      </w:r>
      <w:r w:rsidRPr="00DD2A86">
        <w:rPr>
          <w:rFonts w:eastAsiaTheme="minorHAnsi"/>
          <w:lang w:val="de-DE"/>
        </w:rPr>
        <w:tab/>
      </w:r>
      <w:r w:rsidRPr="00DD2A86">
        <w:rPr>
          <w:rFonts w:eastAsia="SimSun"/>
          <w:lang w:val="de-DE" w:eastAsia="zh-CN"/>
        </w:rPr>
        <w:t>Die beim Beladen austretenden Gas/Luftgemische sind über eine Gasrückfuhrleitung an Land abzuführen, wenn</w:t>
      </w:r>
    </w:p>
    <w:p w:rsidR="00B33EBD" w:rsidRPr="00DD2A86" w:rsidRDefault="00711DEC" w:rsidP="00B33EBD">
      <w:pPr>
        <w:numPr>
          <w:ilvl w:val="0"/>
          <w:numId w:val="44"/>
        </w:numPr>
        <w:ind w:left="1418" w:right="1134" w:hanging="218"/>
        <w:jc w:val="both"/>
        <w:rPr>
          <w:lang w:val="de-DE"/>
        </w:rPr>
      </w:pPr>
      <w:r w:rsidRPr="00DD2A86">
        <w:rPr>
          <w:lang w:val="de-DE"/>
        </w:rPr>
        <w:t>i</w:t>
      </w:r>
      <w:r w:rsidR="00B33EBD" w:rsidRPr="00DD2A86">
        <w:rPr>
          <w:lang w:val="de-DE"/>
        </w:rPr>
        <w:t>n Unterabschnitt 3.2.3.2 Tabelle C Spalte (7) ein geschlossener Ladetank gefordert wird</w:t>
      </w:r>
    </w:p>
    <w:p w:rsidR="00B33EBD" w:rsidRPr="00DD2A86" w:rsidRDefault="00B33EBD" w:rsidP="00B33EBD">
      <w:pPr>
        <w:ind w:left="1134" w:right="1134"/>
        <w:jc w:val="both"/>
        <w:rPr>
          <w:rFonts w:eastAsia="SimSun"/>
          <w:bCs/>
          <w:lang w:val="de-DE" w:eastAsia="zh-CN"/>
        </w:rPr>
      </w:pPr>
      <w:r w:rsidRPr="00DD2A86">
        <w:rPr>
          <w:rFonts w:eastAsia="SimSun"/>
          <w:lang w:val="de-DE" w:eastAsia="zh-CN"/>
        </w:rPr>
        <w:t xml:space="preserve">oder </w:t>
      </w:r>
    </w:p>
    <w:p w:rsidR="00B33EBD" w:rsidRPr="00DD2A86" w:rsidRDefault="00711DEC" w:rsidP="00B33EBD">
      <w:pPr>
        <w:numPr>
          <w:ilvl w:val="0"/>
          <w:numId w:val="45"/>
        </w:numPr>
        <w:ind w:left="1418" w:right="1134" w:hanging="218"/>
        <w:jc w:val="both"/>
        <w:rPr>
          <w:lang w:val="de-DE"/>
        </w:rPr>
      </w:pPr>
      <w:r w:rsidRPr="00DD2A86">
        <w:rPr>
          <w:lang w:val="de-DE"/>
        </w:rPr>
        <w:t>f</w:t>
      </w:r>
      <w:r w:rsidR="00B33EBD" w:rsidRPr="00DD2A86">
        <w:rPr>
          <w:lang w:val="de-DE"/>
        </w:rPr>
        <w:t xml:space="preserve">ür die vorherige Ladung in Unterabschnitt 3.2.3.2 Tabelle C Spalte (7) ein geschlossener Ladetank erforderlich war und </w:t>
      </w:r>
      <w:r w:rsidR="00B33EBD" w:rsidRPr="00DD2A86">
        <w:rPr>
          <w:snapToGrid w:val="0"/>
          <w:lang w:val="de-DE" w:eastAsia="fr-FR"/>
        </w:rPr>
        <w:t xml:space="preserve">die Konzentration an entzündbaren Gasen  im Ladetank </w:t>
      </w:r>
      <w:r w:rsidR="00B33EBD" w:rsidRPr="00DD2A86">
        <w:rPr>
          <w:lang w:val="de-DE"/>
        </w:rPr>
        <w:t>vor dem Beladen über 10 % der UEG beträgt oder der Ladetank giftige Gase, ätzende Gase (Verpackungsgruppe I oder II) oder Gase mit CMR-Eigenschaften (Kategorien 1A oder 1B) in einer Konzentration oberhalb der national zulässigen Expositionsgrenzen enthält.</w:t>
      </w:r>
      <w:r w:rsidRPr="00DD2A86">
        <w:rPr>
          <w:lang w:val="de-DE"/>
        </w:rPr>
        <w:t xml:space="preserve"> D</w:t>
      </w:r>
      <w:r w:rsidRPr="00DD2A86">
        <w:rPr>
          <w:rFonts w:cs="Arial"/>
          <w:lang w:val="de-DE" w:eastAsia="fr-FR"/>
        </w:rPr>
        <w:t>ie Messergebnisse müssen schriftlich festgehalten werden.</w:t>
      </w:r>
    </w:p>
    <w:p w:rsidR="00B33EBD" w:rsidRPr="00DD2A86" w:rsidRDefault="00B33EBD" w:rsidP="00B33EBD">
      <w:pPr>
        <w:ind w:left="1134" w:right="1133"/>
        <w:jc w:val="both"/>
        <w:rPr>
          <w:b/>
          <w:bCs/>
          <w:u w:val="single"/>
          <w:lang w:val="de-DE" w:eastAsia="de-DE"/>
        </w:rPr>
      </w:pPr>
    </w:p>
    <w:p w:rsidR="00B33EBD" w:rsidRPr="00DD2A86" w:rsidRDefault="00B33EBD" w:rsidP="00B33EBD">
      <w:pPr>
        <w:ind w:left="1134" w:right="1133"/>
        <w:jc w:val="both"/>
        <w:rPr>
          <w:bCs/>
          <w:lang w:val="de-DE" w:eastAsia="de-DE"/>
        </w:rPr>
      </w:pPr>
      <w:r w:rsidRPr="00DD2A86">
        <w:rPr>
          <w:bCs/>
          <w:lang w:val="de-DE" w:eastAsia="de-DE"/>
        </w:rPr>
        <w:t>Wenn für den Stoff, der geladen werden soll, in Unterabschnitt 3.2.3.2 Tabelle C Spalte (17) Explosionsschutz erforderlich ist und die Benutzung einer Gasabfuhrleitung vorgeschrieben ist, muss sichergestellt sein, dass die Gasrückfuhrleitung so ausgeführt</w:t>
      </w:r>
      <w:r w:rsidR="00711DEC" w:rsidRPr="00DD2A86">
        <w:rPr>
          <w:bCs/>
          <w:lang w:val="de-DE" w:eastAsia="de-DE"/>
        </w:rPr>
        <w:t xml:space="preserve"> ist</w:t>
      </w:r>
      <w:r w:rsidRPr="00DD2A86">
        <w:rPr>
          <w:bCs/>
          <w:lang w:val="de-DE" w:eastAsia="de-DE"/>
        </w:rPr>
        <w:t>, dass das Schiff gegen Detonation und Flammendurchschlag von Land aus geschützt wird. Der Schutz des Schiffes gegen Detonation und Flammendurchschlag von Land aus ist nicht erforderlich, wenn die Ladetanks nach Unterabschnitt 7.2.4.18 inertisiert sind</w:t>
      </w:r>
      <w:r w:rsidR="00711DEC" w:rsidRPr="00DD2A86">
        <w:rPr>
          <w:rFonts w:cs="Arial"/>
          <w:lang w:val="de-DE" w:eastAsia="fr-FR"/>
        </w:rPr>
        <w:t>.</w:t>
      </w:r>
      <w:r w:rsidRPr="00DD2A86">
        <w:rPr>
          <w:bCs/>
          <w:lang w:val="de-DE" w:eastAsia="de-DE"/>
        </w:rPr>
        <w:t>“.</w:t>
      </w:r>
    </w:p>
    <w:p w:rsidR="008D6163" w:rsidRPr="00DD2A86" w:rsidRDefault="008D6163" w:rsidP="003B5A4C">
      <w:pPr>
        <w:suppressAutoHyphens w:val="0"/>
        <w:spacing w:before="240" w:line="240" w:lineRule="auto"/>
        <w:ind w:left="1134" w:right="1134"/>
        <w:rPr>
          <w:bCs/>
          <w:lang w:val="de-DE" w:eastAsia="de-DE"/>
        </w:rPr>
      </w:pPr>
      <w:r w:rsidRPr="00DD2A86">
        <w:rPr>
          <w:bCs/>
          <w:lang w:val="de-DE" w:eastAsia="de-DE"/>
        </w:rPr>
        <w:t>7.2.4.25</w:t>
      </w:r>
      <w:r w:rsidRPr="00DD2A86">
        <w:rPr>
          <w:bCs/>
          <w:lang w:val="de-DE" w:eastAsia="de-DE"/>
        </w:rPr>
        <w:tab/>
        <w:t>Folgenden neuen Absatz hinzufügen:</w:t>
      </w:r>
    </w:p>
    <w:p w:rsidR="008D6163" w:rsidRPr="00DD2A86" w:rsidRDefault="008D6163" w:rsidP="003B5A4C">
      <w:pPr>
        <w:spacing w:before="120" w:line="240" w:lineRule="auto"/>
        <w:ind w:left="2268" w:right="1134" w:hanging="1"/>
        <w:jc w:val="both"/>
        <w:rPr>
          <w:bCs/>
          <w:lang w:val="de-DE" w:eastAsia="de-DE"/>
        </w:rPr>
      </w:pPr>
      <w:r w:rsidRPr="00DD2A86">
        <w:rPr>
          <w:bCs/>
          <w:lang w:val="de-DE" w:eastAsia="de-DE"/>
        </w:rPr>
        <w:t>„7.2.4.25.7</w:t>
      </w:r>
      <w:r w:rsidRPr="00DD2A86">
        <w:rPr>
          <w:bCs/>
          <w:lang w:val="de-DE" w:eastAsia="de-DE"/>
        </w:rPr>
        <w:tab/>
        <w:t>Für das An- und Abflanschen der Lade-/Löschleitung, sowie der Gasabfuhrleitung ist funkenarmes Werkzeug wie z.B Schraubendreher und Schraubenschlüsseln aus Chrom-Vanadium-Stahl  zu verwenden.“.</w:t>
      </w:r>
    </w:p>
    <w:p w:rsidR="008D6163" w:rsidRPr="00DD2A86" w:rsidRDefault="0086758D" w:rsidP="003B5A4C">
      <w:pPr>
        <w:tabs>
          <w:tab w:val="left" w:pos="2268"/>
          <w:tab w:val="left" w:pos="2694"/>
        </w:tabs>
        <w:spacing w:before="240" w:line="240" w:lineRule="auto"/>
        <w:ind w:left="1134" w:right="1134" w:hanging="1"/>
        <w:jc w:val="both"/>
        <w:rPr>
          <w:bCs/>
          <w:lang w:val="de-DE" w:eastAsia="de-DE"/>
        </w:rPr>
      </w:pPr>
      <w:r w:rsidRPr="00DD2A86">
        <w:rPr>
          <w:bCs/>
          <w:lang w:val="de-DE" w:eastAsia="de-DE"/>
        </w:rPr>
        <w:t>7.2.4.28.2</w:t>
      </w:r>
      <w:r w:rsidRPr="00DD2A86">
        <w:rPr>
          <w:bCs/>
          <w:lang w:val="de-DE" w:eastAsia="de-DE"/>
        </w:rPr>
        <w:tab/>
        <w:t>-</w:t>
      </w:r>
      <w:r w:rsidRPr="00DD2A86">
        <w:rPr>
          <w:bCs/>
          <w:lang w:val="de-DE" w:eastAsia="de-DE"/>
        </w:rPr>
        <w:tab/>
        <w:t>„Kapitel 3.2“ ändern in: „Unterabschnitt 3.2.3.2“.</w:t>
      </w:r>
    </w:p>
    <w:p w:rsidR="0086758D" w:rsidRPr="00DD2A86" w:rsidRDefault="0086758D" w:rsidP="003B5A4C">
      <w:pPr>
        <w:pStyle w:val="ListParagraph"/>
        <w:numPr>
          <w:ilvl w:val="0"/>
          <w:numId w:val="26"/>
        </w:numPr>
        <w:tabs>
          <w:tab w:val="left" w:pos="2694"/>
        </w:tabs>
        <w:spacing w:line="240" w:lineRule="auto"/>
        <w:ind w:left="2694" w:right="1134" w:hanging="426"/>
        <w:jc w:val="both"/>
        <w:rPr>
          <w:bCs/>
          <w:lang w:val="de-DE" w:eastAsia="de-DE"/>
        </w:rPr>
      </w:pPr>
      <w:r w:rsidRPr="00DD2A86">
        <w:rPr>
          <w:rFonts w:eastAsia="Calibri"/>
          <w:lang w:val="de-DE" w:eastAsia="de-DE"/>
        </w:rPr>
        <w:t xml:space="preserve">„des Hochgeschwindigkeitsventils ändern in: „des </w:t>
      </w:r>
      <w:r w:rsidRPr="00DD2A86">
        <w:rPr>
          <w:lang w:val="de-DE" w:eastAsia="de-DE"/>
        </w:rPr>
        <w:t>Überdruck-/ Hochgeschwindigkeitsventils“.</w:t>
      </w:r>
    </w:p>
    <w:p w:rsidR="0086758D" w:rsidRPr="00DD2A86" w:rsidRDefault="0086758D" w:rsidP="00672848">
      <w:pPr>
        <w:tabs>
          <w:tab w:val="left" w:pos="1134"/>
          <w:tab w:val="left" w:pos="2268"/>
          <w:tab w:val="left" w:pos="2694"/>
        </w:tabs>
        <w:spacing w:before="240" w:line="240" w:lineRule="auto"/>
        <w:ind w:left="2694" w:right="1134" w:hanging="1418"/>
        <w:jc w:val="both"/>
        <w:rPr>
          <w:bCs/>
          <w:lang w:val="de-DE" w:eastAsia="de-DE"/>
        </w:rPr>
      </w:pPr>
      <w:r w:rsidRPr="00DD2A86">
        <w:rPr>
          <w:bCs/>
          <w:lang w:val="de-DE" w:eastAsia="de-DE"/>
        </w:rPr>
        <w:t>7.2.4.41</w:t>
      </w:r>
      <w:r w:rsidRPr="00DD2A86">
        <w:rPr>
          <w:bCs/>
          <w:lang w:val="de-DE" w:eastAsia="de-DE"/>
        </w:rPr>
        <w:tab/>
        <w:t>-</w:t>
      </w:r>
      <w:r w:rsidR="00672848" w:rsidRPr="00DD2A86">
        <w:rPr>
          <w:bCs/>
          <w:lang w:val="de-DE" w:eastAsia="de-DE"/>
        </w:rPr>
        <w:tab/>
      </w:r>
      <w:r w:rsidRPr="00DD2A86">
        <w:rPr>
          <w:bCs/>
          <w:lang w:val="de-DE" w:eastAsia="de-DE"/>
        </w:rPr>
        <w:t>Die Überschrift erhält folgenden Wortlaut: „</w:t>
      </w:r>
      <w:r w:rsidRPr="00DD2A86">
        <w:rPr>
          <w:rFonts w:eastAsia="Calibri"/>
          <w:bCs/>
          <w:lang w:val="de-DE" w:eastAsia="nl-NL"/>
        </w:rPr>
        <w:t>Rauchen, Feuer und offenes Licht“</w:t>
      </w:r>
    </w:p>
    <w:p w:rsidR="0086758D" w:rsidRPr="00DD2A86" w:rsidRDefault="008C101B" w:rsidP="003B5A4C">
      <w:pPr>
        <w:pStyle w:val="ListParagraph"/>
        <w:numPr>
          <w:ilvl w:val="0"/>
          <w:numId w:val="26"/>
        </w:numPr>
        <w:tabs>
          <w:tab w:val="left" w:pos="2694"/>
        </w:tabs>
        <w:spacing w:line="240" w:lineRule="auto"/>
        <w:ind w:left="2694" w:right="1134" w:hanging="426"/>
        <w:jc w:val="both"/>
        <w:rPr>
          <w:bCs/>
          <w:lang w:val="de-DE" w:eastAsia="de-DE"/>
        </w:rPr>
      </w:pPr>
      <w:r w:rsidRPr="00DD2A86">
        <w:rPr>
          <w:rFonts w:eastAsia="Calibri"/>
          <w:lang w:val="de-DE" w:eastAsia="de-DE"/>
        </w:rPr>
        <w:t>Der erste Satz erhält folgenden Wortlaut: „Während des Ladens, Löschens oder Entgasens ist auf dem Schiff Feuer, offenes Licht und das Rauchen verboten.“.</w:t>
      </w:r>
    </w:p>
    <w:p w:rsidR="007A3F0B" w:rsidRPr="00DD2A86" w:rsidRDefault="007A3F0B" w:rsidP="003B5A4C">
      <w:pPr>
        <w:spacing w:before="240" w:line="240" w:lineRule="auto"/>
        <w:ind w:left="1134" w:right="1134" w:hanging="1"/>
        <w:rPr>
          <w:bCs/>
          <w:lang w:val="de-DE" w:eastAsia="de-DE"/>
        </w:rPr>
      </w:pPr>
      <w:r w:rsidRPr="00DD2A86">
        <w:rPr>
          <w:bCs/>
          <w:lang w:val="de-DE" w:eastAsia="de-DE"/>
        </w:rPr>
        <w:t>7.2.4.51</w:t>
      </w:r>
      <w:r w:rsidRPr="00DD2A86">
        <w:rPr>
          <w:bCs/>
          <w:lang w:val="de-DE" w:eastAsia="de-DE"/>
        </w:rPr>
        <w:tab/>
      </w:r>
      <w:r w:rsidR="004103DB" w:rsidRPr="00DD2A86">
        <w:rPr>
          <w:bCs/>
          <w:lang w:val="de-DE" w:eastAsia="de-DE"/>
        </w:rPr>
        <w:t>Der Titel e</w:t>
      </w:r>
      <w:r w:rsidRPr="00DD2A86">
        <w:rPr>
          <w:bCs/>
          <w:lang w:val="de-DE" w:eastAsia="de-DE"/>
        </w:rPr>
        <w:t>rhält folgenden Wortlaut: „Elektrische Anlagen und Geräte“.</w:t>
      </w:r>
    </w:p>
    <w:p w:rsidR="007A3F0B" w:rsidRPr="00DD2A86" w:rsidRDefault="007A3F0B" w:rsidP="003B5A4C">
      <w:pPr>
        <w:spacing w:before="240" w:line="240" w:lineRule="auto"/>
        <w:ind w:left="1134" w:right="1134" w:hanging="1"/>
        <w:rPr>
          <w:bCs/>
          <w:lang w:val="de-DE" w:eastAsia="de-DE"/>
        </w:rPr>
      </w:pPr>
      <w:r w:rsidRPr="00DD2A86">
        <w:rPr>
          <w:bCs/>
          <w:lang w:val="de-DE" w:eastAsia="de-DE"/>
        </w:rPr>
        <w:t>7.2.4.51.1</w:t>
      </w:r>
      <w:r w:rsidRPr="00DD2A86">
        <w:rPr>
          <w:bCs/>
          <w:lang w:val="de-DE" w:eastAsia="de-DE"/>
        </w:rPr>
        <w:tab/>
        <w:t>Erhält folgenden Wortlaut: „(gestrichen)“.</w:t>
      </w:r>
    </w:p>
    <w:p w:rsidR="007A3F0B" w:rsidRPr="00DD2A86" w:rsidRDefault="007A3F0B" w:rsidP="003B5A4C">
      <w:pPr>
        <w:spacing w:before="240" w:line="240" w:lineRule="auto"/>
        <w:ind w:left="1134" w:right="1134" w:hanging="1"/>
        <w:rPr>
          <w:bCs/>
          <w:lang w:val="de-DE" w:eastAsia="de-DE"/>
        </w:rPr>
      </w:pPr>
      <w:r w:rsidRPr="00DD2A86">
        <w:rPr>
          <w:bCs/>
          <w:lang w:val="de-DE" w:eastAsia="de-DE"/>
        </w:rPr>
        <w:t>7.2.4.51.2</w:t>
      </w:r>
      <w:r w:rsidRPr="00DD2A86">
        <w:rPr>
          <w:bCs/>
          <w:lang w:val="de-DE" w:eastAsia="de-DE"/>
        </w:rPr>
        <w:tab/>
        <w:t>Erhält folgenden Wortlaut: „(gestrichen)“.</w:t>
      </w:r>
    </w:p>
    <w:p w:rsidR="00EF0641" w:rsidRPr="00DD2A86" w:rsidRDefault="001966ED" w:rsidP="006216C1">
      <w:pPr>
        <w:tabs>
          <w:tab w:val="left" w:pos="2268"/>
          <w:tab w:val="left" w:pos="2694"/>
        </w:tabs>
        <w:spacing w:before="240" w:line="240" w:lineRule="auto"/>
        <w:ind w:left="2694" w:right="1134" w:hanging="1560"/>
        <w:jc w:val="both"/>
        <w:rPr>
          <w:bCs/>
          <w:lang w:val="de-DE" w:eastAsia="de-DE"/>
        </w:rPr>
      </w:pPr>
      <w:r w:rsidRPr="00DD2A86">
        <w:rPr>
          <w:bCs/>
          <w:lang w:val="de-DE" w:eastAsia="de-DE"/>
        </w:rPr>
        <w:t>7.2.4.53</w:t>
      </w:r>
      <w:r w:rsidR="00EF0641" w:rsidRPr="00DD2A86">
        <w:rPr>
          <w:bCs/>
          <w:lang w:val="de-DE" w:eastAsia="de-DE"/>
        </w:rPr>
        <w:tab/>
        <w:t>-</w:t>
      </w:r>
      <w:r w:rsidR="00EF0641" w:rsidRPr="00DD2A86">
        <w:rPr>
          <w:bCs/>
          <w:lang w:val="de-DE" w:eastAsia="de-DE"/>
        </w:rPr>
        <w:tab/>
        <w:t xml:space="preserve">Im </w:t>
      </w:r>
      <w:r w:rsidR="004912E9" w:rsidRPr="00DD2A86">
        <w:rPr>
          <w:bCs/>
          <w:lang w:val="de-DE" w:eastAsia="de-DE"/>
        </w:rPr>
        <w:t xml:space="preserve">zweiten </w:t>
      </w:r>
      <w:r w:rsidR="00EF0641" w:rsidRPr="00DD2A86">
        <w:rPr>
          <w:bCs/>
          <w:lang w:val="de-DE" w:eastAsia="de-DE"/>
        </w:rPr>
        <w:t>Satz „</w:t>
      </w:r>
      <w:r w:rsidR="00EF0641" w:rsidRPr="00DD2A86">
        <w:rPr>
          <w:rFonts w:eastAsia="Calibri"/>
          <w:lang w:val="de-DE" w:eastAsia="de-DE"/>
        </w:rPr>
        <w:t>elektrische Lampen</w:t>
      </w:r>
      <w:r w:rsidR="00EF0641" w:rsidRPr="00DD2A86">
        <w:rPr>
          <w:bCs/>
          <w:lang w:val="de-DE" w:eastAsia="de-DE"/>
        </w:rPr>
        <w:t>“ ändern in: „</w:t>
      </w:r>
      <w:r w:rsidR="00EF0641" w:rsidRPr="00DD2A86">
        <w:rPr>
          <w:rFonts w:eastAsia="Calibri"/>
          <w:lang w:val="de-DE" w:eastAsia="de-DE"/>
        </w:rPr>
        <w:t>elektrische Leuchten</w:t>
      </w:r>
      <w:r w:rsidR="00EF0641" w:rsidRPr="00DD2A86">
        <w:rPr>
          <w:bCs/>
          <w:lang w:val="de-DE" w:eastAsia="de-DE"/>
        </w:rPr>
        <w:t>“.</w:t>
      </w:r>
    </w:p>
    <w:p w:rsidR="00EF0641" w:rsidRPr="00DD2A86" w:rsidRDefault="00D6182F" w:rsidP="003B5A4C">
      <w:pPr>
        <w:pStyle w:val="ListParagraph"/>
        <w:numPr>
          <w:ilvl w:val="0"/>
          <w:numId w:val="26"/>
        </w:numPr>
        <w:tabs>
          <w:tab w:val="left" w:pos="2694"/>
        </w:tabs>
        <w:spacing w:line="240" w:lineRule="auto"/>
        <w:ind w:left="2694" w:right="1134" w:hanging="426"/>
        <w:jc w:val="both"/>
        <w:rPr>
          <w:rFonts w:eastAsia="Calibri"/>
          <w:lang w:val="de-DE" w:eastAsia="de-DE"/>
        </w:rPr>
      </w:pPr>
      <w:r w:rsidRPr="00DD2A86">
        <w:rPr>
          <w:rFonts w:eastAsia="Calibri"/>
          <w:lang w:val="de-DE" w:eastAsia="de-DE"/>
        </w:rPr>
        <w:t>De</w:t>
      </w:r>
      <w:r w:rsidR="001636D5" w:rsidRPr="00DD2A86">
        <w:rPr>
          <w:rFonts w:eastAsia="Calibri"/>
          <w:lang w:val="de-DE" w:eastAsia="de-DE"/>
        </w:rPr>
        <w:t>n</w:t>
      </w:r>
      <w:r w:rsidRPr="00DD2A86">
        <w:rPr>
          <w:rFonts w:eastAsia="Calibri"/>
          <w:lang w:val="de-DE" w:eastAsia="de-DE"/>
        </w:rPr>
        <w:t xml:space="preserve"> letzte</w:t>
      </w:r>
      <w:r w:rsidR="001636D5" w:rsidRPr="00DD2A86">
        <w:rPr>
          <w:rFonts w:eastAsia="Calibri"/>
          <w:lang w:val="de-DE" w:eastAsia="de-DE"/>
        </w:rPr>
        <w:t>n</w:t>
      </w:r>
      <w:r w:rsidRPr="00DD2A86">
        <w:rPr>
          <w:rFonts w:eastAsia="Calibri"/>
          <w:lang w:val="de-DE" w:eastAsia="de-DE"/>
        </w:rPr>
        <w:t xml:space="preserve"> Satz streichen: „Sind diese Lampen im Bereich der Ladung angeordnet, müssen sie dem Typ „bescheinigte Sicherheit“ entsprechen.“.</w:t>
      </w:r>
    </w:p>
    <w:p w:rsidR="00A516B8" w:rsidRPr="00DD2A86" w:rsidRDefault="00A516B8" w:rsidP="00A516B8">
      <w:pPr>
        <w:kinsoku w:val="0"/>
        <w:overflowPunct w:val="0"/>
        <w:autoSpaceDE w:val="0"/>
        <w:autoSpaceDN w:val="0"/>
        <w:adjustRightInd w:val="0"/>
        <w:snapToGrid w:val="0"/>
        <w:spacing w:before="120" w:after="120"/>
        <w:ind w:left="1134" w:right="1134"/>
        <w:jc w:val="both"/>
        <w:rPr>
          <w:rFonts w:eastAsiaTheme="minorHAnsi"/>
          <w:lang w:val="de-DE"/>
        </w:rPr>
      </w:pPr>
      <w:r w:rsidRPr="00DD2A86">
        <w:rPr>
          <w:rFonts w:eastAsiaTheme="minorHAnsi"/>
          <w:lang w:val="de-DE"/>
        </w:rPr>
        <w:t>7.2.4.60</w:t>
      </w:r>
      <w:r w:rsidRPr="00DD2A86">
        <w:rPr>
          <w:rFonts w:eastAsiaTheme="minorHAnsi"/>
          <w:lang w:val="de-DE"/>
        </w:rPr>
        <w:tab/>
        <w:t>[Die Änderung in der französischen Fassung hat keine Auswirkungen auf den deutschen Text.]</w:t>
      </w:r>
    </w:p>
    <w:p w:rsidR="00D6182F" w:rsidRPr="00DD2A86" w:rsidRDefault="00D6182F" w:rsidP="00B61A90">
      <w:pPr>
        <w:spacing w:before="240" w:line="240" w:lineRule="auto"/>
        <w:ind w:left="1134" w:hanging="1"/>
        <w:rPr>
          <w:bCs/>
          <w:lang w:val="de-DE" w:eastAsia="de-DE"/>
        </w:rPr>
      </w:pPr>
      <w:r w:rsidRPr="00DD2A86">
        <w:rPr>
          <w:bCs/>
          <w:lang w:val="de-DE" w:eastAsia="de-DE"/>
        </w:rPr>
        <w:t>7.2.4.74</w:t>
      </w:r>
      <w:r w:rsidRPr="00DD2A86">
        <w:rPr>
          <w:bCs/>
          <w:lang w:val="de-DE" w:eastAsia="de-DE"/>
        </w:rPr>
        <w:tab/>
        <w:t>Erhält folgenden Wortlaut: „(gestrichen)“.</w:t>
      </w:r>
    </w:p>
    <w:p w:rsidR="00350629" w:rsidRPr="00DD2A86" w:rsidRDefault="00350629" w:rsidP="003B5A4C">
      <w:pPr>
        <w:spacing w:before="240" w:line="240" w:lineRule="auto"/>
        <w:ind w:left="1134" w:right="1134" w:hanging="1"/>
        <w:rPr>
          <w:bCs/>
          <w:lang w:val="de-DE" w:eastAsia="de-DE"/>
        </w:rPr>
      </w:pPr>
      <w:r w:rsidRPr="00DD2A86">
        <w:rPr>
          <w:bCs/>
          <w:lang w:val="de-DE" w:eastAsia="de-DE"/>
        </w:rPr>
        <w:t>7.2.4.75</w:t>
      </w:r>
      <w:r w:rsidRPr="00DD2A86">
        <w:rPr>
          <w:bCs/>
          <w:lang w:val="de-DE" w:eastAsia="de-DE"/>
        </w:rPr>
        <w:tab/>
        <w:t>Erhält folgenden Wortlaut:</w:t>
      </w:r>
    </w:p>
    <w:p w:rsidR="00350629" w:rsidRPr="00DD2A86" w:rsidRDefault="00350629" w:rsidP="003B5A4C">
      <w:pPr>
        <w:spacing w:before="240" w:line="240" w:lineRule="auto"/>
        <w:ind w:left="1134" w:right="1134" w:hanging="1"/>
        <w:rPr>
          <w:bCs/>
          <w:lang w:val="de-DE" w:eastAsia="de-DE"/>
        </w:rPr>
      </w:pPr>
      <w:r w:rsidRPr="00DD2A86">
        <w:rPr>
          <w:bCs/>
          <w:lang w:val="de-DE" w:eastAsia="de-DE"/>
        </w:rPr>
        <w:t>„7.2.4.75</w:t>
      </w:r>
      <w:r w:rsidRPr="00DD2A86">
        <w:rPr>
          <w:bCs/>
          <w:lang w:val="de-DE" w:eastAsia="de-DE"/>
        </w:rPr>
        <w:tab/>
        <w:t>Gefahr der Funkenbildung</w:t>
      </w:r>
    </w:p>
    <w:p w:rsidR="00350629" w:rsidRPr="00DD2A86" w:rsidRDefault="00350629" w:rsidP="003B5A4C">
      <w:pPr>
        <w:spacing w:before="240" w:line="240" w:lineRule="auto"/>
        <w:ind w:left="1134" w:right="1134" w:hanging="1"/>
        <w:jc w:val="both"/>
        <w:rPr>
          <w:bCs/>
          <w:lang w:val="de-DE" w:eastAsia="de-DE"/>
        </w:rPr>
      </w:pPr>
      <w:r w:rsidRPr="00DD2A86">
        <w:rPr>
          <w:bCs/>
          <w:lang w:val="de-DE" w:eastAsia="de-DE"/>
        </w:rPr>
        <w:t xml:space="preserve">Elektrisch leitende Verbindungen zwischen Schiff und Land müssen so beschaffen sein, dass sie keine Zündquelle darstellen. Wenn die Schiffsstoffliste nach Absatz 1.16.1.2.5 Stoffe enthält, für die nach Unterabschnitt 3.2.3.2 Tabelle C Spalte (17) Explosionsschutz gefordert wird, ist in Zone 1 das Ablegen von </w:t>
      </w:r>
      <w:r w:rsidR="00D57DB7" w:rsidRPr="00DD2A86">
        <w:rPr>
          <w:rFonts w:cs="Arial"/>
          <w:lang w:val="de-DE" w:eastAsia="fr-FR"/>
        </w:rPr>
        <w:t>nicht ausreichend ableitfähiger</w:t>
      </w:r>
      <w:r w:rsidR="00D57DB7" w:rsidRPr="00DD2A86">
        <w:rPr>
          <w:rFonts w:eastAsia="Calibri"/>
          <w:lang w:val="de-DE" w:eastAsia="fr-FR"/>
        </w:rPr>
        <w:t xml:space="preserve"> </w:t>
      </w:r>
      <w:r w:rsidRPr="00DD2A86">
        <w:rPr>
          <w:bCs/>
          <w:lang w:val="de-DE" w:eastAsia="de-DE"/>
        </w:rPr>
        <w:t>Kleidung verboten.“.</w:t>
      </w:r>
    </w:p>
    <w:p w:rsidR="00A516B8" w:rsidRPr="00DD2A86" w:rsidRDefault="00A516B8" w:rsidP="006216C1">
      <w:pPr>
        <w:tabs>
          <w:tab w:val="left" w:pos="1701"/>
        </w:tabs>
        <w:spacing w:before="120" w:after="120"/>
        <w:ind w:left="1134" w:right="1134"/>
        <w:jc w:val="both"/>
        <w:rPr>
          <w:rFonts w:eastAsia="SimSun"/>
          <w:lang w:val="de-DE" w:eastAsia="zh-CN"/>
        </w:rPr>
      </w:pPr>
      <w:r w:rsidRPr="00DD2A86">
        <w:rPr>
          <w:rFonts w:eastAsia="SimSun"/>
          <w:lang w:val="de-DE" w:eastAsia="zh-CN"/>
        </w:rPr>
        <w:t>Tabelle 7.2.4.77</w:t>
      </w:r>
      <w:r w:rsidRPr="00DD2A86">
        <w:rPr>
          <w:rFonts w:eastAsia="SimSun"/>
          <w:lang w:val="de-DE" w:eastAsia="zh-CN"/>
        </w:rPr>
        <w:tab/>
        <w:t xml:space="preserve">die </w:t>
      </w:r>
      <w:r w:rsidRPr="00DD2A86">
        <w:rPr>
          <w:rFonts w:ascii="inherit" w:eastAsia="SimSun" w:hAnsi="inherit"/>
          <w:color w:val="212121"/>
          <w:lang w:val="de-DE" w:eastAsia="zh-CN"/>
        </w:rPr>
        <w:t>Überschriften der ersten und zweiten Spalte unter „Klasse“ erhalten folgenden Wortlaut:</w:t>
      </w:r>
    </w:p>
    <w:p w:rsidR="00A516B8" w:rsidRPr="00DD2A86" w:rsidRDefault="00A516B8" w:rsidP="00A516B8">
      <w:pPr>
        <w:spacing w:after="120"/>
        <w:ind w:left="1134" w:right="1134"/>
        <w:jc w:val="both"/>
        <w:rPr>
          <w:rFonts w:eastAsia="SimSun"/>
          <w:lang w:val="de-DE" w:eastAsia="zh-CN"/>
        </w:rPr>
      </w:pPr>
      <w:r w:rsidRPr="00DD2A86">
        <w:rPr>
          <w:rFonts w:eastAsia="SimSun"/>
          <w:lang w:val="de-DE" w:eastAsia="zh-CN"/>
        </w:rPr>
        <w:t xml:space="preserve">„2, 3 (außer zweite und dritte Eintragung für UN-Nr. 1202, </w:t>
      </w:r>
      <w:r w:rsidRPr="00DD2A86">
        <w:rPr>
          <w:rFonts w:ascii="inherit" w:eastAsia="SimSun" w:hAnsi="inherit"/>
          <w:color w:val="212121"/>
          <w:lang w:val="de-DE" w:eastAsia="zh-CN"/>
        </w:rPr>
        <w:t>Verpackungsgruppe III, in Tabelle C</w:t>
      </w:r>
      <w:r w:rsidRPr="00DD2A86">
        <w:rPr>
          <w:rFonts w:eastAsia="SimSun"/>
          <w:lang w:val="de-DE" w:eastAsia="zh-CN"/>
        </w:rPr>
        <w:t>)“.</w:t>
      </w:r>
    </w:p>
    <w:p w:rsidR="00A516B8" w:rsidRPr="00DD2A86" w:rsidRDefault="00A516B8" w:rsidP="00A516B8">
      <w:pPr>
        <w:spacing w:after="120"/>
        <w:ind w:left="1134" w:right="1134"/>
        <w:jc w:val="both"/>
        <w:rPr>
          <w:rFonts w:eastAsia="SimSun"/>
          <w:lang w:val="de-DE" w:eastAsia="zh-CN"/>
        </w:rPr>
      </w:pPr>
      <w:r w:rsidRPr="00DD2A86">
        <w:rPr>
          <w:rFonts w:eastAsia="SimSun"/>
          <w:lang w:val="de-DE" w:eastAsia="zh-CN"/>
        </w:rPr>
        <w:t>„3 (nur zweite und dritte Eintragung für UN-Nr. 1202, Verpackungsgruppe III, in Tabelle C), 4.1“.</w:t>
      </w:r>
    </w:p>
    <w:p w:rsidR="00A516B8" w:rsidRPr="00DD2A86" w:rsidRDefault="00A516B8" w:rsidP="00A516B8">
      <w:pPr>
        <w:kinsoku w:val="0"/>
        <w:overflowPunct w:val="0"/>
        <w:autoSpaceDE w:val="0"/>
        <w:autoSpaceDN w:val="0"/>
        <w:adjustRightInd w:val="0"/>
        <w:snapToGrid w:val="0"/>
        <w:spacing w:before="120" w:after="120"/>
        <w:ind w:left="1134" w:right="1134"/>
        <w:jc w:val="both"/>
        <w:rPr>
          <w:rFonts w:eastAsiaTheme="minorHAnsi"/>
          <w:szCs w:val="18"/>
          <w:lang w:val="de-DE"/>
        </w:rPr>
      </w:pPr>
      <w:r w:rsidRPr="00DD2A86">
        <w:rPr>
          <w:rFonts w:eastAsiaTheme="minorHAnsi"/>
          <w:szCs w:val="18"/>
          <w:lang w:val="de-DE"/>
        </w:rPr>
        <w:t>7.2.5.0.1</w:t>
      </w:r>
      <w:r w:rsidRPr="00DD2A86">
        <w:rPr>
          <w:rFonts w:eastAsiaTheme="minorHAnsi"/>
          <w:szCs w:val="18"/>
          <w:lang w:val="de-DE"/>
        </w:rPr>
        <w:tab/>
        <w:t>Der zweite Satz erhält folgenden Wortlaut:</w:t>
      </w:r>
    </w:p>
    <w:p w:rsidR="00A516B8" w:rsidRPr="00DD2A86" w:rsidRDefault="00A516B8" w:rsidP="00A516B8">
      <w:pPr>
        <w:spacing w:before="120"/>
        <w:ind w:left="1134" w:right="1134"/>
        <w:jc w:val="both"/>
        <w:rPr>
          <w:rFonts w:eastAsia="SimSun"/>
          <w:szCs w:val="18"/>
          <w:lang w:val="de-DE" w:eastAsia="zh-CN"/>
        </w:rPr>
      </w:pPr>
      <w:r w:rsidRPr="00DD2A86">
        <w:rPr>
          <w:rFonts w:eastAsiaTheme="minorHAnsi"/>
          <w:szCs w:val="18"/>
          <w:lang w:val="de-DE"/>
        </w:rPr>
        <w:t>„</w:t>
      </w:r>
      <w:r w:rsidRPr="00DD2A86">
        <w:rPr>
          <w:rFonts w:eastAsia="SimSun"/>
          <w:szCs w:val="18"/>
          <w:lang w:val="de-DE" w:eastAsia="zh-CN"/>
        </w:rPr>
        <w:t xml:space="preserve">Wenn auf Grund der beförderten Ladung keine blauen Kegel/Lichter erforderlich sind, aber die Konzentration an entzündbaren oder giftigen Gasen und Dämpfen innerhalb der Ladetanks, über 20 % der UEG </w:t>
      </w:r>
      <w:r w:rsidRPr="00DD2A86">
        <w:rPr>
          <w:szCs w:val="18"/>
          <w:lang w:val="de-DE" w:eastAsia="en-GB"/>
        </w:rPr>
        <w:t xml:space="preserve">der letzten Ladung, für welche diese </w:t>
      </w:r>
      <w:r w:rsidR="00F772AF" w:rsidRPr="00DD2A86">
        <w:rPr>
          <w:szCs w:val="18"/>
          <w:lang w:val="de-DE" w:eastAsia="en-GB"/>
        </w:rPr>
        <w:t xml:space="preserve">Bezeichnung </w:t>
      </w:r>
      <w:r w:rsidRPr="00DD2A86">
        <w:rPr>
          <w:szCs w:val="18"/>
          <w:lang w:val="de-DE" w:eastAsia="en-GB"/>
        </w:rPr>
        <w:t xml:space="preserve">notwendig war, </w:t>
      </w:r>
      <w:r w:rsidRPr="00DD2A86">
        <w:rPr>
          <w:rFonts w:eastAsia="SimSun"/>
          <w:szCs w:val="18"/>
          <w:lang w:val="de-DE" w:eastAsia="zh-CN"/>
        </w:rPr>
        <w:t>liegt oder die national zulässigen Expositionsgrenzwerte überschreitet, wird die Anzahl der blauen Kegel oder blauen Lichter von der letzten bezeichnungspflichtigen Ladung bestimmt.“.</w:t>
      </w:r>
    </w:p>
    <w:p w:rsidR="00A67AAF" w:rsidRPr="00DD2A86" w:rsidRDefault="006F64F9" w:rsidP="003B5A4C">
      <w:pPr>
        <w:tabs>
          <w:tab w:val="left" w:pos="2268"/>
          <w:tab w:val="left" w:pos="8190"/>
        </w:tabs>
        <w:suppressAutoHyphens w:val="0"/>
        <w:spacing w:before="240" w:line="240" w:lineRule="auto"/>
        <w:ind w:left="2835" w:right="1134" w:hanging="1701"/>
        <w:jc w:val="both"/>
        <w:rPr>
          <w:bCs/>
          <w:lang w:val="de-DE" w:eastAsia="de-DE"/>
        </w:rPr>
      </w:pPr>
      <w:r w:rsidRPr="00DD2A86">
        <w:rPr>
          <w:bCs/>
          <w:lang w:val="de-DE" w:eastAsia="de-DE"/>
        </w:rPr>
        <w:t>7.2.5.3</w:t>
      </w:r>
      <w:r w:rsidRPr="00DD2A86">
        <w:rPr>
          <w:bCs/>
          <w:lang w:val="de-DE" w:eastAsia="de-DE"/>
        </w:rPr>
        <w:tab/>
      </w:r>
      <w:r w:rsidR="00A67AAF" w:rsidRPr="00DD2A86">
        <w:rPr>
          <w:bCs/>
          <w:lang w:val="de-DE" w:eastAsia="de-DE"/>
        </w:rPr>
        <w:t xml:space="preserve">Erhält folgenden Wortlaut: </w:t>
      </w:r>
    </w:p>
    <w:p w:rsidR="00917612" w:rsidRPr="00DD2A86" w:rsidRDefault="00A67AAF" w:rsidP="00CA274F">
      <w:pPr>
        <w:tabs>
          <w:tab w:val="left" w:pos="2268"/>
          <w:tab w:val="left" w:pos="8190"/>
        </w:tabs>
        <w:suppressAutoHyphens w:val="0"/>
        <w:spacing w:before="120" w:line="240" w:lineRule="auto"/>
        <w:ind w:left="1134" w:right="1134"/>
        <w:jc w:val="both"/>
        <w:rPr>
          <w:bCs/>
          <w:lang w:val="de-DE" w:eastAsia="de-DE"/>
        </w:rPr>
      </w:pPr>
      <w:r w:rsidRPr="00DD2A86">
        <w:rPr>
          <w:bCs/>
          <w:lang w:val="de-DE" w:eastAsia="de-DE"/>
        </w:rPr>
        <w:t>„</w:t>
      </w:r>
      <w:r w:rsidR="0090646A" w:rsidRPr="00DD2A86">
        <w:rPr>
          <w:bCs/>
          <w:lang w:val="de-DE" w:eastAsia="de-DE"/>
        </w:rPr>
        <w:t>7.2.5.3</w:t>
      </w:r>
      <w:r w:rsidR="0090646A" w:rsidRPr="00DD2A86">
        <w:rPr>
          <w:bCs/>
          <w:lang w:val="de-DE" w:eastAsia="de-DE"/>
        </w:rPr>
        <w:tab/>
      </w:r>
      <w:r w:rsidR="00917612" w:rsidRPr="00DD2A86">
        <w:rPr>
          <w:bCs/>
          <w:lang w:val="de-DE" w:eastAsia="de-DE"/>
        </w:rPr>
        <w:t>Festmachen</w:t>
      </w:r>
    </w:p>
    <w:p w:rsidR="00A67AAF" w:rsidRPr="00DD2A86" w:rsidRDefault="00A67AAF" w:rsidP="00917612">
      <w:pPr>
        <w:tabs>
          <w:tab w:val="left" w:pos="2268"/>
          <w:tab w:val="left" w:pos="8190"/>
        </w:tabs>
        <w:suppressAutoHyphens w:val="0"/>
        <w:spacing w:before="120" w:line="240" w:lineRule="auto"/>
        <w:ind w:left="1134" w:right="1134"/>
        <w:jc w:val="both"/>
        <w:rPr>
          <w:bCs/>
          <w:lang w:val="de-DE" w:eastAsia="de-DE"/>
        </w:rPr>
      </w:pPr>
      <w:r w:rsidRPr="00DD2A86">
        <w:rPr>
          <w:bCs/>
          <w:lang w:val="de-DE" w:eastAsia="de-DE"/>
        </w:rPr>
        <w:t>Schiffe müssen sicher, jedoch so festgemacht sein, dass sie bei Gefahr rasch losgemacht werden können und dass elektrische Leitungen und Schlauchleitungen nicht gequetscht oder geknickt werden und keinen Zugbeanspruchungen ausgesetzt sind.“.</w:t>
      </w:r>
    </w:p>
    <w:p w:rsidR="002E06A9" w:rsidRPr="00DD2A86" w:rsidRDefault="002E06A9" w:rsidP="003B5A4C">
      <w:pPr>
        <w:suppressAutoHyphens w:val="0"/>
        <w:spacing w:line="240" w:lineRule="auto"/>
        <w:ind w:right="1134"/>
        <w:rPr>
          <w:b/>
          <w:sz w:val="24"/>
          <w:lang w:val="de-DE"/>
        </w:rPr>
      </w:pPr>
    </w:p>
    <w:p w:rsidR="00D6182F" w:rsidRPr="00DD2A86" w:rsidRDefault="00D6182F" w:rsidP="003B5A4C">
      <w:pPr>
        <w:keepNext/>
        <w:keepLines/>
        <w:tabs>
          <w:tab w:val="right" w:pos="851"/>
        </w:tabs>
        <w:spacing w:before="360" w:after="240" w:line="270" w:lineRule="exact"/>
        <w:ind w:left="1134" w:right="1134" w:hanging="1134"/>
        <w:rPr>
          <w:b/>
          <w:sz w:val="24"/>
          <w:lang w:val="de-DE"/>
        </w:rPr>
      </w:pPr>
      <w:r w:rsidRPr="00DD2A86">
        <w:rPr>
          <w:b/>
          <w:sz w:val="24"/>
          <w:lang w:val="de-DE"/>
        </w:rPr>
        <w:t>Kapitel 8</w:t>
      </w:r>
      <w:r w:rsidR="00BC3A84" w:rsidRPr="00DD2A86">
        <w:rPr>
          <w:b/>
          <w:sz w:val="24"/>
          <w:lang w:val="de-DE"/>
        </w:rPr>
        <w:t>.1</w:t>
      </w:r>
    </w:p>
    <w:p w:rsidR="00EE0C91" w:rsidRPr="00DD2A86" w:rsidRDefault="00EE0C91" w:rsidP="003B5A4C">
      <w:pPr>
        <w:spacing w:before="240" w:line="240" w:lineRule="auto"/>
        <w:ind w:left="1134" w:right="1134" w:hanging="1"/>
        <w:jc w:val="both"/>
        <w:rPr>
          <w:rFonts w:cs="Arial"/>
          <w:lang w:val="de-DE" w:eastAsia="fr-FR"/>
        </w:rPr>
      </w:pPr>
      <w:r w:rsidRPr="00DD2A86">
        <w:rPr>
          <w:rFonts w:cs="Arial"/>
          <w:lang w:val="de-DE" w:eastAsia="fr-FR"/>
        </w:rPr>
        <w:t>8.1.2.1 e)</w:t>
      </w:r>
      <w:r w:rsidRPr="00DD2A86">
        <w:rPr>
          <w:rFonts w:cs="Arial"/>
          <w:lang w:val="de-DE" w:eastAsia="fr-FR"/>
        </w:rPr>
        <w:tab/>
        <w:t>Erhält folgenden Wortlaut:</w:t>
      </w:r>
    </w:p>
    <w:p w:rsidR="00EE0C91" w:rsidRPr="00DD2A86" w:rsidRDefault="00EE0C91" w:rsidP="00596493">
      <w:pPr>
        <w:spacing w:before="120" w:line="240" w:lineRule="auto"/>
        <w:ind w:left="2268" w:right="1134" w:hanging="1"/>
        <w:jc w:val="both"/>
        <w:rPr>
          <w:bCs/>
          <w:lang w:val="de-DE" w:eastAsia="de-DE"/>
        </w:rPr>
      </w:pPr>
      <w:r w:rsidRPr="00DD2A86">
        <w:rPr>
          <w:bCs/>
          <w:lang w:val="de-DE" w:eastAsia="de-DE"/>
        </w:rPr>
        <w:t>„e)</w:t>
      </w:r>
      <w:r w:rsidRPr="00DD2A86">
        <w:rPr>
          <w:bCs/>
          <w:lang w:val="de-DE" w:eastAsia="de-DE"/>
        </w:rPr>
        <w:tab/>
        <w:t>die in Unterabschnitt 8.1.7.1 vorgeschriebene Bescheinigung der Isolationswiderstände der elektrischen Einrichtungen</w:t>
      </w:r>
      <w:r w:rsidRPr="00DD2A86">
        <w:rPr>
          <w:rFonts w:cs="Arial"/>
          <w:lang w:val="de-DE" w:eastAsia="fr-FR"/>
        </w:rPr>
        <w:t xml:space="preserve"> und die nach Unterabschnitt 8.1.7.2 vorgeschriebenen Bescheinigungen über die Prüfung der Anlagen und Geräte und autonomen Schutzsysteme sowie zur Übereinstimmung der nach Absatz 8.1.2.2 e) bis h) bzw. 8.1.2.3 Buchstabe r) bis v) geforderten Unterlagen mit den Gegebenheiten an Bord;“.</w:t>
      </w:r>
    </w:p>
    <w:p w:rsidR="00E6374D" w:rsidRPr="00DD2A86" w:rsidRDefault="00E6374D" w:rsidP="00D34B0A">
      <w:pPr>
        <w:widowControl w:val="0"/>
        <w:tabs>
          <w:tab w:val="left" w:pos="567"/>
        </w:tabs>
        <w:suppressAutoHyphens w:val="0"/>
        <w:overflowPunct w:val="0"/>
        <w:autoSpaceDE w:val="0"/>
        <w:autoSpaceDN w:val="0"/>
        <w:adjustRightInd w:val="0"/>
        <w:spacing w:before="120"/>
        <w:ind w:left="1134" w:right="1134"/>
        <w:jc w:val="both"/>
        <w:textAlignment w:val="baseline"/>
        <w:rPr>
          <w:rFonts w:cs="Arial"/>
          <w:lang w:val="de-DE" w:eastAsia="fr-FR"/>
        </w:rPr>
      </w:pPr>
      <w:r w:rsidRPr="00DD2A86">
        <w:rPr>
          <w:rFonts w:cs="Arial"/>
          <w:lang w:val="de-DE" w:eastAsia="fr-FR"/>
        </w:rPr>
        <w:t>8.1.2.1</w:t>
      </w:r>
      <w:r w:rsidRPr="00DD2A86">
        <w:rPr>
          <w:rFonts w:cs="Arial"/>
          <w:lang w:val="de-DE" w:eastAsia="fr-FR"/>
        </w:rPr>
        <w:tab/>
      </w:r>
      <w:r w:rsidR="00D8591A" w:rsidRPr="00DD2A86">
        <w:rPr>
          <w:rFonts w:cs="Arial"/>
          <w:lang w:val="de-DE" w:eastAsia="fr-FR"/>
        </w:rPr>
        <w:t xml:space="preserve"> f)</w:t>
      </w:r>
      <w:r w:rsidRPr="00DD2A86">
        <w:rPr>
          <w:rFonts w:cs="Arial"/>
          <w:lang w:val="de-DE" w:eastAsia="fr-FR"/>
        </w:rPr>
        <w:tab/>
        <w:t>Erhält folgenden Wortlaut:</w:t>
      </w:r>
    </w:p>
    <w:p w:rsidR="00E6374D" w:rsidRPr="00DD2A86" w:rsidRDefault="00E6374D" w:rsidP="003B5A4C">
      <w:pPr>
        <w:widowControl w:val="0"/>
        <w:suppressAutoHyphens w:val="0"/>
        <w:overflowPunct w:val="0"/>
        <w:autoSpaceDE w:val="0"/>
        <w:autoSpaceDN w:val="0"/>
        <w:adjustRightInd w:val="0"/>
        <w:spacing w:before="60" w:line="240" w:lineRule="auto"/>
        <w:ind w:left="2268" w:right="1134"/>
        <w:jc w:val="both"/>
        <w:textAlignment w:val="baseline"/>
        <w:rPr>
          <w:lang w:val="de-DE" w:eastAsia="fr-FR"/>
        </w:rPr>
      </w:pPr>
      <w:r w:rsidRPr="00DD2A86">
        <w:rPr>
          <w:lang w:val="de-DE" w:eastAsia="fr-FR"/>
        </w:rPr>
        <w:t>„f)</w:t>
      </w:r>
      <w:r w:rsidRPr="00DD2A86">
        <w:rPr>
          <w:lang w:val="de-DE" w:eastAsia="fr-FR"/>
        </w:rPr>
        <w:tab/>
        <w:t>die in Unterabschnitt 8.1.6.1 vorgeschriebene Bescheinigung über die Prüfung der Feuerlöschschläuche und die in Unterabschnitt 8.1.6.3 vorgeschriebene Bescheinigung über die Prüfung der besonderen Ausrüstung;“.</w:t>
      </w:r>
    </w:p>
    <w:p w:rsidR="0087137A" w:rsidRPr="00DD2A86" w:rsidRDefault="0087137A" w:rsidP="003B5A4C">
      <w:pPr>
        <w:spacing w:before="240" w:line="240" w:lineRule="auto"/>
        <w:ind w:left="1134" w:right="1134" w:hanging="1"/>
        <w:rPr>
          <w:bCs/>
          <w:lang w:val="de-DE" w:eastAsia="de-DE"/>
        </w:rPr>
      </w:pPr>
      <w:r w:rsidRPr="00DD2A86">
        <w:rPr>
          <w:bCs/>
          <w:lang w:val="de-DE" w:eastAsia="de-DE"/>
        </w:rPr>
        <w:t>8.1.2.2</w:t>
      </w:r>
      <w:r w:rsidR="004B5434" w:rsidRPr="00DD2A86">
        <w:rPr>
          <w:bCs/>
          <w:lang w:val="de-DE" w:eastAsia="de-DE"/>
        </w:rPr>
        <w:t xml:space="preserve"> </w:t>
      </w:r>
      <w:r w:rsidRPr="00DD2A86">
        <w:rPr>
          <w:bCs/>
          <w:lang w:val="de-DE" w:eastAsia="de-DE"/>
        </w:rPr>
        <w:t>c)</w:t>
      </w:r>
      <w:r w:rsidRPr="00DD2A86">
        <w:rPr>
          <w:bCs/>
          <w:lang w:val="de-DE" w:eastAsia="de-DE"/>
        </w:rPr>
        <w:tab/>
        <w:t>Streichen: „müssen“.</w:t>
      </w:r>
    </w:p>
    <w:p w:rsidR="003E16B1" w:rsidRPr="00DD2A86" w:rsidRDefault="003E16B1" w:rsidP="003B5A4C">
      <w:pPr>
        <w:spacing w:before="240" w:line="240" w:lineRule="auto"/>
        <w:ind w:left="1134" w:right="1134" w:hanging="1"/>
        <w:rPr>
          <w:bCs/>
          <w:lang w:val="de-DE" w:eastAsia="de-DE"/>
        </w:rPr>
      </w:pPr>
      <w:r w:rsidRPr="00DD2A86">
        <w:rPr>
          <w:bCs/>
          <w:lang w:val="de-DE" w:eastAsia="de-DE"/>
        </w:rPr>
        <w:t>[Betrifft nur die deutsche Sprachfassung]</w:t>
      </w:r>
    </w:p>
    <w:p w:rsidR="0087137A" w:rsidRPr="00DD2A86" w:rsidRDefault="0087137A" w:rsidP="003B5A4C">
      <w:pPr>
        <w:spacing w:before="240" w:line="240" w:lineRule="auto"/>
        <w:ind w:left="1134" w:right="1134" w:hanging="1"/>
        <w:rPr>
          <w:bCs/>
          <w:lang w:val="de-DE" w:eastAsia="de-DE"/>
        </w:rPr>
      </w:pPr>
      <w:r w:rsidRPr="00DD2A86">
        <w:rPr>
          <w:bCs/>
          <w:lang w:val="de-DE" w:eastAsia="de-DE"/>
        </w:rPr>
        <w:t>8.1.2.2</w:t>
      </w:r>
      <w:r w:rsidRPr="00DD2A86">
        <w:rPr>
          <w:bCs/>
          <w:lang w:val="de-DE" w:eastAsia="de-DE"/>
        </w:rPr>
        <w:tab/>
      </w:r>
      <w:r w:rsidRPr="00DD2A86">
        <w:rPr>
          <w:bCs/>
          <w:lang w:val="de-DE" w:eastAsia="de-DE"/>
        </w:rPr>
        <w:tab/>
      </w:r>
      <w:r w:rsidR="00FC349D" w:rsidRPr="00DD2A86">
        <w:rPr>
          <w:bCs/>
          <w:lang w:val="de-DE" w:eastAsia="de-DE"/>
        </w:rPr>
        <w:t>F</w:t>
      </w:r>
      <w:r w:rsidRPr="00DD2A86">
        <w:rPr>
          <w:bCs/>
          <w:lang w:val="de-DE" w:eastAsia="de-DE"/>
        </w:rPr>
        <w:t>olgende neue Absätze</w:t>
      </w:r>
      <w:r w:rsidR="00FC349D" w:rsidRPr="00DD2A86">
        <w:rPr>
          <w:bCs/>
          <w:lang w:val="de-DE" w:eastAsia="de-DE"/>
        </w:rPr>
        <w:t xml:space="preserve"> am Ende</w:t>
      </w:r>
      <w:r w:rsidRPr="00DD2A86">
        <w:rPr>
          <w:bCs/>
          <w:lang w:val="de-DE" w:eastAsia="de-DE"/>
        </w:rPr>
        <w:t xml:space="preserve"> hinzufügen:</w:t>
      </w:r>
    </w:p>
    <w:p w:rsidR="002E3BE2" w:rsidRPr="00DD2A86" w:rsidRDefault="00E729B8" w:rsidP="003B5A4C">
      <w:pPr>
        <w:widowControl w:val="0"/>
        <w:suppressAutoHyphens w:val="0"/>
        <w:overflowPunct w:val="0"/>
        <w:autoSpaceDE w:val="0"/>
        <w:autoSpaceDN w:val="0"/>
        <w:adjustRightInd w:val="0"/>
        <w:spacing w:before="60" w:line="240" w:lineRule="auto"/>
        <w:ind w:left="2552" w:right="1134" w:hanging="284"/>
        <w:jc w:val="both"/>
        <w:textAlignment w:val="baseline"/>
        <w:rPr>
          <w:lang w:val="de-DE" w:eastAsia="fr-FR"/>
        </w:rPr>
      </w:pPr>
      <w:r w:rsidRPr="00DD2A86">
        <w:rPr>
          <w:lang w:val="de-DE" w:eastAsia="fr-FR"/>
        </w:rPr>
        <w:t>„</w:t>
      </w:r>
      <w:r w:rsidR="002E3BE2" w:rsidRPr="00DD2A86">
        <w:rPr>
          <w:lang w:val="de-DE" w:eastAsia="fr-FR"/>
        </w:rPr>
        <w:t>e)</w:t>
      </w:r>
      <w:r w:rsidR="002E3BE2" w:rsidRPr="00DD2A86">
        <w:rPr>
          <w:lang w:val="de-DE" w:eastAsia="fr-FR"/>
        </w:rPr>
        <w:tab/>
        <w:t>eine Liste oder ein Übersichtsplan der fest installierten Anlagen und Geräte, die mindestens für den Betrieb in Zone 1 geeignet sind und der Anlagen und Geräte die 9.1.0.51 entsprechen;</w:t>
      </w:r>
    </w:p>
    <w:p w:rsidR="002E3BE2" w:rsidRPr="00DD2A86" w:rsidRDefault="002E3BE2" w:rsidP="003B5A4C">
      <w:pPr>
        <w:widowControl w:val="0"/>
        <w:suppressAutoHyphens w:val="0"/>
        <w:overflowPunct w:val="0"/>
        <w:autoSpaceDE w:val="0"/>
        <w:autoSpaceDN w:val="0"/>
        <w:adjustRightInd w:val="0"/>
        <w:spacing w:before="60" w:line="240" w:lineRule="auto"/>
        <w:ind w:left="2552" w:right="1134" w:hanging="284"/>
        <w:jc w:val="both"/>
        <w:textAlignment w:val="baseline"/>
        <w:rPr>
          <w:lang w:val="de-DE" w:eastAsia="fr-FR"/>
        </w:rPr>
      </w:pPr>
      <w:r w:rsidRPr="00DD2A86">
        <w:rPr>
          <w:lang w:val="de-DE" w:eastAsia="fr-FR"/>
        </w:rPr>
        <w:t xml:space="preserve">f) </w:t>
      </w:r>
      <w:r w:rsidRPr="00DD2A86">
        <w:rPr>
          <w:lang w:val="de-DE" w:eastAsia="fr-FR"/>
        </w:rPr>
        <w:tab/>
        <w:t>eine Liste oder ein Übersichtsplan der fest installierten Anlagen und Geräte, die während des Ladens, Löschens, beim Stillliegen und während des Aufenthalts  in einer oder unmittelbar angrenzend an eine landseitig ausgewiesene Zone nicht betrieben werden dürfen (rot gekennzeichnet gemäß 9.1.0.52.2);</w:t>
      </w:r>
    </w:p>
    <w:p w:rsidR="002E3BE2" w:rsidRPr="00DD2A86" w:rsidRDefault="002E3BE2" w:rsidP="003B5A4C">
      <w:pPr>
        <w:widowControl w:val="0"/>
        <w:suppressAutoHyphens w:val="0"/>
        <w:overflowPunct w:val="0"/>
        <w:autoSpaceDE w:val="0"/>
        <w:autoSpaceDN w:val="0"/>
        <w:adjustRightInd w:val="0"/>
        <w:spacing w:before="60" w:line="240" w:lineRule="auto"/>
        <w:ind w:left="2552" w:right="1134" w:hanging="284"/>
        <w:jc w:val="both"/>
        <w:textAlignment w:val="baseline"/>
        <w:rPr>
          <w:lang w:val="de-DE" w:eastAsia="fr-FR"/>
        </w:rPr>
      </w:pPr>
      <w:r w:rsidRPr="00DD2A86">
        <w:rPr>
          <w:lang w:val="de-DE" w:eastAsia="fr-FR"/>
        </w:rPr>
        <w:t>g)</w:t>
      </w:r>
      <w:r w:rsidRPr="00DD2A86">
        <w:rPr>
          <w:lang w:val="de-DE" w:eastAsia="fr-FR"/>
        </w:rPr>
        <w:tab/>
        <w:t>ein Plan mit den Grenzen der Zonen, auf dem die in der jeweiligen Zone installierten elektrischen und nicht-elektrischen Anlagen und Geräte zum Einsatz in explosionsgefährdeten Bereiche eingetragen sind;</w:t>
      </w:r>
    </w:p>
    <w:p w:rsidR="002E3BE2" w:rsidRPr="00DD2A86" w:rsidRDefault="002E3BE2" w:rsidP="003B5A4C">
      <w:pPr>
        <w:widowControl w:val="0"/>
        <w:suppressAutoHyphens w:val="0"/>
        <w:overflowPunct w:val="0"/>
        <w:autoSpaceDE w:val="0"/>
        <w:autoSpaceDN w:val="0"/>
        <w:adjustRightInd w:val="0"/>
        <w:spacing w:before="60" w:line="240" w:lineRule="auto"/>
        <w:ind w:left="2552" w:right="1134" w:hanging="284"/>
        <w:jc w:val="both"/>
        <w:textAlignment w:val="baseline"/>
        <w:rPr>
          <w:lang w:val="de-DE" w:eastAsia="fr-FR"/>
        </w:rPr>
      </w:pPr>
      <w:r w:rsidRPr="00DD2A86">
        <w:rPr>
          <w:lang w:val="de-DE" w:eastAsia="fr-FR"/>
        </w:rPr>
        <w:t>h)</w:t>
      </w:r>
      <w:r w:rsidRPr="00DD2A86">
        <w:rPr>
          <w:lang w:val="de-DE" w:eastAsia="fr-FR"/>
        </w:rPr>
        <w:tab/>
        <w:t>eine Liste über die unter Buchstabe g) aufgeführten Geräte mit folgenden Angaben:</w:t>
      </w:r>
    </w:p>
    <w:p w:rsidR="002E3BE2" w:rsidRPr="00DD2A86" w:rsidRDefault="002E3BE2" w:rsidP="003B5A4C">
      <w:pPr>
        <w:suppressAutoHyphens w:val="0"/>
        <w:autoSpaceDE w:val="0"/>
        <w:autoSpaceDN w:val="0"/>
        <w:adjustRightInd w:val="0"/>
        <w:spacing w:before="60" w:line="240" w:lineRule="auto"/>
        <w:ind w:left="2835" w:right="1134" w:hanging="283"/>
        <w:jc w:val="both"/>
        <w:rPr>
          <w:rFonts w:eastAsia="Calibri"/>
          <w:lang w:val="de-DE" w:eastAsia="de-DE"/>
        </w:rPr>
      </w:pPr>
      <w:r w:rsidRPr="00DD2A86">
        <w:rPr>
          <w:rFonts w:eastAsia="Calibri"/>
          <w:lang w:val="de-DE" w:eastAsia="de-DE"/>
        </w:rPr>
        <w:t>-</w:t>
      </w:r>
      <w:r w:rsidRPr="00DD2A86">
        <w:rPr>
          <w:rFonts w:eastAsia="Calibri"/>
          <w:lang w:val="de-DE" w:eastAsia="de-DE"/>
        </w:rPr>
        <w:tab/>
        <w:t xml:space="preserve">Anlage/Gerät, Aufstellungsort, Kennzeichnung (Geräteschutzniveau </w:t>
      </w:r>
      <w:r w:rsidRPr="00DD2A86">
        <w:rPr>
          <w:rFonts w:eastAsia="Calibri"/>
          <w:lang w:val="de-DE"/>
        </w:rPr>
        <w:t>nach IEC 60079-0</w:t>
      </w:r>
      <w:r w:rsidRPr="00DD2A86">
        <w:rPr>
          <w:rFonts w:eastAsia="Calibri"/>
          <w:lang w:val="de-DE" w:eastAsia="de-DE"/>
        </w:rPr>
        <w:t xml:space="preserve"> oder Gerätekategorie </w:t>
      </w:r>
      <w:r w:rsidRPr="00DD2A86">
        <w:rPr>
          <w:rFonts w:eastAsia="Calibri"/>
          <w:lang w:val="de-DE"/>
        </w:rPr>
        <w:t xml:space="preserve">nach Richtlinie </w:t>
      </w:r>
      <w:r w:rsidR="004E7BBC" w:rsidRPr="00DD2A86">
        <w:rPr>
          <w:rFonts w:eastAsia="Calibri"/>
          <w:lang w:val="de-DE"/>
        </w:rPr>
        <w:t>2014/34/EU</w:t>
      </w:r>
      <w:r w:rsidR="006216C1" w:rsidRPr="00DD2A86">
        <w:rPr>
          <w:rFonts w:eastAsia="Calibri"/>
          <w:vertAlign w:val="superscript"/>
          <w:lang w:val="de-DE"/>
        </w:rPr>
        <w:footnoteReference w:id="58"/>
      </w:r>
      <w:r w:rsidR="006216C1" w:rsidRPr="00DD2A86">
        <w:rPr>
          <w:rFonts w:eastAsia="Calibri"/>
          <w:vertAlign w:val="superscript"/>
          <w:lang w:val="de-DE"/>
        </w:rPr>
        <w:t>)</w:t>
      </w:r>
      <w:r w:rsidRPr="00DD2A86">
        <w:rPr>
          <w:rFonts w:eastAsia="Calibri"/>
          <w:lang w:val="de-DE"/>
        </w:rPr>
        <w:t xml:space="preserve"> </w:t>
      </w:r>
      <w:r w:rsidRPr="00DD2A86">
        <w:rPr>
          <w:rFonts w:eastAsia="Calibri"/>
          <w:lang w:val="de-DE" w:eastAsia="de-DE"/>
        </w:rPr>
        <w:t xml:space="preserve">oder </w:t>
      </w:r>
      <w:r w:rsidRPr="00DD2A86">
        <w:rPr>
          <w:rFonts w:eastAsia="Calibri"/>
          <w:lang w:val="de-DE"/>
        </w:rPr>
        <w:t>vergleichbares Schutzniveau</w:t>
      </w:r>
      <w:r w:rsidRPr="00DD2A86">
        <w:rPr>
          <w:rFonts w:eastAsia="Calibri"/>
          <w:lang w:val="de-DE" w:eastAsia="de-DE"/>
        </w:rPr>
        <w:t xml:space="preserve"> Explosionsgruppe und Temperaturklasse, Zündschutzart, Prüfstelle), bei elektrischen Geräten zum Einsatz in Zone 1 (alternativ Kopie </w:t>
      </w:r>
      <w:r w:rsidR="00545FF2" w:rsidRPr="00DD2A86">
        <w:rPr>
          <w:rFonts w:eastAsia="Calibri"/>
          <w:lang w:val="de-DE" w:eastAsia="de-DE"/>
        </w:rPr>
        <w:t>z.B.</w:t>
      </w:r>
      <w:r w:rsidRPr="00DD2A86">
        <w:rPr>
          <w:rFonts w:eastAsia="Calibri"/>
          <w:lang w:val="de-DE" w:eastAsia="de-DE"/>
        </w:rPr>
        <w:t xml:space="preserve"> Konformitätserklärung nach </w:t>
      </w:r>
      <w:r w:rsidRPr="00DD2A86">
        <w:rPr>
          <w:rFonts w:eastAsia="Calibri"/>
          <w:lang w:val="de-DE"/>
        </w:rPr>
        <w:t xml:space="preserve">Richtlinie </w:t>
      </w:r>
      <w:r w:rsidR="004E7BBC" w:rsidRPr="00DD2A86">
        <w:rPr>
          <w:rFonts w:eastAsia="Calibri"/>
          <w:lang w:val="de-DE"/>
        </w:rPr>
        <w:t>2014/34/EU</w:t>
      </w:r>
      <w:r w:rsidRPr="00DD2A86">
        <w:rPr>
          <w:rFonts w:eastAsia="Calibri"/>
          <w:vertAlign w:val="superscript"/>
          <w:lang w:val="de-DE"/>
        </w:rPr>
        <w:footnoteReference w:id="59"/>
      </w:r>
      <w:r w:rsidRPr="00DD2A86">
        <w:rPr>
          <w:rFonts w:eastAsia="Calibri"/>
          <w:vertAlign w:val="superscript"/>
          <w:lang w:val="de-DE"/>
        </w:rPr>
        <w:t>)</w:t>
      </w:r>
      <w:r w:rsidRPr="00DD2A86">
        <w:rPr>
          <w:rFonts w:eastAsia="Calibri"/>
          <w:lang w:val="de-DE" w:eastAsia="de-DE"/>
        </w:rPr>
        <w:t>)</w:t>
      </w:r>
    </w:p>
    <w:p w:rsidR="007C000A" w:rsidRPr="00DD2A86" w:rsidRDefault="007C000A">
      <w:pPr>
        <w:suppressAutoHyphens w:val="0"/>
        <w:spacing w:line="240" w:lineRule="auto"/>
        <w:rPr>
          <w:rFonts w:eastAsia="Calibri"/>
          <w:lang w:val="de-DE" w:eastAsia="de-DE"/>
        </w:rPr>
      </w:pPr>
      <w:r w:rsidRPr="00DD2A86">
        <w:rPr>
          <w:rFonts w:eastAsia="Calibri"/>
          <w:lang w:val="de-DE" w:eastAsia="de-DE"/>
        </w:rPr>
        <w:br w:type="page"/>
      </w:r>
    </w:p>
    <w:p w:rsidR="002E3BE2" w:rsidRPr="00DD2A86" w:rsidRDefault="002E3BE2" w:rsidP="003B5A4C">
      <w:pPr>
        <w:suppressAutoHyphens w:val="0"/>
        <w:autoSpaceDE w:val="0"/>
        <w:autoSpaceDN w:val="0"/>
        <w:adjustRightInd w:val="0"/>
        <w:spacing w:before="60" w:line="240" w:lineRule="auto"/>
        <w:ind w:left="2835" w:right="1134" w:hanging="283"/>
        <w:jc w:val="both"/>
        <w:rPr>
          <w:rFonts w:eastAsia="Calibri"/>
          <w:lang w:val="de-DE" w:eastAsia="de-DE"/>
        </w:rPr>
      </w:pPr>
      <w:r w:rsidRPr="00DD2A86">
        <w:rPr>
          <w:rFonts w:eastAsia="Calibri"/>
          <w:lang w:val="de-DE" w:eastAsia="de-DE"/>
        </w:rPr>
        <w:t>-</w:t>
      </w:r>
      <w:r w:rsidRPr="00DD2A86">
        <w:rPr>
          <w:rFonts w:eastAsia="Calibri"/>
          <w:lang w:val="de-DE" w:eastAsia="de-DE"/>
        </w:rPr>
        <w:tab/>
        <w:t xml:space="preserve">Anlage / Gerät, Aufstellungsort, Kennzeichnung  (Geräteschutzniveau </w:t>
      </w:r>
      <w:r w:rsidRPr="00DD2A86">
        <w:rPr>
          <w:rFonts w:eastAsia="Calibri"/>
          <w:lang w:val="de-DE"/>
        </w:rPr>
        <w:t>nach IEC 60079-0</w:t>
      </w:r>
      <w:r w:rsidRPr="00DD2A86">
        <w:rPr>
          <w:rFonts w:eastAsia="Calibri"/>
          <w:lang w:val="de-DE" w:eastAsia="de-DE"/>
        </w:rPr>
        <w:t xml:space="preserve"> oder Gerätekategorie </w:t>
      </w:r>
      <w:r w:rsidRPr="00DD2A86">
        <w:rPr>
          <w:rFonts w:eastAsia="Calibri"/>
          <w:lang w:val="de-DE"/>
        </w:rPr>
        <w:t xml:space="preserve">nach Richtlinie </w:t>
      </w:r>
      <w:r w:rsidR="004E7BBC" w:rsidRPr="00DD2A86">
        <w:rPr>
          <w:rFonts w:eastAsia="Calibri"/>
          <w:lang w:val="de-DE"/>
        </w:rPr>
        <w:t>2014/34/EU</w:t>
      </w:r>
      <w:r w:rsidR="006216C1" w:rsidRPr="00DD2A86">
        <w:rPr>
          <w:rFonts w:eastAsia="Calibri"/>
          <w:vertAlign w:val="superscript"/>
          <w:lang w:val="de-DE"/>
        </w:rPr>
        <w:footnoteReference w:id="60"/>
      </w:r>
      <w:r w:rsidR="006216C1" w:rsidRPr="00DD2A86">
        <w:rPr>
          <w:rFonts w:eastAsia="Calibri"/>
          <w:vertAlign w:val="superscript"/>
          <w:lang w:val="de-DE"/>
        </w:rPr>
        <w:t>)</w:t>
      </w:r>
      <w:r w:rsidRPr="00DD2A86">
        <w:rPr>
          <w:rFonts w:eastAsia="Calibri"/>
          <w:lang w:val="de-DE"/>
        </w:rPr>
        <w:t xml:space="preserve"> </w:t>
      </w:r>
      <w:r w:rsidRPr="00DD2A86">
        <w:rPr>
          <w:rFonts w:eastAsia="Calibri"/>
          <w:lang w:val="de-DE" w:eastAsia="de-DE"/>
        </w:rPr>
        <w:t xml:space="preserve">oder </w:t>
      </w:r>
      <w:r w:rsidRPr="00DD2A86">
        <w:rPr>
          <w:rFonts w:eastAsia="Calibri"/>
          <w:lang w:val="de-DE"/>
        </w:rPr>
        <w:t>vergleichbares Schutzniveau</w:t>
      </w:r>
      <w:r w:rsidRPr="00DD2A86">
        <w:rPr>
          <w:rFonts w:eastAsia="Calibri"/>
          <w:lang w:val="de-DE" w:eastAsia="de-DE"/>
        </w:rPr>
        <w:t xml:space="preserve"> einschließlich Explosionsgruppe und Temperaturklasse, Zündschutzart, Identifikationsnummer), bei elektrischen Geräten zum Einsatz in Zone 2 sowie bei nicht-elektrischen Geräten zum Einsatz in Zone 1 und Zone 2 (alternativ Kopie </w:t>
      </w:r>
      <w:r w:rsidR="00545FF2" w:rsidRPr="00DD2A86">
        <w:rPr>
          <w:rFonts w:eastAsia="Calibri"/>
          <w:lang w:val="de-DE" w:eastAsia="de-DE"/>
        </w:rPr>
        <w:t>z.B.</w:t>
      </w:r>
      <w:r w:rsidRPr="00DD2A86">
        <w:rPr>
          <w:rFonts w:eastAsia="Calibri"/>
          <w:lang w:val="de-DE" w:eastAsia="de-DE"/>
        </w:rPr>
        <w:t xml:space="preserve"> Konformitätserklärung nach </w:t>
      </w:r>
      <w:r w:rsidRPr="00DD2A86">
        <w:rPr>
          <w:rFonts w:eastAsia="Calibri"/>
          <w:lang w:val="de-DE"/>
        </w:rPr>
        <w:t xml:space="preserve">Richtlinie </w:t>
      </w:r>
      <w:r w:rsidR="004E7BBC" w:rsidRPr="00DD2A86">
        <w:rPr>
          <w:rFonts w:eastAsia="Calibri"/>
          <w:lang w:val="de-DE"/>
        </w:rPr>
        <w:t>2014/34/EU</w:t>
      </w:r>
      <w:r w:rsidRPr="00DD2A86">
        <w:rPr>
          <w:rFonts w:eastAsia="Calibri"/>
          <w:vertAlign w:val="superscript"/>
          <w:lang w:val="de-DE"/>
        </w:rPr>
        <w:footnoteReference w:id="61"/>
      </w:r>
      <w:r w:rsidRPr="00DD2A86">
        <w:rPr>
          <w:rFonts w:eastAsia="Calibri"/>
          <w:vertAlign w:val="superscript"/>
          <w:lang w:val="de-DE"/>
        </w:rPr>
        <w:t>)</w:t>
      </w:r>
      <w:r w:rsidRPr="00DD2A86">
        <w:rPr>
          <w:rFonts w:eastAsia="Calibri"/>
          <w:lang w:val="de-DE" w:eastAsia="de-DE"/>
        </w:rPr>
        <w:t>).</w:t>
      </w:r>
    </w:p>
    <w:p w:rsidR="002E3BE2" w:rsidRPr="00DD2A86" w:rsidRDefault="002E3BE2" w:rsidP="003B5A4C">
      <w:pPr>
        <w:spacing w:before="60" w:line="240" w:lineRule="auto"/>
        <w:ind w:left="2268" w:right="1134"/>
        <w:rPr>
          <w:rFonts w:eastAsia="Calibri"/>
          <w:lang w:val="de-DE"/>
        </w:rPr>
      </w:pPr>
      <w:r w:rsidRPr="00DD2A86">
        <w:rPr>
          <w:rFonts w:eastAsia="Calibri"/>
          <w:lang w:val="de-DE"/>
        </w:rPr>
        <w:t>Die unter e) bis h) genannten Unterlagen müssen mit dem Sichtvermerk der zuständigen Behörde versehen sein, die das Zulassungszeugnis erteilt.</w:t>
      </w:r>
      <w:r w:rsidR="00E3747A" w:rsidRPr="00DD2A86">
        <w:rPr>
          <w:rFonts w:eastAsia="Calibri"/>
          <w:lang w:val="de-DE"/>
        </w:rPr>
        <w:t>“.</w:t>
      </w:r>
    </w:p>
    <w:p w:rsidR="000B4D96" w:rsidRPr="00DD2A86" w:rsidRDefault="000B4D96" w:rsidP="003B5A4C">
      <w:pPr>
        <w:spacing w:before="240" w:line="240" w:lineRule="auto"/>
        <w:ind w:left="1134" w:right="1134"/>
        <w:rPr>
          <w:bCs/>
          <w:lang w:val="de-DE" w:eastAsia="de-DE"/>
        </w:rPr>
      </w:pPr>
      <w:r w:rsidRPr="00DD2A86">
        <w:rPr>
          <w:bCs/>
          <w:lang w:val="de-DE" w:eastAsia="de-DE"/>
        </w:rPr>
        <w:t>8.1.2.3 b)</w:t>
      </w:r>
      <w:r w:rsidRPr="00DD2A86">
        <w:rPr>
          <w:bCs/>
          <w:lang w:val="de-DE" w:eastAsia="de-DE"/>
        </w:rPr>
        <w:tab/>
        <w:t>„7.2.3.15“ ändern in: „8.2.1.2“.</w:t>
      </w:r>
    </w:p>
    <w:p w:rsidR="009E4415" w:rsidRPr="00DD2A86" w:rsidRDefault="009E4415" w:rsidP="003B5A4C">
      <w:pPr>
        <w:spacing w:before="240" w:line="240" w:lineRule="auto"/>
        <w:ind w:left="1134" w:right="1134"/>
        <w:rPr>
          <w:bCs/>
          <w:lang w:val="de-DE" w:eastAsia="de-DE"/>
        </w:rPr>
      </w:pPr>
      <w:r w:rsidRPr="00DD2A86">
        <w:rPr>
          <w:bCs/>
          <w:lang w:val="de-DE" w:eastAsia="de-DE"/>
        </w:rPr>
        <w:t>8.1.2.3 c)</w:t>
      </w:r>
      <w:r w:rsidRPr="00DD2A86">
        <w:rPr>
          <w:bCs/>
          <w:lang w:val="de-DE" w:eastAsia="de-DE"/>
        </w:rPr>
        <w:tab/>
        <w:t>Vor dem ersten Anstrich streichen: „müssen“.</w:t>
      </w:r>
    </w:p>
    <w:p w:rsidR="00FC349D" w:rsidRPr="00DD2A86" w:rsidRDefault="00FC349D" w:rsidP="003B5A4C">
      <w:pPr>
        <w:suppressAutoHyphens w:val="0"/>
        <w:spacing w:line="240" w:lineRule="auto"/>
        <w:ind w:left="2268" w:right="1134"/>
        <w:rPr>
          <w:bCs/>
          <w:lang w:val="de-DE" w:eastAsia="de-DE"/>
        </w:rPr>
      </w:pPr>
      <w:r w:rsidRPr="00DD2A86">
        <w:rPr>
          <w:bCs/>
          <w:lang w:val="de-DE" w:eastAsia="de-DE"/>
        </w:rPr>
        <w:tab/>
      </w:r>
      <w:r w:rsidR="009E4415" w:rsidRPr="00DD2A86">
        <w:rPr>
          <w:bCs/>
          <w:lang w:val="de-DE" w:eastAsia="de-DE"/>
        </w:rPr>
        <w:t xml:space="preserve">Im </w:t>
      </w:r>
      <w:r w:rsidR="008E4DA3" w:rsidRPr="00DD2A86">
        <w:rPr>
          <w:bCs/>
          <w:lang w:val="de-DE" w:eastAsia="de-DE"/>
        </w:rPr>
        <w:t>zweiten</w:t>
      </w:r>
      <w:r w:rsidR="009E4415" w:rsidRPr="00DD2A86">
        <w:rPr>
          <w:bCs/>
          <w:lang w:val="de-DE" w:eastAsia="de-DE"/>
        </w:rPr>
        <w:t xml:space="preserve"> Anstrich „</w:t>
      </w:r>
      <w:r w:rsidR="008E4DA3" w:rsidRPr="00DD2A86">
        <w:rPr>
          <w:bCs/>
          <w:lang w:val="de-DE" w:eastAsia="de-DE"/>
        </w:rPr>
        <w:t>de</w:t>
      </w:r>
      <w:r w:rsidR="007C64F3" w:rsidRPr="00DD2A86">
        <w:rPr>
          <w:bCs/>
          <w:lang w:val="de-DE" w:eastAsia="de-DE"/>
        </w:rPr>
        <w:t>n</w:t>
      </w:r>
      <w:r w:rsidR="008E4DA3" w:rsidRPr="00DD2A86">
        <w:rPr>
          <w:bCs/>
          <w:lang w:val="de-DE" w:eastAsia="de-DE"/>
        </w:rPr>
        <w:t xml:space="preserve"> Beleg“ ändern in: „de</w:t>
      </w:r>
      <w:r w:rsidR="007C64F3" w:rsidRPr="00DD2A86">
        <w:rPr>
          <w:bCs/>
          <w:lang w:val="de-DE" w:eastAsia="de-DE"/>
        </w:rPr>
        <w:t>r</w:t>
      </w:r>
      <w:r w:rsidR="008E4DA3" w:rsidRPr="00DD2A86">
        <w:rPr>
          <w:bCs/>
          <w:lang w:val="de-DE" w:eastAsia="de-DE"/>
        </w:rPr>
        <w:t xml:space="preserve"> Beleg“.</w:t>
      </w:r>
    </w:p>
    <w:p w:rsidR="003E16B1" w:rsidRPr="00DD2A86" w:rsidRDefault="003E16B1" w:rsidP="003B5A4C">
      <w:pPr>
        <w:tabs>
          <w:tab w:val="left" w:pos="2268"/>
        </w:tabs>
        <w:spacing w:before="120" w:after="120"/>
        <w:ind w:left="1134" w:right="1134"/>
        <w:jc w:val="both"/>
        <w:rPr>
          <w:lang w:val="de-DE" w:eastAsia="fr-FR"/>
        </w:rPr>
      </w:pPr>
      <w:r w:rsidRPr="00DD2A86">
        <w:rPr>
          <w:lang w:val="de-DE" w:eastAsia="fr-FR"/>
        </w:rPr>
        <w:t>[Betrifft nur die deutsche Sprachfassung]</w:t>
      </w:r>
    </w:p>
    <w:p w:rsidR="00145D8C" w:rsidRPr="00DD2A86" w:rsidRDefault="00145D8C" w:rsidP="003B5A4C">
      <w:pPr>
        <w:spacing w:before="240" w:line="240" w:lineRule="auto"/>
        <w:ind w:left="1134" w:right="1134"/>
        <w:rPr>
          <w:bCs/>
          <w:lang w:val="de-DE" w:eastAsia="de-DE"/>
        </w:rPr>
      </w:pPr>
      <w:r w:rsidRPr="00DD2A86">
        <w:rPr>
          <w:bCs/>
          <w:lang w:val="de-DE" w:eastAsia="de-DE"/>
        </w:rPr>
        <w:t>8.1.2.3 d)</w:t>
      </w:r>
      <w:r w:rsidRPr="00DD2A86">
        <w:rPr>
          <w:bCs/>
          <w:lang w:val="de-DE" w:eastAsia="de-DE"/>
        </w:rPr>
        <w:tab/>
        <w:t>Erhält folgenden Wortlaut: „d) (gestrichen)“.</w:t>
      </w:r>
    </w:p>
    <w:p w:rsidR="00145D8C" w:rsidRPr="00DD2A86" w:rsidRDefault="00145D8C" w:rsidP="003B5A4C">
      <w:pPr>
        <w:spacing w:before="240" w:line="240" w:lineRule="auto"/>
        <w:ind w:left="1134" w:right="1134"/>
        <w:rPr>
          <w:bCs/>
          <w:lang w:val="de-DE" w:eastAsia="de-DE"/>
        </w:rPr>
      </w:pPr>
      <w:r w:rsidRPr="00DD2A86">
        <w:rPr>
          <w:bCs/>
          <w:lang w:val="de-DE" w:eastAsia="de-DE"/>
        </w:rPr>
        <w:t>8.1.2.3 f)</w:t>
      </w:r>
      <w:r w:rsidRPr="00DD2A86">
        <w:rPr>
          <w:bCs/>
          <w:lang w:val="de-DE" w:eastAsia="de-DE"/>
        </w:rPr>
        <w:tab/>
        <w:t>Erhält folgenden Wortlaut:</w:t>
      </w:r>
    </w:p>
    <w:p w:rsidR="00145D8C" w:rsidRPr="00DD2A86" w:rsidRDefault="00145D8C" w:rsidP="003B5A4C">
      <w:pPr>
        <w:spacing w:before="120" w:line="240" w:lineRule="auto"/>
        <w:ind w:left="2268" w:right="1134"/>
        <w:jc w:val="both"/>
        <w:rPr>
          <w:lang w:val="de-DE" w:eastAsia="fr-FR"/>
        </w:rPr>
      </w:pPr>
      <w:r w:rsidRPr="00DD2A86">
        <w:rPr>
          <w:bCs/>
          <w:lang w:val="de-DE" w:eastAsia="de-DE"/>
        </w:rPr>
        <w:t>„f)</w:t>
      </w:r>
      <w:r w:rsidR="00F435DA" w:rsidRPr="00DD2A86">
        <w:rPr>
          <w:bCs/>
          <w:lang w:val="de-DE" w:eastAsia="de-DE"/>
        </w:rPr>
        <w:tab/>
      </w:r>
      <w:r w:rsidR="00EE0C91" w:rsidRPr="00DD2A86">
        <w:rPr>
          <w:lang w:val="de-DE" w:eastAsia="fr-FR"/>
        </w:rPr>
        <w:t>die in Unterabschnitt 8.1.6.3 vorgeschriebenen Bescheinigungen über die Prüfung der besonderen Ausrüstung, der Gasspüranlagen und der Sauerstoffmessanlage;“</w:t>
      </w:r>
      <w:r w:rsidRPr="00DD2A86">
        <w:rPr>
          <w:lang w:val="de-DE" w:eastAsia="fr-FR"/>
        </w:rPr>
        <w:t>.</w:t>
      </w:r>
    </w:p>
    <w:p w:rsidR="00194F0A" w:rsidRPr="00DD2A86" w:rsidRDefault="00194F0A" w:rsidP="00106A9F">
      <w:pPr>
        <w:spacing w:before="240" w:line="240" w:lineRule="auto"/>
        <w:ind w:left="1134" w:right="1134"/>
        <w:rPr>
          <w:bCs/>
          <w:lang w:val="de-DE" w:eastAsia="de-DE"/>
        </w:rPr>
      </w:pPr>
      <w:r w:rsidRPr="00DD2A86">
        <w:rPr>
          <w:bCs/>
          <w:lang w:val="de-DE" w:eastAsia="de-DE"/>
        </w:rPr>
        <w:t xml:space="preserve">8.1.2.3 j) </w:t>
      </w:r>
      <w:r w:rsidRPr="00DD2A86">
        <w:rPr>
          <w:bCs/>
          <w:lang w:val="de-DE" w:eastAsia="de-DE"/>
        </w:rPr>
        <w:tab/>
        <w:t>Erhält folgenden Wortlaut:</w:t>
      </w:r>
    </w:p>
    <w:p w:rsidR="00194F0A" w:rsidRPr="00DD2A86" w:rsidRDefault="00194F0A" w:rsidP="00D8591A">
      <w:pPr>
        <w:spacing w:before="120" w:line="240" w:lineRule="auto"/>
        <w:ind w:left="2268" w:right="1134"/>
        <w:jc w:val="both"/>
        <w:rPr>
          <w:bCs/>
          <w:lang w:val="de-DE" w:eastAsia="de-DE"/>
        </w:rPr>
      </w:pPr>
      <w:r w:rsidRPr="00DD2A86">
        <w:rPr>
          <w:bCs/>
          <w:lang w:val="de-DE" w:eastAsia="de-DE"/>
        </w:rPr>
        <w:t>„j)</w:t>
      </w:r>
      <w:r w:rsidRPr="00DD2A86">
        <w:rPr>
          <w:bCs/>
          <w:lang w:val="de-DE" w:eastAsia="de-DE"/>
        </w:rPr>
        <w:tab/>
        <w:t>die in Abschnitt 8.1.8 vorgeschriebene Bescheinigung über die Kontrolle der Pumpenräume“.</w:t>
      </w:r>
    </w:p>
    <w:p w:rsidR="004D21F2" w:rsidRPr="00DD2A86" w:rsidRDefault="004D21F2" w:rsidP="00106A9F">
      <w:pPr>
        <w:spacing w:before="240" w:line="240" w:lineRule="auto"/>
        <w:ind w:left="1134" w:right="1134"/>
        <w:rPr>
          <w:bCs/>
          <w:lang w:val="de-DE" w:eastAsia="de-DE"/>
        </w:rPr>
      </w:pPr>
      <w:r w:rsidRPr="00DD2A86">
        <w:rPr>
          <w:bCs/>
          <w:lang w:val="de-DE" w:eastAsia="de-DE"/>
        </w:rPr>
        <w:t>8.1.2.3 l)</w:t>
      </w:r>
      <w:r w:rsidRPr="00DD2A86">
        <w:rPr>
          <w:bCs/>
          <w:lang w:val="de-DE" w:eastAsia="de-DE"/>
        </w:rPr>
        <w:tab/>
        <w:t>Erhält folgenden Wortlaut:</w:t>
      </w:r>
    </w:p>
    <w:p w:rsidR="004D21F2" w:rsidRPr="00DD2A86" w:rsidRDefault="004D21F2" w:rsidP="00106A9F">
      <w:pPr>
        <w:spacing w:before="120" w:line="240" w:lineRule="auto"/>
        <w:ind w:left="2268" w:right="1134"/>
        <w:jc w:val="both"/>
        <w:rPr>
          <w:lang w:val="de-DE" w:eastAsia="fr-FR"/>
        </w:rPr>
      </w:pPr>
      <w:r w:rsidRPr="00DD2A86">
        <w:rPr>
          <w:lang w:val="de-DE" w:eastAsia="fr-FR"/>
        </w:rPr>
        <w:t>„l)</w:t>
      </w:r>
      <w:r w:rsidRPr="00DD2A86">
        <w:rPr>
          <w:lang w:val="de-DE" w:eastAsia="fr-FR"/>
        </w:rPr>
        <w:tab/>
      </w:r>
      <w:r w:rsidR="00194F0A" w:rsidRPr="00DD2A86">
        <w:rPr>
          <w:lang w:val="de-DE" w:eastAsia="fr-FR"/>
        </w:rPr>
        <w:t>(gestrichen)“.</w:t>
      </w:r>
    </w:p>
    <w:p w:rsidR="00145D8C" w:rsidRPr="00DD2A86" w:rsidRDefault="00145D8C" w:rsidP="00106A9F">
      <w:pPr>
        <w:spacing w:before="240" w:line="240" w:lineRule="auto"/>
        <w:ind w:left="1134" w:right="1134"/>
        <w:rPr>
          <w:bCs/>
          <w:lang w:val="de-DE" w:eastAsia="de-DE"/>
        </w:rPr>
      </w:pPr>
      <w:r w:rsidRPr="00DD2A86">
        <w:rPr>
          <w:bCs/>
          <w:lang w:val="de-DE" w:eastAsia="de-DE"/>
        </w:rPr>
        <w:t>8.1.2.3 q)</w:t>
      </w:r>
      <w:r w:rsidRPr="00DD2A86">
        <w:rPr>
          <w:bCs/>
          <w:lang w:val="de-DE" w:eastAsia="de-DE"/>
        </w:rPr>
        <w:tab/>
        <w:t>Erhält folgenden Wortlaut:</w:t>
      </w:r>
    </w:p>
    <w:p w:rsidR="00145D8C" w:rsidRPr="00DD2A86" w:rsidRDefault="00145D8C" w:rsidP="00106A9F">
      <w:pPr>
        <w:spacing w:before="120" w:line="240" w:lineRule="auto"/>
        <w:ind w:left="2268" w:right="1134"/>
        <w:jc w:val="both"/>
        <w:rPr>
          <w:lang w:val="de-DE" w:eastAsia="fr-FR"/>
        </w:rPr>
      </w:pPr>
      <w:r w:rsidRPr="00DD2A86">
        <w:rPr>
          <w:bCs/>
          <w:lang w:val="de-DE" w:eastAsia="de-DE"/>
        </w:rPr>
        <w:t>„q)</w:t>
      </w:r>
      <w:r w:rsidRPr="00DD2A86">
        <w:rPr>
          <w:lang w:val="de-DE" w:eastAsia="fr-FR"/>
        </w:rPr>
        <w:tab/>
        <w:t>bei der Beförderung tiefgekühlt verflüssigter Gase und fehlender Kontrolle der Ladungstemperatur gemäß Absatz 9.3.1.24.1 a) oder 9.3.1.24.1 c) die Berechnung der Haltezeit (7.2.4.16.16, 7.2.4.16.17 und die Dokumentation des Wärmeübergangswertes);“.</w:t>
      </w:r>
    </w:p>
    <w:p w:rsidR="00145D8C" w:rsidRPr="00DD2A86" w:rsidRDefault="00F435DA" w:rsidP="00106A9F">
      <w:pPr>
        <w:spacing w:before="240" w:line="240" w:lineRule="auto"/>
        <w:ind w:left="1134" w:right="1134"/>
        <w:jc w:val="both"/>
        <w:rPr>
          <w:lang w:val="de-DE" w:eastAsia="fr-FR"/>
        </w:rPr>
      </w:pPr>
      <w:r w:rsidRPr="00DD2A86">
        <w:rPr>
          <w:lang w:val="de-DE" w:eastAsia="fr-FR"/>
        </w:rPr>
        <w:t>8.1.2.3</w:t>
      </w:r>
      <w:r w:rsidRPr="00DD2A86">
        <w:rPr>
          <w:lang w:val="de-DE" w:eastAsia="fr-FR"/>
        </w:rPr>
        <w:tab/>
      </w:r>
      <w:r w:rsidR="00145D8C" w:rsidRPr="00DD2A86">
        <w:rPr>
          <w:lang w:val="de-DE" w:eastAsia="fr-FR"/>
        </w:rPr>
        <w:tab/>
        <w:t xml:space="preserve">Folgende neue </w:t>
      </w:r>
      <w:r w:rsidR="00950969" w:rsidRPr="00DD2A86">
        <w:rPr>
          <w:lang w:val="de-DE" w:eastAsia="fr-FR"/>
        </w:rPr>
        <w:t xml:space="preserve">Buchstaben </w:t>
      </w:r>
      <w:r w:rsidR="00145D8C" w:rsidRPr="00DD2A86">
        <w:rPr>
          <w:lang w:val="de-DE" w:eastAsia="fr-FR"/>
        </w:rPr>
        <w:t>am Ende hinzufügen:</w:t>
      </w:r>
    </w:p>
    <w:p w:rsidR="00145D8C" w:rsidRPr="00DD2A86" w:rsidRDefault="00145D8C" w:rsidP="00106A9F">
      <w:pPr>
        <w:spacing w:before="60" w:line="240" w:lineRule="auto"/>
        <w:ind w:left="2268" w:right="1134"/>
        <w:jc w:val="both"/>
        <w:rPr>
          <w:bCs/>
          <w:lang w:val="de-DE" w:eastAsia="de-DE"/>
        </w:rPr>
      </w:pPr>
      <w:r w:rsidRPr="00DD2A86">
        <w:rPr>
          <w:bCs/>
          <w:lang w:val="de-DE" w:eastAsia="de-DE"/>
        </w:rPr>
        <w:t>„r)</w:t>
      </w:r>
      <w:r w:rsidRPr="00DD2A86">
        <w:rPr>
          <w:bCs/>
          <w:lang w:val="de-DE" w:eastAsia="de-DE"/>
        </w:rPr>
        <w:tab/>
        <w:t xml:space="preserve">eine Liste oder ein Übersichtsplan der fest installierten Anlagen und Geräte, die mindestens für den Betrieb in Zone 1 geeignet </w:t>
      </w:r>
      <w:r w:rsidR="00081585" w:rsidRPr="00DD2A86">
        <w:rPr>
          <w:bCs/>
          <w:lang w:val="de-DE" w:eastAsia="de-DE"/>
        </w:rPr>
        <w:t xml:space="preserve">sind </w:t>
      </w:r>
      <w:r w:rsidRPr="00DD2A86">
        <w:rPr>
          <w:bCs/>
          <w:lang w:val="de-DE" w:eastAsia="de-DE"/>
        </w:rPr>
        <w:t>und der Anlagen und Geräte die 9.3.x.51 entsprechen;</w:t>
      </w:r>
    </w:p>
    <w:p w:rsidR="00145D8C" w:rsidRPr="00DD2A86" w:rsidRDefault="00145D8C" w:rsidP="00106A9F">
      <w:pPr>
        <w:spacing w:before="60" w:line="240" w:lineRule="auto"/>
        <w:ind w:left="2268" w:right="1134"/>
        <w:jc w:val="both"/>
        <w:rPr>
          <w:bCs/>
          <w:lang w:val="de-DE" w:eastAsia="de-DE"/>
        </w:rPr>
      </w:pPr>
      <w:r w:rsidRPr="00DD2A86">
        <w:rPr>
          <w:bCs/>
          <w:lang w:val="de-DE" w:eastAsia="de-DE"/>
        </w:rPr>
        <w:t>s)</w:t>
      </w:r>
      <w:r w:rsidRPr="00DD2A86">
        <w:rPr>
          <w:bCs/>
          <w:lang w:val="de-DE" w:eastAsia="de-DE"/>
        </w:rPr>
        <w:tab/>
        <w:t>eine Liste oder ein Übersichtsplan der fest installierten Anlagen und Geräte, die während des Ladens, Löschens , Entgasens beim Stillliegen oder während des Aufenthalts in einer oder unmittelbar angrenzend an eine landseitig ausgewiesene Zone, nicht betrieben werden dürfen (rot gekennzeichnet gemäß Absatz 9.3.1.52.3, 9.3.2.52.3 oder 9.3.3.52.3);</w:t>
      </w:r>
    </w:p>
    <w:p w:rsidR="007C000A" w:rsidRPr="00DD2A86" w:rsidRDefault="007C000A">
      <w:pPr>
        <w:suppressAutoHyphens w:val="0"/>
        <w:spacing w:line="240" w:lineRule="auto"/>
        <w:rPr>
          <w:bCs/>
          <w:lang w:val="de-DE" w:eastAsia="de-DE"/>
        </w:rPr>
      </w:pPr>
      <w:r w:rsidRPr="00DD2A86">
        <w:rPr>
          <w:bCs/>
          <w:lang w:val="de-DE" w:eastAsia="de-DE"/>
        </w:rPr>
        <w:br w:type="page"/>
      </w:r>
    </w:p>
    <w:p w:rsidR="00145D8C" w:rsidRPr="00DD2A86" w:rsidRDefault="00145D8C" w:rsidP="00106A9F">
      <w:pPr>
        <w:spacing w:before="60" w:line="240" w:lineRule="auto"/>
        <w:ind w:left="2268" w:right="1134"/>
        <w:jc w:val="both"/>
        <w:rPr>
          <w:bCs/>
          <w:lang w:val="de-DE" w:eastAsia="de-DE"/>
        </w:rPr>
      </w:pPr>
      <w:r w:rsidRPr="00DD2A86">
        <w:rPr>
          <w:bCs/>
          <w:lang w:val="de-DE" w:eastAsia="de-DE"/>
        </w:rPr>
        <w:t>t)</w:t>
      </w:r>
      <w:r w:rsidRPr="00DD2A86">
        <w:rPr>
          <w:bCs/>
          <w:lang w:val="de-DE" w:eastAsia="de-DE"/>
        </w:rPr>
        <w:tab/>
        <w:t>ein von einer anerkannten Klassifikationsgesellschaft genehmigter Plan mit den Grenzen der Zonen, auf dem die in der jeweiligen Zone installierten elektrischen und nicht-elektrischen Anlagen und Geräte zum Einsatz in explosionsgefährdeten Bereiche sowie die autonomen Schutzsysteme e</w:t>
      </w:r>
      <w:r w:rsidR="008D0C8C" w:rsidRPr="00DD2A86">
        <w:rPr>
          <w:bCs/>
          <w:lang w:val="de-DE" w:eastAsia="de-DE"/>
        </w:rPr>
        <w:t>ingetragen sind;</w:t>
      </w:r>
    </w:p>
    <w:p w:rsidR="00145D8C" w:rsidRPr="00DD2A86" w:rsidRDefault="00145D8C" w:rsidP="00106A9F">
      <w:pPr>
        <w:spacing w:before="60" w:line="240" w:lineRule="auto"/>
        <w:ind w:left="2268" w:right="1134"/>
        <w:jc w:val="both"/>
        <w:rPr>
          <w:bCs/>
          <w:lang w:val="de-DE" w:eastAsia="de-DE"/>
        </w:rPr>
      </w:pPr>
      <w:r w:rsidRPr="00DD2A86">
        <w:rPr>
          <w:bCs/>
          <w:lang w:val="de-DE" w:eastAsia="de-DE"/>
        </w:rPr>
        <w:t>u)</w:t>
      </w:r>
      <w:r w:rsidRPr="00DD2A86">
        <w:rPr>
          <w:bCs/>
          <w:lang w:val="de-DE" w:eastAsia="de-DE"/>
        </w:rPr>
        <w:tab/>
        <w:t>eine Liste der unter Buchstabe t) aufgeführten Anlagen und Geräte sowie der autonomen Schutzsysteme mit folgenden Angaben:</w:t>
      </w:r>
    </w:p>
    <w:p w:rsidR="00145D8C" w:rsidRPr="00DD2A86" w:rsidRDefault="00145D8C" w:rsidP="00106A9F">
      <w:pPr>
        <w:spacing w:before="60" w:line="240" w:lineRule="auto"/>
        <w:ind w:left="2552" w:right="1134" w:hanging="284"/>
        <w:jc w:val="both"/>
        <w:rPr>
          <w:bCs/>
          <w:lang w:val="de-DE" w:eastAsia="de-DE"/>
        </w:rPr>
      </w:pPr>
      <w:r w:rsidRPr="00DD2A86">
        <w:rPr>
          <w:bCs/>
          <w:lang w:val="de-DE" w:eastAsia="de-DE"/>
        </w:rPr>
        <w:t>-</w:t>
      </w:r>
      <w:r w:rsidRPr="00DD2A86">
        <w:rPr>
          <w:bCs/>
          <w:lang w:val="de-DE" w:eastAsia="de-DE"/>
        </w:rPr>
        <w:tab/>
        <w:t xml:space="preserve">Anlage/Gerät, Aufstellungsort, Kennzeichnung (Geräteschutzniveau nach IEC 60079-0 oder Kategorie nach Richtlinie </w:t>
      </w:r>
      <w:r w:rsidR="004E7BBC" w:rsidRPr="00DD2A86">
        <w:rPr>
          <w:bCs/>
          <w:lang w:val="de-DE" w:eastAsia="de-DE"/>
        </w:rPr>
        <w:t>2014/34/EU</w:t>
      </w:r>
      <w:r w:rsidRPr="00DD2A86">
        <w:rPr>
          <w:bCs/>
          <w:vertAlign w:val="superscript"/>
          <w:lang w:val="de-DE" w:eastAsia="de-DE"/>
        </w:rPr>
        <w:footnoteReference w:id="62"/>
      </w:r>
      <w:r w:rsidRPr="00DD2A86">
        <w:rPr>
          <w:bCs/>
          <w:vertAlign w:val="superscript"/>
          <w:lang w:val="de-DE" w:eastAsia="de-DE"/>
        </w:rPr>
        <w:t>)</w:t>
      </w:r>
      <w:r w:rsidRPr="00DD2A86">
        <w:rPr>
          <w:bCs/>
          <w:lang w:val="de-DE" w:eastAsia="de-DE"/>
        </w:rPr>
        <w:t xml:space="preserve"> oder mindestens gleichwertig) einschließlich Explosionsgruppe und Temperaturklasse, Zündschutzart, Prüfstelle, bei elektrischen Geräten zum Einsatz in Zone 0 und Zone 1 sowie bei nichtelektrischen Geräten zum Einsatz in Zone 0; (alternativ Kopie der Prüfbescheinigung </w:t>
      </w:r>
      <w:r w:rsidR="00545FF2" w:rsidRPr="00DD2A86">
        <w:rPr>
          <w:bCs/>
          <w:lang w:val="de-DE" w:eastAsia="de-DE"/>
        </w:rPr>
        <w:t>z.B.</w:t>
      </w:r>
      <w:r w:rsidRPr="00DD2A86">
        <w:rPr>
          <w:bCs/>
          <w:lang w:val="de-DE" w:eastAsia="de-DE"/>
        </w:rPr>
        <w:t xml:space="preserve"> Konformitätserklärung  nach Richtlinie </w:t>
      </w:r>
      <w:r w:rsidR="004E7BBC" w:rsidRPr="00DD2A86">
        <w:rPr>
          <w:bCs/>
          <w:lang w:val="de-DE" w:eastAsia="de-DE"/>
        </w:rPr>
        <w:t>2014/34/EU</w:t>
      </w:r>
      <w:r w:rsidRPr="00DD2A86">
        <w:rPr>
          <w:bCs/>
          <w:vertAlign w:val="superscript"/>
          <w:lang w:val="de-DE" w:eastAsia="de-DE"/>
        </w:rPr>
        <w:footnoteReference w:id="63"/>
      </w:r>
      <w:r w:rsidRPr="00DD2A86">
        <w:rPr>
          <w:bCs/>
          <w:vertAlign w:val="superscript"/>
          <w:lang w:val="de-DE" w:eastAsia="de-DE"/>
        </w:rPr>
        <w:t>)</w:t>
      </w:r>
      <w:r w:rsidRPr="00DD2A86">
        <w:rPr>
          <w:bCs/>
          <w:lang w:val="de-DE" w:eastAsia="de-DE"/>
        </w:rPr>
        <w:t>)</w:t>
      </w:r>
    </w:p>
    <w:p w:rsidR="00145D8C" w:rsidRPr="00DD2A86" w:rsidRDefault="00145D8C" w:rsidP="00106A9F">
      <w:pPr>
        <w:spacing w:before="60" w:line="240" w:lineRule="auto"/>
        <w:ind w:left="2552" w:right="1134" w:hanging="284"/>
        <w:jc w:val="both"/>
        <w:rPr>
          <w:bCs/>
          <w:lang w:val="de-DE" w:eastAsia="de-DE"/>
        </w:rPr>
      </w:pPr>
      <w:r w:rsidRPr="00DD2A86">
        <w:rPr>
          <w:bCs/>
          <w:lang w:val="de-DE" w:eastAsia="de-DE"/>
        </w:rPr>
        <w:t>-</w:t>
      </w:r>
      <w:r w:rsidRPr="00DD2A86">
        <w:rPr>
          <w:bCs/>
          <w:lang w:val="de-DE" w:eastAsia="de-DE"/>
        </w:rPr>
        <w:tab/>
        <w:t xml:space="preserve">Anlage/Gerät, Aufstellungsort, Kennzeichnung (Geräteschutzniveau nach IEC 60079-0 oder Kategorie nach Richtlinie </w:t>
      </w:r>
      <w:r w:rsidR="004E7BBC" w:rsidRPr="00DD2A86">
        <w:rPr>
          <w:bCs/>
          <w:lang w:val="de-DE" w:eastAsia="de-DE"/>
        </w:rPr>
        <w:t>2014/34/EU</w:t>
      </w:r>
      <w:r w:rsidR="006216C1" w:rsidRPr="00DD2A86">
        <w:rPr>
          <w:bCs/>
          <w:vertAlign w:val="superscript"/>
          <w:lang w:val="de-DE" w:eastAsia="de-DE"/>
        </w:rPr>
        <w:footnoteReference w:id="64"/>
      </w:r>
      <w:r w:rsidR="006216C1" w:rsidRPr="00DD2A86">
        <w:rPr>
          <w:bCs/>
          <w:vertAlign w:val="superscript"/>
          <w:lang w:val="de-DE" w:eastAsia="de-DE"/>
        </w:rPr>
        <w:t>)</w:t>
      </w:r>
      <w:r w:rsidRPr="00DD2A86">
        <w:rPr>
          <w:bCs/>
          <w:lang w:val="de-DE" w:eastAsia="de-DE"/>
        </w:rPr>
        <w:t xml:space="preserve"> oder vergleichbares Schutzniveau einschließlich Explosionsgruppe und Temperaturklasse, Zündschutzart, Identifikationsnummer), bei elektrischen Geräten zum Einsatz in Zone 2 sowie bei nicht-elektrischen Geräten zum Einsatz in Zone 1 und Zone 2 (oder Kopie der der Prüfbescheinigung </w:t>
      </w:r>
      <w:r w:rsidR="00545FF2" w:rsidRPr="00DD2A86">
        <w:rPr>
          <w:bCs/>
          <w:lang w:val="de-DE" w:eastAsia="de-DE"/>
        </w:rPr>
        <w:t>z.B.</w:t>
      </w:r>
      <w:r w:rsidRPr="00DD2A86">
        <w:rPr>
          <w:bCs/>
          <w:lang w:val="de-DE" w:eastAsia="de-DE"/>
        </w:rPr>
        <w:t xml:space="preserve"> Konformitätserklärung nach Richtlinie </w:t>
      </w:r>
      <w:r w:rsidR="004E7BBC" w:rsidRPr="00DD2A86">
        <w:rPr>
          <w:bCs/>
          <w:lang w:val="de-DE" w:eastAsia="de-DE"/>
        </w:rPr>
        <w:t>2014/34/EU</w:t>
      </w:r>
      <w:r w:rsidRPr="00DD2A86">
        <w:rPr>
          <w:bCs/>
          <w:vertAlign w:val="superscript"/>
          <w:lang w:val="de-DE" w:eastAsia="de-DE"/>
        </w:rPr>
        <w:footnoteReference w:id="65"/>
      </w:r>
      <w:r w:rsidRPr="00DD2A86">
        <w:rPr>
          <w:bCs/>
          <w:vertAlign w:val="superscript"/>
          <w:lang w:val="de-DE" w:eastAsia="de-DE"/>
        </w:rPr>
        <w:t>)</w:t>
      </w:r>
      <w:r w:rsidRPr="00DD2A86">
        <w:rPr>
          <w:bCs/>
          <w:lang w:val="de-DE" w:eastAsia="de-DE"/>
        </w:rPr>
        <w:t>)</w:t>
      </w:r>
    </w:p>
    <w:p w:rsidR="00145D8C" w:rsidRPr="00DD2A86" w:rsidRDefault="00145D8C" w:rsidP="00106A9F">
      <w:pPr>
        <w:spacing w:before="60" w:line="240" w:lineRule="auto"/>
        <w:ind w:left="2552" w:right="1134" w:hanging="284"/>
        <w:jc w:val="both"/>
        <w:rPr>
          <w:bCs/>
          <w:lang w:val="de-DE" w:eastAsia="de-DE"/>
        </w:rPr>
      </w:pPr>
      <w:r w:rsidRPr="00DD2A86">
        <w:rPr>
          <w:bCs/>
          <w:lang w:val="de-DE" w:eastAsia="de-DE"/>
        </w:rPr>
        <w:t>-</w:t>
      </w:r>
      <w:r w:rsidRPr="00DD2A86">
        <w:rPr>
          <w:bCs/>
          <w:lang w:val="de-DE" w:eastAsia="de-DE"/>
        </w:rPr>
        <w:tab/>
        <w:t xml:space="preserve">autonomes Schutzsystem, Einbauort, Kennzeichnung </w:t>
      </w:r>
      <w:r w:rsidR="002C0B79" w:rsidRPr="00DD2A86">
        <w:rPr>
          <w:bCs/>
          <w:lang w:val="de-DE" w:eastAsia="de-DE"/>
        </w:rPr>
        <w:t>(Explosionsgruppe/Untergruppe);</w:t>
      </w:r>
    </w:p>
    <w:p w:rsidR="00145D8C" w:rsidRPr="00DD2A86" w:rsidRDefault="00145D8C" w:rsidP="00106A9F">
      <w:pPr>
        <w:spacing w:before="60" w:line="240" w:lineRule="auto"/>
        <w:ind w:left="2268" w:right="1134"/>
        <w:jc w:val="both"/>
        <w:rPr>
          <w:bCs/>
          <w:lang w:val="de-DE" w:eastAsia="de-DE"/>
        </w:rPr>
      </w:pPr>
      <w:r w:rsidRPr="00DD2A86">
        <w:rPr>
          <w:bCs/>
          <w:lang w:val="de-DE" w:eastAsia="de-DE"/>
        </w:rPr>
        <w:t>v)</w:t>
      </w:r>
      <w:r w:rsidRPr="00DD2A86">
        <w:rPr>
          <w:bCs/>
          <w:lang w:val="de-DE" w:eastAsia="de-DE"/>
        </w:rPr>
        <w:tab/>
        <w:t>eine Liste oder ein Übersichtsplan über die außerhalb der explosionsgefährdeten Bereiche  fest installierten Anlagen und Geräte, die während des Ladens, Löschens, Entgasens beim Stillliegen oder während des Aufenthalts in einer oder unmittelbar angrenzend an eine landseitig ausgewiesene Zone, betrieben werden dürfen, soweit sie nicht unter r) und u) fallen.</w:t>
      </w:r>
    </w:p>
    <w:p w:rsidR="00145D8C" w:rsidRPr="00DD2A86" w:rsidRDefault="00145D8C" w:rsidP="00106A9F">
      <w:pPr>
        <w:spacing w:before="60" w:line="240" w:lineRule="auto"/>
        <w:ind w:left="2268" w:right="1134"/>
        <w:jc w:val="both"/>
        <w:rPr>
          <w:bCs/>
          <w:lang w:val="de-DE" w:eastAsia="de-DE"/>
        </w:rPr>
      </w:pPr>
      <w:r w:rsidRPr="00DD2A86">
        <w:rPr>
          <w:bCs/>
          <w:lang w:val="de-DE" w:eastAsia="de-DE"/>
        </w:rPr>
        <w:t>Die vorstehend in r) bis v) genannten Unterlagen müssen mit dem Sichtvermerk der zuständigen Behörde versehen sein, die das Zulassungszeugnis erteilt hat.</w:t>
      </w:r>
    </w:p>
    <w:p w:rsidR="00E6374D" w:rsidRPr="00DD2A86" w:rsidRDefault="00E6374D" w:rsidP="00AE3426">
      <w:pPr>
        <w:tabs>
          <w:tab w:val="left" w:pos="2268"/>
        </w:tabs>
        <w:spacing w:before="120" w:after="120"/>
        <w:ind w:left="2268" w:right="1134"/>
        <w:jc w:val="both"/>
        <w:rPr>
          <w:lang w:val="de-DE" w:eastAsia="fr-FR"/>
        </w:rPr>
      </w:pPr>
      <w:r w:rsidRPr="00DD2A86">
        <w:rPr>
          <w:lang w:val="de-DE" w:eastAsia="fr-FR"/>
        </w:rPr>
        <w:t xml:space="preserve">w) </w:t>
      </w:r>
      <w:r w:rsidR="00B97750" w:rsidRPr="00DD2A86">
        <w:rPr>
          <w:lang w:val="de-DE" w:eastAsia="fr-FR"/>
        </w:rPr>
        <w:tab/>
      </w:r>
      <w:r w:rsidRPr="00DD2A86">
        <w:rPr>
          <w:lang w:val="de-DE" w:eastAsia="fr-FR"/>
        </w:rPr>
        <w:t>die nach Unterabschnitt 3.2.3.1, Erläuterungen zur Tabelle C, Erläuternde Bemerkung zu Spalte (20), Zusätzliche Anforderung/Bemerkung 12, Buchstaben p) und q)  geforderten Bescheinigungen, wenn zutreffend;</w:t>
      </w:r>
    </w:p>
    <w:p w:rsidR="00E6374D" w:rsidRPr="00DD2A86" w:rsidRDefault="00E6374D" w:rsidP="00AE3426">
      <w:pPr>
        <w:widowControl w:val="0"/>
        <w:tabs>
          <w:tab w:val="left" w:pos="567"/>
        </w:tabs>
        <w:suppressAutoHyphens w:val="0"/>
        <w:overflowPunct w:val="0"/>
        <w:autoSpaceDE w:val="0"/>
        <w:autoSpaceDN w:val="0"/>
        <w:adjustRightInd w:val="0"/>
        <w:ind w:left="2268" w:right="1134"/>
        <w:jc w:val="both"/>
        <w:textAlignment w:val="baseline"/>
        <w:rPr>
          <w:lang w:val="de-DE" w:eastAsia="fr-FR"/>
        </w:rPr>
      </w:pPr>
      <w:r w:rsidRPr="00DD2A86">
        <w:rPr>
          <w:lang w:val="de-DE" w:eastAsia="fr-FR"/>
        </w:rPr>
        <w:t xml:space="preserve">x) </w:t>
      </w:r>
      <w:r w:rsidR="00B97750" w:rsidRPr="00DD2A86">
        <w:rPr>
          <w:lang w:val="de-DE" w:eastAsia="fr-FR"/>
        </w:rPr>
        <w:tab/>
      </w:r>
      <w:r w:rsidRPr="00DD2A86">
        <w:rPr>
          <w:lang w:val="de-DE" w:eastAsia="fr-FR"/>
        </w:rPr>
        <w:t>die nach Unterabschnitt 3.2.3.1, Erläuterungen zur Tabelle C, Erläuternde Bemerkung zu Spalte (20), Zusätzliche Anforderung/Bemerkung 33, Buchstaben i), n) und o) geforderten Bescheinigungen, wenn zutreffend.“.</w:t>
      </w:r>
    </w:p>
    <w:p w:rsidR="00ED6B5C" w:rsidRPr="00DD2A86" w:rsidRDefault="00ED6B5C" w:rsidP="00106A9F">
      <w:pPr>
        <w:spacing w:before="240" w:line="240" w:lineRule="auto"/>
        <w:ind w:left="1134" w:right="1134"/>
        <w:jc w:val="both"/>
        <w:rPr>
          <w:lang w:val="de-DE" w:eastAsia="fr-FR"/>
        </w:rPr>
      </w:pPr>
      <w:r w:rsidRPr="00DD2A86">
        <w:rPr>
          <w:lang w:val="de-DE" w:eastAsia="fr-FR"/>
        </w:rPr>
        <w:t>8.1.5.1</w:t>
      </w:r>
      <w:r w:rsidRPr="00DD2A86">
        <w:rPr>
          <w:lang w:val="de-DE" w:eastAsia="fr-FR"/>
        </w:rPr>
        <w:tab/>
      </w:r>
      <w:r w:rsidRPr="00DD2A86">
        <w:rPr>
          <w:lang w:val="de-DE" w:eastAsia="fr-FR"/>
        </w:rPr>
        <w:tab/>
        <w:t xml:space="preserve">[Die Änderung </w:t>
      </w:r>
      <w:r w:rsidR="00CE4996" w:rsidRPr="00DD2A86">
        <w:rPr>
          <w:lang w:val="de-DE" w:eastAsia="fr-FR"/>
        </w:rPr>
        <w:t xml:space="preserve">der Eintragung für „EX“ </w:t>
      </w:r>
      <w:r w:rsidRPr="00DD2A86">
        <w:rPr>
          <w:lang w:val="de-DE" w:eastAsia="fr-FR"/>
        </w:rPr>
        <w:t>in der englischen und französischen Fassung hat keine Auswirkungen auf den deutschen Text.]</w:t>
      </w:r>
    </w:p>
    <w:p w:rsidR="00A516B8" w:rsidRPr="00DD2A86" w:rsidRDefault="00A516B8" w:rsidP="00106A9F">
      <w:pPr>
        <w:kinsoku w:val="0"/>
        <w:overflowPunct w:val="0"/>
        <w:autoSpaceDE w:val="0"/>
        <w:autoSpaceDN w:val="0"/>
        <w:adjustRightInd w:val="0"/>
        <w:snapToGrid w:val="0"/>
        <w:spacing w:before="120" w:after="120"/>
        <w:ind w:left="1134" w:right="1134"/>
        <w:jc w:val="both"/>
        <w:rPr>
          <w:rFonts w:eastAsiaTheme="minorHAnsi"/>
          <w:szCs w:val="18"/>
          <w:lang w:val="de-DE"/>
        </w:rPr>
      </w:pPr>
      <w:r w:rsidRPr="00DD2A86">
        <w:rPr>
          <w:rFonts w:eastAsiaTheme="minorHAnsi"/>
          <w:szCs w:val="18"/>
          <w:lang w:val="de-DE"/>
        </w:rPr>
        <w:t>8.1.5.1</w:t>
      </w:r>
      <w:r w:rsidRPr="00DD2A86">
        <w:rPr>
          <w:rFonts w:eastAsiaTheme="minorHAnsi"/>
          <w:szCs w:val="18"/>
          <w:lang w:val="de-DE"/>
        </w:rPr>
        <w:tab/>
      </w:r>
      <w:r w:rsidRPr="00DD2A86">
        <w:rPr>
          <w:rFonts w:eastAsiaTheme="minorHAnsi"/>
          <w:szCs w:val="18"/>
          <w:lang w:val="de-DE"/>
        </w:rPr>
        <w:tab/>
        <w:t>Die Eintragung für „TOX“ erhält folgenden Wortlaut:</w:t>
      </w:r>
    </w:p>
    <w:p w:rsidR="00A516B8" w:rsidRPr="00DD2A86" w:rsidRDefault="00A516B8" w:rsidP="00106A9F">
      <w:pPr>
        <w:kinsoku w:val="0"/>
        <w:overflowPunct w:val="0"/>
        <w:autoSpaceDE w:val="0"/>
        <w:autoSpaceDN w:val="0"/>
        <w:adjustRightInd w:val="0"/>
        <w:snapToGrid w:val="0"/>
        <w:spacing w:before="120" w:after="120"/>
        <w:ind w:left="1134" w:right="1134"/>
        <w:jc w:val="both"/>
        <w:rPr>
          <w:rFonts w:eastAsiaTheme="minorHAnsi"/>
          <w:szCs w:val="18"/>
          <w:lang w:val="de-DE"/>
        </w:rPr>
      </w:pPr>
      <w:r w:rsidRPr="00DD2A86">
        <w:rPr>
          <w:rFonts w:eastAsiaTheme="minorHAnsi"/>
          <w:szCs w:val="18"/>
          <w:lang w:val="de-DE"/>
        </w:rPr>
        <w:t>„TOX: Ein für die aktuelle und vorhergehende Ladung geeignetes Toximeter sowie Zubehörteile und eine Gebrauchsanweisung für dieses Gerät;“.</w:t>
      </w:r>
    </w:p>
    <w:p w:rsidR="007C000A" w:rsidRPr="00DD2A86" w:rsidRDefault="007C000A">
      <w:pPr>
        <w:suppressAutoHyphens w:val="0"/>
        <w:spacing w:line="240" w:lineRule="auto"/>
        <w:rPr>
          <w:lang w:val="de-DE" w:eastAsia="fr-FR"/>
        </w:rPr>
      </w:pPr>
      <w:r w:rsidRPr="00DD2A86">
        <w:rPr>
          <w:lang w:val="de-DE" w:eastAsia="fr-FR"/>
        </w:rPr>
        <w:br w:type="page"/>
      </w:r>
    </w:p>
    <w:p w:rsidR="00ED6B5C" w:rsidRPr="00DD2A86" w:rsidRDefault="00ED6B5C" w:rsidP="00F550F0">
      <w:pPr>
        <w:spacing w:before="240" w:line="240" w:lineRule="auto"/>
        <w:ind w:left="1134" w:right="1134"/>
        <w:jc w:val="both"/>
        <w:rPr>
          <w:lang w:val="de-DE" w:eastAsia="fr-FR"/>
        </w:rPr>
      </w:pPr>
      <w:r w:rsidRPr="00DD2A86">
        <w:rPr>
          <w:lang w:val="de-DE" w:eastAsia="fr-FR"/>
        </w:rPr>
        <w:t>8.1.5.2</w:t>
      </w:r>
      <w:r w:rsidRPr="00DD2A86">
        <w:rPr>
          <w:lang w:val="de-DE" w:eastAsia="fr-FR"/>
        </w:rPr>
        <w:tab/>
      </w:r>
      <w:r w:rsidRPr="00DD2A86">
        <w:rPr>
          <w:lang w:val="de-DE" w:eastAsia="fr-FR"/>
        </w:rPr>
        <w:tab/>
        <w:t>Erhält folgenden Wortlaut:</w:t>
      </w:r>
    </w:p>
    <w:p w:rsidR="00ED6B5C" w:rsidRPr="00DD2A86" w:rsidRDefault="00ED6B5C" w:rsidP="00F550F0">
      <w:pPr>
        <w:spacing w:before="120" w:line="240" w:lineRule="auto"/>
        <w:ind w:left="2268" w:right="1134"/>
        <w:jc w:val="both"/>
        <w:rPr>
          <w:lang w:val="de-DE" w:eastAsia="fr-FR"/>
        </w:rPr>
      </w:pPr>
      <w:r w:rsidRPr="00DD2A86">
        <w:rPr>
          <w:lang w:val="de-DE" w:eastAsia="fr-FR"/>
        </w:rPr>
        <w:t>„</w:t>
      </w:r>
      <w:r w:rsidR="004103DB" w:rsidRPr="00DD2A86">
        <w:rPr>
          <w:lang w:val="de-DE" w:eastAsia="fr-FR"/>
        </w:rPr>
        <w:t>8.1.5.2</w:t>
      </w:r>
      <w:r w:rsidR="004103DB" w:rsidRPr="00DD2A86">
        <w:rPr>
          <w:lang w:val="de-DE" w:eastAsia="fr-FR"/>
        </w:rPr>
        <w:tab/>
      </w:r>
      <w:r w:rsidRPr="00DD2A86">
        <w:rPr>
          <w:lang w:val="de-DE" w:eastAsia="fr-FR"/>
        </w:rPr>
        <w:t>Für entsprechende Tätigkeiten, die in den explosionsgefährdeten Bereichen sowie während eines Aufenthalts in oder unmittelbar angrenzend an eine landseitig ausgewiesenen Zone durchgeführt werden, ist funkenarmes Werkzeug wie z.B. Schraubendreher und Schraubenschlüssel aus Chrom-Vanadium-Stahl zu verwenden.“.</w:t>
      </w:r>
    </w:p>
    <w:p w:rsidR="00E6374D" w:rsidRPr="00DD2A86" w:rsidRDefault="00E6374D" w:rsidP="00F550F0">
      <w:pPr>
        <w:spacing w:before="120" w:after="120"/>
        <w:ind w:left="1134" w:right="1134"/>
        <w:jc w:val="both"/>
        <w:rPr>
          <w:iCs/>
          <w:lang w:val="de-DE"/>
        </w:rPr>
      </w:pPr>
      <w:r w:rsidRPr="00DD2A86">
        <w:rPr>
          <w:lang w:val="de-DE"/>
        </w:rPr>
        <w:t>8.1.6.2</w:t>
      </w:r>
      <w:r w:rsidRPr="00DD2A86">
        <w:rPr>
          <w:lang w:val="de-DE"/>
        </w:rPr>
        <w:tab/>
      </w:r>
      <w:r w:rsidRPr="00DD2A86">
        <w:rPr>
          <w:lang w:val="de-DE"/>
        </w:rPr>
        <w:tab/>
      </w:r>
      <w:r w:rsidRPr="00DD2A86">
        <w:rPr>
          <w:iCs/>
          <w:lang w:val="de-DE"/>
        </w:rPr>
        <w:t>[Die Änderung</w:t>
      </w:r>
      <w:r w:rsidRPr="00DD2A86">
        <w:rPr>
          <w:bCs/>
          <w:iCs/>
          <w:lang w:val="de-DE"/>
        </w:rPr>
        <w:t xml:space="preserve"> </w:t>
      </w:r>
      <w:r w:rsidRPr="00DD2A86">
        <w:rPr>
          <w:iCs/>
          <w:lang w:val="de-DE"/>
        </w:rPr>
        <w:t>in der französischen Fassung hat keine Auswirkungen auf den deutschen Text.]</w:t>
      </w:r>
    </w:p>
    <w:p w:rsidR="00194F0A" w:rsidRPr="00DD2A86" w:rsidRDefault="0062507C" w:rsidP="00F550F0">
      <w:pPr>
        <w:tabs>
          <w:tab w:val="left" w:pos="2268"/>
          <w:tab w:val="left" w:pos="2552"/>
          <w:tab w:val="left" w:pos="8647"/>
        </w:tabs>
        <w:spacing w:before="240" w:line="240" w:lineRule="auto"/>
        <w:ind w:left="2268" w:right="1134" w:hanging="1134"/>
        <w:jc w:val="both"/>
        <w:rPr>
          <w:lang w:val="de-DE" w:eastAsia="fr-FR"/>
        </w:rPr>
      </w:pPr>
      <w:r w:rsidRPr="00DD2A86">
        <w:rPr>
          <w:lang w:val="de-DE" w:eastAsia="fr-FR"/>
        </w:rPr>
        <w:t>8.1.6.3</w:t>
      </w:r>
      <w:r w:rsidRPr="00DD2A86">
        <w:rPr>
          <w:lang w:val="de-DE" w:eastAsia="fr-FR"/>
        </w:rPr>
        <w:tab/>
      </w:r>
      <w:r w:rsidR="00194F0A" w:rsidRPr="00DD2A86">
        <w:rPr>
          <w:lang w:val="de-DE" w:eastAsia="fr-FR"/>
        </w:rPr>
        <w:t>Erhält folgenden Wortlaut:</w:t>
      </w:r>
    </w:p>
    <w:p w:rsidR="00194F0A" w:rsidRPr="00DD2A86" w:rsidRDefault="00194F0A" w:rsidP="004103DB">
      <w:pPr>
        <w:widowControl w:val="0"/>
        <w:tabs>
          <w:tab w:val="left" w:pos="2835"/>
          <w:tab w:val="left" w:pos="3402"/>
          <w:tab w:val="left" w:pos="8647"/>
        </w:tabs>
        <w:suppressAutoHyphens w:val="0"/>
        <w:overflowPunct w:val="0"/>
        <w:autoSpaceDE w:val="0"/>
        <w:autoSpaceDN w:val="0"/>
        <w:adjustRightInd w:val="0"/>
        <w:spacing w:before="120" w:line="240" w:lineRule="auto"/>
        <w:ind w:left="2268" w:right="1134"/>
        <w:jc w:val="both"/>
        <w:textAlignment w:val="baseline"/>
        <w:rPr>
          <w:lang w:val="de-DE" w:eastAsia="fr-FR"/>
        </w:rPr>
      </w:pPr>
      <w:r w:rsidRPr="00DD2A86">
        <w:rPr>
          <w:lang w:val="de-DE" w:eastAsia="fr-FR"/>
        </w:rPr>
        <w:t>„</w:t>
      </w:r>
      <w:r w:rsidR="004103DB" w:rsidRPr="00DD2A86">
        <w:rPr>
          <w:lang w:val="de-DE" w:eastAsia="fr-FR"/>
        </w:rPr>
        <w:t>8.1.6.3</w:t>
      </w:r>
      <w:r w:rsidR="004103DB" w:rsidRPr="00DD2A86">
        <w:rPr>
          <w:lang w:val="de-DE" w:eastAsia="fr-FR"/>
        </w:rPr>
        <w:tab/>
      </w:r>
      <w:r w:rsidRPr="00DD2A86">
        <w:rPr>
          <w:lang w:val="de-DE" w:eastAsia="fr-FR"/>
        </w:rPr>
        <w:t>Die ordnungsgemäße Funktion der besonderen Ausrüstung gemäß Unterabschnitt 8.1.5.1 sowie die ordnungsgemäße Funktion der Gasspüranlagen nach den Absätzen 9.3.1.12.4, 9.3.2.12.4 und 9.3.3.12.4 und der Sauerstoffmessanlage nach den Absätzen 9.3.1.17.6, 9.3.2.17.6 und 9.3.3.17.6 muss entsprechend den Angaben der jeweiligen Hersteller durch von diesen zugelassene Personen geprüft werden. Eine Bescheinigung über die jeweils letzte Prüfung der besonderen Ausrüstung muss sich an Bord befinden. Aus den Bescheinigung</w:t>
      </w:r>
      <w:r w:rsidR="00765FBB" w:rsidRPr="00DD2A86">
        <w:rPr>
          <w:lang w:val="de-DE" w:eastAsia="fr-FR"/>
        </w:rPr>
        <w:t>en</w:t>
      </w:r>
      <w:r w:rsidRPr="00DD2A86">
        <w:rPr>
          <w:lang w:val="de-DE" w:eastAsia="fr-FR"/>
        </w:rPr>
        <w:t xml:space="preserve"> müssen das Ergebnis und das Datum der Prüfung ersichtlich sein.</w:t>
      </w:r>
    </w:p>
    <w:p w:rsidR="00194F0A" w:rsidRPr="00DD2A86" w:rsidRDefault="00194F0A" w:rsidP="00F550F0">
      <w:pPr>
        <w:widowControl w:val="0"/>
        <w:tabs>
          <w:tab w:val="left" w:pos="8647"/>
        </w:tabs>
        <w:suppressAutoHyphens w:val="0"/>
        <w:overflowPunct w:val="0"/>
        <w:autoSpaceDE w:val="0"/>
        <w:autoSpaceDN w:val="0"/>
        <w:adjustRightInd w:val="0"/>
        <w:spacing w:before="120" w:line="240" w:lineRule="auto"/>
        <w:ind w:left="2268" w:right="1134"/>
        <w:jc w:val="both"/>
        <w:textAlignment w:val="baseline"/>
        <w:rPr>
          <w:lang w:val="de-DE" w:eastAsia="de-DE"/>
        </w:rPr>
      </w:pPr>
      <w:r w:rsidRPr="00DD2A86">
        <w:rPr>
          <w:lang w:val="de-DE" w:eastAsia="de-DE"/>
        </w:rPr>
        <w:t>Die Gasspüranlagen und die Sauerstoffmessanlagen müssen zusätzlich bei jeder Erneuerung des Zulassungszeugnisses sowie innerhalb des dritten Jahres der Gültigkeit des Zulassungszeugnisses von einer anerkannten Klassifikationsgesellschaft geprüft werden. Diese Prüfung umfasst mindestens eine allgemeine Sichtprüfung der Anlagen und ob die in Satz 1 geforderten Prüfungen erfolgt sind.</w:t>
      </w:r>
    </w:p>
    <w:p w:rsidR="00194F0A" w:rsidRPr="00DD2A86" w:rsidRDefault="00194F0A" w:rsidP="00F550F0">
      <w:pPr>
        <w:tabs>
          <w:tab w:val="left" w:pos="8647"/>
        </w:tabs>
        <w:spacing w:before="120" w:line="240" w:lineRule="auto"/>
        <w:ind w:left="2268" w:right="1134"/>
        <w:jc w:val="both"/>
        <w:rPr>
          <w:lang w:val="de-DE" w:eastAsia="fr-FR"/>
        </w:rPr>
      </w:pPr>
      <w:r w:rsidRPr="00DD2A86">
        <w:rPr>
          <w:lang w:val="de-DE" w:eastAsia="de-DE"/>
        </w:rPr>
        <w:t>Eine Bescheinigung der anerkannten Klassifikationsgesellschaft über die jeweils letzte durchgeführte Prüfung muss sich an Bord befinden. Aus den Bescheinigungen müssen mindestens die oben erwähnten Kontrollen und die dabei erzielten Resultate sowie das Datum der Kontrolle ersichtlich sein.“</w:t>
      </w:r>
      <w:r w:rsidR="00713237" w:rsidRPr="00DD2A86">
        <w:rPr>
          <w:lang w:val="de-DE" w:eastAsia="de-DE"/>
        </w:rPr>
        <w:t>.</w:t>
      </w:r>
    </w:p>
    <w:p w:rsidR="00A516B8" w:rsidRPr="00DD2A86" w:rsidRDefault="00A516B8" w:rsidP="00A516B8">
      <w:pPr>
        <w:kinsoku w:val="0"/>
        <w:overflowPunct w:val="0"/>
        <w:autoSpaceDE w:val="0"/>
        <w:autoSpaceDN w:val="0"/>
        <w:adjustRightInd w:val="0"/>
        <w:snapToGrid w:val="0"/>
        <w:spacing w:before="120" w:after="120"/>
        <w:ind w:left="1134" w:right="1134"/>
        <w:jc w:val="both"/>
        <w:rPr>
          <w:rFonts w:eastAsiaTheme="minorHAnsi"/>
          <w:szCs w:val="18"/>
          <w:lang w:val="de-DE"/>
        </w:rPr>
      </w:pPr>
      <w:r w:rsidRPr="00DD2A86">
        <w:rPr>
          <w:rFonts w:eastAsiaTheme="minorHAnsi"/>
          <w:lang w:val="de-DE"/>
        </w:rPr>
        <w:t>8.1.6.4</w:t>
      </w:r>
      <w:r w:rsidRPr="00DD2A86">
        <w:rPr>
          <w:rFonts w:eastAsiaTheme="minorHAnsi"/>
          <w:lang w:val="de-DE"/>
        </w:rPr>
        <w:tab/>
      </w:r>
      <w:r w:rsidRPr="00DD2A86">
        <w:rPr>
          <w:rFonts w:eastAsiaTheme="minorHAnsi"/>
          <w:lang w:val="de-DE"/>
        </w:rPr>
        <w:tab/>
        <w:t>„Benutzer“ ändern in: „Sachkundigen“.</w:t>
      </w:r>
    </w:p>
    <w:p w:rsidR="005A6C81" w:rsidRPr="00DD2A86" w:rsidRDefault="005A6C81" w:rsidP="00B61A90">
      <w:pPr>
        <w:spacing w:before="240" w:line="240" w:lineRule="auto"/>
        <w:ind w:left="2268" w:hanging="1134"/>
        <w:jc w:val="both"/>
        <w:rPr>
          <w:bCs/>
          <w:lang w:val="de-DE" w:eastAsia="fr-FR"/>
        </w:rPr>
      </w:pPr>
      <w:r w:rsidRPr="00DD2A86">
        <w:rPr>
          <w:lang w:val="de-DE" w:eastAsia="fr-FR"/>
        </w:rPr>
        <w:t>8.1.6.5</w:t>
      </w:r>
      <w:r w:rsidRPr="00DD2A86">
        <w:rPr>
          <w:lang w:val="de-DE" w:eastAsia="fr-FR"/>
        </w:rPr>
        <w:tab/>
      </w:r>
      <w:r w:rsidRPr="00DD2A86">
        <w:rPr>
          <w:bCs/>
          <w:lang w:val="de-DE" w:eastAsia="fr-FR"/>
        </w:rPr>
        <w:t>Erhält folgenden Wortlaut: „(gestrichen)“.</w:t>
      </w:r>
    </w:p>
    <w:p w:rsidR="005A6C81" w:rsidRPr="00DD2A86" w:rsidRDefault="005A6C81" w:rsidP="00F550F0">
      <w:pPr>
        <w:spacing w:before="240" w:line="240" w:lineRule="auto"/>
        <w:ind w:left="2268" w:right="1134" w:hanging="1134"/>
        <w:jc w:val="both"/>
        <w:rPr>
          <w:bCs/>
          <w:lang w:val="de-DE" w:eastAsia="fr-FR"/>
        </w:rPr>
      </w:pPr>
      <w:r w:rsidRPr="00DD2A86">
        <w:rPr>
          <w:lang w:val="de-DE" w:eastAsia="fr-FR"/>
        </w:rPr>
        <w:t>8.1.7</w:t>
      </w:r>
      <w:r w:rsidRPr="00DD2A86">
        <w:rPr>
          <w:lang w:val="de-DE" w:eastAsia="fr-FR"/>
        </w:rPr>
        <w:tab/>
      </w:r>
      <w:r w:rsidR="004103DB" w:rsidRPr="00DD2A86">
        <w:rPr>
          <w:lang w:val="de-DE" w:eastAsia="fr-FR"/>
        </w:rPr>
        <w:t>Der Titel e</w:t>
      </w:r>
      <w:r w:rsidRPr="00DD2A86">
        <w:rPr>
          <w:bCs/>
          <w:lang w:val="de-DE" w:eastAsia="fr-FR"/>
        </w:rPr>
        <w:t>rhält folgenden Wortlaut: „</w:t>
      </w:r>
      <w:r w:rsidRPr="00DD2A86">
        <w:rPr>
          <w:b/>
          <w:bCs/>
          <w:lang w:val="de-DE" w:eastAsia="fr-FR"/>
        </w:rPr>
        <w:t>Anlagen, Geräte und autonome Schutzsysteme</w:t>
      </w:r>
      <w:r w:rsidRPr="00DD2A86">
        <w:rPr>
          <w:bCs/>
          <w:lang w:val="de-DE" w:eastAsia="fr-FR"/>
        </w:rPr>
        <w:t>“.</w:t>
      </w:r>
    </w:p>
    <w:p w:rsidR="009A6ED3" w:rsidRPr="00DD2A86" w:rsidRDefault="009A6ED3" w:rsidP="00F550F0">
      <w:pPr>
        <w:spacing w:line="240" w:lineRule="auto"/>
        <w:ind w:left="2268" w:right="1134" w:hanging="1134"/>
        <w:jc w:val="both"/>
        <w:rPr>
          <w:bCs/>
          <w:lang w:val="de-DE" w:eastAsia="fr-FR"/>
        </w:rPr>
      </w:pPr>
      <w:r w:rsidRPr="00DD2A86">
        <w:rPr>
          <w:bCs/>
          <w:lang w:val="de-DE" w:eastAsia="fr-FR"/>
        </w:rPr>
        <w:tab/>
        <w:t>Den Text nach der Überschrift streichen</w:t>
      </w:r>
    </w:p>
    <w:p w:rsidR="009A6ED3" w:rsidRPr="00DD2A86" w:rsidRDefault="009A6ED3" w:rsidP="00F550F0">
      <w:pPr>
        <w:tabs>
          <w:tab w:val="left" w:pos="2268"/>
        </w:tabs>
        <w:spacing w:before="240" w:after="120"/>
        <w:ind w:left="1134" w:right="1134"/>
        <w:jc w:val="both"/>
        <w:rPr>
          <w:rFonts w:eastAsia="Calibri"/>
          <w:bCs/>
          <w:lang w:val="de-DE"/>
        </w:rPr>
      </w:pPr>
      <w:r w:rsidRPr="00DD2A86">
        <w:rPr>
          <w:rFonts w:eastAsia="Calibri"/>
          <w:szCs w:val="24"/>
          <w:lang w:val="de-DE" w:eastAsia="en-GB"/>
        </w:rPr>
        <w:t>8.1.7</w:t>
      </w:r>
      <w:r w:rsidRPr="00DD2A86">
        <w:rPr>
          <w:rFonts w:eastAsia="Calibri"/>
          <w:bCs/>
          <w:lang w:val="de-DE"/>
        </w:rPr>
        <w:tab/>
        <w:t>Folgende neue Abs</w:t>
      </w:r>
      <w:r w:rsidR="00876B44" w:rsidRPr="00DD2A86">
        <w:rPr>
          <w:rFonts w:eastAsia="Calibri"/>
          <w:bCs/>
          <w:lang w:val="de-DE"/>
        </w:rPr>
        <w:t>ä</w:t>
      </w:r>
      <w:r w:rsidRPr="00DD2A86">
        <w:rPr>
          <w:rFonts w:eastAsia="Calibri"/>
          <w:bCs/>
          <w:lang w:val="de-DE"/>
        </w:rPr>
        <w:t>tz</w:t>
      </w:r>
      <w:r w:rsidR="00876B44" w:rsidRPr="00DD2A86">
        <w:rPr>
          <w:rFonts w:eastAsia="Calibri"/>
          <w:bCs/>
          <w:lang w:val="de-DE"/>
        </w:rPr>
        <w:t>e</w:t>
      </w:r>
      <w:r w:rsidRPr="00DD2A86">
        <w:rPr>
          <w:rFonts w:eastAsia="Calibri"/>
          <w:bCs/>
          <w:lang w:val="de-DE"/>
        </w:rPr>
        <w:t xml:space="preserve"> hinzufügen:</w:t>
      </w:r>
    </w:p>
    <w:p w:rsidR="009A6ED3" w:rsidRPr="00DD2A86" w:rsidRDefault="009A6ED3" w:rsidP="00F550F0">
      <w:pPr>
        <w:spacing w:before="120" w:line="240" w:lineRule="auto"/>
        <w:ind w:left="2268" w:right="1134" w:hanging="1134"/>
        <w:jc w:val="both"/>
        <w:rPr>
          <w:bCs/>
          <w:lang w:val="de-DE" w:eastAsia="fr-FR"/>
        </w:rPr>
      </w:pPr>
      <w:r w:rsidRPr="00DD2A86">
        <w:rPr>
          <w:bCs/>
          <w:lang w:val="de-DE" w:eastAsia="fr-FR"/>
        </w:rPr>
        <w:t>„</w:t>
      </w:r>
      <w:r w:rsidRPr="00DD2A86">
        <w:rPr>
          <w:b/>
          <w:bCs/>
          <w:lang w:val="de-DE" w:eastAsia="fr-FR"/>
        </w:rPr>
        <w:t>8.1.7.1</w:t>
      </w:r>
      <w:r w:rsidRPr="00DD2A86">
        <w:rPr>
          <w:bCs/>
          <w:lang w:val="de-DE" w:eastAsia="fr-FR"/>
        </w:rPr>
        <w:tab/>
      </w:r>
      <w:r w:rsidRPr="00DD2A86">
        <w:rPr>
          <w:b/>
          <w:bCs/>
          <w:lang w:val="de-DE" w:eastAsia="fr-FR"/>
        </w:rPr>
        <w:t>Elektrische Anlagen und Geräte</w:t>
      </w:r>
    </w:p>
    <w:p w:rsidR="009A6ED3" w:rsidRPr="00DD2A86" w:rsidRDefault="009A6ED3" w:rsidP="00F550F0">
      <w:pPr>
        <w:spacing w:before="120" w:line="240" w:lineRule="auto"/>
        <w:ind w:left="2268" w:right="1134"/>
        <w:jc w:val="both"/>
        <w:rPr>
          <w:bCs/>
          <w:lang w:val="de-DE" w:eastAsia="fr-FR"/>
        </w:rPr>
      </w:pPr>
      <w:r w:rsidRPr="00DD2A86">
        <w:rPr>
          <w:bCs/>
          <w:lang w:val="de-DE" w:eastAsia="fr-FR"/>
        </w:rPr>
        <w:t>Die Isolationswiderstände der fest installierten elektrischen Anlagen und Geräte sowie deren Erdung müssen bei jeder Erneuerung des Zulassungszeugnisses sowie innerhalb des dritten Jahres der Gültigkeit des Zulassungszeugnisses von einer hierfür von der zuständigen Behörde zugelassenen Person geprüft werden.</w:t>
      </w:r>
    </w:p>
    <w:p w:rsidR="009A6ED3" w:rsidRPr="00DD2A86" w:rsidRDefault="009A6ED3" w:rsidP="00F550F0">
      <w:pPr>
        <w:spacing w:before="120" w:line="240" w:lineRule="auto"/>
        <w:ind w:left="2268" w:right="1134"/>
        <w:jc w:val="both"/>
        <w:rPr>
          <w:bCs/>
          <w:lang w:val="de-DE" w:eastAsia="fr-FR"/>
        </w:rPr>
      </w:pPr>
      <w:r w:rsidRPr="00DD2A86">
        <w:rPr>
          <w:bCs/>
          <w:lang w:val="de-DE" w:eastAsia="fr-FR"/>
        </w:rPr>
        <w:t>Eine Bescheinigung über diese Prüfung muss sich an Bord befinden.</w:t>
      </w:r>
    </w:p>
    <w:p w:rsidR="007C000A" w:rsidRPr="00DD2A86" w:rsidRDefault="007C000A">
      <w:pPr>
        <w:suppressAutoHyphens w:val="0"/>
        <w:spacing w:line="240" w:lineRule="auto"/>
        <w:rPr>
          <w:b/>
          <w:bCs/>
          <w:lang w:val="de-DE" w:eastAsia="fr-FR"/>
        </w:rPr>
      </w:pPr>
      <w:r w:rsidRPr="00DD2A86">
        <w:rPr>
          <w:b/>
          <w:bCs/>
          <w:lang w:val="de-DE" w:eastAsia="fr-FR"/>
        </w:rPr>
        <w:br w:type="page"/>
      </w:r>
    </w:p>
    <w:p w:rsidR="009A6ED3" w:rsidRPr="00DD2A86" w:rsidRDefault="009A6ED3" w:rsidP="00F550F0">
      <w:pPr>
        <w:spacing w:before="120" w:line="240" w:lineRule="auto"/>
        <w:ind w:left="2268" w:right="1134" w:hanging="1134"/>
        <w:jc w:val="both"/>
        <w:rPr>
          <w:b/>
          <w:bCs/>
          <w:lang w:val="de-DE" w:eastAsia="fr-FR"/>
        </w:rPr>
      </w:pPr>
      <w:r w:rsidRPr="00DD2A86">
        <w:rPr>
          <w:b/>
          <w:bCs/>
          <w:lang w:val="de-DE" w:eastAsia="fr-FR"/>
        </w:rPr>
        <w:t>8.1.7.2</w:t>
      </w:r>
      <w:r w:rsidRPr="00DD2A86">
        <w:rPr>
          <w:bCs/>
          <w:lang w:val="de-DE" w:eastAsia="fr-FR"/>
        </w:rPr>
        <w:tab/>
      </w:r>
      <w:r w:rsidRPr="00DD2A86">
        <w:rPr>
          <w:b/>
          <w:bCs/>
          <w:lang w:val="de-DE" w:eastAsia="fr-FR"/>
        </w:rPr>
        <w:t>Anlagen und Geräte zum Einsatz in explosionsgefährdeten Bereichen, Geräte vom Typ „begrenzte Explosionsgefahr“, Anlagen und Geräte, die 9.3.1.51, 9.3.2.51, 9.3.</w:t>
      </w:r>
      <w:r w:rsidR="00E416A3" w:rsidRPr="00DD2A86">
        <w:rPr>
          <w:b/>
          <w:bCs/>
          <w:lang w:val="de-DE" w:eastAsia="fr-FR"/>
        </w:rPr>
        <w:t>3</w:t>
      </w:r>
      <w:r w:rsidRPr="00DD2A86">
        <w:rPr>
          <w:b/>
          <w:bCs/>
          <w:lang w:val="de-DE" w:eastAsia="fr-FR"/>
        </w:rPr>
        <w:t>.51 entsprechen, sowie autonome Schutzsysteme</w:t>
      </w:r>
    </w:p>
    <w:p w:rsidR="009A6ED3" w:rsidRPr="00DD2A86" w:rsidRDefault="009A6ED3" w:rsidP="00F550F0">
      <w:pPr>
        <w:spacing w:before="120" w:line="240" w:lineRule="auto"/>
        <w:ind w:left="2268" w:right="1134"/>
        <w:jc w:val="both"/>
        <w:rPr>
          <w:bCs/>
          <w:lang w:val="de-DE" w:eastAsia="fr-FR"/>
        </w:rPr>
      </w:pPr>
      <w:r w:rsidRPr="00DD2A86">
        <w:rPr>
          <w:bCs/>
          <w:lang w:val="de-DE" w:eastAsia="fr-FR"/>
        </w:rPr>
        <w:t xml:space="preserve">Diese Anlagen und Geräte und autonomen Schutzsysteme sowie die Übereinstimmung der nach Absatz 8.1.2.2 e) bis h) bzw. 8.1.2.3 Buchstabe r) bis v) geforderten Unterlagen mit den Gegebenheiten an Bord müssen bei jeder Erneuerung des Zulassungszeugnisses sowie innerhalb des dritten Jahres der Gültigkeit des Zulassungszeugnisses von einer hierfür von der Klassifikationsgesellschaft, die das Schiff klassifiziert hat oder der zuständigen Behörde zugelassenen Person geprüft werden. Eine Bescheinigung über diese Prüfung muss </w:t>
      </w:r>
      <w:r w:rsidR="002D4E23" w:rsidRPr="00DD2A86">
        <w:rPr>
          <w:bCs/>
          <w:lang w:val="de-DE" w:eastAsia="fr-FR"/>
        </w:rPr>
        <w:t>sich an Bord befinden</w:t>
      </w:r>
      <w:r w:rsidRPr="00DD2A86">
        <w:rPr>
          <w:bCs/>
          <w:lang w:val="de-DE" w:eastAsia="fr-FR"/>
        </w:rPr>
        <w:t>.</w:t>
      </w:r>
    </w:p>
    <w:p w:rsidR="009A6ED3" w:rsidRPr="00DD2A86" w:rsidRDefault="009A6ED3" w:rsidP="00F550F0">
      <w:pPr>
        <w:spacing w:before="120" w:line="240" w:lineRule="auto"/>
        <w:ind w:left="2268" w:right="1134"/>
        <w:jc w:val="both"/>
        <w:rPr>
          <w:bCs/>
          <w:lang w:val="de-DE" w:eastAsia="fr-FR"/>
        </w:rPr>
      </w:pPr>
      <w:r w:rsidRPr="00DD2A86">
        <w:rPr>
          <w:bCs/>
          <w:lang w:val="de-DE" w:eastAsia="fr-FR"/>
        </w:rPr>
        <w:t>Die an Anlagen und Geräten zum Einsatz in explosionsgefährdeten Bereichen angebrachte Kennzeichnung, die ihre Eignung für den Einsatz in explosionsgefährdeten Bereichen nachweist sowie die an den autonomen Schutzsystemen angebrachte Kennzeichnung die ihre Einsatzbedingungen angeben, muß über die gesamte Verwendungsdauer an Bord erhalten bleiben.</w:t>
      </w:r>
    </w:p>
    <w:p w:rsidR="009A6ED3" w:rsidRPr="00DD2A86" w:rsidRDefault="009A6ED3" w:rsidP="00F550F0">
      <w:pPr>
        <w:spacing w:before="120" w:line="240" w:lineRule="auto"/>
        <w:ind w:left="2268" w:right="1134"/>
        <w:jc w:val="both"/>
        <w:rPr>
          <w:bCs/>
          <w:lang w:val="de-DE" w:eastAsia="fr-FR"/>
        </w:rPr>
      </w:pPr>
      <w:r w:rsidRPr="00DD2A86">
        <w:rPr>
          <w:bCs/>
          <w:lang w:val="de-DE" w:eastAsia="fr-FR"/>
        </w:rPr>
        <w:t xml:space="preserve">Herstellerangaben zu den Flammendurchschlagsicherungen und </w:t>
      </w:r>
      <w:r w:rsidR="00C96DBD" w:rsidRPr="00DD2A86">
        <w:rPr>
          <w:bCs/>
          <w:lang w:val="de-DE" w:eastAsia="fr-FR"/>
        </w:rPr>
        <w:t>Hochgeschwindigkeits-/Sicherheitsventilen</w:t>
      </w:r>
      <w:r w:rsidR="00C96DBD" w:rsidRPr="00DD2A86" w:rsidDel="00C96DBD">
        <w:rPr>
          <w:bCs/>
          <w:lang w:val="de-DE" w:eastAsia="fr-FR"/>
        </w:rPr>
        <w:t xml:space="preserve"> </w:t>
      </w:r>
      <w:r w:rsidRPr="00DD2A86">
        <w:rPr>
          <w:bCs/>
          <w:lang w:val="de-DE" w:eastAsia="fr-FR"/>
        </w:rPr>
        <w:t>können eine kürzere Prüffrist erforderlich machen.</w:t>
      </w:r>
    </w:p>
    <w:p w:rsidR="001B4877" w:rsidRPr="00DD2A86" w:rsidRDefault="001B4877" w:rsidP="00876B44">
      <w:pPr>
        <w:tabs>
          <w:tab w:val="left" w:pos="1134"/>
        </w:tabs>
        <w:spacing w:before="120" w:line="240" w:lineRule="auto"/>
        <w:ind w:left="2268" w:right="1134" w:hanging="1134"/>
        <w:jc w:val="both"/>
        <w:rPr>
          <w:rFonts w:eastAsia="Calibri"/>
          <w:bCs/>
          <w:lang w:val="de-DE"/>
        </w:rPr>
      </w:pPr>
      <w:r w:rsidRPr="00DD2A86">
        <w:rPr>
          <w:b/>
          <w:bCs/>
          <w:lang w:val="de-DE" w:eastAsia="fr-FR"/>
        </w:rPr>
        <w:t>8.1.7.3</w:t>
      </w:r>
      <w:r w:rsidR="00876B44" w:rsidRPr="00DD2A86">
        <w:rPr>
          <w:bCs/>
          <w:lang w:val="de-DE" w:eastAsia="fr-FR"/>
        </w:rPr>
        <w:tab/>
      </w:r>
      <w:r w:rsidRPr="00DD2A86">
        <w:rPr>
          <w:bCs/>
          <w:lang w:val="de-DE" w:eastAsia="fr-FR"/>
        </w:rPr>
        <w:tab/>
      </w:r>
      <w:r w:rsidRPr="00DD2A86">
        <w:rPr>
          <w:rFonts w:eastAsia="Calibri"/>
          <w:b/>
          <w:lang w:val="de-DE"/>
        </w:rPr>
        <w:t xml:space="preserve">Reparaturen an explosionsgeschützten </w:t>
      </w:r>
      <w:r w:rsidRPr="00DD2A86">
        <w:rPr>
          <w:rFonts w:eastAsia="Calibri"/>
          <w:b/>
          <w:bCs/>
          <w:lang w:val="de-DE"/>
        </w:rPr>
        <w:t>Anlagen</w:t>
      </w:r>
      <w:r w:rsidRPr="00DD2A86">
        <w:rPr>
          <w:rFonts w:eastAsia="Calibri"/>
          <w:b/>
          <w:lang w:val="de-DE"/>
        </w:rPr>
        <w:t xml:space="preserve"> und Geräten sowie an autonomen Schutzsystemen</w:t>
      </w:r>
    </w:p>
    <w:p w:rsidR="001B4877" w:rsidRPr="00DD2A86" w:rsidRDefault="001B4877" w:rsidP="00F550F0">
      <w:pPr>
        <w:spacing w:before="120" w:after="240" w:line="240" w:lineRule="auto"/>
        <w:ind w:left="2268" w:right="1134"/>
        <w:jc w:val="both"/>
        <w:rPr>
          <w:rFonts w:eastAsia="Calibri"/>
          <w:lang w:val="de-DE" w:eastAsia="de-DE"/>
        </w:rPr>
      </w:pPr>
      <w:r w:rsidRPr="00DD2A86">
        <w:rPr>
          <w:rFonts w:eastAsia="Calibri"/>
          <w:lang w:val="de-DE"/>
        </w:rPr>
        <w:t xml:space="preserve">Reparaturen an explosionsgeschützten </w:t>
      </w:r>
      <w:r w:rsidRPr="00DD2A86">
        <w:rPr>
          <w:rFonts w:eastAsia="Calibri"/>
          <w:bCs/>
          <w:lang w:val="de-DE" w:eastAsia="de-DE"/>
        </w:rPr>
        <w:t>Anlagen</w:t>
      </w:r>
      <w:r w:rsidRPr="00DD2A86">
        <w:rPr>
          <w:rFonts w:eastAsia="Calibri"/>
          <w:lang w:val="de-DE"/>
        </w:rPr>
        <w:t xml:space="preserve"> und Geräten sowie an autonomen Schutzsystemen dürfen nur durch </w:t>
      </w:r>
      <w:r w:rsidR="000B4D96" w:rsidRPr="00DD2A86">
        <w:rPr>
          <w:rFonts w:eastAsia="Calibri"/>
          <w:lang w:val="de-DE"/>
        </w:rPr>
        <w:t>einen Sachkundigen einer Fachfirma</w:t>
      </w:r>
      <w:r w:rsidR="000B4D96" w:rsidRPr="00DD2A86" w:rsidDel="000B4D96">
        <w:rPr>
          <w:rFonts w:eastAsia="Calibri"/>
          <w:lang w:val="de-DE"/>
        </w:rPr>
        <w:t xml:space="preserve"> </w:t>
      </w:r>
      <w:r w:rsidRPr="00DD2A86">
        <w:rPr>
          <w:rFonts w:eastAsia="Calibri"/>
          <w:lang w:val="de-DE"/>
        </w:rPr>
        <w:t>ausgeführt werden. Nach Instandsetzung muss ihre weitere Verwendbarkeit in explosionsgefährdeten Bereichen bescheinigt sein.</w:t>
      </w:r>
      <w:r w:rsidRPr="00DD2A86">
        <w:rPr>
          <w:rFonts w:eastAsia="Calibri"/>
          <w:lang w:val="de-DE" w:eastAsia="de-DE"/>
        </w:rPr>
        <w:t xml:space="preserve"> Diese Bescheinigung muss </w:t>
      </w:r>
      <w:r w:rsidR="002D4E23" w:rsidRPr="00DD2A86">
        <w:rPr>
          <w:rFonts w:eastAsia="Calibri"/>
          <w:lang w:val="de-DE" w:eastAsia="de-DE"/>
        </w:rPr>
        <w:t>sich an Bord befinden</w:t>
      </w:r>
      <w:r w:rsidRPr="00DD2A86">
        <w:rPr>
          <w:rFonts w:eastAsia="Calibri"/>
          <w:lang w:val="de-DE" w:eastAsia="de-DE"/>
        </w:rPr>
        <w:t>.“.</w:t>
      </w:r>
    </w:p>
    <w:p w:rsidR="004713B8" w:rsidRPr="00DD2A86" w:rsidRDefault="004713B8" w:rsidP="00F550F0">
      <w:pPr>
        <w:widowControl w:val="0"/>
        <w:tabs>
          <w:tab w:val="left" w:pos="567"/>
          <w:tab w:val="left" w:pos="2268"/>
        </w:tabs>
        <w:suppressAutoHyphens w:val="0"/>
        <w:overflowPunct w:val="0"/>
        <w:autoSpaceDE w:val="0"/>
        <w:autoSpaceDN w:val="0"/>
        <w:adjustRightInd w:val="0"/>
        <w:spacing w:before="240"/>
        <w:ind w:left="1134" w:right="1134"/>
        <w:contextualSpacing/>
        <w:jc w:val="both"/>
        <w:textAlignment w:val="baseline"/>
        <w:rPr>
          <w:rFonts w:cs="Arial"/>
          <w:lang w:val="de-DE" w:eastAsia="fr-FR"/>
        </w:rPr>
      </w:pPr>
      <w:r w:rsidRPr="00DD2A86">
        <w:rPr>
          <w:rFonts w:cs="Arial"/>
          <w:lang w:val="de-DE" w:eastAsia="fr-FR"/>
        </w:rPr>
        <w:t xml:space="preserve">8.1.8 </w:t>
      </w:r>
      <w:r w:rsidRPr="00DD2A86">
        <w:rPr>
          <w:rFonts w:cs="Arial"/>
          <w:lang w:val="de-DE" w:eastAsia="fr-FR"/>
        </w:rPr>
        <w:tab/>
        <w:t>Erhält folgenden Wortlaut</w:t>
      </w:r>
    </w:p>
    <w:p w:rsidR="004713B8" w:rsidRPr="00DD2A86" w:rsidRDefault="004713B8" w:rsidP="00F550F0">
      <w:pPr>
        <w:widowControl w:val="0"/>
        <w:tabs>
          <w:tab w:val="left" w:pos="2268"/>
          <w:tab w:val="left" w:pos="3402"/>
        </w:tabs>
        <w:suppressAutoHyphens w:val="0"/>
        <w:overflowPunct w:val="0"/>
        <w:autoSpaceDE w:val="0"/>
        <w:autoSpaceDN w:val="0"/>
        <w:adjustRightInd w:val="0"/>
        <w:spacing w:before="120" w:line="240" w:lineRule="auto"/>
        <w:ind w:left="2268" w:right="1134"/>
        <w:jc w:val="both"/>
        <w:textAlignment w:val="baseline"/>
        <w:rPr>
          <w:b/>
          <w:lang w:val="de-DE" w:eastAsia="de-DE"/>
        </w:rPr>
      </w:pPr>
      <w:r w:rsidRPr="00DD2A86">
        <w:rPr>
          <w:lang w:val="de-DE" w:eastAsia="de-DE"/>
        </w:rPr>
        <w:t>„</w:t>
      </w:r>
      <w:r w:rsidRPr="00DD2A86">
        <w:rPr>
          <w:b/>
          <w:lang w:val="de-DE" w:eastAsia="de-DE"/>
        </w:rPr>
        <w:t>8.1.8</w:t>
      </w:r>
      <w:r w:rsidRPr="00DD2A86">
        <w:rPr>
          <w:b/>
          <w:lang w:val="de-DE" w:eastAsia="de-DE"/>
        </w:rPr>
        <w:tab/>
        <w:t>Kontrolle der Pumpenräume von Tankschiffen</w:t>
      </w:r>
    </w:p>
    <w:p w:rsidR="004713B8" w:rsidRPr="00DD2A86" w:rsidRDefault="004713B8" w:rsidP="00F550F0">
      <w:pPr>
        <w:widowControl w:val="0"/>
        <w:tabs>
          <w:tab w:val="left" w:pos="2268"/>
        </w:tabs>
        <w:suppressAutoHyphens w:val="0"/>
        <w:overflowPunct w:val="0"/>
        <w:autoSpaceDE w:val="0"/>
        <w:autoSpaceDN w:val="0"/>
        <w:adjustRightInd w:val="0"/>
        <w:spacing w:before="120" w:line="240" w:lineRule="auto"/>
        <w:ind w:left="2268" w:right="1134"/>
        <w:jc w:val="both"/>
        <w:textAlignment w:val="baseline"/>
        <w:rPr>
          <w:lang w:val="de-DE" w:eastAsia="de-DE"/>
        </w:rPr>
      </w:pPr>
      <w:r w:rsidRPr="00DD2A86">
        <w:rPr>
          <w:lang w:val="de-DE" w:eastAsia="de-DE"/>
        </w:rPr>
        <w:t>Pumpenräume müssen bei jeder Erneuerung des Zulassungszeugnisses sowie innerhalb des dritten Jahres der Gültigkeit des Zulassungszeugnisses von einer anerkannten Klassifikationsgesellschaft kontrolliert werden.</w:t>
      </w:r>
    </w:p>
    <w:p w:rsidR="004713B8" w:rsidRPr="00DD2A86" w:rsidRDefault="004713B8" w:rsidP="00F550F0">
      <w:pPr>
        <w:widowControl w:val="0"/>
        <w:tabs>
          <w:tab w:val="left" w:pos="2268"/>
        </w:tabs>
        <w:suppressAutoHyphens w:val="0"/>
        <w:overflowPunct w:val="0"/>
        <w:autoSpaceDE w:val="0"/>
        <w:autoSpaceDN w:val="0"/>
        <w:adjustRightInd w:val="0"/>
        <w:spacing w:before="120" w:line="240" w:lineRule="auto"/>
        <w:ind w:left="2268" w:right="1134"/>
        <w:jc w:val="both"/>
        <w:textAlignment w:val="baseline"/>
        <w:rPr>
          <w:lang w:val="de-DE" w:eastAsia="de-DE"/>
        </w:rPr>
      </w:pPr>
      <w:r w:rsidRPr="00DD2A86">
        <w:rPr>
          <w:lang w:val="de-DE" w:eastAsia="de-DE"/>
        </w:rPr>
        <w:t>Diese Kontrolle hat mindestens zu umfassen:</w:t>
      </w:r>
    </w:p>
    <w:p w:rsidR="004713B8" w:rsidRPr="00DD2A86" w:rsidRDefault="004713B8" w:rsidP="00F550F0">
      <w:pPr>
        <w:widowControl w:val="0"/>
        <w:tabs>
          <w:tab w:val="left" w:pos="2268"/>
        </w:tabs>
        <w:suppressAutoHyphens w:val="0"/>
        <w:overflowPunct w:val="0"/>
        <w:autoSpaceDE w:val="0"/>
        <w:autoSpaceDN w:val="0"/>
        <w:adjustRightInd w:val="0"/>
        <w:spacing w:before="60" w:line="240" w:lineRule="auto"/>
        <w:ind w:left="2268" w:right="1134"/>
        <w:jc w:val="both"/>
        <w:textAlignment w:val="baseline"/>
        <w:rPr>
          <w:lang w:val="de-DE" w:eastAsia="fr-FR"/>
        </w:rPr>
      </w:pPr>
      <w:r w:rsidRPr="00DD2A86">
        <w:rPr>
          <w:lang w:val="de-DE" w:eastAsia="fr-FR"/>
        </w:rPr>
        <w:t>-</w:t>
      </w:r>
      <w:r w:rsidRPr="00DD2A86">
        <w:rPr>
          <w:lang w:val="de-DE" w:eastAsia="fr-FR"/>
        </w:rPr>
        <w:tab/>
        <w:t>Inspektion des ganzen Systems auf Zustand, Korrosion, Leckage oder unerlaubte Umbauten;</w:t>
      </w:r>
    </w:p>
    <w:p w:rsidR="004713B8" w:rsidRPr="00DD2A86" w:rsidRDefault="004713B8" w:rsidP="00F550F0">
      <w:pPr>
        <w:widowControl w:val="0"/>
        <w:tabs>
          <w:tab w:val="left" w:pos="2268"/>
        </w:tabs>
        <w:suppressAutoHyphens w:val="0"/>
        <w:overflowPunct w:val="0"/>
        <w:autoSpaceDE w:val="0"/>
        <w:autoSpaceDN w:val="0"/>
        <w:adjustRightInd w:val="0"/>
        <w:spacing w:before="60" w:line="240" w:lineRule="auto"/>
        <w:ind w:left="2268" w:right="1134"/>
        <w:jc w:val="both"/>
        <w:textAlignment w:val="baseline"/>
        <w:rPr>
          <w:lang w:val="de-DE" w:eastAsia="fr-FR"/>
        </w:rPr>
      </w:pPr>
      <w:r w:rsidRPr="00DD2A86">
        <w:rPr>
          <w:lang w:val="de-DE" w:eastAsia="fr-FR"/>
        </w:rPr>
        <w:t>-</w:t>
      </w:r>
      <w:r w:rsidRPr="00DD2A86">
        <w:rPr>
          <w:lang w:val="de-DE" w:eastAsia="fr-FR"/>
        </w:rPr>
        <w:tab/>
        <w:t>Allgemeine Sichtprüfung des Zustandes der Gasspüranlage im Pumpenraum.</w:t>
      </w:r>
      <w:r w:rsidR="00D53B5E" w:rsidRPr="00DD2A86">
        <w:rPr>
          <w:lang w:val="de-DE" w:eastAsia="fr-FR"/>
        </w:rPr>
        <w:t>;</w:t>
      </w:r>
    </w:p>
    <w:p w:rsidR="004713B8" w:rsidRPr="00DD2A86" w:rsidRDefault="004713B8" w:rsidP="00F550F0">
      <w:pPr>
        <w:widowControl w:val="0"/>
        <w:tabs>
          <w:tab w:val="left" w:pos="2268"/>
        </w:tabs>
        <w:suppressAutoHyphens w:val="0"/>
        <w:overflowPunct w:val="0"/>
        <w:autoSpaceDE w:val="0"/>
        <w:autoSpaceDN w:val="0"/>
        <w:adjustRightInd w:val="0"/>
        <w:spacing w:before="60" w:line="240" w:lineRule="auto"/>
        <w:ind w:left="2268" w:right="1134"/>
        <w:jc w:val="both"/>
        <w:textAlignment w:val="baseline"/>
        <w:rPr>
          <w:lang w:val="de-DE" w:eastAsia="fr-FR"/>
        </w:rPr>
      </w:pPr>
      <w:r w:rsidRPr="00DD2A86">
        <w:rPr>
          <w:lang w:val="de-DE" w:eastAsia="fr-FR"/>
        </w:rPr>
        <w:t xml:space="preserve">- </w:t>
      </w:r>
      <w:r w:rsidRPr="00DD2A86">
        <w:rPr>
          <w:lang w:val="de-DE" w:eastAsia="fr-FR"/>
        </w:rPr>
        <w:tab/>
        <w:t>Vorhandensein der nach 8.1.6.3 geforderten Bescheinigung des Herstellers oder einer zugelassenen Person</w:t>
      </w:r>
      <w:r w:rsidR="00D53B5E" w:rsidRPr="00DD2A86">
        <w:rPr>
          <w:lang w:val="de-DE" w:eastAsia="fr-FR"/>
        </w:rPr>
        <w:t>.</w:t>
      </w:r>
    </w:p>
    <w:p w:rsidR="006216C1" w:rsidRPr="00DD2A86" w:rsidRDefault="004713B8" w:rsidP="007C4CEE">
      <w:pPr>
        <w:widowControl w:val="0"/>
        <w:tabs>
          <w:tab w:val="left" w:pos="2268"/>
        </w:tabs>
        <w:suppressAutoHyphens w:val="0"/>
        <w:overflowPunct w:val="0"/>
        <w:autoSpaceDE w:val="0"/>
        <w:autoSpaceDN w:val="0"/>
        <w:adjustRightInd w:val="0"/>
        <w:spacing w:before="120" w:after="120" w:line="240" w:lineRule="auto"/>
        <w:ind w:left="2268" w:right="1134"/>
        <w:jc w:val="both"/>
        <w:textAlignment w:val="baseline"/>
        <w:rPr>
          <w:lang w:val="de-DE" w:eastAsia="de-DE"/>
        </w:rPr>
      </w:pPr>
      <w:r w:rsidRPr="00DD2A86">
        <w:rPr>
          <w:lang w:val="de-DE" w:eastAsia="de-DE"/>
        </w:rPr>
        <w:t>Von der anerkannten Klassifikationsgesellschaft unterzeichnete Bescheinigungen über die Kontrolle des Pumpenraumes sind an Bord mitzuführen. Aus den Bescheinigungen müssen mindestens die oben erwähnten Kontrollen und die dabei erzielten Resultate sowie das Datum der Kontrolle ersichtlich sein.“.</w:t>
      </w:r>
    </w:p>
    <w:p w:rsidR="008649B1" w:rsidRPr="00DD2A86" w:rsidRDefault="008649B1" w:rsidP="00B61A90">
      <w:pPr>
        <w:keepNext/>
        <w:keepLines/>
        <w:tabs>
          <w:tab w:val="right" w:pos="851"/>
        </w:tabs>
        <w:spacing w:before="360" w:after="240" w:line="270" w:lineRule="exact"/>
        <w:ind w:left="1134" w:right="521" w:hanging="1134"/>
        <w:rPr>
          <w:b/>
          <w:sz w:val="24"/>
          <w:lang w:val="de-DE"/>
        </w:rPr>
      </w:pPr>
      <w:r w:rsidRPr="00DD2A86">
        <w:rPr>
          <w:b/>
          <w:sz w:val="24"/>
          <w:lang w:val="de-DE"/>
        </w:rPr>
        <w:t>Kapitel 8.2</w:t>
      </w:r>
    </w:p>
    <w:p w:rsidR="00C06052" w:rsidRPr="00DD2A86" w:rsidRDefault="00C06052" w:rsidP="006216C1">
      <w:pPr>
        <w:tabs>
          <w:tab w:val="left" w:pos="2268"/>
          <w:tab w:val="left" w:pos="2552"/>
        </w:tabs>
        <w:spacing w:before="120" w:after="120"/>
        <w:ind w:left="2268" w:right="1134" w:hanging="1134"/>
        <w:jc w:val="both"/>
        <w:rPr>
          <w:lang w:val="de-DE"/>
        </w:rPr>
      </w:pPr>
      <w:r w:rsidRPr="00DD2A86">
        <w:rPr>
          <w:lang w:val="de-DE"/>
        </w:rPr>
        <w:t>8.2.1.2</w:t>
      </w:r>
      <w:r w:rsidRPr="00DD2A86">
        <w:rPr>
          <w:lang w:val="de-DE"/>
        </w:rPr>
        <w:tab/>
        <w:t>Im zweiten Satz „einer von dieser Behörde anerkannten Stelle“ ändern in: „von einer von dieser Behörde anerkannten Stelle“. [Betrifft nur die deutsche Sprachfassung]</w:t>
      </w:r>
    </w:p>
    <w:p w:rsidR="00C06052" w:rsidRPr="00DD2A86" w:rsidRDefault="00C06052" w:rsidP="006216C1">
      <w:pPr>
        <w:tabs>
          <w:tab w:val="left" w:pos="2268"/>
          <w:tab w:val="left" w:pos="2552"/>
        </w:tabs>
        <w:spacing w:before="120" w:after="120"/>
        <w:ind w:left="2552" w:right="1134" w:hanging="1418"/>
        <w:jc w:val="both"/>
        <w:rPr>
          <w:lang w:val="de-DE"/>
        </w:rPr>
      </w:pPr>
      <w:r w:rsidRPr="00DD2A86">
        <w:rPr>
          <w:lang w:val="de-DE"/>
        </w:rPr>
        <w:t>8.2.1.4</w:t>
      </w:r>
      <w:r w:rsidRPr="00DD2A86">
        <w:rPr>
          <w:lang w:val="de-DE"/>
        </w:rPr>
        <w:tab/>
        <w:t>-</w:t>
      </w:r>
      <w:r w:rsidRPr="00DD2A86">
        <w:rPr>
          <w:lang w:val="de-DE"/>
        </w:rPr>
        <w:tab/>
        <w:t>Im ersten Satz „einer von dieser Behörde anerkannten Stelle“ ändern in: „eine von dieser Behörde anerkannte Stelle“. [Betrifft nur die deutsche Sprachfassung]</w:t>
      </w:r>
    </w:p>
    <w:p w:rsidR="00C06052" w:rsidRPr="00DD2A86" w:rsidRDefault="00C06052" w:rsidP="006E508C">
      <w:pPr>
        <w:tabs>
          <w:tab w:val="left" w:pos="2268"/>
          <w:tab w:val="left" w:pos="2552"/>
        </w:tabs>
        <w:spacing w:before="120" w:after="120"/>
        <w:ind w:left="2552" w:right="1134" w:hanging="1418"/>
        <w:jc w:val="both"/>
        <w:rPr>
          <w:lang w:val="de-DE"/>
        </w:rPr>
      </w:pPr>
      <w:r w:rsidRPr="00DD2A86">
        <w:rPr>
          <w:lang w:val="de-DE"/>
        </w:rPr>
        <w:tab/>
        <w:t>-</w:t>
      </w:r>
      <w:r w:rsidRPr="00DD2A86">
        <w:rPr>
          <w:lang w:val="de-DE"/>
        </w:rPr>
        <w:tab/>
        <w:t>Der dritte Satz erhält folgenden Wortlaut: „Der Test kann innerhalb der Laufzeit der Bescheinigung zweimal wiederholt werden.“.</w:t>
      </w:r>
    </w:p>
    <w:p w:rsidR="00C06052" w:rsidRPr="00DD2A86" w:rsidRDefault="00C06052" w:rsidP="006E508C">
      <w:pPr>
        <w:tabs>
          <w:tab w:val="left" w:pos="2268"/>
          <w:tab w:val="left" w:pos="2552"/>
        </w:tabs>
        <w:spacing w:before="120" w:after="120"/>
        <w:ind w:left="2552" w:right="1134" w:hanging="1418"/>
        <w:jc w:val="both"/>
        <w:rPr>
          <w:lang w:val="de-DE"/>
        </w:rPr>
      </w:pPr>
      <w:r w:rsidRPr="00DD2A86">
        <w:rPr>
          <w:lang w:val="de-DE"/>
        </w:rPr>
        <w:tab/>
        <w:t>-</w:t>
      </w:r>
      <w:r w:rsidRPr="00DD2A86">
        <w:rPr>
          <w:lang w:val="de-DE"/>
        </w:rPr>
        <w:tab/>
        <w:t>Die beiden letzten Sätze</w:t>
      </w:r>
      <w:r w:rsidR="00995923" w:rsidRPr="00DD2A86">
        <w:rPr>
          <w:lang w:val="de-DE"/>
        </w:rPr>
        <w:t>: streichen</w:t>
      </w:r>
      <w:r w:rsidRPr="00DD2A86">
        <w:rPr>
          <w:lang w:val="de-DE"/>
        </w:rPr>
        <w:t>.</w:t>
      </w:r>
    </w:p>
    <w:p w:rsidR="00C06052" w:rsidRPr="00DD2A86" w:rsidRDefault="00C06052" w:rsidP="006E508C">
      <w:pPr>
        <w:tabs>
          <w:tab w:val="left" w:pos="2268"/>
          <w:tab w:val="left" w:pos="2552"/>
        </w:tabs>
        <w:spacing w:before="120" w:after="120"/>
        <w:ind w:left="2552" w:right="1134" w:hanging="1418"/>
        <w:jc w:val="both"/>
        <w:rPr>
          <w:lang w:val="de-DE"/>
        </w:rPr>
      </w:pPr>
      <w:r w:rsidRPr="00DD2A86">
        <w:rPr>
          <w:lang w:val="de-DE"/>
        </w:rPr>
        <w:tab/>
        <w:t>-</w:t>
      </w:r>
      <w:r w:rsidRPr="00DD2A86">
        <w:rPr>
          <w:lang w:val="de-DE"/>
        </w:rPr>
        <w:tab/>
        <w:t>Folgenden neuen Satz am Ende hinzufügen: „Falls der Test nach zweimaliger Wiederholung nicht bestanden wurde, kann innerhalb der Laufzeit der Bescheinigung ein Wiederholungskurs erneut besucht werden.“.</w:t>
      </w:r>
    </w:p>
    <w:p w:rsidR="00C06052" w:rsidRPr="00DD2A86" w:rsidRDefault="00C06052" w:rsidP="006216C1">
      <w:pPr>
        <w:spacing w:before="120"/>
        <w:ind w:left="2268" w:right="1134" w:hanging="1134"/>
        <w:jc w:val="both"/>
        <w:rPr>
          <w:lang w:val="de-DE"/>
        </w:rPr>
      </w:pPr>
      <w:r w:rsidRPr="00DD2A86">
        <w:rPr>
          <w:lang w:val="de-DE"/>
        </w:rPr>
        <w:t>8.2.1.6</w:t>
      </w:r>
      <w:r w:rsidRPr="00DD2A86">
        <w:rPr>
          <w:lang w:val="de-DE"/>
        </w:rPr>
        <w:tab/>
      </w:r>
      <w:r w:rsidRPr="00DD2A86">
        <w:rPr>
          <w:lang w:val="de-DE"/>
        </w:rPr>
        <w:tab/>
        <w:t>Der erste Satz erhält folgenden Wortlaut: „Nach fünf Jahren wird die Bescheinigung durch die zuständige Behörde oder durch eine von dieser Behörde anerkannte Stelle erneuert, wenn der Sachkundige für die Beförderung von Gasen nachweist, dass er:</w:t>
      </w:r>
    </w:p>
    <w:p w:rsidR="00C06052" w:rsidRPr="00DD2A86" w:rsidRDefault="00C06052" w:rsidP="00C06052">
      <w:pPr>
        <w:ind w:left="2552" w:right="1134" w:hanging="284"/>
        <w:jc w:val="both"/>
        <w:rPr>
          <w:lang w:val="de-DE"/>
        </w:rPr>
      </w:pPr>
      <w:r w:rsidRPr="00DD2A86">
        <w:rPr>
          <w:lang w:val="de-DE"/>
        </w:rPr>
        <w:t>-</w:t>
      </w:r>
      <w:r w:rsidRPr="00DD2A86">
        <w:rPr>
          <w:lang w:val="de-DE"/>
        </w:rPr>
        <w:tab/>
        <w:t>innerhalb des letzten Jahres vor Ablauf der Gültigkeit seiner Bescheinigung einen Wiederholungskurs durchlaufen hat, der mindestens die in Absatz 8.2.2.3.3.1 genannten Prüfungsziele umfasst und insbesondere Neuerungen enthält, oder</w:t>
      </w:r>
    </w:p>
    <w:p w:rsidR="00C06052" w:rsidRPr="00DD2A86" w:rsidRDefault="00C06052" w:rsidP="00C06052">
      <w:pPr>
        <w:spacing w:after="120"/>
        <w:ind w:left="2552" w:right="1134" w:hanging="284"/>
        <w:jc w:val="both"/>
        <w:rPr>
          <w:lang w:val="de-DE"/>
        </w:rPr>
      </w:pPr>
      <w:r w:rsidRPr="00DD2A86">
        <w:rPr>
          <w:lang w:val="de-DE"/>
        </w:rPr>
        <w:t>-</w:t>
      </w:r>
      <w:r w:rsidRPr="00DD2A86">
        <w:rPr>
          <w:lang w:val="de-DE"/>
        </w:rPr>
        <w:tab/>
        <w:t>innerhalb der letzten zwei Jahre mindestens ein Jahr an Bord eines Tankschiffs des Typs G gearbeitet hat.“.</w:t>
      </w:r>
    </w:p>
    <w:p w:rsidR="00C06052" w:rsidRPr="00DD2A86" w:rsidRDefault="00C06052" w:rsidP="006216C1">
      <w:pPr>
        <w:spacing w:before="120" w:after="120"/>
        <w:ind w:left="2268" w:right="1134" w:hanging="1134"/>
        <w:jc w:val="both"/>
        <w:rPr>
          <w:lang w:val="de-DE"/>
        </w:rPr>
      </w:pPr>
      <w:r w:rsidRPr="00DD2A86">
        <w:rPr>
          <w:lang w:val="de-DE"/>
        </w:rPr>
        <w:tab/>
      </w:r>
      <w:r w:rsidR="00B66C0B" w:rsidRPr="00DD2A86">
        <w:rPr>
          <w:lang w:val="de-DE"/>
        </w:rPr>
        <w:t xml:space="preserve">Den </w:t>
      </w:r>
      <w:r w:rsidRPr="00DD2A86">
        <w:rPr>
          <w:lang w:val="de-DE"/>
        </w:rPr>
        <w:t>Absatz nach den Anstrichen</w:t>
      </w:r>
      <w:r w:rsidR="00B75252" w:rsidRPr="00DD2A86">
        <w:rPr>
          <w:lang w:val="de-DE"/>
        </w:rPr>
        <w:t xml:space="preserve"> streichen</w:t>
      </w:r>
      <w:r w:rsidR="00D8591A" w:rsidRPr="00DD2A86">
        <w:rPr>
          <w:lang w:val="de-DE"/>
        </w:rPr>
        <w:t>.</w:t>
      </w:r>
    </w:p>
    <w:p w:rsidR="00C06052" w:rsidRPr="00DD2A86" w:rsidRDefault="00C06052" w:rsidP="00D8591A">
      <w:pPr>
        <w:spacing w:before="120"/>
        <w:ind w:left="2268" w:right="1134" w:hanging="1134"/>
        <w:jc w:val="both"/>
        <w:rPr>
          <w:lang w:val="de-DE"/>
        </w:rPr>
      </w:pPr>
      <w:r w:rsidRPr="00DD2A86">
        <w:rPr>
          <w:lang w:val="de-DE"/>
        </w:rPr>
        <w:t>8.2.1.8</w:t>
      </w:r>
      <w:r w:rsidRPr="00DD2A86">
        <w:rPr>
          <w:lang w:val="de-DE"/>
        </w:rPr>
        <w:tab/>
        <w:t>Der erste Satz erhält folgenden Wortlaut: „Nach fünf Jahren wird die Bescheinigung durch die zuständige Behörde oder durch eine von dieser Behörde anerkannte Stelle erneuert, wenn der Sachkundige für die Beförderung von Chemikalien nachweist, dass er:</w:t>
      </w:r>
    </w:p>
    <w:p w:rsidR="00C06052" w:rsidRPr="00DD2A86" w:rsidRDefault="00C06052" w:rsidP="00C06052">
      <w:pPr>
        <w:ind w:left="2552" w:right="1134" w:hanging="284"/>
        <w:jc w:val="both"/>
        <w:rPr>
          <w:lang w:val="de-DE"/>
        </w:rPr>
      </w:pPr>
      <w:r w:rsidRPr="00DD2A86">
        <w:rPr>
          <w:lang w:val="de-DE"/>
        </w:rPr>
        <w:t>-</w:t>
      </w:r>
      <w:r w:rsidRPr="00DD2A86">
        <w:rPr>
          <w:lang w:val="de-DE"/>
        </w:rPr>
        <w:tab/>
        <w:t>innerhalb des letzten Jahres vor Ablauf der Gültigkeit seiner Bescheinigung einen Wiederholungskurs durchlaufen hat, der mindestens die in Absatz 8.2.2.3.3.2 genannten Prüfungsziele umfasst und insbesondere Neuerungen enthält, oder</w:t>
      </w:r>
    </w:p>
    <w:p w:rsidR="00C06052" w:rsidRPr="00DD2A86" w:rsidRDefault="00C06052" w:rsidP="00C06052">
      <w:pPr>
        <w:ind w:left="2552" w:right="1134" w:hanging="284"/>
        <w:jc w:val="both"/>
        <w:rPr>
          <w:lang w:val="de-DE"/>
        </w:rPr>
      </w:pPr>
      <w:r w:rsidRPr="00DD2A86">
        <w:rPr>
          <w:lang w:val="de-DE"/>
        </w:rPr>
        <w:t>-</w:t>
      </w:r>
      <w:r w:rsidRPr="00DD2A86">
        <w:rPr>
          <w:lang w:val="de-DE"/>
        </w:rPr>
        <w:tab/>
        <w:t>innerhalb der letzten zwei Jahre mindestens ein Jahr an Bord eines Tankschiffs des Typs C gearbeitet hat.“.</w:t>
      </w:r>
    </w:p>
    <w:p w:rsidR="00C06052" w:rsidRPr="00DD2A86" w:rsidRDefault="00C06052" w:rsidP="006216C1">
      <w:pPr>
        <w:spacing w:before="120" w:after="120"/>
        <w:ind w:left="2268" w:right="1134" w:hanging="1134"/>
        <w:jc w:val="both"/>
        <w:rPr>
          <w:lang w:val="de-DE"/>
        </w:rPr>
      </w:pPr>
      <w:r w:rsidRPr="00DD2A86">
        <w:rPr>
          <w:lang w:val="de-DE"/>
        </w:rPr>
        <w:tab/>
      </w:r>
      <w:r w:rsidR="00B66C0B" w:rsidRPr="00DD2A86">
        <w:rPr>
          <w:lang w:val="de-DE"/>
        </w:rPr>
        <w:t xml:space="preserve">Den </w:t>
      </w:r>
      <w:r w:rsidRPr="00DD2A86">
        <w:rPr>
          <w:lang w:val="de-DE"/>
        </w:rPr>
        <w:t>Absatz nach den Anstrichen</w:t>
      </w:r>
      <w:r w:rsidR="00EF45CC" w:rsidRPr="00DD2A86">
        <w:rPr>
          <w:lang w:val="de-DE"/>
        </w:rPr>
        <w:t xml:space="preserve"> streichen</w:t>
      </w:r>
      <w:r w:rsidRPr="00DD2A86">
        <w:rPr>
          <w:lang w:val="de-DE"/>
        </w:rPr>
        <w:t>.</w:t>
      </w:r>
    </w:p>
    <w:p w:rsidR="00C06052" w:rsidRPr="00DD2A86" w:rsidRDefault="00C06052" w:rsidP="00D8591A">
      <w:pPr>
        <w:spacing w:before="240" w:after="120"/>
        <w:ind w:left="2268" w:right="1134" w:hanging="1134"/>
        <w:jc w:val="both"/>
        <w:rPr>
          <w:i/>
          <w:lang w:val="de-DE"/>
        </w:rPr>
      </w:pPr>
      <w:r w:rsidRPr="00DD2A86">
        <w:rPr>
          <w:lang w:val="de-DE"/>
        </w:rPr>
        <w:t>8.2.1.9</w:t>
      </w:r>
      <w:r w:rsidRPr="00DD2A86">
        <w:rPr>
          <w:lang w:val="de-DE"/>
        </w:rPr>
        <w:tab/>
        <w:t>Der erste Satz erhält folgenden Wortlaut: „</w:t>
      </w:r>
      <w:r w:rsidRPr="00DD2A86">
        <w:rPr>
          <w:rFonts w:eastAsia="MS Mincho" w:cs="Arial"/>
          <w:szCs w:val="18"/>
          <w:lang w:val="de-DE" w:eastAsia="fr-FR"/>
        </w:rPr>
        <w:t xml:space="preserve">Das Dokument, welches die Ausbildung und Erfahrung </w:t>
      </w:r>
      <w:r w:rsidR="00B66C0B" w:rsidRPr="00DD2A86">
        <w:rPr>
          <w:rFonts w:eastAsia="MS Mincho" w:cs="Arial"/>
          <w:szCs w:val="18"/>
          <w:lang w:val="de-DE" w:eastAsia="fr-FR"/>
        </w:rPr>
        <w:t xml:space="preserve">auf Tankschiffen zur Beförderung verflüssigter Gase </w:t>
      </w:r>
      <w:r w:rsidRPr="00DD2A86">
        <w:rPr>
          <w:rFonts w:eastAsia="MS Mincho" w:cs="Arial"/>
          <w:szCs w:val="18"/>
          <w:lang w:val="de-DE" w:eastAsia="fr-FR"/>
        </w:rPr>
        <w:t xml:space="preserve">in Übereinstimmung mit Kapitel V des </w:t>
      </w:r>
      <w:r w:rsidRPr="00DD2A86">
        <w:rPr>
          <w:rFonts w:cs="Arial"/>
          <w:szCs w:val="18"/>
          <w:lang w:val="de-DE" w:eastAsia="fr-FR"/>
        </w:rPr>
        <w:t>Internationalen Übereinkommen</w:t>
      </w:r>
      <w:r w:rsidR="00B66C0B" w:rsidRPr="00DD2A86">
        <w:rPr>
          <w:rFonts w:cs="Arial"/>
          <w:szCs w:val="18"/>
          <w:lang w:val="de-DE" w:eastAsia="fr-FR"/>
        </w:rPr>
        <w:t>s</w:t>
      </w:r>
      <w:r w:rsidRPr="00DD2A86">
        <w:rPr>
          <w:rFonts w:cs="Arial"/>
          <w:szCs w:val="18"/>
          <w:lang w:val="de-DE" w:eastAsia="fr-FR"/>
        </w:rPr>
        <w:t xml:space="preserve"> vom 7. Juli 1978 über Normen für die Ausbildung, die Erteilung von Befähigungszeugnissen und den Wachdienst von Seeleuten (STCW-Übereinkommen) in der </w:t>
      </w:r>
      <w:r w:rsidR="00B66C0B" w:rsidRPr="00DD2A86">
        <w:rPr>
          <w:rFonts w:cs="Arial"/>
          <w:szCs w:val="18"/>
          <w:lang w:val="de-DE" w:eastAsia="fr-FR"/>
        </w:rPr>
        <w:t>jeweils geänderten</w:t>
      </w:r>
      <w:r w:rsidRPr="00DD2A86">
        <w:rPr>
          <w:rFonts w:cs="Arial"/>
          <w:szCs w:val="18"/>
          <w:lang w:val="de-DE" w:eastAsia="fr-FR"/>
        </w:rPr>
        <w:t xml:space="preserve"> Fassung </w:t>
      </w:r>
      <w:r w:rsidRPr="00DD2A86">
        <w:rPr>
          <w:rFonts w:eastAsia="MS Mincho" w:cs="Arial"/>
          <w:szCs w:val="18"/>
          <w:lang w:val="de-DE" w:eastAsia="fr-FR"/>
        </w:rPr>
        <w:t>bescheinigt, ist der Bescheinigung nach Unterabschnitt 8.2.1.5 gleichgestellt, vorausgesetzt, die zuständige Behörde hat dies anerkannt.“.</w:t>
      </w:r>
    </w:p>
    <w:p w:rsidR="007C000A" w:rsidRPr="00DD2A86" w:rsidRDefault="007C000A">
      <w:pPr>
        <w:suppressAutoHyphens w:val="0"/>
        <w:spacing w:line="240" w:lineRule="auto"/>
        <w:rPr>
          <w:lang w:val="de-DE"/>
        </w:rPr>
      </w:pPr>
      <w:r w:rsidRPr="00DD2A86">
        <w:rPr>
          <w:lang w:val="de-DE"/>
        </w:rPr>
        <w:br w:type="page"/>
      </w:r>
    </w:p>
    <w:p w:rsidR="00C06052" w:rsidRPr="00DD2A86" w:rsidRDefault="00C06052" w:rsidP="00D8591A">
      <w:pPr>
        <w:tabs>
          <w:tab w:val="left" w:pos="2268"/>
        </w:tabs>
        <w:spacing w:before="240" w:after="120"/>
        <w:ind w:left="2268" w:right="1134" w:hanging="1134"/>
        <w:jc w:val="both"/>
        <w:rPr>
          <w:i/>
          <w:lang w:val="de-DE"/>
        </w:rPr>
      </w:pPr>
      <w:r w:rsidRPr="00DD2A86">
        <w:rPr>
          <w:lang w:val="de-DE"/>
        </w:rPr>
        <w:t>8.2.1.10</w:t>
      </w:r>
      <w:r w:rsidRPr="00DD2A86">
        <w:rPr>
          <w:lang w:val="de-DE"/>
        </w:rPr>
        <w:tab/>
        <w:t>Der erste Satz erhält folgenden Wortlaut: „</w:t>
      </w:r>
      <w:r w:rsidRPr="00DD2A86">
        <w:rPr>
          <w:rFonts w:eastAsia="MS Mincho"/>
          <w:lang w:val="de-DE" w:eastAsia="fr-FR"/>
        </w:rPr>
        <w:t xml:space="preserve">Das Dokument, welches die Ausbildung und Erfahrung </w:t>
      </w:r>
      <w:r w:rsidR="00B66C0B" w:rsidRPr="00DD2A86">
        <w:rPr>
          <w:lang w:val="de-DE" w:eastAsia="fr-FR"/>
        </w:rPr>
        <w:t>auf Tankschiffen zur B</w:t>
      </w:r>
      <w:r w:rsidR="00B66C0B" w:rsidRPr="00DD2A86">
        <w:rPr>
          <w:rFonts w:eastAsia="MS Mincho"/>
          <w:lang w:val="de-DE" w:eastAsia="fr-FR"/>
        </w:rPr>
        <w:t xml:space="preserve">eförderung von Chemikalien </w:t>
      </w:r>
      <w:r w:rsidRPr="00DD2A86">
        <w:rPr>
          <w:rFonts w:eastAsia="MS Mincho"/>
          <w:lang w:val="de-DE" w:eastAsia="fr-FR"/>
        </w:rPr>
        <w:t xml:space="preserve">in Übereinstimmung mit Kapitel V des </w:t>
      </w:r>
      <w:r w:rsidRPr="00DD2A86">
        <w:rPr>
          <w:rFonts w:cs="Arial"/>
          <w:szCs w:val="18"/>
          <w:lang w:val="de-DE" w:eastAsia="fr-FR"/>
        </w:rPr>
        <w:t>Internationalen Übereinkommen</w:t>
      </w:r>
      <w:r w:rsidR="00B66C0B" w:rsidRPr="00DD2A86">
        <w:rPr>
          <w:rFonts w:cs="Arial"/>
          <w:szCs w:val="18"/>
          <w:lang w:val="de-DE" w:eastAsia="fr-FR"/>
        </w:rPr>
        <w:t>s</w:t>
      </w:r>
      <w:r w:rsidRPr="00DD2A86">
        <w:rPr>
          <w:rFonts w:cs="Arial"/>
          <w:szCs w:val="18"/>
          <w:lang w:val="de-DE" w:eastAsia="fr-FR"/>
        </w:rPr>
        <w:t xml:space="preserve"> vom 7. Juli 1978 über Normen für die Ausbildung, die </w:t>
      </w:r>
      <w:r w:rsidRPr="00DD2A86">
        <w:rPr>
          <w:lang w:val="de-DE" w:eastAsia="fr-FR"/>
        </w:rPr>
        <w:t xml:space="preserve">Erteilung von Befähigungszeugnissen und den Wachdienst von Seeleuten (STCW-Übereinkommen) in der </w:t>
      </w:r>
      <w:r w:rsidR="00B66C0B" w:rsidRPr="00DD2A86">
        <w:rPr>
          <w:lang w:val="de-DE" w:eastAsia="fr-FR"/>
        </w:rPr>
        <w:t>jeweils geänderten</w:t>
      </w:r>
      <w:r w:rsidRPr="00DD2A86">
        <w:rPr>
          <w:lang w:val="de-DE" w:eastAsia="fr-FR"/>
        </w:rPr>
        <w:t xml:space="preserve"> Fassung </w:t>
      </w:r>
      <w:r w:rsidRPr="00DD2A86">
        <w:rPr>
          <w:rFonts w:eastAsia="MS Mincho"/>
          <w:lang w:val="de-DE" w:eastAsia="fr-FR"/>
        </w:rPr>
        <w:t>bescheinigt, ist der Bescheinigung nach Unterabschnitt 8.2.1.7 gleichgestellt, vorausgesetzt, die zuständige Behörde hat dies anerkannt.“</w:t>
      </w:r>
      <w:r w:rsidRPr="00DD2A86">
        <w:rPr>
          <w:rFonts w:eastAsia="MS Mincho" w:cs="Arial"/>
          <w:szCs w:val="18"/>
          <w:lang w:val="de-DE" w:eastAsia="fr-FR"/>
        </w:rPr>
        <w:t>.</w:t>
      </w:r>
    </w:p>
    <w:p w:rsidR="00C06052" w:rsidRPr="00DD2A86" w:rsidRDefault="00C06052" w:rsidP="00C06052">
      <w:pPr>
        <w:spacing w:before="240" w:after="120"/>
        <w:ind w:left="1134" w:right="1134"/>
        <w:jc w:val="both"/>
        <w:rPr>
          <w:i/>
          <w:lang w:val="de-DE"/>
        </w:rPr>
      </w:pPr>
      <w:r w:rsidRPr="00DD2A86">
        <w:rPr>
          <w:lang w:val="de-DE"/>
        </w:rPr>
        <w:t>8.2.1.11</w:t>
      </w:r>
      <w:r w:rsidRPr="00DD2A86">
        <w:rPr>
          <w:lang w:val="de-DE"/>
        </w:rPr>
        <w:tab/>
        <w:t>Erhält folgenden Wortlaut: „(gestrichen)“</w:t>
      </w:r>
      <w:r w:rsidR="00D8591A" w:rsidRPr="00DD2A86">
        <w:rPr>
          <w:lang w:val="de-DE"/>
        </w:rPr>
        <w:t>.</w:t>
      </w:r>
    </w:p>
    <w:p w:rsidR="00537308" w:rsidRPr="00DD2A86" w:rsidRDefault="00912B58" w:rsidP="00F550F0">
      <w:pPr>
        <w:tabs>
          <w:tab w:val="left" w:pos="2268"/>
          <w:tab w:val="left" w:pos="2552"/>
        </w:tabs>
        <w:spacing w:before="240"/>
        <w:ind w:left="2268" w:right="1134" w:hanging="1125"/>
        <w:jc w:val="both"/>
        <w:rPr>
          <w:rFonts w:eastAsia="Calibri"/>
          <w:szCs w:val="24"/>
          <w:lang w:val="de-DE" w:eastAsia="en-GB"/>
        </w:rPr>
      </w:pPr>
      <w:r w:rsidRPr="00DD2A86">
        <w:rPr>
          <w:rFonts w:eastAsia="Calibri"/>
          <w:szCs w:val="24"/>
          <w:lang w:val="de-DE" w:eastAsia="en-GB"/>
        </w:rPr>
        <w:t>8.2.2.3.1.1</w:t>
      </w:r>
      <w:r w:rsidRPr="00DD2A86">
        <w:rPr>
          <w:rFonts w:eastAsia="Calibri"/>
          <w:szCs w:val="24"/>
          <w:lang w:val="de-DE" w:eastAsia="en-GB"/>
        </w:rPr>
        <w:tab/>
        <w:t xml:space="preserve">Der Anstrich </w:t>
      </w:r>
      <w:r w:rsidR="003267B7" w:rsidRPr="00DD2A86">
        <w:rPr>
          <w:rFonts w:eastAsia="Calibri"/>
          <w:szCs w:val="24"/>
          <w:lang w:val="de-DE" w:eastAsia="en-GB"/>
        </w:rPr>
        <w:t>zu</w:t>
      </w:r>
      <w:r w:rsidRPr="00DD2A86">
        <w:rPr>
          <w:rFonts w:eastAsia="Calibri"/>
          <w:szCs w:val="24"/>
          <w:lang w:val="de-DE" w:eastAsia="en-GB"/>
        </w:rPr>
        <w:t xml:space="preserve"> Messtechnik erhält folgenden Wortlaut:</w:t>
      </w:r>
    </w:p>
    <w:p w:rsidR="00912B58" w:rsidRPr="00DD2A86" w:rsidRDefault="00537308" w:rsidP="00F550F0">
      <w:pPr>
        <w:tabs>
          <w:tab w:val="left" w:pos="2268"/>
          <w:tab w:val="left" w:pos="2552"/>
        </w:tabs>
        <w:spacing w:after="120"/>
        <w:ind w:left="2268" w:right="1134" w:hanging="1125"/>
        <w:jc w:val="both"/>
        <w:rPr>
          <w:rFonts w:eastAsia="Calibri"/>
          <w:szCs w:val="24"/>
          <w:lang w:val="de-DE" w:eastAsia="en-GB"/>
        </w:rPr>
      </w:pPr>
      <w:r w:rsidRPr="00DD2A86">
        <w:rPr>
          <w:rFonts w:eastAsia="Calibri"/>
          <w:szCs w:val="24"/>
          <w:lang w:val="de-DE" w:eastAsia="en-GB"/>
        </w:rPr>
        <w:tab/>
      </w:r>
      <w:r w:rsidR="00912B58" w:rsidRPr="00DD2A86">
        <w:rPr>
          <w:rFonts w:eastAsia="Calibri"/>
          <w:szCs w:val="24"/>
          <w:lang w:val="de-DE" w:eastAsia="en-GB"/>
        </w:rPr>
        <w:t>„-</w:t>
      </w:r>
      <w:r w:rsidR="00912B58" w:rsidRPr="00DD2A86">
        <w:rPr>
          <w:rFonts w:eastAsia="Calibri"/>
          <w:szCs w:val="24"/>
          <w:lang w:val="de-DE" w:eastAsia="en-GB"/>
        </w:rPr>
        <w:tab/>
        <w:t>Messen von Toxizität, Sauerstoffgehalt und Konzentration entzündbarer Gase.“.</w:t>
      </w:r>
    </w:p>
    <w:p w:rsidR="0023725E" w:rsidRPr="00DD2A86" w:rsidRDefault="00421882" w:rsidP="00F550F0">
      <w:pPr>
        <w:tabs>
          <w:tab w:val="left" w:pos="2268"/>
          <w:tab w:val="left" w:pos="2552"/>
        </w:tabs>
        <w:ind w:left="2268" w:right="1134" w:hanging="1125"/>
        <w:jc w:val="both"/>
        <w:rPr>
          <w:rFonts w:eastAsia="Calibri"/>
          <w:szCs w:val="24"/>
          <w:lang w:val="de-DE" w:eastAsia="en-GB"/>
        </w:rPr>
      </w:pPr>
      <w:r w:rsidRPr="00DD2A86">
        <w:rPr>
          <w:rFonts w:eastAsia="Calibri"/>
          <w:szCs w:val="24"/>
          <w:lang w:val="de-DE" w:eastAsia="en-GB"/>
        </w:rPr>
        <w:tab/>
        <w:t>Anstrich zu Praktische Übungen: [Die Änderung in der englischen und französischen Fassung hat keine Auswirkungen auf den deutschen Text.]</w:t>
      </w:r>
    </w:p>
    <w:p w:rsidR="00912B58" w:rsidRPr="00DD2A86" w:rsidRDefault="00912B58" w:rsidP="006E508C">
      <w:pPr>
        <w:tabs>
          <w:tab w:val="left" w:pos="2268"/>
          <w:tab w:val="left" w:pos="2552"/>
        </w:tabs>
        <w:spacing w:before="120"/>
        <w:ind w:left="2268" w:right="1134" w:hanging="1125"/>
        <w:jc w:val="both"/>
        <w:rPr>
          <w:rFonts w:eastAsia="Calibri"/>
          <w:szCs w:val="24"/>
          <w:lang w:val="de-DE" w:eastAsia="en-GB"/>
        </w:rPr>
      </w:pPr>
      <w:r w:rsidRPr="00DD2A86">
        <w:rPr>
          <w:rFonts w:eastAsia="Calibri"/>
          <w:szCs w:val="24"/>
          <w:lang w:val="de-DE" w:eastAsia="en-GB"/>
        </w:rPr>
        <w:tab/>
        <w:t>Am Ende hinzufügen:</w:t>
      </w:r>
    </w:p>
    <w:p w:rsidR="00912B58" w:rsidRPr="00DD2A86" w:rsidRDefault="00912B58" w:rsidP="00F550F0">
      <w:pPr>
        <w:tabs>
          <w:tab w:val="left" w:pos="2268"/>
          <w:tab w:val="left" w:pos="2552"/>
        </w:tabs>
        <w:ind w:left="2268" w:right="1134" w:hanging="1125"/>
        <w:jc w:val="both"/>
        <w:rPr>
          <w:rFonts w:eastAsia="Calibri"/>
          <w:szCs w:val="24"/>
          <w:lang w:val="de-DE" w:eastAsia="en-GB"/>
        </w:rPr>
      </w:pPr>
      <w:r w:rsidRPr="00DD2A86">
        <w:rPr>
          <w:rFonts w:eastAsia="Calibri"/>
          <w:szCs w:val="24"/>
          <w:lang w:val="de-DE" w:eastAsia="en-GB"/>
        </w:rPr>
        <w:tab/>
        <w:t>„Grundlagen des Explosionsschutzes</w:t>
      </w:r>
      <w:r w:rsidR="0087475A" w:rsidRPr="00DD2A86">
        <w:rPr>
          <w:rFonts w:eastAsia="Calibri"/>
          <w:szCs w:val="24"/>
          <w:lang w:val="de-DE" w:eastAsia="en-GB"/>
        </w:rPr>
        <w:t>:</w:t>
      </w:r>
    </w:p>
    <w:p w:rsidR="00912B58" w:rsidRPr="00DD2A86" w:rsidRDefault="00912B58" w:rsidP="00F550F0">
      <w:pPr>
        <w:numPr>
          <w:ilvl w:val="0"/>
          <w:numId w:val="26"/>
        </w:numPr>
        <w:tabs>
          <w:tab w:val="left" w:pos="2268"/>
          <w:tab w:val="left" w:pos="2552"/>
        </w:tabs>
        <w:ind w:right="1134"/>
        <w:jc w:val="both"/>
        <w:rPr>
          <w:rFonts w:eastAsia="Calibri"/>
          <w:bCs/>
          <w:szCs w:val="24"/>
          <w:lang w:val="de-DE" w:eastAsia="en-GB"/>
        </w:rPr>
      </w:pPr>
      <w:r w:rsidRPr="00DD2A86">
        <w:rPr>
          <w:rFonts w:eastAsia="Calibri"/>
          <w:bCs/>
          <w:szCs w:val="24"/>
          <w:lang w:val="de-DE" w:eastAsia="en-GB"/>
        </w:rPr>
        <w:t>Entsprechend der Begriffsbestimmung „Explosionsschutz“,</w:t>
      </w:r>
    </w:p>
    <w:p w:rsidR="00912B58" w:rsidRPr="00DD2A86" w:rsidRDefault="00912B58" w:rsidP="00F550F0">
      <w:pPr>
        <w:pStyle w:val="ListParagraph"/>
        <w:numPr>
          <w:ilvl w:val="0"/>
          <w:numId w:val="26"/>
        </w:numPr>
        <w:tabs>
          <w:tab w:val="left" w:pos="2268"/>
          <w:tab w:val="left" w:pos="2552"/>
        </w:tabs>
        <w:ind w:right="1134"/>
        <w:jc w:val="both"/>
        <w:rPr>
          <w:rFonts w:eastAsia="Calibri"/>
          <w:szCs w:val="24"/>
          <w:lang w:val="de-DE" w:eastAsia="en-GB"/>
        </w:rPr>
      </w:pPr>
      <w:r w:rsidRPr="00DD2A86">
        <w:rPr>
          <w:rFonts w:eastAsia="Calibri"/>
          <w:bCs/>
          <w:szCs w:val="24"/>
          <w:lang w:val="de-DE" w:eastAsia="en-GB"/>
        </w:rPr>
        <w:t>Auswahl geeigneter Geräte und Anlagen.“.</w:t>
      </w:r>
    </w:p>
    <w:p w:rsidR="00A516B8" w:rsidRPr="00DD2A86" w:rsidRDefault="00A516B8" w:rsidP="00A516B8">
      <w:pPr>
        <w:spacing w:before="120" w:after="120"/>
        <w:ind w:left="1134" w:right="1134"/>
        <w:jc w:val="both"/>
        <w:rPr>
          <w:rFonts w:eastAsia="SimSun"/>
          <w:szCs w:val="18"/>
          <w:lang w:val="de-DE" w:eastAsia="zh-CN"/>
        </w:rPr>
      </w:pPr>
      <w:r w:rsidRPr="00DD2A86">
        <w:rPr>
          <w:rFonts w:eastAsiaTheme="minorHAnsi"/>
          <w:lang w:val="de-DE"/>
        </w:rPr>
        <w:t>8.2.2.3.1.3</w:t>
      </w:r>
      <w:r w:rsidRPr="00DD2A86">
        <w:rPr>
          <w:rFonts w:eastAsiaTheme="minorHAnsi"/>
          <w:lang w:val="de-DE"/>
        </w:rPr>
        <w:tab/>
        <w:t>Der erste Anstrich unter „</w:t>
      </w:r>
      <w:r w:rsidRPr="00DD2A86">
        <w:rPr>
          <w:rFonts w:eastAsia="SimSun"/>
          <w:szCs w:val="18"/>
          <w:lang w:val="de-DE" w:eastAsia="zh-CN"/>
        </w:rPr>
        <w:t>Behandlung der Ladetanks und angrenzenden Räume:“ erhält folgenden Wortlaut:</w:t>
      </w:r>
    </w:p>
    <w:p w:rsidR="00A516B8" w:rsidRPr="00DD2A86" w:rsidRDefault="00A516B8" w:rsidP="00A516B8">
      <w:pPr>
        <w:spacing w:before="120" w:after="120"/>
        <w:ind w:left="1134" w:right="1134"/>
        <w:jc w:val="both"/>
        <w:rPr>
          <w:rFonts w:eastAsia="SimSun"/>
          <w:szCs w:val="18"/>
          <w:lang w:val="de-DE" w:eastAsia="zh-CN"/>
        </w:rPr>
      </w:pPr>
      <w:r w:rsidRPr="00DD2A86">
        <w:rPr>
          <w:lang w:val="de-DE"/>
        </w:rPr>
        <w:t>„- Entgasen in die Atmosphäre und an Annahmestellen, Reinigen und Instandhalten,“.</w:t>
      </w:r>
    </w:p>
    <w:p w:rsidR="00537308" w:rsidRPr="00DD2A86" w:rsidRDefault="0087475A" w:rsidP="00F550F0">
      <w:pPr>
        <w:tabs>
          <w:tab w:val="left" w:pos="2268"/>
          <w:tab w:val="left" w:pos="2552"/>
        </w:tabs>
        <w:spacing w:before="240"/>
        <w:ind w:left="2268" w:right="1134" w:hanging="1125"/>
        <w:jc w:val="both"/>
        <w:rPr>
          <w:rFonts w:eastAsia="Calibri"/>
          <w:szCs w:val="24"/>
          <w:lang w:val="de-DE" w:eastAsia="en-GB"/>
        </w:rPr>
      </w:pPr>
      <w:r w:rsidRPr="00DD2A86">
        <w:rPr>
          <w:rFonts w:eastAsia="Calibri"/>
          <w:szCs w:val="24"/>
          <w:lang w:val="de-DE" w:eastAsia="en-GB"/>
        </w:rPr>
        <w:t>8.2.2.3.1.3</w:t>
      </w:r>
      <w:r w:rsidRPr="00DD2A86">
        <w:rPr>
          <w:rFonts w:eastAsia="Calibri"/>
          <w:szCs w:val="24"/>
          <w:lang w:val="de-DE" w:eastAsia="en-GB"/>
        </w:rPr>
        <w:tab/>
        <w:t xml:space="preserve">Der erste Anstrich </w:t>
      </w:r>
      <w:r w:rsidR="003267B7" w:rsidRPr="00DD2A86">
        <w:rPr>
          <w:rFonts w:eastAsia="Calibri"/>
          <w:szCs w:val="24"/>
          <w:lang w:val="de-DE" w:eastAsia="en-GB"/>
        </w:rPr>
        <w:t>zu</w:t>
      </w:r>
      <w:r w:rsidRPr="00DD2A86">
        <w:rPr>
          <w:rFonts w:eastAsia="Calibri"/>
          <w:szCs w:val="24"/>
          <w:lang w:val="de-DE" w:eastAsia="en-GB"/>
        </w:rPr>
        <w:t xml:space="preserve"> Messtechnik </w:t>
      </w:r>
      <w:r w:rsidR="004572CE" w:rsidRPr="00DD2A86">
        <w:rPr>
          <w:rFonts w:eastAsia="Calibri"/>
          <w:szCs w:val="24"/>
          <w:lang w:val="de-DE" w:eastAsia="en-GB"/>
        </w:rPr>
        <w:t>und Probeentnahme</w:t>
      </w:r>
      <w:r w:rsidR="00C64146" w:rsidRPr="00DD2A86">
        <w:rPr>
          <w:rFonts w:eastAsia="Calibri"/>
          <w:szCs w:val="24"/>
          <w:lang w:val="de-DE" w:eastAsia="en-GB"/>
        </w:rPr>
        <w:t xml:space="preserve"> </w:t>
      </w:r>
      <w:r w:rsidRPr="00DD2A86">
        <w:rPr>
          <w:rFonts w:eastAsia="Calibri"/>
          <w:szCs w:val="24"/>
          <w:lang w:val="de-DE" w:eastAsia="en-GB"/>
        </w:rPr>
        <w:t>erhält folgenden Wortlaut:</w:t>
      </w:r>
    </w:p>
    <w:p w:rsidR="0087475A" w:rsidRPr="00DD2A86" w:rsidRDefault="00537308" w:rsidP="00F550F0">
      <w:pPr>
        <w:tabs>
          <w:tab w:val="left" w:pos="2268"/>
          <w:tab w:val="left" w:pos="2552"/>
        </w:tabs>
        <w:spacing w:after="120"/>
        <w:ind w:left="2268" w:right="1134" w:hanging="1125"/>
        <w:jc w:val="both"/>
        <w:rPr>
          <w:rFonts w:eastAsia="Calibri"/>
          <w:szCs w:val="24"/>
          <w:lang w:val="de-DE" w:eastAsia="en-GB"/>
        </w:rPr>
      </w:pPr>
      <w:r w:rsidRPr="00DD2A86">
        <w:rPr>
          <w:rFonts w:eastAsia="Calibri"/>
          <w:szCs w:val="24"/>
          <w:lang w:val="de-DE" w:eastAsia="en-GB"/>
        </w:rPr>
        <w:tab/>
      </w:r>
      <w:r w:rsidR="0087475A" w:rsidRPr="00DD2A86">
        <w:rPr>
          <w:rFonts w:eastAsia="Calibri"/>
          <w:szCs w:val="24"/>
          <w:lang w:val="de-DE" w:eastAsia="en-GB"/>
        </w:rPr>
        <w:t>„-</w:t>
      </w:r>
      <w:r w:rsidR="0087475A" w:rsidRPr="00DD2A86">
        <w:rPr>
          <w:rFonts w:eastAsia="Calibri"/>
          <w:szCs w:val="24"/>
          <w:lang w:val="de-DE" w:eastAsia="en-GB"/>
        </w:rPr>
        <w:tab/>
        <w:t>Messen von Toxizität, Sauerstoffgehalt und Konzentration entzündbarer Gase,“.</w:t>
      </w:r>
    </w:p>
    <w:p w:rsidR="0087475A" w:rsidRPr="00DD2A86" w:rsidRDefault="0087475A" w:rsidP="00F550F0">
      <w:pPr>
        <w:tabs>
          <w:tab w:val="left" w:pos="2268"/>
          <w:tab w:val="left" w:pos="2552"/>
        </w:tabs>
        <w:ind w:left="2268" w:right="1134" w:hanging="1125"/>
        <w:jc w:val="both"/>
        <w:rPr>
          <w:rFonts w:eastAsia="Calibri"/>
          <w:szCs w:val="24"/>
          <w:lang w:val="de-DE" w:eastAsia="en-GB"/>
        </w:rPr>
      </w:pPr>
      <w:r w:rsidRPr="00DD2A86">
        <w:rPr>
          <w:rFonts w:eastAsia="Calibri"/>
          <w:szCs w:val="24"/>
          <w:lang w:val="de-DE" w:eastAsia="en-GB"/>
        </w:rPr>
        <w:tab/>
        <w:t xml:space="preserve">Am Ende </w:t>
      </w:r>
      <w:r w:rsidR="00D15C92" w:rsidRPr="00DD2A86">
        <w:rPr>
          <w:rFonts w:eastAsia="Calibri"/>
          <w:szCs w:val="24"/>
          <w:lang w:val="de-DE" w:eastAsia="en-GB"/>
        </w:rPr>
        <w:t xml:space="preserve">von 8.2.2.3.1.3 </w:t>
      </w:r>
      <w:r w:rsidRPr="00DD2A86">
        <w:rPr>
          <w:rFonts w:eastAsia="Calibri"/>
          <w:szCs w:val="24"/>
          <w:lang w:val="de-DE" w:eastAsia="en-GB"/>
        </w:rPr>
        <w:t>hinzufügen:</w:t>
      </w:r>
    </w:p>
    <w:p w:rsidR="0087475A" w:rsidRPr="00DD2A86" w:rsidRDefault="0087475A" w:rsidP="00F550F0">
      <w:pPr>
        <w:tabs>
          <w:tab w:val="left" w:pos="2268"/>
          <w:tab w:val="left" w:pos="2552"/>
        </w:tabs>
        <w:ind w:left="2268" w:right="1134" w:hanging="1125"/>
        <w:jc w:val="both"/>
        <w:rPr>
          <w:rFonts w:eastAsia="Calibri"/>
          <w:szCs w:val="24"/>
          <w:lang w:val="de-DE" w:eastAsia="en-GB"/>
        </w:rPr>
      </w:pPr>
      <w:r w:rsidRPr="00DD2A86">
        <w:rPr>
          <w:rFonts w:eastAsia="Calibri"/>
          <w:szCs w:val="24"/>
          <w:lang w:val="de-DE" w:eastAsia="en-GB"/>
        </w:rPr>
        <w:tab/>
        <w:t>„Grundlagen des Explosionsschutzes:</w:t>
      </w:r>
    </w:p>
    <w:p w:rsidR="0087475A" w:rsidRPr="00DD2A86" w:rsidRDefault="0087475A" w:rsidP="00F550F0">
      <w:pPr>
        <w:numPr>
          <w:ilvl w:val="0"/>
          <w:numId w:val="26"/>
        </w:numPr>
        <w:tabs>
          <w:tab w:val="left" w:pos="2268"/>
          <w:tab w:val="left" w:pos="2552"/>
        </w:tabs>
        <w:ind w:right="1134"/>
        <w:jc w:val="both"/>
        <w:rPr>
          <w:rFonts w:eastAsia="Calibri"/>
          <w:bCs/>
          <w:szCs w:val="24"/>
          <w:lang w:val="de-DE" w:eastAsia="en-GB"/>
        </w:rPr>
      </w:pPr>
      <w:r w:rsidRPr="00DD2A86">
        <w:rPr>
          <w:rFonts w:eastAsia="Calibri"/>
          <w:bCs/>
          <w:szCs w:val="24"/>
          <w:lang w:val="de-DE" w:eastAsia="en-GB"/>
        </w:rPr>
        <w:t>Entsprechend der Begriffsbestimmung „Explosionsschutz“,</w:t>
      </w:r>
    </w:p>
    <w:p w:rsidR="0087475A" w:rsidRPr="00DD2A86" w:rsidRDefault="0087475A" w:rsidP="00F550F0">
      <w:pPr>
        <w:pStyle w:val="ListParagraph"/>
        <w:numPr>
          <w:ilvl w:val="0"/>
          <w:numId w:val="26"/>
        </w:numPr>
        <w:tabs>
          <w:tab w:val="left" w:pos="2268"/>
          <w:tab w:val="left" w:pos="2552"/>
        </w:tabs>
        <w:ind w:right="1134"/>
        <w:jc w:val="both"/>
        <w:rPr>
          <w:rFonts w:eastAsia="Calibri"/>
          <w:szCs w:val="24"/>
          <w:lang w:val="de-DE" w:eastAsia="en-GB"/>
        </w:rPr>
      </w:pPr>
      <w:r w:rsidRPr="00DD2A86">
        <w:rPr>
          <w:rFonts w:eastAsia="Calibri"/>
          <w:bCs/>
          <w:szCs w:val="24"/>
          <w:lang w:val="de-DE" w:eastAsia="en-GB"/>
        </w:rPr>
        <w:t>Auswahl geeigneter Geräte und Anlagen.“.</w:t>
      </w:r>
    </w:p>
    <w:p w:rsidR="00A516B8" w:rsidRPr="00DD2A86" w:rsidRDefault="00A516B8" w:rsidP="00A516B8">
      <w:pPr>
        <w:kinsoku w:val="0"/>
        <w:overflowPunct w:val="0"/>
        <w:autoSpaceDE w:val="0"/>
        <w:autoSpaceDN w:val="0"/>
        <w:adjustRightInd w:val="0"/>
        <w:snapToGrid w:val="0"/>
        <w:spacing w:before="120" w:after="120"/>
        <w:ind w:left="1134" w:right="1134"/>
        <w:jc w:val="both"/>
        <w:rPr>
          <w:rFonts w:eastAsiaTheme="minorHAnsi"/>
          <w:lang w:val="de-DE"/>
        </w:rPr>
      </w:pPr>
      <w:r w:rsidRPr="00DD2A86">
        <w:rPr>
          <w:rFonts w:eastAsiaTheme="minorHAnsi"/>
          <w:lang w:val="de-DE"/>
        </w:rPr>
        <w:t>8.2.2.3.3.1</w:t>
      </w:r>
      <w:r w:rsidRPr="00DD2A86">
        <w:rPr>
          <w:rFonts w:eastAsiaTheme="minorHAnsi"/>
          <w:lang w:val="de-DE"/>
        </w:rPr>
        <w:tab/>
      </w:r>
      <w:r w:rsidRPr="00DD2A86">
        <w:rPr>
          <w:rFonts w:eastAsiaTheme="minorHAnsi"/>
          <w:szCs w:val="18"/>
          <w:lang w:val="de-DE"/>
        </w:rPr>
        <w:t>[Die Änderung in der französischen und englischen Fassung hat keine Auswirkungen auf den deutschen Text.]</w:t>
      </w:r>
    </w:p>
    <w:p w:rsidR="00A516B8" w:rsidRPr="00DD2A86" w:rsidRDefault="00A516B8" w:rsidP="00A516B8">
      <w:pPr>
        <w:kinsoku w:val="0"/>
        <w:overflowPunct w:val="0"/>
        <w:autoSpaceDE w:val="0"/>
        <w:autoSpaceDN w:val="0"/>
        <w:adjustRightInd w:val="0"/>
        <w:snapToGrid w:val="0"/>
        <w:spacing w:before="120" w:after="120"/>
        <w:ind w:left="1134" w:right="1134"/>
        <w:jc w:val="both"/>
        <w:rPr>
          <w:rFonts w:eastAsiaTheme="minorHAnsi"/>
          <w:lang w:val="de-DE"/>
        </w:rPr>
      </w:pPr>
      <w:r w:rsidRPr="00DD2A86">
        <w:rPr>
          <w:rFonts w:eastAsiaTheme="minorHAnsi"/>
          <w:lang w:val="de-DE"/>
        </w:rPr>
        <w:t>8.2.2.3.3.2</w:t>
      </w:r>
      <w:r w:rsidRPr="00DD2A86">
        <w:rPr>
          <w:rFonts w:eastAsiaTheme="minorHAnsi"/>
          <w:lang w:val="de-DE"/>
        </w:rPr>
        <w:tab/>
        <w:t>[Die Änderung in der französischen und englischen Fassung hat keine Auswirkungen auf den deutschen Text.]</w:t>
      </w:r>
    </w:p>
    <w:p w:rsidR="00E17BF4" w:rsidRPr="00DD2A86" w:rsidRDefault="00E17BF4" w:rsidP="00E17BF4">
      <w:pPr>
        <w:spacing w:before="240" w:after="120"/>
        <w:ind w:left="2268" w:right="1134" w:hanging="1134"/>
        <w:jc w:val="both"/>
        <w:rPr>
          <w:lang w:val="de-DE"/>
        </w:rPr>
      </w:pPr>
      <w:r w:rsidRPr="00DD2A86">
        <w:rPr>
          <w:lang w:val="de-DE"/>
        </w:rPr>
        <w:t>8.2.2.8</w:t>
      </w:r>
      <w:r w:rsidRPr="00DD2A86">
        <w:rPr>
          <w:lang w:val="de-DE"/>
        </w:rPr>
        <w:tab/>
        <w:t>Erhält folgenden Wortlaut:</w:t>
      </w:r>
    </w:p>
    <w:p w:rsidR="00E17BF4" w:rsidRPr="00DD2A86" w:rsidRDefault="00E17BF4" w:rsidP="00E17BF4">
      <w:pPr>
        <w:widowControl w:val="0"/>
        <w:suppressAutoHyphens w:val="0"/>
        <w:overflowPunct w:val="0"/>
        <w:autoSpaceDE w:val="0"/>
        <w:autoSpaceDN w:val="0"/>
        <w:adjustRightInd w:val="0"/>
        <w:ind w:left="2268" w:right="1134" w:hanging="1134"/>
        <w:jc w:val="both"/>
        <w:textAlignment w:val="baseline"/>
        <w:rPr>
          <w:b/>
          <w:lang w:val="de-DE"/>
        </w:rPr>
      </w:pPr>
      <w:r w:rsidRPr="00DD2A86">
        <w:rPr>
          <w:b/>
          <w:lang w:val="de-DE"/>
        </w:rPr>
        <w:t>„8.2.2.8</w:t>
      </w:r>
      <w:r w:rsidRPr="00DD2A86">
        <w:rPr>
          <w:b/>
          <w:lang w:val="de-DE"/>
        </w:rPr>
        <w:tab/>
        <w:t>Bescheinigung über besondere Kenntnisse des ADN</w:t>
      </w:r>
    </w:p>
    <w:p w:rsidR="00E17BF4" w:rsidRPr="00DD2A86" w:rsidRDefault="00E17BF4" w:rsidP="00E17BF4">
      <w:pPr>
        <w:widowControl w:val="0"/>
        <w:tabs>
          <w:tab w:val="left" w:pos="1134"/>
        </w:tabs>
        <w:suppressAutoHyphens w:val="0"/>
        <w:overflowPunct w:val="0"/>
        <w:autoSpaceDE w:val="0"/>
        <w:autoSpaceDN w:val="0"/>
        <w:adjustRightInd w:val="0"/>
        <w:spacing w:before="120"/>
        <w:ind w:left="2268" w:right="1134" w:hanging="1134"/>
        <w:jc w:val="both"/>
        <w:textAlignment w:val="baseline"/>
        <w:rPr>
          <w:lang w:val="de-DE"/>
        </w:rPr>
      </w:pPr>
      <w:r w:rsidRPr="00DD2A86">
        <w:rPr>
          <w:lang w:val="de-DE"/>
        </w:rPr>
        <w:t>8.2.2.8.1</w:t>
      </w:r>
      <w:r w:rsidRPr="00DD2A86">
        <w:rPr>
          <w:lang w:val="de-DE"/>
        </w:rPr>
        <w:tab/>
        <w:t>Die Erteilung und Erneuerung der Bescheinigung über besondere Kenntnisse des ADN nach dem Muster in Abschnitt 8.6.2 erfolgt durch die zuständige Behörde oder durch eine von dieser Behörde anerkannte Stelle.</w:t>
      </w:r>
    </w:p>
    <w:p w:rsidR="007C000A" w:rsidRPr="00DD2A86" w:rsidRDefault="007C000A">
      <w:pPr>
        <w:suppressAutoHyphens w:val="0"/>
        <w:spacing w:line="240" w:lineRule="auto"/>
        <w:rPr>
          <w:lang w:val="de-DE"/>
        </w:rPr>
      </w:pPr>
      <w:r w:rsidRPr="00DD2A86">
        <w:rPr>
          <w:lang w:val="de-DE"/>
        </w:rPr>
        <w:br w:type="page"/>
      </w:r>
    </w:p>
    <w:p w:rsidR="00E17BF4" w:rsidRPr="00DD2A86" w:rsidRDefault="00E17BF4" w:rsidP="00E17BF4">
      <w:pPr>
        <w:tabs>
          <w:tab w:val="left" w:pos="426"/>
        </w:tabs>
        <w:spacing w:before="120"/>
        <w:ind w:left="2268" w:right="1134" w:hanging="1134"/>
        <w:jc w:val="both"/>
        <w:rPr>
          <w:rFonts w:eastAsia="MS Mincho"/>
          <w:lang w:val="de-DE" w:eastAsia="fr-FR"/>
        </w:rPr>
      </w:pPr>
      <w:r w:rsidRPr="00DD2A86">
        <w:rPr>
          <w:lang w:val="de-DE"/>
        </w:rPr>
        <w:t>8.2.2.8.2</w:t>
      </w:r>
      <w:r w:rsidRPr="00DD2A86">
        <w:rPr>
          <w:lang w:val="de-DE"/>
        </w:rPr>
        <w:tab/>
      </w:r>
      <w:r w:rsidRPr="00DD2A86">
        <w:rPr>
          <w:rFonts w:eastAsia="MS Mincho"/>
          <w:lang w:val="de-DE" w:eastAsia="fr-FR"/>
        </w:rPr>
        <w:t xml:space="preserve">Die Abmessungen der Bescheinigung müssen der Norm ISO/IEC 7810:2003, Variante ID-1, entsprechen und sie muss aus Kunststoff hergestellt sein. Die Farbe muss weiß mit schwarzen Buchstaben sein. Die Bescheinigung muss ein zusätzliches Sicherheitsmerkmal, wie ein Hologramm, UV-Druck oder ein geätztes Profil, enthalten. Sie muss in der (den) Sprache(n) oder in einer der Sprachen des Staates der zuständigen Behörde abgefasst werden, welche die Bescheinigung ausgestellt hat. Wenn keine dieser Sprachen Deutsch, Englisch oder Französisch ist, müssen der Titel der Bescheinigung, der Titel der Ziffer 8 und auf der Rückseite gegebenenfalls der Zusatz </w:t>
      </w:r>
      <w:r w:rsidR="00B66C0B" w:rsidRPr="00DD2A86">
        <w:rPr>
          <w:rFonts w:eastAsia="MS Mincho"/>
          <w:lang w:val="de-DE" w:eastAsia="fr-FR"/>
        </w:rPr>
        <w:t>„</w:t>
      </w:r>
      <w:r w:rsidRPr="00DD2A86">
        <w:rPr>
          <w:rFonts w:eastAsia="MS Mincho"/>
          <w:lang w:val="de-DE" w:eastAsia="fr-FR"/>
        </w:rPr>
        <w:t>Tankschiffe</w:t>
      </w:r>
      <w:r w:rsidR="00B66C0B" w:rsidRPr="00DD2A86">
        <w:rPr>
          <w:rFonts w:eastAsia="MS Mincho"/>
          <w:lang w:val="de-DE" w:eastAsia="fr-FR"/>
        </w:rPr>
        <w:t>“</w:t>
      </w:r>
      <w:r w:rsidRPr="00DD2A86">
        <w:rPr>
          <w:rFonts w:eastAsia="MS Mincho"/>
          <w:lang w:val="de-DE" w:eastAsia="fr-FR"/>
        </w:rPr>
        <w:t xml:space="preserve"> oder </w:t>
      </w:r>
      <w:r w:rsidR="00B66C0B" w:rsidRPr="00DD2A86">
        <w:rPr>
          <w:rFonts w:eastAsia="MS Mincho"/>
          <w:lang w:val="de-DE" w:eastAsia="fr-FR"/>
        </w:rPr>
        <w:t>„</w:t>
      </w:r>
      <w:r w:rsidRPr="00DD2A86">
        <w:rPr>
          <w:rFonts w:eastAsia="MS Mincho"/>
          <w:lang w:val="de-DE" w:eastAsia="fr-FR"/>
        </w:rPr>
        <w:t>Trockengüterschiffe</w:t>
      </w:r>
      <w:r w:rsidR="00B66C0B" w:rsidRPr="00DD2A86">
        <w:rPr>
          <w:rFonts w:eastAsia="MS Mincho"/>
          <w:lang w:val="de-DE" w:eastAsia="fr-FR"/>
        </w:rPr>
        <w:t>“</w:t>
      </w:r>
      <w:r w:rsidRPr="00DD2A86">
        <w:rPr>
          <w:rFonts w:eastAsia="MS Mincho"/>
          <w:lang w:val="de-DE" w:eastAsia="fr-FR"/>
        </w:rPr>
        <w:t xml:space="preserve"> außerdem in Deutsch, Englisch oder Französisch abgefasst werden.</w:t>
      </w:r>
    </w:p>
    <w:p w:rsidR="00E17BF4" w:rsidRPr="00DD2A86" w:rsidRDefault="00E17BF4" w:rsidP="00E17BF4">
      <w:pPr>
        <w:tabs>
          <w:tab w:val="left" w:pos="426"/>
        </w:tabs>
        <w:spacing w:before="120"/>
        <w:ind w:left="1134" w:right="1134"/>
        <w:jc w:val="both"/>
        <w:rPr>
          <w:rFonts w:eastAsia="MS Mincho"/>
          <w:lang w:val="de-DE" w:eastAsia="fr-FR"/>
        </w:rPr>
      </w:pPr>
      <w:r w:rsidRPr="00DD2A86">
        <w:rPr>
          <w:rFonts w:eastAsia="MS Mincho"/>
          <w:lang w:val="de-DE" w:eastAsia="fr-FR"/>
        </w:rPr>
        <w:t>8.2.2.8.3</w:t>
      </w:r>
      <w:r w:rsidRPr="00DD2A86">
        <w:rPr>
          <w:rFonts w:eastAsia="MS Mincho"/>
          <w:lang w:val="de-DE" w:eastAsia="fr-FR"/>
        </w:rPr>
        <w:tab/>
        <w:t>Die Bescheinigung ist zu erteilen</w:t>
      </w:r>
      <w:r w:rsidR="00B66C0B" w:rsidRPr="00DD2A86">
        <w:rPr>
          <w:rFonts w:eastAsia="MS Mincho"/>
          <w:lang w:val="de-DE" w:eastAsia="fr-FR"/>
        </w:rPr>
        <w:t>,</w:t>
      </w:r>
    </w:p>
    <w:p w:rsidR="00E17BF4" w:rsidRPr="00DD2A86" w:rsidRDefault="00E17BF4" w:rsidP="00E17BF4">
      <w:pPr>
        <w:tabs>
          <w:tab w:val="left" w:pos="426"/>
        </w:tabs>
        <w:ind w:left="2552" w:right="1134" w:hanging="284"/>
        <w:jc w:val="both"/>
        <w:rPr>
          <w:rFonts w:eastAsia="MS Mincho"/>
          <w:lang w:val="de-DE" w:eastAsia="fr-FR"/>
        </w:rPr>
      </w:pPr>
      <w:r w:rsidRPr="00DD2A86">
        <w:rPr>
          <w:rFonts w:eastAsia="MS Mincho"/>
          <w:lang w:val="de-DE" w:eastAsia="fr-FR"/>
        </w:rPr>
        <w:t xml:space="preserve">a) </w:t>
      </w:r>
      <w:r w:rsidRPr="00DD2A86">
        <w:rPr>
          <w:rFonts w:eastAsia="MS Mincho"/>
          <w:lang w:val="de-DE" w:eastAsia="fr-FR"/>
        </w:rPr>
        <w:tab/>
        <w:t>wenn die Voraussetzungen nach Unterabschnitt 8.2.1.2, Satz 2 und Unterabschnitt 8.2.1.3 erfüllt sind (Basiskurs), sie hat eine Gültigkeit von fünf Jahren ab dem Datum der bestandenen Prüfung nach dem Basiskurs;</w:t>
      </w:r>
    </w:p>
    <w:p w:rsidR="00E17BF4" w:rsidRPr="00DD2A86" w:rsidRDefault="00E17BF4" w:rsidP="00E17BF4">
      <w:pPr>
        <w:tabs>
          <w:tab w:val="left" w:pos="426"/>
        </w:tabs>
        <w:ind w:left="2552" w:right="1134" w:hanging="284"/>
        <w:jc w:val="both"/>
        <w:rPr>
          <w:rFonts w:eastAsia="MS Mincho"/>
          <w:lang w:val="de-DE" w:eastAsia="fr-FR"/>
        </w:rPr>
      </w:pPr>
      <w:r w:rsidRPr="00DD2A86">
        <w:rPr>
          <w:rFonts w:eastAsia="MS Mincho"/>
          <w:lang w:val="de-DE" w:eastAsia="fr-FR"/>
        </w:rPr>
        <w:t xml:space="preserve">b) </w:t>
      </w:r>
      <w:r w:rsidRPr="00DD2A86">
        <w:rPr>
          <w:rFonts w:eastAsia="MS Mincho"/>
          <w:lang w:val="de-DE" w:eastAsia="fr-FR"/>
        </w:rPr>
        <w:tab/>
        <w:t>wenn die Voraussetzungen nach Unterabschnitt 8.2.1.5 oder Unterabschnitt 8.2.1.7 erfüllt sind (Aufbaukurse „Gas“ oder „Chemie“); in diesem Fall wird eine neue Bescheinigung ausgestellt, die alle erworbenen Bescheinigungen über Basis- und Aufbaukurse beinhaltet. Die neu auszustellende Bescheinigung hat eine Gültigkeit von fünf Jahren ab dem Datum der bestandenen Prüfung nach dem Basiskurs.</w:t>
      </w:r>
    </w:p>
    <w:p w:rsidR="00E17BF4" w:rsidRPr="00DD2A86" w:rsidRDefault="00E17BF4" w:rsidP="00E17BF4">
      <w:pPr>
        <w:widowControl w:val="0"/>
        <w:suppressAutoHyphens w:val="0"/>
        <w:overflowPunct w:val="0"/>
        <w:autoSpaceDE w:val="0"/>
        <w:autoSpaceDN w:val="0"/>
        <w:adjustRightInd w:val="0"/>
        <w:spacing w:before="120"/>
        <w:ind w:left="1134"/>
        <w:jc w:val="both"/>
        <w:textAlignment w:val="baseline"/>
        <w:rPr>
          <w:rFonts w:eastAsia="MS Mincho"/>
          <w:lang w:val="de-DE" w:eastAsia="fr-FR"/>
        </w:rPr>
      </w:pPr>
      <w:r w:rsidRPr="00DD2A86">
        <w:rPr>
          <w:rFonts w:eastAsia="MS Mincho"/>
          <w:lang w:val="de-DE" w:eastAsia="fr-FR"/>
        </w:rPr>
        <w:t>8.2.2.8.4</w:t>
      </w:r>
      <w:r w:rsidRPr="00DD2A86">
        <w:rPr>
          <w:rFonts w:eastAsia="MS Mincho"/>
          <w:lang w:val="de-DE" w:eastAsia="fr-FR"/>
        </w:rPr>
        <w:tab/>
        <w:t>Die Bescheinigung ist zu erneuern</w:t>
      </w:r>
    </w:p>
    <w:p w:rsidR="00E17BF4" w:rsidRPr="00DD2A86" w:rsidRDefault="00E17BF4" w:rsidP="00E17BF4">
      <w:pPr>
        <w:tabs>
          <w:tab w:val="left" w:pos="426"/>
        </w:tabs>
        <w:ind w:left="2552" w:right="1134" w:hanging="284"/>
        <w:jc w:val="both"/>
        <w:rPr>
          <w:rFonts w:eastAsia="MS Mincho"/>
          <w:lang w:val="de-DE" w:eastAsia="fr-FR"/>
        </w:rPr>
      </w:pPr>
      <w:r w:rsidRPr="00DD2A86">
        <w:rPr>
          <w:rFonts w:eastAsia="MS Mincho"/>
          <w:lang w:val="de-DE" w:eastAsia="fr-FR"/>
        </w:rPr>
        <w:t>a)</w:t>
      </w:r>
      <w:r w:rsidRPr="00DD2A86">
        <w:rPr>
          <w:rFonts w:eastAsia="MS Mincho"/>
          <w:lang w:val="de-DE" w:eastAsia="fr-FR"/>
        </w:rPr>
        <w:tab/>
        <w:t xml:space="preserve">wenn der Nachweis nach Unterabschnitt 8.2.1.4 erbracht ist (Basiskurs); die neue Geltungsdauer beginnt mit dem Ablaufdatum der vorhergehenden Bescheinigung. Wenn der </w:t>
      </w:r>
      <w:r w:rsidR="00871C3E" w:rsidRPr="00DD2A86">
        <w:rPr>
          <w:rFonts w:eastAsia="MS Mincho"/>
          <w:lang w:val="de-DE" w:eastAsia="fr-FR"/>
        </w:rPr>
        <w:t xml:space="preserve">Test </w:t>
      </w:r>
      <w:r w:rsidRPr="00DD2A86">
        <w:rPr>
          <w:rFonts w:eastAsia="MS Mincho"/>
          <w:lang w:val="de-DE" w:eastAsia="fr-FR"/>
        </w:rPr>
        <w:t>mehr als ein Jahr vor Ablauf der Bescheinigung bestanden wurde, beginnt sie mit dem Datum der Teilnahmebescheinigung;</w:t>
      </w:r>
    </w:p>
    <w:p w:rsidR="00E17BF4" w:rsidRPr="00DD2A86" w:rsidRDefault="00E17BF4" w:rsidP="00E17BF4">
      <w:pPr>
        <w:tabs>
          <w:tab w:val="left" w:pos="426"/>
        </w:tabs>
        <w:ind w:left="2552" w:right="1134" w:hanging="284"/>
        <w:jc w:val="both"/>
        <w:rPr>
          <w:rFonts w:eastAsia="MS Mincho"/>
          <w:lang w:val="de-DE" w:eastAsia="fr-FR"/>
        </w:rPr>
      </w:pPr>
      <w:r w:rsidRPr="00DD2A86">
        <w:rPr>
          <w:rFonts w:eastAsia="MS Mincho"/>
          <w:lang w:val="de-DE" w:eastAsia="fr-FR"/>
        </w:rPr>
        <w:t>b)</w:t>
      </w:r>
      <w:r w:rsidRPr="00DD2A86">
        <w:rPr>
          <w:rFonts w:eastAsia="MS Mincho"/>
          <w:lang w:val="de-DE" w:eastAsia="fr-FR"/>
        </w:rPr>
        <w:tab/>
        <w:t xml:space="preserve">wenn die Nachweise nach den Unterabschnitten 8.2.1.6 und 8.2.1.8 erbracht sind (Aufbaukurse „Gas“ oder „Chemie“). In diesem Fall wird eine neue Bescheinigung ausgestellt, die alle Bescheinigungen über Basis- und Aufbaukurse beinhaltet. Die neu auszustellende Bescheinigung hat eine Gültigkeit von fünf Jahren ab dem Datum des erfolgreich durchlaufenen Wiederholungskurses zum Basiskurs. Wurde der Wiederholungskurs innerhalb des letzten Jahres vor Ablauf der Gültigkeit der Bescheinigung durchlaufen, beginnt die neue Geltungsdauer mit dem Ablaufdatum der </w:t>
      </w:r>
      <w:r w:rsidR="00871C3E" w:rsidRPr="00DD2A86">
        <w:rPr>
          <w:rFonts w:eastAsia="MS Mincho"/>
          <w:lang w:val="de-DE" w:eastAsia="fr-FR"/>
        </w:rPr>
        <w:t xml:space="preserve">vorherigen </w:t>
      </w:r>
      <w:r w:rsidRPr="00DD2A86">
        <w:rPr>
          <w:rFonts w:eastAsia="MS Mincho"/>
          <w:lang w:val="de-DE" w:eastAsia="fr-FR"/>
        </w:rPr>
        <w:t>Bescheinigung, in den übrigen Fällen mit dem Datum der Teilnahmebescheinigung.</w:t>
      </w:r>
    </w:p>
    <w:p w:rsidR="00E17BF4" w:rsidRPr="00DD2A86" w:rsidRDefault="00E17BF4" w:rsidP="00E17BF4">
      <w:pPr>
        <w:widowControl w:val="0"/>
        <w:suppressAutoHyphens w:val="0"/>
        <w:overflowPunct w:val="0"/>
        <w:autoSpaceDE w:val="0"/>
        <w:autoSpaceDN w:val="0"/>
        <w:adjustRightInd w:val="0"/>
        <w:ind w:left="2268" w:right="1134"/>
        <w:jc w:val="both"/>
        <w:textAlignment w:val="baseline"/>
        <w:rPr>
          <w:rFonts w:eastAsia="MS Mincho"/>
          <w:lang w:val="de-DE" w:eastAsia="fr-FR"/>
        </w:rPr>
      </w:pPr>
    </w:p>
    <w:p w:rsidR="00E17BF4" w:rsidRPr="00DD2A86" w:rsidRDefault="00E17BF4" w:rsidP="00E17BF4">
      <w:pPr>
        <w:widowControl w:val="0"/>
        <w:suppressAutoHyphens w:val="0"/>
        <w:overflowPunct w:val="0"/>
        <w:autoSpaceDE w:val="0"/>
        <w:autoSpaceDN w:val="0"/>
        <w:adjustRightInd w:val="0"/>
        <w:ind w:left="2268" w:right="1134" w:hanging="1134"/>
        <w:jc w:val="both"/>
        <w:textAlignment w:val="baseline"/>
        <w:rPr>
          <w:rFonts w:eastAsia="MS Mincho"/>
          <w:lang w:val="de-DE" w:eastAsia="fr-FR"/>
        </w:rPr>
      </w:pPr>
      <w:r w:rsidRPr="00DD2A86">
        <w:rPr>
          <w:rFonts w:eastAsia="MS Mincho"/>
          <w:lang w:val="de-DE" w:eastAsia="fr-FR"/>
        </w:rPr>
        <w:t>8.2.2.8.5</w:t>
      </w:r>
      <w:r w:rsidRPr="00DD2A86">
        <w:rPr>
          <w:rFonts w:eastAsia="MS Mincho"/>
          <w:lang w:val="de-DE" w:eastAsia="fr-FR"/>
        </w:rPr>
        <w:tab/>
        <w:t xml:space="preserve">Wurde für die Erneuerung der Bescheinigung der Wiederholungskurs nicht in vollem Umfang vor Ablauf der Gültigkeitsdauer der Bescheinigung mit Erfolg absolviert oder wurde die Arbeit von einem Jahr an Bord nicht innerhalb der letzten zwei Jahre vor Ablauf der Bescheinigung nachgewiesen, wird eine neue Bescheinigung erteilt, für die eine erneute </w:t>
      </w:r>
      <w:r w:rsidR="00871C3E" w:rsidRPr="00DD2A86">
        <w:rPr>
          <w:rFonts w:eastAsia="MS Mincho"/>
          <w:lang w:val="de-DE" w:eastAsia="fr-FR"/>
        </w:rPr>
        <w:t xml:space="preserve">Teilnahme an einer </w:t>
      </w:r>
      <w:r w:rsidRPr="00DD2A86">
        <w:rPr>
          <w:rFonts w:eastAsia="MS Mincho"/>
          <w:lang w:val="de-DE" w:eastAsia="fr-FR"/>
        </w:rPr>
        <w:t>erstmalige</w:t>
      </w:r>
      <w:r w:rsidR="00871C3E" w:rsidRPr="00DD2A86">
        <w:rPr>
          <w:rFonts w:eastAsia="MS Mincho"/>
          <w:lang w:val="de-DE" w:eastAsia="fr-FR"/>
        </w:rPr>
        <w:t>n</w:t>
      </w:r>
      <w:r w:rsidRPr="00DD2A86">
        <w:rPr>
          <w:rFonts w:eastAsia="MS Mincho"/>
          <w:lang w:val="de-DE" w:eastAsia="fr-FR"/>
        </w:rPr>
        <w:t xml:space="preserve"> Schulung und Ablegung einer Prüfung nach Unterabschnitt 8.2.2.7 erforderlich ist.</w:t>
      </w:r>
    </w:p>
    <w:p w:rsidR="00E17BF4" w:rsidRPr="00DD2A86" w:rsidRDefault="00E17BF4" w:rsidP="00E17BF4">
      <w:pPr>
        <w:widowControl w:val="0"/>
        <w:tabs>
          <w:tab w:val="left" w:pos="567"/>
        </w:tabs>
        <w:suppressAutoHyphens w:val="0"/>
        <w:overflowPunct w:val="0"/>
        <w:autoSpaceDE w:val="0"/>
        <w:autoSpaceDN w:val="0"/>
        <w:adjustRightInd w:val="0"/>
        <w:ind w:left="2268" w:right="992"/>
        <w:jc w:val="both"/>
        <w:textAlignment w:val="baseline"/>
        <w:rPr>
          <w:rFonts w:eastAsia="MS Mincho"/>
          <w:lang w:val="de-DE" w:eastAsia="fr-FR"/>
        </w:rPr>
      </w:pPr>
    </w:p>
    <w:p w:rsidR="00E17BF4" w:rsidRPr="00DD2A86" w:rsidRDefault="00E17BF4" w:rsidP="00E17BF4">
      <w:pPr>
        <w:widowControl w:val="0"/>
        <w:tabs>
          <w:tab w:val="left" w:pos="567"/>
        </w:tabs>
        <w:suppressAutoHyphens w:val="0"/>
        <w:overflowPunct w:val="0"/>
        <w:autoSpaceDE w:val="0"/>
        <w:autoSpaceDN w:val="0"/>
        <w:adjustRightInd w:val="0"/>
        <w:ind w:left="2268" w:right="992" w:hanging="1134"/>
        <w:jc w:val="both"/>
        <w:textAlignment w:val="baseline"/>
        <w:rPr>
          <w:rFonts w:eastAsia="MS Mincho"/>
          <w:lang w:val="de-DE" w:eastAsia="fr-FR"/>
        </w:rPr>
      </w:pPr>
      <w:r w:rsidRPr="00DD2A86">
        <w:rPr>
          <w:rFonts w:eastAsia="MS Mincho"/>
          <w:lang w:val="de-DE" w:eastAsia="fr-FR"/>
        </w:rPr>
        <w:t>8.2.2.8.6</w:t>
      </w:r>
      <w:r w:rsidRPr="00DD2A86">
        <w:rPr>
          <w:rFonts w:eastAsia="MS Mincho"/>
          <w:lang w:val="de-DE" w:eastAsia="fr-FR"/>
        </w:rPr>
        <w:tab/>
        <w:t>Wird eine neue Bescheinigung nach 8.2.2.8.3 b) ausgestellt oder eine Bescheinigung nach 8.2.2.8.4 erneuert, deren vorhergehende Bescheinigung von einer anderen Behörde oder einer von dieser Behörde anerkannten Stelle ausgestellt wurde, so ist die ausstellende Behörde oder die von dieser Behörde anerkannte Stelle, welche die vorhergehende Bescheinigung ausgestellt hat, unverzüglich zu informieren.</w:t>
      </w:r>
    </w:p>
    <w:p w:rsidR="00E17BF4" w:rsidRPr="00DD2A86" w:rsidRDefault="00E17BF4" w:rsidP="00E17BF4">
      <w:pPr>
        <w:widowControl w:val="0"/>
        <w:tabs>
          <w:tab w:val="left" w:pos="567"/>
        </w:tabs>
        <w:suppressAutoHyphens w:val="0"/>
        <w:overflowPunct w:val="0"/>
        <w:autoSpaceDE w:val="0"/>
        <w:autoSpaceDN w:val="0"/>
        <w:adjustRightInd w:val="0"/>
        <w:ind w:left="2268" w:right="992" w:hanging="1134"/>
        <w:jc w:val="both"/>
        <w:textAlignment w:val="baseline"/>
        <w:rPr>
          <w:rFonts w:eastAsia="MS Mincho"/>
          <w:lang w:val="de-DE" w:eastAsia="fr-FR"/>
        </w:rPr>
      </w:pPr>
    </w:p>
    <w:p w:rsidR="00E17BF4" w:rsidRPr="00DD2A86" w:rsidRDefault="00E17BF4" w:rsidP="00E17BF4">
      <w:pPr>
        <w:widowControl w:val="0"/>
        <w:tabs>
          <w:tab w:val="left" w:pos="567"/>
        </w:tabs>
        <w:suppressAutoHyphens w:val="0"/>
        <w:overflowPunct w:val="0"/>
        <w:autoSpaceDE w:val="0"/>
        <w:autoSpaceDN w:val="0"/>
        <w:adjustRightInd w:val="0"/>
        <w:ind w:left="2268" w:right="992" w:hanging="1134"/>
        <w:jc w:val="both"/>
        <w:textAlignment w:val="baseline"/>
        <w:rPr>
          <w:rFonts w:eastAsia="MS Mincho"/>
          <w:lang w:val="de-DE" w:eastAsia="fr-FR"/>
        </w:rPr>
      </w:pPr>
      <w:r w:rsidRPr="00DD2A86">
        <w:rPr>
          <w:rFonts w:eastAsia="MS Mincho"/>
          <w:lang w:val="de-DE" w:eastAsia="fr-FR"/>
        </w:rPr>
        <w:t>8.2.2.8.7</w:t>
      </w:r>
      <w:r w:rsidRPr="00DD2A86">
        <w:rPr>
          <w:rFonts w:eastAsia="MS Mincho"/>
          <w:lang w:val="de-DE" w:eastAsia="fr-FR"/>
        </w:rPr>
        <w:tab/>
        <w:t>Die Vertragsparteien müssen dem Sekretariat der UNECE ein Muster jeder nationalen Bescheinigung, die in Übereinstimmung mit diesem Abschnitt zur Ausstellung vorgesehen ist, sowie Muster der noch gültigen Bescheinigungen zur Verfügung stellen. Die Vertragsparteien dürfen zusätzlich erläuternde Bemerkungen einreichen. Das Sekretariat der UNECE muss die erhaltenen Informationen allen Vertragsparteien zugänglich machen.“.</w:t>
      </w:r>
    </w:p>
    <w:p w:rsidR="00F550F0" w:rsidRPr="00DD2A86" w:rsidRDefault="00F550F0">
      <w:pPr>
        <w:suppressAutoHyphens w:val="0"/>
        <w:spacing w:line="240" w:lineRule="auto"/>
        <w:rPr>
          <w:b/>
          <w:sz w:val="24"/>
          <w:lang w:val="de-DE"/>
        </w:rPr>
      </w:pPr>
    </w:p>
    <w:p w:rsidR="008649B1" w:rsidRPr="00DD2A86" w:rsidRDefault="008649B1" w:rsidP="00B61A90">
      <w:pPr>
        <w:keepNext/>
        <w:keepLines/>
        <w:tabs>
          <w:tab w:val="right" w:pos="851"/>
        </w:tabs>
        <w:spacing w:before="360" w:after="240" w:line="270" w:lineRule="exact"/>
        <w:ind w:left="1134" w:right="521" w:hanging="1134"/>
        <w:rPr>
          <w:b/>
          <w:sz w:val="24"/>
          <w:lang w:val="de-DE"/>
        </w:rPr>
      </w:pPr>
      <w:r w:rsidRPr="00DD2A86">
        <w:rPr>
          <w:b/>
          <w:sz w:val="24"/>
          <w:lang w:val="de-DE"/>
        </w:rPr>
        <w:t>Kapitel 8.3</w:t>
      </w:r>
    </w:p>
    <w:p w:rsidR="00AE3993" w:rsidRPr="00DD2A86" w:rsidRDefault="00AE3993" w:rsidP="00F550F0">
      <w:pPr>
        <w:spacing w:before="240" w:line="240" w:lineRule="auto"/>
        <w:ind w:left="2268" w:right="1134" w:hanging="1134"/>
        <w:jc w:val="both"/>
        <w:rPr>
          <w:bCs/>
          <w:lang w:val="de-DE" w:eastAsia="fr-FR"/>
        </w:rPr>
      </w:pPr>
      <w:r w:rsidRPr="00DD2A86">
        <w:rPr>
          <w:lang w:val="de-DE" w:eastAsia="fr-FR"/>
        </w:rPr>
        <w:t>8.</w:t>
      </w:r>
      <w:r w:rsidR="00C2134E" w:rsidRPr="00DD2A86">
        <w:rPr>
          <w:lang w:val="de-DE" w:eastAsia="fr-FR"/>
        </w:rPr>
        <w:t>3.2</w:t>
      </w:r>
      <w:r w:rsidRPr="00DD2A86">
        <w:rPr>
          <w:lang w:val="de-DE" w:eastAsia="fr-FR"/>
        </w:rPr>
        <w:tab/>
      </w:r>
      <w:r w:rsidRPr="00DD2A86">
        <w:rPr>
          <w:bCs/>
          <w:lang w:val="de-DE" w:eastAsia="fr-FR"/>
        </w:rPr>
        <w:t>Erhält folgenden Wortlaut:</w:t>
      </w:r>
    </w:p>
    <w:p w:rsidR="00AE3993" w:rsidRPr="00DD2A86" w:rsidRDefault="00AE3993" w:rsidP="00F550F0">
      <w:pPr>
        <w:spacing w:before="120" w:line="240" w:lineRule="auto"/>
        <w:ind w:left="2268" w:right="1134"/>
        <w:jc w:val="both"/>
        <w:rPr>
          <w:rFonts w:eastAsia="Calibri"/>
          <w:b/>
          <w:lang w:val="de-DE"/>
        </w:rPr>
      </w:pPr>
      <w:r w:rsidRPr="00DD2A86">
        <w:rPr>
          <w:rFonts w:eastAsia="Calibri"/>
          <w:b/>
          <w:lang w:val="de-DE"/>
        </w:rPr>
        <w:t>„</w:t>
      </w:r>
      <w:r w:rsidR="00833EAB" w:rsidRPr="00DD2A86">
        <w:rPr>
          <w:rFonts w:eastAsia="Calibri"/>
          <w:b/>
          <w:lang w:val="de-DE"/>
        </w:rPr>
        <w:t>8.3.2</w:t>
      </w:r>
      <w:r w:rsidR="00833EAB" w:rsidRPr="00DD2A86">
        <w:rPr>
          <w:rFonts w:eastAsia="Calibri"/>
          <w:b/>
          <w:lang w:val="de-DE"/>
        </w:rPr>
        <w:tab/>
      </w:r>
      <w:r w:rsidR="00833EAB" w:rsidRPr="00DD2A86">
        <w:rPr>
          <w:rFonts w:eastAsia="Calibri"/>
          <w:b/>
          <w:lang w:val="de-DE"/>
        </w:rPr>
        <w:tab/>
      </w:r>
      <w:r w:rsidRPr="00DD2A86">
        <w:rPr>
          <w:rFonts w:eastAsia="Calibri"/>
          <w:b/>
          <w:lang w:val="de-DE"/>
        </w:rPr>
        <w:t>Tragbare Leuchten</w:t>
      </w:r>
    </w:p>
    <w:p w:rsidR="00AE3993" w:rsidRPr="00DD2A86" w:rsidRDefault="00AE3993" w:rsidP="00F550F0">
      <w:pPr>
        <w:spacing w:before="120" w:line="240" w:lineRule="auto"/>
        <w:ind w:left="2268" w:right="1134"/>
        <w:jc w:val="both"/>
        <w:rPr>
          <w:rFonts w:eastAsia="Calibri"/>
          <w:lang w:val="de-DE"/>
        </w:rPr>
      </w:pPr>
      <w:r w:rsidRPr="00DD2A86">
        <w:rPr>
          <w:rFonts w:eastAsia="Calibri"/>
          <w:lang w:val="de-DE"/>
        </w:rPr>
        <w:t>An Bord dürfen in explosionsgefährdeten Bereichen und an Deck nur tragbare Leuchten mit eigener Stromquelle verwendet werden.</w:t>
      </w:r>
    </w:p>
    <w:p w:rsidR="001B4877" w:rsidRPr="00DD2A86" w:rsidRDefault="00AE3993" w:rsidP="00F550F0">
      <w:pPr>
        <w:spacing w:before="120" w:line="240" w:lineRule="auto"/>
        <w:ind w:left="2268" w:right="1134"/>
        <w:jc w:val="both"/>
        <w:rPr>
          <w:rFonts w:eastAsia="Calibri"/>
          <w:lang w:val="de-DE"/>
        </w:rPr>
      </w:pPr>
      <w:r w:rsidRPr="00DD2A86">
        <w:rPr>
          <w:rFonts w:eastAsia="Calibri"/>
          <w:lang w:val="de-DE"/>
        </w:rPr>
        <w:t>In explosionsgefährdeten Bereichen müssen sie mindestens die Anforderungen für den Einsatz in der jeweiligen Zone erfüllen.“.</w:t>
      </w:r>
    </w:p>
    <w:p w:rsidR="00C2134E" w:rsidRPr="00DD2A86" w:rsidRDefault="00C2134E" w:rsidP="00F550F0">
      <w:pPr>
        <w:spacing w:before="240" w:line="240" w:lineRule="auto"/>
        <w:ind w:left="2268" w:right="1134" w:hanging="1134"/>
        <w:jc w:val="both"/>
        <w:rPr>
          <w:bCs/>
          <w:lang w:val="de-DE" w:eastAsia="fr-FR"/>
        </w:rPr>
      </w:pPr>
      <w:r w:rsidRPr="00DD2A86">
        <w:rPr>
          <w:lang w:val="de-DE" w:eastAsia="fr-FR"/>
        </w:rPr>
        <w:t>8.3.4</w:t>
      </w:r>
      <w:r w:rsidRPr="00DD2A86">
        <w:rPr>
          <w:lang w:val="de-DE" w:eastAsia="fr-FR"/>
        </w:rPr>
        <w:tab/>
      </w:r>
      <w:r w:rsidRPr="00DD2A86">
        <w:rPr>
          <w:bCs/>
          <w:lang w:val="de-DE" w:eastAsia="fr-FR"/>
        </w:rPr>
        <w:t>Erhält folgenden Wortlaut:</w:t>
      </w:r>
    </w:p>
    <w:p w:rsidR="00C2134E" w:rsidRPr="00DD2A86" w:rsidRDefault="00C2134E" w:rsidP="00F550F0">
      <w:pPr>
        <w:spacing w:before="120" w:line="240" w:lineRule="auto"/>
        <w:ind w:left="2268" w:right="1134"/>
        <w:jc w:val="both"/>
        <w:rPr>
          <w:rFonts w:eastAsia="Calibri"/>
          <w:b/>
          <w:bCs/>
          <w:lang w:val="de-DE"/>
        </w:rPr>
      </w:pPr>
      <w:r w:rsidRPr="00DD2A86">
        <w:rPr>
          <w:rFonts w:eastAsia="Calibri"/>
          <w:b/>
          <w:bCs/>
          <w:lang w:val="de-DE"/>
        </w:rPr>
        <w:t>„</w:t>
      </w:r>
      <w:r w:rsidR="00833EAB" w:rsidRPr="00DD2A86">
        <w:rPr>
          <w:rFonts w:eastAsia="Calibri"/>
          <w:b/>
          <w:bCs/>
          <w:lang w:val="de-DE"/>
        </w:rPr>
        <w:t>8.3.4</w:t>
      </w:r>
      <w:r w:rsidR="00833EAB" w:rsidRPr="00DD2A86">
        <w:rPr>
          <w:rFonts w:eastAsia="Calibri"/>
          <w:b/>
          <w:bCs/>
          <w:lang w:val="de-DE"/>
        </w:rPr>
        <w:tab/>
      </w:r>
      <w:r w:rsidR="00833EAB" w:rsidRPr="00DD2A86">
        <w:rPr>
          <w:rFonts w:eastAsia="Calibri"/>
          <w:b/>
          <w:bCs/>
          <w:lang w:val="de-DE"/>
        </w:rPr>
        <w:tab/>
      </w:r>
      <w:r w:rsidRPr="00DD2A86">
        <w:rPr>
          <w:rFonts w:eastAsia="Calibri"/>
          <w:b/>
          <w:bCs/>
          <w:lang w:val="de-DE"/>
        </w:rPr>
        <w:t>Rauchverbot, Verbot von Feuer und offenem Licht</w:t>
      </w:r>
    </w:p>
    <w:p w:rsidR="00C2134E" w:rsidRPr="00DD2A86" w:rsidRDefault="00C2134E" w:rsidP="00F550F0">
      <w:pPr>
        <w:spacing w:before="120" w:line="240" w:lineRule="auto"/>
        <w:ind w:left="2268" w:right="1134"/>
        <w:jc w:val="both"/>
        <w:rPr>
          <w:rFonts w:eastAsia="Calibri"/>
          <w:lang w:val="de-DE"/>
        </w:rPr>
      </w:pPr>
      <w:r w:rsidRPr="00DD2A86">
        <w:rPr>
          <w:rFonts w:eastAsia="Calibri"/>
          <w:lang w:val="de-DE"/>
        </w:rPr>
        <w:t xml:space="preserve">Rauchen, einschließlich elektronischer Zigaretten und ähnlicher Geräte, Feuer und offenes Licht sind an Bord verboten. Jedoch sind die Vorschriften der Absätze </w:t>
      </w:r>
      <w:r w:rsidR="00BB600A" w:rsidRPr="00DD2A86">
        <w:rPr>
          <w:rFonts w:eastAsia="Calibri"/>
          <w:lang w:val="de-DE"/>
        </w:rPr>
        <w:t>7.1.3.41.1</w:t>
      </w:r>
      <w:r w:rsidRPr="00DD2A86">
        <w:rPr>
          <w:rFonts w:eastAsia="Calibri"/>
          <w:lang w:val="de-DE"/>
        </w:rPr>
        <w:t xml:space="preserve"> und </w:t>
      </w:r>
      <w:r w:rsidR="00BB600A" w:rsidRPr="00DD2A86">
        <w:rPr>
          <w:rFonts w:eastAsia="Calibri"/>
          <w:lang w:val="de-DE"/>
        </w:rPr>
        <w:t>7.2.3.41.1</w:t>
      </w:r>
      <w:r w:rsidRPr="00DD2A86">
        <w:rPr>
          <w:rFonts w:eastAsia="Calibri"/>
          <w:lang w:val="de-DE"/>
        </w:rPr>
        <w:t xml:space="preserve"> anwendbar.</w:t>
      </w:r>
    </w:p>
    <w:p w:rsidR="00C2134E" w:rsidRPr="00DD2A86" w:rsidRDefault="00C2134E" w:rsidP="00F550F0">
      <w:pPr>
        <w:spacing w:before="120" w:line="240" w:lineRule="auto"/>
        <w:ind w:left="2268" w:right="1134"/>
        <w:jc w:val="both"/>
        <w:rPr>
          <w:rFonts w:eastAsia="Calibri"/>
          <w:lang w:val="de-DE"/>
        </w:rPr>
      </w:pPr>
      <w:r w:rsidRPr="00DD2A86">
        <w:rPr>
          <w:rFonts w:eastAsia="Calibri"/>
          <w:lang w:val="de-DE"/>
        </w:rPr>
        <w:t>Dieses Verbot ist mittels Hinweistafeln an geeigneten Stellen anzuschlagen.</w:t>
      </w:r>
    </w:p>
    <w:p w:rsidR="00C2134E" w:rsidRPr="00DD2A86" w:rsidRDefault="00C2134E" w:rsidP="00F550F0">
      <w:pPr>
        <w:spacing w:before="120" w:line="240" w:lineRule="auto"/>
        <w:ind w:left="2268" w:right="1134"/>
        <w:jc w:val="both"/>
        <w:rPr>
          <w:rFonts w:eastAsia="Calibri"/>
          <w:lang w:val="de-DE"/>
        </w:rPr>
      </w:pPr>
      <w:r w:rsidRPr="00DD2A86">
        <w:rPr>
          <w:rFonts w:eastAsia="Calibri"/>
          <w:lang w:val="de-DE"/>
        </w:rPr>
        <w:t xml:space="preserve">Das </w:t>
      </w:r>
      <w:r w:rsidR="002C65F3" w:rsidRPr="00DD2A86">
        <w:rPr>
          <w:rFonts w:eastAsia="Calibri"/>
          <w:lang w:val="de-DE"/>
        </w:rPr>
        <w:t xml:space="preserve">Verbot </w:t>
      </w:r>
      <w:r w:rsidRPr="00DD2A86">
        <w:rPr>
          <w:rFonts w:eastAsia="Calibri"/>
          <w:lang w:val="de-DE"/>
        </w:rPr>
        <w:t>gilt nicht in Wohnungen und Steuerhaus, wenn Fenster, Türen, Oberlichter und Luken geschlossen sind</w:t>
      </w:r>
      <w:r w:rsidRPr="00DD2A86">
        <w:rPr>
          <w:rFonts w:eastAsia="Calibri"/>
          <w:bCs/>
          <w:lang w:val="de-DE"/>
        </w:rPr>
        <w:t xml:space="preserve"> oder das Lüftungssystem so eingestellt wird, dass ein Überdruck von 0,1 kPa gewährleistet ist.“.</w:t>
      </w:r>
    </w:p>
    <w:p w:rsidR="0025334C" w:rsidRPr="00DD2A86" w:rsidRDefault="0025334C" w:rsidP="00F550F0">
      <w:pPr>
        <w:spacing w:before="240" w:line="240" w:lineRule="auto"/>
        <w:ind w:left="2268" w:right="1134" w:hanging="1134"/>
        <w:jc w:val="both"/>
        <w:rPr>
          <w:bCs/>
          <w:lang w:val="de-DE" w:eastAsia="fr-FR"/>
        </w:rPr>
      </w:pPr>
      <w:r w:rsidRPr="00DD2A86">
        <w:rPr>
          <w:lang w:val="de-DE" w:eastAsia="fr-FR"/>
        </w:rPr>
        <w:t>8.</w:t>
      </w:r>
      <w:r w:rsidR="003267B7" w:rsidRPr="00DD2A86">
        <w:rPr>
          <w:lang w:val="de-DE" w:eastAsia="fr-FR"/>
        </w:rPr>
        <w:t>3.5</w:t>
      </w:r>
      <w:r w:rsidRPr="00DD2A86">
        <w:rPr>
          <w:lang w:val="de-DE" w:eastAsia="fr-FR"/>
        </w:rPr>
        <w:tab/>
      </w:r>
      <w:r w:rsidRPr="00DD2A86">
        <w:rPr>
          <w:bCs/>
          <w:lang w:val="de-DE" w:eastAsia="fr-FR"/>
        </w:rPr>
        <w:t>Erhält folgenden Wortlaut:</w:t>
      </w:r>
    </w:p>
    <w:p w:rsidR="0025334C" w:rsidRPr="00DD2A86" w:rsidRDefault="0025334C" w:rsidP="00F550F0">
      <w:pPr>
        <w:spacing w:before="120" w:line="240" w:lineRule="auto"/>
        <w:ind w:left="2268" w:right="1134"/>
        <w:jc w:val="both"/>
        <w:rPr>
          <w:rFonts w:eastAsia="Calibri"/>
          <w:b/>
          <w:lang w:val="de-DE"/>
        </w:rPr>
      </w:pPr>
      <w:r w:rsidRPr="00DD2A86">
        <w:rPr>
          <w:rFonts w:eastAsia="Calibri"/>
          <w:b/>
          <w:lang w:val="de-DE"/>
        </w:rPr>
        <w:t>„</w:t>
      </w:r>
      <w:r w:rsidR="00833EAB" w:rsidRPr="00DD2A86">
        <w:rPr>
          <w:rFonts w:eastAsia="Calibri"/>
          <w:b/>
          <w:lang w:val="de-DE"/>
        </w:rPr>
        <w:t>8.3.5</w:t>
      </w:r>
      <w:r w:rsidR="00833EAB" w:rsidRPr="00DD2A86">
        <w:rPr>
          <w:rFonts w:eastAsia="Calibri"/>
          <w:b/>
          <w:lang w:val="de-DE"/>
        </w:rPr>
        <w:tab/>
      </w:r>
      <w:r w:rsidR="00833EAB" w:rsidRPr="00DD2A86">
        <w:rPr>
          <w:rFonts w:eastAsia="Calibri"/>
          <w:b/>
          <w:lang w:val="de-DE"/>
        </w:rPr>
        <w:tab/>
      </w:r>
      <w:r w:rsidRPr="00DD2A86">
        <w:rPr>
          <w:rFonts w:eastAsia="Calibri"/>
          <w:b/>
          <w:lang w:val="de-DE"/>
        </w:rPr>
        <w:t>Arbeiten an Bord</w:t>
      </w:r>
    </w:p>
    <w:p w:rsidR="0025334C" w:rsidRPr="00DD2A86" w:rsidRDefault="0025334C" w:rsidP="00F550F0">
      <w:pPr>
        <w:spacing w:before="60" w:line="240" w:lineRule="auto"/>
        <w:ind w:left="2268" w:right="1134"/>
        <w:jc w:val="both"/>
        <w:rPr>
          <w:rFonts w:eastAsia="Calibri"/>
          <w:lang w:val="de-DE"/>
        </w:rPr>
      </w:pPr>
      <w:r w:rsidRPr="00DD2A86">
        <w:rPr>
          <w:rFonts w:eastAsia="Calibri"/>
          <w:lang w:val="de-DE"/>
        </w:rPr>
        <w:t xml:space="preserve">Es ist verboten, an Bord </w:t>
      </w:r>
      <w:r w:rsidRPr="00DD2A86">
        <w:rPr>
          <w:rFonts w:eastAsia="Calibri"/>
          <w:bCs/>
          <w:lang w:val="de-DE"/>
        </w:rPr>
        <w:t>Arbeiten</w:t>
      </w:r>
      <w:r w:rsidRPr="00DD2A86">
        <w:rPr>
          <w:rFonts w:eastAsia="Calibri"/>
          <w:lang w:val="de-DE"/>
        </w:rPr>
        <w:t xml:space="preserve"> durchzuführen, die die Verwendung von Feuer oder elekt</w:t>
      </w:r>
      <w:r w:rsidRPr="00DD2A86">
        <w:rPr>
          <w:rFonts w:eastAsia="Calibri"/>
          <w:lang w:val="de-DE"/>
        </w:rPr>
        <w:softHyphen/>
        <w:t>rischem Strom erfordern oder bei deren Ausführung Funken entstehen können.</w:t>
      </w:r>
    </w:p>
    <w:p w:rsidR="0025334C" w:rsidRPr="00DD2A86" w:rsidRDefault="0025334C" w:rsidP="00F550F0">
      <w:pPr>
        <w:spacing w:before="60" w:line="240" w:lineRule="auto"/>
        <w:ind w:left="2268" w:right="1134"/>
        <w:jc w:val="both"/>
        <w:rPr>
          <w:rFonts w:eastAsia="Calibri"/>
          <w:lang w:val="de-DE"/>
        </w:rPr>
      </w:pPr>
      <w:r w:rsidRPr="00DD2A86">
        <w:rPr>
          <w:rFonts w:eastAsia="Calibri"/>
          <w:lang w:val="de-DE"/>
        </w:rPr>
        <w:t>Dies gilt nicht</w:t>
      </w:r>
    </w:p>
    <w:p w:rsidR="0025334C" w:rsidRPr="00DD2A86" w:rsidRDefault="004D31DF" w:rsidP="00F550F0">
      <w:pPr>
        <w:spacing w:before="60" w:line="240" w:lineRule="auto"/>
        <w:ind w:left="2552" w:right="1134" w:hanging="284"/>
        <w:jc w:val="both"/>
        <w:rPr>
          <w:rFonts w:eastAsia="Calibri"/>
          <w:lang w:val="de-DE"/>
        </w:rPr>
      </w:pPr>
      <w:r w:rsidRPr="00DD2A86">
        <w:rPr>
          <w:rFonts w:eastAsia="Calibri"/>
          <w:lang w:val="de-DE"/>
        </w:rPr>
        <w:t>-</w:t>
      </w:r>
      <w:r w:rsidRPr="00DD2A86">
        <w:rPr>
          <w:rFonts w:eastAsia="Calibri"/>
          <w:lang w:val="de-DE"/>
        </w:rPr>
        <w:tab/>
        <w:t>für Festmacharbeiten,</w:t>
      </w:r>
    </w:p>
    <w:p w:rsidR="0025334C" w:rsidRPr="00DD2A86" w:rsidRDefault="0025334C" w:rsidP="00F550F0">
      <w:pPr>
        <w:spacing w:before="60" w:line="240" w:lineRule="auto"/>
        <w:ind w:left="2552" w:right="1134" w:hanging="284"/>
        <w:jc w:val="both"/>
        <w:rPr>
          <w:rFonts w:eastAsia="Calibri"/>
          <w:lang w:val="de-DE"/>
        </w:rPr>
      </w:pPr>
      <w:r w:rsidRPr="00DD2A86">
        <w:rPr>
          <w:rFonts w:eastAsia="Calibri"/>
          <w:lang w:val="de-DE"/>
        </w:rPr>
        <w:t>-</w:t>
      </w:r>
      <w:r w:rsidRPr="00DD2A86">
        <w:rPr>
          <w:rFonts w:eastAsia="Calibri"/>
          <w:lang w:val="de-DE"/>
        </w:rPr>
        <w:tab/>
        <w:t>in Betriebsräumen außerhalb des geschützten Bereichs oder des Bereichs der Ladung, wenn deren Türen und Öffnungen für die Dauer der Arbeiten geschlossen sind und das Schiff nicht belad</w:t>
      </w:r>
      <w:r w:rsidR="002C0B79" w:rsidRPr="00DD2A86">
        <w:rPr>
          <w:rFonts w:eastAsia="Calibri"/>
          <w:lang w:val="de-DE"/>
        </w:rPr>
        <w:t>en, gelöscht oder entgast wird,</w:t>
      </w:r>
      <w:r w:rsidR="00D53B5E" w:rsidRPr="00DD2A86">
        <w:rPr>
          <w:rFonts w:eastAsia="Calibri"/>
          <w:lang w:val="de-DE"/>
        </w:rPr>
        <w:t xml:space="preserve"> oder</w:t>
      </w:r>
    </w:p>
    <w:p w:rsidR="0025334C" w:rsidRPr="00DD2A86" w:rsidRDefault="0025334C" w:rsidP="00F550F0">
      <w:pPr>
        <w:spacing w:before="60" w:line="240" w:lineRule="auto"/>
        <w:ind w:left="2552" w:right="1134" w:hanging="284"/>
        <w:jc w:val="both"/>
        <w:rPr>
          <w:rFonts w:eastAsia="Calibri"/>
          <w:lang w:val="de-DE"/>
        </w:rPr>
      </w:pPr>
      <w:r w:rsidRPr="00DD2A86">
        <w:rPr>
          <w:rFonts w:eastAsia="Calibri"/>
          <w:lang w:val="de-DE"/>
        </w:rPr>
        <w:t xml:space="preserve">- </w:t>
      </w:r>
      <w:r w:rsidRPr="00DD2A86">
        <w:rPr>
          <w:rFonts w:eastAsia="Calibri"/>
          <w:lang w:val="de-DE"/>
        </w:rPr>
        <w:tab/>
        <w:t xml:space="preserve">wenn sich das Schiff nicht in einer oder unmittelbar angrenzend an eine landseitig ausgewiesene Zone aufhält und bei Tankschiffen eine Gasfreiheitsbescheinigung nach Absatz 7.2.3.7.6 für das Schiff </w:t>
      </w:r>
      <w:r w:rsidR="00350629" w:rsidRPr="00DD2A86">
        <w:rPr>
          <w:rFonts w:eastAsia="Calibri"/>
          <w:lang w:val="de-DE" w:eastAsia="fr-FR"/>
        </w:rPr>
        <w:t xml:space="preserve">oder eine Genehmigung der zuständigen Behörde </w:t>
      </w:r>
      <w:r w:rsidRPr="00DD2A86">
        <w:rPr>
          <w:rFonts w:eastAsia="Calibri"/>
          <w:lang w:val="de-DE"/>
        </w:rPr>
        <w:t>vorliegt,</w:t>
      </w:r>
      <w:r w:rsidR="00BC5C59" w:rsidRPr="00DD2A86">
        <w:rPr>
          <w:rFonts w:eastAsia="Calibri"/>
          <w:lang w:val="de-DE"/>
        </w:rPr>
        <w:t xml:space="preserve"> </w:t>
      </w:r>
      <w:r w:rsidRPr="00DD2A86">
        <w:rPr>
          <w:rFonts w:eastAsia="Calibri"/>
          <w:lang w:val="de-DE"/>
        </w:rPr>
        <w:t>bzw. bei Trockengüterschiffen eine Gasfreiheitsbescheinigung für den geschützten Bereich</w:t>
      </w:r>
      <w:r w:rsidR="00BC5C59" w:rsidRPr="00DD2A86">
        <w:rPr>
          <w:rFonts w:eastAsia="Calibri"/>
          <w:lang w:val="de-DE"/>
        </w:rPr>
        <w:t xml:space="preserve"> </w:t>
      </w:r>
      <w:r w:rsidRPr="00DD2A86">
        <w:rPr>
          <w:rFonts w:eastAsia="Calibri"/>
          <w:lang w:val="de-DE"/>
        </w:rPr>
        <w:t>oder eine Genehmigung der zuständigen Behörde vorliegt.</w:t>
      </w:r>
    </w:p>
    <w:p w:rsidR="007C000A" w:rsidRPr="00DD2A86" w:rsidRDefault="007C000A">
      <w:pPr>
        <w:suppressAutoHyphens w:val="0"/>
        <w:spacing w:line="240" w:lineRule="auto"/>
        <w:rPr>
          <w:rFonts w:eastAsia="Calibri"/>
          <w:lang w:val="de-DE"/>
        </w:rPr>
      </w:pPr>
      <w:r w:rsidRPr="00DD2A86">
        <w:rPr>
          <w:rFonts w:eastAsia="Calibri"/>
          <w:lang w:val="de-DE"/>
        </w:rPr>
        <w:br w:type="page"/>
      </w:r>
    </w:p>
    <w:p w:rsidR="00226A57" w:rsidRPr="00DD2A86" w:rsidRDefault="0025334C" w:rsidP="00F550F0">
      <w:pPr>
        <w:spacing w:before="60" w:line="240" w:lineRule="auto"/>
        <w:ind w:left="2268" w:right="1134"/>
        <w:jc w:val="both"/>
        <w:rPr>
          <w:rFonts w:eastAsia="Calibri"/>
          <w:lang w:val="de-DE"/>
        </w:rPr>
      </w:pPr>
      <w:r w:rsidRPr="00DD2A86">
        <w:rPr>
          <w:rFonts w:eastAsia="Calibri"/>
          <w:lang w:val="de-DE"/>
        </w:rPr>
        <w:t>Die Verwendung von funkenarmen Werkzeug (Schraubendrehern und Schraubenschlüsseln aus Chrom-Vanadium-Stahl oder hinsichtlich Funkenbildung gleichwertigen Materialien) sowie Geräten, die mindestens für den Betrieb in der jeweilige Zone geeignet sind, ist erlaubt.</w:t>
      </w:r>
    </w:p>
    <w:p w:rsidR="00EB4BAA" w:rsidRPr="00DD2A86" w:rsidRDefault="00EB4BAA" w:rsidP="00F04668">
      <w:pPr>
        <w:kinsoku w:val="0"/>
        <w:overflowPunct w:val="0"/>
        <w:autoSpaceDE w:val="0"/>
        <w:autoSpaceDN w:val="0"/>
        <w:adjustRightInd w:val="0"/>
        <w:snapToGrid w:val="0"/>
        <w:spacing w:before="120" w:after="120"/>
        <w:ind w:left="2835" w:right="1134" w:hanging="567"/>
        <w:jc w:val="both"/>
        <w:rPr>
          <w:rFonts w:eastAsiaTheme="minorHAnsi"/>
          <w:lang w:val="de-DE"/>
        </w:rPr>
      </w:pPr>
      <w:r w:rsidRPr="00DD2A86">
        <w:rPr>
          <w:rFonts w:eastAsiaTheme="minorHAnsi"/>
          <w:b/>
          <w:lang w:val="de-DE"/>
        </w:rPr>
        <w:t>Bem</w:t>
      </w:r>
      <w:r w:rsidRPr="00DD2A86">
        <w:rPr>
          <w:rFonts w:eastAsiaTheme="minorHAnsi"/>
          <w:lang w:val="de-DE"/>
        </w:rPr>
        <w:t>.</w:t>
      </w:r>
      <w:r w:rsidRPr="00DD2A86">
        <w:rPr>
          <w:rFonts w:eastAsiaTheme="minorHAnsi"/>
          <w:lang w:val="de-DE"/>
        </w:rPr>
        <w:tab/>
        <w:t>Daneben sind auch alle anderen anwendbaren Vorschriften der Arbeits- und Betriebssicherheit zu beachten.“.</w:t>
      </w:r>
    </w:p>
    <w:p w:rsidR="00D34B0A" w:rsidRPr="00DD2A86" w:rsidRDefault="00D34B0A" w:rsidP="00B61A90">
      <w:pPr>
        <w:keepNext/>
        <w:keepLines/>
        <w:tabs>
          <w:tab w:val="right" w:pos="851"/>
        </w:tabs>
        <w:spacing w:before="360" w:after="240" w:line="270" w:lineRule="exact"/>
        <w:ind w:left="1134" w:right="521" w:hanging="1134"/>
        <w:rPr>
          <w:b/>
          <w:sz w:val="24"/>
          <w:lang w:val="de-DE"/>
        </w:rPr>
      </w:pPr>
    </w:p>
    <w:p w:rsidR="008649B1" w:rsidRPr="00DD2A86" w:rsidRDefault="008649B1" w:rsidP="00B61A90">
      <w:pPr>
        <w:keepNext/>
        <w:keepLines/>
        <w:tabs>
          <w:tab w:val="right" w:pos="851"/>
        </w:tabs>
        <w:spacing w:before="360" w:after="240" w:line="270" w:lineRule="exact"/>
        <w:ind w:left="1134" w:right="521" w:hanging="1134"/>
        <w:rPr>
          <w:b/>
          <w:sz w:val="24"/>
          <w:lang w:val="de-DE"/>
        </w:rPr>
      </w:pPr>
      <w:r w:rsidRPr="00DD2A86">
        <w:rPr>
          <w:b/>
          <w:sz w:val="24"/>
          <w:lang w:val="de-DE"/>
        </w:rPr>
        <w:t>Kapitel 8.6</w:t>
      </w:r>
    </w:p>
    <w:p w:rsidR="00C2134E" w:rsidRPr="00DD2A86" w:rsidRDefault="006214B4" w:rsidP="00B61A90">
      <w:pPr>
        <w:tabs>
          <w:tab w:val="left" w:pos="2268"/>
        </w:tabs>
        <w:spacing w:before="240" w:line="240" w:lineRule="auto"/>
        <w:ind w:left="1134"/>
        <w:jc w:val="both"/>
        <w:rPr>
          <w:rFonts w:eastAsia="Calibri"/>
          <w:lang w:val="de-DE"/>
        </w:rPr>
      </w:pPr>
      <w:r w:rsidRPr="00DD2A86">
        <w:rPr>
          <w:rFonts w:eastAsia="Calibri"/>
          <w:lang w:val="de-DE"/>
        </w:rPr>
        <w:t>8.6.1.1</w:t>
      </w:r>
      <w:r w:rsidR="00EF24E6" w:rsidRPr="00DD2A86">
        <w:rPr>
          <w:rFonts w:eastAsia="Calibri"/>
          <w:lang w:val="de-DE"/>
        </w:rPr>
        <w:t xml:space="preserve"> und </w:t>
      </w:r>
      <w:r w:rsidRPr="00DD2A86">
        <w:rPr>
          <w:rFonts w:eastAsia="Calibri"/>
          <w:lang w:val="de-DE"/>
        </w:rPr>
        <w:t>8.6.1.2</w:t>
      </w:r>
      <w:r w:rsidRPr="00DD2A86">
        <w:rPr>
          <w:rFonts w:eastAsia="Calibri"/>
          <w:lang w:val="de-DE"/>
        </w:rPr>
        <w:tab/>
      </w:r>
      <w:r w:rsidR="00EF24E6" w:rsidRPr="00DD2A86">
        <w:rPr>
          <w:rFonts w:eastAsia="Calibri"/>
          <w:lang w:val="de-DE"/>
        </w:rPr>
        <w:t>Nummer</w:t>
      </w:r>
      <w:r w:rsidRPr="00DD2A86">
        <w:rPr>
          <w:rFonts w:eastAsia="Calibri"/>
          <w:lang w:val="de-DE"/>
        </w:rPr>
        <w:t xml:space="preserve"> 4. </w:t>
      </w:r>
      <w:r w:rsidR="00EF24E6" w:rsidRPr="00DD2A86">
        <w:rPr>
          <w:rFonts w:eastAsia="Calibri"/>
          <w:lang w:val="de-DE"/>
        </w:rPr>
        <w:t>der Muster e</w:t>
      </w:r>
      <w:r w:rsidRPr="00DD2A86">
        <w:rPr>
          <w:rFonts w:eastAsia="Calibri"/>
          <w:lang w:val="de-DE"/>
        </w:rPr>
        <w:t>rhält folgenden Wortlaut:</w:t>
      </w:r>
    </w:p>
    <w:p w:rsidR="006214B4" w:rsidRPr="00DD2A86" w:rsidRDefault="006214B4" w:rsidP="00B61A90">
      <w:pPr>
        <w:spacing w:before="60" w:line="240" w:lineRule="auto"/>
        <w:ind w:left="2268"/>
        <w:jc w:val="both"/>
        <w:rPr>
          <w:rFonts w:eastAsia="Calibri"/>
          <w:lang w:val="de-DE"/>
        </w:rPr>
      </w:pPr>
      <w:r w:rsidRPr="00DD2A86">
        <w:rPr>
          <w:rFonts w:eastAsia="Calibri"/>
          <w:lang w:val="de-DE"/>
        </w:rPr>
        <w:t>„4. Zusätzliche Anforderungen:</w:t>
      </w:r>
      <w:r w:rsidR="002C0B79" w:rsidRPr="00DD2A86">
        <w:rPr>
          <w:rFonts w:eastAsia="Calibri"/>
          <w:lang w:val="de-DE"/>
        </w:rPr>
        <w:tab/>
      </w:r>
      <w:r w:rsidRPr="00DD2A86">
        <w:rPr>
          <w:rFonts w:eastAsia="Calibri"/>
          <w:lang w:val="de-DE"/>
        </w:rPr>
        <w:tab/>
        <w:t>Schiff aufgrund von Absatz 7.1.2.19.1</w:t>
      </w:r>
      <w:r w:rsidRPr="00DD2A86">
        <w:rPr>
          <w:rFonts w:eastAsia="Calibri"/>
          <w:vertAlign w:val="superscript"/>
          <w:lang w:val="de-DE"/>
        </w:rPr>
        <w:t>1)</w:t>
      </w:r>
    </w:p>
    <w:p w:rsidR="006214B4" w:rsidRPr="00DD2A86" w:rsidRDefault="006214B4" w:rsidP="00B61A90">
      <w:pPr>
        <w:tabs>
          <w:tab w:val="left" w:pos="5670"/>
        </w:tabs>
        <w:spacing w:before="60" w:line="240" w:lineRule="auto"/>
        <w:ind w:left="5670"/>
        <w:jc w:val="both"/>
        <w:rPr>
          <w:rFonts w:eastAsia="Calibri"/>
          <w:vertAlign w:val="superscript"/>
          <w:lang w:val="de-DE"/>
        </w:rPr>
      </w:pPr>
      <w:r w:rsidRPr="00DD2A86">
        <w:rPr>
          <w:rFonts w:eastAsia="Calibri"/>
          <w:lang w:val="de-DE"/>
        </w:rPr>
        <w:tab/>
        <w:t>Schiff aufgrund von Absatz 7.2.2.19.3</w:t>
      </w:r>
      <w:r w:rsidRPr="00DD2A86">
        <w:rPr>
          <w:rFonts w:eastAsia="Calibri"/>
          <w:vertAlign w:val="superscript"/>
          <w:lang w:val="de-DE"/>
        </w:rPr>
        <w:t>1)</w:t>
      </w:r>
    </w:p>
    <w:p w:rsidR="006214B4" w:rsidRPr="00DD2A86" w:rsidRDefault="006214B4" w:rsidP="00B61A90">
      <w:pPr>
        <w:tabs>
          <w:tab w:val="left" w:pos="5670"/>
        </w:tabs>
        <w:spacing w:before="60" w:line="240" w:lineRule="auto"/>
        <w:ind w:left="5670"/>
        <w:jc w:val="both"/>
        <w:rPr>
          <w:rFonts w:eastAsia="Calibri"/>
          <w:lang w:val="de-DE"/>
        </w:rPr>
      </w:pPr>
      <w:r w:rsidRPr="00DD2A86">
        <w:rPr>
          <w:rFonts w:eastAsia="Calibri"/>
          <w:lang w:val="de-DE"/>
        </w:rPr>
        <w:tab/>
        <w:t>Das Schiff entspricht den zusätzlichen Bauvorschriften für  Doppelhüllenschiffe der Unterabschnitte 9.1.0.80 bis 9.1.0.95/9.2.0.80 bis 9.2.0.95</w:t>
      </w:r>
      <w:r w:rsidRPr="00DD2A86">
        <w:rPr>
          <w:rFonts w:eastAsia="Calibri"/>
          <w:vertAlign w:val="superscript"/>
          <w:lang w:val="de-DE"/>
        </w:rPr>
        <w:t>1)</w:t>
      </w:r>
    </w:p>
    <w:p w:rsidR="006214B4" w:rsidRPr="00DD2A86" w:rsidRDefault="006214B4" w:rsidP="00B61A90">
      <w:pPr>
        <w:tabs>
          <w:tab w:val="left" w:pos="5670"/>
        </w:tabs>
        <w:spacing w:before="60" w:line="240" w:lineRule="auto"/>
        <w:ind w:left="5670"/>
        <w:jc w:val="both"/>
        <w:rPr>
          <w:rFonts w:eastAsia="Calibri"/>
          <w:bCs/>
          <w:vertAlign w:val="superscript"/>
          <w:lang w:val="de-DE"/>
        </w:rPr>
      </w:pPr>
      <w:r w:rsidRPr="00DD2A86">
        <w:rPr>
          <w:rFonts w:eastAsia="Calibri"/>
          <w:bCs/>
          <w:lang w:val="de-DE"/>
        </w:rPr>
        <w:tab/>
      </w:r>
      <w:r w:rsidR="001F6BA1" w:rsidRPr="00DD2A86">
        <w:rPr>
          <w:rFonts w:eastAsia="Calibri"/>
          <w:bCs/>
          <w:lang w:val="de-DE"/>
        </w:rPr>
        <w:t xml:space="preserve">Das </w:t>
      </w:r>
      <w:r w:rsidRPr="00DD2A86">
        <w:rPr>
          <w:rFonts w:eastAsia="Calibri"/>
          <w:bCs/>
          <w:lang w:val="de-DE"/>
        </w:rPr>
        <w:t>Schiff entspricht den Bauvorschriften 9.1.0.12.3 b) oder c), 9.1.0.51, 9.1.0.52</w:t>
      </w:r>
      <w:r w:rsidRPr="00DD2A86">
        <w:rPr>
          <w:rFonts w:eastAsia="Calibri"/>
          <w:bCs/>
          <w:vertAlign w:val="superscript"/>
          <w:lang w:val="de-DE"/>
        </w:rPr>
        <w:t>1)</w:t>
      </w:r>
    </w:p>
    <w:p w:rsidR="006214B4" w:rsidRPr="00DD2A86" w:rsidRDefault="006214B4" w:rsidP="00B61A90">
      <w:pPr>
        <w:tabs>
          <w:tab w:val="left" w:pos="5670"/>
        </w:tabs>
        <w:spacing w:before="60" w:line="240" w:lineRule="auto"/>
        <w:ind w:left="5670"/>
        <w:jc w:val="both"/>
        <w:rPr>
          <w:rFonts w:eastAsia="Calibri"/>
          <w:lang w:val="de-DE"/>
        </w:rPr>
      </w:pPr>
      <w:r w:rsidRPr="00DD2A86">
        <w:rPr>
          <w:rFonts w:eastAsia="Calibri"/>
          <w:lang w:val="de-DE"/>
        </w:rPr>
        <w:t>Lüftungssystem nach 9.1.0.12.3 b)</w:t>
      </w:r>
      <w:r w:rsidRPr="00DD2A86">
        <w:rPr>
          <w:rFonts w:eastAsia="Calibri"/>
          <w:vertAlign w:val="superscript"/>
          <w:lang w:val="de-DE"/>
        </w:rPr>
        <w:t>1)</w:t>
      </w:r>
    </w:p>
    <w:p w:rsidR="006214B4" w:rsidRPr="00DD2A86" w:rsidRDefault="006214B4" w:rsidP="00B61A90">
      <w:pPr>
        <w:tabs>
          <w:tab w:val="left" w:pos="5670"/>
        </w:tabs>
        <w:spacing w:before="60" w:line="240" w:lineRule="auto"/>
        <w:ind w:left="5670"/>
        <w:jc w:val="both"/>
        <w:rPr>
          <w:rFonts w:eastAsia="Calibri"/>
          <w:lang w:val="de-DE"/>
        </w:rPr>
      </w:pPr>
      <w:r w:rsidRPr="00DD2A86">
        <w:rPr>
          <w:rFonts w:eastAsia="Calibri"/>
          <w:lang w:val="de-DE"/>
        </w:rPr>
        <w:t xml:space="preserve">in </w:t>
      </w:r>
      <w:r w:rsidRPr="00DD2A86">
        <w:rPr>
          <w:rFonts w:eastAsia="Calibri"/>
          <w:lang w:val="de-DE"/>
        </w:rPr>
        <w:tab/>
        <w:t>………………………………..</w:t>
      </w:r>
    </w:p>
    <w:p w:rsidR="006214B4" w:rsidRPr="00DD2A86" w:rsidRDefault="001F6BA1" w:rsidP="00B61A90">
      <w:pPr>
        <w:tabs>
          <w:tab w:val="left" w:pos="5670"/>
        </w:tabs>
        <w:spacing w:before="60" w:line="240" w:lineRule="auto"/>
        <w:ind w:left="5670"/>
        <w:jc w:val="both"/>
        <w:rPr>
          <w:rFonts w:eastAsia="Calibri"/>
          <w:bCs/>
          <w:vertAlign w:val="superscript"/>
          <w:lang w:val="de-DE"/>
        </w:rPr>
      </w:pPr>
      <w:r w:rsidRPr="00DD2A86">
        <w:rPr>
          <w:rFonts w:eastAsia="Calibri"/>
          <w:bCs/>
          <w:lang w:val="de-DE"/>
        </w:rPr>
        <w:t xml:space="preserve">Das </w:t>
      </w:r>
      <w:r w:rsidR="006214B4" w:rsidRPr="00DD2A86">
        <w:rPr>
          <w:rFonts w:eastAsia="Calibri"/>
          <w:bCs/>
          <w:lang w:val="de-DE"/>
        </w:rPr>
        <w:t>Schiff entspricht den Bauvorschriften 9.1.0.53</w:t>
      </w:r>
      <w:r w:rsidR="006214B4" w:rsidRPr="00DD2A86">
        <w:rPr>
          <w:rFonts w:eastAsia="Calibri"/>
          <w:bCs/>
          <w:vertAlign w:val="superscript"/>
          <w:lang w:val="de-DE"/>
        </w:rPr>
        <w:t xml:space="preserve">1) </w:t>
      </w:r>
    </w:p>
    <w:p w:rsidR="006214B4" w:rsidRPr="00DD2A86" w:rsidRDefault="001F6BA1" w:rsidP="00B61A90">
      <w:pPr>
        <w:tabs>
          <w:tab w:val="left" w:pos="5670"/>
        </w:tabs>
        <w:spacing w:before="60" w:line="240" w:lineRule="auto"/>
        <w:ind w:left="5670"/>
        <w:jc w:val="both"/>
        <w:rPr>
          <w:rFonts w:eastAsia="Calibri"/>
          <w:lang w:val="de-DE"/>
        </w:rPr>
      </w:pPr>
      <w:r w:rsidRPr="00DD2A86">
        <w:rPr>
          <w:rFonts w:eastAsia="Calibri"/>
          <w:bCs/>
          <w:lang w:val="de-DE"/>
        </w:rPr>
        <w:t>E</w:t>
      </w:r>
      <w:r w:rsidR="006214B4" w:rsidRPr="00DD2A86">
        <w:rPr>
          <w:rFonts w:eastAsia="Calibri"/>
          <w:bCs/>
          <w:lang w:val="de-DE"/>
        </w:rPr>
        <w:t>lektrische und nicht-elektrische</w:t>
      </w:r>
      <w:r w:rsidR="006214B4" w:rsidRPr="00DD2A86">
        <w:rPr>
          <w:rFonts w:eastAsia="Calibri"/>
          <w:b/>
          <w:bCs/>
          <w:lang w:val="de-DE"/>
        </w:rPr>
        <w:t xml:space="preserve"> </w:t>
      </w:r>
      <w:r w:rsidR="006214B4" w:rsidRPr="00DD2A86">
        <w:rPr>
          <w:rFonts w:eastAsia="Calibri"/>
          <w:bCs/>
          <w:lang w:val="de-DE"/>
        </w:rPr>
        <w:t xml:space="preserve">Anlagen und </w:t>
      </w:r>
      <w:r w:rsidR="006214B4" w:rsidRPr="00DD2A86">
        <w:rPr>
          <w:rFonts w:eastAsia="Calibri"/>
          <w:lang w:val="de-DE"/>
        </w:rPr>
        <w:t>Geräte für den Einsatz in geschützten Bereichen:</w:t>
      </w:r>
    </w:p>
    <w:p w:rsidR="006214B4" w:rsidRPr="00DD2A86" w:rsidRDefault="006214B4" w:rsidP="00B61A90">
      <w:pPr>
        <w:tabs>
          <w:tab w:val="left" w:pos="5670"/>
        </w:tabs>
        <w:spacing w:before="60" w:line="240" w:lineRule="auto"/>
        <w:ind w:left="5670"/>
        <w:jc w:val="both"/>
        <w:rPr>
          <w:rFonts w:eastAsia="Calibri"/>
          <w:lang w:val="de-DE"/>
        </w:rPr>
      </w:pPr>
      <w:r w:rsidRPr="00DD2A86">
        <w:rPr>
          <w:rFonts w:eastAsia="Calibri"/>
          <w:lang w:val="de-DE"/>
        </w:rPr>
        <w:t>Temperaturklasse: ……</w:t>
      </w:r>
    </w:p>
    <w:p w:rsidR="006214B4" w:rsidRPr="00DD2A86" w:rsidRDefault="006214B4" w:rsidP="00B61A90">
      <w:pPr>
        <w:tabs>
          <w:tab w:val="left" w:pos="5670"/>
        </w:tabs>
        <w:spacing w:before="60" w:line="240" w:lineRule="auto"/>
        <w:ind w:left="5670"/>
        <w:jc w:val="both"/>
        <w:rPr>
          <w:rFonts w:eastAsia="Calibri"/>
          <w:lang w:val="de-DE"/>
        </w:rPr>
      </w:pPr>
      <w:r w:rsidRPr="00DD2A86">
        <w:rPr>
          <w:rFonts w:eastAsia="Calibri"/>
          <w:lang w:val="de-DE"/>
        </w:rPr>
        <w:t>Explosionsgruppe: ……“.</w:t>
      </w:r>
    </w:p>
    <w:p w:rsidR="00EF24E6" w:rsidRPr="00DD2A86" w:rsidRDefault="006214B4" w:rsidP="00B61A90">
      <w:pPr>
        <w:tabs>
          <w:tab w:val="left" w:pos="2268"/>
        </w:tabs>
        <w:spacing w:before="240" w:line="240" w:lineRule="auto"/>
        <w:ind w:left="1134"/>
        <w:jc w:val="both"/>
        <w:rPr>
          <w:rFonts w:eastAsia="Calibri"/>
          <w:lang w:val="de-DE"/>
        </w:rPr>
      </w:pPr>
      <w:r w:rsidRPr="00DD2A86">
        <w:rPr>
          <w:rFonts w:eastAsia="Calibri"/>
          <w:lang w:val="de-DE"/>
        </w:rPr>
        <w:t>8.6.1.</w:t>
      </w:r>
      <w:r w:rsidR="00EF24E6" w:rsidRPr="00DD2A86">
        <w:rPr>
          <w:rFonts w:eastAsia="Calibri"/>
          <w:lang w:val="de-DE"/>
        </w:rPr>
        <w:t xml:space="preserve">3 und </w:t>
      </w:r>
      <w:r w:rsidRPr="00DD2A86">
        <w:rPr>
          <w:rFonts w:eastAsia="Calibri"/>
          <w:lang w:val="de-DE"/>
        </w:rPr>
        <w:t>8.6.1.</w:t>
      </w:r>
      <w:r w:rsidR="00EF24E6" w:rsidRPr="00DD2A86">
        <w:rPr>
          <w:rFonts w:eastAsia="Calibri"/>
          <w:lang w:val="de-DE"/>
        </w:rPr>
        <w:t>4</w:t>
      </w:r>
      <w:r w:rsidRPr="00DD2A86">
        <w:rPr>
          <w:rFonts w:eastAsia="Calibri"/>
          <w:lang w:val="de-DE"/>
        </w:rPr>
        <w:tab/>
      </w:r>
      <w:r w:rsidR="00EF24E6" w:rsidRPr="00DD2A86">
        <w:rPr>
          <w:rFonts w:eastAsia="Calibri"/>
          <w:lang w:val="de-DE"/>
        </w:rPr>
        <w:t>Nummer 7. der Muster erhält folgenden Wortlaut:</w:t>
      </w:r>
    </w:p>
    <w:p w:rsidR="006214B4" w:rsidRPr="00DD2A86" w:rsidRDefault="00EF24E6" w:rsidP="00B61A90">
      <w:pPr>
        <w:tabs>
          <w:tab w:val="left" w:pos="2410"/>
          <w:tab w:val="left" w:pos="4536"/>
        </w:tabs>
        <w:spacing w:before="120" w:after="240" w:line="240" w:lineRule="auto"/>
        <w:ind w:left="2268"/>
        <w:jc w:val="both"/>
        <w:rPr>
          <w:rFonts w:eastAsia="Calibri"/>
          <w:vertAlign w:val="superscript"/>
          <w:lang w:val="de-DE" w:eastAsia="de-DE"/>
        </w:rPr>
      </w:pPr>
      <w:r w:rsidRPr="00DD2A86">
        <w:rPr>
          <w:rFonts w:eastAsia="Calibri"/>
          <w:lang w:val="de-DE" w:eastAsia="de-DE"/>
        </w:rPr>
        <w:t>„7. Öffnungsdruck Überdruck-/Hochgeschwindigkeitsventil</w:t>
      </w:r>
      <w:r w:rsidRPr="00DD2A86">
        <w:rPr>
          <w:sz w:val="18"/>
          <w:lang w:val="de-DE" w:eastAsia="fr-FR"/>
        </w:rPr>
        <w:t>/Sicherheitsventil</w:t>
      </w:r>
      <w:r w:rsidRPr="00DD2A86">
        <w:rPr>
          <w:rFonts w:eastAsia="Calibri"/>
          <w:lang w:val="de-DE" w:eastAsia="de-DE"/>
        </w:rPr>
        <w:t xml:space="preserve"> …… kPa</w:t>
      </w:r>
      <w:r w:rsidRPr="00DD2A86">
        <w:rPr>
          <w:rFonts w:eastAsia="Calibri"/>
          <w:vertAlign w:val="superscript"/>
          <w:lang w:val="de-DE" w:eastAsia="de-DE"/>
        </w:rPr>
        <w:t>1) 2)</w:t>
      </w:r>
      <w:r w:rsidRPr="00DD2A86">
        <w:rPr>
          <w:rFonts w:eastAsia="Calibri"/>
          <w:lang w:val="de-DE" w:eastAsia="de-DE"/>
        </w:rPr>
        <w:t>“.</w:t>
      </w:r>
    </w:p>
    <w:p w:rsidR="00EF24E6" w:rsidRPr="00DD2A86" w:rsidRDefault="00EF24E6" w:rsidP="00B61A90">
      <w:pPr>
        <w:tabs>
          <w:tab w:val="left" w:pos="2835"/>
          <w:tab w:val="left" w:pos="4536"/>
        </w:tabs>
        <w:spacing w:line="240" w:lineRule="auto"/>
        <w:ind w:left="1134"/>
        <w:jc w:val="both"/>
        <w:rPr>
          <w:rFonts w:eastAsia="Calibri"/>
          <w:lang w:val="de-DE"/>
        </w:rPr>
      </w:pPr>
      <w:r w:rsidRPr="00DD2A86">
        <w:rPr>
          <w:rFonts w:eastAsia="Calibri"/>
          <w:lang w:val="de-DE"/>
        </w:rPr>
        <w:t>8.6.1.3 und 8.6.1.4</w:t>
      </w:r>
      <w:r w:rsidR="00C3284B" w:rsidRPr="00DD2A86">
        <w:rPr>
          <w:rFonts w:eastAsia="Calibri"/>
          <w:lang w:val="de-DE"/>
        </w:rPr>
        <w:t xml:space="preserve"> </w:t>
      </w:r>
      <w:r w:rsidR="00C3284B" w:rsidRPr="00DD2A86">
        <w:rPr>
          <w:rFonts w:eastAsia="Calibri"/>
          <w:lang w:val="de-DE"/>
        </w:rPr>
        <w:tab/>
      </w:r>
      <w:r w:rsidRPr="00DD2A86">
        <w:rPr>
          <w:rFonts w:eastAsia="Calibri"/>
          <w:lang w:val="de-DE"/>
        </w:rPr>
        <w:t>Nummer 8. der Muster erhält am Ende folgenden Wortlaut:</w:t>
      </w:r>
    </w:p>
    <w:p w:rsidR="00EF24E6" w:rsidRPr="00DD2A86" w:rsidRDefault="00EF24E6" w:rsidP="00B61A90">
      <w:pPr>
        <w:tabs>
          <w:tab w:val="left" w:pos="2410"/>
          <w:tab w:val="left" w:pos="4536"/>
        </w:tabs>
        <w:spacing w:before="120" w:line="240" w:lineRule="auto"/>
        <w:ind w:left="2268"/>
        <w:jc w:val="both"/>
        <w:rPr>
          <w:rFonts w:eastAsia="Calibri"/>
          <w:lang w:val="de-DE"/>
        </w:rPr>
      </w:pPr>
      <w:r w:rsidRPr="00DD2A86">
        <w:rPr>
          <w:rFonts w:eastAsia="Calibri"/>
          <w:lang w:val="de-DE"/>
        </w:rPr>
        <w:t>„ …</w:t>
      </w:r>
    </w:p>
    <w:p w:rsidR="00EF24E6" w:rsidRPr="00DD2A86" w:rsidRDefault="00EF24E6" w:rsidP="00B61A90">
      <w:pPr>
        <w:pStyle w:val="ListParagraph"/>
        <w:numPr>
          <w:ilvl w:val="0"/>
          <w:numId w:val="29"/>
        </w:numPr>
        <w:tabs>
          <w:tab w:val="left" w:pos="851"/>
          <w:tab w:val="left" w:pos="1134"/>
          <w:tab w:val="left" w:pos="2268"/>
          <w:tab w:val="left" w:pos="2552"/>
          <w:tab w:val="left" w:pos="5387"/>
          <w:tab w:val="left" w:pos="5954"/>
          <w:tab w:val="left" w:pos="6946"/>
        </w:tabs>
        <w:spacing w:line="240" w:lineRule="auto"/>
        <w:ind w:left="2694" w:hanging="426"/>
        <w:rPr>
          <w:position w:val="6"/>
          <w:lang w:val="de-DE"/>
        </w:rPr>
      </w:pPr>
      <w:r w:rsidRPr="00DD2A86">
        <w:rPr>
          <w:lang w:val="de-DE"/>
        </w:rPr>
        <w:t xml:space="preserve">Pumpenraum unter Deck </w:t>
      </w:r>
      <w:r w:rsidRPr="00DD2A86">
        <w:rPr>
          <w:lang w:val="de-DE"/>
        </w:rPr>
        <w:tab/>
      </w:r>
      <w:r w:rsidRPr="00DD2A86">
        <w:rPr>
          <w:lang w:val="de-DE"/>
        </w:rPr>
        <w:tab/>
      </w:r>
      <w:r w:rsidRPr="00DD2A86">
        <w:rPr>
          <w:lang w:val="de-DE"/>
        </w:rPr>
        <w:tab/>
        <w:t>Ja/Nein</w:t>
      </w:r>
      <w:r w:rsidRPr="00DD2A86">
        <w:rPr>
          <w:vertAlign w:val="superscript"/>
          <w:lang w:val="de-DE"/>
        </w:rPr>
        <w:t>1)</w:t>
      </w:r>
    </w:p>
    <w:p w:rsidR="00EF24E6" w:rsidRPr="00DD2A86" w:rsidRDefault="00EF24E6" w:rsidP="00B61A90">
      <w:pPr>
        <w:pStyle w:val="ListParagraph"/>
        <w:numPr>
          <w:ilvl w:val="0"/>
          <w:numId w:val="29"/>
        </w:numPr>
        <w:tabs>
          <w:tab w:val="left" w:pos="851"/>
          <w:tab w:val="left" w:pos="1134"/>
          <w:tab w:val="left" w:pos="2268"/>
          <w:tab w:val="left" w:pos="2552"/>
          <w:tab w:val="left" w:pos="5387"/>
          <w:tab w:val="left" w:pos="5954"/>
          <w:tab w:val="left" w:pos="6946"/>
        </w:tabs>
        <w:suppressAutoHyphens w:val="0"/>
        <w:spacing w:line="240" w:lineRule="auto"/>
        <w:ind w:left="2268" w:hanging="11"/>
        <w:rPr>
          <w:rFonts w:eastAsia="Calibri"/>
          <w:position w:val="6"/>
          <w:lang w:val="de-DE"/>
        </w:rPr>
      </w:pPr>
      <w:r w:rsidRPr="00DD2A86">
        <w:rPr>
          <w:rFonts w:eastAsia="Calibri"/>
          <w:lang w:val="de-DE"/>
        </w:rPr>
        <w:t>Lüftungssystem nach 9.3.x.12.4 b)</w:t>
      </w:r>
      <w:r w:rsidRPr="00DD2A86">
        <w:rPr>
          <w:rFonts w:eastAsia="Calibri"/>
          <w:lang w:val="de-DE"/>
        </w:rPr>
        <w:tab/>
      </w:r>
      <w:r w:rsidRPr="00DD2A86">
        <w:rPr>
          <w:rFonts w:eastAsia="Calibri"/>
          <w:lang w:val="de-DE"/>
        </w:rPr>
        <w:tab/>
      </w:r>
      <w:r w:rsidRPr="00DD2A86">
        <w:rPr>
          <w:rFonts w:eastAsia="Calibri"/>
          <w:lang w:val="de-DE"/>
        </w:rPr>
        <w:tab/>
        <w:t>Ja/Nein</w:t>
      </w:r>
      <w:r w:rsidRPr="00DD2A86">
        <w:rPr>
          <w:rFonts w:eastAsia="Calibri"/>
          <w:vertAlign w:val="superscript"/>
          <w:lang w:val="de-DE"/>
        </w:rPr>
        <w:t>1)</w:t>
      </w:r>
      <w:r w:rsidR="003C5D32" w:rsidRPr="00DD2A86">
        <w:rPr>
          <w:rFonts w:eastAsia="Calibri"/>
          <w:vertAlign w:val="superscript"/>
          <w:lang w:val="de-DE"/>
        </w:rPr>
        <w:t xml:space="preserve"> 3)</w:t>
      </w:r>
    </w:p>
    <w:p w:rsidR="00EF24E6" w:rsidRPr="00DD2A86" w:rsidRDefault="00EF24E6" w:rsidP="00B61A90">
      <w:pPr>
        <w:tabs>
          <w:tab w:val="left" w:pos="1134"/>
          <w:tab w:val="left" w:pos="2552"/>
          <w:tab w:val="left" w:leader="dot" w:pos="6804"/>
        </w:tabs>
        <w:suppressAutoHyphens w:val="0"/>
        <w:spacing w:line="240" w:lineRule="auto"/>
        <w:ind w:left="2552" w:hanging="11"/>
        <w:rPr>
          <w:rFonts w:eastAsia="Calibri"/>
          <w:position w:val="6"/>
          <w:lang w:val="de-DE"/>
        </w:rPr>
      </w:pPr>
      <w:r w:rsidRPr="00DD2A86">
        <w:rPr>
          <w:rFonts w:eastAsia="Calibri"/>
          <w:position w:val="6"/>
          <w:lang w:val="de-DE"/>
        </w:rPr>
        <w:t>in ………………………………………………………………………………..</w:t>
      </w:r>
    </w:p>
    <w:p w:rsidR="00EF24E6" w:rsidRPr="00DD2A86" w:rsidRDefault="00EF24E6" w:rsidP="00B61A90">
      <w:pPr>
        <w:numPr>
          <w:ilvl w:val="0"/>
          <w:numId w:val="28"/>
        </w:numPr>
        <w:tabs>
          <w:tab w:val="left" w:pos="1134"/>
          <w:tab w:val="left" w:pos="2552"/>
          <w:tab w:val="left" w:pos="5387"/>
          <w:tab w:val="left" w:pos="6946"/>
        </w:tabs>
        <w:suppressAutoHyphens w:val="0"/>
        <w:spacing w:line="240" w:lineRule="auto"/>
        <w:ind w:left="2552" w:right="112" w:hanging="284"/>
        <w:contextualSpacing/>
        <w:rPr>
          <w:rFonts w:eastAsia="Calibri"/>
          <w:position w:val="6"/>
          <w:lang w:val="de-DE"/>
        </w:rPr>
      </w:pPr>
      <w:r w:rsidRPr="00DD2A86">
        <w:rPr>
          <w:rFonts w:eastAsia="Calibri"/>
          <w:position w:val="6"/>
          <w:lang w:val="de-DE"/>
        </w:rPr>
        <w:t>entspricht den Bauvorschriften in 9.3.x.12.4 b) oder 9.3.x.12.4 c), 9.3.x.51 und 9.3.x.52</w:t>
      </w:r>
      <w:r w:rsidRPr="00DD2A86">
        <w:rPr>
          <w:rFonts w:eastAsia="Calibri"/>
          <w:lang w:val="de-DE"/>
        </w:rPr>
        <w:t xml:space="preserve"> </w:t>
      </w:r>
      <w:r w:rsidRPr="00DD2A86">
        <w:rPr>
          <w:rFonts w:eastAsia="Calibri"/>
          <w:lang w:val="de-DE"/>
        </w:rPr>
        <w:tab/>
      </w:r>
      <w:r w:rsidR="000D41C5" w:rsidRPr="00DD2A86">
        <w:rPr>
          <w:rFonts w:eastAsia="Calibri"/>
          <w:lang w:val="de-DE"/>
        </w:rPr>
        <w:tab/>
      </w:r>
      <w:r w:rsidRPr="00DD2A86">
        <w:rPr>
          <w:rFonts w:eastAsia="Calibri"/>
          <w:lang w:val="de-DE"/>
        </w:rPr>
        <w:t>Ja/Nein</w:t>
      </w:r>
      <w:r w:rsidRPr="00DD2A86">
        <w:rPr>
          <w:rFonts w:eastAsia="Calibri"/>
          <w:vertAlign w:val="superscript"/>
          <w:lang w:val="de-DE"/>
        </w:rPr>
        <w:t>1) 3)</w:t>
      </w:r>
    </w:p>
    <w:p w:rsidR="00EF24E6" w:rsidRPr="00DD2A86" w:rsidRDefault="00EF24E6" w:rsidP="00B61A90">
      <w:pPr>
        <w:tabs>
          <w:tab w:val="left" w:pos="851"/>
          <w:tab w:val="left" w:pos="1134"/>
          <w:tab w:val="left" w:pos="2268"/>
          <w:tab w:val="left" w:pos="2552"/>
          <w:tab w:val="left" w:pos="5103"/>
          <w:tab w:val="left" w:pos="6946"/>
        </w:tabs>
        <w:suppressAutoHyphens w:val="0"/>
        <w:spacing w:line="240" w:lineRule="auto"/>
        <w:ind w:left="2268" w:hanging="11"/>
        <w:rPr>
          <w:rFonts w:eastAsia="Calibri"/>
          <w:position w:val="6"/>
          <w:lang w:val="de-DE"/>
        </w:rPr>
      </w:pPr>
      <w:r w:rsidRPr="00DD2A86">
        <w:rPr>
          <w:rFonts w:eastAsia="Calibri"/>
          <w:position w:val="6"/>
          <w:lang w:val="de-DE"/>
        </w:rPr>
        <w:sym w:font="Symbol" w:char="F0B7"/>
      </w:r>
      <w:r w:rsidRPr="00DD2A86">
        <w:rPr>
          <w:rFonts w:eastAsia="Calibri"/>
          <w:lang w:val="de-DE"/>
        </w:rPr>
        <w:tab/>
        <w:t>Gasabfuhrleitung</w:t>
      </w:r>
      <w:r w:rsidRPr="00DD2A86" w:rsidDel="00D640BD">
        <w:rPr>
          <w:rFonts w:eastAsia="Calibri"/>
          <w:lang w:val="de-DE"/>
        </w:rPr>
        <w:t xml:space="preserve"> </w:t>
      </w:r>
      <w:r w:rsidRPr="00DD2A86">
        <w:rPr>
          <w:rFonts w:eastAsia="Calibri"/>
          <w:lang w:val="de-DE"/>
        </w:rPr>
        <w:t xml:space="preserve">und Einrichtungen beheizt </w:t>
      </w:r>
      <w:r w:rsidRPr="00DD2A86">
        <w:rPr>
          <w:rFonts w:eastAsia="Calibri"/>
          <w:lang w:val="de-DE"/>
        </w:rPr>
        <w:tab/>
        <w:t>Ja/Nein</w:t>
      </w:r>
      <w:r w:rsidRPr="00DD2A86">
        <w:rPr>
          <w:rFonts w:eastAsia="Calibri"/>
          <w:vertAlign w:val="superscript"/>
          <w:lang w:val="de-DE"/>
        </w:rPr>
        <w:t>1) 2)</w:t>
      </w:r>
    </w:p>
    <w:p w:rsidR="00EF24E6" w:rsidRPr="00DD2A86" w:rsidRDefault="00EF24E6" w:rsidP="00B61A90">
      <w:pPr>
        <w:tabs>
          <w:tab w:val="left" w:pos="851"/>
          <w:tab w:val="left" w:pos="1134"/>
          <w:tab w:val="left" w:pos="2552"/>
          <w:tab w:val="left" w:pos="5103"/>
          <w:tab w:val="left" w:leader="dot" w:pos="6804"/>
        </w:tabs>
        <w:suppressAutoHyphens w:val="0"/>
        <w:spacing w:line="240" w:lineRule="auto"/>
        <w:ind w:left="2552" w:hanging="284"/>
        <w:rPr>
          <w:rFonts w:eastAsia="Calibri"/>
          <w:vertAlign w:val="superscript"/>
          <w:lang w:val="de-DE"/>
        </w:rPr>
      </w:pPr>
      <w:r w:rsidRPr="00DD2A86">
        <w:rPr>
          <w:rFonts w:eastAsia="Calibri"/>
          <w:position w:val="6"/>
          <w:lang w:val="de-DE"/>
        </w:rPr>
        <w:sym w:font="Symbol" w:char="F0B7"/>
      </w:r>
      <w:r w:rsidRPr="00DD2A86">
        <w:rPr>
          <w:rFonts w:eastAsia="Calibri"/>
          <w:lang w:val="de-DE"/>
        </w:rPr>
        <w:tab/>
        <w:t>entspricht den Bauvorschriften, die sich aus der (den) Bemerkung(en) …………….  in Unterabschnitt 3.2.3.2 Tabelle C Spalte (20) ergeben</w:t>
      </w:r>
      <w:r w:rsidRPr="00DD2A86">
        <w:rPr>
          <w:rFonts w:eastAsia="Calibri"/>
          <w:vertAlign w:val="superscript"/>
          <w:lang w:val="de-DE"/>
        </w:rPr>
        <w:t>1) 2)</w:t>
      </w:r>
      <w:r w:rsidRPr="00DD2A86">
        <w:rPr>
          <w:rFonts w:eastAsia="Calibri"/>
          <w:lang w:val="de-DE"/>
        </w:rPr>
        <w:t>.</w:t>
      </w:r>
    </w:p>
    <w:p w:rsidR="00EF24E6" w:rsidRPr="00DD2A86" w:rsidRDefault="00EF24E6" w:rsidP="00B61A90">
      <w:pPr>
        <w:tabs>
          <w:tab w:val="left" w:pos="2410"/>
          <w:tab w:val="left" w:pos="4536"/>
        </w:tabs>
        <w:spacing w:before="120" w:line="240" w:lineRule="auto"/>
        <w:ind w:left="2268"/>
        <w:jc w:val="both"/>
        <w:rPr>
          <w:rFonts w:eastAsia="Calibri"/>
          <w:lang w:val="de-DE"/>
        </w:rPr>
      </w:pPr>
      <w:r w:rsidRPr="00DD2A86">
        <w:rPr>
          <w:rFonts w:eastAsia="Calibri"/>
          <w:vertAlign w:val="superscript"/>
          <w:lang w:val="de-DE"/>
        </w:rPr>
        <w:t>3)</w:t>
      </w:r>
      <w:r w:rsidRPr="00DD2A86">
        <w:rPr>
          <w:rFonts w:eastAsia="Calibri"/>
          <w:lang w:val="de-DE"/>
        </w:rPr>
        <w:t xml:space="preserve"> Für „x“ zutreffendes eintragen“.</w:t>
      </w:r>
    </w:p>
    <w:p w:rsidR="007C000A" w:rsidRPr="00DD2A86" w:rsidRDefault="007C000A">
      <w:pPr>
        <w:suppressAutoHyphens w:val="0"/>
        <w:spacing w:line="240" w:lineRule="auto"/>
        <w:rPr>
          <w:rFonts w:eastAsia="Calibri"/>
          <w:lang w:val="de-DE"/>
        </w:rPr>
      </w:pPr>
      <w:r w:rsidRPr="00DD2A86">
        <w:rPr>
          <w:rFonts w:eastAsia="Calibri"/>
          <w:lang w:val="de-DE"/>
        </w:rPr>
        <w:br w:type="page"/>
      </w:r>
    </w:p>
    <w:p w:rsidR="00DD6A22" w:rsidRPr="00DD2A86" w:rsidRDefault="00DD6A22" w:rsidP="00B61A90">
      <w:pPr>
        <w:tabs>
          <w:tab w:val="left" w:pos="2835"/>
          <w:tab w:val="left" w:pos="4536"/>
        </w:tabs>
        <w:spacing w:before="240" w:line="240" w:lineRule="auto"/>
        <w:ind w:left="1134"/>
        <w:jc w:val="both"/>
        <w:rPr>
          <w:rFonts w:eastAsia="Calibri"/>
          <w:lang w:val="de-DE"/>
        </w:rPr>
      </w:pPr>
      <w:r w:rsidRPr="00DD2A86">
        <w:rPr>
          <w:rFonts w:eastAsia="Calibri"/>
          <w:lang w:val="de-DE"/>
        </w:rPr>
        <w:t>8.6.1.3 und 8.6.1.4</w:t>
      </w:r>
      <w:r w:rsidRPr="00DD2A86">
        <w:rPr>
          <w:rFonts w:eastAsia="Calibri"/>
          <w:lang w:val="de-DE"/>
        </w:rPr>
        <w:tab/>
        <w:t>Nummer 9. der Muster erhält folgenden Wortlaut:</w:t>
      </w:r>
    </w:p>
    <w:p w:rsidR="00DD6A22" w:rsidRPr="00DD2A86" w:rsidRDefault="00DD6A22" w:rsidP="00B61A90">
      <w:pPr>
        <w:tabs>
          <w:tab w:val="left" w:pos="2410"/>
          <w:tab w:val="left" w:pos="4536"/>
        </w:tabs>
        <w:spacing w:before="120" w:line="240" w:lineRule="auto"/>
        <w:ind w:left="2268"/>
        <w:jc w:val="both"/>
        <w:rPr>
          <w:rFonts w:eastAsia="Calibri"/>
          <w:lang w:val="de-DE"/>
        </w:rPr>
      </w:pPr>
      <w:r w:rsidRPr="00DD2A86">
        <w:rPr>
          <w:rFonts w:eastAsia="Calibri"/>
          <w:lang w:val="de-DE"/>
        </w:rPr>
        <w:t>„9. Elektrische und nicht-elektrische Anlagen und Geräte zum Einsatz in explosionsgefährdeten Bereichen:</w:t>
      </w:r>
    </w:p>
    <w:p w:rsidR="00DD6A22" w:rsidRPr="00DD2A86" w:rsidRDefault="00DD6A22" w:rsidP="00B61A90">
      <w:pPr>
        <w:tabs>
          <w:tab w:val="left" w:pos="2977"/>
          <w:tab w:val="left" w:pos="4536"/>
        </w:tabs>
        <w:spacing w:line="240" w:lineRule="auto"/>
        <w:ind w:left="2694"/>
        <w:jc w:val="both"/>
        <w:rPr>
          <w:rFonts w:eastAsia="Calibri"/>
          <w:lang w:val="de-DE"/>
        </w:rPr>
      </w:pPr>
      <w:r w:rsidRPr="00DD2A86">
        <w:rPr>
          <w:rFonts w:eastAsia="Calibri"/>
          <w:lang w:val="de-DE"/>
        </w:rPr>
        <w:sym w:font="Symbol" w:char="F0B7"/>
      </w:r>
      <w:r w:rsidRPr="00DD2A86">
        <w:rPr>
          <w:rFonts w:eastAsia="Calibri"/>
          <w:lang w:val="de-DE"/>
        </w:rPr>
        <w:tab/>
        <w:t>Temperaturklasse: ……………………………..</w:t>
      </w:r>
    </w:p>
    <w:p w:rsidR="00DD6A22" w:rsidRPr="00DD2A86" w:rsidRDefault="00DD6A22" w:rsidP="00B61A90">
      <w:pPr>
        <w:tabs>
          <w:tab w:val="left" w:pos="2977"/>
          <w:tab w:val="left" w:pos="4536"/>
        </w:tabs>
        <w:spacing w:line="240" w:lineRule="auto"/>
        <w:ind w:left="2694"/>
        <w:jc w:val="both"/>
        <w:rPr>
          <w:rFonts w:eastAsia="Calibri"/>
          <w:lang w:val="de-DE"/>
        </w:rPr>
      </w:pPr>
      <w:r w:rsidRPr="00DD2A86">
        <w:rPr>
          <w:rFonts w:eastAsia="Calibri"/>
          <w:lang w:val="de-DE"/>
        </w:rPr>
        <w:sym w:font="Symbol" w:char="F0B7"/>
      </w:r>
      <w:r w:rsidRPr="00DD2A86">
        <w:rPr>
          <w:rFonts w:eastAsia="Calibri"/>
          <w:lang w:val="de-DE"/>
        </w:rPr>
        <w:tab/>
        <w:t>Explosionsgruppe: …………………………….“.</w:t>
      </w:r>
    </w:p>
    <w:p w:rsidR="00DD6A22" w:rsidRPr="00DD2A86" w:rsidRDefault="00DD6A22" w:rsidP="00B61A90">
      <w:pPr>
        <w:tabs>
          <w:tab w:val="left" w:pos="2835"/>
          <w:tab w:val="left" w:pos="4536"/>
        </w:tabs>
        <w:spacing w:before="240" w:line="240" w:lineRule="auto"/>
        <w:ind w:left="1134"/>
        <w:jc w:val="both"/>
        <w:rPr>
          <w:rFonts w:eastAsia="Calibri"/>
          <w:lang w:val="de-DE"/>
        </w:rPr>
      </w:pPr>
      <w:r w:rsidRPr="00DD2A86">
        <w:rPr>
          <w:rFonts w:eastAsia="Calibri"/>
          <w:lang w:val="de-DE"/>
        </w:rPr>
        <w:t>8.6.1.3 und 8.6.1.4</w:t>
      </w:r>
      <w:r w:rsidRPr="00DD2A86">
        <w:rPr>
          <w:rFonts w:eastAsia="Calibri"/>
          <w:lang w:val="de-DE"/>
        </w:rPr>
        <w:tab/>
        <w:t>Folgende neue Nummer 10. einfügen:</w:t>
      </w:r>
    </w:p>
    <w:p w:rsidR="00DD6A22" w:rsidRPr="00DD2A86" w:rsidRDefault="00DD6A22" w:rsidP="00B61A90">
      <w:pPr>
        <w:tabs>
          <w:tab w:val="left" w:pos="2552"/>
          <w:tab w:val="left" w:pos="4536"/>
        </w:tabs>
        <w:spacing w:before="120" w:line="240" w:lineRule="auto"/>
        <w:ind w:left="2268"/>
        <w:jc w:val="both"/>
        <w:rPr>
          <w:rFonts w:eastAsia="Calibri"/>
          <w:bCs/>
          <w:lang w:val="de-DE"/>
        </w:rPr>
      </w:pPr>
      <w:r w:rsidRPr="00DD2A86">
        <w:rPr>
          <w:rFonts w:eastAsia="Calibri"/>
          <w:bCs/>
          <w:lang w:val="de-DE"/>
        </w:rPr>
        <w:t>„10. Autonome Schutzsysteme:</w:t>
      </w:r>
    </w:p>
    <w:p w:rsidR="00DD6A22" w:rsidRPr="00DD2A86" w:rsidRDefault="00DD6A22" w:rsidP="00B61A90">
      <w:pPr>
        <w:numPr>
          <w:ilvl w:val="0"/>
          <w:numId w:val="30"/>
        </w:numPr>
        <w:tabs>
          <w:tab w:val="left" w:pos="2977"/>
          <w:tab w:val="left" w:pos="4536"/>
        </w:tabs>
        <w:spacing w:line="240" w:lineRule="auto"/>
        <w:ind w:left="2694" w:firstLine="0"/>
        <w:jc w:val="both"/>
        <w:rPr>
          <w:rFonts w:eastAsia="Calibri"/>
          <w:b/>
          <w:bCs/>
          <w:lang w:val="de-DE"/>
        </w:rPr>
      </w:pPr>
      <w:r w:rsidRPr="00DD2A86">
        <w:rPr>
          <w:rFonts w:eastAsia="Calibri"/>
          <w:lang w:val="de-DE"/>
        </w:rPr>
        <w:t xml:space="preserve">Explosionsgruppe / Untergruppe der Explosionsgruppe II B: </w:t>
      </w:r>
      <w:r w:rsidRPr="00DD2A86">
        <w:rPr>
          <w:rFonts w:eastAsia="Calibri"/>
          <w:lang w:val="de-AT"/>
        </w:rPr>
        <w:t>…………………..“.</w:t>
      </w:r>
    </w:p>
    <w:p w:rsidR="00DD6A22" w:rsidRPr="00DD2A86" w:rsidRDefault="00DD6A22" w:rsidP="00B61A90">
      <w:pPr>
        <w:tabs>
          <w:tab w:val="left" w:pos="2410"/>
          <w:tab w:val="left" w:pos="4536"/>
        </w:tabs>
        <w:spacing w:before="120" w:line="240" w:lineRule="auto"/>
        <w:ind w:left="2268"/>
        <w:jc w:val="both"/>
        <w:rPr>
          <w:rFonts w:eastAsia="Calibri"/>
          <w:lang w:val="de-DE"/>
        </w:rPr>
      </w:pPr>
      <w:r w:rsidRPr="00DD2A86">
        <w:rPr>
          <w:rFonts w:eastAsia="Calibri"/>
          <w:lang w:val="de-DE"/>
        </w:rPr>
        <w:t xml:space="preserve">Die nachfolgenden Nummern der Muster umnummerieren </w:t>
      </w:r>
    </w:p>
    <w:p w:rsidR="000F3924" w:rsidRPr="00DD2A86" w:rsidRDefault="000F3924" w:rsidP="00B61A90">
      <w:pPr>
        <w:tabs>
          <w:tab w:val="left" w:pos="2835"/>
          <w:tab w:val="left" w:pos="4536"/>
          <w:tab w:val="left" w:pos="5954"/>
        </w:tabs>
        <w:suppressAutoHyphens w:val="0"/>
        <w:spacing w:before="240" w:line="240" w:lineRule="auto"/>
        <w:ind w:left="1134"/>
        <w:rPr>
          <w:rFonts w:eastAsia="Calibri"/>
          <w:lang w:val="de-DE"/>
        </w:rPr>
      </w:pPr>
      <w:r w:rsidRPr="00DD2A86">
        <w:rPr>
          <w:rFonts w:eastAsia="Calibri"/>
          <w:lang w:val="de-DE"/>
        </w:rPr>
        <w:t>8.6.1.3 und 8.6.1.4</w:t>
      </w:r>
      <w:r w:rsidRPr="00DD2A86">
        <w:rPr>
          <w:rFonts w:eastAsia="Calibri"/>
          <w:lang w:val="de-DE"/>
        </w:rPr>
        <w:tab/>
      </w:r>
      <w:r w:rsidR="00F51102" w:rsidRPr="00DD2A86">
        <w:rPr>
          <w:rFonts w:eastAsia="Calibri"/>
          <w:lang w:val="de-DE"/>
        </w:rPr>
        <w:t xml:space="preserve">Neue </w:t>
      </w:r>
      <w:r w:rsidRPr="00DD2A86">
        <w:rPr>
          <w:rFonts w:eastAsia="Calibri"/>
          <w:lang w:val="de-DE"/>
        </w:rPr>
        <w:t>Nummer 1</w:t>
      </w:r>
      <w:r w:rsidR="00F51102" w:rsidRPr="00DD2A86">
        <w:rPr>
          <w:rFonts w:eastAsia="Calibri"/>
          <w:lang w:val="de-DE"/>
        </w:rPr>
        <w:t>3</w:t>
      </w:r>
      <w:r w:rsidRPr="00DD2A86">
        <w:rPr>
          <w:rFonts w:eastAsia="Calibri"/>
          <w:lang w:val="de-DE"/>
        </w:rPr>
        <w:t>. der Muster (</w:t>
      </w:r>
      <w:r w:rsidR="00F51102" w:rsidRPr="00DD2A86">
        <w:rPr>
          <w:rFonts w:eastAsia="Calibri"/>
          <w:lang w:val="de-DE"/>
        </w:rPr>
        <w:t>Bisherige</w:t>
      </w:r>
      <w:r w:rsidRPr="00DD2A86">
        <w:rPr>
          <w:rFonts w:eastAsia="Calibri"/>
          <w:lang w:val="de-DE"/>
        </w:rPr>
        <w:t xml:space="preserve"> Nummer 1</w:t>
      </w:r>
      <w:r w:rsidR="00F51102" w:rsidRPr="00DD2A86">
        <w:rPr>
          <w:rFonts w:eastAsia="Calibri"/>
          <w:lang w:val="de-DE"/>
        </w:rPr>
        <w:t>2</w:t>
      </w:r>
      <w:r w:rsidRPr="00DD2A86">
        <w:rPr>
          <w:rFonts w:eastAsia="Calibri"/>
          <w:lang w:val="de-DE"/>
        </w:rPr>
        <w:t>.) erhält folgenden Wortlaut:</w:t>
      </w:r>
    </w:p>
    <w:p w:rsidR="000F3924" w:rsidRPr="00DD2A86" w:rsidRDefault="000F3924" w:rsidP="00B61A90">
      <w:pPr>
        <w:tabs>
          <w:tab w:val="left" w:pos="142"/>
          <w:tab w:val="left" w:pos="567"/>
          <w:tab w:val="left" w:pos="851"/>
          <w:tab w:val="left" w:pos="2268"/>
          <w:tab w:val="left" w:pos="2694"/>
          <w:tab w:val="left" w:pos="5103"/>
          <w:tab w:val="left" w:pos="5954"/>
        </w:tabs>
        <w:suppressAutoHyphens w:val="0"/>
        <w:spacing w:before="120" w:line="240" w:lineRule="auto"/>
        <w:ind w:left="2268"/>
        <w:rPr>
          <w:rFonts w:eastAsia="Calibri"/>
          <w:lang w:val="de-DE"/>
        </w:rPr>
      </w:pPr>
      <w:r w:rsidRPr="00DD2A86">
        <w:rPr>
          <w:rFonts w:eastAsia="Calibri"/>
          <w:lang w:val="de-DE"/>
        </w:rPr>
        <w:t>„13.</w:t>
      </w:r>
      <w:r w:rsidRPr="00DD2A86">
        <w:rPr>
          <w:rFonts w:eastAsia="Calibri"/>
          <w:lang w:val="de-DE"/>
        </w:rPr>
        <w:tab/>
        <w:t xml:space="preserve">Zusätzliche Bemerkungen: </w:t>
      </w:r>
    </w:p>
    <w:p w:rsidR="000F3924" w:rsidRPr="00DD2A86" w:rsidRDefault="000F3924" w:rsidP="00B61A90">
      <w:pPr>
        <w:tabs>
          <w:tab w:val="left" w:pos="567"/>
          <w:tab w:val="left" w:pos="851"/>
          <w:tab w:val="left" w:pos="2268"/>
          <w:tab w:val="left" w:pos="2694"/>
          <w:tab w:val="left" w:pos="5103"/>
          <w:tab w:val="left" w:pos="5954"/>
        </w:tabs>
        <w:suppressAutoHyphens w:val="0"/>
        <w:spacing w:line="240" w:lineRule="auto"/>
        <w:ind w:left="2268"/>
        <w:rPr>
          <w:rFonts w:eastAsia="Calibri"/>
          <w:bCs/>
          <w:vertAlign w:val="superscript"/>
          <w:lang w:val="de-DE"/>
        </w:rPr>
      </w:pPr>
      <w:r w:rsidRPr="00DD2A86">
        <w:rPr>
          <w:rFonts w:eastAsia="Calibri"/>
          <w:lang w:val="de-DE"/>
        </w:rPr>
        <w:tab/>
      </w:r>
      <w:r w:rsidR="001F6BA1" w:rsidRPr="00DD2A86">
        <w:rPr>
          <w:rFonts w:eastAsia="Calibri"/>
          <w:lang w:val="de-DE"/>
        </w:rPr>
        <w:t xml:space="preserve">Das </w:t>
      </w:r>
      <w:r w:rsidRPr="00DD2A86">
        <w:rPr>
          <w:rFonts w:eastAsia="Calibri"/>
          <w:lang w:val="de-DE"/>
        </w:rPr>
        <w:t xml:space="preserve">Schiff entspricht </w:t>
      </w:r>
      <w:r w:rsidR="001F6BA1" w:rsidRPr="00DD2A86">
        <w:rPr>
          <w:rFonts w:eastAsia="Calibri"/>
          <w:lang w:val="de-DE"/>
        </w:rPr>
        <w:t xml:space="preserve">den </w:t>
      </w:r>
      <w:r w:rsidRPr="00DD2A86">
        <w:rPr>
          <w:rFonts w:eastAsia="Calibri"/>
          <w:bCs/>
          <w:lang w:val="de-DE"/>
        </w:rPr>
        <w:t xml:space="preserve">Bauvorschriften 9.3.x.12,  9.3.x.51, 9.3.x.52         ja/nein </w:t>
      </w:r>
      <w:r w:rsidRPr="00DD2A86">
        <w:rPr>
          <w:rFonts w:eastAsia="Calibri"/>
          <w:bCs/>
          <w:vertAlign w:val="superscript"/>
          <w:lang w:val="de-DE"/>
        </w:rPr>
        <w:t>1)</w:t>
      </w:r>
      <w:r w:rsidR="003C5D32" w:rsidRPr="00DD2A86">
        <w:rPr>
          <w:rFonts w:eastAsia="Calibri"/>
          <w:vertAlign w:val="superscript"/>
          <w:lang w:val="de-DE"/>
        </w:rPr>
        <w:t xml:space="preserve"> 3)</w:t>
      </w:r>
    </w:p>
    <w:p w:rsidR="000F3924" w:rsidRPr="00DD2A86" w:rsidRDefault="000F3924" w:rsidP="00B61A90">
      <w:pPr>
        <w:tabs>
          <w:tab w:val="left" w:pos="2694"/>
          <w:tab w:val="left" w:pos="4536"/>
        </w:tabs>
        <w:spacing w:line="240" w:lineRule="auto"/>
        <w:ind w:left="2268"/>
        <w:jc w:val="both"/>
        <w:rPr>
          <w:rFonts w:eastAsia="Calibri"/>
          <w:lang w:val="de-DE"/>
        </w:rPr>
      </w:pPr>
      <w:r w:rsidRPr="00DD2A86">
        <w:rPr>
          <w:rFonts w:eastAsia="Calibri"/>
          <w:lang w:val="de-DE"/>
        </w:rPr>
        <w:tab/>
      </w:r>
      <w:r w:rsidRPr="00DD2A86">
        <w:rPr>
          <w:rFonts w:eastAsia="Calibri"/>
          <w:lang w:val="de-AT"/>
        </w:rPr>
        <w:t>……………………………………………………………………………………</w:t>
      </w:r>
    </w:p>
    <w:p w:rsidR="000F3924" w:rsidRPr="00DD2A86" w:rsidRDefault="000F3924" w:rsidP="00B61A90">
      <w:pPr>
        <w:tabs>
          <w:tab w:val="left" w:pos="2694"/>
          <w:tab w:val="left" w:pos="4536"/>
        </w:tabs>
        <w:spacing w:line="240" w:lineRule="auto"/>
        <w:ind w:left="2268"/>
        <w:jc w:val="both"/>
        <w:rPr>
          <w:rFonts w:eastAsia="Calibri"/>
          <w:lang w:val="de-DE"/>
        </w:rPr>
      </w:pPr>
      <w:r w:rsidRPr="00DD2A86">
        <w:rPr>
          <w:rFonts w:eastAsia="Calibri"/>
          <w:lang w:val="de-DE"/>
        </w:rPr>
        <w:tab/>
      </w:r>
      <w:r w:rsidRPr="00DD2A86">
        <w:rPr>
          <w:rFonts w:eastAsia="Calibri"/>
          <w:lang w:val="de-AT"/>
        </w:rPr>
        <w:t>……………………………………………………………………………………</w:t>
      </w:r>
    </w:p>
    <w:p w:rsidR="000F3924" w:rsidRPr="00DD2A86" w:rsidRDefault="000F3924" w:rsidP="00B61A90">
      <w:pPr>
        <w:tabs>
          <w:tab w:val="left" w:pos="2694"/>
          <w:tab w:val="left" w:pos="4536"/>
        </w:tabs>
        <w:spacing w:line="240" w:lineRule="auto"/>
        <w:ind w:left="2268"/>
        <w:jc w:val="both"/>
        <w:rPr>
          <w:rFonts w:eastAsia="Calibri"/>
          <w:lang w:val="de-DE"/>
        </w:rPr>
      </w:pPr>
      <w:r w:rsidRPr="00DD2A86">
        <w:rPr>
          <w:rFonts w:eastAsia="Calibri"/>
          <w:lang w:val="de-DE"/>
        </w:rPr>
        <w:tab/>
      </w:r>
      <w:r w:rsidRPr="00DD2A86">
        <w:rPr>
          <w:rFonts w:eastAsia="Calibri"/>
          <w:lang w:val="de-AT"/>
        </w:rPr>
        <w:t>……………………………………………………………………………………“</w:t>
      </w:r>
      <w:r w:rsidR="002C0B79" w:rsidRPr="00DD2A86">
        <w:rPr>
          <w:rFonts w:eastAsia="Calibri"/>
          <w:lang w:val="de-AT"/>
        </w:rPr>
        <w:t>.</w:t>
      </w:r>
    </w:p>
    <w:p w:rsidR="006E508C" w:rsidRPr="00DD2A86" w:rsidRDefault="006E508C" w:rsidP="006E508C">
      <w:pPr>
        <w:tabs>
          <w:tab w:val="left" w:pos="2410"/>
          <w:tab w:val="left" w:pos="4536"/>
        </w:tabs>
        <w:spacing w:before="120" w:line="240" w:lineRule="auto"/>
        <w:ind w:left="2268"/>
        <w:jc w:val="both"/>
        <w:rPr>
          <w:rFonts w:eastAsia="Calibri"/>
          <w:lang w:val="de-DE"/>
        </w:rPr>
      </w:pPr>
      <w:r w:rsidRPr="00DD2A86">
        <w:rPr>
          <w:rFonts w:eastAsia="Calibri"/>
          <w:vertAlign w:val="superscript"/>
          <w:lang w:val="de-DE"/>
        </w:rPr>
        <w:t>3)</w:t>
      </w:r>
      <w:r w:rsidRPr="00DD2A86">
        <w:rPr>
          <w:rFonts w:eastAsia="Calibri"/>
          <w:lang w:val="de-DE"/>
        </w:rPr>
        <w:t xml:space="preserve"> Für „x“ zutreffendes eintragen“.</w:t>
      </w:r>
    </w:p>
    <w:p w:rsidR="00DD6A22" w:rsidRPr="00DD2A86" w:rsidRDefault="000F3924" w:rsidP="00B61A90">
      <w:pPr>
        <w:tabs>
          <w:tab w:val="left" w:pos="2694"/>
          <w:tab w:val="left" w:pos="4536"/>
        </w:tabs>
        <w:spacing w:before="240" w:line="240" w:lineRule="auto"/>
        <w:ind w:left="1134"/>
        <w:jc w:val="both"/>
        <w:rPr>
          <w:rFonts w:eastAsia="Calibri"/>
          <w:lang w:val="de-DE"/>
        </w:rPr>
      </w:pPr>
      <w:r w:rsidRPr="00DD2A86">
        <w:rPr>
          <w:rFonts w:eastAsia="Calibri"/>
          <w:lang w:val="de-DE"/>
        </w:rPr>
        <w:t>8.6.1.3 und 8.6.1.4</w:t>
      </w:r>
      <w:r w:rsidR="0058162A" w:rsidRPr="00DD2A86">
        <w:rPr>
          <w:rFonts w:eastAsia="Calibri"/>
          <w:lang w:val="de-DE"/>
        </w:rPr>
        <w:t>, S</w:t>
      </w:r>
      <w:r w:rsidR="0058162A" w:rsidRPr="00DD2A86">
        <w:rPr>
          <w:lang w:val="de-DE"/>
        </w:rPr>
        <w:t>eite 3 der Muster:</w:t>
      </w:r>
    </w:p>
    <w:p w:rsidR="000F3924" w:rsidRPr="00DD2A86" w:rsidRDefault="000F3924" w:rsidP="00B61A90">
      <w:pPr>
        <w:tabs>
          <w:tab w:val="left" w:pos="2552"/>
          <w:tab w:val="left" w:pos="4536"/>
        </w:tabs>
        <w:spacing w:line="240" w:lineRule="auto"/>
        <w:ind w:left="2552" w:hanging="284"/>
        <w:jc w:val="both"/>
        <w:rPr>
          <w:rFonts w:eastAsia="Calibri"/>
          <w:lang w:val="de-DE"/>
        </w:rPr>
      </w:pPr>
      <w:r w:rsidRPr="00DD2A86">
        <w:rPr>
          <w:rFonts w:eastAsia="Calibri"/>
          <w:lang w:val="de-DE"/>
        </w:rPr>
        <w:t>-</w:t>
      </w:r>
      <w:r w:rsidRPr="00DD2A86">
        <w:rPr>
          <w:rFonts w:eastAsia="Calibri"/>
          <w:lang w:val="de-DE"/>
        </w:rPr>
        <w:tab/>
        <w:t>Zeile 8: „Hochgeschwindigkeitsventil“ ändern in: „Überdruck-/Hochgeschwindigkeitsventil“.</w:t>
      </w:r>
    </w:p>
    <w:p w:rsidR="000F3924" w:rsidRPr="00DD2A86" w:rsidRDefault="000F3924" w:rsidP="00B61A90">
      <w:pPr>
        <w:tabs>
          <w:tab w:val="left" w:pos="2552"/>
          <w:tab w:val="left" w:pos="4536"/>
        </w:tabs>
        <w:spacing w:line="240" w:lineRule="auto"/>
        <w:ind w:left="2552" w:hanging="284"/>
        <w:jc w:val="both"/>
        <w:rPr>
          <w:rFonts w:eastAsia="Calibri"/>
          <w:lang w:val="de-DE"/>
        </w:rPr>
      </w:pPr>
      <w:r w:rsidRPr="00DD2A86">
        <w:rPr>
          <w:rFonts w:eastAsia="Calibri"/>
          <w:lang w:val="de-DE"/>
        </w:rPr>
        <w:t>-</w:t>
      </w:r>
      <w:r w:rsidRPr="00DD2A86">
        <w:rPr>
          <w:rFonts w:eastAsia="Calibri"/>
          <w:lang w:val="de-DE"/>
        </w:rPr>
        <w:tab/>
        <w:t>Zeile 17 löschen</w:t>
      </w:r>
      <w:r w:rsidR="004E0439" w:rsidRPr="00DD2A86">
        <w:rPr>
          <w:rFonts w:eastAsia="Calibri"/>
          <w:lang w:val="de-DE"/>
        </w:rPr>
        <w:t>:</w:t>
      </w:r>
      <w:r w:rsidRPr="00DD2A86">
        <w:rPr>
          <w:rFonts w:eastAsia="Calibri"/>
          <w:lang w:val="de-DE"/>
        </w:rPr>
        <w:t xml:space="preserve"> („Ausführung der Gasabfuhrleitung nach Absatz 9.3.2.22.5 oder 9.3.3.22.5“).</w:t>
      </w:r>
    </w:p>
    <w:p w:rsidR="000F3924" w:rsidRPr="00DD2A86" w:rsidRDefault="000F3924" w:rsidP="00B61A90">
      <w:pPr>
        <w:tabs>
          <w:tab w:val="left" w:pos="2552"/>
          <w:tab w:val="left" w:pos="4536"/>
        </w:tabs>
        <w:spacing w:line="240" w:lineRule="auto"/>
        <w:ind w:left="2552" w:hanging="284"/>
        <w:jc w:val="both"/>
        <w:rPr>
          <w:rFonts w:eastAsia="Calibri"/>
          <w:lang w:val="de-DE"/>
        </w:rPr>
      </w:pPr>
      <w:r w:rsidRPr="00DD2A86">
        <w:rPr>
          <w:rFonts w:eastAsia="Calibri"/>
          <w:lang w:val="de-DE"/>
        </w:rPr>
        <w:t>-</w:t>
      </w:r>
      <w:r w:rsidRPr="00DD2A86">
        <w:rPr>
          <w:rFonts w:eastAsia="Calibri"/>
          <w:lang w:val="de-DE"/>
        </w:rPr>
        <w:tab/>
        <w:t>Zeile 19: „Kapitel 3.2“ ändern in: „Unterabschnitt 3.2.3.2“.</w:t>
      </w:r>
    </w:p>
    <w:p w:rsidR="00804CE9" w:rsidRPr="00DD2A86" w:rsidRDefault="00804CE9">
      <w:pPr>
        <w:suppressAutoHyphens w:val="0"/>
        <w:spacing w:line="240" w:lineRule="auto"/>
        <w:rPr>
          <w:lang w:val="de-DE"/>
        </w:rPr>
      </w:pPr>
    </w:p>
    <w:p w:rsidR="007C000A" w:rsidRPr="00DD2A86" w:rsidRDefault="007C000A">
      <w:pPr>
        <w:suppressAutoHyphens w:val="0"/>
        <w:spacing w:line="240" w:lineRule="auto"/>
        <w:rPr>
          <w:lang w:val="de-DE"/>
        </w:rPr>
      </w:pPr>
      <w:r w:rsidRPr="00DD2A86">
        <w:rPr>
          <w:lang w:val="de-DE"/>
        </w:rPr>
        <w:br w:type="page"/>
      </w:r>
    </w:p>
    <w:p w:rsidR="00CF0D63" w:rsidRPr="00DD2A86" w:rsidRDefault="00CF0D63" w:rsidP="00CF0D63">
      <w:pPr>
        <w:tabs>
          <w:tab w:val="left" w:pos="2268"/>
        </w:tabs>
        <w:spacing w:before="120" w:after="120"/>
        <w:ind w:left="1134" w:right="1134"/>
        <w:jc w:val="both"/>
        <w:rPr>
          <w:lang w:val="de-DE"/>
        </w:rPr>
      </w:pPr>
      <w:r w:rsidRPr="00DD2A86">
        <w:rPr>
          <w:lang w:val="de-DE"/>
        </w:rPr>
        <w:t>8.6.2</w:t>
      </w:r>
      <w:r w:rsidRPr="00DD2A86">
        <w:rPr>
          <w:lang w:val="de-DE"/>
        </w:rPr>
        <w:tab/>
        <w:t>Erhält folgenden Wortlaut:</w:t>
      </w:r>
    </w:p>
    <w:p w:rsidR="00CF0D63" w:rsidRPr="00DD2A86" w:rsidRDefault="00CF0D63" w:rsidP="00CF0D63">
      <w:pPr>
        <w:widowControl w:val="0"/>
        <w:tabs>
          <w:tab w:val="left" w:pos="2268"/>
        </w:tabs>
        <w:suppressAutoHyphens w:val="0"/>
        <w:overflowPunct w:val="0"/>
        <w:autoSpaceDE w:val="0"/>
        <w:autoSpaceDN w:val="0"/>
        <w:adjustRightInd w:val="0"/>
        <w:ind w:left="1134" w:hanging="1"/>
        <w:jc w:val="both"/>
        <w:textAlignment w:val="baseline"/>
        <w:rPr>
          <w:rFonts w:eastAsia="MS Mincho"/>
          <w:b/>
          <w:lang w:val="de-DE" w:eastAsia="fr-FR"/>
        </w:rPr>
      </w:pPr>
      <w:r w:rsidRPr="00DD2A86">
        <w:rPr>
          <w:rFonts w:eastAsia="MS Mincho"/>
          <w:b/>
          <w:lang w:val="de-DE" w:eastAsia="fr-FR"/>
        </w:rPr>
        <w:t>„8.6.2</w:t>
      </w:r>
      <w:r w:rsidRPr="00DD2A86">
        <w:rPr>
          <w:rFonts w:eastAsia="MS Mincho"/>
          <w:b/>
          <w:lang w:val="de-DE" w:eastAsia="fr-FR"/>
        </w:rPr>
        <w:tab/>
        <w:t>Bescheinigung über besondere Kenntnisse des ADN gemäß Unterabschnitt 8.2.1.2, 8.2.1.5 oder 8.2.1.7</w:t>
      </w:r>
    </w:p>
    <w:p w:rsidR="00CF0D63" w:rsidRPr="00DD2A86" w:rsidRDefault="00CF0D63" w:rsidP="00CF0D63">
      <w:pPr>
        <w:widowControl w:val="0"/>
        <w:suppressAutoHyphens w:val="0"/>
        <w:overflowPunct w:val="0"/>
        <w:autoSpaceDE w:val="0"/>
        <w:autoSpaceDN w:val="0"/>
        <w:adjustRightInd w:val="0"/>
        <w:ind w:left="1134" w:hanging="1134"/>
        <w:jc w:val="both"/>
        <w:textAlignment w:val="baseline"/>
        <w:rPr>
          <w:rFonts w:eastAsia="MS Mincho"/>
          <w:bCs/>
          <w:u w:val="single"/>
          <w:lang w:val="de-DE" w:eastAsia="fr-FR"/>
        </w:rPr>
      </w:pPr>
    </w:p>
    <w:p w:rsidR="00CF0D63" w:rsidRPr="00DD2A86" w:rsidRDefault="00CF0D63" w:rsidP="00CF0D63">
      <w:pPr>
        <w:widowControl w:val="0"/>
        <w:suppressAutoHyphens w:val="0"/>
        <w:overflowPunct w:val="0"/>
        <w:autoSpaceDE w:val="0"/>
        <w:autoSpaceDN w:val="0"/>
        <w:adjustRightInd w:val="0"/>
        <w:ind w:left="2268" w:hanging="1134"/>
        <w:jc w:val="both"/>
        <w:textAlignment w:val="baseline"/>
        <w:rPr>
          <w:u w:val="single"/>
          <w:lang w:val="de-DE" w:eastAsia="fr-FR"/>
        </w:rPr>
      </w:pPr>
      <w:r w:rsidRPr="00DD2A86">
        <w:rPr>
          <w:noProof/>
          <w:lang w:val="fr-FR" w:eastAsia="fr-FR"/>
        </w:rPr>
        <mc:AlternateContent>
          <mc:Choice Requires="wps">
            <w:drawing>
              <wp:anchor distT="0" distB="0" distL="114300" distR="114300" simplePos="0" relativeHeight="251704320" behindDoc="0" locked="0" layoutInCell="1" allowOverlap="1" wp14:anchorId="340475DE" wp14:editId="2A2A9A3E">
                <wp:simplePos x="0" y="0"/>
                <wp:positionH relativeFrom="column">
                  <wp:posOffset>725805</wp:posOffset>
                </wp:positionH>
                <wp:positionV relativeFrom="paragraph">
                  <wp:posOffset>179070</wp:posOffset>
                </wp:positionV>
                <wp:extent cx="2846070" cy="1981835"/>
                <wp:effectExtent l="0" t="0" r="11430" b="18415"/>
                <wp:wrapNone/>
                <wp:docPr id="2324" name="Zone de texte 2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6070" cy="1981835"/>
                        </a:xfrm>
                        <a:prstGeom prst="rect">
                          <a:avLst/>
                        </a:prstGeom>
                        <a:noFill/>
                        <a:ln w="6350">
                          <a:solidFill>
                            <a:prstClr val="black"/>
                          </a:solidFill>
                        </a:ln>
                        <a:effectLst/>
                      </wps:spPr>
                      <wps:txbx>
                        <w:txbxContent>
                          <w:p w:rsidR="00AA4416" w:rsidRPr="00A25B7C" w:rsidRDefault="00AA4416" w:rsidP="00CF0D63">
                            <w:pPr>
                              <w:rPr>
                                <w:sz w:val="16"/>
                                <w:lang w:val="de-DE"/>
                              </w:rPr>
                            </w:pPr>
                            <w:r w:rsidRPr="00A25B7C">
                              <w:rPr>
                                <w:sz w:val="16"/>
                                <w:lang w:val="de-DE"/>
                              </w:rPr>
                              <w:t>(**)</w:t>
                            </w:r>
                          </w:p>
                          <w:p w:rsidR="00AA4416" w:rsidRPr="00A25B7C" w:rsidRDefault="00AA4416" w:rsidP="00CF0D63">
                            <w:pPr>
                              <w:rPr>
                                <w:sz w:val="16"/>
                                <w:lang w:val="de-DE"/>
                              </w:rPr>
                            </w:pPr>
                          </w:p>
                          <w:p w:rsidR="00AA4416" w:rsidRPr="00A25B7C" w:rsidRDefault="00AA4416" w:rsidP="00CF0D63">
                            <w:pPr>
                              <w:rPr>
                                <w:sz w:val="16"/>
                                <w:lang w:val="de-DE"/>
                              </w:rPr>
                            </w:pPr>
                            <w:r w:rsidRPr="00A25B7C">
                              <w:rPr>
                                <w:sz w:val="16"/>
                                <w:lang w:val="de-DE"/>
                              </w:rPr>
                              <w:t>Bescheinigung über besondere Kenntnisse des ADN</w:t>
                            </w:r>
                          </w:p>
                          <w:p w:rsidR="00AA4416" w:rsidRPr="00A25B7C" w:rsidRDefault="00AA4416" w:rsidP="00CF0D63">
                            <w:pPr>
                              <w:rPr>
                                <w:sz w:val="14"/>
                                <w:lang w:val="de-DE"/>
                              </w:rPr>
                            </w:pPr>
                          </w:p>
                          <w:p w:rsidR="00AA4416" w:rsidRPr="00A25B7C" w:rsidRDefault="00AA4416" w:rsidP="00CF0D63">
                            <w:pPr>
                              <w:rPr>
                                <w:sz w:val="14"/>
                                <w:lang w:val="de-DE"/>
                              </w:rPr>
                            </w:pPr>
                            <w:r w:rsidRPr="00A25B7C">
                              <w:rPr>
                                <w:sz w:val="14"/>
                                <w:lang w:val="de-DE"/>
                              </w:rPr>
                              <w:t>1. (Nummer der Bescheinigung)</w:t>
                            </w:r>
                          </w:p>
                          <w:p w:rsidR="00AA4416" w:rsidRPr="00A25B7C" w:rsidRDefault="00AA4416" w:rsidP="00CF0D63">
                            <w:pPr>
                              <w:rPr>
                                <w:sz w:val="14"/>
                                <w:lang w:val="de-DE"/>
                              </w:rPr>
                            </w:pPr>
                            <w:r w:rsidRPr="00A25B7C">
                              <w:rPr>
                                <w:sz w:val="14"/>
                                <w:lang w:val="de-DE"/>
                              </w:rPr>
                              <w:t>2. (Name)</w:t>
                            </w:r>
                          </w:p>
                          <w:p w:rsidR="00AA4416" w:rsidRPr="00A25B7C" w:rsidRDefault="00AA4416" w:rsidP="00CF0D63">
                            <w:pPr>
                              <w:rPr>
                                <w:sz w:val="14"/>
                                <w:lang w:val="de-DE"/>
                              </w:rPr>
                            </w:pPr>
                            <w:r w:rsidRPr="00A25B7C">
                              <w:rPr>
                                <w:sz w:val="14"/>
                                <w:lang w:val="de-DE"/>
                              </w:rPr>
                              <w:t>3. (Vorname</w:t>
                            </w:r>
                            <w:r>
                              <w:rPr>
                                <w:sz w:val="14"/>
                                <w:lang w:val="de-DE"/>
                              </w:rPr>
                              <w:t>(</w:t>
                            </w:r>
                            <w:r w:rsidRPr="00A25B7C">
                              <w:rPr>
                                <w:sz w:val="14"/>
                                <w:lang w:val="de-DE"/>
                              </w:rPr>
                              <w:t>n)</w:t>
                            </w:r>
                            <w:r>
                              <w:rPr>
                                <w:sz w:val="14"/>
                                <w:lang w:val="de-DE"/>
                              </w:rPr>
                              <w:t>)</w:t>
                            </w:r>
                          </w:p>
                          <w:p w:rsidR="00AA4416" w:rsidRPr="00A25B7C" w:rsidRDefault="00AA4416" w:rsidP="00CF0D63">
                            <w:pPr>
                              <w:rPr>
                                <w:sz w:val="14"/>
                                <w:lang w:val="de-DE"/>
                              </w:rPr>
                            </w:pPr>
                            <w:r w:rsidRPr="00A25B7C">
                              <w:rPr>
                                <w:sz w:val="14"/>
                                <w:lang w:val="de-DE"/>
                              </w:rPr>
                              <w:t>4. (Geburtsdatum TT/MM/JJJJ)</w:t>
                            </w:r>
                          </w:p>
                          <w:p w:rsidR="00AA4416" w:rsidRPr="00A25B7C" w:rsidRDefault="00AA4416" w:rsidP="00CF0D63">
                            <w:pPr>
                              <w:rPr>
                                <w:sz w:val="14"/>
                                <w:lang w:val="de-DE"/>
                              </w:rPr>
                            </w:pPr>
                            <w:r w:rsidRPr="00A25B7C">
                              <w:rPr>
                                <w:sz w:val="14"/>
                                <w:lang w:val="de-DE"/>
                              </w:rPr>
                              <w:t>5. (Staatsangehörigkeit)</w:t>
                            </w:r>
                          </w:p>
                          <w:p w:rsidR="00AA4416" w:rsidRPr="00A25B7C" w:rsidRDefault="00AA4416" w:rsidP="00CF0D63">
                            <w:pPr>
                              <w:rPr>
                                <w:sz w:val="14"/>
                                <w:lang w:val="de-DE"/>
                              </w:rPr>
                            </w:pPr>
                            <w:r w:rsidRPr="00A25B7C">
                              <w:rPr>
                                <w:sz w:val="14"/>
                                <w:lang w:val="de-DE"/>
                              </w:rPr>
                              <w:t>6. (Unterschrift des Sachkundigen)</w:t>
                            </w:r>
                          </w:p>
                          <w:p w:rsidR="00AA4416" w:rsidRPr="00A25B7C" w:rsidRDefault="00AA4416" w:rsidP="00CF0D63">
                            <w:pPr>
                              <w:rPr>
                                <w:sz w:val="14"/>
                                <w:lang w:val="de-DE"/>
                              </w:rPr>
                            </w:pPr>
                            <w:r w:rsidRPr="00A25B7C">
                              <w:rPr>
                                <w:sz w:val="14"/>
                                <w:lang w:val="de-DE"/>
                              </w:rPr>
                              <w:t>7. (Ausstellende Behörde)</w:t>
                            </w:r>
                          </w:p>
                          <w:p w:rsidR="00AA4416" w:rsidRPr="00A25B7C" w:rsidRDefault="00AA4416" w:rsidP="00CF0D63">
                            <w:pPr>
                              <w:rPr>
                                <w:sz w:val="14"/>
                                <w:lang w:val="de-DE"/>
                              </w:rPr>
                            </w:pPr>
                            <w:r w:rsidRPr="00A25B7C">
                              <w:rPr>
                                <w:sz w:val="14"/>
                                <w:lang w:val="de-DE"/>
                              </w:rPr>
                              <w:t>8. GÜLTIG BIS: (TT/MM/JJJJ)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475DE" id="Zone de texte 2324" o:spid="_x0000_s1713" type="#_x0000_t202" style="position:absolute;left:0;text-align:left;margin-left:57.15pt;margin-top:14.1pt;width:224.1pt;height:156.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" filled="f" strokeweight=".5pt">
                <v:path arrowok="t"/>
                <v:textbox>
                  <w:txbxContent>
                    <w:p w:rsidR="00AA4416" w:rsidRPr="00A25B7C" w:rsidRDefault="00AA4416" w:rsidP="00CF0D63">
                      <w:pPr>
                        <w:rPr>
                          <w:sz w:val="16"/>
                          <w:lang w:val="de-DE"/>
                        </w:rPr>
                      </w:pPr>
                      <w:r w:rsidRPr="00A25B7C">
                        <w:rPr>
                          <w:sz w:val="16"/>
                          <w:lang w:val="de-DE"/>
                        </w:rPr>
                        <w:t>(**)</w:t>
                      </w:r>
                    </w:p>
                    <w:p w:rsidR="00AA4416" w:rsidRPr="00A25B7C" w:rsidRDefault="00AA4416" w:rsidP="00CF0D63">
                      <w:pPr>
                        <w:rPr>
                          <w:sz w:val="16"/>
                          <w:lang w:val="de-DE"/>
                        </w:rPr>
                      </w:pPr>
                    </w:p>
                    <w:p w:rsidR="00AA4416" w:rsidRPr="00A25B7C" w:rsidRDefault="00AA4416" w:rsidP="00CF0D63">
                      <w:pPr>
                        <w:rPr>
                          <w:sz w:val="16"/>
                          <w:lang w:val="de-DE"/>
                        </w:rPr>
                      </w:pPr>
                      <w:r w:rsidRPr="00A25B7C">
                        <w:rPr>
                          <w:sz w:val="16"/>
                          <w:lang w:val="de-DE"/>
                        </w:rPr>
                        <w:t>Bescheinigung über besondere Kenntnisse des ADN</w:t>
                      </w:r>
                    </w:p>
                    <w:p w:rsidR="00AA4416" w:rsidRPr="00A25B7C" w:rsidRDefault="00AA4416" w:rsidP="00CF0D63">
                      <w:pPr>
                        <w:rPr>
                          <w:sz w:val="14"/>
                          <w:lang w:val="de-DE"/>
                        </w:rPr>
                      </w:pPr>
                    </w:p>
                    <w:p w:rsidR="00AA4416" w:rsidRPr="00A25B7C" w:rsidRDefault="00AA4416" w:rsidP="00CF0D63">
                      <w:pPr>
                        <w:rPr>
                          <w:sz w:val="14"/>
                          <w:lang w:val="de-DE"/>
                        </w:rPr>
                      </w:pPr>
                      <w:r w:rsidRPr="00A25B7C">
                        <w:rPr>
                          <w:sz w:val="14"/>
                          <w:lang w:val="de-DE"/>
                        </w:rPr>
                        <w:t>1. (Nummer der Bescheinigung)</w:t>
                      </w:r>
                    </w:p>
                    <w:p w:rsidR="00AA4416" w:rsidRPr="00A25B7C" w:rsidRDefault="00AA4416" w:rsidP="00CF0D63">
                      <w:pPr>
                        <w:rPr>
                          <w:sz w:val="14"/>
                          <w:lang w:val="de-DE"/>
                        </w:rPr>
                      </w:pPr>
                      <w:r w:rsidRPr="00A25B7C">
                        <w:rPr>
                          <w:sz w:val="14"/>
                          <w:lang w:val="de-DE"/>
                        </w:rPr>
                        <w:t>2. (Name)</w:t>
                      </w:r>
                    </w:p>
                    <w:p w:rsidR="00AA4416" w:rsidRPr="00A25B7C" w:rsidRDefault="00AA4416" w:rsidP="00CF0D63">
                      <w:pPr>
                        <w:rPr>
                          <w:sz w:val="14"/>
                          <w:lang w:val="de-DE"/>
                        </w:rPr>
                      </w:pPr>
                      <w:r w:rsidRPr="00A25B7C">
                        <w:rPr>
                          <w:sz w:val="14"/>
                          <w:lang w:val="de-DE"/>
                        </w:rPr>
                        <w:t>3. (Vorname</w:t>
                      </w:r>
                      <w:r>
                        <w:rPr>
                          <w:sz w:val="14"/>
                          <w:lang w:val="de-DE"/>
                        </w:rPr>
                        <w:t>(</w:t>
                      </w:r>
                      <w:r w:rsidRPr="00A25B7C">
                        <w:rPr>
                          <w:sz w:val="14"/>
                          <w:lang w:val="de-DE"/>
                        </w:rPr>
                        <w:t>n)</w:t>
                      </w:r>
                      <w:r>
                        <w:rPr>
                          <w:sz w:val="14"/>
                          <w:lang w:val="de-DE"/>
                        </w:rPr>
                        <w:t>)</w:t>
                      </w:r>
                    </w:p>
                    <w:p w:rsidR="00AA4416" w:rsidRPr="00A25B7C" w:rsidRDefault="00AA4416" w:rsidP="00CF0D63">
                      <w:pPr>
                        <w:rPr>
                          <w:sz w:val="14"/>
                          <w:lang w:val="de-DE"/>
                        </w:rPr>
                      </w:pPr>
                      <w:r w:rsidRPr="00A25B7C">
                        <w:rPr>
                          <w:sz w:val="14"/>
                          <w:lang w:val="de-DE"/>
                        </w:rPr>
                        <w:t>4. (Geburtsdatum TT/MM/JJJJ)</w:t>
                      </w:r>
                    </w:p>
                    <w:p w:rsidR="00AA4416" w:rsidRPr="00A25B7C" w:rsidRDefault="00AA4416" w:rsidP="00CF0D63">
                      <w:pPr>
                        <w:rPr>
                          <w:sz w:val="14"/>
                          <w:lang w:val="de-DE"/>
                        </w:rPr>
                      </w:pPr>
                      <w:r w:rsidRPr="00A25B7C">
                        <w:rPr>
                          <w:sz w:val="14"/>
                          <w:lang w:val="de-DE"/>
                        </w:rPr>
                        <w:t>5. (Staatsangehörigkeit)</w:t>
                      </w:r>
                    </w:p>
                    <w:p w:rsidR="00AA4416" w:rsidRPr="00A25B7C" w:rsidRDefault="00AA4416" w:rsidP="00CF0D63">
                      <w:pPr>
                        <w:rPr>
                          <w:sz w:val="14"/>
                          <w:lang w:val="de-DE"/>
                        </w:rPr>
                      </w:pPr>
                      <w:r w:rsidRPr="00A25B7C">
                        <w:rPr>
                          <w:sz w:val="14"/>
                          <w:lang w:val="de-DE"/>
                        </w:rPr>
                        <w:t>6. (Unterschrift des Sachkundigen)</w:t>
                      </w:r>
                    </w:p>
                    <w:p w:rsidR="00AA4416" w:rsidRPr="00A25B7C" w:rsidRDefault="00AA4416" w:rsidP="00CF0D63">
                      <w:pPr>
                        <w:rPr>
                          <w:sz w:val="14"/>
                          <w:lang w:val="de-DE"/>
                        </w:rPr>
                      </w:pPr>
                      <w:r w:rsidRPr="00A25B7C">
                        <w:rPr>
                          <w:sz w:val="14"/>
                          <w:lang w:val="de-DE"/>
                        </w:rPr>
                        <w:t>7. (Ausstellende Behörde)</w:t>
                      </w:r>
                    </w:p>
                    <w:p w:rsidR="00AA4416" w:rsidRPr="00A25B7C" w:rsidRDefault="00AA4416" w:rsidP="00CF0D63">
                      <w:pPr>
                        <w:rPr>
                          <w:sz w:val="14"/>
                          <w:lang w:val="de-DE"/>
                        </w:rPr>
                      </w:pPr>
                      <w:r w:rsidRPr="00A25B7C">
                        <w:rPr>
                          <w:sz w:val="14"/>
                          <w:lang w:val="de-DE"/>
                        </w:rPr>
                        <w:t>8. GÜLTIG BIS: (TT/MM/JJJJ)</w:t>
                      </w:r>
                    </w:p>
                  </w:txbxContent>
                </v:textbox>
              </v:shape>
            </w:pict>
          </mc:Fallback>
        </mc:AlternateContent>
      </w:r>
      <w:r w:rsidRPr="00DD2A86">
        <w:rPr>
          <w:u w:val="single"/>
          <w:lang w:val="de-DE" w:eastAsia="fr-FR"/>
        </w:rPr>
        <w:t>(Vorderseite)</w:t>
      </w:r>
      <w:r w:rsidRPr="00DD2A86">
        <w:rPr>
          <w:u w:val="single"/>
          <w:lang w:val="de-DE" w:eastAsia="fr-FR"/>
        </w:rPr>
        <w:br/>
      </w:r>
    </w:p>
    <w:p w:rsidR="00CF0D63" w:rsidRPr="00DD2A86" w:rsidRDefault="00CF0D63" w:rsidP="00CF0D63">
      <w:pPr>
        <w:widowControl w:val="0"/>
        <w:suppressAutoHyphens w:val="0"/>
        <w:overflowPunct w:val="0"/>
        <w:autoSpaceDE w:val="0"/>
        <w:autoSpaceDN w:val="0"/>
        <w:adjustRightInd w:val="0"/>
        <w:spacing w:before="100" w:beforeAutospacing="1" w:after="100" w:afterAutospacing="1"/>
        <w:ind w:left="1134" w:hanging="1134"/>
        <w:jc w:val="both"/>
        <w:textAlignment w:val="baseline"/>
        <w:rPr>
          <w:u w:val="single"/>
          <w:lang w:val="de-DE" w:eastAsia="fr-FR"/>
        </w:rPr>
      </w:pPr>
    </w:p>
    <w:p w:rsidR="00CF0D63" w:rsidRPr="00DD2A86" w:rsidRDefault="00CF0D63" w:rsidP="00CF0D63">
      <w:pPr>
        <w:widowControl w:val="0"/>
        <w:suppressAutoHyphens w:val="0"/>
        <w:overflowPunct w:val="0"/>
        <w:autoSpaceDE w:val="0"/>
        <w:autoSpaceDN w:val="0"/>
        <w:adjustRightInd w:val="0"/>
        <w:spacing w:before="100" w:beforeAutospacing="1" w:after="100" w:afterAutospacing="1"/>
        <w:ind w:left="1134" w:hanging="1134"/>
        <w:jc w:val="both"/>
        <w:textAlignment w:val="baseline"/>
        <w:rPr>
          <w:u w:val="single"/>
          <w:lang w:val="de-DE" w:eastAsia="fr-FR"/>
        </w:rPr>
      </w:pPr>
      <w:r w:rsidRPr="00DD2A86">
        <w:rPr>
          <w:noProof/>
          <w:lang w:val="fr-FR" w:eastAsia="fr-FR"/>
        </w:rPr>
        <mc:AlternateContent>
          <mc:Choice Requires="wps">
            <w:drawing>
              <wp:anchor distT="0" distB="0" distL="114300" distR="114300" simplePos="0" relativeHeight="251705344" behindDoc="0" locked="0" layoutInCell="1" allowOverlap="1" wp14:anchorId="3F6C1923" wp14:editId="310D1AAC">
                <wp:simplePos x="0" y="0"/>
                <wp:positionH relativeFrom="column">
                  <wp:posOffset>2642235</wp:posOffset>
                </wp:positionH>
                <wp:positionV relativeFrom="paragraph">
                  <wp:posOffset>208915</wp:posOffset>
                </wp:positionV>
                <wp:extent cx="738505" cy="1036955"/>
                <wp:effectExtent l="0" t="0" r="23495" b="10795"/>
                <wp:wrapNone/>
                <wp:docPr id="2323" name="Zone de texte 2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8505" cy="1036955"/>
                        </a:xfrm>
                        <a:prstGeom prst="rect">
                          <a:avLst/>
                        </a:prstGeom>
                        <a:solidFill>
                          <a:sysClr val="window" lastClr="FFFFFF"/>
                        </a:solidFill>
                        <a:ln w="6350">
                          <a:solidFill>
                            <a:prstClr val="black"/>
                          </a:solidFill>
                        </a:ln>
                        <a:effectLst/>
                      </wps:spPr>
                      <wps:txbx>
                        <w:txbxContent>
                          <w:p w:rsidR="00AA4416" w:rsidRPr="001E5CE3" w:rsidRDefault="00AA4416" w:rsidP="00CF0D63">
                            <w:pPr>
                              <w:rPr>
                                <w:sz w:val="14"/>
                              </w:rPr>
                            </w:pPr>
                            <w:r w:rsidRPr="001E5CE3">
                              <w:rPr>
                                <w:sz w:val="14"/>
                              </w:rPr>
                              <w:t>Foto des</w:t>
                            </w:r>
                          </w:p>
                          <w:p w:rsidR="00AA4416" w:rsidRPr="001E5CE3" w:rsidRDefault="00AA4416" w:rsidP="00CF0D63">
                            <w:pPr>
                              <w:rPr>
                                <w:sz w:val="14"/>
                              </w:rPr>
                            </w:pPr>
                            <w:r w:rsidRPr="001E5CE3">
                              <w:rPr>
                                <w:sz w:val="14"/>
                              </w:rPr>
                              <w:t>Sachkundigen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F6C1923" id="Zone de texte 2323" o:spid="_x0000_s1714" type="#_x0000_t202" style="position:absolute;left:0;text-align:left;margin-left:208.05pt;margin-top:16.45pt;width:58.15pt;height:81.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" fillcolor="window" strokeweight=".5pt">
                <v:path arrowok="t"/>
                <v:textbox>
                  <w:txbxContent>
                    <w:p w:rsidR="00AA4416" w:rsidRPr="001E5CE3" w:rsidRDefault="00AA4416" w:rsidP="00CF0D63">
                      <w:pPr>
                        <w:rPr>
                          <w:sz w:val="14"/>
                        </w:rPr>
                      </w:pPr>
                      <w:r w:rsidRPr="001E5CE3">
                        <w:rPr>
                          <w:sz w:val="14"/>
                        </w:rPr>
                        <w:t>Foto des</w:t>
                      </w:r>
                    </w:p>
                    <w:p w:rsidR="00AA4416" w:rsidRPr="001E5CE3" w:rsidRDefault="00AA4416" w:rsidP="00CF0D63">
                      <w:pPr>
                        <w:rPr>
                          <w:sz w:val="14"/>
                        </w:rPr>
                      </w:pPr>
                      <w:r w:rsidRPr="001E5CE3">
                        <w:rPr>
                          <w:sz w:val="14"/>
                        </w:rPr>
                        <w:t>Sachkundigen</w:t>
                      </w:r>
                    </w:p>
                  </w:txbxContent>
                </v:textbox>
              </v:shape>
            </w:pict>
          </mc:Fallback>
        </mc:AlternateContent>
      </w:r>
    </w:p>
    <w:p w:rsidR="00CF0D63" w:rsidRPr="00DD2A86" w:rsidRDefault="00CF0D63" w:rsidP="00CF0D63">
      <w:pPr>
        <w:widowControl w:val="0"/>
        <w:suppressAutoHyphens w:val="0"/>
        <w:overflowPunct w:val="0"/>
        <w:autoSpaceDE w:val="0"/>
        <w:autoSpaceDN w:val="0"/>
        <w:adjustRightInd w:val="0"/>
        <w:spacing w:before="100" w:beforeAutospacing="1" w:after="100" w:afterAutospacing="1"/>
        <w:ind w:left="1134" w:hanging="1134"/>
        <w:jc w:val="both"/>
        <w:textAlignment w:val="baseline"/>
        <w:rPr>
          <w:u w:val="single"/>
          <w:lang w:val="de-DE" w:eastAsia="fr-FR"/>
        </w:rPr>
      </w:pPr>
    </w:p>
    <w:p w:rsidR="00CF0D63" w:rsidRPr="00DD2A86" w:rsidRDefault="00CF0D63" w:rsidP="00CF0D63">
      <w:pPr>
        <w:widowControl w:val="0"/>
        <w:suppressAutoHyphens w:val="0"/>
        <w:overflowPunct w:val="0"/>
        <w:autoSpaceDE w:val="0"/>
        <w:autoSpaceDN w:val="0"/>
        <w:adjustRightInd w:val="0"/>
        <w:ind w:left="1134" w:hanging="1134"/>
        <w:jc w:val="both"/>
        <w:textAlignment w:val="baseline"/>
        <w:rPr>
          <w:u w:val="single"/>
          <w:lang w:val="de-DE" w:eastAsia="fr-FR"/>
        </w:rPr>
      </w:pPr>
    </w:p>
    <w:p w:rsidR="00CF0D63" w:rsidRPr="00DD2A86" w:rsidRDefault="00CF0D63" w:rsidP="00CF0D63">
      <w:pPr>
        <w:widowControl w:val="0"/>
        <w:suppressAutoHyphens w:val="0"/>
        <w:overflowPunct w:val="0"/>
        <w:autoSpaceDE w:val="0"/>
        <w:autoSpaceDN w:val="0"/>
        <w:adjustRightInd w:val="0"/>
        <w:spacing w:before="100" w:beforeAutospacing="1"/>
        <w:ind w:left="2268" w:hanging="1134"/>
        <w:jc w:val="both"/>
        <w:textAlignment w:val="baseline"/>
        <w:rPr>
          <w:u w:val="single"/>
          <w:lang w:val="de-DE" w:eastAsia="fr-FR"/>
        </w:rPr>
      </w:pPr>
    </w:p>
    <w:p w:rsidR="00CF0D63" w:rsidRPr="00DD2A86" w:rsidRDefault="00CF0D63" w:rsidP="00CF0D63">
      <w:pPr>
        <w:widowControl w:val="0"/>
        <w:suppressAutoHyphens w:val="0"/>
        <w:overflowPunct w:val="0"/>
        <w:autoSpaceDE w:val="0"/>
        <w:autoSpaceDN w:val="0"/>
        <w:adjustRightInd w:val="0"/>
        <w:spacing w:before="100" w:beforeAutospacing="1"/>
        <w:ind w:left="2268" w:hanging="1134"/>
        <w:jc w:val="both"/>
        <w:textAlignment w:val="baseline"/>
        <w:rPr>
          <w:u w:val="single"/>
          <w:lang w:val="de-DE" w:eastAsia="fr-FR"/>
        </w:rPr>
      </w:pPr>
    </w:p>
    <w:p w:rsidR="00CF0D63" w:rsidRPr="00DD2A86" w:rsidRDefault="00CF0D63" w:rsidP="00CF0D63">
      <w:pPr>
        <w:widowControl w:val="0"/>
        <w:suppressAutoHyphens w:val="0"/>
        <w:overflowPunct w:val="0"/>
        <w:autoSpaceDE w:val="0"/>
        <w:autoSpaceDN w:val="0"/>
        <w:adjustRightInd w:val="0"/>
        <w:spacing w:before="100" w:beforeAutospacing="1"/>
        <w:ind w:left="2268" w:hanging="1134"/>
        <w:jc w:val="both"/>
        <w:textAlignment w:val="baseline"/>
        <w:rPr>
          <w:u w:val="single"/>
          <w:lang w:val="de-DE" w:eastAsia="fr-FR"/>
        </w:rPr>
      </w:pPr>
      <w:r w:rsidRPr="00DD2A86">
        <w:rPr>
          <w:noProof/>
          <w:lang w:val="fr-FR" w:eastAsia="fr-FR"/>
        </w:rPr>
        <mc:AlternateContent>
          <mc:Choice Requires="wps">
            <w:drawing>
              <wp:anchor distT="0" distB="0" distL="114300" distR="114300" simplePos="0" relativeHeight="251706368" behindDoc="0" locked="0" layoutInCell="1" allowOverlap="1" wp14:anchorId="5EC512D9" wp14:editId="4970EAEB">
                <wp:simplePos x="0" y="0"/>
                <wp:positionH relativeFrom="column">
                  <wp:posOffset>725805</wp:posOffset>
                </wp:positionH>
                <wp:positionV relativeFrom="paragraph">
                  <wp:posOffset>378460</wp:posOffset>
                </wp:positionV>
                <wp:extent cx="2887345" cy="1789430"/>
                <wp:effectExtent l="0" t="0" r="27305" b="20320"/>
                <wp:wrapNone/>
                <wp:docPr id="2322" name="Zone de texte 2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7345" cy="1789430"/>
                        </a:xfrm>
                        <a:prstGeom prst="rect">
                          <a:avLst/>
                        </a:prstGeom>
                        <a:noFill/>
                        <a:ln w="6350">
                          <a:solidFill>
                            <a:prstClr val="black"/>
                          </a:solidFill>
                        </a:ln>
                        <a:effectLst/>
                      </wps:spPr>
                      <wps:txbx>
                        <w:txbxContent>
                          <w:p w:rsidR="00AA4416" w:rsidRPr="001E5CE3" w:rsidRDefault="00AA4416" w:rsidP="00CF0D63">
                            <w:pPr>
                              <w:ind w:left="2550"/>
                              <w:rPr>
                                <w:sz w:val="16"/>
                              </w:rPr>
                            </w:pPr>
                          </w:p>
                          <w:p w:rsidR="00AA4416" w:rsidRPr="001E5CE3" w:rsidRDefault="00AA4416" w:rsidP="00CF0D63">
                            <w:pPr>
                              <w:rPr>
                                <w:sz w:val="16"/>
                              </w:rPr>
                            </w:pPr>
                          </w:p>
                          <w:p w:rsidR="00AA4416" w:rsidRPr="00A25B7C" w:rsidRDefault="00AA4416" w:rsidP="00CF0D63">
                            <w:pPr>
                              <w:rPr>
                                <w:sz w:val="14"/>
                                <w:lang w:val="de-DE"/>
                              </w:rPr>
                            </w:pPr>
                            <w:r w:rsidRPr="00A25B7C">
                              <w:rPr>
                                <w:sz w:val="14"/>
                                <w:lang w:val="de-DE"/>
                              </w:rPr>
                              <w:t>1. (Nummer der Bescheinigung)</w:t>
                            </w:r>
                          </w:p>
                          <w:p w:rsidR="00AA4416" w:rsidRPr="00A25B7C" w:rsidRDefault="00AA4416" w:rsidP="00CF0D63">
                            <w:pPr>
                              <w:rPr>
                                <w:sz w:val="16"/>
                                <w:lang w:val="de-DE"/>
                              </w:rPr>
                            </w:pPr>
                          </w:p>
                          <w:p w:rsidR="00AA4416" w:rsidRPr="00A25B7C" w:rsidRDefault="00AA4416" w:rsidP="00CF0D63">
                            <w:pPr>
                              <w:rPr>
                                <w:sz w:val="16"/>
                                <w:lang w:val="de-DE"/>
                              </w:rPr>
                            </w:pPr>
                            <w:r w:rsidRPr="00A25B7C">
                              <w:rPr>
                                <w:sz w:val="16"/>
                                <w:lang w:val="de-DE"/>
                              </w:rPr>
                              <w:t>Diese Bescheinigung ist gültig für besondere Kenntnisse des ADN gemäß:</w:t>
                            </w:r>
                          </w:p>
                          <w:p w:rsidR="00AA4416" w:rsidRPr="00573388" w:rsidRDefault="00AA4416" w:rsidP="00CF0D63">
                            <w:pPr>
                              <w:rPr>
                                <w:sz w:val="14"/>
                                <w:lang w:val="de-DE"/>
                              </w:rPr>
                            </w:pPr>
                          </w:p>
                          <w:p w:rsidR="00AA4416" w:rsidRPr="00573388" w:rsidRDefault="00AA4416" w:rsidP="00CF0D63">
                            <w:pPr>
                              <w:rPr>
                                <w:sz w:val="16"/>
                                <w:lang w:val="de-DE"/>
                              </w:rPr>
                            </w:pPr>
                            <w:r w:rsidRPr="00573388">
                              <w:rPr>
                                <w:sz w:val="16"/>
                                <w:lang w:val="de-DE"/>
                              </w:rPr>
                              <w:t>(zutreffenden Unterabschnitt gemäß 8.2.1 ADN, ggf</w:t>
                            </w:r>
                            <w:r>
                              <w:rPr>
                                <w:sz w:val="16"/>
                                <w:lang w:val="de-DE"/>
                              </w:rPr>
                              <w:t>.</w:t>
                            </w:r>
                            <w:r w:rsidRPr="00573388">
                              <w:rPr>
                                <w:sz w:val="16"/>
                                <w:lang w:val="de-DE"/>
                              </w:rPr>
                              <w:t xml:space="preserve"> mit dem Zusatz „nur Trockengüterschiffe“ oder „nur Tankschiffe“ einfügen)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512D9" id="Zone de texte 2322" o:spid="_x0000_s1715" type="#_x0000_t202" style="position:absolute;left:0;text-align:left;margin-left:57.15pt;margin-top:29.8pt;width:227.35pt;height:140.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" filled="f" strokeweight=".5pt">
                <v:path arrowok="t"/>
                <v:textbox>
                  <w:txbxContent>
                    <w:p w:rsidR="00AA4416" w:rsidRPr="001E5CE3" w:rsidRDefault="00AA4416" w:rsidP="00CF0D63">
                      <w:pPr>
                        <w:ind w:left="2550"/>
                        <w:rPr>
                          <w:sz w:val="16"/>
                        </w:rPr>
                      </w:pPr>
                    </w:p>
                    <w:p w:rsidR="00AA4416" w:rsidRPr="001E5CE3" w:rsidRDefault="00AA4416" w:rsidP="00CF0D63">
                      <w:pPr>
                        <w:rPr>
                          <w:sz w:val="16"/>
                        </w:rPr>
                      </w:pPr>
                    </w:p>
                    <w:p w:rsidR="00AA4416" w:rsidRPr="00A25B7C" w:rsidRDefault="00AA4416" w:rsidP="00CF0D63">
                      <w:pPr>
                        <w:rPr>
                          <w:sz w:val="14"/>
                          <w:lang w:val="de-DE"/>
                        </w:rPr>
                      </w:pPr>
                      <w:r w:rsidRPr="00A25B7C">
                        <w:rPr>
                          <w:sz w:val="14"/>
                          <w:lang w:val="de-DE"/>
                        </w:rPr>
                        <w:t>1. (Nummer der Bescheinigung)</w:t>
                      </w:r>
                    </w:p>
                    <w:p w:rsidR="00AA4416" w:rsidRPr="00A25B7C" w:rsidRDefault="00AA4416" w:rsidP="00CF0D63">
                      <w:pPr>
                        <w:rPr>
                          <w:sz w:val="16"/>
                          <w:lang w:val="de-DE"/>
                        </w:rPr>
                      </w:pPr>
                    </w:p>
                    <w:p w:rsidR="00AA4416" w:rsidRPr="00A25B7C" w:rsidRDefault="00AA4416" w:rsidP="00CF0D63">
                      <w:pPr>
                        <w:rPr>
                          <w:sz w:val="16"/>
                          <w:lang w:val="de-DE"/>
                        </w:rPr>
                      </w:pPr>
                      <w:r w:rsidRPr="00A25B7C">
                        <w:rPr>
                          <w:sz w:val="16"/>
                          <w:lang w:val="de-DE"/>
                        </w:rPr>
                        <w:t>Diese Bescheinigung ist gültig für besondere Kenntnisse des ADN gemäß:</w:t>
                      </w:r>
                    </w:p>
                    <w:p w:rsidR="00AA4416" w:rsidRPr="00573388" w:rsidRDefault="00AA4416" w:rsidP="00CF0D63">
                      <w:pPr>
                        <w:rPr>
                          <w:sz w:val="14"/>
                          <w:lang w:val="de-DE"/>
                        </w:rPr>
                      </w:pPr>
                    </w:p>
                    <w:p w:rsidR="00AA4416" w:rsidRPr="00573388" w:rsidRDefault="00AA4416" w:rsidP="00CF0D63">
                      <w:pPr>
                        <w:rPr>
                          <w:sz w:val="16"/>
                          <w:lang w:val="de-DE"/>
                        </w:rPr>
                      </w:pPr>
                      <w:r w:rsidRPr="00573388">
                        <w:rPr>
                          <w:sz w:val="16"/>
                          <w:lang w:val="de-DE"/>
                        </w:rPr>
                        <w:t>(zutreffenden Unterabschnitt gemäß 8.2.1 ADN, ggf</w:t>
                      </w:r>
                      <w:r>
                        <w:rPr>
                          <w:sz w:val="16"/>
                          <w:lang w:val="de-DE"/>
                        </w:rPr>
                        <w:t>.</w:t>
                      </w:r>
                      <w:r w:rsidRPr="00573388">
                        <w:rPr>
                          <w:sz w:val="16"/>
                          <w:lang w:val="de-DE"/>
                        </w:rPr>
                        <w:t xml:space="preserve"> mit dem Zusatz „nur Trockengüterschiffe“ oder „nur Tankschiffe“ einfügen)</w:t>
                      </w:r>
                    </w:p>
                  </w:txbxContent>
                </v:textbox>
              </v:shape>
            </w:pict>
          </mc:Fallback>
        </mc:AlternateContent>
      </w:r>
      <w:r w:rsidRPr="00DD2A86">
        <w:rPr>
          <w:u w:val="single"/>
          <w:lang w:val="de-DE" w:eastAsia="fr-FR"/>
        </w:rPr>
        <w:t>(Rückseite)</w:t>
      </w:r>
      <w:r w:rsidRPr="00DD2A86">
        <w:rPr>
          <w:u w:val="single"/>
          <w:lang w:val="de-DE" w:eastAsia="fr-FR"/>
        </w:rPr>
        <w:br/>
      </w:r>
    </w:p>
    <w:p w:rsidR="00CF0D63" w:rsidRPr="00DD2A86" w:rsidRDefault="00CF0D63" w:rsidP="00CF0D63">
      <w:pPr>
        <w:widowControl w:val="0"/>
        <w:suppressAutoHyphens w:val="0"/>
        <w:overflowPunct w:val="0"/>
        <w:autoSpaceDE w:val="0"/>
        <w:autoSpaceDN w:val="0"/>
        <w:adjustRightInd w:val="0"/>
        <w:jc w:val="both"/>
        <w:textAlignment w:val="baseline"/>
        <w:rPr>
          <w:u w:val="single"/>
          <w:lang w:val="de-DE" w:eastAsia="fr-FR"/>
        </w:rPr>
      </w:pPr>
    </w:p>
    <w:p w:rsidR="00CF0D63" w:rsidRPr="00DD2A86" w:rsidRDefault="00CF0D63" w:rsidP="00CF0D63">
      <w:pPr>
        <w:widowControl w:val="0"/>
        <w:suppressAutoHyphens w:val="0"/>
        <w:overflowPunct w:val="0"/>
        <w:autoSpaceDE w:val="0"/>
        <w:autoSpaceDN w:val="0"/>
        <w:adjustRightInd w:val="0"/>
        <w:jc w:val="both"/>
        <w:textAlignment w:val="baseline"/>
        <w:rPr>
          <w:u w:val="single"/>
          <w:lang w:val="de-DE" w:eastAsia="fr-FR"/>
        </w:rPr>
      </w:pPr>
    </w:p>
    <w:p w:rsidR="00CF0D63" w:rsidRPr="00DD2A86" w:rsidRDefault="00CF0D63" w:rsidP="00CF0D63">
      <w:pPr>
        <w:widowControl w:val="0"/>
        <w:suppressAutoHyphens w:val="0"/>
        <w:overflowPunct w:val="0"/>
        <w:autoSpaceDE w:val="0"/>
        <w:autoSpaceDN w:val="0"/>
        <w:adjustRightInd w:val="0"/>
        <w:jc w:val="both"/>
        <w:textAlignment w:val="baseline"/>
        <w:rPr>
          <w:u w:val="single"/>
          <w:lang w:val="de-DE" w:eastAsia="fr-FR"/>
        </w:rPr>
      </w:pPr>
    </w:p>
    <w:p w:rsidR="00CF0D63" w:rsidRPr="00DD2A86" w:rsidRDefault="00CF0D63" w:rsidP="00CF0D63">
      <w:pPr>
        <w:widowControl w:val="0"/>
        <w:suppressAutoHyphens w:val="0"/>
        <w:overflowPunct w:val="0"/>
        <w:autoSpaceDE w:val="0"/>
        <w:autoSpaceDN w:val="0"/>
        <w:adjustRightInd w:val="0"/>
        <w:jc w:val="both"/>
        <w:textAlignment w:val="baseline"/>
        <w:rPr>
          <w:u w:val="single"/>
          <w:lang w:val="de-DE" w:eastAsia="fr-FR"/>
        </w:rPr>
      </w:pPr>
    </w:p>
    <w:p w:rsidR="00CF0D63" w:rsidRPr="00DD2A86" w:rsidRDefault="00CF0D63" w:rsidP="00CF0D63">
      <w:pPr>
        <w:widowControl w:val="0"/>
        <w:suppressAutoHyphens w:val="0"/>
        <w:overflowPunct w:val="0"/>
        <w:autoSpaceDE w:val="0"/>
        <w:autoSpaceDN w:val="0"/>
        <w:adjustRightInd w:val="0"/>
        <w:jc w:val="both"/>
        <w:textAlignment w:val="baseline"/>
        <w:rPr>
          <w:u w:val="single"/>
          <w:lang w:val="de-DE" w:eastAsia="fr-FR"/>
        </w:rPr>
      </w:pPr>
    </w:p>
    <w:p w:rsidR="00CF0D63" w:rsidRPr="00DD2A86" w:rsidRDefault="00CF0D63" w:rsidP="00CF0D63">
      <w:pPr>
        <w:widowControl w:val="0"/>
        <w:suppressAutoHyphens w:val="0"/>
        <w:overflowPunct w:val="0"/>
        <w:autoSpaceDE w:val="0"/>
        <w:autoSpaceDN w:val="0"/>
        <w:adjustRightInd w:val="0"/>
        <w:jc w:val="both"/>
        <w:textAlignment w:val="baseline"/>
        <w:rPr>
          <w:u w:val="single"/>
          <w:lang w:val="de-DE" w:eastAsia="fr-FR"/>
        </w:rPr>
      </w:pPr>
    </w:p>
    <w:p w:rsidR="00CF0D63" w:rsidRPr="00DD2A86" w:rsidRDefault="00CF0D63" w:rsidP="00CF0D63">
      <w:pPr>
        <w:widowControl w:val="0"/>
        <w:suppressAutoHyphens w:val="0"/>
        <w:overflowPunct w:val="0"/>
        <w:autoSpaceDE w:val="0"/>
        <w:autoSpaceDN w:val="0"/>
        <w:adjustRightInd w:val="0"/>
        <w:jc w:val="both"/>
        <w:textAlignment w:val="baseline"/>
        <w:rPr>
          <w:u w:val="single"/>
          <w:lang w:val="de-DE" w:eastAsia="fr-FR"/>
        </w:rPr>
      </w:pPr>
    </w:p>
    <w:p w:rsidR="00CF0D63" w:rsidRPr="00DD2A86" w:rsidRDefault="00CF0D63" w:rsidP="00CF0D63">
      <w:pPr>
        <w:widowControl w:val="0"/>
        <w:suppressAutoHyphens w:val="0"/>
        <w:overflowPunct w:val="0"/>
        <w:autoSpaceDE w:val="0"/>
        <w:autoSpaceDN w:val="0"/>
        <w:adjustRightInd w:val="0"/>
        <w:jc w:val="both"/>
        <w:textAlignment w:val="baseline"/>
        <w:rPr>
          <w:u w:val="single"/>
          <w:lang w:val="de-DE" w:eastAsia="fr-FR"/>
        </w:rPr>
      </w:pPr>
    </w:p>
    <w:p w:rsidR="00CF0D63" w:rsidRPr="00DD2A86" w:rsidRDefault="00CF0D63" w:rsidP="00CF0D63">
      <w:pPr>
        <w:widowControl w:val="0"/>
        <w:suppressAutoHyphens w:val="0"/>
        <w:overflowPunct w:val="0"/>
        <w:autoSpaceDE w:val="0"/>
        <w:autoSpaceDN w:val="0"/>
        <w:adjustRightInd w:val="0"/>
        <w:jc w:val="both"/>
        <w:textAlignment w:val="baseline"/>
        <w:rPr>
          <w:u w:val="single"/>
          <w:lang w:val="de-DE" w:eastAsia="fr-FR"/>
        </w:rPr>
      </w:pPr>
    </w:p>
    <w:p w:rsidR="00CF0D63" w:rsidRPr="00DD2A86" w:rsidRDefault="00CF0D63" w:rsidP="00CF0D63">
      <w:pPr>
        <w:widowControl w:val="0"/>
        <w:suppressAutoHyphens w:val="0"/>
        <w:overflowPunct w:val="0"/>
        <w:autoSpaceDE w:val="0"/>
        <w:autoSpaceDN w:val="0"/>
        <w:adjustRightInd w:val="0"/>
        <w:jc w:val="both"/>
        <w:textAlignment w:val="baseline"/>
        <w:rPr>
          <w:u w:val="single"/>
          <w:lang w:val="de-DE" w:eastAsia="fr-FR"/>
        </w:rPr>
      </w:pPr>
    </w:p>
    <w:p w:rsidR="00CF0D63" w:rsidRPr="00DD2A86" w:rsidRDefault="00CF0D63" w:rsidP="00CF0D63">
      <w:pPr>
        <w:suppressAutoHyphens w:val="0"/>
        <w:autoSpaceDE w:val="0"/>
        <w:autoSpaceDN w:val="0"/>
        <w:adjustRightInd w:val="0"/>
        <w:ind w:left="1134"/>
        <w:rPr>
          <w:u w:val="single"/>
          <w:lang w:val="de-DE" w:eastAsia="fr-FR"/>
        </w:rPr>
      </w:pPr>
    </w:p>
    <w:p w:rsidR="00CF0D63" w:rsidRPr="00DD2A86" w:rsidRDefault="00CF0D63" w:rsidP="00CF0D63">
      <w:pPr>
        <w:suppressAutoHyphens w:val="0"/>
        <w:autoSpaceDE w:val="0"/>
        <w:autoSpaceDN w:val="0"/>
        <w:adjustRightInd w:val="0"/>
        <w:ind w:left="1134"/>
        <w:rPr>
          <w:u w:val="single"/>
          <w:lang w:val="de-DE" w:eastAsia="fr-FR"/>
        </w:rPr>
      </w:pPr>
    </w:p>
    <w:p w:rsidR="00CF0D63" w:rsidRPr="00DD2A86" w:rsidRDefault="00CF0D63" w:rsidP="00CF0D63">
      <w:pPr>
        <w:suppressAutoHyphens w:val="0"/>
        <w:autoSpaceDE w:val="0"/>
        <w:autoSpaceDN w:val="0"/>
        <w:adjustRightInd w:val="0"/>
        <w:ind w:left="1134"/>
        <w:rPr>
          <w:lang w:val="de-DE" w:eastAsia="fr-FR"/>
        </w:rPr>
      </w:pPr>
      <w:r w:rsidRPr="00DD2A86">
        <w:rPr>
          <w:lang w:val="de-DE" w:eastAsia="fr-FR"/>
        </w:rPr>
        <w:t>** Das für Schifffahrt im internationalen Verkehr verwendete Unterscheidungszeichen</w:t>
      </w:r>
    </w:p>
    <w:p w:rsidR="00CF0D63" w:rsidRPr="00DD2A86" w:rsidRDefault="00CF0D63" w:rsidP="00CF0D63">
      <w:pPr>
        <w:suppressAutoHyphens w:val="0"/>
        <w:autoSpaceDE w:val="0"/>
        <w:autoSpaceDN w:val="0"/>
        <w:adjustRightInd w:val="0"/>
        <w:ind w:left="1134"/>
        <w:rPr>
          <w:lang w:val="de-DE" w:eastAsia="fr-FR"/>
        </w:rPr>
      </w:pPr>
      <w:r w:rsidRPr="00DD2A86">
        <w:rPr>
          <w:lang w:val="de-DE" w:eastAsia="fr-FR"/>
        </w:rPr>
        <w:t>(CEVNI – Anlage I).“.</w:t>
      </w:r>
    </w:p>
    <w:p w:rsidR="00EB6056" w:rsidRPr="00DD2A86" w:rsidRDefault="00EB6056">
      <w:pPr>
        <w:suppressAutoHyphens w:val="0"/>
        <w:spacing w:line="240" w:lineRule="auto"/>
        <w:rPr>
          <w:rFonts w:eastAsiaTheme="minorHAnsi"/>
          <w:lang w:val="de-DE"/>
        </w:rPr>
      </w:pPr>
      <w:r w:rsidRPr="00DD2A86">
        <w:rPr>
          <w:rFonts w:eastAsiaTheme="minorHAnsi"/>
          <w:lang w:val="de-DE"/>
        </w:rPr>
        <w:br w:type="page"/>
      </w:r>
    </w:p>
    <w:p w:rsidR="00F301B7" w:rsidRPr="00DD2A86" w:rsidRDefault="009E1C93" w:rsidP="009E1C93">
      <w:pPr>
        <w:kinsoku w:val="0"/>
        <w:overflowPunct w:val="0"/>
        <w:autoSpaceDE w:val="0"/>
        <w:autoSpaceDN w:val="0"/>
        <w:adjustRightInd w:val="0"/>
        <w:snapToGrid w:val="0"/>
        <w:spacing w:before="120" w:after="120"/>
        <w:ind w:left="1134"/>
        <w:jc w:val="both"/>
        <w:rPr>
          <w:rFonts w:eastAsiaTheme="minorHAnsi"/>
          <w:lang w:val="de-DE"/>
        </w:rPr>
      </w:pPr>
      <w:r w:rsidRPr="00DD2A86">
        <w:rPr>
          <w:rFonts w:eastAsiaTheme="minorHAnsi"/>
          <w:lang w:val="de-DE"/>
        </w:rPr>
        <w:t>8</w:t>
      </w:r>
      <w:r w:rsidR="00F301B7" w:rsidRPr="00DD2A86">
        <w:rPr>
          <w:rFonts w:eastAsiaTheme="minorHAnsi"/>
          <w:lang w:val="de-DE"/>
        </w:rPr>
        <w:t>.6.3, Prüfliste ADN, Frage 12.2</w:t>
      </w:r>
    </w:p>
    <w:p w:rsidR="009E1C93" w:rsidRPr="00DD2A86" w:rsidRDefault="00F301B7" w:rsidP="00F301B7">
      <w:pPr>
        <w:tabs>
          <w:tab w:val="left" w:pos="1985"/>
        </w:tabs>
        <w:kinsoku w:val="0"/>
        <w:overflowPunct w:val="0"/>
        <w:autoSpaceDE w:val="0"/>
        <w:autoSpaceDN w:val="0"/>
        <w:adjustRightInd w:val="0"/>
        <w:snapToGrid w:val="0"/>
        <w:spacing w:before="120" w:after="120"/>
        <w:ind w:left="1701"/>
        <w:jc w:val="both"/>
        <w:rPr>
          <w:rFonts w:eastAsiaTheme="minorHAnsi"/>
          <w:lang w:val="de-DE"/>
        </w:rPr>
      </w:pPr>
      <w:r w:rsidRPr="00DD2A86">
        <w:rPr>
          <w:rFonts w:eastAsiaTheme="minorHAnsi"/>
          <w:lang w:val="de-DE"/>
        </w:rPr>
        <w:t>-</w:t>
      </w:r>
      <w:r w:rsidRPr="00DD2A86">
        <w:rPr>
          <w:rFonts w:eastAsiaTheme="minorHAnsi"/>
          <w:lang w:val="de-DE"/>
        </w:rPr>
        <w:tab/>
      </w:r>
      <w:r w:rsidR="009E1C93" w:rsidRPr="00DD2A86">
        <w:rPr>
          <w:rFonts w:eastAsiaTheme="minorHAnsi"/>
          <w:lang w:val="de-DE"/>
        </w:rPr>
        <w:t>„an der Übergabestelle“ ändern in: „an der Übergabestelle der Gasabfuhr- und Gasrückfuhrleitung“.</w:t>
      </w:r>
    </w:p>
    <w:p w:rsidR="0058162A" w:rsidRPr="00DD2A86" w:rsidRDefault="00F301B7" w:rsidP="00F301B7">
      <w:pPr>
        <w:tabs>
          <w:tab w:val="left" w:pos="1985"/>
          <w:tab w:val="left" w:pos="2127"/>
          <w:tab w:val="left" w:pos="2835"/>
        </w:tabs>
        <w:spacing w:before="120" w:line="240" w:lineRule="auto"/>
        <w:ind w:left="1701"/>
        <w:jc w:val="both"/>
        <w:rPr>
          <w:lang w:val="de-DE" w:eastAsia="de-DE"/>
        </w:rPr>
      </w:pPr>
      <w:r w:rsidRPr="00DD2A86">
        <w:rPr>
          <w:rFonts w:eastAsia="Calibri"/>
          <w:lang w:val="de-DE"/>
        </w:rPr>
        <w:t>-</w:t>
      </w:r>
      <w:r w:rsidRPr="00DD2A86">
        <w:rPr>
          <w:rFonts w:eastAsia="Calibri"/>
          <w:lang w:val="de-DE"/>
        </w:rPr>
        <w:tab/>
      </w:r>
      <w:r w:rsidR="0058162A" w:rsidRPr="00DD2A86">
        <w:rPr>
          <w:lang w:val="de-DE" w:eastAsia="de-DE"/>
        </w:rPr>
        <w:t>„des Hochgeschwindigkeitsventils“ ändern in: „des Überdruck-/ Hochgeschwindigkeitsventils“.</w:t>
      </w:r>
    </w:p>
    <w:p w:rsidR="0058162A" w:rsidRPr="00DD2A86" w:rsidRDefault="0058162A" w:rsidP="00B61A90">
      <w:pPr>
        <w:tabs>
          <w:tab w:val="left" w:pos="2835"/>
        </w:tabs>
        <w:spacing w:before="240" w:line="240" w:lineRule="auto"/>
        <w:ind w:left="1134"/>
        <w:jc w:val="both"/>
        <w:rPr>
          <w:lang w:val="de-DE" w:eastAsia="de-DE"/>
        </w:rPr>
      </w:pPr>
      <w:r w:rsidRPr="00DD2A86">
        <w:rPr>
          <w:lang w:val="de-DE" w:eastAsia="de-DE"/>
        </w:rPr>
        <w:t>8.6.3, Frage 12.3</w:t>
      </w:r>
      <w:r w:rsidRPr="00DD2A86">
        <w:rPr>
          <w:lang w:val="de-DE" w:eastAsia="de-DE"/>
        </w:rPr>
        <w:tab/>
      </w:r>
      <w:r w:rsidRPr="00DD2A86">
        <w:rPr>
          <w:lang w:val="de-DE" w:eastAsia="de-DE"/>
        </w:rPr>
        <w:tab/>
      </w:r>
      <w:r w:rsidR="00C3284B" w:rsidRPr="00DD2A86">
        <w:rPr>
          <w:lang w:val="de-DE" w:eastAsia="de-DE"/>
        </w:rPr>
        <w:t>E</w:t>
      </w:r>
      <w:r w:rsidRPr="00DD2A86">
        <w:rPr>
          <w:lang w:val="de-DE" w:eastAsia="de-DE"/>
        </w:rPr>
        <w:t>rhält folgenden Wortlaut:</w:t>
      </w:r>
    </w:p>
    <w:p w:rsidR="0058162A" w:rsidRPr="00DD2A86" w:rsidRDefault="0058162A" w:rsidP="00B61A90">
      <w:pPr>
        <w:tabs>
          <w:tab w:val="left" w:pos="2835"/>
        </w:tabs>
        <w:spacing w:before="120" w:line="240" w:lineRule="auto"/>
        <w:ind w:left="2268"/>
        <w:jc w:val="both"/>
        <w:rPr>
          <w:lang w:val="de-DE" w:eastAsia="de-DE"/>
        </w:rPr>
      </w:pPr>
      <w:r w:rsidRPr="00DD2A86">
        <w:rPr>
          <w:lang w:val="de-DE" w:eastAsia="de-DE"/>
        </w:rPr>
        <w:t>„Ist, wenn nach Unterabschnitt 3.2.3.2 Tabelle C Spalte (17) Explosionsschutz erforderlich ist, durch die Landanlage sichergestellt, dass ihre Gasrückfuhrleitung so ausgeführt ist, dass das Schiff gegen Detonation und Flammendurchschlag von Land aus geschützt ist?“.</w:t>
      </w:r>
    </w:p>
    <w:p w:rsidR="006E508C" w:rsidRPr="00DD2A86" w:rsidRDefault="006E508C" w:rsidP="00B61A90">
      <w:pPr>
        <w:tabs>
          <w:tab w:val="left" w:pos="2835"/>
        </w:tabs>
        <w:spacing w:before="120" w:line="240" w:lineRule="auto"/>
        <w:ind w:left="2268"/>
        <w:jc w:val="both"/>
        <w:rPr>
          <w:lang w:val="de-DE" w:eastAsia="de-DE"/>
        </w:rPr>
      </w:pPr>
      <w:r w:rsidRPr="00DD2A86">
        <w:rPr>
          <w:lang w:val="de-DE" w:eastAsia="de-DE"/>
        </w:rPr>
        <w:t>[Betrifft nur die deutsche Sprachfassung]</w:t>
      </w:r>
    </w:p>
    <w:p w:rsidR="00CF1B52" w:rsidRPr="00DD2A86" w:rsidRDefault="00CF1B52" w:rsidP="00B61A90">
      <w:pPr>
        <w:tabs>
          <w:tab w:val="left" w:pos="2835"/>
        </w:tabs>
        <w:spacing w:before="240" w:line="240" w:lineRule="auto"/>
        <w:ind w:left="1134"/>
        <w:jc w:val="both"/>
        <w:rPr>
          <w:lang w:val="de-DE" w:eastAsia="de-DE"/>
        </w:rPr>
      </w:pPr>
      <w:r w:rsidRPr="00DD2A86">
        <w:rPr>
          <w:lang w:val="de-DE" w:eastAsia="de-DE"/>
        </w:rPr>
        <w:t>8.6.3, Frage 18</w:t>
      </w:r>
      <w:r w:rsidRPr="00DD2A86">
        <w:rPr>
          <w:lang w:val="de-DE" w:eastAsia="de-DE"/>
        </w:rPr>
        <w:tab/>
      </w:r>
      <w:r w:rsidRPr="00DD2A86">
        <w:rPr>
          <w:lang w:val="de-DE" w:eastAsia="de-DE"/>
        </w:rPr>
        <w:tab/>
      </w:r>
      <w:r w:rsidR="00C3284B" w:rsidRPr="00DD2A86">
        <w:rPr>
          <w:lang w:val="de-DE" w:eastAsia="de-DE"/>
        </w:rPr>
        <w:t>E</w:t>
      </w:r>
      <w:r w:rsidRPr="00DD2A86">
        <w:rPr>
          <w:lang w:val="de-DE" w:eastAsia="de-DE"/>
        </w:rPr>
        <w:t>rhält folgenden Wortlaut:</w:t>
      </w:r>
    </w:p>
    <w:p w:rsidR="00CF1B52" w:rsidRPr="00DD2A86" w:rsidRDefault="00CF1B52" w:rsidP="00B61A90">
      <w:pPr>
        <w:tabs>
          <w:tab w:val="left" w:pos="2835"/>
        </w:tabs>
        <w:spacing w:before="120" w:line="240" w:lineRule="auto"/>
        <w:ind w:left="2268"/>
        <w:jc w:val="both"/>
        <w:rPr>
          <w:rFonts w:eastAsia="Calibri"/>
          <w:lang w:val="de-DE"/>
        </w:rPr>
      </w:pPr>
      <w:r w:rsidRPr="00DD2A86">
        <w:rPr>
          <w:rFonts w:eastAsia="Calibri"/>
          <w:lang w:val="de-DE"/>
        </w:rPr>
        <w:t>„Nur auszufüllen vor dem Umschlag von Stoffen, für deren Beförderung ein geschlossener Ladetank oder ein offener Ladetank mit Flammendurchschlagsicherungen vorgeschrieben ist:</w:t>
      </w:r>
    </w:p>
    <w:p w:rsidR="0058162A" w:rsidRPr="00DD2A86" w:rsidRDefault="00CF1B52" w:rsidP="00B61A90">
      <w:pPr>
        <w:tabs>
          <w:tab w:val="left" w:pos="2835"/>
        </w:tabs>
        <w:spacing w:line="240" w:lineRule="auto"/>
        <w:ind w:left="2268"/>
        <w:jc w:val="both"/>
        <w:rPr>
          <w:rFonts w:eastAsia="Calibri"/>
          <w:lang w:val="de-DE"/>
        </w:rPr>
      </w:pPr>
      <w:r w:rsidRPr="00DD2A86">
        <w:rPr>
          <w:rFonts w:eastAsia="Calibri"/>
          <w:lang w:val="de-DE"/>
        </w:rPr>
        <w:t>Sind die Tankluken, Sicht- und Probeentnahmeöffnungen der Ladetanks geschlossen oder gegebenenfalls durch Flammendurchschlagsicherungen, die mindestens die Anforderungen in Unterabschnitt 3.2.3.2 Tabelle C Spalte (16) erfüllen, gesichert?“.</w:t>
      </w:r>
    </w:p>
    <w:p w:rsidR="009E1C93" w:rsidRPr="00DD2A86" w:rsidRDefault="009E1C93" w:rsidP="009E1C93">
      <w:pPr>
        <w:kinsoku w:val="0"/>
        <w:overflowPunct w:val="0"/>
        <w:autoSpaceDE w:val="0"/>
        <w:autoSpaceDN w:val="0"/>
        <w:adjustRightInd w:val="0"/>
        <w:snapToGrid w:val="0"/>
        <w:spacing w:before="120"/>
        <w:ind w:left="1134" w:right="1134"/>
        <w:jc w:val="both"/>
        <w:rPr>
          <w:rFonts w:eastAsiaTheme="minorHAnsi"/>
          <w:lang w:val="de-DE"/>
        </w:rPr>
      </w:pPr>
      <w:r w:rsidRPr="00DD2A86">
        <w:rPr>
          <w:rFonts w:eastAsiaTheme="minorHAnsi"/>
          <w:lang w:val="de-DE"/>
        </w:rPr>
        <w:t xml:space="preserve">8.6.3, Prüfliste ADN, Erklärung zu Frage 4: </w:t>
      </w:r>
    </w:p>
    <w:p w:rsidR="009E1C93" w:rsidRPr="00DD2A86" w:rsidRDefault="009E1C93" w:rsidP="009E1C93">
      <w:pPr>
        <w:kinsoku w:val="0"/>
        <w:overflowPunct w:val="0"/>
        <w:autoSpaceDE w:val="0"/>
        <w:autoSpaceDN w:val="0"/>
        <w:adjustRightInd w:val="0"/>
        <w:snapToGrid w:val="0"/>
        <w:ind w:left="1134"/>
        <w:jc w:val="both"/>
        <w:rPr>
          <w:rFonts w:eastAsiaTheme="minorHAnsi"/>
          <w:lang w:val="de-DE"/>
        </w:rPr>
      </w:pPr>
      <w:r w:rsidRPr="00DD2A86">
        <w:rPr>
          <w:rFonts w:eastAsiaTheme="minorHAnsi"/>
          <w:lang w:val="de-DE"/>
        </w:rPr>
        <w:t>Der erste Satz erhält folgenden Wortlaut: „Das Schiff muss jederzeit sicher verlassen werden können“.</w:t>
      </w:r>
    </w:p>
    <w:p w:rsidR="009E1C93" w:rsidRPr="00DD2A86" w:rsidRDefault="009E1C93" w:rsidP="009E1C93">
      <w:pPr>
        <w:kinsoku w:val="0"/>
        <w:overflowPunct w:val="0"/>
        <w:autoSpaceDE w:val="0"/>
        <w:autoSpaceDN w:val="0"/>
        <w:adjustRightInd w:val="0"/>
        <w:snapToGrid w:val="0"/>
        <w:ind w:left="1134" w:right="1134"/>
        <w:jc w:val="both"/>
        <w:rPr>
          <w:rFonts w:eastAsiaTheme="minorHAnsi"/>
          <w:lang w:val="de-DE"/>
        </w:rPr>
      </w:pPr>
      <w:r w:rsidRPr="00DD2A86">
        <w:rPr>
          <w:rFonts w:eastAsiaTheme="minorHAnsi"/>
          <w:lang w:val="de-DE"/>
        </w:rPr>
        <w:t>Im letzten Satz, streichen: „7.1.4.77 und“.</w:t>
      </w:r>
    </w:p>
    <w:p w:rsidR="00804CE9" w:rsidRPr="00DD2A86" w:rsidRDefault="00804CE9">
      <w:pPr>
        <w:suppressAutoHyphens w:val="0"/>
        <w:spacing w:line="240" w:lineRule="auto"/>
        <w:rPr>
          <w:rFonts w:eastAsiaTheme="minorHAnsi"/>
          <w:szCs w:val="18"/>
          <w:lang w:val="de-DE"/>
        </w:rPr>
      </w:pPr>
    </w:p>
    <w:p w:rsidR="00EB6056" w:rsidRPr="00DD2A86" w:rsidRDefault="00EB6056">
      <w:pPr>
        <w:suppressAutoHyphens w:val="0"/>
        <w:spacing w:line="240" w:lineRule="auto"/>
        <w:rPr>
          <w:rFonts w:eastAsiaTheme="minorHAnsi"/>
          <w:szCs w:val="18"/>
          <w:lang w:val="de-DE"/>
        </w:rPr>
      </w:pPr>
      <w:r w:rsidRPr="00DD2A86">
        <w:rPr>
          <w:rFonts w:eastAsiaTheme="minorHAnsi"/>
          <w:szCs w:val="18"/>
          <w:lang w:val="de-DE"/>
        </w:rPr>
        <w:br w:type="page"/>
      </w:r>
    </w:p>
    <w:p w:rsidR="00C65079" w:rsidRPr="00DD2A86" w:rsidRDefault="00C65079" w:rsidP="00C65079">
      <w:pPr>
        <w:kinsoku w:val="0"/>
        <w:overflowPunct w:val="0"/>
        <w:autoSpaceDE w:val="0"/>
        <w:autoSpaceDN w:val="0"/>
        <w:adjustRightInd w:val="0"/>
        <w:snapToGrid w:val="0"/>
        <w:spacing w:before="120" w:after="120"/>
        <w:ind w:left="1134" w:right="1134"/>
        <w:jc w:val="both"/>
        <w:rPr>
          <w:rFonts w:eastAsiaTheme="minorHAnsi"/>
          <w:szCs w:val="18"/>
          <w:lang w:val="de-DE"/>
        </w:rPr>
      </w:pPr>
      <w:r w:rsidRPr="00DD2A86">
        <w:rPr>
          <w:rFonts w:eastAsiaTheme="minorHAnsi"/>
          <w:szCs w:val="18"/>
          <w:lang w:val="de-DE"/>
        </w:rPr>
        <w:t>8.6.4</w:t>
      </w:r>
      <w:r w:rsidRPr="00DD2A86">
        <w:rPr>
          <w:rFonts w:eastAsiaTheme="minorHAnsi"/>
          <w:szCs w:val="18"/>
          <w:lang w:val="de-DE"/>
        </w:rPr>
        <w:tab/>
        <w:t>Erhält folgenden Wortlaut:</w:t>
      </w:r>
    </w:p>
    <w:p w:rsidR="00C65079" w:rsidRPr="00DD2A86" w:rsidRDefault="00C65079" w:rsidP="00C65079">
      <w:pPr>
        <w:tabs>
          <w:tab w:val="left" w:pos="1985"/>
        </w:tabs>
        <w:spacing w:after="120"/>
        <w:ind w:left="1134" w:right="1134"/>
        <w:jc w:val="both"/>
        <w:rPr>
          <w:rFonts w:eastAsia="SimSun"/>
          <w:lang w:val="de-DE" w:eastAsia="zh-CN"/>
        </w:rPr>
      </w:pPr>
      <w:r w:rsidRPr="00DD2A86">
        <w:rPr>
          <w:rFonts w:eastAsia="SimSun"/>
          <w:lang w:val="de-DE" w:eastAsia="zh-CN"/>
        </w:rPr>
        <w:t>„</w:t>
      </w:r>
      <w:r w:rsidRPr="00DD2A86">
        <w:rPr>
          <w:rFonts w:eastAsia="SimSun"/>
          <w:b/>
          <w:lang w:val="de-DE" w:eastAsia="zh-CN"/>
        </w:rPr>
        <w:t>8.6.4</w:t>
      </w:r>
      <w:r w:rsidRPr="00DD2A86">
        <w:rPr>
          <w:rFonts w:eastAsia="SimSun"/>
          <w:b/>
          <w:lang w:val="de-DE" w:eastAsia="zh-CN"/>
        </w:rPr>
        <w:tab/>
        <w:t>Prüfliste Entgasen an Annahmestellen</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
        <w:gridCol w:w="1134"/>
        <w:gridCol w:w="2694"/>
        <w:gridCol w:w="17"/>
        <w:gridCol w:w="1684"/>
        <w:gridCol w:w="1559"/>
        <w:gridCol w:w="1701"/>
      </w:tblGrid>
      <w:tr w:rsidR="00C65079" w:rsidRPr="00E139A8" w:rsidTr="00E44194">
        <w:trPr>
          <w:cantSplit/>
        </w:trPr>
        <w:tc>
          <w:tcPr>
            <w:tcW w:w="9752" w:type="dxa"/>
            <w:gridSpan w:val="7"/>
            <w:tcBorders>
              <w:bottom w:val="nil"/>
            </w:tcBorders>
          </w:tcPr>
          <w:p w:rsidR="00C65079" w:rsidRPr="00DD2A86" w:rsidRDefault="00C65079" w:rsidP="00E44194">
            <w:pPr>
              <w:jc w:val="right"/>
              <w:rPr>
                <w:b/>
                <w:lang w:val="de-DE"/>
              </w:rPr>
            </w:pPr>
            <w:r w:rsidRPr="00DD2A86">
              <w:rPr>
                <w:b/>
                <w:lang w:val="de-DE"/>
              </w:rPr>
              <w:t>1</w:t>
            </w:r>
          </w:p>
          <w:p w:rsidR="00C65079" w:rsidRPr="00DD2A86" w:rsidRDefault="00C65079" w:rsidP="00E44194">
            <w:pPr>
              <w:jc w:val="center"/>
              <w:rPr>
                <w:b/>
                <w:bCs/>
                <w:lang w:val="de-DE"/>
              </w:rPr>
            </w:pPr>
            <w:r w:rsidRPr="00DD2A86">
              <w:rPr>
                <w:b/>
                <w:bCs/>
                <w:lang w:val="de-DE"/>
              </w:rPr>
              <w:t>Prüfliste ADN</w:t>
            </w:r>
          </w:p>
          <w:p w:rsidR="00C65079" w:rsidRPr="00DD2A86" w:rsidRDefault="00C65079" w:rsidP="00E44194">
            <w:pPr>
              <w:rPr>
                <w:lang w:val="de-DE"/>
              </w:rPr>
            </w:pPr>
            <w:r w:rsidRPr="00DD2A86">
              <w:rPr>
                <w:lang w:val="de-DE"/>
              </w:rPr>
              <w:t>über die Beachtung von Sicherheitsvorschriften, die Umsetzung von notwendigen Maßnahmen für das Entgasen an Annahmestellen</w:t>
            </w:r>
          </w:p>
          <w:p w:rsidR="00C65079" w:rsidRPr="00DD2A86" w:rsidRDefault="00C65079" w:rsidP="00E44194">
            <w:pPr>
              <w:rPr>
                <w:lang w:val="de-DE"/>
              </w:rPr>
            </w:pPr>
          </w:p>
        </w:tc>
      </w:tr>
      <w:tr w:rsidR="00C65079" w:rsidRPr="00DD2A86" w:rsidTr="00E44194">
        <w:trPr>
          <w:cantSplit/>
        </w:trPr>
        <w:tc>
          <w:tcPr>
            <w:tcW w:w="4808" w:type="dxa"/>
            <w:gridSpan w:val="4"/>
            <w:tcBorders>
              <w:top w:val="nil"/>
              <w:bottom w:val="nil"/>
              <w:right w:val="nil"/>
            </w:tcBorders>
          </w:tcPr>
          <w:p w:rsidR="00C65079" w:rsidRPr="00DD2A86" w:rsidRDefault="00C65079" w:rsidP="00E44194">
            <w:pPr>
              <w:tabs>
                <w:tab w:val="left" w:pos="459"/>
              </w:tabs>
              <w:spacing w:line="360" w:lineRule="auto"/>
              <w:rPr>
                <w:b/>
                <w:lang w:val="de-DE"/>
              </w:rPr>
            </w:pPr>
            <w:r w:rsidRPr="00DD2A86">
              <w:rPr>
                <w:lang w:val="de-DE"/>
              </w:rPr>
              <w:t xml:space="preserve">  –</w:t>
            </w:r>
            <w:r w:rsidRPr="00DD2A86">
              <w:rPr>
                <w:lang w:val="de-DE"/>
              </w:rPr>
              <w:tab/>
            </w:r>
            <w:r w:rsidRPr="00DD2A86">
              <w:rPr>
                <w:b/>
                <w:lang w:val="de-DE"/>
              </w:rPr>
              <w:t>Angaben zum Schiff</w:t>
            </w:r>
          </w:p>
          <w:p w:rsidR="00C65079" w:rsidRPr="00DD2A86" w:rsidRDefault="00C65079" w:rsidP="00E44194">
            <w:pPr>
              <w:tabs>
                <w:tab w:val="left" w:pos="459"/>
              </w:tabs>
              <w:rPr>
                <w:lang w:val="de-DE"/>
              </w:rPr>
            </w:pPr>
            <w:r w:rsidRPr="00DD2A86">
              <w:rPr>
                <w:b/>
                <w:lang w:val="de-DE"/>
              </w:rPr>
              <w:tab/>
            </w:r>
            <w:r w:rsidRPr="00DD2A86">
              <w:rPr>
                <w:lang w:val="de-DE"/>
              </w:rPr>
              <w:t>…………………………………………..</w:t>
            </w:r>
          </w:p>
          <w:p w:rsidR="00C65079" w:rsidRPr="00DD2A86" w:rsidRDefault="00C65079" w:rsidP="00E44194">
            <w:pPr>
              <w:tabs>
                <w:tab w:val="left" w:pos="459"/>
              </w:tabs>
              <w:spacing w:line="360" w:lineRule="auto"/>
              <w:rPr>
                <w:lang w:val="de-DE"/>
              </w:rPr>
            </w:pPr>
            <w:r w:rsidRPr="00DD2A86">
              <w:rPr>
                <w:lang w:val="de-DE"/>
              </w:rPr>
              <w:tab/>
              <w:t>(Schiffsname)</w:t>
            </w:r>
          </w:p>
          <w:p w:rsidR="00C65079" w:rsidRPr="00DD2A86" w:rsidRDefault="00C65079" w:rsidP="00E44194">
            <w:pPr>
              <w:tabs>
                <w:tab w:val="left" w:pos="459"/>
              </w:tabs>
              <w:rPr>
                <w:lang w:val="de-DE"/>
              </w:rPr>
            </w:pPr>
            <w:r w:rsidRPr="00DD2A86">
              <w:rPr>
                <w:lang w:val="de-DE"/>
              </w:rPr>
              <w:tab/>
              <w:t>…………………………………………..</w:t>
            </w:r>
          </w:p>
          <w:p w:rsidR="00C65079" w:rsidRPr="00DD2A86" w:rsidRDefault="00C65079" w:rsidP="00E44194">
            <w:pPr>
              <w:tabs>
                <w:tab w:val="left" w:pos="459"/>
              </w:tabs>
              <w:rPr>
                <w:lang w:val="de-DE"/>
              </w:rPr>
            </w:pPr>
            <w:r w:rsidRPr="00DD2A86">
              <w:rPr>
                <w:lang w:val="de-DE"/>
              </w:rPr>
              <w:tab/>
              <w:t>(Schiffstyp)</w:t>
            </w:r>
          </w:p>
          <w:p w:rsidR="00C65079" w:rsidRPr="00DD2A86" w:rsidRDefault="00C65079" w:rsidP="00E44194">
            <w:pPr>
              <w:tabs>
                <w:tab w:val="left" w:pos="459"/>
              </w:tabs>
              <w:rPr>
                <w:lang w:val="de-DE"/>
              </w:rPr>
            </w:pPr>
          </w:p>
        </w:tc>
        <w:tc>
          <w:tcPr>
            <w:tcW w:w="4944" w:type="dxa"/>
            <w:gridSpan w:val="3"/>
            <w:tcBorders>
              <w:top w:val="nil"/>
              <w:left w:val="nil"/>
              <w:bottom w:val="nil"/>
            </w:tcBorders>
          </w:tcPr>
          <w:p w:rsidR="00C65079" w:rsidRPr="00DD2A86" w:rsidRDefault="00C65079" w:rsidP="00E44194">
            <w:pPr>
              <w:spacing w:line="360" w:lineRule="auto"/>
              <w:rPr>
                <w:lang w:val="de-DE"/>
              </w:rPr>
            </w:pPr>
          </w:p>
          <w:p w:rsidR="00C65079" w:rsidRPr="00DD2A86" w:rsidRDefault="00C65079" w:rsidP="00E44194">
            <w:pPr>
              <w:rPr>
                <w:lang w:val="de-DE"/>
              </w:rPr>
            </w:pPr>
            <w:r w:rsidRPr="00DD2A86">
              <w:rPr>
                <w:lang w:val="de-DE"/>
              </w:rPr>
              <w:t>Amtliche Schiffsnummer……………………...</w:t>
            </w:r>
          </w:p>
          <w:p w:rsidR="00C65079" w:rsidRPr="00DD2A86" w:rsidRDefault="00C65079" w:rsidP="00E44194">
            <w:pPr>
              <w:rPr>
                <w:lang w:val="de-DE"/>
              </w:rPr>
            </w:pPr>
          </w:p>
        </w:tc>
      </w:tr>
      <w:tr w:rsidR="00C65079" w:rsidRPr="00DD2A86" w:rsidTr="00E44194">
        <w:trPr>
          <w:cantSplit/>
        </w:trPr>
        <w:tc>
          <w:tcPr>
            <w:tcW w:w="9752" w:type="dxa"/>
            <w:gridSpan w:val="7"/>
            <w:tcBorders>
              <w:top w:val="nil"/>
              <w:bottom w:val="nil"/>
            </w:tcBorders>
          </w:tcPr>
          <w:p w:rsidR="00C65079" w:rsidRPr="00DD2A86" w:rsidRDefault="00C65079" w:rsidP="00E44194">
            <w:pPr>
              <w:tabs>
                <w:tab w:val="left" w:pos="459"/>
              </w:tabs>
              <w:spacing w:line="360" w:lineRule="auto"/>
              <w:rPr>
                <w:b/>
                <w:lang w:val="de-DE"/>
              </w:rPr>
            </w:pPr>
            <w:r w:rsidRPr="00DD2A86">
              <w:rPr>
                <w:b/>
                <w:lang w:val="de-DE"/>
              </w:rPr>
              <w:t xml:space="preserve">  –</w:t>
            </w:r>
            <w:r w:rsidRPr="00DD2A86">
              <w:rPr>
                <w:b/>
                <w:lang w:val="de-DE"/>
              </w:rPr>
              <w:tab/>
              <w:t>Angaben zur Annahmestelle</w:t>
            </w:r>
          </w:p>
        </w:tc>
      </w:tr>
      <w:tr w:rsidR="00C65079" w:rsidRPr="00DD2A86" w:rsidTr="00E44194">
        <w:trPr>
          <w:cantSplit/>
        </w:trPr>
        <w:tc>
          <w:tcPr>
            <w:tcW w:w="4808" w:type="dxa"/>
            <w:gridSpan w:val="4"/>
            <w:tcBorders>
              <w:top w:val="nil"/>
              <w:bottom w:val="nil"/>
              <w:right w:val="nil"/>
            </w:tcBorders>
          </w:tcPr>
          <w:p w:rsidR="00C65079" w:rsidRPr="00DD2A86" w:rsidRDefault="00C65079" w:rsidP="00E44194">
            <w:pPr>
              <w:tabs>
                <w:tab w:val="left" w:pos="459"/>
              </w:tabs>
              <w:rPr>
                <w:lang w:val="de-DE"/>
              </w:rPr>
            </w:pPr>
            <w:r w:rsidRPr="00DD2A86">
              <w:rPr>
                <w:lang w:val="de-DE"/>
              </w:rPr>
              <w:tab/>
              <w:t>…………………………………………...</w:t>
            </w:r>
          </w:p>
          <w:p w:rsidR="00C65079" w:rsidRPr="00DD2A86" w:rsidRDefault="00C65079" w:rsidP="00E44194">
            <w:pPr>
              <w:tabs>
                <w:tab w:val="left" w:pos="459"/>
              </w:tabs>
              <w:spacing w:line="360" w:lineRule="auto"/>
              <w:rPr>
                <w:lang w:val="de-DE"/>
              </w:rPr>
            </w:pPr>
            <w:r w:rsidRPr="00DD2A86">
              <w:rPr>
                <w:lang w:val="de-DE"/>
              </w:rPr>
              <w:tab/>
              <w:t>(Annahmestelle)</w:t>
            </w:r>
          </w:p>
          <w:p w:rsidR="00C65079" w:rsidRPr="00DD2A86" w:rsidRDefault="00C65079" w:rsidP="00E44194">
            <w:pPr>
              <w:tabs>
                <w:tab w:val="left" w:pos="459"/>
              </w:tabs>
              <w:rPr>
                <w:lang w:val="de-DE"/>
              </w:rPr>
            </w:pPr>
            <w:r w:rsidRPr="00DD2A86">
              <w:rPr>
                <w:lang w:val="de-DE"/>
              </w:rPr>
              <w:tab/>
              <w:t>…………………………………………...</w:t>
            </w:r>
          </w:p>
          <w:p w:rsidR="00C65079" w:rsidRPr="00DD2A86" w:rsidRDefault="00C65079" w:rsidP="00E44194">
            <w:pPr>
              <w:tabs>
                <w:tab w:val="left" w:pos="459"/>
              </w:tabs>
              <w:rPr>
                <w:lang w:val="de-DE"/>
              </w:rPr>
            </w:pPr>
            <w:r w:rsidRPr="00DD2A86">
              <w:rPr>
                <w:lang w:val="de-DE"/>
              </w:rPr>
              <w:tab/>
              <w:t>(Datum)</w:t>
            </w:r>
          </w:p>
          <w:p w:rsidR="00C65079" w:rsidRPr="00DD2A86" w:rsidRDefault="00C65079" w:rsidP="00E44194">
            <w:pPr>
              <w:tabs>
                <w:tab w:val="left" w:pos="459"/>
              </w:tabs>
              <w:rPr>
                <w:lang w:val="de-DE"/>
              </w:rPr>
            </w:pPr>
          </w:p>
          <w:p w:rsidR="00C65079" w:rsidRPr="00DD2A86" w:rsidRDefault="00C65079" w:rsidP="00E44194">
            <w:pPr>
              <w:tabs>
                <w:tab w:val="left" w:pos="459"/>
              </w:tabs>
              <w:rPr>
                <w:lang w:val="de-DE"/>
              </w:rPr>
            </w:pPr>
            <w:r w:rsidRPr="00DD2A86">
              <w:rPr>
                <w:lang w:val="de-DE"/>
              </w:rPr>
              <w:tab/>
              <w:t>Gemäß CDNI zugelassene Annahmestelle</w:t>
            </w:r>
          </w:p>
          <w:p w:rsidR="00C65079" w:rsidRPr="00DD2A86" w:rsidRDefault="00C65079" w:rsidP="00E44194">
            <w:pPr>
              <w:tabs>
                <w:tab w:val="left" w:pos="459"/>
              </w:tabs>
              <w:rPr>
                <w:lang w:val="de-DE"/>
              </w:rPr>
            </w:pPr>
          </w:p>
        </w:tc>
        <w:tc>
          <w:tcPr>
            <w:tcW w:w="4944" w:type="dxa"/>
            <w:gridSpan w:val="3"/>
            <w:tcBorders>
              <w:top w:val="nil"/>
              <w:left w:val="nil"/>
              <w:bottom w:val="nil"/>
            </w:tcBorders>
          </w:tcPr>
          <w:p w:rsidR="00C65079" w:rsidRPr="00DD2A86" w:rsidRDefault="00C65079" w:rsidP="00E44194">
            <w:pPr>
              <w:rPr>
                <w:lang w:val="de-DE"/>
              </w:rPr>
            </w:pPr>
            <w:r w:rsidRPr="00DD2A86">
              <w:rPr>
                <w:lang w:val="de-DE"/>
              </w:rPr>
              <w:t>………………………………………………..</w:t>
            </w:r>
          </w:p>
          <w:p w:rsidR="00C65079" w:rsidRPr="00DD2A86" w:rsidRDefault="00C65079" w:rsidP="00E44194">
            <w:pPr>
              <w:spacing w:line="360" w:lineRule="auto"/>
              <w:rPr>
                <w:lang w:val="de-DE"/>
              </w:rPr>
            </w:pPr>
            <w:r w:rsidRPr="00DD2A86">
              <w:rPr>
                <w:lang w:val="de-DE"/>
              </w:rPr>
              <w:t>(Ort)</w:t>
            </w:r>
          </w:p>
          <w:p w:rsidR="00C65079" w:rsidRPr="00DD2A86" w:rsidRDefault="00C65079" w:rsidP="00E44194">
            <w:pPr>
              <w:rPr>
                <w:lang w:val="de-DE"/>
              </w:rPr>
            </w:pPr>
            <w:r w:rsidRPr="00DD2A86">
              <w:rPr>
                <w:lang w:val="de-DE"/>
              </w:rPr>
              <w:t>………………………………………………..</w:t>
            </w:r>
          </w:p>
          <w:p w:rsidR="00C65079" w:rsidRPr="00DD2A86" w:rsidRDefault="00C65079" w:rsidP="00E44194">
            <w:pPr>
              <w:rPr>
                <w:lang w:val="de-DE"/>
              </w:rPr>
            </w:pPr>
            <w:r w:rsidRPr="00DD2A86">
              <w:rPr>
                <w:lang w:val="de-DE"/>
              </w:rPr>
              <w:t>(Uhrzeit)</w:t>
            </w:r>
          </w:p>
          <w:p w:rsidR="00C65079" w:rsidRPr="00DD2A86" w:rsidRDefault="00C65079" w:rsidP="00E44194">
            <w:pPr>
              <w:rPr>
                <w:lang w:val="de-DE"/>
              </w:rPr>
            </w:pPr>
          </w:p>
          <w:p w:rsidR="00C65079" w:rsidRPr="00DD2A86" w:rsidRDefault="00C65079" w:rsidP="00E44194">
            <w:pPr>
              <w:rPr>
                <w:lang w:val="de-DE"/>
              </w:rPr>
            </w:pPr>
            <w:r w:rsidRPr="00DD2A86">
              <w:rPr>
                <w:lang w:val="de-DE"/>
              </w:rPr>
              <w:sym w:font="Wingdings" w:char="F06F"/>
            </w:r>
            <w:r w:rsidRPr="00DD2A86">
              <w:rPr>
                <w:lang w:val="de-DE"/>
              </w:rPr>
              <w:t xml:space="preserve"> Ja  </w:t>
            </w:r>
            <w:r w:rsidRPr="00DD2A86">
              <w:rPr>
                <w:lang w:val="de-DE"/>
              </w:rPr>
              <w:sym w:font="Wingdings" w:char="F06F"/>
            </w:r>
            <w:r w:rsidRPr="00DD2A86">
              <w:rPr>
                <w:lang w:val="de-DE"/>
              </w:rPr>
              <w:t xml:space="preserve"> Nein</w:t>
            </w:r>
          </w:p>
        </w:tc>
      </w:tr>
      <w:tr w:rsidR="00C65079" w:rsidRPr="00E139A8" w:rsidTr="00E44194">
        <w:trPr>
          <w:cantSplit/>
        </w:trPr>
        <w:tc>
          <w:tcPr>
            <w:tcW w:w="9752" w:type="dxa"/>
            <w:gridSpan w:val="7"/>
            <w:tcBorders>
              <w:top w:val="nil"/>
            </w:tcBorders>
          </w:tcPr>
          <w:p w:rsidR="00C65079" w:rsidRPr="00DD2A86" w:rsidRDefault="00C65079" w:rsidP="00E44194">
            <w:pPr>
              <w:tabs>
                <w:tab w:val="left" w:pos="459"/>
              </w:tabs>
              <w:rPr>
                <w:lang w:val="de-DE"/>
              </w:rPr>
            </w:pPr>
            <w:r w:rsidRPr="00DD2A86">
              <w:rPr>
                <w:lang w:val="de-DE"/>
              </w:rPr>
              <w:t xml:space="preserve">  –</w:t>
            </w:r>
            <w:r w:rsidRPr="00DD2A86">
              <w:rPr>
                <w:lang w:val="de-DE"/>
              </w:rPr>
              <w:tab/>
            </w:r>
            <w:r w:rsidRPr="00DD2A86">
              <w:rPr>
                <w:b/>
                <w:lang w:val="de-DE"/>
              </w:rPr>
              <w:t>Angaben zur vorherigen Ladung im Tank vor dem Entgasen laut Beförderungspapier</w:t>
            </w:r>
          </w:p>
        </w:tc>
      </w:tr>
      <w:tr w:rsidR="00C65079" w:rsidRPr="00DD2A86" w:rsidTr="00E44194">
        <w:tc>
          <w:tcPr>
            <w:tcW w:w="963" w:type="dxa"/>
            <w:vAlign w:val="center"/>
          </w:tcPr>
          <w:p w:rsidR="00C65079" w:rsidRPr="00DD2A86" w:rsidRDefault="00C65079" w:rsidP="00E44194">
            <w:pPr>
              <w:jc w:val="center"/>
              <w:rPr>
                <w:sz w:val="18"/>
                <w:szCs w:val="18"/>
                <w:lang w:val="de-DE"/>
              </w:rPr>
            </w:pPr>
            <w:r w:rsidRPr="00DD2A86">
              <w:rPr>
                <w:sz w:val="18"/>
                <w:szCs w:val="18"/>
                <w:lang w:val="de-DE"/>
              </w:rPr>
              <w:t>Ladetanknummer</w:t>
            </w:r>
          </w:p>
        </w:tc>
        <w:tc>
          <w:tcPr>
            <w:tcW w:w="1134" w:type="dxa"/>
            <w:vAlign w:val="center"/>
          </w:tcPr>
          <w:p w:rsidR="00C65079" w:rsidRPr="00DD2A86" w:rsidRDefault="00C65079" w:rsidP="00E44194">
            <w:pPr>
              <w:jc w:val="center"/>
              <w:rPr>
                <w:sz w:val="18"/>
                <w:szCs w:val="18"/>
                <w:lang w:val="de-DE"/>
              </w:rPr>
            </w:pPr>
            <w:r w:rsidRPr="00DD2A86">
              <w:rPr>
                <w:sz w:val="18"/>
                <w:szCs w:val="18"/>
                <w:lang w:val="de-DE"/>
              </w:rPr>
              <w:t>Menge m</w:t>
            </w:r>
            <w:r w:rsidRPr="00DD2A86">
              <w:rPr>
                <w:sz w:val="18"/>
                <w:szCs w:val="18"/>
                <w:vertAlign w:val="superscript"/>
                <w:lang w:val="de-DE"/>
              </w:rPr>
              <w:t>3</w:t>
            </w:r>
          </w:p>
        </w:tc>
        <w:tc>
          <w:tcPr>
            <w:tcW w:w="2694" w:type="dxa"/>
            <w:vAlign w:val="center"/>
          </w:tcPr>
          <w:p w:rsidR="00C65079" w:rsidRPr="00DD2A86" w:rsidRDefault="00C65079" w:rsidP="00E44194">
            <w:pPr>
              <w:rPr>
                <w:sz w:val="18"/>
                <w:szCs w:val="18"/>
                <w:lang w:val="de-DE"/>
              </w:rPr>
            </w:pPr>
            <w:r w:rsidRPr="00DD2A86">
              <w:rPr>
                <w:sz w:val="18"/>
                <w:szCs w:val="18"/>
                <w:lang w:val="de-DE"/>
              </w:rPr>
              <w:t>Offizielle Benennung für die Beförderung**</w:t>
            </w:r>
          </w:p>
        </w:tc>
        <w:tc>
          <w:tcPr>
            <w:tcW w:w="1701" w:type="dxa"/>
            <w:gridSpan w:val="2"/>
            <w:vAlign w:val="center"/>
          </w:tcPr>
          <w:p w:rsidR="00C65079" w:rsidRPr="00DD2A86" w:rsidRDefault="00C65079" w:rsidP="00E44194">
            <w:pPr>
              <w:jc w:val="center"/>
              <w:rPr>
                <w:sz w:val="18"/>
                <w:szCs w:val="18"/>
                <w:lang w:val="de-DE"/>
              </w:rPr>
            </w:pPr>
            <w:r w:rsidRPr="00DD2A86">
              <w:rPr>
                <w:sz w:val="18"/>
                <w:szCs w:val="18"/>
                <w:lang w:val="de-DE"/>
              </w:rPr>
              <w:t>UN-Nummer oder</w:t>
            </w:r>
          </w:p>
          <w:p w:rsidR="00C65079" w:rsidRPr="00DD2A86" w:rsidRDefault="00C65079" w:rsidP="00E44194">
            <w:pPr>
              <w:spacing w:line="360" w:lineRule="auto"/>
              <w:jc w:val="center"/>
              <w:rPr>
                <w:sz w:val="18"/>
                <w:szCs w:val="18"/>
                <w:lang w:val="de-DE"/>
              </w:rPr>
            </w:pPr>
            <w:r w:rsidRPr="00DD2A86">
              <w:rPr>
                <w:sz w:val="18"/>
                <w:szCs w:val="18"/>
                <w:lang w:val="de-DE"/>
              </w:rPr>
              <w:t>Stoffnummer</w:t>
            </w:r>
          </w:p>
        </w:tc>
        <w:tc>
          <w:tcPr>
            <w:tcW w:w="1559" w:type="dxa"/>
            <w:shd w:val="clear" w:color="auto" w:fill="auto"/>
            <w:vAlign w:val="center"/>
          </w:tcPr>
          <w:p w:rsidR="00C65079" w:rsidRPr="00DD2A86" w:rsidRDefault="00C65079" w:rsidP="00E44194">
            <w:pPr>
              <w:jc w:val="center"/>
              <w:rPr>
                <w:strike/>
                <w:sz w:val="18"/>
                <w:szCs w:val="18"/>
                <w:lang w:val="de-DE"/>
              </w:rPr>
            </w:pPr>
            <w:r w:rsidRPr="00DD2A86">
              <w:rPr>
                <w:sz w:val="18"/>
                <w:szCs w:val="18"/>
                <w:lang w:val="de-DE"/>
              </w:rPr>
              <w:t>Gefahren*</w:t>
            </w:r>
          </w:p>
          <w:p w:rsidR="00C65079" w:rsidRPr="00DD2A86" w:rsidRDefault="00C65079" w:rsidP="00E44194">
            <w:pPr>
              <w:spacing w:line="360" w:lineRule="auto"/>
              <w:jc w:val="center"/>
              <w:rPr>
                <w:sz w:val="18"/>
                <w:szCs w:val="18"/>
                <w:lang w:val="de-DE"/>
              </w:rPr>
            </w:pPr>
            <w:r w:rsidRPr="00DD2A86">
              <w:rPr>
                <w:sz w:val="18"/>
                <w:szCs w:val="18"/>
                <w:lang w:val="de-DE"/>
              </w:rPr>
              <w:t>……………</w:t>
            </w:r>
          </w:p>
        </w:tc>
        <w:tc>
          <w:tcPr>
            <w:tcW w:w="1701" w:type="dxa"/>
            <w:shd w:val="clear" w:color="auto" w:fill="auto"/>
          </w:tcPr>
          <w:p w:rsidR="00C65079" w:rsidRPr="00DD2A86" w:rsidRDefault="00C65079" w:rsidP="00E44194">
            <w:pPr>
              <w:jc w:val="center"/>
              <w:rPr>
                <w:strike/>
                <w:sz w:val="18"/>
                <w:szCs w:val="18"/>
                <w:lang w:val="de-DE"/>
              </w:rPr>
            </w:pPr>
            <w:r w:rsidRPr="00DD2A86">
              <w:rPr>
                <w:sz w:val="18"/>
                <w:szCs w:val="18"/>
                <w:lang w:val="de-DE"/>
              </w:rPr>
              <w:t>Verpackungsgruppe</w:t>
            </w:r>
          </w:p>
        </w:tc>
      </w:tr>
      <w:tr w:rsidR="00C65079" w:rsidRPr="00DD2A86" w:rsidTr="00E44194">
        <w:tc>
          <w:tcPr>
            <w:tcW w:w="963" w:type="dxa"/>
          </w:tcPr>
          <w:p w:rsidR="00C65079" w:rsidRPr="00DD2A86" w:rsidRDefault="00C65079" w:rsidP="00E44194">
            <w:pPr>
              <w:rPr>
                <w:lang w:val="de-DE"/>
              </w:rPr>
            </w:pPr>
          </w:p>
          <w:p w:rsidR="00C65079" w:rsidRPr="00DD2A86" w:rsidRDefault="00C65079" w:rsidP="00E44194">
            <w:pPr>
              <w:spacing w:line="360" w:lineRule="auto"/>
              <w:rPr>
                <w:lang w:val="de-DE"/>
              </w:rPr>
            </w:pPr>
            <w:r w:rsidRPr="00DD2A86">
              <w:rPr>
                <w:lang w:val="de-DE"/>
              </w:rPr>
              <w:t>………………………</w:t>
            </w:r>
          </w:p>
        </w:tc>
        <w:tc>
          <w:tcPr>
            <w:tcW w:w="1134" w:type="dxa"/>
          </w:tcPr>
          <w:p w:rsidR="00C65079" w:rsidRPr="00DD2A86" w:rsidRDefault="00C65079" w:rsidP="00E44194">
            <w:pPr>
              <w:rPr>
                <w:lang w:val="de-DE"/>
              </w:rPr>
            </w:pPr>
          </w:p>
          <w:p w:rsidR="00C65079" w:rsidRPr="00DD2A86" w:rsidRDefault="00C65079" w:rsidP="00E44194">
            <w:pPr>
              <w:spacing w:line="360" w:lineRule="auto"/>
              <w:rPr>
                <w:lang w:val="de-DE"/>
              </w:rPr>
            </w:pPr>
            <w:r w:rsidRPr="00DD2A86">
              <w:rPr>
                <w:lang w:val="de-DE"/>
              </w:rPr>
              <w:t>…………...………….</w:t>
            </w:r>
          </w:p>
          <w:p w:rsidR="00C65079" w:rsidRPr="00DD2A86" w:rsidRDefault="00C65079" w:rsidP="00E44194">
            <w:pPr>
              <w:spacing w:line="360" w:lineRule="auto"/>
              <w:rPr>
                <w:lang w:val="de-DE"/>
              </w:rPr>
            </w:pPr>
            <w:r w:rsidRPr="00DD2A86">
              <w:rPr>
                <w:lang w:val="de-DE"/>
              </w:rPr>
              <w:t>………….</w:t>
            </w:r>
          </w:p>
        </w:tc>
        <w:tc>
          <w:tcPr>
            <w:tcW w:w="2694" w:type="dxa"/>
          </w:tcPr>
          <w:p w:rsidR="00C65079" w:rsidRPr="00DD2A86" w:rsidRDefault="00C65079" w:rsidP="00E44194">
            <w:pPr>
              <w:rPr>
                <w:lang w:val="de-DE"/>
              </w:rPr>
            </w:pPr>
          </w:p>
          <w:p w:rsidR="00C65079" w:rsidRPr="00DD2A86" w:rsidRDefault="00C65079" w:rsidP="00E44194">
            <w:pPr>
              <w:spacing w:line="360" w:lineRule="auto"/>
              <w:rPr>
                <w:lang w:val="de-DE"/>
              </w:rPr>
            </w:pPr>
            <w:r w:rsidRPr="00DD2A86">
              <w:rPr>
                <w:lang w:val="de-DE"/>
              </w:rPr>
              <w:t>………………………………………………………………………………………………</w:t>
            </w:r>
          </w:p>
        </w:tc>
        <w:tc>
          <w:tcPr>
            <w:tcW w:w="1701" w:type="dxa"/>
            <w:gridSpan w:val="2"/>
          </w:tcPr>
          <w:p w:rsidR="00C65079" w:rsidRPr="00DD2A86" w:rsidRDefault="00C65079" w:rsidP="00E44194">
            <w:pPr>
              <w:rPr>
                <w:lang w:val="de-DE"/>
              </w:rPr>
            </w:pPr>
          </w:p>
          <w:p w:rsidR="00C65079" w:rsidRPr="00DD2A86" w:rsidRDefault="00C65079" w:rsidP="00E44194">
            <w:pPr>
              <w:spacing w:line="360" w:lineRule="auto"/>
              <w:rPr>
                <w:lang w:val="de-DE"/>
              </w:rPr>
            </w:pPr>
            <w:r w:rsidRPr="00DD2A86">
              <w:rPr>
                <w:lang w:val="de-DE"/>
              </w:rPr>
              <w:t>……………..</w:t>
            </w:r>
          </w:p>
          <w:p w:rsidR="00C65079" w:rsidRPr="00DD2A86" w:rsidRDefault="00C65079" w:rsidP="00E44194">
            <w:pPr>
              <w:spacing w:line="360" w:lineRule="auto"/>
              <w:rPr>
                <w:lang w:val="de-DE"/>
              </w:rPr>
            </w:pPr>
            <w:r w:rsidRPr="00DD2A86">
              <w:rPr>
                <w:lang w:val="de-DE"/>
              </w:rPr>
              <w:t>……………..</w:t>
            </w:r>
          </w:p>
          <w:p w:rsidR="00C65079" w:rsidRPr="00DD2A86" w:rsidRDefault="00C65079" w:rsidP="00E44194">
            <w:pPr>
              <w:spacing w:line="360" w:lineRule="auto"/>
              <w:rPr>
                <w:lang w:val="de-DE"/>
              </w:rPr>
            </w:pPr>
            <w:r w:rsidRPr="00DD2A86">
              <w:rPr>
                <w:lang w:val="de-DE"/>
              </w:rPr>
              <w:t>……………..</w:t>
            </w:r>
          </w:p>
        </w:tc>
        <w:tc>
          <w:tcPr>
            <w:tcW w:w="1559" w:type="dxa"/>
            <w:shd w:val="clear" w:color="auto" w:fill="auto"/>
          </w:tcPr>
          <w:p w:rsidR="00C65079" w:rsidRPr="00DD2A86" w:rsidRDefault="00C65079" w:rsidP="00E44194">
            <w:pPr>
              <w:rPr>
                <w:lang w:val="de-DE"/>
              </w:rPr>
            </w:pPr>
          </w:p>
          <w:p w:rsidR="00C65079" w:rsidRPr="00DD2A86" w:rsidRDefault="00C65079" w:rsidP="00E44194">
            <w:pPr>
              <w:spacing w:line="360" w:lineRule="auto"/>
              <w:rPr>
                <w:lang w:val="de-DE"/>
              </w:rPr>
            </w:pPr>
            <w:r w:rsidRPr="00DD2A86">
              <w:rPr>
                <w:lang w:val="de-DE"/>
              </w:rPr>
              <w:t>………………………………………………</w:t>
            </w:r>
          </w:p>
        </w:tc>
        <w:tc>
          <w:tcPr>
            <w:tcW w:w="1701" w:type="dxa"/>
            <w:shd w:val="clear" w:color="auto" w:fill="auto"/>
          </w:tcPr>
          <w:p w:rsidR="00C65079" w:rsidRPr="00DD2A86" w:rsidRDefault="00C65079" w:rsidP="00E44194">
            <w:pPr>
              <w:rPr>
                <w:lang w:val="de-DE"/>
              </w:rPr>
            </w:pPr>
          </w:p>
          <w:p w:rsidR="00C65079" w:rsidRPr="00DD2A86" w:rsidRDefault="00C65079" w:rsidP="00E44194">
            <w:pPr>
              <w:spacing w:line="360" w:lineRule="auto"/>
              <w:rPr>
                <w:lang w:val="de-DE"/>
              </w:rPr>
            </w:pPr>
            <w:r w:rsidRPr="00DD2A86">
              <w:rPr>
                <w:lang w:val="de-DE"/>
              </w:rPr>
              <w:t>……………………………………</w:t>
            </w:r>
          </w:p>
          <w:p w:rsidR="00C65079" w:rsidRPr="00DD2A86" w:rsidRDefault="00C65079" w:rsidP="00E44194">
            <w:pPr>
              <w:spacing w:line="360" w:lineRule="auto"/>
              <w:rPr>
                <w:lang w:val="de-DE"/>
              </w:rPr>
            </w:pPr>
            <w:r w:rsidRPr="00DD2A86">
              <w:rPr>
                <w:lang w:val="de-DE"/>
              </w:rPr>
              <w:t>…………………</w:t>
            </w:r>
          </w:p>
        </w:tc>
      </w:tr>
    </w:tbl>
    <w:p w:rsidR="00C65079" w:rsidRPr="00DD2A86" w:rsidRDefault="00C65079" w:rsidP="00C65079">
      <w:pPr>
        <w:spacing w:before="120"/>
        <w:ind w:left="170" w:right="1134"/>
        <w:jc w:val="both"/>
        <w:rPr>
          <w:rFonts w:eastAsia="SimSun"/>
          <w:i/>
          <w:iCs/>
          <w:lang w:val="de-DE" w:eastAsia="zh-CN"/>
        </w:rPr>
      </w:pPr>
    </w:p>
    <w:p w:rsidR="00C65079" w:rsidRPr="00DD2A86" w:rsidRDefault="00C65079" w:rsidP="00C65079">
      <w:pPr>
        <w:spacing w:before="120"/>
        <w:ind w:left="170" w:right="1134"/>
        <w:jc w:val="both"/>
        <w:rPr>
          <w:rFonts w:eastAsia="SimSun"/>
          <w:i/>
          <w:iCs/>
          <w:lang w:val="de-DE" w:eastAsia="zh-CN"/>
        </w:rPr>
      </w:pPr>
      <w:r w:rsidRPr="00DD2A86">
        <w:rPr>
          <w:rFonts w:eastAsia="SimSun"/>
          <w:i/>
          <w:iCs/>
          <w:lang w:val="de-DE" w:eastAsia="zh-CN"/>
        </w:rPr>
        <w:t>*</w:t>
      </w:r>
      <w:r w:rsidRPr="00DD2A86">
        <w:rPr>
          <w:rFonts w:eastAsia="SimSun"/>
          <w:i/>
          <w:iCs/>
          <w:lang w:val="de-DE" w:eastAsia="zh-CN"/>
        </w:rPr>
        <w:tab/>
        <w:t xml:space="preserve"> Gefahren die in Spalte (5) der Tabelle C aufgeführt werden, sofern zutreffend (laut Beförderungspapier gemäß Absatz 5.4.1.1.2 c).</w:t>
      </w:r>
    </w:p>
    <w:p w:rsidR="00C65079" w:rsidRPr="00DD2A86" w:rsidRDefault="00C65079" w:rsidP="00C65079">
      <w:pPr>
        <w:spacing w:before="120"/>
        <w:ind w:left="170" w:right="1134"/>
        <w:jc w:val="both"/>
        <w:rPr>
          <w:rFonts w:eastAsia="SimSun"/>
          <w:i/>
          <w:iCs/>
          <w:lang w:val="de-DE" w:eastAsia="zh-CN"/>
        </w:rPr>
      </w:pPr>
      <w:r w:rsidRPr="00DD2A86">
        <w:rPr>
          <w:rFonts w:eastAsia="SimSun"/>
          <w:i/>
          <w:iCs/>
          <w:lang w:val="de-DE" w:eastAsia="zh-CN"/>
        </w:rPr>
        <w:t xml:space="preserve">** </w:t>
      </w:r>
      <w:r w:rsidRPr="00DD2A86">
        <w:rPr>
          <w:rFonts w:eastAsia="SimSun"/>
          <w:i/>
          <w:iCs/>
          <w:lang w:val="de-DE" w:eastAsia="zh-CN"/>
        </w:rPr>
        <w:tab/>
        <w:t>Die gemäß Unterabschnitt 3.2.3.2 Tabelle C Spalte (2) bestimmte offizielle Benennung des Stoffes für die Beförderung und, sofern zutreffend, ergänzt durch die technische Benennung in Klammern.</w:t>
      </w:r>
    </w:p>
    <w:p w:rsidR="00C65079" w:rsidRPr="00DD2A86" w:rsidRDefault="00C65079" w:rsidP="00C65079">
      <w:pPr>
        <w:spacing w:line="14" w:lineRule="auto"/>
        <w:rPr>
          <w:lang w:val="de-DE"/>
        </w:rPr>
      </w:pPr>
      <w:r w:rsidRPr="00DD2A86">
        <w:rPr>
          <w:lang w:val="de-DE"/>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275"/>
        <w:gridCol w:w="5954"/>
      </w:tblGrid>
      <w:tr w:rsidR="00C65079" w:rsidRPr="00DD2A86" w:rsidTr="00E44194">
        <w:trPr>
          <w:cantSplit/>
        </w:trPr>
        <w:tc>
          <w:tcPr>
            <w:tcW w:w="9356" w:type="dxa"/>
            <w:gridSpan w:val="3"/>
          </w:tcPr>
          <w:p w:rsidR="00C65079" w:rsidRPr="00DD2A86" w:rsidRDefault="00C65079" w:rsidP="00E44194">
            <w:pPr>
              <w:jc w:val="right"/>
              <w:rPr>
                <w:lang w:val="de-DE"/>
              </w:rPr>
            </w:pPr>
            <w:r w:rsidRPr="00DD2A86">
              <w:rPr>
                <w:b/>
                <w:bCs/>
                <w:lang w:val="de-DE"/>
              </w:rPr>
              <w:t>2</w:t>
            </w:r>
          </w:p>
          <w:p w:rsidR="00C65079" w:rsidRPr="00DD2A86" w:rsidRDefault="00C65079" w:rsidP="00E44194">
            <w:pPr>
              <w:rPr>
                <w:lang w:val="de-DE"/>
              </w:rPr>
            </w:pPr>
            <w:r w:rsidRPr="00DD2A86">
              <w:rPr>
                <w:b/>
                <w:lang w:val="de-DE"/>
              </w:rPr>
              <w:t>Entgasungsrate</w:t>
            </w:r>
          </w:p>
        </w:tc>
      </w:tr>
      <w:tr w:rsidR="00C65079" w:rsidRPr="00DD2A86" w:rsidTr="00E44194">
        <w:trPr>
          <w:cantSplit/>
        </w:trPr>
        <w:tc>
          <w:tcPr>
            <w:tcW w:w="2127" w:type="dxa"/>
            <w:vMerge w:val="restart"/>
          </w:tcPr>
          <w:p w:rsidR="00C65079" w:rsidRPr="00DD2A86" w:rsidRDefault="00C65079" w:rsidP="00E44194">
            <w:pPr>
              <w:jc w:val="center"/>
              <w:rPr>
                <w:lang w:val="de-DE"/>
              </w:rPr>
            </w:pPr>
            <w:r w:rsidRPr="00DD2A86">
              <w:rPr>
                <w:lang w:val="de-DE"/>
              </w:rPr>
              <w:t xml:space="preserve">Offizielle Benennung </w:t>
            </w:r>
            <w:r w:rsidRPr="00DD2A86">
              <w:rPr>
                <w:vertAlign w:val="superscript"/>
                <w:lang w:val="de-DE"/>
              </w:rPr>
              <w:t>**</w:t>
            </w:r>
          </w:p>
        </w:tc>
        <w:tc>
          <w:tcPr>
            <w:tcW w:w="1275" w:type="dxa"/>
            <w:vMerge w:val="restart"/>
          </w:tcPr>
          <w:p w:rsidR="00C65079" w:rsidRPr="00DD2A86" w:rsidRDefault="00C65079" w:rsidP="00E44194">
            <w:pPr>
              <w:jc w:val="center"/>
              <w:rPr>
                <w:lang w:val="de-DE"/>
              </w:rPr>
            </w:pPr>
            <w:r w:rsidRPr="00DD2A86">
              <w:rPr>
                <w:lang w:val="de-DE"/>
              </w:rPr>
              <w:t>Ladetank</w:t>
            </w:r>
          </w:p>
          <w:p w:rsidR="00C65079" w:rsidRPr="00DD2A86" w:rsidRDefault="00C65079" w:rsidP="00E44194">
            <w:pPr>
              <w:jc w:val="center"/>
              <w:rPr>
                <w:lang w:val="de-DE"/>
              </w:rPr>
            </w:pPr>
            <w:r w:rsidRPr="00DD2A86">
              <w:rPr>
                <w:lang w:val="de-DE"/>
              </w:rPr>
              <w:t>Nr.</w:t>
            </w:r>
          </w:p>
        </w:tc>
        <w:tc>
          <w:tcPr>
            <w:tcW w:w="5954" w:type="dxa"/>
          </w:tcPr>
          <w:p w:rsidR="00C65079" w:rsidRPr="00DD2A86" w:rsidRDefault="00C65079" w:rsidP="00E44194">
            <w:pPr>
              <w:jc w:val="center"/>
              <w:rPr>
                <w:lang w:val="de-DE"/>
              </w:rPr>
            </w:pPr>
            <w:r w:rsidRPr="00DD2A86">
              <w:rPr>
                <w:lang w:val="de-DE"/>
              </w:rPr>
              <w:t>vereinbarte Entgasungsrate</w:t>
            </w:r>
          </w:p>
        </w:tc>
      </w:tr>
      <w:tr w:rsidR="00C65079" w:rsidRPr="00DD2A86" w:rsidTr="00E44194">
        <w:trPr>
          <w:cantSplit/>
        </w:trPr>
        <w:tc>
          <w:tcPr>
            <w:tcW w:w="2127" w:type="dxa"/>
            <w:vMerge/>
          </w:tcPr>
          <w:p w:rsidR="00C65079" w:rsidRPr="00DD2A86" w:rsidRDefault="00C65079" w:rsidP="00E44194">
            <w:pPr>
              <w:jc w:val="center"/>
              <w:rPr>
                <w:lang w:val="de-DE"/>
              </w:rPr>
            </w:pPr>
          </w:p>
        </w:tc>
        <w:tc>
          <w:tcPr>
            <w:tcW w:w="1275" w:type="dxa"/>
            <w:vMerge/>
          </w:tcPr>
          <w:p w:rsidR="00C65079" w:rsidRPr="00DD2A86" w:rsidRDefault="00C65079" w:rsidP="00E44194">
            <w:pPr>
              <w:jc w:val="center"/>
              <w:rPr>
                <w:lang w:val="de-DE"/>
              </w:rPr>
            </w:pPr>
          </w:p>
        </w:tc>
        <w:tc>
          <w:tcPr>
            <w:tcW w:w="5954" w:type="dxa"/>
          </w:tcPr>
          <w:p w:rsidR="00C65079" w:rsidRPr="00DD2A86" w:rsidRDefault="00C65079" w:rsidP="00E44194">
            <w:pPr>
              <w:jc w:val="center"/>
              <w:rPr>
                <w:lang w:val="de-DE"/>
              </w:rPr>
            </w:pPr>
            <w:r w:rsidRPr="00DD2A86">
              <w:rPr>
                <w:lang w:val="de-DE"/>
              </w:rPr>
              <w:t>Rate</w:t>
            </w:r>
          </w:p>
          <w:p w:rsidR="00C65079" w:rsidRPr="00DD2A86" w:rsidRDefault="00C65079" w:rsidP="00E44194">
            <w:pPr>
              <w:jc w:val="center"/>
              <w:rPr>
                <w:lang w:val="de-DE"/>
              </w:rPr>
            </w:pPr>
            <w:r w:rsidRPr="00DD2A86">
              <w:rPr>
                <w:lang w:val="de-DE"/>
              </w:rPr>
              <w:t>m</w:t>
            </w:r>
            <w:r w:rsidRPr="00DD2A86">
              <w:rPr>
                <w:vertAlign w:val="superscript"/>
                <w:lang w:val="de-DE"/>
              </w:rPr>
              <w:t>3</w:t>
            </w:r>
            <w:r w:rsidRPr="00DD2A86">
              <w:rPr>
                <w:lang w:val="de-DE"/>
              </w:rPr>
              <w:t>/h</w:t>
            </w:r>
          </w:p>
        </w:tc>
      </w:tr>
      <w:tr w:rsidR="00C65079" w:rsidRPr="00DD2A86" w:rsidTr="00E44194">
        <w:tc>
          <w:tcPr>
            <w:tcW w:w="2127" w:type="dxa"/>
          </w:tcPr>
          <w:p w:rsidR="00C65079" w:rsidRPr="00DD2A86" w:rsidRDefault="00C65079" w:rsidP="00E44194">
            <w:pPr>
              <w:rPr>
                <w:lang w:val="de-DE"/>
              </w:rPr>
            </w:pPr>
          </w:p>
          <w:p w:rsidR="00C65079" w:rsidRPr="00DD2A86" w:rsidRDefault="00C65079" w:rsidP="00E44194">
            <w:pPr>
              <w:spacing w:line="360" w:lineRule="auto"/>
              <w:rPr>
                <w:lang w:val="de-DE"/>
              </w:rPr>
            </w:pPr>
            <w:r w:rsidRPr="00DD2A86">
              <w:rPr>
                <w:lang w:val="de-DE"/>
              </w:rPr>
              <w:t>...…………………</w:t>
            </w:r>
          </w:p>
          <w:p w:rsidR="00C65079" w:rsidRPr="00DD2A86" w:rsidRDefault="00C65079" w:rsidP="00E44194">
            <w:pPr>
              <w:spacing w:line="360" w:lineRule="auto"/>
              <w:rPr>
                <w:lang w:val="de-DE"/>
              </w:rPr>
            </w:pPr>
            <w:r w:rsidRPr="00DD2A86">
              <w:rPr>
                <w:lang w:val="de-DE"/>
              </w:rPr>
              <w:t>…………………...</w:t>
            </w:r>
          </w:p>
          <w:p w:rsidR="00C65079" w:rsidRPr="00DD2A86" w:rsidRDefault="00C65079" w:rsidP="00E44194">
            <w:pPr>
              <w:spacing w:line="360" w:lineRule="auto"/>
              <w:rPr>
                <w:lang w:val="de-DE"/>
              </w:rPr>
            </w:pPr>
            <w:r w:rsidRPr="00DD2A86">
              <w:rPr>
                <w:lang w:val="de-DE"/>
              </w:rPr>
              <w:t>…………………...</w:t>
            </w:r>
          </w:p>
        </w:tc>
        <w:tc>
          <w:tcPr>
            <w:tcW w:w="1275" w:type="dxa"/>
          </w:tcPr>
          <w:p w:rsidR="00C65079" w:rsidRPr="00DD2A86" w:rsidRDefault="00C65079" w:rsidP="00E44194">
            <w:pPr>
              <w:rPr>
                <w:lang w:val="de-DE"/>
              </w:rPr>
            </w:pPr>
          </w:p>
          <w:p w:rsidR="00C65079" w:rsidRPr="00DD2A86" w:rsidRDefault="00C65079" w:rsidP="00E44194">
            <w:pPr>
              <w:spacing w:line="360" w:lineRule="auto"/>
              <w:rPr>
                <w:lang w:val="de-DE"/>
              </w:rPr>
            </w:pPr>
            <w:r w:rsidRPr="00DD2A86">
              <w:rPr>
                <w:lang w:val="de-DE"/>
              </w:rPr>
              <w:t>.…………</w:t>
            </w:r>
          </w:p>
          <w:p w:rsidR="00C65079" w:rsidRPr="00DD2A86" w:rsidRDefault="00C65079" w:rsidP="00E44194">
            <w:pPr>
              <w:spacing w:line="360" w:lineRule="auto"/>
              <w:rPr>
                <w:lang w:val="de-DE"/>
              </w:rPr>
            </w:pPr>
            <w:r w:rsidRPr="00DD2A86">
              <w:rPr>
                <w:lang w:val="de-DE"/>
              </w:rPr>
              <w:t>….………</w:t>
            </w:r>
          </w:p>
          <w:p w:rsidR="00C65079" w:rsidRPr="00DD2A86" w:rsidRDefault="00C65079" w:rsidP="00E44194">
            <w:pPr>
              <w:spacing w:line="360" w:lineRule="auto"/>
              <w:rPr>
                <w:lang w:val="de-DE"/>
              </w:rPr>
            </w:pPr>
            <w:r w:rsidRPr="00DD2A86">
              <w:rPr>
                <w:lang w:val="de-DE"/>
              </w:rPr>
              <w:t>………….</w:t>
            </w:r>
          </w:p>
        </w:tc>
        <w:tc>
          <w:tcPr>
            <w:tcW w:w="5954" w:type="dxa"/>
          </w:tcPr>
          <w:p w:rsidR="00C65079" w:rsidRPr="00DD2A86" w:rsidRDefault="00C65079" w:rsidP="00E44194">
            <w:pPr>
              <w:rPr>
                <w:lang w:val="de-DE"/>
              </w:rPr>
            </w:pPr>
          </w:p>
          <w:p w:rsidR="00C65079" w:rsidRPr="00DD2A86" w:rsidRDefault="00C65079" w:rsidP="00E44194">
            <w:pPr>
              <w:spacing w:line="360" w:lineRule="auto"/>
              <w:rPr>
                <w:lang w:val="de-DE"/>
              </w:rPr>
            </w:pPr>
            <w:r w:rsidRPr="00DD2A86">
              <w:rPr>
                <w:lang w:val="de-DE"/>
              </w:rPr>
              <w:t>……..</w:t>
            </w:r>
          </w:p>
          <w:p w:rsidR="00C65079" w:rsidRPr="00DD2A86" w:rsidRDefault="00C65079" w:rsidP="00E44194">
            <w:pPr>
              <w:spacing w:line="360" w:lineRule="auto"/>
              <w:rPr>
                <w:lang w:val="de-DE"/>
              </w:rPr>
            </w:pPr>
            <w:r w:rsidRPr="00DD2A86">
              <w:rPr>
                <w:lang w:val="de-DE"/>
              </w:rPr>
              <w:t>…..…</w:t>
            </w:r>
          </w:p>
          <w:p w:rsidR="00C65079" w:rsidRPr="00DD2A86" w:rsidRDefault="00C65079" w:rsidP="00E44194">
            <w:pPr>
              <w:spacing w:line="360" w:lineRule="auto"/>
              <w:rPr>
                <w:lang w:val="de-DE"/>
              </w:rPr>
            </w:pPr>
            <w:r w:rsidRPr="00DD2A86">
              <w:rPr>
                <w:lang w:val="de-DE"/>
              </w:rPr>
              <w:t>…..…</w:t>
            </w:r>
          </w:p>
        </w:tc>
      </w:tr>
      <w:tr w:rsidR="00C65079" w:rsidRPr="00E139A8" w:rsidTr="00E44194">
        <w:trPr>
          <w:cantSplit/>
        </w:trPr>
        <w:tc>
          <w:tcPr>
            <w:tcW w:w="9356" w:type="dxa"/>
            <w:gridSpan w:val="3"/>
          </w:tcPr>
          <w:p w:rsidR="00C65079" w:rsidRPr="00DD2A86" w:rsidRDefault="00C65079" w:rsidP="00E44194">
            <w:pPr>
              <w:rPr>
                <w:bCs/>
                <w:lang w:val="de-DE"/>
              </w:rPr>
            </w:pPr>
          </w:p>
          <w:p w:rsidR="00C65079" w:rsidRPr="00DD2A86" w:rsidRDefault="00C65079" w:rsidP="00E44194">
            <w:pPr>
              <w:rPr>
                <w:bCs/>
                <w:lang w:val="de-DE"/>
              </w:rPr>
            </w:pPr>
            <w:r w:rsidRPr="00DD2A86">
              <w:rPr>
                <w:b/>
                <w:bCs/>
                <w:lang w:val="de-DE"/>
              </w:rPr>
              <w:t>Fragen an den Schiffsführer oder an die von ihm beauftragte Person an Bord und an die verantwortliche Person der Annahmestelle.</w:t>
            </w:r>
          </w:p>
          <w:p w:rsidR="00C65079" w:rsidRPr="00DD2A86" w:rsidRDefault="00C65079" w:rsidP="00E44194">
            <w:pPr>
              <w:rPr>
                <w:bCs/>
                <w:lang w:val="de-DE"/>
              </w:rPr>
            </w:pPr>
          </w:p>
          <w:p w:rsidR="00C65079" w:rsidRPr="00DD2A86" w:rsidRDefault="00C65079" w:rsidP="00E44194">
            <w:pPr>
              <w:rPr>
                <w:bCs/>
                <w:lang w:val="de-DE"/>
              </w:rPr>
            </w:pPr>
            <w:r w:rsidRPr="00DD2A86">
              <w:rPr>
                <w:bCs/>
                <w:lang w:val="de-DE"/>
              </w:rPr>
              <w:t>Mit dem Entgasen darf erst begonnen werden, wenn alle nachfolgenden Fragen der Prüfliste mit „X“ angekreuzt, d.h. mit JA beantwortet sind und die Liste von beiden Personen unterschrieben ist.</w:t>
            </w:r>
          </w:p>
          <w:p w:rsidR="00C65079" w:rsidRPr="00DD2A86" w:rsidRDefault="00C65079" w:rsidP="00E44194">
            <w:pPr>
              <w:rPr>
                <w:bCs/>
                <w:lang w:val="de-DE"/>
              </w:rPr>
            </w:pPr>
          </w:p>
          <w:p w:rsidR="00C65079" w:rsidRPr="00DD2A86" w:rsidRDefault="00C65079" w:rsidP="00E44194">
            <w:pPr>
              <w:rPr>
                <w:bCs/>
                <w:lang w:val="de-DE"/>
              </w:rPr>
            </w:pPr>
            <w:r w:rsidRPr="00DD2A86">
              <w:rPr>
                <w:bCs/>
                <w:lang w:val="de-DE"/>
              </w:rPr>
              <w:t>Nicht zutreffende Fragen sind zu streichen.</w:t>
            </w:r>
          </w:p>
          <w:p w:rsidR="00C65079" w:rsidRPr="00DD2A86" w:rsidRDefault="00C65079" w:rsidP="00E44194">
            <w:pPr>
              <w:rPr>
                <w:bCs/>
                <w:lang w:val="de-DE"/>
              </w:rPr>
            </w:pPr>
          </w:p>
          <w:p w:rsidR="00C65079" w:rsidRPr="00DD2A86" w:rsidRDefault="00C65079" w:rsidP="00E44194">
            <w:pPr>
              <w:rPr>
                <w:bCs/>
                <w:lang w:val="de-DE"/>
              </w:rPr>
            </w:pPr>
            <w:r w:rsidRPr="00DD2A86">
              <w:rPr>
                <w:bCs/>
                <w:lang w:val="de-DE"/>
              </w:rPr>
              <w:t xml:space="preserve">Können nicht alle zutreffenden Fragen mit JA beantwortet werden, ist das Entgasen nur mit Zustimmung der zuständigen Behörde gestattet. </w:t>
            </w:r>
          </w:p>
          <w:p w:rsidR="00C65079" w:rsidRPr="00DD2A86" w:rsidRDefault="00C65079" w:rsidP="00E44194">
            <w:pPr>
              <w:rPr>
                <w:b/>
                <w:bCs/>
                <w:lang w:val="de-DE"/>
              </w:rPr>
            </w:pPr>
          </w:p>
        </w:tc>
      </w:tr>
    </w:tbl>
    <w:p w:rsidR="00C65079" w:rsidRPr="00DD2A86" w:rsidRDefault="00C65079" w:rsidP="00C65079">
      <w:pPr>
        <w:spacing w:before="120" w:after="120"/>
        <w:ind w:firstLine="170"/>
        <w:rPr>
          <w:bCs/>
          <w:i/>
          <w:lang w:val="de-DE"/>
        </w:rPr>
      </w:pPr>
      <w:r w:rsidRPr="00DD2A86">
        <w:rPr>
          <w:bCs/>
          <w:i/>
          <w:sz w:val="18"/>
          <w:szCs w:val="18"/>
          <w:vertAlign w:val="superscript"/>
          <w:lang w:val="de-DE"/>
        </w:rPr>
        <w:t>**</w:t>
      </w:r>
      <w:r w:rsidRPr="00DD2A86">
        <w:rPr>
          <w:bCs/>
          <w:i/>
          <w:lang w:val="de-DE"/>
        </w:rPr>
        <w:t xml:space="preserve"> Die gemäß Unterabschnitt 3.2.3.2 Tabelle C Spalte (2) bestimmte offizielle Benennung des Stoffes für die Beförderung und, sofern zutreffend, ergänzt durch die technische Benennung in Klammern.</w:t>
      </w:r>
    </w:p>
    <w:p w:rsidR="00804CE9" w:rsidRPr="00DD2A86" w:rsidRDefault="00804CE9">
      <w:pPr>
        <w:suppressAutoHyphens w:val="0"/>
        <w:spacing w:line="240" w:lineRule="auto"/>
        <w:rPr>
          <w:bCs/>
          <w:i/>
          <w:lang w:val="de-DE"/>
        </w:rPr>
      </w:pPr>
      <w:r w:rsidRPr="00DD2A86">
        <w:rPr>
          <w:bCs/>
          <w:i/>
          <w:lang w:val="de-DE"/>
        </w:rPr>
        <w:br w:type="page"/>
      </w:r>
    </w:p>
    <w:p w:rsidR="00C65079" w:rsidRPr="00DD2A86" w:rsidRDefault="00C65079" w:rsidP="00C65079">
      <w:pPr>
        <w:spacing w:before="120" w:after="120"/>
        <w:ind w:firstLine="170"/>
        <w:rPr>
          <w:bCs/>
          <w:i/>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827"/>
        <w:gridCol w:w="2552"/>
        <w:gridCol w:w="180"/>
        <w:gridCol w:w="670"/>
        <w:gridCol w:w="110"/>
        <w:gridCol w:w="1166"/>
      </w:tblGrid>
      <w:tr w:rsidR="00C65079" w:rsidRPr="00DD2A86" w:rsidTr="00E44194">
        <w:trPr>
          <w:cantSplit/>
        </w:trPr>
        <w:tc>
          <w:tcPr>
            <w:tcW w:w="7410" w:type="dxa"/>
            <w:gridSpan w:val="4"/>
          </w:tcPr>
          <w:p w:rsidR="00C65079" w:rsidRPr="00DD2A86" w:rsidRDefault="00C65079" w:rsidP="00E44194">
            <w:pPr>
              <w:rPr>
                <w:bCs/>
                <w:lang w:val="de-DE"/>
              </w:rPr>
            </w:pPr>
          </w:p>
        </w:tc>
        <w:tc>
          <w:tcPr>
            <w:tcW w:w="780" w:type="dxa"/>
            <w:gridSpan w:val="2"/>
          </w:tcPr>
          <w:p w:rsidR="00C65079" w:rsidRPr="00DD2A86" w:rsidRDefault="00C65079" w:rsidP="00E44194">
            <w:pPr>
              <w:jc w:val="center"/>
              <w:rPr>
                <w:bCs/>
                <w:lang w:val="de-DE"/>
              </w:rPr>
            </w:pPr>
          </w:p>
          <w:p w:rsidR="00C65079" w:rsidRPr="00DD2A86" w:rsidRDefault="00C65079" w:rsidP="00E44194">
            <w:pPr>
              <w:jc w:val="center"/>
              <w:rPr>
                <w:bCs/>
                <w:lang w:val="de-DE"/>
              </w:rPr>
            </w:pPr>
            <w:r w:rsidRPr="00DD2A86">
              <w:rPr>
                <w:bCs/>
                <w:lang w:val="de-DE"/>
              </w:rPr>
              <w:t>Schiff</w:t>
            </w:r>
          </w:p>
        </w:tc>
        <w:tc>
          <w:tcPr>
            <w:tcW w:w="1166" w:type="dxa"/>
          </w:tcPr>
          <w:p w:rsidR="00C65079" w:rsidRPr="00DD2A86" w:rsidRDefault="00C65079" w:rsidP="00E44194">
            <w:pPr>
              <w:spacing w:line="240" w:lineRule="auto"/>
              <w:jc w:val="right"/>
              <w:rPr>
                <w:b/>
                <w:lang w:val="de-DE"/>
              </w:rPr>
            </w:pPr>
            <w:r w:rsidRPr="00DD2A86">
              <w:rPr>
                <w:b/>
                <w:lang w:val="de-DE"/>
              </w:rPr>
              <w:t>3</w:t>
            </w:r>
          </w:p>
          <w:p w:rsidR="00C65079" w:rsidRPr="00DD2A86" w:rsidRDefault="00C65079" w:rsidP="00E44194">
            <w:pPr>
              <w:jc w:val="center"/>
              <w:rPr>
                <w:bCs/>
                <w:sz w:val="18"/>
                <w:szCs w:val="18"/>
                <w:lang w:val="de-DE"/>
              </w:rPr>
            </w:pPr>
            <w:r w:rsidRPr="00DD2A86">
              <w:rPr>
                <w:bCs/>
                <w:sz w:val="18"/>
                <w:szCs w:val="18"/>
                <w:lang w:val="de-DE"/>
              </w:rPr>
              <w:t>Annahme-stelle</w:t>
            </w:r>
          </w:p>
        </w:tc>
      </w:tr>
      <w:tr w:rsidR="00C65079" w:rsidRPr="00DD2A86" w:rsidTr="00E44194">
        <w:tc>
          <w:tcPr>
            <w:tcW w:w="851" w:type="dxa"/>
            <w:tcBorders>
              <w:right w:val="nil"/>
            </w:tcBorders>
          </w:tcPr>
          <w:p w:rsidR="00C65079" w:rsidRPr="00DD2A86" w:rsidRDefault="00C65079" w:rsidP="00E44194">
            <w:pPr>
              <w:rPr>
                <w:bCs/>
                <w:lang w:val="de-DE"/>
              </w:rPr>
            </w:pPr>
            <w:r w:rsidRPr="00DD2A86">
              <w:rPr>
                <w:bCs/>
                <w:lang w:val="de-DE"/>
              </w:rPr>
              <w:t>1.</w:t>
            </w:r>
          </w:p>
        </w:tc>
        <w:tc>
          <w:tcPr>
            <w:tcW w:w="6559" w:type="dxa"/>
            <w:gridSpan w:val="3"/>
            <w:tcBorders>
              <w:left w:val="nil"/>
            </w:tcBorders>
          </w:tcPr>
          <w:p w:rsidR="00C65079" w:rsidRPr="00DD2A86" w:rsidRDefault="00C65079" w:rsidP="00E44194">
            <w:pPr>
              <w:rPr>
                <w:bCs/>
                <w:lang w:val="de-DE"/>
              </w:rPr>
            </w:pPr>
            <w:r w:rsidRPr="00DD2A86">
              <w:rPr>
                <w:bCs/>
                <w:lang w:val="de-DE"/>
              </w:rPr>
              <w:t>Ist das Schiff den örtlichen Verhältnissen entsprechend gut festgemacht?</w:t>
            </w:r>
          </w:p>
        </w:tc>
        <w:tc>
          <w:tcPr>
            <w:tcW w:w="780" w:type="dxa"/>
            <w:gridSpan w:val="2"/>
          </w:tcPr>
          <w:p w:rsidR="00C65079" w:rsidRPr="00DD2A86" w:rsidRDefault="00C65079" w:rsidP="00E44194">
            <w:pPr>
              <w:jc w:val="center"/>
              <w:rPr>
                <w:bCs/>
                <w:lang w:val="de-DE"/>
              </w:rPr>
            </w:pPr>
            <w:r w:rsidRPr="00DD2A86">
              <w:rPr>
                <w:bCs/>
                <w:lang w:val="de-DE"/>
              </w:rPr>
              <w:t>O</w:t>
            </w:r>
          </w:p>
        </w:tc>
        <w:tc>
          <w:tcPr>
            <w:tcW w:w="1166" w:type="dxa"/>
          </w:tcPr>
          <w:p w:rsidR="00C65079" w:rsidRPr="00DD2A86" w:rsidRDefault="00C65079" w:rsidP="00E44194">
            <w:pPr>
              <w:jc w:val="center"/>
              <w:rPr>
                <w:bCs/>
                <w:lang w:val="de-DE"/>
              </w:rPr>
            </w:pPr>
            <w:r w:rsidRPr="00DD2A86">
              <w:rPr>
                <w:bCs/>
                <w:lang w:val="de-DE"/>
              </w:rPr>
              <w:t>–</w:t>
            </w:r>
          </w:p>
        </w:tc>
      </w:tr>
      <w:tr w:rsidR="00C65079" w:rsidRPr="00DD2A86" w:rsidTr="00E44194">
        <w:tc>
          <w:tcPr>
            <w:tcW w:w="851" w:type="dxa"/>
            <w:tcBorders>
              <w:top w:val="nil"/>
              <w:right w:val="nil"/>
            </w:tcBorders>
          </w:tcPr>
          <w:p w:rsidR="00C65079" w:rsidRPr="00DD2A86" w:rsidRDefault="00C65079" w:rsidP="00E44194">
            <w:pPr>
              <w:rPr>
                <w:bCs/>
                <w:lang w:val="de-DE"/>
              </w:rPr>
            </w:pPr>
            <w:r w:rsidRPr="00DD2A86">
              <w:rPr>
                <w:bCs/>
                <w:lang w:val="de-DE"/>
              </w:rPr>
              <w:t>2.</w:t>
            </w:r>
          </w:p>
        </w:tc>
        <w:tc>
          <w:tcPr>
            <w:tcW w:w="6559" w:type="dxa"/>
            <w:gridSpan w:val="3"/>
            <w:tcBorders>
              <w:top w:val="nil"/>
              <w:left w:val="nil"/>
            </w:tcBorders>
          </w:tcPr>
          <w:p w:rsidR="00C65079" w:rsidRPr="00DD2A86" w:rsidRDefault="00C65079" w:rsidP="00E44194">
            <w:pPr>
              <w:tabs>
                <w:tab w:val="left" w:pos="601"/>
              </w:tabs>
              <w:rPr>
                <w:bCs/>
                <w:lang w:val="de-DE"/>
              </w:rPr>
            </w:pPr>
            <w:r w:rsidRPr="00DD2A86">
              <w:rPr>
                <w:bCs/>
                <w:lang w:val="de-DE"/>
              </w:rPr>
              <w:t xml:space="preserve">Befinden sich die Entgasungsleitungen zwischen Schiff und Annahmestelle in gutem Zustand? </w:t>
            </w:r>
            <w:r w:rsidRPr="00DD2A86">
              <w:rPr>
                <w:bCs/>
                <w:lang w:val="de-DE"/>
              </w:rPr>
              <w:br/>
              <w:t>Sind sie richtig angeschlossen und sind in den Leitungen zwischen Schiff und Annahmestelle geeignete Flammendurchschlagsicherungen vorhanden?</w:t>
            </w:r>
          </w:p>
        </w:tc>
        <w:tc>
          <w:tcPr>
            <w:tcW w:w="780" w:type="dxa"/>
            <w:gridSpan w:val="2"/>
            <w:tcBorders>
              <w:top w:val="nil"/>
            </w:tcBorders>
          </w:tcPr>
          <w:p w:rsidR="00C65079" w:rsidRPr="00DD2A86" w:rsidRDefault="00C65079" w:rsidP="00E44194">
            <w:pPr>
              <w:jc w:val="center"/>
              <w:rPr>
                <w:bCs/>
                <w:lang w:val="de-DE"/>
              </w:rPr>
            </w:pPr>
          </w:p>
          <w:p w:rsidR="00C65079" w:rsidRPr="00DD2A86" w:rsidRDefault="00C65079" w:rsidP="00E44194">
            <w:pPr>
              <w:jc w:val="center"/>
              <w:rPr>
                <w:bCs/>
                <w:lang w:val="de-DE"/>
              </w:rPr>
            </w:pPr>
            <w:r w:rsidRPr="00DD2A86">
              <w:rPr>
                <w:bCs/>
                <w:lang w:val="de-DE"/>
              </w:rPr>
              <w:t>–</w:t>
            </w:r>
          </w:p>
          <w:p w:rsidR="00C65079" w:rsidRPr="00DD2A86" w:rsidRDefault="00C65079" w:rsidP="00E44194">
            <w:pPr>
              <w:jc w:val="center"/>
              <w:rPr>
                <w:bCs/>
                <w:lang w:val="de-DE"/>
              </w:rPr>
            </w:pPr>
          </w:p>
          <w:p w:rsidR="00C65079" w:rsidRPr="00DD2A86" w:rsidRDefault="00C65079" w:rsidP="00E44194">
            <w:pPr>
              <w:jc w:val="center"/>
              <w:rPr>
                <w:bCs/>
                <w:lang w:val="de-DE"/>
              </w:rPr>
            </w:pPr>
            <w:r w:rsidRPr="00DD2A86">
              <w:rPr>
                <w:bCs/>
                <w:lang w:val="de-DE"/>
              </w:rPr>
              <w:t>O</w:t>
            </w:r>
          </w:p>
        </w:tc>
        <w:tc>
          <w:tcPr>
            <w:tcW w:w="1166" w:type="dxa"/>
            <w:tcBorders>
              <w:top w:val="nil"/>
            </w:tcBorders>
          </w:tcPr>
          <w:p w:rsidR="00C65079" w:rsidRPr="00DD2A86" w:rsidRDefault="00C65079" w:rsidP="00E44194">
            <w:pPr>
              <w:jc w:val="center"/>
              <w:rPr>
                <w:bCs/>
                <w:lang w:val="de-DE"/>
              </w:rPr>
            </w:pPr>
          </w:p>
          <w:p w:rsidR="00C65079" w:rsidRPr="00DD2A86" w:rsidRDefault="00C65079" w:rsidP="00E44194">
            <w:pPr>
              <w:jc w:val="center"/>
              <w:rPr>
                <w:bCs/>
                <w:lang w:val="de-DE"/>
              </w:rPr>
            </w:pPr>
            <w:r w:rsidRPr="00DD2A86">
              <w:rPr>
                <w:bCs/>
                <w:lang w:val="de-DE"/>
              </w:rPr>
              <w:t>O</w:t>
            </w:r>
          </w:p>
          <w:p w:rsidR="00C65079" w:rsidRPr="00DD2A86" w:rsidRDefault="00C65079" w:rsidP="00E44194">
            <w:pPr>
              <w:jc w:val="center"/>
              <w:rPr>
                <w:bCs/>
                <w:lang w:val="de-DE"/>
              </w:rPr>
            </w:pPr>
          </w:p>
          <w:p w:rsidR="00C65079" w:rsidRPr="00DD2A86" w:rsidRDefault="00C65079" w:rsidP="00E44194">
            <w:pPr>
              <w:jc w:val="center"/>
              <w:rPr>
                <w:bCs/>
                <w:lang w:val="de-DE"/>
              </w:rPr>
            </w:pPr>
            <w:r w:rsidRPr="00DD2A86">
              <w:rPr>
                <w:bCs/>
                <w:lang w:val="de-DE"/>
              </w:rPr>
              <w:t>O</w:t>
            </w:r>
          </w:p>
        </w:tc>
      </w:tr>
      <w:tr w:rsidR="00C65079" w:rsidRPr="00DD2A86" w:rsidTr="00E44194">
        <w:tc>
          <w:tcPr>
            <w:tcW w:w="851" w:type="dxa"/>
            <w:tcBorders>
              <w:right w:val="nil"/>
            </w:tcBorders>
          </w:tcPr>
          <w:p w:rsidR="00C65079" w:rsidRPr="00DD2A86" w:rsidRDefault="00C65079" w:rsidP="00E44194">
            <w:pPr>
              <w:rPr>
                <w:bCs/>
                <w:lang w:val="de-DE"/>
              </w:rPr>
            </w:pPr>
            <w:r w:rsidRPr="00DD2A86">
              <w:rPr>
                <w:bCs/>
                <w:lang w:val="de-DE"/>
              </w:rPr>
              <w:t>3.</w:t>
            </w:r>
          </w:p>
        </w:tc>
        <w:tc>
          <w:tcPr>
            <w:tcW w:w="6559" w:type="dxa"/>
            <w:gridSpan w:val="3"/>
            <w:tcBorders>
              <w:left w:val="nil"/>
            </w:tcBorders>
          </w:tcPr>
          <w:p w:rsidR="00C65079" w:rsidRPr="00DD2A86" w:rsidRDefault="00C65079" w:rsidP="00E44194">
            <w:pPr>
              <w:rPr>
                <w:bCs/>
                <w:lang w:val="de-DE"/>
              </w:rPr>
            </w:pPr>
            <w:r w:rsidRPr="00DD2A86">
              <w:rPr>
                <w:bCs/>
                <w:lang w:val="de-DE"/>
              </w:rPr>
              <w:t>Sind alle unbenutzten Anschlüsse der Lade-/Löschleitungen und der Gasabfuhrleitung einwandfrei blindgeflanscht?</w:t>
            </w:r>
          </w:p>
        </w:tc>
        <w:tc>
          <w:tcPr>
            <w:tcW w:w="780" w:type="dxa"/>
            <w:gridSpan w:val="2"/>
          </w:tcPr>
          <w:p w:rsidR="00C65079" w:rsidRPr="00DD2A86" w:rsidRDefault="00C65079" w:rsidP="00E44194">
            <w:pPr>
              <w:jc w:val="center"/>
              <w:rPr>
                <w:bCs/>
                <w:lang w:val="de-DE"/>
              </w:rPr>
            </w:pPr>
            <w:r w:rsidRPr="00DD2A86">
              <w:rPr>
                <w:bCs/>
                <w:lang w:val="de-DE"/>
              </w:rPr>
              <w:t>O</w:t>
            </w:r>
          </w:p>
        </w:tc>
        <w:tc>
          <w:tcPr>
            <w:tcW w:w="1166" w:type="dxa"/>
          </w:tcPr>
          <w:p w:rsidR="00C65079" w:rsidRPr="00DD2A86" w:rsidRDefault="00C65079" w:rsidP="00E44194">
            <w:pPr>
              <w:jc w:val="center"/>
              <w:rPr>
                <w:bCs/>
                <w:lang w:val="de-DE"/>
              </w:rPr>
            </w:pPr>
            <w:r w:rsidRPr="00DD2A86">
              <w:rPr>
                <w:bCs/>
                <w:lang w:val="de-DE"/>
              </w:rPr>
              <w:t>O</w:t>
            </w:r>
          </w:p>
        </w:tc>
      </w:tr>
      <w:tr w:rsidR="00C65079" w:rsidRPr="00DD2A86" w:rsidTr="00E44194">
        <w:tc>
          <w:tcPr>
            <w:tcW w:w="851" w:type="dxa"/>
            <w:tcBorders>
              <w:bottom w:val="single" w:sz="4" w:space="0" w:color="auto"/>
              <w:right w:val="nil"/>
            </w:tcBorders>
          </w:tcPr>
          <w:p w:rsidR="00C65079" w:rsidRPr="00DD2A86" w:rsidRDefault="00C65079" w:rsidP="00E44194">
            <w:pPr>
              <w:rPr>
                <w:bCs/>
                <w:lang w:val="de-DE"/>
              </w:rPr>
            </w:pPr>
            <w:r w:rsidRPr="00DD2A86">
              <w:rPr>
                <w:bCs/>
                <w:lang w:val="de-DE"/>
              </w:rPr>
              <w:t>4.</w:t>
            </w:r>
          </w:p>
        </w:tc>
        <w:tc>
          <w:tcPr>
            <w:tcW w:w="6559" w:type="dxa"/>
            <w:gridSpan w:val="3"/>
            <w:tcBorders>
              <w:left w:val="nil"/>
              <w:bottom w:val="single" w:sz="4" w:space="0" w:color="auto"/>
            </w:tcBorders>
          </w:tcPr>
          <w:p w:rsidR="00C65079" w:rsidRPr="00DD2A86" w:rsidRDefault="00C65079" w:rsidP="00E44194">
            <w:pPr>
              <w:rPr>
                <w:bCs/>
                <w:lang w:val="de-DE"/>
              </w:rPr>
            </w:pPr>
            <w:r w:rsidRPr="00DD2A86">
              <w:rPr>
                <w:bCs/>
                <w:lang w:val="de-DE"/>
              </w:rPr>
              <w:t>Ist für die gesamte Dauer des Entgasens eine stetige und zweckmäßige Überwachung sichergestellt?</w:t>
            </w:r>
          </w:p>
        </w:tc>
        <w:tc>
          <w:tcPr>
            <w:tcW w:w="780" w:type="dxa"/>
            <w:gridSpan w:val="2"/>
            <w:tcBorders>
              <w:bottom w:val="single" w:sz="4" w:space="0" w:color="auto"/>
            </w:tcBorders>
          </w:tcPr>
          <w:p w:rsidR="00C65079" w:rsidRPr="00DD2A86" w:rsidRDefault="00C65079" w:rsidP="00E44194">
            <w:pPr>
              <w:jc w:val="center"/>
              <w:rPr>
                <w:bCs/>
                <w:lang w:val="de-DE"/>
              </w:rPr>
            </w:pPr>
            <w:r w:rsidRPr="00DD2A86">
              <w:rPr>
                <w:bCs/>
                <w:lang w:val="de-DE"/>
              </w:rPr>
              <w:t>O</w:t>
            </w:r>
          </w:p>
        </w:tc>
        <w:tc>
          <w:tcPr>
            <w:tcW w:w="1166" w:type="dxa"/>
            <w:tcBorders>
              <w:bottom w:val="single" w:sz="4" w:space="0" w:color="auto"/>
            </w:tcBorders>
          </w:tcPr>
          <w:p w:rsidR="00C65079" w:rsidRPr="00DD2A86" w:rsidRDefault="00C65079" w:rsidP="00E44194">
            <w:pPr>
              <w:jc w:val="center"/>
              <w:rPr>
                <w:bCs/>
                <w:lang w:val="de-DE"/>
              </w:rPr>
            </w:pPr>
            <w:r w:rsidRPr="00DD2A86">
              <w:rPr>
                <w:bCs/>
                <w:lang w:val="de-DE"/>
              </w:rPr>
              <w:t>O</w:t>
            </w:r>
          </w:p>
        </w:tc>
      </w:tr>
      <w:tr w:rsidR="00C65079" w:rsidRPr="00DD2A86" w:rsidTr="00E44194">
        <w:tc>
          <w:tcPr>
            <w:tcW w:w="851" w:type="dxa"/>
            <w:tcBorders>
              <w:bottom w:val="single" w:sz="4" w:space="0" w:color="auto"/>
              <w:right w:val="nil"/>
            </w:tcBorders>
          </w:tcPr>
          <w:p w:rsidR="00C65079" w:rsidRPr="00DD2A86" w:rsidRDefault="00C65079" w:rsidP="00E44194">
            <w:pPr>
              <w:rPr>
                <w:bCs/>
                <w:lang w:val="de-DE"/>
              </w:rPr>
            </w:pPr>
            <w:r w:rsidRPr="00DD2A86">
              <w:rPr>
                <w:bCs/>
                <w:lang w:val="de-DE"/>
              </w:rPr>
              <w:t>5.</w:t>
            </w:r>
          </w:p>
        </w:tc>
        <w:tc>
          <w:tcPr>
            <w:tcW w:w="6559" w:type="dxa"/>
            <w:gridSpan w:val="3"/>
            <w:tcBorders>
              <w:left w:val="nil"/>
              <w:bottom w:val="single" w:sz="4" w:space="0" w:color="auto"/>
            </w:tcBorders>
          </w:tcPr>
          <w:p w:rsidR="00C65079" w:rsidRPr="00DD2A86" w:rsidRDefault="00C65079" w:rsidP="00E44194">
            <w:pPr>
              <w:rPr>
                <w:bCs/>
                <w:lang w:val="de-DE"/>
              </w:rPr>
            </w:pPr>
            <w:r w:rsidRPr="00DD2A86">
              <w:rPr>
                <w:bCs/>
                <w:lang w:val="de-DE"/>
              </w:rPr>
              <w:t>Ist die Verständigung zwischen Schiff und Annahmestelle sichergestellt?</w:t>
            </w:r>
          </w:p>
        </w:tc>
        <w:tc>
          <w:tcPr>
            <w:tcW w:w="780" w:type="dxa"/>
            <w:gridSpan w:val="2"/>
            <w:tcBorders>
              <w:bottom w:val="single" w:sz="4" w:space="0" w:color="auto"/>
            </w:tcBorders>
          </w:tcPr>
          <w:p w:rsidR="00C65079" w:rsidRPr="00DD2A86" w:rsidRDefault="00C65079" w:rsidP="00E44194">
            <w:pPr>
              <w:jc w:val="center"/>
              <w:rPr>
                <w:bCs/>
                <w:lang w:val="de-DE"/>
              </w:rPr>
            </w:pPr>
            <w:r w:rsidRPr="00DD2A86">
              <w:rPr>
                <w:bCs/>
                <w:lang w:val="de-DE"/>
              </w:rPr>
              <w:t>O</w:t>
            </w:r>
          </w:p>
        </w:tc>
        <w:tc>
          <w:tcPr>
            <w:tcW w:w="1166" w:type="dxa"/>
            <w:tcBorders>
              <w:bottom w:val="single" w:sz="4" w:space="0" w:color="auto"/>
            </w:tcBorders>
          </w:tcPr>
          <w:p w:rsidR="00C65079" w:rsidRPr="00DD2A86" w:rsidRDefault="00C65079" w:rsidP="00E44194">
            <w:pPr>
              <w:jc w:val="center"/>
              <w:rPr>
                <w:bCs/>
                <w:lang w:val="de-DE"/>
              </w:rPr>
            </w:pPr>
            <w:r w:rsidRPr="00DD2A86">
              <w:rPr>
                <w:bCs/>
                <w:lang w:val="de-DE"/>
              </w:rPr>
              <w:t>O</w:t>
            </w:r>
          </w:p>
        </w:tc>
      </w:tr>
      <w:tr w:rsidR="00C65079" w:rsidRPr="00DD2A86" w:rsidTr="00E44194">
        <w:tc>
          <w:tcPr>
            <w:tcW w:w="851" w:type="dxa"/>
            <w:tcBorders>
              <w:top w:val="nil"/>
              <w:bottom w:val="nil"/>
              <w:right w:val="nil"/>
            </w:tcBorders>
          </w:tcPr>
          <w:p w:rsidR="00C65079" w:rsidRPr="00DD2A86" w:rsidRDefault="00C65079" w:rsidP="00E44194">
            <w:pPr>
              <w:rPr>
                <w:bCs/>
                <w:lang w:val="de-DE"/>
              </w:rPr>
            </w:pPr>
            <w:r w:rsidRPr="00DD2A86">
              <w:rPr>
                <w:bCs/>
                <w:lang w:val="de-DE"/>
              </w:rPr>
              <w:t>6.1</w:t>
            </w:r>
          </w:p>
        </w:tc>
        <w:tc>
          <w:tcPr>
            <w:tcW w:w="6559" w:type="dxa"/>
            <w:gridSpan w:val="3"/>
            <w:tcBorders>
              <w:top w:val="nil"/>
              <w:left w:val="nil"/>
              <w:bottom w:val="nil"/>
            </w:tcBorders>
          </w:tcPr>
          <w:p w:rsidR="00C65079" w:rsidRPr="00DD2A86" w:rsidRDefault="00C65079" w:rsidP="00E44194">
            <w:pPr>
              <w:rPr>
                <w:bCs/>
                <w:lang w:val="de-DE"/>
              </w:rPr>
            </w:pPr>
            <w:r w:rsidRPr="00DD2A86">
              <w:rPr>
                <w:bCs/>
                <w:lang w:val="de-DE"/>
              </w:rPr>
              <w:t xml:space="preserve">Ist durch die Annahmestelle sichergestellt, dass der Druck an der Übergabestelle den Öffnungsdruck des Hochgeschwindigkeitsventils nicht übersteigt (Druck an der Übergabestelle in __kPa)? </w:t>
            </w:r>
          </w:p>
        </w:tc>
        <w:tc>
          <w:tcPr>
            <w:tcW w:w="780" w:type="dxa"/>
            <w:gridSpan w:val="2"/>
            <w:tcBorders>
              <w:top w:val="nil"/>
              <w:bottom w:val="nil"/>
            </w:tcBorders>
          </w:tcPr>
          <w:p w:rsidR="00C65079" w:rsidRPr="00DD2A86" w:rsidRDefault="00C65079" w:rsidP="00E44194">
            <w:pPr>
              <w:jc w:val="center"/>
              <w:rPr>
                <w:bCs/>
                <w:lang w:val="de-DE"/>
              </w:rPr>
            </w:pPr>
            <w:r w:rsidRPr="00DD2A86">
              <w:rPr>
                <w:bCs/>
                <w:lang w:val="de-DE"/>
              </w:rPr>
              <w:t>–</w:t>
            </w:r>
          </w:p>
        </w:tc>
        <w:tc>
          <w:tcPr>
            <w:tcW w:w="1166" w:type="dxa"/>
            <w:tcBorders>
              <w:top w:val="nil"/>
              <w:bottom w:val="nil"/>
            </w:tcBorders>
          </w:tcPr>
          <w:p w:rsidR="00C65079" w:rsidRPr="00DD2A86" w:rsidRDefault="00C65079" w:rsidP="00E44194">
            <w:pPr>
              <w:jc w:val="center"/>
              <w:rPr>
                <w:b/>
                <w:lang w:val="de-DE"/>
              </w:rPr>
            </w:pPr>
            <w:r w:rsidRPr="00DD2A86">
              <w:rPr>
                <w:bCs/>
                <w:lang w:val="de-DE"/>
              </w:rPr>
              <w:t>O*</w:t>
            </w:r>
          </w:p>
        </w:tc>
      </w:tr>
      <w:tr w:rsidR="00C65079" w:rsidRPr="00DD2A86" w:rsidTr="00E44194">
        <w:tc>
          <w:tcPr>
            <w:tcW w:w="851" w:type="dxa"/>
            <w:tcBorders>
              <w:top w:val="nil"/>
              <w:bottom w:val="single" w:sz="4" w:space="0" w:color="auto"/>
              <w:right w:val="nil"/>
            </w:tcBorders>
          </w:tcPr>
          <w:p w:rsidR="00C65079" w:rsidRPr="00DD2A86" w:rsidRDefault="00C65079" w:rsidP="00E44194">
            <w:pPr>
              <w:rPr>
                <w:bCs/>
                <w:lang w:val="de-DE"/>
              </w:rPr>
            </w:pPr>
            <w:r w:rsidRPr="00DD2A86">
              <w:rPr>
                <w:bCs/>
                <w:lang w:val="de-DE"/>
              </w:rPr>
              <w:t>6.2</w:t>
            </w:r>
          </w:p>
          <w:p w:rsidR="00C65079" w:rsidRPr="00DD2A86" w:rsidRDefault="00C65079" w:rsidP="00E44194">
            <w:pPr>
              <w:rPr>
                <w:bCs/>
                <w:lang w:val="de-DE"/>
              </w:rPr>
            </w:pPr>
          </w:p>
          <w:p w:rsidR="00C65079" w:rsidRPr="00DD2A86" w:rsidRDefault="00C65079" w:rsidP="00E44194">
            <w:pPr>
              <w:rPr>
                <w:bCs/>
                <w:lang w:val="de-DE"/>
              </w:rPr>
            </w:pPr>
            <w:r w:rsidRPr="00DD2A86">
              <w:rPr>
                <w:bCs/>
                <w:lang w:val="de-DE"/>
              </w:rPr>
              <w:t>6.3</w:t>
            </w:r>
          </w:p>
        </w:tc>
        <w:tc>
          <w:tcPr>
            <w:tcW w:w="6559" w:type="dxa"/>
            <w:gridSpan w:val="3"/>
            <w:tcBorders>
              <w:top w:val="nil"/>
              <w:left w:val="nil"/>
              <w:bottom w:val="single" w:sz="4" w:space="0" w:color="auto"/>
            </w:tcBorders>
          </w:tcPr>
          <w:p w:rsidR="00C65079" w:rsidRPr="00DD2A86" w:rsidRDefault="00C65079" w:rsidP="00E44194">
            <w:pPr>
              <w:rPr>
                <w:bCs/>
                <w:lang w:val="de-DE"/>
              </w:rPr>
            </w:pPr>
            <w:r w:rsidRPr="00DD2A86">
              <w:rPr>
                <w:bCs/>
                <w:lang w:val="de-DE"/>
              </w:rPr>
              <w:t>Ist die Zuluftöffnung Teil eines geschlossenen Systems oder mit einem federbelasteten Niederdruckventil versehen?</w:t>
            </w:r>
          </w:p>
          <w:p w:rsidR="00C65079" w:rsidRPr="00DD2A86" w:rsidRDefault="00C65079" w:rsidP="00E44194">
            <w:pPr>
              <w:rPr>
                <w:bCs/>
                <w:lang w:val="de-DE"/>
              </w:rPr>
            </w:pPr>
            <w:r w:rsidRPr="00DD2A86">
              <w:rPr>
                <w:bCs/>
                <w:lang w:val="de-DE"/>
              </w:rPr>
              <w:t>Ist, falls nach Unterabschnitt 3.2.3.2 Tabelle C Spalte (17) Explosionsschutz erforderlich ist, durch die Annahmestelle sichergestellt, dass ihre Leitungen so ausgeführt sind, dass das Schiff gegen Detonation und Flammendurchschlag von der Annahmestelle aus geschützt wird?</w:t>
            </w:r>
          </w:p>
        </w:tc>
        <w:tc>
          <w:tcPr>
            <w:tcW w:w="780" w:type="dxa"/>
            <w:gridSpan w:val="2"/>
            <w:tcBorders>
              <w:top w:val="nil"/>
              <w:bottom w:val="single" w:sz="4" w:space="0" w:color="auto"/>
            </w:tcBorders>
          </w:tcPr>
          <w:p w:rsidR="00C65079" w:rsidRPr="00DD2A86" w:rsidRDefault="00C65079" w:rsidP="00E44194">
            <w:pPr>
              <w:jc w:val="center"/>
              <w:rPr>
                <w:bCs/>
                <w:lang w:val="de-DE"/>
              </w:rPr>
            </w:pPr>
            <w:r w:rsidRPr="00DD2A86">
              <w:rPr>
                <w:bCs/>
                <w:lang w:val="de-DE"/>
              </w:rPr>
              <w:t>–</w:t>
            </w:r>
          </w:p>
          <w:p w:rsidR="00C65079" w:rsidRPr="00DD2A86" w:rsidRDefault="00C65079" w:rsidP="00E44194">
            <w:pPr>
              <w:jc w:val="center"/>
              <w:rPr>
                <w:bCs/>
                <w:lang w:val="de-DE"/>
              </w:rPr>
            </w:pPr>
          </w:p>
          <w:p w:rsidR="00C65079" w:rsidRPr="00DD2A86" w:rsidRDefault="00C65079" w:rsidP="00E44194">
            <w:pPr>
              <w:jc w:val="center"/>
              <w:rPr>
                <w:bCs/>
                <w:lang w:val="de-DE"/>
              </w:rPr>
            </w:pPr>
            <w:r w:rsidRPr="00DD2A86">
              <w:rPr>
                <w:bCs/>
                <w:lang w:val="de-DE"/>
              </w:rPr>
              <w:t>–</w:t>
            </w:r>
          </w:p>
        </w:tc>
        <w:tc>
          <w:tcPr>
            <w:tcW w:w="1166" w:type="dxa"/>
            <w:tcBorders>
              <w:top w:val="nil"/>
              <w:bottom w:val="single" w:sz="4" w:space="0" w:color="auto"/>
            </w:tcBorders>
          </w:tcPr>
          <w:p w:rsidR="00C65079" w:rsidRPr="00DD2A86" w:rsidRDefault="00C65079" w:rsidP="00E44194">
            <w:pPr>
              <w:jc w:val="center"/>
              <w:rPr>
                <w:bCs/>
                <w:lang w:val="de-DE"/>
              </w:rPr>
            </w:pPr>
            <w:r w:rsidRPr="00DD2A86">
              <w:rPr>
                <w:bCs/>
                <w:lang w:val="de-DE"/>
              </w:rPr>
              <w:t>O</w:t>
            </w:r>
            <w:r w:rsidRPr="00DD2A86">
              <w:rPr>
                <w:bCs/>
                <w:vertAlign w:val="superscript"/>
                <w:lang w:val="de-DE"/>
              </w:rPr>
              <w:t>**</w:t>
            </w:r>
          </w:p>
          <w:p w:rsidR="00C65079" w:rsidRPr="00DD2A86" w:rsidRDefault="00C65079" w:rsidP="00E44194">
            <w:pPr>
              <w:jc w:val="center"/>
              <w:rPr>
                <w:bCs/>
                <w:lang w:val="de-DE"/>
              </w:rPr>
            </w:pPr>
          </w:p>
          <w:p w:rsidR="00C65079" w:rsidRPr="00DD2A86" w:rsidRDefault="00C65079" w:rsidP="00E44194">
            <w:pPr>
              <w:jc w:val="center"/>
              <w:rPr>
                <w:bCs/>
                <w:lang w:val="de-DE"/>
              </w:rPr>
            </w:pPr>
            <w:r w:rsidRPr="00DD2A86">
              <w:rPr>
                <w:bCs/>
                <w:lang w:val="de-DE"/>
              </w:rPr>
              <w:t>O</w:t>
            </w:r>
          </w:p>
        </w:tc>
      </w:tr>
      <w:tr w:rsidR="00C65079" w:rsidRPr="00DD2A86" w:rsidTr="00E44194">
        <w:tc>
          <w:tcPr>
            <w:tcW w:w="851" w:type="dxa"/>
            <w:tcBorders>
              <w:bottom w:val="single" w:sz="4" w:space="0" w:color="auto"/>
              <w:right w:val="nil"/>
            </w:tcBorders>
          </w:tcPr>
          <w:p w:rsidR="00C65079" w:rsidRPr="00DD2A86" w:rsidRDefault="00C65079" w:rsidP="00E44194">
            <w:pPr>
              <w:rPr>
                <w:bCs/>
                <w:lang w:val="de-DE"/>
              </w:rPr>
            </w:pPr>
            <w:r w:rsidRPr="00DD2A86">
              <w:rPr>
                <w:bCs/>
                <w:lang w:val="de-DE"/>
              </w:rPr>
              <w:t>7.</w:t>
            </w:r>
          </w:p>
        </w:tc>
        <w:tc>
          <w:tcPr>
            <w:tcW w:w="6559" w:type="dxa"/>
            <w:gridSpan w:val="3"/>
            <w:tcBorders>
              <w:left w:val="nil"/>
              <w:bottom w:val="single" w:sz="4" w:space="0" w:color="auto"/>
            </w:tcBorders>
          </w:tcPr>
          <w:p w:rsidR="00C65079" w:rsidRPr="00DD2A86" w:rsidRDefault="00C65079" w:rsidP="00E44194">
            <w:pPr>
              <w:rPr>
                <w:bCs/>
                <w:lang w:val="de-DE"/>
              </w:rPr>
            </w:pPr>
            <w:r w:rsidRPr="00DD2A86">
              <w:rPr>
                <w:bCs/>
                <w:lang w:val="de-DE"/>
              </w:rPr>
              <w:t>Sind die Maßnahmen hinsichtlich „Not-Stop“ und „Alarm“ bekannt?</w:t>
            </w:r>
          </w:p>
        </w:tc>
        <w:tc>
          <w:tcPr>
            <w:tcW w:w="780" w:type="dxa"/>
            <w:gridSpan w:val="2"/>
            <w:tcBorders>
              <w:bottom w:val="single" w:sz="4" w:space="0" w:color="auto"/>
            </w:tcBorders>
          </w:tcPr>
          <w:p w:rsidR="00C65079" w:rsidRPr="00DD2A86" w:rsidRDefault="00C65079" w:rsidP="00E44194">
            <w:pPr>
              <w:jc w:val="center"/>
              <w:rPr>
                <w:bCs/>
                <w:lang w:val="de-DE"/>
              </w:rPr>
            </w:pPr>
            <w:r w:rsidRPr="00DD2A86">
              <w:rPr>
                <w:bCs/>
                <w:lang w:val="de-DE"/>
              </w:rPr>
              <w:t>O</w:t>
            </w:r>
          </w:p>
        </w:tc>
        <w:tc>
          <w:tcPr>
            <w:tcW w:w="1166" w:type="dxa"/>
            <w:tcBorders>
              <w:bottom w:val="single" w:sz="4" w:space="0" w:color="auto"/>
            </w:tcBorders>
          </w:tcPr>
          <w:p w:rsidR="00C65079" w:rsidRPr="00DD2A86" w:rsidRDefault="00C65079" w:rsidP="00E44194">
            <w:pPr>
              <w:jc w:val="center"/>
              <w:rPr>
                <w:bCs/>
                <w:lang w:val="de-DE"/>
              </w:rPr>
            </w:pPr>
            <w:r w:rsidRPr="00DD2A86">
              <w:rPr>
                <w:bCs/>
                <w:lang w:val="de-DE"/>
              </w:rPr>
              <w:t>O</w:t>
            </w:r>
          </w:p>
        </w:tc>
      </w:tr>
      <w:tr w:rsidR="00C65079" w:rsidRPr="00E139A8" w:rsidTr="00E44194">
        <w:tc>
          <w:tcPr>
            <w:tcW w:w="9356" w:type="dxa"/>
            <w:gridSpan w:val="7"/>
            <w:tcBorders>
              <w:left w:val="nil"/>
              <w:bottom w:val="nil"/>
              <w:right w:val="nil"/>
            </w:tcBorders>
          </w:tcPr>
          <w:p w:rsidR="00C65079" w:rsidRPr="00DD2A86" w:rsidRDefault="00C65079" w:rsidP="00E44194">
            <w:pPr>
              <w:spacing w:before="120"/>
              <w:ind w:left="-78"/>
              <w:rPr>
                <w:bCs/>
                <w:i/>
                <w:iCs/>
                <w:lang w:val="de-DE"/>
              </w:rPr>
            </w:pPr>
            <w:r w:rsidRPr="00DD2A86">
              <w:rPr>
                <w:bCs/>
                <w:i/>
                <w:iCs/>
                <w:sz w:val="18"/>
                <w:szCs w:val="18"/>
                <w:vertAlign w:val="superscript"/>
                <w:lang w:val="de-DE"/>
              </w:rPr>
              <w:t xml:space="preserve">  </w:t>
            </w:r>
            <w:r w:rsidRPr="00DD2A86">
              <w:rPr>
                <w:bCs/>
                <w:i/>
                <w:iCs/>
                <w:vertAlign w:val="superscript"/>
                <w:lang w:val="de-DE"/>
              </w:rPr>
              <w:t xml:space="preserve"> * </w:t>
            </w:r>
            <w:r w:rsidRPr="00DD2A86">
              <w:rPr>
                <w:bCs/>
                <w:i/>
                <w:iCs/>
                <w:lang w:val="de-DE"/>
              </w:rPr>
              <w:t>Gilt nicht, wenn die Luftströme durch Unterdruck erzeugt werden.</w:t>
            </w:r>
          </w:p>
          <w:p w:rsidR="00C65079" w:rsidRPr="00DD2A86" w:rsidRDefault="00C65079" w:rsidP="00E44194">
            <w:pPr>
              <w:ind w:left="-78"/>
              <w:rPr>
                <w:bCs/>
                <w:lang w:val="de-DE"/>
              </w:rPr>
            </w:pPr>
            <w:r w:rsidRPr="00DD2A86">
              <w:rPr>
                <w:bCs/>
                <w:i/>
                <w:iCs/>
                <w:vertAlign w:val="superscript"/>
                <w:lang w:val="de-DE"/>
              </w:rPr>
              <w:t>**</w:t>
            </w:r>
            <w:r w:rsidRPr="00DD2A86">
              <w:rPr>
                <w:bCs/>
                <w:i/>
                <w:iCs/>
                <w:lang w:val="de-DE"/>
              </w:rPr>
              <w:t xml:space="preserve"> Gilt nur, wenn die Luftströme durch Unterdruck erzeugt werden.</w:t>
            </w:r>
          </w:p>
        </w:tc>
      </w:tr>
      <w:tr w:rsidR="00C65079" w:rsidRPr="00DD2A86" w:rsidTr="00E44194">
        <w:trPr>
          <w:cantSplit/>
        </w:trPr>
        <w:tc>
          <w:tcPr>
            <w:tcW w:w="851" w:type="dxa"/>
            <w:tcBorders>
              <w:top w:val="single" w:sz="4" w:space="0" w:color="auto"/>
              <w:bottom w:val="single" w:sz="4" w:space="0" w:color="auto"/>
            </w:tcBorders>
          </w:tcPr>
          <w:p w:rsidR="00C65079" w:rsidRPr="00DD2A86" w:rsidRDefault="00C65079" w:rsidP="00E44194">
            <w:pPr>
              <w:pageBreakBefore/>
              <w:rPr>
                <w:b/>
                <w:bCs/>
                <w:lang w:val="de-DE"/>
              </w:rPr>
            </w:pPr>
          </w:p>
        </w:tc>
        <w:tc>
          <w:tcPr>
            <w:tcW w:w="6379" w:type="dxa"/>
            <w:gridSpan w:val="2"/>
            <w:tcBorders>
              <w:top w:val="single" w:sz="4" w:space="0" w:color="auto"/>
              <w:bottom w:val="single" w:sz="4" w:space="0" w:color="auto"/>
            </w:tcBorders>
          </w:tcPr>
          <w:p w:rsidR="00C65079" w:rsidRPr="00DD2A86" w:rsidRDefault="00C65079" w:rsidP="00E44194">
            <w:pPr>
              <w:rPr>
                <w:bCs/>
                <w:lang w:val="de-DE"/>
              </w:rPr>
            </w:pPr>
          </w:p>
        </w:tc>
        <w:tc>
          <w:tcPr>
            <w:tcW w:w="850" w:type="dxa"/>
            <w:gridSpan w:val="2"/>
            <w:tcBorders>
              <w:top w:val="single" w:sz="4" w:space="0" w:color="auto"/>
              <w:bottom w:val="single" w:sz="4" w:space="0" w:color="auto"/>
            </w:tcBorders>
          </w:tcPr>
          <w:p w:rsidR="00C65079" w:rsidRPr="00DD2A86" w:rsidRDefault="00C65079" w:rsidP="00E44194">
            <w:pPr>
              <w:pageBreakBefore/>
              <w:jc w:val="center"/>
              <w:rPr>
                <w:bCs/>
                <w:lang w:val="de-DE"/>
              </w:rPr>
            </w:pPr>
          </w:p>
          <w:p w:rsidR="00C65079" w:rsidRPr="00DD2A86" w:rsidRDefault="00C65079" w:rsidP="00E44194">
            <w:pPr>
              <w:jc w:val="center"/>
              <w:rPr>
                <w:bCs/>
                <w:lang w:val="de-DE"/>
              </w:rPr>
            </w:pPr>
            <w:r w:rsidRPr="00DD2A86">
              <w:rPr>
                <w:bCs/>
                <w:lang w:val="de-DE"/>
              </w:rPr>
              <w:t>Schiff</w:t>
            </w:r>
          </w:p>
        </w:tc>
        <w:tc>
          <w:tcPr>
            <w:tcW w:w="1276" w:type="dxa"/>
            <w:gridSpan w:val="2"/>
            <w:tcBorders>
              <w:top w:val="single" w:sz="4" w:space="0" w:color="auto"/>
              <w:bottom w:val="single" w:sz="4" w:space="0" w:color="auto"/>
            </w:tcBorders>
          </w:tcPr>
          <w:p w:rsidR="00C65079" w:rsidRPr="00DD2A86" w:rsidRDefault="00C65079" w:rsidP="00E44194">
            <w:pPr>
              <w:jc w:val="right"/>
              <w:rPr>
                <w:b/>
                <w:lang w:val="de-DE"/>
              </w:rPr>
            </w:pPr>
            <w:r w:rsidRPr="00DD2A86">
              <w:rPr>
                <w:b/>
                <w:lang w:val="de-DE"/>
              </w:rPr>
              <w:t>4</w:t>
            </w:r>
          </w:p>
          <w:p w:rsidR="00C65079" w:rsidRPr="00DD2A86" w:rsidRDefault="00C65079" w:rsidP="00E44194">
            <w:pPr>
              <w:jc w:val="center"/>
              <w:rPr>
                <w:bCs/>
                <w:lang w:val="de-DE"/>
              </w:rPr>
            </w:pPr>
            <w:r w:rsidRPr="00DD2A86">
              <w:rPr>
                <w:bCs/>
                <w:lang w:val="de-DE"/>
              </w:rPr>
              <w:t>Annahme-stelle</w:t>
            </w:r>
          </w:p>
        </w:tc>
      </w:tr>
      <w:tr w:rsidR="00C65079" w:rsidRPr="00DD2A86" w:rsidTr="00E44194">
        <w:tc>
          <w:tcPr>
            <w:tcW w:w="851" w:type="dxa"/>
            <w:tcBorders>
              <w:bottom w:val="nil"/>
              <w:right w:val="single" w:sz="4" w:space="0" w:color="auto"/>
            </w:tcBorders>
          </w:tcPr>
          <w:p w:rsidR="00C65079" w:rsidRPr="00DD2A86" w:rsidRDefault="00C65079" w:rsidP="00E44194">
            <w:pPr>
              <w:rPr>
                <w:bCs/>
                <w:lang w:val="de-DE"/>
              </w:rPr>
            </w:pPr>
            <w:r w:rsidRPr="00DD2A86">
              <w:rPr>
                <w:bCs/>
                <w:lang w:val="de-DE"/>
              </w:rPr>
              <w:t>8.</w:t>
            </w:r>
          </w:p>
        </w:tc>
        <w:tc>
          <w:tcPr>
            <w:tcW w:w="6379" w:type="dxa"/>
            <w:gridSpan w:val="2"/>
            <w:tcBorders>
              <w:left w:val="single" w:sz="4" w:space="0" w:color="auto"/>
              <w:bottom w:val="nil"/>
            </w:tcBorders>
          </w:tcPr>
          <w:p w:rsidR="00C65079" w:rsidRPr="00DD2A86" w:rsidRDefault="00C65079" w:rsidP="00E44194">
            <w:pPr>
              <w:rPr>
                <w:bCs/>
                <w:lang w:val="de-DE"/>
              </w:rPr>
            </w:pPr>
            <w:r w:rsidRPr="00DD2A86">
              <w:rPr>
                <w:bCs/>
                <w:lang w:val="de-DE"/>
              </w:rPr>
              <w:t>Kontrolle der wichtigsten Betriebsvorschriften:</w:t>
            </w:r>
          </w:p>
        </w:tc>
        <w:tc>
          <w:tcPr>
            <w:tcW w:w="850" w:type="dxa"/>
            <w:gridSpan w:val="2"/>
            <w:tcBorders>
              <w:bottom w:val="nil"/>
            </w:tcBorders>
          </w:tcPr>
          <w:p w:rsidR="00C65079" w:rsidRPr="00DD2A86" w:rsidRDefault="00C65079" w:rsidP="00E44194">
            <w:pPr>
              <w:jc w:val="center"/>
              <w:rPr>
                <w:bCs/>
                <w:lang w:val="de-DE"/>
              </w:rPr>
            </w:pPr>
          </w:p>
        </w:tc>
        <w:tc>
          <w:tcPr>
            <w:tcW w:w="1276" w:type="dxa"/>
            <w:gridSpan w:val="2"/>
            <w:tcBorders>
              <w:bottom w:val="nil"/>
            </w:tcBorders>
          </w:tcPr>
          <w:p w:rsidR="00C65079" w:rsidRPr="00DD2A86" w:rsidRDefault="00C65079" w:rsidP="00E44194">
            <w:pPr>
              <w:jc w:val="center"/>
              <w:rPr>
                <w:bCs/>
                <w:lang w:val="de-DE"/>
              </w:rPr>
            </w:pPr>
          </w:p>
        </w:tc>
      </w:tr>
      <w:tr w:rsidR="00C65079" w:rsidRPr="00DD2A86" w:rsidTr="00E44194">
        <w:tc>
          <w:tcPr>
            <w:tcW w:w="851" w:type="dxa"/>
            <w:tcBorders>
              <w:top w:val="nil"/>
              <w:left w:val="single" w:sz="4" w:space="0" w:color="auto"/>
              <w:bottom w:val="nil"/>
              <w:right w:val="single" w:sz="4" w:space="0" w:color="auto"/>
            </w:tcBorders>
          </w:tcPr>
          <w:p w:rsidR="00C65079" w:rsidRPr="00DD2A86" w:rsidRDefault="00C65079" w:rsidP="00E44194">
            <w:pPr>
              <w:rPr>
                <w:bCs/>
                <w:lang w:val="de-DE"/>
              </w:rPr>
            </w:pPr>
          </w:p>
        </w:tc>
        <w:tc>
          <w:tcPr>
            <w:tcW w:w="6379" w:type="dxa"/>
            <w:gridSpan w:val="2"/>
            <w:tcBorders>
              <w:top w:val="nil"/>
              <w:left w:val="single" w:sz="4" w:space="0" w:color="auto"/>
              <w:bottom w:val="nil"/>
              <w:right w:val="single" w:sz="4" w:space="0" w:color="auto"/>
            </w:tcBorders>
          </w:tcPr>
          <w:p w:rsidR="00C65079" w:rsidRPr="00DD2A86" w:rsidRDefault="00C65079" w:rsidP="00C65079">
            <w:pPr>
              <w:numPr>
                <w:ilvl w:val="0"/>
                <w:numId w:val="46"/>
              </w:numPr>
              <w:tabs>
                <w:tab w:val="left" w:pos="317"/>
              </w:tabs>
              <w:suppressAutoHyphens w:val="0"/>
              <w:spacing w:line="240" w:lineRule="auto"/>
              <w:rPr>
                <w:bCs/>
                <w:lang w:val="de-DE"/>
              </w:rPr>
            </w:pPr>
            <w:r w:rsidRPr="00DD2A86">
              <w:rPr>
                <w:bCs/>
                <w:lang w:val="de-DE"/>
              </w:rPr>
              <w:t>Sind die vorgeschriebenen Feuerlöscheinrichtungen und -geräte betriebsfähig?</w:t>
            </w:r>
          </w:p>
        </w:tc>
        <w:tc>
          <w:tcPr>
            <w:tcW w:w="850" w:type="dxa"/>
            <w:gridSpan w:val="2"/>
            <w:tcBorders>
              <w:top w:val="nil"/>
              <w:left w:val="single" w:sz="4" w:space="0" w:color="auto"/>
              <w:bottom w:val="nil"/>
              <w:right w:val="single" w:sz="4" w:space="0" w:color="auto"/>
            </w:tcBorders>
            <w:vAlign w:val="bottom"/>
          </w:tcPr>
          <w:p w:rsidR="00C65079" w:rsidRPr="00DD2A86" w:rsidRDefault="00C65079" w:rsidP="00E44194">
            <w:pPr>
              <w:spacing w:before="30" w:after="22"/>
              <w:jc w:val="center"/>
              <w:rPr>
                <w:lang w:val="de-DE"/>
              </w:rPr>
            </w:pPr>
            <w:r w:rsidRPr="00DD2A86">
              <w:rPr>
                <w:lang w:val="de-DE"/>
              </w:rPr>
              <w:t>O</w:t>
            </w:r>
          </w:p>
        </w:tc>
        <w:tc>
          <w:tcPr>
            <w:tcW w:w="1276" w:type="dxa"/>
            <w:gridSpan w:val="2"/>
            <w:tcBorders>
              <w:top w:val="nil"/>
              <w:left w:val="single" w:sz="4" w:space="0" w:color="auto"/>
              <w:bottom w:val="nil"/>
              <w:right w:val="single" w:sz="4" w:space="0" w:color="auto"/>
            </w:tcBorders>
            <w:vAlign w:val="bottom"/>
          </w:tcPr>
          <w:p w:rsidR="00C65079" w:rsidRPr="00DD2A86" w:rsidRDefault="00C65079" w:rsidP="00E44194">
            <w:pPr>
              <w:spacing w:before="30" w:after="22"/>
              <w:jc w:val="center"/>
              <w:rPr>
                <w:lang w:val="de-DE"/>
              </w:rPr>
            </w:pPr>
            <w:r w:rsidRPr="00DD2A86">
              <w:rPr>
                <w:lang w:val="de-DE"/>
              </w:rPr>
              <w:t>O</w:t>
            </w:r>
          </w:p>
        </w:tc>
      </w:tr>
      <w:tr w:rsidR="00C65079" w:rsidRPr="00DD2A86" w:rsidTr="00E44194">
        <w:tc>
          <w:tcPr>
            <w:tcW w:w="851" w:type="dxa"/>
            <w:tcBorders>
              <w:top w:val="nil"/>
              <w:left w:val="single" w:sz="4" w:space="0" w:color="auto"/>
              <w:bottom w:val="nil"/>
              <w:right w:val="single" w:sz="4" w:space="0" w:color="auto"/>
            </w:tcBorders>
          </w:tcPr>
          <w:p w:rsidR="00C65079" w:rsidRPr="00DD2A86" w:rsidRDefault="00C65079" w:rsidP="00E44194">
            <w:pPr>
              <w:rPr>
                <w:bCs/>
                <w:lang w:val="de-DE"/>
              </w:rPr>
            </w:pPr>
          </w:p>
        </w:tc>
        <w:tc>
          <w:tcPr>
            <w:tcW w:w="6379" w:type="dxa"/>
            <w:gridSpan w:val="2"/>
            <w:tcBorders>
              <w:top w:val="nil"/>
              <w:left w:val="single" w:sz="4" w:space="0" w:color="auto"/>
              <w:bottom w:val="nil"/>
              <w:right w:val="single" w:sz="4" w:space="0" w:color="auto"/>
            </w:tcBorders>
          </w:tcPr>
          <w:p w:rsidR="00C65079" w:rsidRPr="00DD2A86" w:rsidRDefault="00C65079" w:rsidP="00C65079">
            <w:pPr>
              <w:numPr>
                <w:ilvl w:val="0"/>
                <w:numId w:val="46"/>
              </w:numPr>
              <w:suppressAutoHyphens w:val="0"/>
              <w:spacing w:line="240" w:lineRule="auto"/>
              <w:rPr>
                <w:bCs/>
                <w:lang w:val="de-DE"/>
              </w:rPr>
            </w:pPr>
            <w:r w:rsidRPr="00DD2A86">
              <w:rPr>
                <w:bCs/>
                <w:lang w:val="de-DE"/>
              </w:rPr>
              <w:t>Sind alle Ventile und Absperrorgane auf richtige Stellung kontrolliert?</w:t>
            </w:r>
          </w:p>
        </w:tc>
        <w:tc>
          <w:tcPr>
            <w:tcW w:w="850" w:type="dxa"/>
            <w:gridSpan w:val="2"/>
            <w:tcBorders>
              <w:top w:val="nil"/>
              <w:left w:val="single" w:sz="4" w:space="0" w:color="auto"/>
              <w:bottom w:val="nil"/>
              <w:right w:val="single" w:sz="4" w:space="0" w:color="auto"/>
            </w:tcBorders>
            <w:vAlign w:val="bottom"/>
          </w:tcPr>
          <w:p w:rsidR="00C65079" w:rsidRPr="00DD2A86" w:rsidRDefault="00C65079" w:rsidP="00E44194">
            <w:pPr>
              <w:spacing w:before="30" w:after="22"/>
              <w:jc w:val="center"/>
              <w:rPr>
                <w:lang w:val="de-DE"/>
              </w:rPr>
            </w:pPr>
            <w:r w:rsidRPr="00DD2A86">
              <w:rPr>
                <w:lang w:val="de-DE"/>
              </w:rPr>
              <w:t>O</w:t>
            </w:r>
          </w:p>
        </w:tc>
        <w:tc>
          <w:tcPr>
            <w:tcW w:w="1276" w:type="dxa"/>
            <w:gridSpan w:val="2"/>
            <w:tcBorders>
              <w:top w:val="nil"/>
              <w:left w:val="single" w:sz="4" w:space="0" w:color="auto"/>
              <w:bottom w:val="nil"/>
              <w:right w:val="single" w:sz="4" w:space="0" w:color="auto"/>
            </w:tcBorders>
            <w:vAlign w:val="bottom"/>
          </w:tcPr>
          <w:p w:rsidR="00C65079" w:rsidRPr="00DD2A86" w:rsidRDefault="00C65079" w:rsidP="00E44194">
            <w:pPr>
              <w:spacing w:before="30" w:after="22"/>
              <w:jc w:val="center"/>
              <w:rPr>
                <w:lang w:val="de-DE"/>
              </w:rPr>
            </w:pPr>
            <w:r w:rsidRPr="00DD2A86">
              <w:rPr>
                <w:lang w:val="de-DE"/>
              </w:rPr>
              <w:t>O</w:t>
            </w:r>
          </w:p>
        </w:tc>
      </w:tr>
      <w:tr w:rsidR="00C65079" w:rsidRPr="00DD2A86" w:rsidTr="00E44194">
        <w:tc>
          <w:tcPr>
            <w:tcW w:w="851" w:type="dxa"/>
            <w:tcBorders>
              <w:top w:val="nil"/>
              <w:left w:val="single" w:sz="4" w:space="0" w:color="auto"/>
              <w:bottom w:val="nil"/>
              <w:right w:val="single" w:sz="4" w:space="0" w:color="auto"/>
            </w:tcBorders>
          </w:tcPr>
          <w:p w:rsidR="00C65079" w:rsidRPr="00DD2A86" w:rsidRDefault="00C65079" w:rsidP="00E44194">
            <w:pPr>
              <w:rPr>
                <w:bCs/>
                <w:lang w:val="de-DE"/>
              </w:rPr>
            </w:pPr>
          </w:p>
        </w:tc>
        <w:tc>
          <w:tcPr>
            <w:tcW w:w="6379" w:type="dxa"/>
            <w:gridSpan w:val="2"/>
            <w:tcBorders>
              <w:top w:val="nil"/>
              <w:left w:val="single" w:sz="4" w:space="0" w:color="auto"/>
              <w:bottom w:val="nil"/>
              <w:right w:val="single" w:sz="4" w:space="0" w:color="auto"/>
            </w:tcBorders>
          </w:tcPr>
          <w:p w:rsidR="00C65079" w:rsidRPr="00DD2A86" w:rsidRDefault="00C65079" w:rsidP="00C65079">
            <w:pPr>
              <w:numPr>
                <w:ilvl w:val="0"/>
                <w:numId w:val="46"/>
              </w:numPr>
              <w:suppressAutoHyphens w:val="0"/>
              <w:spacing w:line="240" w:lineRule="auto"/>
              <w:rPr>
                <w:bCs/>
                <w:lang w:val="de-DE"/>
              </w:rPr>
            </w:pPr>
            <w:r w:rsidRPr="00DD2A86">
              <w:rPr>
                <w:bCs/>
                <w:lang w:val="de-DE"/>
              </w:rPr>
              <w:t>Ist ein generelles Rauchverbot angeordnet?</w:t>
            </w:r>
          </w:p>
        </w:tc>
        <w:tc>
          <w:tcPr>
            <w:tcW w:w="850" w:type="dxa"/>
            <w:gridSpan w:val="2"/>
            <w:tcBorders>
              <w:top w:val="nil"/>
              <w:left w:val="single" w:sz="4" w:space="0" w:color="auto"/>
              <w:bottom w:val="nil"/>
              <w:right w:val="single" w:sz="4" w:space="0" w:color="auto"/>
            </w:tcBorders>
            <w:vAlign w:val="bottom"/>
          </w:tcPr>
          <w:p w:rsidR="00C65079" w:rsidRPr="00DD2A86" w:rsidRDefault="00C65079" w:rsidP="00E44194">
            <w:pPr>
              <w:spacing w:before="30" w:after="22"/>
              <w:jc w:val="center"/>
              <w:rPr>
                <w:lang w:val="de-DE"/>
              </w:rPr>
            </w:pPr>
            <w:r w:rsidRPr="00DD2A86">
              <w:rPr>
                <w:lang w:val="de-DE"/>
              </w:rPr>
              <w:t>O</w:t>
            </w:r>
          </w:p>
        </w:tc>
        <w:tc>
          <w:tcPr>
            <w:tcW w:w="1276" w:type="dxa"/>
            <w:gridSpan w:val="2"/>
            <w:tcBorders>
              <w:top w:val="nil"/>
              <w:left w:val="single" w:sz="4" w:space="0" w:color="auto"/>
              <w:bottom w:val="nil"/>
              <w:right w:val="single" w:sz="4" w:space="0" w:color="auto"/>
            </w:tcBorders>
            <w:vAlign w:val="bottom"/>
          </w:tcPr>
          <w:p w:rsidR="00C65079" w:rsidRPr="00DD2A86" w:rsidRDefault="00C65079" w:rsidP="00E44194">
            <w:pPr>
              <w:spacing w:before="30" w:after="22"/>
              <w:jc w:val="center"/>
              <w:rPr>
                <w:lang w:val="de-DE"/>
              </w:rPr>
            </w:pPr>
            <w:r w:rsidRPr="00DD2A86">
              <w:rPr>
                <w:lang w:val="de-DE"/>
              </w:rPr>
              <w:t>O</w:t>
            </w:r>
          </w:p>
        </w:tc>
      </w:tr>
      <w:tr w:rsidR="00C65079" w:rsidRPr="00DD2A86" w:rsidTr="00E44194">
        <w:tc>
          <w:tcPr>
            <w:tcW w:w="851" w:type="dxa"/>
            <w:tcBorders>
              <w:top w:val="nil"/>
              <w:left w:val="single" w:sz="4" w:space="0" w:color="auto"/>
              <w:bottom w:val="nil"/>
              <w:right w:val="single" w:sz="4" w:space="0" w:color="auto"/>
            </w:tcBorders>
          </w:tcPr>
          <w:p w:rsidR="00C65079" w:rsidRPr="00DD2A86" w:rsidRDefault="00C65079" w:rsidP="00E44194">
            <w:pPr>
              <w:rPr>
                <w:bCs/>
                <w:lang w:val="de-DE"/>
              </w:rPr>
            </w:pPr>
          </w:p>
        </w:tc>
        <w:tc>
          <w:tcPr>
            <w:tcW w:w="6379" w:type="dxa"/>
            <w:gridSpan w:val="2"/>
            <w:tcBorders>
              <w:top w:val="nil"/>
              <w:left w:val="single" w:sz="4" w:space="0" w:color="auto"/>
              <w:bottom w:val="nil"/>
              <w:right w:val="single" w:sz="4" w:space="0" w:color="auto"/>
            </w:tcBorders>
          </w:tcPr>
          <w:p w:rsidR="00C65079" w:rsidRPr="00DD2A86" w:rsidRDefault="00C65079" w:rsidP="00C65079">
            <w:pPr>
              <w:numPr>
                <w:ilvl w:val="0"/>
                <w:numId w:val="46"/>
              </w:numPr>
              <w:suppressAutoHyphens w:val="0"/>
              <w:spacing w:line="240" w:lineRule="auto"/>
              <w:rPr>
                <w:bCs/>
                <w:lang w:val="de-DE"/>
              </w:rPr>
            </w:pPr>
            <w:r w:rsidRPr="00DD2A86">
              <w:rPr>
                <w:bCs/>
                <w:lang w:val="de-DE"/>
              </w:rPr>
              <w:t>Sind die Heizgeräte mit offener Flamme außer Betrieb?</w:t>
            </w:r>
          </w:p>
        </w:tc>
        <w:tc>
          <w:tcPr>
            <w:tcW w:w="850" w:type="dxa"/>
            <w:gridSpan w:val="2"/>
            <w:tcBorders>
              <w:top w:val="nil"/>
              <w:left w:val="single" w:sz="4" w:space="0" w:color="auto"/>
              <w:bottom w:val="nil"/>
              <w:right w:val="single" w:sz="4" w:space="0" w:color="auto"/>
            </w:tcBorders>
            <w:vAlign w:val="bottom"/>
          </w:tcPr>
          <w:p w:rsidR="00C65079" w:rsidRPr="00DD2A86" w:rsidRDefault="00C65079" w:rsidP="00E44194">
            <w:pPr>
              <w:spacing w:before="30" w:after="22"/>
              <w:jc w:val="center"/>
              <w:rPr>
                <w:lang w:val="de-DE"/>
              </w:rPr>
            </w:pPr>
            <w:r w:rsidRPr="00DD2A86">
              <w:rPr>
                <w:lang w:val="de-DE"/>
              </w:rPr>
              <w:t>O</w:t>
            </w:r>
          </w:p>
        </w:tc>
        <w:tc>
          <w:tcPr>
            <w:tcW w:w="1276" w:type="dxa"/>
            <w:gridSpan w:val="2"/>
            <w:tcBorders>
              <w:top w:val="nil"/>
              <w:left w:val="single" w:sz="4" w:space="0" w:color="auto"/>
              <w:bottom w:val="nil"/>
              <w:right w:val="single" w:sz="4" w:space="0" w:color="auto"/>
            </w:tcBorders>
            <w:vAlign w:val="bottom"/>
          </w:tcPr>
          <w:p w:rsidR="00C65079" w:rsidRPr="00DD2A86" w:rsidRDefault="00C65079" w:rsidP="00E44194">
            <w:pPr>
              <w:spacing w:before="30" w:after="22"/>
              <w:jc w:val="center"/>
              <w:rPr>
                <w:lang w:val="de-DE"/>
              </w:rPr>
            </w:pPr>
            <w:r w:rsidRPr="00DD2A86">
              <w:rPr>
                <w:bCs/>
                <w:lang w:val="de-DE"/>
              </w:rPr>
              <w:t>–</w:t>
            </w:r>
          </w:p>
        </w:tc>
      </w:tr>
      <w:tr w:rsidR="00C65079" w:rsidRPr="00DD2A86" w:rsidTr="00E44194">
        <w:tc>
          <w:tcPr>
            <w:tcW w:w="851" w:type="dxa"/>
            <w:tcBorders>
              <w:top w:val="nil"/>
              <w:left w:val="single" w:sz="4" w:space="0" w:color="auto"/>
              <w:bottom w:val="nil"/>
              <w:right w:val="single" w:sz="4" w:space="0" w:color="auto"/>
            </w:tcBorders>
          </w:tcPr>
          <w:p w:rsidR="00C65079" w:rsidRPr="00DD2A86" w:rsidRDefault="00C65079" w:rsidP="00E44194">
            <w:pPr>
              <w:rPr>
                <w:bCs/>
                <w:lang w:val="de-DE"/>
              </w:rPr>
            </w:pPr>
          </w:p>
        </w:tc>
        <w:tc>
          <w:tcPr>
            <w:tcW w:w="6379" w:type="dxa"/>
            <w:gridSpan w:val="2"/>
            <w:tcBorders>
              <w:top w:val="nil"/>
              <w:left w:val="single" w:sz="4" w:space="0" w:color="auto"/>
              <w:bottom w:val="nil"/>
              <w:right w:val="single" w:sz="4" w:space="0" w:color="auto"/>
            </w:tcBorders>
          </w:tcPr>
          <w:p w:rsidR="00C65079" w:rsidRPr="00DD2A86" w:rsidRDefault="00C65079" w:rsidP="00C65079">
            <w:pPr>
              <w:numPr>
                <w:ilvl w:val="0"/>
                <w:numId w:val="46"/>
              </w:numPr>
              <w:suppressAutoHyphens w:val="0"/>
              <w:spacing w:line="240" w:lineRule="auto"/>
              <w:rPr>
                <w:bCs/>
                <w:lang w:val="de-DE"/>
              </w:rPr>
            </w:pPr>
            <w:r w:rsidRPr="00DD2A86">
              <w:rPr>
                <w:bCs/>
                <w:lang w:val="de-DE"/>
              </w:rPr>
              <w:t>Sind die Radargeräte spannungsfrei gemacht?</w:t>
            </w:r>
          </w:p>
        </w:tc>
        <w:tc>
          <w:tcPr>
            <w:tcW w:w="850" w:type="dxa"/>
            <w:gridSpan w:val="2"/>
            <w:tcBorders>
              <w:top w:val="nil"/>
              <w:left w:val="single" w:sz="4" w:space="0" w:color="auto"/>
              <w:bottom w:val="nil"/>
              <w:right w:val="single" w:sz="4" w:space="0" w:color="auto"/>
            </w:tcBorders>
            <w:vAlign w:val="bottom"/>
          </w:tcPr>
          <w:p w:rsidR="00C65079" w:rsidRPr="00DD2A86" w:rsidRDefault="00C65079" w:rsidP="00E44194">
            <w:pPr>
              <w:spacing w:before="30" w:after="22"/>
              <w:jc w:val="center"/>
              <w:rPr>
                <w:lang w:val="de-DE"/>
              </w:rPr>
            </w:pPr>
            <w:r w:rsidRPr="00DD2A86">
              <w:rPr>
                <w:lang w:val="de-DE"/>
              </w:rPr>
              <w:t>O</w:t>
            </w:r>
          </w:p>
        </w:tc>
        <w:tc>
          <w:tcPr>
            <w:tcW w:w="1276" w:type="dxa"/>
            <w:gridSpan w:val="2"/>
            <w:tcBorders>
              <w:top w:val="nil"/>
              <w:left w:val="single" w:sz="4" w:space="0" w:color="auto"/>
              <w:bottom w:val="nil"/>
              <w:right w:val="single" w:sz="4" w:space="0" w:color="auto"/>
            </w:tcBorders>
            <w:vAlign w:val="bottom"/>
          </w:tcPr>
          <w:p w:rsidR="00C65079" w:rsidRPr="00DD2A86" w:rsidRDefault="00C65079" w:rsidP="00E44194">
            <w:pPr>
              <w:spacing w:before="30" w:after="22"/>
              <w:jc w:val="center"/>
              <w:rPr>
                <w:lang w:val="de-DE"/>
              </w:rPr>
            </w:pPr>
            <w:r w:rsidRPr="00DD2A86">
              <w:rPr>
                <w:bCs/>
                <w:lang w:val="de-DE"/>
              </w:rPr>
              <w:t>–</w:t>
            </w:r>
          </w:p>
        </w:tc>
      </w:tr>
      <w:tr w:rsidR="00C65079" w:rsidRPr="00DD2A86" w:rsidTr="00E44194">
        <w:tc>
          <w:tcPr>
            <w:tcW w:w="851" w:type="dxa"/>
            <w:tcBorders>
              <w:top w:val="nil"/>
              <w:left w:val="single" w:sz="4" w:space="0" w:color="auto"/>
              <w:bottom w:val="nil"/>
              <w:right w:val="single" w:sz="4" w:space="0" w:color="auto"/>
            </w:tcBorders>
          </w:tcPr>
          <w:p w:rsidR="00C65079" w:rsidRPr="00DD2A86" w:rsidRDefault="00C65079" w:rsidP="00E44194">
            <w:pPr>
              <w:rPr>
                <w:bCs/>
                <w:lang w:val="de-DE"/>
              </w:rPr>
            </w:pPr>
          </w:p>
        </w:tc>
        <w:tc>
          <w:tcPr>
            <w:tcW w:w="6379" w:type="dxa"/>
            <w:gridSpan w:val="2"/>
            <w:tcBorders>
              <w:top w:val="nil"/>
              <w:left w:val="single" w:sz="4" w:space="0" w:color="auto"/>
              <w:bottom w:val="nil"/>
              <w:right w:val="single" w:sz="4" w:space="0" w:color="auto"/>
            </w:tcBorders>
          </w:tcPr>
          <w:p w:rsidR="00C65079" w:rsidRPr="00DD2A86" w:rsidRDefault="00C65079" w:rsidP="00C65079">
            <w:pPr>
              <w:numPr>
                <w:ilvl w:val="0"/>
                <w:numId w:val="46"/>
              </w:numPr>
              <w:suppressAutoHyphens w:val="0"/>
              <w:spacing w:line="240" w:lineRule="auto"/>
              <w:rPr>
                <w:bCs/>
                <w:lang w:val="de-DE"/>
              </w:rPr>
            </w:pPr>
            <w:r w:rsidRPr="00DD2A86">
              <w:rPr>
                <w:bCs/>
                <w:lang w:val="de-DE"/>
              </w:rPr>
              <w:t>Sind alle elektrischen Einrichtungen mit roter Kennzeichnung abgeschaltet?</w:t>
            </w:r>
          </w:p>
        </w:tc>
        <w:tc>
          <w:tcPr>
            <w:tcW w:w="850" w:type="dxa"/>
            <w:gridSpan w:val="2"/>
            <w:tcBorders>
              <w:top w:val="nil"/>
              <w:left w:val="single" w:sz="4" w:space="0" w:color="auto"/>
              <w:bottom w:val="nil"/>
              <w:right w:val="single" w:sz="4" w:space="0" w:color="auto"/>
            </w:tcBorders>
            <w:vAlign w:val="bottom"/>
          </w:tcPr>
          <w:p w:rsidR="00C65079" w:rsidRPr="00DD2A86" w:rsidRDefault="00C65079" w:rsidP="00E44194">
            <w:pPr>
              <w:spacing w:before="30" w:after="22"/>
              <w:jc w:val="center"/>
              <w:rPr>
                <w:lang w:val="de-DE"/>
              </w:rPr>
            </w:pPr>
            <w:r w:rsidRPr="00DD2A86">
              <w:rPr>
                <w:lang w:val="de-DE"/>
              </w:rPr>
              <w:t>O</w:t>
            </w:r>
          </w:p>
        </w:tc>
        <w:tc>
          <w:tcPr>
            <w:tcW w:w="1276" w:type="dxa"/>
            <w:gridSpan w:val="2"/>
            <w:tcBorders>
              <w:top w:val="nil"/>
              <w:left w:val="single" w:sz="4" w:space="0" w:color="auto"/>
              <w:bottom w:val="nil"/>
              <w:right w:val="single" w:sz="4" w:space="0" w:color="auto"/>
            </w:tcBorders>
            <w:vAlign w:val="bottom"/>
          </w:tcPr>
          <w:p w:rsidR="00C65079" w:rsidRPr="00DD2A86" w:rsidRDefault="00C65079" w:rsidP="00E44194">
            <w:pPr>
              <w:spacing w:before="30" w:after="22"/>
              <w:jc w:val="center"/>
              <w:rPr>
                <w:lang w:val="de-DE"/>
              </w:rPr>
            </w:pPr>
            <w:r w:rsidRPr="00DD2A86">
              <w:rPr>
                <w:bCs/>
                <w:lang w:val="de-DE"/>
              </w:rPr>
              <w:t>–</w:t>
            </w:r>
          </w:p>
        </w:tc>
      </w:tr>
      <w:tr w:rsidR="00C65079" w:rsidRPr="00DD2A86" w:rsidTr="00E44194">
        <w:tc>
          <w:tcPr>
            <w:tcW w:w="851" w:type="dxa"/>
            <w:tcBorders>
              <w:top w:val="nil"/>
              <w:left w:val="single" w:sz="4" w:space="0" w:color="auto"/>
              <w:bottom w:val="nil"/>
              <w:right w:val="single" w:sz="4" w:space="0" w:color="auto"/>
            </w:tcBorders>
          </w:tcPr>
          <w:p w:rsidR="00C65079" w:rsidRPr="00DD2A86" w:rsidRDefault="00C65079" w:rsidP="00E44194">
            <w:pPr>
              <w:rPr>
                <w:bCs/>
                <w:lang w:val="de-DE"/>
              </w:rPr>
            </w:pPr>
          </w:p>
        </w:tc>
        <w:tc>
          <w:tcPr>
            <w:tcW w:w="6379" w:type="dxa"/>
            <w:gridSpan w:val="2"/>
            <w:tcBorders>
              <w:top w:val="nil"/>
              <w:left w:val="single" w:sz="4" w:space="0" w:color="auto"/>
              <w:bottom w:val="nil"/>
              <w:right w:val="single" w:sz="4" w:space="0" w:color="auto"/>
            </w:tcBorders>
          </w:tcPr>
          <w:p w:rsidR="00C65079" w:rsidRPr="00DD2A86" w:rsidRDefault="00C65079" w:rsidP="00C65079">
            <w:pPr>
              <w:numPr>
                <w:ilvl w:val="0"/>
                <w:numId w:val="46"/>
              </w:numPr>
              <w:suppressAutoHyphens w:val="0"/>
              <w:spacing w:line="240" w:lineRule="auto"/>
              <w:rPr>
                <w:bCs/>
                <w:lang w:val="de-DE"/>
              </w:rPr>
            </w:pPr>
            <w:r w:rsidRPr="00DD2A86">
              <w:rPr>
                <w:bCs/>
                <w:lang w:val="de-DE"/>
              </w:rPr>
              <w:t>Sind alle Fenster und Türen geschlossen?</w:t>
            </w:r>
          </w:p>
        </w:tc>
        <w:tc>
          <w:tcPr>
            <w:tcW w:w="850" w:type="dxa"/>
            <w:gridSpan w:val="2"/>
            <w:tcBorders>
              <w:top w:val="nil"/>
              <w:left w:val="single" w:sz="4" w:space="0" w:color="auto"/>
              <w:bottom w:val="nil"/>
              <w:right w:val="single" w:sz="4" w:space="0" w:color="auto"/>
            </w:tcBorders>
            <w:vAlign w:val="bottom"/>
          </w:tcPr>
          <w:p w:rsidR="00C65079" w:rsidRPr="00DD2A86" w:rsidRDefault="00C65079" w:rsidP="00E44194">
            <w:pPr>
              <w:spacing w:before="30" w:after="22"/>
              <w:jc w:val="center"/>
              <w:rPr>
                <w:lang w:val="de-DE"/>
              </w:rPr>
            </w:pPr>
            <w:r w:rsidRPr="00DD2A86">
              <w:rPr>
                <w:lang w:val="de-DE"/>
              </w:rPr>
              <w:t>O</w:t>
            </w:r>
          </w:p>
        </w:tc>
        <w:tc>
          <w:tcPr>
            <w:tcW w:w="1276" w:type="dxa"/>
            <w:gridSpan w:val="2"/>
            <w:tcBorders>
              <w:top w:val="nil"/>
              <w:left w:val="single" w:sz="4" w:space="0" w:color="auto"/>
              <w:bottom w:val="nil"/>
              <w:right w:val="single" w:sz="4" w:space="0" w:color="auto"/>
            </w:tcBorders>
            <w:vAlign w:val="bottom"/>
          </w:tcPr>
          <w:p w:rsidR="00C65079" w:rsidRPr="00DD2A86" w:rsidRDefault="00C65079" w:rsidP="00E44194">
            <w:pPr>
              <w:spacing w:before="30" w:after="22"/>
              <w:jc w:val="center"/>
              <w:rPr>
                <w:lang w:val="de-DE"/>
              </w:rPr>
            </w:pPr>
            <w:r w:rsidRPr="00DD2A86">
              <w:rPr>
                <w:bCs/>
                <w:lang w:val="de-DE"/>
              </w:rPr>
              <w:t>–</w:t>
            </w:r>
          </w:p>
        </w:tc>
      </w:tr>
      <w:tr w:rsidR="00C65079" w:rsidRPr="00DD2A86" w:rsidTr="00E44194">
        <w:tc>
          <w:tcPr>
            <w:tcW w:w="851" w:type="dxa"/>
            <w:tcBorders>
              <w:bottom w:val="nil"/>
            </w:tcBorders>
          </w:tcPr>
          <w:p w:rsidR="00C65079" w:rsidRPr="00DD2A86" w:rsidRDefault="00C65079" w:rsidP="00E44194">
            <w:pPr>
              <w:rPr>
                <w:bCs/>
                <w:lang w:val="de-DE"/>
              </w:rPr>
            </w:pPr>
            <w:r w:rsidRPr="00DD2A86">
              <w:rPr>
                <w:bCs/>
                <w:lang w:val="de-DE"/>
              </w:rPr>
              <w:t>9.1</w:t>
            </w:r>
          </w:p>
        </w:tc>
        <w:tc>
          <w:tcPr>
            <w:tcW w:w="6379" w:type="dxa"/>
            <w:gridSpan w:val="2"/>
            <w:tcBorders>
              <w:bottom w:val="nil"/>
            </w:tcBorders>
          </w:tcPr>
          <w:p w:rsidR="00C65079" w:rsidRPr="00DD2A86" w:rsidRDefault="00C65079" w:rsidP="00E44194">
            <w:pPr>
              <w:rPr>
                <w:lang w:val="de-DE"/>
              </w:rPr>
            </w:pPr>
            <w:r w:rsidRPr="00DD2A86">
              <w:rPr>
                <w:lang w:val="de-DE"/>
              </w:rPr>
              <w:t>Ist der Druck der bordeigenen Leitungen auf den zulässigen Betriebsdruck der Annahmestelle abgestimmt (Vereinbarter Druck __kPa)?</w:t>
            </w:r>
          </w:p>
        </w:tc>
        <w:tc>
          <w:tcPr>
            <w:tcW w:w="850" w:type="dxa"/>
            <w:gridSpan w:val="2"/>
            <w:tcBorders>
              <w:bottom w:val="nil"/>
            </w:tcBorders>
          </w:tcPr>
          <w:p w:rsidR="00C65079" w:rsidRPr="00DD2A86" w:rsidRDefault="00C65079" w:rsidP="00E44194">
            <w:pPr>
              <w:jc w:val="center"/>
              <w:rPr>
                <w:bCs/>
                <w:lang w:val="de-DE"/>
              </w:rPr>
            </w:pPr>
            <w:r w:rsidRPr="00DD2A86">
              <w:rPr>
                <w:bCs/>
                <w:lang w:val="de-DE"/>
              </w:rPr>
              <w:t>O</w:t>
            </w:r>
          </w:p>
        </w:tc>
        <w:tc>
          <w:tcPr>
            <w:tcW w:w="1276" w:type="dxa"/>
            <w:gridSpan w:val="2"/>
            <w:tcBorders>
              <w:bottom w:val="nil"/>
            </w:tcBorders>
          </w:tcPr>
          <w:p w:rsidR="00C65079" w:rsidRPr="00DD2A86" w:rsidRDefault="00C65079" w:rsidP="00E44194">
            <w:pPr>
              <w:jc w:val="center"/>
              <w:rPr>
                <w:bCs/>
                <w:lang w:val="de-DE"/>
              </w:rPr>
            </w:pPr>
            <w:r w:rsidRPr="00DD2A86">
              <w:rPr>
                <w:bCs/>
                <w:lang w:val="de-DE"/>
              </w:rPr>
              <w:t>–</w:t>
            </w:r>
          </w:p>
        </w:tc>
      </w:tr>
      <w:tr w:rsidR="00C65079" w:rsidRPr="00DD2A86" w:rsidTr="00E44194">
        <w:tc>
          <w:tcPr>
            <w:tcW w:w="851" w:type="dxa"/>
            <w:tcBorders>
              <w:top w:val="nil"/>
            </w:tcBorders>
          </w:tcPr>
          <w:p w:rsidR="00C65079" w:rsidRPr="00DD2A86" w:rsidRDefault="00C65079" w:rsidP="00E44194">
            <w:pPr>
              <w:rPr>
                <w:bCs/>
                <w:lang w:val="de-DE"/>
              </w:rPr>
            </w:pPr>
            <w:r w:rsidRPr="00DD2A86">
              <w:rPr>
                <w:bCs/>
                <w:lang w:val="de-DE"/>
              </w:rPr>
              <w:t>9.2</w:t>
            </w:r>
          </w:p>
        </w:tc>
        <w:tc>
          <w:tcPr>
            <w:tcW w:w="6379" w:type="dxa"/>
            <w:gridSpan w:val="2"/>
            <w:tcBorders>
              <w:top w:val="nil"/>
            </w:tcBorders>
          </w:tcPr>
          <w:p w:rsidR="00C65079" w:rsidRPr="00DD2A86" w:rsidRDefault="00C65079" w:rsidP="00E44194">
            <w:pPr>
              <w:rPr>
                <w:lang w:val="de-DE"/>
              </w:rPr>
            </w:pPr>
            <w:r w:rsidRPr="00DD2A86">
              <w:rPr>
                <w:lang w:val="de-DE"/>
              </w:rPr>
              <w:t xml:space="preserve">Ist der Druck der annahmestellenseitigen Leitungen auf den zulässigen Betriebsdruck der Bordanlage abgestimmt (Vereinbarter Druck __kPa)? </w:t>
            </w:r>
          </w:p>
        </w:tc>
        <w:tc>
          <w:tcPr>
            <w:tcW w:w="850" w:type="dxa"/>
            <w:gridSpan w:val="2"/>
            <w:tcBorders>
              <w:top w:val="nil"/>
            </w:tcBorders>
          </w:tcPr>
          <w:p w:rsidR="00C65079" w:rsidRPr="00DD2A86" w:rsidRDefault="00C65079" w:rsidP="00E44194">
            <w:pPr>
              <w:jc w:val="center"/>
              <w:rPr>
                <w:bCs/>
                <w:lang w:val="de-DE"/>
              </w:rPr>
            </w:pPr>
            <w:r w:rsidRPr="00DD2A86">
              <w:rPr>
                <w:bCs/>
                <w:lang w:val="de-DE"/>
              </w:rPr>
              <w:t>–</w:t>
            </w:r>
          </w:p>
        </w:tc>
        <w:tc>
          <w:tcPr>
            <w:tcW w:w="1276" w:type="dxa"/>
            <w:gridSpan w:val="2"/>
            <w:tcBorders>
              <w:top w:val="nil"/>
            </w:tcBorders>
          </w:tcPr>
          <w:p w:rsidR="00C65079" w:rsidRPr="00DD2A86" w:rsidRDefault="00C65079" w:rsidP="00E44194">
            <w:pPr>
              <w:jc w:val="center"/>
              <w:rPr>
                <w:bCs/>
                <w:lang w:val="de-DE"/>
              </w:rPr>
            </w:pPr>
            <w:r w:rsidRPr="00DD2A86">
              <w:rPr>
                <w:bCs/>
                <w:lang w:val="de-DE"/>
              </w:rPr>
              <w:t>O</w:t>
            </w:r>
          </w:p>
        </w:tc>
      </w:tr>
      <w:tr w:rsidR="00C65079" w:rsidRPr="00DD2A86" w:rsidTr="00E44194">
        <w:tc>
          <w:tcPr>
            <w:tcW w:w="851" w:type="dxa"/>
            <w:tcBorders>
              <w:bottom w:val="single" w:sz="4" w:space="0" w:color="auto"/>
            </w:tcBorders>
          </w:tcPr>
          <w:p w:rsidR="00C65079" w:rsidRPr="00DD2A86" w:rsidRDefault="00C65079" w:rsidP="00E44194">
            <w:pPr>
              <w:rPr>
                <w:bCs/>
                <w:lang w:val="de-DE"/>
              </w:rPr>
            </w:pPr>
            <w:r w:rsidRPr="00DD2A86">
              <w:rPr>
                <w:bCs/>
                <w:lang w:val="de-DE"/>
              </w:rPr>
              <w:t>10.</w:t>
            </w:r>
          </w:p>
        </w:tc>
        <w:tc>
          <w:tcPr>
            <w:tcW w:w="6379" w:type="dxa"/>
            <w:gridSpan w:val="2"/>
            <w:tcBorders>
              <w:bottom w:val="single" w:sz="4" w:space="0" w:color="auto"/>
            </w:tcBorders>
          </w:tcPr>
          <w:p w:rsidR="00C65079" w:rsidRPr="00DD2A86" w:rsidRDefault="00C65079" w:rsidP="00E44194">
            <w:pPr>
              <w:rPr>
                <w:lang w:val="de-DE"/>
              </w:rPr>
            </w:pPr>
            <w:r w:rsidRPr="00DD2A86">
              <w:rPr>
                <w:lang w:val="de-DE"/>
              </w:rPr>
              <w:t>Sind die Tankluken, Sicht-, Peil- und Probeentnahmeöffnungen der Ladetanks geschlossen oder gegebenenfalls durch in gutem Zustand befindliche Flammendurchschlagsicherungen gesichert?</w:t>
            </w:r>
          </w:p>
        </w:tc>
        <w:tc>
          <w:tcPr>
            <w:tcW w:w="850" w:type="dxa"/>
            <w:gridSpan w:val="2"/>
            <w:tcBorders>
              <w:bottom w:val="single" w:sz="4" w:space="0" w:color="auto"/>
            </w:tcBorders>
          </w:tcPr>
          <w:p w:rsidR="00C65079" w:rsidRPr="00DD2A86" w:rsidRDefault="00C65079" w:rsidP="00E44194">
            <w:pPr>
              <w:jc w:val="center"/>
              <w:rPr>
                <w:bCs/>
                <w:lang w:val="de-DE"/>
              </w:rPr>
            </w:pPr>
            <w:r w:rsidRPr="00DD2A86">
              <w:rPr>
                <w:bCs/>
                <w:lang w:val="de-DE"/>
              </w:rPr>
              <w:t>O</w:t>
            </w:r>
          </w:p>
        </w:tc>
        <w:tc>
          <w:tcPr>
            <w:tcW w:w="1276" w:type="dxa"/>
            <w:gridSpan w:val="2"/>
            <w:tcBorders>
              <w:bottom w:val="single" w:sz="4" w:space="0" w:color="auto"/>
            </w:tcBorders>
          </w:tcPr>
          <w:p w:rsidR="00C65079" w:rsidRPr="00DD2A86" w:rsidRDefault="00C65079" w:rsidP="00E44194">
            <w:pPr>
              <w:jc w:val="center"/>
              <w:rPr>
                <w:bCs/>
                <w:lang w:val="de-DE"/>
              </w:rPr>
            </w:pPr>
            <w:r w:rsidRPr="00DD2A86">
              <w:rPr>
                <w:bCs/>
                <w:lang w:val="de-DE"/>
              </w:rPr>
              <w:t>–</w:t>
            </w:r>
          </w:p>
        </w:tc>
      </w:tr>
      <w:tr w:rsidR="00C65079" w:rsidRPr="00DD2A86" w:rsidTr="00E44194">
        <w:tc>
          <w:tcPr>
            <w:tcW w:w="4678" w:type="dxa"/>
            <w:gridSpan w:val="2"/>
            <w:tcBorders>
              <w:bottom w:val="nil"/>
            </w:tcBorders>
          </w:tcPr>
          <w:p w:rsidR="00C65079" w:rsidRPr="00DD2A86" w:rsidRDefault="00C65079" w:rsidP="00E44194">
            <w:pPr>
              <w:spacing w:before="60" w:after="60"/>
              <w:rPr>
                <w:bCs/>
                <w:lang w:val="de-DE"/>
              </w:rPr>
            </w:pPr>
            <w:r w:rsidRPr="00DD2A86">
              <w:rPr>
                <w:lang w:val="de-DE"/>
              </w:rPr>
              <w:t>Geprüft, ausgefüllt und unterzeichnet</w:t>
            </w:r>
          </w:p>
        </w:tc>
        <w:tc>
          <w:tcPr>
            <w:tcW w:w="4678" w:type="dxa"/>
            <w:gridSpan w:val="5"/>
            <w:tcBorders>
              <w:bottom w:val="nil"/>
            </w:tcBorders>
          </w:tcPr>
          <w:p w:rsidR="00C65079" w:rsidRPr="00DD2A86" w:rsidRDefault="00C65079" w:rsidP="00E44194">
            <w:pPr>
              <w:spacing w:before="60" w:after="60"/>
              <w:rPr>
                <w:bCs/>
                <w:lang w:val="de-DE"/>
              </w:rPr>
            </w:pPr>
          </w:p>
        </w:tc>
      </w:tr>
      <w:tr w:rsidR="00C65079" w:rsidRPr="00DD2A86" w:rsidTr="00E44194">
        <w:tc>
          <w:tcPr>
            <w:tcW w:w="4678" w:type="dxa"/>
            <w:gridSpan w:val="2"/>
            <w:tcBorders>
              <w:top w:val="nil"/>
              <w:bottom w:val="nil"/>
            </w:tcBorders>
          </w:tcPr>
          <w:p w:rsidR="00C65079" w:rsidRPr="00DD2A86" w:rsidRDefault="00C65079" w:rsidP="00E44194">
            <w:pPr>
              <w:spacing w:before="60" w:after="60"/>
              <w:rPr>
                <w:bCs/>
                <w:lang w:val="de-DE"/>
              </w:rPr>
            </w:pPr>
            <w:r w:rsidRPr="00DD2A86">
              <w:rPr>
                <w:lang w:val="de-DE"/>
              </w:rPr>
              <w:t>für das Schiff:</w:t>
            </w:r>
          </w:p>
        </w:tc>
        <w:tc>
          <w:tcPr>
            <w:tcW w:w="4678" w:type="dxa"/>
            <w:gridSpan w:val="5"/>
            <w:tcBorders>
              <w:top w:val="nil"/>
              <w:bottom w:val="nil"/>
            </w:tcBorders>
          </w:tcPr>
          <w:p w:rsidR="00C65079" w:rsidRPr="00DD2A86" w:rsidRDefault="00C65079" w:rsidP="00E44194">
            <w:pPr>
              <w:spacing w:before="60" w:after="60"/>
              <w:rPr>
                <w:bCs/>
                <w:lang w:val="de-DE"/>
              </w:rPr>
            </w:pPr>
            <w:r w:rsidRPr="00DD2A86">
              <w:rPr>
                <w:bCs/>
                <w:lang w:val="de-DE"/>
              </w:rPr>
              <w:t>für die Annahmestelle:</w:t>
            </w:r>
          </w:p>
        </w:tc>
      </w:tr>
      <w:tr w:rsidR="00C65079" w:rsidRPr="00DD2A86" w:rsidTr="00E44194">
        <w:tc>
          <w:tcPr>
            <w:tcW w:w="4678" w:type="dxa"/>
            <w:gridSpan w:val="2"/>
            <w:tcBorders>
              <w:top w:val="nil"/>
              <w:bottom w:val="nil"/>
            </w:tcBorders>
          </w:tcPr>
          <w:p w:rsidR="00C65079" w:rsidRPr="00DD2A86" w:rsidRDefault="00C65079" w:rsidP="00E44194">
            <w:pPr>
              <w:tabs>
                <w:tab w:val="right" w:leader="dot" w:pos="4428"/>
              </w:tabs>
              <w:spacing w:before="60" w:after="60"/>
              <w:rPr>
                <w:bCs/>
                <w:lang w:val="de-DE"/>
              </w:rPr>
            </w:pPr>
            <w:r w:rsidRPr="00DD2A86">
              <w:rPr>
                <w:lang w:val="de-DE"/>
              </w:rPr>
              <w:tab/>
            </w:r>
          </w:p>
        </w:tc>
        <w:tc>
          <w:tcPr>
            <w:tcW w:w="4678" w:type="dxa"/>
            <w:gridSpan w:val="5"/>
            <w:tcBorders>
              <w:top w:val="nil"/>
              <w:bottom w:val="nil"/>
            </w:tcBorders>
          </w:tcPr>
          <w:p w:rsidR="00C65079" w:rsidRPr="00DD2A86" w:rsidRDefault="00C65079" w:rsidP="00E44194">
            <w:pPr>
              <w:tabs>
                <w:tab w:val="right" w:leader="dot" w:pos="4428"/>
              </w:tabs>
              <w:spacing w:before="60" w:after="60"/>
              <w:rPr>
                <w:bCs/>
                <w:lang w:val="de-DE"/>
              </w:rPr>
            </w:pPr>
            <w:r w:rsidRPr="00DD2A86">
              <w:rPr>
                <w:bCs/>
                <w:lang w:val="de-DE"/>
              </w:rPr>
              <w:tab/>
            </w:r>
          </w:p>
        </w:tc>
      </w:tr>
      <w:tr w:rsidR="00C65079" w:rsidRPr="00DD2A86" w:rsidTr="00E44194">
        <w:tc>
          <w:tcPr>
            <w:tcW w:w="4678" w:type="dxa"/>
            <w:gridSpan w:val="2"/>
            <w:tcBorders>
              <w:top w:val="nil"/>
              <w:bottom w:val="nil"/>
            </w:tcBorders>
          </w:tcPr>
          <w:p w:rsidR="00C65079" w:rsidRPr="00DD2A86" w:rsidRDefault="00C65079" w:rsidP="00E44194">
            <w:pPr>
              <w:spacing w:before="60" w:after="60"/>
              <w:rPr>
                <w:bCs/>
                <w:lang w:val="de-DE"/>
              </w:rPr>
            </w:pPr>
            <w:r w:rsidRPr="00DD2A86">
              <w:rPr>
                <w:lang w:val="de-DE"/>
              </w:rPr>
              <w:t>Name (in Großbuchstaben)</w:t>
            </w:r>
          </w:p>
        </w:tc>
        <w:tc>
          <w:tcPr>
            <w:tcW w:w="4678" w:type="dxa"/>
            <w:gridSpan w:val="5"/>
            <w:tcBorders>
              <w:top w:val="nil"/>
              <w:bottom w:val="nil"/>
            </w:tcBorders>
          </w:tcPr>
          <w:p w:rsidR="00C65079" w:rsidRPr="00DD2A86" w:rsidRDefault="00C65079" w:rsidP="00E44194">
            <w:pPr>
              <w:spacing w:before="60" w:after="60"/>
              <w:rPr>
                <w:bCs/>
                <w:lang w:val="de-DE"/>
              </w:rPr>
            </w:pPr>
            <w:r w:rsidRPr="00DD2A86">
              <w:rPr>
                <w:lang w:val="de-DE"/>
              </w:rPr>
              <w:t>Name (in Großbuchstaben)</w:t>
            </w:r>
          </w:p>
        </w:tc>
      </w:tr>
      <w:tr w:rsidR="00C65079" w:rsidRPr="00DD2A86" w:rsidTr="00E44194">
        <w:tc>
          <w:tcPr>
            <w:tcW w:w="4678" w:type="dxa"/>
            <w:gridSpan w:val="2"/>
            <w:tcBorders>
              <w:top w:val="nil"/>
              <w:bottom w:val="nil"/>
            </w:tcBorders>
          </w:tcPr>
          <w:p w:rsidR="00C65079" w:rsidRPr="00DD2A86" w:rsidRDefault="00C65079" w:rsidP="00E44194">
            <w:pPr>
              <w:tabs>
                <w:tab w:val="right" w:leader="dot" w:pos="4428"/>
              </w:tabs>
              <w:spacing w:before="60" w:after="60"/>
              <w:rPr>
                <w:bCs/>
                <w:lang w:val="de-DE"/>
              </w:rPr>
            </w:pPr>
            <w:r w:rsidRPr="00DD2A86">
              <w:rPr>
                <w:bCs/>
                <w:lang w:val="de-DE"/>
              </w:rPr>
              <w:tab/>
            </w:r>
          </w:p>
        </w:tc>
        <w:tc>
          <w:tcPr>
            <w:tcW w:w="4678" w:type="dxa"/>
            <w:gridSpan w:val="5"/>
            <w:tcBorders>
              <w:top w:val="nil"/>
              <w:bottom w:val="nil"/>
            </w:tcBorders>
          </w:tcPr>
          <w:p w:rsidR="00C65079" w:rsidRPr="00DD2A86" w:rsidRDefault="00C65079" w:rsidP="00E44194">
            <w:pPr>
              <w:tabs>
                <w:tab w:val="right" w:leader="dot" w:pos="4428"/>
              </w:tabs>
              <w:spacing w:before="60" w:after="60"/>
              <w:rPr>
                <w:bCs/>
                <w:lang w:val="de-DE"/>
              </w:rPr>
            </w:pPr>
            <w:r w:rsidRPr="00DD2A86">
              <w:rPr>
                <w:bCs/>
                <w:lang w:val="de-DE"/>
              </w:rPr>
              <w:tab/>
            </w:r>
          </w:p>
        </w:tc>
      </w:tr>
      <w:tr w:rsidR="00C65079" w:rsidRPr="00DD2A86" w:rsidTr="00E44194">
        <w:tc>
          <w:tcPr>
            <w:tcW w:w="4678" w:type="dxa"/>
            <w:gridSpan w:val="2"/>
            <w:tcBorders>
              <w:top w:val="nil"/>
              <w:bottom w:val="single" w:sz="4" w:space="0" w:color="auto"/>
            </w:tcBorders>
          </w:tcPr>
          <w:p w:rsidR="00C65079" w:rsidRPr="00DD2A86" w:rsidRDefault="00C65079" w:rsidP="00E44194">
            <w:pPr>
              <w:spacing w:before="60" w:after="60"/>
              <w:rPr>
                <w:bCs/>
                <w:lang w:val="de-DE"/>
              </w:rPr>
            </w:pPr>
            <w:r w:rsidRPr="00DD2A86">
              <w:rPr>
                <w:lang w:val="de-DE"/>
              </w:rPr>
              <w:t>(Unterschrift)</w:t>
            </w:r>
          </w:p>
        </w:tc>
        <w:tc>
          <w:tcPr>
            <w:tcW w:w="4678" w:type="dxa"/>
            <w:gridSpan w:val="5"/>
            <w:tcBorders>
              <w:top w:val="nil"/>
              <w:bottom w:val="single" w:sz="4" w:space="0" w:color="auto"/>
            </w:tcBorders>
          </w:tcPr>
          <w:p w:rsidR="00C65079" w:rsidRPr="00DD2A86" w:rsidRDefault="00C65079" w:rsidP="00E44194">
            <w:pPr>
              <w:spacing w:before="60" w:after="60"/>
              <w:rPr>
                <w:bCs/>
                <w:lang w:val="de-DE"/>
              </w:rPr>
            </w:pPr>
            <w:r w:rsidRPr="00DD2A86">
              <w:rPr>
                <w:lang w:val="de-DE"/>
              </w:rPr>
              <w:t>(Unterschrift)</w:t>
            </w:r>
          </w:p>
        </w:tc>
      </w:tr>
    </w:tbl>
    <w:p w:rsidR="00C65079" w:rsidRPr="00DD2A86" w:rsidRDefault="00C65079" w:rsidP="00C65079">
      <w:pPr>
        <w:spacing w:line="14" w:lineRule="auto"/>
        <w:rPr>
          <w:bCs/>
          <w:lang w:val="de-DE"/>
        </w:rPr>
      </w:pPr>
      <w:r w:rsidRPr="00DD2A86">
        <w:rPr>
          <w:lang w:val="de-DE"/>
        </w:rPr>
        <w:br w:type="page"/>
      </w:r>
    </w:p>
    <w:p w:rsidR="00C65079" w:rsidRPr="00DD2A86" w:rsidRDefault="00C65079" w:rsidP="00C65079">
      <w:pPr>
        <w:keepNext/>
        <w:keepLines/>
        <w:tabs>
          <w:tab w:val="right" w:pos="851"/>
        </w:tabs>
        <w:spacing w:before="120" w:after="120"/>
        <w:ind w:left="1134" w:right="1134" w:hanging="1134"/>
        <w:rPr>
          <w:b/>
          <w:lang w:val="de-DE"/>
        </w:rPr>
      </w:pPr>
      <w:r w:rsidRPr="00DD2A86">
        <w:rPr>
          <w:b/>
          <w:lang w:val="de-DE"/>
        </w:rPr>
        <w:tab/>
      </w:r>
      <w:r w:rsidRPr="00DD2A86">
        <w:rPr>
          <w:b/>
          <w:lang w:val="de-DE"/>
        </w:rPr>
        <w:tab/>
        <w:t>Erklärung</w:t>
      </w:r>
    </w:p>
    <w:p w:rsidR="00C65079" w:rsidRPr="00DD2A86" w:rsidRDefault="00C65079" w:rsidP="00C65079">
      <w:pPr>
        <w:keepNext/>
        <w:keepLines/>
        <w:tabs>
          <w:tab w:val="right" w:pos="851"/>
        </w:tabs>
        <w:spacing w:before="120" w:after="120"/>
        <w:ind w:left="1134" w:right="1134" w:hanging="1134"/>
        <w:rPr>
          <w:b/>
          <w:lang w:val="de-DE"/>
        </w:rPr>
      </w:pPr>
      <w:r w:rsidRPr="00DD2A86">
        <w:rPr>
          <w:b/>
          <w:lang w:val="de-DE"/>
        </w:rPr>
        <w:tab/>
      </w:r>
      <w:r w:rsidRPr="00DD2A86">
        <w:rPr>
          <w:b/>
          <w:lang w:val="de-DE"/>
        </w:rPr>
        <w:tab/>
        <w:t>Frage 1:</w:t>
      </w:r>
    </w:p>
    <w:p w:rsidR="00C65079" w:rsidRPr="00DD2A86" w:rsidRDefault="00C65079" w:rsidP="00C65079">
      <w:pPr>
        <w:widowControl w:val="0"/>
        <w:suppressAutoHyphens w:val="0"/>
        <w:overflowPunct w:val="0"/>
        <w:autoSpaceDE w:val="0"/>
        <w:autoSpaceDN w:val="0"/>
        <w:adjustRightInd w:val="0"/>
        <w:spacing w:before="120" w:after="120"/>
        <w:ind w:left="1134" w:right="1134"/>
        <w:jc w:val="both"/>
        <w:textAlignment w:val="baseline"/>
        <w:rPr>
          <w:rFonts w:eastAsia="SimSun"/>
          <w:lang w:val="de-DE" w:eastAsia="zh-CN"/>
        </w:rPr>
      </w:pPr>
      <w:r w:rsidRPr="00DD2A86">
        <w:rPr>
          <w:rFonts w:eastAsia="SimSun"/>
          <w:lang w:val="de-DE" w:eastAsia="zh-CN"/>
        </w:rPr>
        <w:t>Unter „gut festgemacht“ wird verstanden, dass das Schiff derartig an der Landungsbrücke bzw. an der Annahmestelle befestigt ist, dass es ohne übergebührliche Einwirkung Dritter in keiner Richtung eine Bewegung ausführen kann, die den Entgasungsvorgang behindern könnte. Dabei ist den an dieser Örtlichkeit gegebenen bzw. voraussehbaren Wasserspiegelschwankungen und Besonderheiten Rechnung zu tragen.</w:t>
      </w:r>
    </w:p>
    <w:p w:rsidR="00C65079" w:rsidRPr="00DD2A86" w:rsidRDefault="00C65079" w:rsidP="00C65079">
      <w:pPr>
        <w:spacing w:before="120" w:after="120"/>
        <w:ind w:left="1134" w:right="1134"/>
        <w:jc w:val="both"/>
        <w:rPr>
          <w:b/>
          <w:lang w:val="de-DE"/>
        </w:rPr>
      </w:pPr>
      <w:r w:rsidRPr="00DD2A86">
        <w:rPr>
          <w:b/>
          <w:lang w:val="de-DE"/>
        </w:rPr>
        <w:t>Frage 2:</w:t>
      </w:r>
    </w:p>
    <w:p w:rsidR="00C65079" w:rsidRPr="00DD2A86" w:rsidRDefault="00C65079" w:rsidP="00C65079">
      <w:pPr>
        <w:spacing w:before="120" w:after="120"/>
        <w:ind w:left="1134" w:right="1134"/>
        <w:jc w:val="both"/>
        <w:rPr>
          <w:rFonts w:eastAsia="SimSun"/>
          <w:lang w:val="de-DE" w:eastAsia="zh-CN"/>
        </w:rPr>
      </w:pPr>
      <w:r w:rsidRPr="00DD2A86">
        <w:rPr>
          <w:rFonts w:eastAsia="SimSun"/>
          <w:lang w:val="de-DE" w:eastAsia="zh-CN"/>
        </w:rPr>
        <w:t xml:space="preserve">Das Material der Leitungen muss den vorgesehenen Raten widerstehen können und zum Entgasen geeignet sein. Die Leitungen zwischen Schiff und Annahmestelle müssen so angebracht sein, dass sie durch die üblichen Schiffsbewegungen während des Entgasungsvorgangs sowie infolge Wasserspiegeländerungen nicht beschädigt werden können. </w:t>
      </w:r>
    </w:p>
    <w:p w:rsidR="00C65079" w:rsidRPr="00DD2A86" w:rsidRDefault="00C65079" w:rsidP="00C65079">
      <w:pPr>
        <w:keepNext/>
        <w:keepLines/>
        <w:tabs>
          <w:tab w:val="right" w:pos="851"/>
        </w:tabs>
        <w:spacing w:before="120" w:after="120"/>
        <w:ind w:left="1134" w:right="1134" w:hanging="1134"/>
        <w:rPr>
          <w:b/>
          <w:lang w:val="de-DE"/>
        </w:rPr>
      </w:pPr>
      <w:r w:rsidRPr="00DD2A86">
        <w:rPr>
          <w:b/>
          <w:lang w:val="de-DE"/>
        </w:rPr>
        <w:tab/>
      </w:r>
      <w:r w:rsidRPr="00DD2A86">
        <w:rPr>
          <w:b/>
          <w:lang w:val="de-DE"/>
        </w:rPr>
        <w:tab/>
        <w:t>Frage 4:</w:t>
      </w:r>
    </w:p>
    <w:p w:rsidR="00C65079" w:rsidRPr="00DD2A86" w:rsidRDefault="00C65079" w:rsidP="00C65079">
      <w:pPr>
        <w:widowControl w:val="0"/>
        <w:suppressAutoHyphens w:val="0"/>
        <w:overflowPunct w:val="0"/>
        <w:autoSpaceDE w:val="0"/>
        <w:autoSpaceDN w:val="0"/>
        <w:adjustRightInd w:val="0"/>
        <w:spacing w:before="120" w:after="120"/>
        <w:ind w:left="1134" w:right="1134"/>
        <w:jc w:val="both"/>
        <w:textAlignment w:val="baseline"/>
        <w:rPr>
          <w:rFonts w:eastAsia="SimSun"/>
          <w:lang w:val="de-DE" w:eastAsia="zh-CN"/>
        </w:rPr>
      </w:pPr>
      <w:r w:rsidRPr="00DD2A86">
        <w:rPr>
          <w:rFonts w:eastAsia="SimSun"/>
          <w:lang w:val="de-DE" w:eastAsia="zh-CN"/>
        </w:rPr>
        <w:t>Das Entgasen muss an Bord und an der Annahmestelle derart beaufsichtigt werden, dass im Bereich der Leitungen zwischen Schiff und Annahmestelle auftretende Gefahren sofort erkannt werden können. Wenn die Überwachung mit technischen Hilfsmitteln ausgeführt wird, muss zwischen der Annahmestelle und dem Schiff vereinbart werden, in welcher Weise die Überwachung gesichert ist.</w:t>
      </w:r>
    </w:p>
    <w:p w:rsidR="00C65079" w:rsidRPr="00DD2A86" w:rsidRDefault="00C65079" w:rsidP="00C65079">
      <w:pPr>
        <w:keepNext/>
        <w:keepLines/>
        <w:tabs>
          <w:tab w:val="right" w:pos="851"/>
        </w:tabs>
        <w:spacing w:before="120" w:after="120"/>
        <w:ind w:left="1134" w:right="1134" w:hanging="1134"/>
        <w:rPr>
          <w:b/>
          <w:lang w:val="de-DE"/>
        </w:rPr>
      </w:pPr>
      <w:r w:rsidRPr="00DD2A86">
        <w:rPr>
          <w:b/>
          <w:lang w:val="de-DE"/>
        </w:rPr>
        <w:tab/>
      </w:r>
      <w:r w:rsidRPr="00DD2A86">
        <w:rPr>
          <w:b/>
          <w:lang w:val="de-DE"/>
        </w:rPr>
        <w:tab/>
        <w:t>Frage 5:</w:t>
      </w:r>
    </w:p>
    <w:p w:rsidR="00C65079" w:rsidRPr="00DD2A86" w:rsidRDefault="00C65079" w:rsidP="00C65079">
      <w:pPr>
        <w:widowControl w:val="0"/>
        <w:suppressAutoHyphens w:val="0"/>
        <w:overflowPunct w:val="0"/>
        <w:autoSpaceDE w:val="0"/>
        <w:autoSpaceDN w:val="0"/>
        <w:adjustRightInd w:val="0"/>
        <w:spacing w:before="120" w:after="120"/>
        <w:ind w:left="1134" w:right="1134"/>
        <w:jc w:val="both"/>
        <w:textAlignment w:val="baseline"/>
        <w:rPr>
          <w:rFonts w:eastAsia="SimSun"/>
          <w:lang w:val="de-DE" w:eastAsia="zh-CN"/>
        </w:rPr>
      </w:pPr>
      <w:r w:rsidRPr="00DD2A86">
        <w:rPr>
          <w:rFonts w:eastAsia="SimSun"/>
          <w:lang w:val="de-DE" w:eastAsia="zh-CN"/>
        </w:rPr>
        <w:t>Für einen sicheren Entgasungsvorgang ist eine gute Verständigung zwischen Schiff und Land erforderlich. Zu diesem Zweck dürfen Telefon- und Funkgeräte nur verwendet werden, wenn sie explosionsgeschützt und in Reichweite der Aufsichtsperson angeordnet sind.</w:t>
      </w:r>
    </w:p>
    <w:p w:rsidR="00C65079" w:rsidRPr="00DD2A86" w:rsidRDefault="00C65079" w:rsidP="00C65079">
      <w:pPr>
        <w:keepNext/>
        <w:keepLines/>
        <w:tabs>
          <w:tab w:val="right" w:pos="851"/>
        </w:tabs>
        <w:spacing w:before="120" w:after="120"/>
        <w:ind w:left="1134" w:right="1134" w:hanging="1134"/>
        <w:rPr>
          <w:b/>
          <w:lang w:val="de-DE"/>
        </w:rPr>
      </w:pPr>
      <w:r w:rsidRPr="00DD2A86">
        <w:rPr>
          <w:b/>
          <w:lang w:val="de-DE"/>
        </w:rPr>
        <w:tab/>
      </w:r>
      <w:r w:rsidRPr="00DD2A86">
        <w:rPr>
          <w:b/>
          <w:lang w:val="de-DE"/>
        </w:rPr>
        <w:tab/>
        <w:t>Frage 7:</w:t>
      </w:r>
    </w:p>
    <w:p w:rsidR="00C65079" w:rsidRPr="00DD2A86" w:rsidRDefault="00C65079" w:rsidP="00C65079">
      <w:pPr>
        <w:widowControl w:val="0"/>
        <w:suppressAutoHyphens w:val="0"/>
        <w:overflowPunct w:val="0"/>
        <w:autoSpaceDE w:val="0"/>
        <w:autoSpaceDN w:val="0"/>
        <w:adjustRightInd w:val="0"/>
        <w:spacing w:before="120" w:after="120"/>
        <w:ind w:left="1134" w:right="1134"/>
        <w:jc w:val="both"/>
        <w:textAlignment w:val="baseline"/>
        <w:rPr>
          <w:rFonts w:eastAsia="SimSun"/>
          <w:lang w:val="de-DE" w:eastAsia="zh-CN"/>
        </w:rPr>
      </w:pPr>
      <w:r w:rsidRPr="00DD2A86">
        <w:rPr>
          <w:rFonts w:eastAsia="SimSun"/>
          <w:lang w:val="de-DE" w:eastAsia="zh-CN"/>
        </w:rPr>
        <w:t>Vor Beginn des Entgasungsvorgangs müssen sich der Vertreter der Annahmestelle und der Schiffsführer oder die von ihm beauftragte Person an Bord über die anzuwendenden Verfahren einigen. Den besonderen Eigenschaften der zu entgasenden Stoffe ist Rechnung zu tragen.“.</w:t>
      </w:r>
    </w:p>
    <w:p w:rsidR="00C65079" w:rsidRPr="00DD2A86" w:rsidRDefault="00C65079" w:rsidP="00B61A90">
      <w:pPr>
        <w:keepNext/>
        <w:keepLines/>
        <w:tabs>
          <w:tab w:val="right" w:pos="851"/>
        </w:tabs>
        <w:spacing w:before="360" w:after="240" w:line="270" w:lineRule="exact"/>
        <w:ind w:left="1134" w:right="521" w:hanging="1134"/>
        <w:rPr>
          <w:b/>
          <w:sz w:val="24"/>
          <w:lang w:val="de-DE"/>
        </w:rPr>
      </w:pPr>
    </w:p>
    <w:p w:rsidR="00F25C8A" w:rsidRPr="00DD2A86" w:rsidRDefault="00F25C8A" w:rsidP="0049020F">
      <w:pPr>
        <w:keepNext/>
        <w:keepLines/>
        <w:tabs>
          <w:tab w:val="right" w:pos="851"/>
        </w:tabs>
        <w:spacing w:before="360" w:after="240" w:line="270" w:lineRule="exact"/>
        <w:ind w:left="1134" w:right="1134" w:hanging="1134"/>
        <w:rPr>
          <w:b/>
          <w:sz w:val="24"/>
          <w:lang w:val="de-DE"/>
        </w:rPr>
      </w:pPr>
      <w:r w:rsidRPr="00DD2A86">
        <w:rPr>
          <w:b/>
          <w:sz w:val="24"/>
          <w:lang w:val="de-DE"/>
        </w:rPr>
        <w:t>Kapitel 9.1</w:t>
      </w:r>
    </w:p>
    <w:p w:rsidR="00F25C8A" w:rsidRPr="00DD2A86" w:rsidRDefault="00F25C8A" w:rsidP="0049020F">
      <w:pPr>
        <w:tabs>
          <w:tab w:val="left" w:pos="2268"/>
        </w:tabs>
        <w:spacing w:line="240" w:lineRule="auto"/>
        <w:ind w:left="1134" w:right="1134"/>
        <w:jc w:val="both"/>
        <w:rPr>
          <w:rFonts w:eastAsia="Calibri"/>
          <w:lang w:val="de-DE"/>
        </w:rPr>
      </w:pPr>
      <w:r w:rsidRPr="00DD2A86">
        <w:rPr>
          <w:rFonts w:eastAsia="Calibri"/>
          <w:lang w:val="de-DE"/>
        </w:rPr>
        <w:t>9.1.0.12.1</w:t>
      </w:r>
      <w:r w:rsidRPr="00DD2A86">
        <w:rPr>
          <w:rFonts w:eastAsia="Calibri"/>
          <w:lang w:val="de-DE"/>
        </w:rPr>
        <w:tab/>
        <w:t>Den dritten Satz streichen: „Der Ventilator muss so ausgeführt sein, dass Funkenbildung bei Berührung eines Flügels mit dem Ventilatorgehäuse sowie elektrostatische Aufladung ausgeschlossen sind.“.</w:t>
      </w:r>
    </w:p>
    <w:p w:rsidR="00C3284B" w:rsidRPr="00DD2A86" w:rsidRDefault="00C3284B" w:rsidP="0049020F">
      <w:pPr>
        <w:tabs>
          <w:tab w:val="left" w:pos="2268"/>
          <w:tab w:val="left" w:pos="2835"/>
        </w:tabs>
        <w:spacing w:before="240" w:line="240" w:lineRule="auto"/>
        <w:ind w:left="1134" w:right="1134"/>
        <w:jc w:val="both"/>
        <w:rPr>
          <w:rFonts w:eastAsia="Calibri"/>
          <w:lang w:val="de-DE"/>
        </w:rPr>
      </w:pPr>
      <w:r w:rsidRPr="00DD2A86">
        <w:rPr>
          <w:rFonts w:eastAsia="Calibri"/>
          <w:lang w:val="de-DE"/>
        </w:rPr>
        <w:t>9.1.0.12.3</w:t>
      </w:r>
      <w:r w:rsidRPr="00DD2A86">
        <w:rPr>
          <w:rFonts w:eastAsia="Calibri"/>
          <w:lang w:val="de-DE"/>
        </w:rPr>
        <w:tab/>
        <w:t>Erhält folgenden Wortlaut:</w:t>
      </w:r>
    </w:p>
    <w:p w:rsidR="00C3284B" w:rsidRPr="00DD2A86" w:rsidRDefault="00C3284B" w:rsidP="0049020F">
      <w:pPr>
        <w:spacing w:before="120" w:line="240" w:lineRule="auto"/>
        <w:ind w:left="2552" w:right="1134" w:hanging="284"/>
        <w:rPr>
          <w:rFonts w:eastAsia="Calibri"/>
          <w:lang w:val="de-DE"/>
        </w:rPr>
      </w:pPr>
      <w:r w:rsidRPr="00DD2A86">
        <w:rPr>
          <w:rFonts w:eastAsia="Calibri"/>
          <w:lang w:val="de-DE"/>
        </w:rPr>
        <w:t>„a)</w:t>
      </w:r>
      <w:r w:rsidRPr="00DD2A86">
        <w:rPr>
          <w:rFonts w:eastAsia="Calibri"/>
          <w:lang w:val="de-DE"/>
        </w:rPr>
        <w:tab/>
        <w:t>Wohnungen, Steuerhaus und Betriebsräume müssen belüftet werden können.</w:t>
      </w:r>
    </w:p>
    <w:p w:rsidR="00C3284B" w:rsidRPr="00DD2A86" w:rsidRDefault="00C3284B" w:rsidP="0049020F">
      <w:pPr>
        <w:suppressAutoHyphens w:val="0"/>
        <w:autoSpaceDE w:val="0"/>
        <w:autoSpaceDN w:val="0"/>
        <w:adjustRightInd w:val="0"/>
        <w:spacing w:line="240" w:lineRule="auto"/>
        <w:ind w:left="2552" w:right="1134" w:hanging="284"/>
        <w:jc w:val="both"/>
        <w:rPr>
          <w:rFonts w:eastAsia="Calibri"/>
          <w:lang w:val="de-DE"/>
        </w:rPr>
      </w:pPr>
      <w:r w:rsidRPr="00DD2A86">
        <w:rPr>
          <w:rFonts w:eastAsia="Calibri"/>
          <w:lang w:val="de-DE"/>
        </w:rPr>
        <w:t>b)</w:t>
      </w:r>
      <w:r w:rsidRPr="00DD2A86">
        <w:rPr>
          <w:rFonts w:eastAsia="Calibri"/>
          <w:lang w:val="de-DE"/>
        </w:rPr>
        <w:tab/>
        <w:t>Das Lüftungssystem in diesen Räumen muss nachfolgende Anforderungen erfüllen:</w:t>
      </w:r>
    </w:p>
    <w:p w:rsidR="00C3284B" w:rsidRPr="00DD2A86" w:rsidRDefault="00C3284B" w:rsidP="0049020F">
      <w:pPr>
        <w:tabs>
          <w:tab w:val="left" w:pos="2552"/>
        </w:tabs>
        <w:suppressAutoHyphens w:val="0"/>
        <w:autoSpaceDE w:val="0"/>
        <w:autoSpaceDN w:val="0"/>
        <w:adjustRightInd w:val="0"/>
        <w:spacing w:line="240" w:lineRule="auto"/>
        <w:ind w:left="3119" w:right="1134" w:hanging="567"/>
        <w:contextualSpacing/>
        <w:jc w:val="both"/>
        <w:rPr>
          <w:rFonts w:eastAsia="Calibri"/>
          <w:lang w:val="de-DE"/>
        </w:rPr>
      </w:pPr>
      <w:r w:rsidRPr="00DD2A86">
        <w:rPr>
          <w:rFonts w:eastAsia="Calibri"/>
          <w:lang w:val="de-DE"/>
        </w:rPr>
        <w:t>(i)</w:t>
      </w:r>
      <w:r w:rsidRPr="00DD2A86">
        <w:rPr>
          <w:rFonts w:eastAsia="Calibri"/>
          <w:lang w:val="de-DE"/>
        </w:rPr>
        <w:tab/>
        <w:t>Die Ansaugöffnungen sind so weit wie möglich, mindestens jedoch 6 m vom geschützten Bereich entfernt und mindestens 2 m über Deck angeordnet</w:t>
      </w:r>
      <w:r w:rsidR="00454F86" w:rsidRPr="00DD2A86">
        <w:rPr>
          <w:rFonts w:eastAsia="Calibri"/>
          <w:lang w:val="de-DE"/>
        </w:rPr>
        <w:t>;</w:t>
      </w:r>
    </w:p>
    <w:p w:rsidR="00C3284B" w:rsidRPr="00DD2A86" w:rsidRDefault="00C3284B" w:rsidP="0049020F">
      <w:pPr>
        <w:tabs>
          <w:tab w:val="left" w:pos="2552"/>
        </w:tabs>
        <w:suppressAutoHyphens w:val="0"/>
        <w:autoSpaceDE w:val="0"/>
        <w:autoSpaceDN w:val="0"/>
        <w:adjustRightInd w:val="0"/>
        <w:spacing w:line="240" w:lineRule="auto"/>
        <w:ind w:left="3119" w:right="1134" w:hanging="567"/>
        <w:contextualSpacing/>
        <w:jc w:val="both"/>
        <w:rPr>
          <w:rFonts w:eastAsia="Calibri"/>
          <w:lang w:val="de-DE"/>
        </w:rPr>
      </w:pPr>
      <w:r w:rsidRPr="00DD2A86">
        <w:rPr>
          <w:rFonts w:eastAsia="Calibri"/>
          <w:lang w:val="de-DE"/>
        </w:rPr>
        <w:t>(ii)</w:t>
      </w:r>
      <w:r w:rsidRPr="00DD2A86">
        <w:rPr>
          <w:rFonts w:eastAsia="Calibri"/>
          <w:lang w:val="de-DE"/>
        </w:rPr>
        <w:tab/>
        <w:t>Ein Überdruck von mindestens 0,1 kPa (0,001 bar) kann in den Räumen gewährleistet werden</w:t>
      </w:r>
      <w:r w:rsidR="00454F86" w:rsidRPr="00DD2A86">
        <w:rPr>
          <w:rFonts w:eastAsia="Calibri"/>
          <w:lang w:val="de-DE"/>
        </w:rPr>
        <w:t>;</w:t>
      </w:r>
    </w:p>
    <w:p w:rsidR="00C3284B" w:rsidRPr="00DD2A86" w:rsidRDefault="00C3284B" w:rsidP="0049020F">
      <w:pPr>
        <w:tabs>
          <w:tab w:val="left" w:pos="2552"/>
        </w:tabs>
        <w:suppressAutoHyphens w:val="0"/>
        <w:autoSpaceDE w:val="0"/>
        <w:autoSpaceDN w:val="0"/>
        <w:adjustRightInd w:val="0"/>
        <w:spacing w:line="240" w:lineRule="auto"/>
        <w:ind w:left="3119" w:right="1134" w:hanging="567"/>
        <w:contextualSpacing/>
        <w:jc w:val="both"/>
        <w:rPr>
          <w:rFonts w:eastAsia="Calibri"/>
          <w:lang w:val="de-DE"/>
        </w:rPr>
      </w:pPr>
      <w:r w:rsidRPr="00DD2A86">
        <w:rPr>
          <w:rFonts w:eastAsia="Calibri"/>
          <w:lang w:val="de-DE"/>
        </w:rPr>
        <w:t>(iii)</w:t>
      </w:r>
      <w:r w:rsidRPr="00DD2A86">
        <w:rPr>
          <w:rFonts w:eastAsia="Calibri"/>
          <w:lang w:val="de-DE"/>
        </w:rPr>
        <w:tab/>
        <w:t>Eine Ausfallalarmierung ist integriert</w:t>
      </w:r>
      <w:r w:rsidR="00454F86" w:rsidRPr="00DD2A86">
        <w:rPr>
          <w:rFonts w:eastAsia="Calibri"/>
          <w:lang w:val="de-DE"/>
        </w:rPr>
        <w:t>;</w:t>
      </w:r>
    </w:p>
    <w:p w:rsidR="00C3284B" w:rsidRPr="00DD2A86" w:rsidRDefault="00C3284B" w:rsidP="0049020F">
      <w:pPr>
        <w:tabs>
          <w:tab w:val="left" w:pos="2552"/>
        </w:tabs>
        <w:suppressAutoHyphens w:val="0"/>
        <w:autoSpaceDE w:val="0"/>
        <w:autoSpaceDN w:val="0"/>
        <w:adjustRightInd w:val="0"/>
        <w:spacing w:line="240" w:lineRule="auto"/>
        <w:ind w:left="3119" w:right="1134" w:hanging="567"/>
        <w:contextualSpacing/>
        <w:jc w:val="both"/>
        <w:rPr>
          <w:rFonts w:eastAsia="Calibri"/>
          <w:lang w:val="de-DE"/>
        </w:rPr>
      </w:pPr>
      <w:r w:rsidRPr="00DD2A86">
        <w:rPr>
          <w:rFonts w:eastAsia="Calibri"/>
          <w:lang w:val="de-DE"/>
        </w:rPr>
        <w:t>(iv)</w:t>
      </w:r>
      <w:r w:rsidRPr="00DD2A86">
        <w:rPr>
          <w:rFonts w:eastAsia="Calibri"/>
          <w:lang w:val="de-DE"/>
        </w:rPr>
        <w:tab/>
        <w:t xml:space="preserve">Das Lüftungssystem einschließlich der Ausfallalarmierung entspricht mindestens </w:t>
      </w:r>
      <w:r w:rsidR="00D53B5E" w:rsidRPr="00DD2A86">
        <w:rPr>
          <w:rFonts w:eastAsia="Calibri"/>
          <w:lang w:val="de-DE"/>
        </w:rPr>
        <w:t xml:space="preserve">dem </w:t>
      </w:r>
      <w:r w:rsidRPr="00DD2A86">
        <w:rPr>
          <w:rFonts w:eastAsia="Calibri"/>
          <w:lang w:val="de-DE"/>
        </w:rPr>
        <w:t>Typ „begrenzte Explosionsgefahr“</w:t>
      </w:r>
      <w:r w:rsidR="00454F86" w:rsidRPr="00DD2A86">
        <w:rPr>
          <w:rFonts w:eastAsia="Calibri"/>
          <w:lang w:val="de-DE"/>
        </w:rPr>
        <w:t>;</w:t>
      </w:r>
    </w:p>
    <w:p w:rsidR="00C3284B" w:rsidRPr="00DD2A86" w:rsidRDefault="00C3284B" w:rsidP="0049020F">
      <w:pPr>
        <w:tabs>
          <w:tab w:val="left" w:pos="2552"/>
        </w:tabs>
        <w:suppressAutoHyphens w:val="0"/>
        <w:autoSpaceDE w:val="0"/>
        <w:autoSpaceDN w:val="0"/>
        <w:adjustRightInd w:val="0"/>
        <w:spacing w:line="240" w:lineRule="auto"/>
        <w:ind w:left="3119" w:right="1134" w:hanging="567"/>
        <w:contextualSpacing/>
        <w:jc w:val="both"/>
        <w:rPr>
          <w:rFonts w:eastAsia="Calibri"/>
          <w:lang w:val="de-DE"/>
        </w:rPr>
      </w:pPr>
      <w:r w:rsidRPr="00DD2A86">
        <w:rPr>
          <w:rFonts w:eastAsia="Calibri"/>
          <w:lang w:val="de-DE"/>
        </w:rPr>
        <w:t>(v)</w:t>
      </w:r>
      <w:r w:rsidRPr="00DD2A86">
        <w:rPr>
          <w:rFonts w:eastAsia="Calibri"/>
          <w:lang w:val="de-DE"/>
        </w:rPr>
        <w:tab/>
        <w:t>Eine Gasspüranlage, welche folgende Bedingungen 1. bis 4. erfüllt,</w:t>
      </w:r>
      <w:r w:rsidRPr="00DD2A86" w:rsidDel="00655531">
        <w:rPr>
          <w:rFonts w:eastAsia="Calibri"/>
          <w:lang w:val="de-DE"/>
        </w:rPr>
        <w:t xml:space="preserve"> </w:t>
      </w:r>
      <w:r w:rsidRPr="00DD2A86">
        <w:rPr>
          <w:rFonts w:eastAsia="Calibri"/>
          <w:lang w:val="de-DE"/>
        </w:rPr>
        <w:t>ist mit de</w:t>
      </w:r>
      <w:r w:rsidR="003267B7" w:rsidRPr="00DD2A86">
        <w:rPr>
          <w:rFonts w:eastAsia="Calibri"/>
          <w:lang w:val="de-DE"/>
        </w:rPr>
        <w:t>m</w:t>
      </w:r>
      <w:r w:rsidRPr="00DD2A86">
        <w:rPr>
          <w:rFonts w:eastAsia="Calibri"/>
          <w:lang w:val="de-DE"/>
        </w:rPr>
        <w:t xml:space="preserve"> Lüftungssystem verbunden:</w:t>
      </w:r>
    </w:p>
    <w:p w:rsidR="00C3284B" w:rsidRPr="00DD2A86" w:rsidRDefault="00C3284B" w:rsidP="0049020F">
      <w:pPr>
        <w:tabs>
          <w:tab w:val="left" w:pos="993"/>
        </w:tabs>
        <w:suppressAutoHyphens w:val="0"/>
        <w:autoSpaceDE w:val="0"/>
        <w:autoSpaceDN w:val="0"/>
        <w:adjustRightInd w:val="0"/>
        <w:spacing w:line="240" w:lineRule="auto"/>
        <w:ind w:left="3119" w:right="1134"/>
        <w:jc w:val="both"/>
        <w:rPr>
          <w:rFonts w:eastAsia="Calibri"/>
          <w:lang w:val="de-DE"/>
        </w:rPr>
      </w:pPr>
      <w:r w:rsidRPr="00DD2A86">
        <w:rPr>
          <w:rFonts w:eastAsia="Calibri"/>
          <w:lang w:val="de-DE"/>
        </w:rPr>
        <w:t>1.</w:t>
      </w:r>
      <w:r w:rsidRPr="00DD2A86">
        <w:rPr>
          <w:rFonts w:eastAsia="Calibri"/>
          <w:lang w:val="de-DE"/>
        </w:rPr>
        <w:tab/>
        <w:t>sie ist mindestens für den Betrieb in Zone 1 Explosionsgruppe II C, Temperaturklasse T6 geeignet</w:t>
      </w:r>
      <w:r w:rsidR="006524BE" w:rsidRPr="00DD2A86">
        <w:rPr>
          <w:rFonts w:eastAsia="Calibri"/>
          <w:lang w:val="de-DE"/>
        </w:rPr>
        <w:t>;</w:t>
      </w:r>
    </w:p>
    <w:p w:rsidR="00C3284B" w:rsidRPr="00DD2A86" w:rsidRDefault="00C3284B" w:rsidP="0049020F">
      <w:pPr>
        <w:tabs>
          <w:tab w:val="left" w:pos="993"/>
        </w:tabs>
        <w:suppressAutoHyphens w:val="0"/>
        <w:autoSpaceDE w:val="0"/>
        <w:autoSpaceDN w:val="0"/>
        <w:adjustRightInd w:val="0"/>
        <w:spacing w:line="240" w:lineRule="auto"/>
        <w:ind w:left="3119" w:right="1134"/>
        <w:jc w:val="both"/>
        <w:rPr>
          <w:rFonts w:eastAsia="Calibri"/>
          <w:lang w:val="de-DE"/>
        </w:rPr>
      </w:pPr>
      <w:r w:rsidRPr="00DD2A86">
        <w:rPr>
          <w:rFonts w:eastAsia="Calibri"/>
          <w:lang w:val="de-DE"/>
        </w:rPr>
        <w:t>2.</w:t>
      </w:r>
      <w:r w:rsidRPr="00DD2A86">
        <w:rPr>
          <w:rFonts w:eastAsia="Calibri"/>
          <w:lang w:val="de-DE"/>
        </w:rPr>
        <w:tab/>
        <w:t xml:space="preserve"> sie hat Messstellen</w:t>
      </w:r>
    </w:p>
    <w:p w:rsidR="00C3284B" w:rsidRPr="00DD2A86" w:rsidRDefault="00C3284B" w:rsidP="0049020F">
      <w:pPr>
        <w:suppressAutoHyphens w:val="0"/>
        <w:autoSpaceDE w:val="0"/>
        <w:autoSpaceDN w:val="0"/>
        <w:adjustRightInd w:val="0"/>
        <w:spacing w:line="240" w:lineRule="auto"/>
        <w:ind w:left="3119" w:right="1134"/>
        <w:jc w:val="both"/>
        <w:rPr>
          <w:rFonts w:eastAsia="Calibri"/>
          <w:lang w:val="de-DE"/>
        </w:rPr>
      </w:pPr>
      <w:r w:rsidRPr="00DD2A86">
        <w:rPr>
          <w:rFonts w:eastAsia="Calibri"/>
          <w:lang w:val="de-DE"/>
        </w:rPr>
        <w:t>-</w:t>
      </w:r>
      <w:r w:rsidRPr="00DD2A86">
        <w:rPr>
          <w:rFonts w:eastAsia="Calibri"/>
          <w:lang w:val="de-DE"/>
        </w:rPr>
        <w:tab/>
        <w:t>in den Ansaugöffnungen der Lüftungssysteme und</w:t>
      </w:r>
    </w:p>
    <w:p w:rsidR="00C3284B" w:rsidRPr="00DD2A86" w:rsidRDefault="00C3284B" w:rsidP="0049020F">
      <w:pPr>
        <w:suppressAutoHyphens w:val="0"/>
        <w:autoSpaceDE w:val="0"/>
        <w:autoSpaceDN w:val="0"/>
        <w:adjustRightInd w:val="0"/>
        <w:spacing w:line="240" w:lineRule="auto"/>
        <w:ind w:left="3119" w:right="1134"/>
        <w:jc w:val="both"/>
        <w:rPr>
          <w:rFonts w:eastAsia="Calibri"/>
          <w:lang w:val="de-DE"/>
        </w:rPr>
      </w:pPr>
      <w:r w:rsidRPr="00DD2A86">
        <w:rPr>
          <w:rFonts w:eastAsia="Calibri"/>
          <w:lang w:val="de-DE"/>
        </w:rPr>
        <w:t>-</w:t>
      </w:r>
      <w:r w:rsidRPr="00DD2A86">
        <w:rPr>
          <w:rFonts w:eastAsia="Calibri"/>
          <w:lang w:val="de-DE"/>
        </w:rPr>
        <w:tab/>
        <w:t>direkt unterhalb der Oberkante des Türsülls der Eingänge</w:t>
      </w:r>
      <w:r w:rsidR="006524BE" w:rsidRPr="00DD2A86">
        <w:rPr>
          <w:rFonts w:eastAsia="Calibri"/>
          <w:lang w:val="de-DE"/>
        </w:rPr>
        <w:t>;</w:t>
      </w:r>
    </w:p>
    <w:p w:rsidR="00C3284B" w:rsidRPr="00DD2A86" w:rsidRDefault="00C3284B" w:rsidP="0049020F">
      <w:pPr>
        <w:tabs>
          <w:tab w:val="left" w:pos="993"/>
        </w:tabs>
        <w:suppressAutoHyphens w:val="0"/>
        <w:autoSpaceDE w:val="0"/>
        <w:autoSpaceDN w:val="0"/>
        <w:adjustRightInd w:val="0"/>
        <w:spacing w:line="240" w:lineRule="auto"/>
        <w:ind w:left="3119" w:right="1134"/>
        <w:jc w:val="both"/>
        <w:rPr>
          <w:rFonts w:eastAsia="Calibri"/>
          <w:lang w:val="de-DE"/>
        </w:rPr>
      </w:pPr>
      <w:r w:rsidRPr="00DD2A86">
        <w:rPr>
          <w:rFonts w:eastAsia="Calibri"/>
          <w:lang w:val="de-DE"/>
        </w:rPr>
        <w:t>3.</w:t>
      </w:r>
      <w:r w:rsidRPr="00DD2A86">
        <w:rPr>
          <w:rFonts w:eastAsia="Calibri"/>
          <w:lang w:val="de-DE"/>
        </w:rPr>
        <w:tab/>
        <w:t xml:space="preserve">ihre </w:t>
      </w:r>
      <w:r w:rsidRPr="00DD2A86">
        <w:rPr>
          <w:rFonts w:eastAsia="Calibri"/>
          <w:bCs/>
          <w:lang w:val="de-DE"/>
        </w:rPr>
        <w:t>T90-Zeit ist kleiner oder gleich 4 s</w:t>
      </w:r>
      <w:r w:rsidR="006524BE" w:rsidRPr="00DD2A86">
        <w:rPr>
          <w:rFonts w:eastAsia="Calibri"/>
          <w:bCs/>
          <w:lang w:val="de-DE"/>
        </w:rPr>
        <w:t>;</w:t>
      </w:r>
    </w:p>
    <w:p w:rsidR="00C3284B" w:rsidRPr="00DD2A86" w:rsidRDefault="00C3284B" w:rsidP="0049020F">
      <w:pPr>
        <w:tabs>
          <w:tab w:val="left" w:pos="993"/>
        </w:tabs>
        <w:suppressAutoHyphens w:val="0"/>
        <w:autoSpaceDE w:val="0"/>
        <w:autoSpaceDN w:val="0"/>
        <w:adjustRightInd w:val="0"/>
        <w:spacing w:line="240" w:lineRule="auto"/>
        <w:ind w:left="3119" w:right="1134"/>
        <w:jc w:val="both"/>
        <w:rPr>
          <w:rFonts w:eastAsia="Calibri"/>
          <w:lang w:val="de-DE"/>
        </w:rPr>
      </w:pPr>
      <w:r w:rsidRPr="00DD2A86">
        <w:rPr>
          <w:rFonts w:eastAsia="Calibri"/>
          <w:lang w:val="de-DE"/>
        </w:rPr>
        <w:t>4.</w:t>
      </w:r>
      <w:r w:rsidRPr="00DD2A86">
        <w:rPr>
          <w:rFonts w:eastAsia="Calibri"/>
          <w:lang w:val="de-DE"/>
        </w:rPr>
        <w:tab/>
      </w:r>
      <w:r w:rsidRPr="00DD2A86">
        <w:rPr>
          <w:rFonts w:eastAsia="Calibri"/>
          <w:bCs/>
          <w:lang w:val="de-DE"/>
        </w:rPr>
        <w:t>d</w:t>
      </w:r>
      <w:r w:rsidRPr="00DD2A86">
        <w:rPr>
          <w:rFonts w:eastAsia="Calibri"/>
          <w:lang w:val="de-DE"/>
        </w:rPr>
        <w:t>ie Messungen erfolgen stetig</w:t>
      </w:r>
      <w:r w:rsidR="006524BE" w:rsidRPr="00DD2A86">
        <w:rPr>
          <w:rFonts w:eastAsia="Calibri"/>
          <w:lang w:val="de-DE"/>
        </w:rPr>
        <w:t>;</w:t>
      </w:r>
    </w:p>
    <w:p w:rsidR="00C3284B" w:rsidRPr="00DD2A86" w:rsidRDefault="00C3284B" w:rsidP="0049020F">
      <w:pPr>
        <w:tabs>
          <w:tab w:val="left" w:pos="2552"/>
        </w:tabs>
        <w:suppressAutoHyphens w:val="0"/>
        <w:autoSpaceDE w:val="0"/>
        <w:autoSpaceDN w:val="0"/>
        <w:adjustRightInd w:val="0"/>
        <w:spacing w:line="240" w:lineRule="auto"/>
        <w:ind w:left="3119" w:right="1134" w:hanging="567"/>
        <w:contextualSpacing/>
        <w:jc w:val="both"/>
        <w:rPr>
          <w:rFonts w:eastAsia="Calibri"/>
          <w:lang w:val="de-DE"/>
        </w:rPr>
      </w:pPr>
      <w:r w:rsidRPr="00DD2A86">
        <w:rPr>
          <w:rFonts w:eastAsia="Calibri"/>
          <w:lang w:val="de-DE"/>
        </w:rPr>
        <w:t>(vi)</w:t>
      </w:r>
      <w:r w:rsidRPr="00DD2A86">
        <w:rPr>
          <w:rFonts w:eastAsia="Calibri"/>
          <w:lang w:val="de-DE"/>
        </w:rPr>
        <w:tab/>
        <w:t xml:space="preserve">In den Betriebsräumen ist das Lüftungssystem mit einer Notbeleuchtung, die mindestens vom Typ </w:t>
      </w:r>
      <w:r w:rsidR="00B131D1" w:rsidRPr="00DD2A86">
        <w:rPr>
          <w:rFonts w:eastAsia="Calibri"/>
          <w:lang w:val="de-DE"/>
        </w:rPr>
        <w:t>„</w:t>
      </w:r>
      <w:r w:rsidRPr="00DD2A86">
        <w:rPr>
          <w:rFonts w:eastAsia="Calibri"/>
          <w:lang w:val="de-DE"/>
        </w:rPr>
        <w:t>begrenzte Explosionsgefahr</w:t>
      </w:r>
      <w:r w:rsidR="00B131D1" w:rsidRPr="00DD2A86">
        <w:rPr>
          <w:rFonts w:eastAsia="Calibri"/>
          <w:lang w:val="de-DE"/>
        </w:rPr>
        <w:t>“</w:t>
      </w:r>
      <w:r w:rsidRPr="00DD2A86">
        <w:rPr>
          <w:rFonts w:eastAsia="Calibri"/>
          <w:lang w:val="de-DE"/>
        </w:rPr>
        <w:t xml:space="preserve"> ist, verbunden.</w:t>
      </w:r>
    </w:p>
    <w:p w:rsidR="00C3284B" w:rsidRPr="00DD2A86" w:rsidRDefault="00C3284B" w:rsidP="0049020F">
      <w:pPr>
        <w:tabs>
          <w:tab w:val="left" w:pos="2552"/>
        </w:tabs>
        <w:suppressAutoHyphens w:val="0"/>
        <w:autoSpaceDE w:val="0"/>
        <w:autoSpaceDN w:val="0"/>
        <w:adjustRightInd w:val="0"/>
        <w:spacing w:line="240" w:lineRule="auto"/>
        <w:ind w:left="3119" w:right="1134" w:hanging="567"/>
        <w:contextualSpacing/>
        <w:jc w:val="both"/>
        <w:rPr>
          <w:rFonts w:eastAsia="Calibri"/>
          <w:lang w:val="de-DE"/>
        </w:rPr>
      </w:pPr>
      <w:r w:rsidRPr="00DD2A86">
        <w:rPr>
          <w:rFonts w:eastAsia="Calibri"/>
          <w:lang w:val="de-DE"/>
        </w:rPr>
        <w:tab/>
        <w:t>Diese Notbeleuchtung ist nicht erforderlich, wenn die Beleuchtungsanlagen in den Betriebsräumen mindestens vom Typ „begrenzte Explosionsgefahr“ sind</w:t>
      </w:r>
      <w:r w:rsidR="00454F86" w:rsidRPr="00DD2A86">
        <w:rPr>
          <w:rFonts w:eastAsia="Calibri"/>
          <w:lang w:val="de-DE"/>
        </w:rPr>
        <w:t>;</w:t>
      </w:r>
    </w:p>
    <w:p w:rsidR="00C3284B" w:rsidRPr="00DD2A86" w:rsidRDefault="00C3284B" w:rsidP="0049020F">
      <w:pPr>
        <w:tabs>
          <w:tab w:val="left" w:pos="2552"/>
        </w:tabs>
        <w:suppressAutoHyphens w:val="0"/>
        <w:autoSpaceDE w:val="0"/>
        <w:autoSpaceDN w:val="0"/>
        <w:adjustRightInd w:val="0"/>
        <w:spacing w:line="240" w:lineRule="auto"/>
        <w:ind w:left="3119" w:right="1134" w:hanging="567"/>
        <w:contextualSpacing/>
        <w:jc w:val="both"/>
        <w:rPr>
          <w:rFonts w:eastAsia="Calibri"/>
          <w:lang w:val="de-DE"/>
        </w:rPr>
      </w:pPr>
      <w:r w:rsidRPr="00DD2A86">
        <w:rPr>
          <w:rFonts w:eastAsia="Calibri"/>
          <w:lang w:val="de-DE"/>
        </w:rPr>
        <w:t>(vii)</w:t>
      </w:r>
      <w:r w:rsidRPr="00DD2A86">
        <w:rPr>
          <w:rFonts w:eastAsia="Calibri"/>
          <w:lang w:val="de-DE"/>
        </w:rPr>
        <w:tab/>
        <w:t>Die Ansaugung des Lüftungssystems und die Anlagen und Geräte, die den unter 9.1.0.51 und 9.1.0.52.1 genannten Bedingungen nicht entsprechen, werden abgeschaltet sobald eine Konzentration von 20 % der UEG von n-Hexan erreicht wird.</w:t>
      </w:r>
    </w:p>
    <w:p w:rsidR="00C3284B" w:rsidRPr="00DD2A86" w:rsidRDefault="00C3284B" w:rsidP="0049020F">
      <w:pPr>
        <w:tabs>
          <w:tab w:val="left" w:pos="2552"/>
        </w:tabs>
        <w:suppressAutoHyphens w:val="0"/>
        <w:autoSpaceDE w:val="0"/>
        <w:autoSpaceDN w:val="0"/>
        <w:adjustRightInd w:val="0"/>
        <w:spacing w:line="240" w:lineRule="auto"/>
        <w:ind w:left="3119" w:right="1134" w:hanging="567"/>
        <w:contextualSpacing/>
        <w:jc w:val="both"/>
        <w:rPr>
          <w:rFonts w:eastAsia="Calibri"/>
          <w:lang w:val="de-DE"/>
        </w:rPr>
      </w:pPr>
      <w:r w:rsidRPr="00DD2A86">
        <w:rPr>
          <w:rFonts w:eastAsia="Calibri"/>
          <w:lang w:val="de-DE"/>
        </w:rPr>
        <w:tab/>
        <w:t>Das Abschalten wird in den Wohnungen und im Steuerhaus optisch und akustisch gemeldet</w:t>
      </w:r>
      <w:r w:rsidR="00454F86" w:rsidRPr="00DD2A86">
        <w:rPr>
          <w:rFonts w:eastAsia="Calibri"/>
          <w:lang w:val="de-DE"/>
        </w:rPr>
        <w:t>;</w:t>
      </w:r>
    </w:p>
    <w:p w:rsidR="00C3284B" w:rsidRPr="00DD2A86" w:rsidRDefault="00C3284B" w:rsidP="0049020F">
      <w:pPr>
        <w:tabs>
          <w:tab w:val="left" w:pos="2552"/>
        </w:tabs>
        <w:suppressAutoHyphens w:val="0"/>
        <w:autoSpaceDE w:val="0"/>
        <w:autoSpaceDN w:val="0"/>
        <w:adjustRightInd w:val="0"/>
        <w:spacing w:line="240" w:lineRule="auto"/>
        <w:ind w:left="3119" w:right="1134" w:hanging="567"/>
        <w:contextualSpacing/>
        <w:jc w:val="both"/>
        <w:rPr>
          <w:rFonts w:eastAsia="Calibri"/>
          <w:lang w:val="de-DE"/>
        </w:rPr>
      </w:pPr>
      <w:r w:rsidRPr="00DD2A86">
        <w:rPr>
          <w:rFonts w:eastAsia="Calibri"/>
          <w:lang w:val="de-DE"/>
        </w:rPr>
        <w:t>(viii)</w:t>
      </w:r>
      <w:r w:rsidRPr="00DD2A86">
        <w:rPr>
          <w:rFonts w:eastAsia="Calibri"/>
          <w:lang w:val="de-DE"/>
        </w:rPr>
        <w:tab/>
        <w:t>Bei einem Ausfall des Lüftungssystems oder der Gasspüranlagen in den Wohnungen werden die Anlagen und Geräte in den Wohnungen, die den unter 9.1.0.51 und 9.1.0.52.1 genannten Bedingungen nicht entsprechen</w:t>
      </w:r>
      <w:r w:rsidR="00D53B5E" w:rsidRPr="00DD2A86">
        <w:rPr>
          <w:rFonts w:eastAsia="Calibri"/>
          <w:lang w:val="de-DE"/>
        </w:rPr>
        <w:t>,</w:t>
      </w:r>
      <w:r w:rsidRPr="00DD2A86">
        <w:rPr>
          <w:rFonts w:eastAsia="Calibri"/>
          <w:lang w:val="de-DE"/>
        </w:rPr>
        <w:t xml:space="preserve"> abgeschaltet.</w:t>
      </w:r>
    </w:p>
    <w:p w:rsidR="00C3284B" w:rsidRPr="00DD2A86" w:rsidRDefault="00C3284B" w:rsidP="0049020F">
      <w:pPr>
        <w:tabs>
          <w:tab w:val="left" w:pos="2552"/>
        </w:tabs>
        <w:suppressAutoHyphens w:val="0"/>
        <w:autoSpaceDE w:val="0"/>
        <w:autoSpaceDN w:val="0"/>
        <w:adjustRightInd w:val="0"/>
        <w:spacing w:line="240" w:lineRule="auto"/>
        <w:ind w:left="3119" w:right="1134" w:hanging="567"/>
        <w:contextualSpacing/>
        <w:jc w:val="both"/>
        <w:rPr>
          <w:rFonts w:eastAsia="Calibri"/>
          <w:lang w:val="de-DE"/>
        </w:rPr>
      </w:pPr>
      <w:r w:rsidRPr="00DD2A86">
        <w:rPr>
          <w:rFonts w:eastAsia="Calibri"/>
          <w:lang w:val="de-DE"/>
        </w:rPr>
        <w:tab/>
        <w:t>Der Ausfall wird optisch und akustisch in den Wohnungen, im Steuerhaus, und an Deck gemeldet</w:t>
      </w:r>
      <w:r w:rsidR="00454F86" w:rsidRPr="00DD2A86">
        <w:rPr>
          <w:rFonts w:eastAsia="Calibri"/>
          <w:lang w:val="de-DE"/>
        </w:rPr>
        <w:t>;</w:t>
      </w:r>
    </w:p>
    <w:p w:rsidR="00816896" w:rsidRPr="00DD2A86" w:rsidRDefault="00C3284B" w:rsidP="0049020F">
      <w:pPr>
        <w:tabs>
          <w:tab w:val="left" w:pos="2552"/>
        </w:tabs>
        <w:suppressAutoHyphens w:val="0"/>
        <w:autoSpaceDE w:val="0"/>
        <w:autoSpaceDN w:val="0"/>
        <w:adjustRightInd w:val="0"/>
        <w:spacing w:line="240" w:lineRule="auto"/>
        <w:ind w:left="3119" w:right="1134" w:hanging="567"/>
        <w:contextualSpacing/>
        <w:jc w:val="both"/>
        <w:rPr>
          <w:rFonts w:eastAsia="Calibri"/>
          <w:lang w:val="de-DE"/>
        </w:rPr>
      </w:pPr>
      <w:r w:rsidRPr="00DD2A86">
        <w:rPr>
          <w:rFonts w:eastAsia="Calibri"/>
          <w:lang w:val="de-DE"/>
        </w:rPr>
        <w:t>(ix)</w:t>
      </w:r>
      <w:r w:rsidRPr="00DD2A86">
        <w:rPr>
          <w:rFonts w:eastAsia="Calibri"/>
          <w:lang w:val="de-DE"/>
        </w:rPr>
        <w:tab/>
        <w:t>Bei einem Ausfall des Lüftungssystems oder der Gasspüranlagen des Steuerhauses oder der Betriebsräume werden die Anlagen und Geräte in diesen Räumen, die den unter 9.1.0.51 und 9.1.0.52.1 genannten Bedingungen nicht entsprechen, abgeschaltet.</w:t>
      </w:r>
    </w:p>
    <w:p w:rsidR="00C3284B" w:rsidRPr="00DD2A86" w:rsidRDefault="00816896" w:rsidP="0049020F">
      <w:pPr>
        <w:tabs>
          <w:tab w:val="left" w:pos="2552"/>
        </w:tabs>
        <w:suppressAutoHyphens w:val="0"/>
        <w:autoSpaceDE w:val="0"/>
        <w:autoSpaceDN w:val="0"/>
        <w:adjustRightInd w:val="0"/>
        <w:spacing w:line="240" w:lineRule="auto"/>
        <w:ind w:left="3119" w:right="1134" w:hanging="567"/>
        <w:contextualSpacing/>
        <w:jc w:val="both"/>
        <w:rPr>
          <w:rFonts w:eastAsia="Calibri"/>
          <w:lang w:val="de-DE"/>
        </w:rPr>
      </w:pPr>
      <w:r w:rsidRPr="00DD2A86">
        <w:rPr>
          <w:rFonts w:eastAsia="Calibri"/>
          <w:lang w:val="de-DE"/>
        </w:rPr>
        <w:tab/>
      </w:r>
      <w:r w:rsidR="00C3284B" w:rsidRPr="00DD2A86">
        <w:rPr>
          <w:rFonts w:eastAsia="Calibri"/>
          <w:lang w:val="de-DE"/>
        </w:rPr>
        <w:t>Der Ausfall wird optisch und akustisch im Steuerhaus und an Deck gemeldet werden. Bei Nichtquittieren muss die Alarmierung automatisch in den Wohnungen erfolgen</w:t>
      </w:r>
      <w:r w:rsidR="00454F86" w:rsidRPr="00DD2A86">
        <w:rPr>
          <w:rFonts w:eastAsia="Calibri"/>
          <w:lang w:val="de-DE"/>
        </w:rPr>
        <w:t>;</w:t>
      </w:r>
    </w:p>
    <w:p w:rsidR="00816896" w:rsidRPr="00DD2A86" w:rsidRDefault="00C3284B" w:rsidP="0049020F">
      <w:pPr>
        <w:tabs>
          <w:tab w:val="left" w:pos="2552"/>
        </w:tabs>
        <w:suppressAutoHyphens w:val="0"/>
        <w:autoSpaceDE w:val="0"/>
        <w:autoSpaceDN w:val="0"/>
        <w:adjustRightInd w:val="0"/>
        <w:spacing w:line="240" w:lineRule="auto"/>
        <w:ind w:left="3119" w:right="1134" w:hanging="567"/>
        <w:contextualSpacing/>
        <w:jc w:val="both"/>
        <w:rPr>
          <w:rFonts w:eastAsia="Calibri"/>
          <w:lang w:val="de-DE"/>
        </w:rPr>
      </w:pPr>
      <w:r w:rsidRPr="00DD2A86">
        <w:rPr>
          <w:rFonts w:eastAsia="Calibri"/>
          <w:lang w:val="de-DE"/>
        </w:rPr>
        <w:t>(x)</w:t>
      </w:r>
      <w:r w:rsidRPr="00DD2A86">
        <w:rPr>
          <w:rFonts w:eastAsia="Calibri"/>
          <w:lang w:val="de-DE"/>
        </w:rPr>
        <w:tab/>
        <w:t>Jede Abschaltung erfolgt sofort und automatisch und setzt gegebenenfalls die Notbeleuchtung in Betrieb.</w:t>
      </w:r>
    </w:p>
    <w:p w:rsidR="00C3284B" w:rsidRPr="00DD2A86" w:rsidRDefault="00816896" w:rsidP="0049020F">
      <w:pPr>
        <w:tabs>
          <w:tab w:val="left" w:pos="2552"/>
        </w:tabs>
        <w:suppressAutoHyphens w:val="0"/>
        <w:autoSpaceDE w:val="0"/>
        <w:autoSpaceDN w:val="0"/>
        <w:adjustRightInd w:val="0"/>
        <w:spacing w:line="240" w:lineRule="auto"/>
        <w:ind w:left="3119" w:right="1134" w:hanging="567"/>
        <w:contextualSpacing/>
        <w:jc w:val="both"/>
        <w:rPr>
          <w:rFonts w:eastAsia="Calibri"/>
          <w:lang w:val="de-DE"/>
        </w:rPr>
      </w:pPr>
      <w:r w:rsidRPr="00DD2A86">
        <w:rPr>
          <w:rFonts w:eastAsia="Calibri"/>
          <w:lang w:val="de-DE"/>
        </w:rPr>
        <w:tab/>
      </w:r>
      <w:r w:rsidR="00C3284B" w:rsidRPr="00DD2A86">
        <w:rPr>
          <w:rFonts w:eastAsia="Calibri"/>
          <w:lang w:val="de-DE"/>
        </w:rPr>
        <w:t>Die automatische Abschaltung ist so eingestellt, dass sie nicht während der Fahrt erfolgen kann.</w:t>
      </w:r>
    </w:p>
    <w:p w:rsidR="00C3284B" w:rsidRPr="00DD2A86" w:rsidRDefault="00C3284B" w:rsidP="0049020F">
      <w:pPr>
        <w:suppressAutoHyphens w:val="0"/>
        <w:autoSpaceDE w:val="0"/>
        <w:autoSpaceDN w:val="0"/>
        <w:adjustRightInd w:val="0"/>
        <w:spacing w:line="240" w:lineRule="auto"/>
        <w:ind w:left="2552" w:right="1134" w:hanging="284"/>
        <w:jc w:val="both"/>
        <w:rPr>
          <w:rFonts w:eastAsia="Calibri"/>
          <w:lang w:val="de-DE"/>
        </w:rPr>
      </w:pPr>
      <w:r w:rsidRPr="00DD2A86">
        <w:rPr>
          <w:rFonts w:eastAsia="Calibri"/>
          <w:lang w:val="de-DE"/>
        </w:rPr>
        <w:t>c)</w:t>
      </w:r>
      <w:r w:rsidRPr="00DD2A86">
        <w:rPr>
          <w:rFonts w:eastAsia="Calibri"/>
          <w:lang w:val="de-DE"/>
        </w:rPr>
        <w:tab/>
      </w:r>
      <w:r w:rsidR="002C65F3" w:rsidRPr="00DD2A86">
        <w:rPr>
          <w:rFonts w:eastAsia="Calibri"/>
          <w:lang w:val="de-DE"/>
        </w:rPr>
        <w:t>Ist ein Lüftungssystem nicht vorhanden oder e</w:t>
      </w:r>
      <w:r w:rsidRPr="00DD2A86">
        <w:rPr>
          <w:rFonts w:eastAsia="Calibri"/>
          <w:lang w:val="de-DE"/>
        </w:rPr>
        <w:t>rfüllt das Lüftungssystem des jeweiligen Raumes nicht alle in Buchstabe b) genannten Anforderungen, müssen in dem jeweiligen Raum die Anlagen und Geräte, bei deren Betrieb höhere Oberflächentemperaturen als unter 9.1.0.51 angegeben auftreten können oder die nicht die Anforderungen nach 9.1.0.52.1 erfüllen, abschaltbar ausgeführt sein.“.</w:t>
      </w:r>
    </w:p>
    <w:p w:rsidR="00EB6056" w:rsidRPr="00DD2A86" w:rsidRDefault="00EB6056">
      <w:pPr>
        <w:suppressAutoHyphens w:val="0"/>
        <w:spacing w:line="240" w:lineRule="auto"/>
        <w:rPr>
          <w:rFonts w:eastAsia="Calibri"/>
          <w:bCs/>
          <w:lang w:val="de-DE"/>
        </w:rPr>
      </w:pPr>
      <w:r w:rsidRPr="00DD2A86">
        <w:rPr>
          <w:rFonts w:eastAsia="Calibri"/>
          <w:bCs/>
          <w:lang w:val="de-DE"/>
        </w:rPr>
        <w:br w:type="page"/>
      </w:r>
    </w:p>
    <w:p w:rsidR="00816896" w:rsidRPr="00DD2A86" w:rsidRDefault="00816896" w:rsidP="0049020F">
      <w:pPr>
        <w:spacing w:before="240" w:after="120"/>
        <w:ind w:left="1134" w:right="1134"/>
        <w:jc w:val="both"/>
        <w:rPr>
          <w:rFonts w:eastAsia="Calibri"/>
          <w:bCs/>
          <w:lang w:val="de-DE"/>
        </w:rPr>
      </w:pPr>
      <w:r w:rsidRPr="00DD2A86">
        <w:rPr>
          <w:rFonts w:eastAsia="Calibri"/>
          <w:bCs/>
          <w:lang w:val="de-DE"/>
        </w:rPr>
        <w:t>9.1.0.12</w:t>
      </w:r>
      <w:r w:rsidRPr="00DD2A86">
        <w:rPr>
          <w:rFonts w:eastAsia="Calibri"/>
          <w:bCs/>
          <w:lang w:val="de-DE"/>
        </w:rPr>
        <w:tab/>
        <w:t>Folgende neue Absätze hinzufügen:</w:t>
      </w:r>
    </w:p>
    <w:p w:rsidR="00816896" w:rsidRPr="00DD2A86" w:rsidRDefault="00816896" w:rsidP="0049020F">
      <w:pPr>
        <w:suppressAutoHyphens w:val="0"/>
        <w:autoSpaceDE w:val="0"/>
        <w:autoSpaceDN w:val="0"/>
        <w:adjustRightInd w:val="0"/>
        <w:spacing w:before="120" w:line="240" w:lineRule="auto"/>
        <w:ind w:left="3402" w:right="1134" w:hanging="1134"/>
        <w:jc w:val="both"/>
        <w:rPr>
          <w:rFonts w:eastAsia="Calibri"/>
          <w:lang w:val="de-DE"/>
        </w:rPr>
      </w:pPr>
      <w:r w:rsidRPr="00DD2A86">
        <w:rPr>
          <w:rFonts w:eastAsia="Calibri"/>
          <w:lang w:val="de-DE"/>
        </w:rPr>
        <w:t>„9.1.0.12.4</w:t>
      </w:r>
      <w:r w:rsidRPr="00DD2A86">
        <w:rPr>
          <w:rFonts w:eastAsia="Calibri"/>
          <w:lang w:val="de-DE"/>
        </w:rPr>
        <w:tab/>
        <w:t>An Lüftungsöffnungen müssen Hinweisschilder angebracht sein, welche die Bedingungen für das Schließen angeben. Alle Lüftungsöffnungen, die von Wohnungen, Steuerhaus und Betriebsräumen außerhalb des geschützten Bereichs ins Freie führen, müssen mindestens 2</w:t>
      </w:r>
      <w:r w:rsidR="00E37056" w:rsidRPr="00DD2A86">
        <w:rPr>
          <w:rFonts w:eastAsia="Calibri"/>
          <w:lang w:val="de-DE"/>
        </w:rPr>
        <w:t>,00</w:t>
      </w:r>
      <w:r w:rsidRPr="00DD2A86">
        <w:rPr>
          <w:rFonts w:eastAsia="Calibri"/>
          <w:lang w:val="de-DE"/>
        </w:rPr>
        <w:t xml:space="preserve"> m vom geschützten Bereich entfernt angeordnet sein.</w:t>
      </w:r>
    </w:p>
    <w:p w:rsidR="00816896" w:rsidRPr="00DD2A86" w:rsidRDefault="00816896" w:rsidP="0049020F">
      <w:pPr>
        <w:suppressAutoHyphens w:val="0"/>
        <w:autoSpaceDE w:val="0"/>
        <w:autoSpaceDN w:val="0"/>
        <w:adjustRightInd w:val="0"/>
        <w:spacing w:before="60" w:line="240" w:lineRule="auto"/>
        <w:ind w:left="3402" w:right="1134"/>
        <w:jc w:val="both"/>
        <w:rPr>
          <w:rFonts w:eastAsia="Calibri"/>
          <w:lang w:val="de-DE"/>
        </w:rPr>
      </w:pPr>
      <w:r w:rsidRPr="00DD2A86">
        <w:rPr>
          <w:rFonts w:eastAsia="Calibri"/>
          <w:lang w:val="de-DE"/>
        </w:rPr>
        <w:t>Alle Lüftungsöffnungen müssen mit fest installierten Vorrichtungen nach 9.1.0.40.2.2 c) versehen sein, die schnell zu schließen sind. Der Verschlusszustand muss eindeutig erkennbar sein.</w:t>
      </w:r>
    </w:p>
    <w:p w:rsidR="00816896" w:rsidRPr="00DD2A86" w:rsidRDefault="00816896" w:rsidP="0049020F">
      <w:pPr>
        <w:suppressAutoHyphens w:val="0"/>
        <w:autoSpaceDE w:val="0"/>
        <w:autoSpaceDN w:val="0"/>
        <w:adjustRightInd w:val="0"/>
        <w:spacing w:before="120" w:line="240" w:lineRule="auto"/>
        <w:ind w:left="3402" w:right="1134" w:hanging="1134"/>
        <w:jc w:val="both"/>
        <w:rPr>
          <w:rFonts w:eastAsia="Calibri"/>
          <w:lang w:val="de-DE"/>
        </w:rPr>
      </w:pPr>
      <w:r w:rsidRPr="00DD2A86">
        <w:rPr>
          <w:rFonts w:eastAsia="Calibri"/>
          <w:lang w:val="de-DE"/>
        </w:rPr>
        <w:t>9.1.0.12.5</w:t>
      </w:r>
      <w:r w:rsidRPr="00DD2A86">
        <w:rPr>
          <w:rFonts w:eastAsia="Calibri"/>
          <w:lang w:val="de-DE"/>
        </w:rPr>
        <w:tab/>
        <w:t>Ventilatoren einschließlich ihrer Antriebsmotoren im geschützten Bereich und Antriebsmotoren der Laderaumventilatoren, die im Luftstrom angeordnet sind, müssen mindestens für den Betrieb in Zone 1 geeignet sein. Sie müssen mindestens die Anforderungen für die Temperaturklasse T4 und Explosionsgruppe II B erfüllen.</w:t>
      </w:r>
    </w:p>
    <w:p w:rsidR="00816896" w:rsidRPr="00DD2A86" w:rsidRDefault="00816896" w:rsidP="0049020F">
      <w:pPr>
        <w:suppressAutoHyphens w:val="0"/>
        <w:autoSpaceDE w:val="0"/>
        <w:autoSpaceDN w:val="0"/>
        <w:adjustRightInd w:val="0"/>
        <w:spacing w:before="120" w:line="240" w:lineRule="auto"/>
        <w:ind w:left="3402" w:right="1134" w:hanging="1134"/>
        <w:jc w:val="both"/>
        <w:rPr>
          <w:rFonts w:eastAsia="Calibri"/>
          <w:lang w:val="de-DE"/>
        </w:rPr>
      </w:pPr>
      <w:r w:rsidRPr="00DD2A86">
        <w:rPr>
          <w:rFonts w:eastAsia="Calibri"/>
          <w:lang w:val="de-DE"/>
        </w:rPr>
        <w:t>9.1.0.12.6</w:t>
      </w:r>
      <w:r w:rsidRPr="00DD2A86">
        <w:rPr>
          <w:rFonts w:eastAsia="Calibri"/>
          <w:lang w:val="de-DE"/>
        </w:rPr>
        <w:tab/>
        <w:t>Die Anforderungen der Absätze 9.1.0.12.3 b) oder c) müssen nur erfüllt werden, sofern sich das Schiff in einer oder unmittelbar angrenzend an eine landseitig ausgewiesene Zone aufhalten wird.“.</w:t>
      </w:r>
    </w:p>
    <w:p w:rsidR="00C65079" w:rsidRPr="00DD2A86" w:rsidRDefault="00C65079" w:rsidP="00D34B0A">
      <w:pPr>
        <w:kinsoku w:val="0"/>
        <w:overflowPunct w:val="0"/>
        <w:autoSpaceDE w:val="0"/>
        <w:autoSpaceDN w:val="0"/>
        <w:adjustRightInd w:val="0"/>
        <w:snapToGrid w:val="0"/>
        <w:spacing w:before="120" w:after="120"/>
        <w:ind w:left="1134" w:right="1134"/>
        <w:jc w:val="both"/>
        <w:rPr>
          <w:rFonts w:eastAsiaTheme="minorHAnsi"/>
          <w:lang w:val="de-DE"/>
        </w:rPr>
      </w:pPr>
      <w:r w:rsidRPr="00DD2A86">
        <w:rPr>
          <w:rFonts w:eastAsiaTheme="minorHAnsi"/>
          <w:lang w:val="de-DE"/>
        </w:rPr>
        <w:t>9.1.0.31.1</w:t>
      </w:r>
      <w:r w:rsidRPr="00DD2A86">
        <w:rPr>
          <w:rFonts w:eastAsiaTheme="minorHAnsi"/>
          <w:lang w:val="de-DE"/>
        </w:rPr>
        <w:tab/>
        <w:t>Folgenden letzten Satz hinzufügen:</w:t>
      </w:r>
    </w:p>
    <w:p w:rsidR="00C65079" w:rsidRPr="00DD2A86" w:rsidRDefault="00C65079" w:rsidP="0049020F">
      <w:pPr>
        <w:kinsoku w:val="0"/>
        <w:overflowPunct w:val="0"/>
        <w:autoSpaceDE w:val="0"/>
        <w:autoSpaceDN w:val="0"/>
        <w:adjustRightInd w:val="0"/>
        <w:snapToGrid w:val="0"/>
        <w:spacing w:after="120"/>
        <w:ind w:left="1134" w:right="1134"/>
        <w:jc w:val="both"/>
        <w:rPr>
          <w:rFonts w:eastAsiaTheme="minorHAnsi"/>
          <w:lang w:val="de-DE"/>
        </w:rPr>
      </w:pPr>
      <w:r w:rsidRPr="00DD2A86">
        <w:rPr>
          <w:rFonts w:eastAsiaTheme="minorHAnsi"/>
          <w:lang w:val="de-DE"/>
        </w:rPr>
        <w:t>„Diese Vorschrift gilt nicht für Verbrennungsmotoren, die Bestandteil von Antriebs- und Hilfssystemen sind. Diese Systeme müssen den Anforderungen des Kapitels 30 und der Anlage 8 Abschnitt 1 des Europäischen Standards der technischen Vorschriften für Binnenschiffe (ES-TRIN) in der jeweils geltenden Fassung entsprechen</w:t>
      </w:r>
      <w:r w:rsidRPr="00DD2A86">
        <w:rPr>
          <w:rFonts w:eastAsiaTheme="minorHAnsi"/>
          <w:vertAlign w:val="superscript"/>
          <w:lang w:val="de-DE"/>
        </w:rPr>
        <w:footnoteReference w:customMarkFollows="1" w:id="66"/>
        <w:t>*</w:t>
      </w:r>
      <w:r w:rsidRPr="00DD2A86">
        <w:rPr>
          <w:rFonts w:eastAsiaTheme="minorHAnsi"/>
          <w:lang w:val="de-DE"/>
        </w:rPr>
        <w:t>.“.</w:t>
      </w:r>
    </w:p>
    <w:p w:rsidR="006F7941" w:rsidRPr="00DD2A86" w:rsidRDefault="006F7941" w:rsidP="006F7941">
      <w:pPr>
        <w:keepNext/>
        <w:keepLines/>
        <w:tabs>
          <w:tab w:val="left" w:pos="2268"/>
          <w:tab w:val="left" w:pos="2552"/>
        </w:tabs>
        <w:spacing w:before="120" w:after="120"/>
        <w:ind w:left="1134" w:right="1134"/>
        <w:rPr>
          <w:rFonts w:eastAsia="SimSun"/>
          <w:lang w:val="de-DE" w:eastAsia="zh-CN"/>
        </w:rPr>
      </w:pPr>
      <w:r w:rsidRPr="00DD2A86">
        <w:rPr>
          <w:rFonts w:eastAsia="SimSun"/>
          <w:lang w:val="de-DE" w:eastAsia="zh-CN"/>
        </w:rPr>
        <w:t>9.1.0.32.2</w:t>
      </w:r>
      <w:r w:rsidRPr="00DD2A86">
        <w:rPr>
          <w:rFonts w:eastAsia="SimSun"/>
          <w:lang w:val="de-DE" w:eastAsia="zh-CN"/>
        </w:rPr>
        <w:tab/>
        <w:t>-</w:t>
      </w:r>
      <w:r w:rsidRPr="00DD2A86">
        <w:rPr>
          <w:rFonts w:eastAsia="SimSun"/>
          <w:lang w:val="de-DE" w:eastAsia="zh-CN"/>
        </w:rPr>
        <w:tab/>
        <w:t>„Lüftungsöffnungen“ ändern in: „Öffnungen der Lüftungsrohre“.</w:t>
      </w:r>
    </w:p>
    <w:p w:rsidR="006F7941" w:rsidRPr="00DD2A86" w:rsidRDefault="006F7941" w:rsidP="006F7941">
      <w:pPr>
        <w:tabs>
          <w:tab w:val="left" w:pos="1701"/>
        </w:tabs>
        <w:spacing w:before="240" w:after="120"/>
        <w:ind w:left="1134" w:right="1134"/>
        <w:jc w:val="both"/>
        <w:rPr>
          <w:rFonts w:eastAsia="SimSun"/>
          <w:lang w:val="de-DE" w:eastAsia="zh-CN"/>
        </w:rPr>
      </w:pPr>
      <w:r w:rsidRPr="00DD2A86">
        <w:rPr>
          <w:rFonts w:eastAsia="SimSun"/>
          <w:lang w:val="de-DE" w:eastAsia="zh-CN"/>
        </w:rPr>
        <w:t>9.1.0.40.2.1</w:t>
      </w:r>
      <w:r w:rsidRPr="00DD2A86">
        <w:rPr>
          <w:rFonts w:eastAsia="SimSun"/>
          <w:lang w:val="de-DE" w:eastAsia="zh-CN"/>
        </w:rPr>
        <w:tab/>
        <w:t>Einen neuen Buchstaben e) und einen neuen Buchstaben f) mit folgendem Wortlaut hinzufügen:</w:t>
      </w:r>
    </w:p>
    <w:p w:rsidR="006F7941" w:rsidRPr="00DD2A86" w:rsidRDefault="006F7941" w:rsidP="006F7941">
      <w:pPr>
        <w:suppressAutoHyphens w:val="0"/>
        <w:autoSpaceDE w:val="0"/>
        <w:autoSpaceDN w:val="0"/>
        <w:adjustRightInd w:val="0"/>
        <w:spacing w:before="120"/>
        <w:ind w:left="1843" w:right="567"/>
        <w:jc w:val="both"/>
        <w:rPr>
          <w:rFonts w:eastAsia="Calibri"/>
          <w:lang w:val="de-DE" w:eastAsia="nl-NL"/>
        </w:rPr>
      </w:pPr>
      <w:r w:rsidRPr="00DD2A86">
        <w:rPr>
          <w:rFonts w:eastAsia="Calibri"/>
          <w:lang w:val="de-DE" w:eastAsia="nl-NL"/>
        </w:rPr>
        <w:t>„e)</w:t>
      </w:r>
      <w:r w:rsidRPr="00DD2A86">
        <w:rPr>
          <w:rFonts w:eastAsia="Calibri"/>
          <w:lang w:val="de-DE" w:eastAsia="nl-NL"/>
        </w:rPr>
        <w:tab/>
        <w:t>(bleibt offen);</w:t>
      </w:r>
    </w:p>
    <w:p w:rsidR="006F7941" w:rsidRPr="00DD2A86" w:rsidRDefault="006F7941" w:rsidP="006F7941">
      <w:pPr>
        <w:suppressAutoHyphens w:val="0"/>
        <w:autoSpaceDE w:val="0"/>
        <w:autoSpaceDN w:val="0"/>
        <w:adjustRightInd w:val="0"/>
        <w:spacing w:before="120"/>
        <w:ind w:left="1843" w:right="567"/>
        <w:jc w:val="both"/>
        <w:rPr>
          <w:rFonts w:eastAsia="Calibri"/>
          <w:lang w:val="de-DE" w:eastAsia="nl-NL"/>
        </w:rPr>
      </w:pPr>
      <w:r w:rsidRPr="00DD2A86">
        <w:rPr>
          <w:rFonts w:eastAsia="Calibri"/>
          <w:lang w:val="de-DE" w:eastAsia="nl-NL"/>
        </w:rPr>
        <w:t>f)</w:t>
      </w:r>
      <w:r w:rsidRPr="00DD2A86">
        <w:rPr>
          <w:rFonts w:eastAsia="Calibri"/>
          <w:lang w:val="de-DE" w:eastAsia="nl-NL"/>
        </w:rPr>
        <w:tab/>
        <w:t>K</w:t>
      </w:r>
      <w:r w:rsidRPr="00DD2A86">
        <w:rPr>
          <w:rFonts w:eastAsia="Calibri"/>
          <w:vertAlign w:val="subscript"/>
          <w:lang w:val="de-DE" w:eastAsia="nl-NL"/>
        </w:rPr>
        <w:t>2</w:t>
      </w:r>
      <w:r w:rsidRPr="00DD2A86">
        <w:rPr>
          <w:rFonts w:eastAsia="Calibri"/>
          <w:lang w:val="de-DE" w:eastAsia="nl-NL"/>
        </w:rPr>
        <w:t>CO</w:t>
      </w:r>
      <w:r w:rsidRPr="00DD2A86">
        <w:rPr>
          <w:rFonts w:eastAsia="Calibri"/>
          <w:vertAlign w:val="subscript"/>
          <w:lang w:val="de-DE" w:eastAsia="nl-NL"/>
        </w:rPr>
        <w:t>3</w:t>
      </w:r>
      <w:r w:rsidR="00871C3E" w:rsidRPr="00DD2A86">
        <w:rPr>
          <w:rFonts w:eastAsia="Calibri"/>
          <w:vertAlign w:val="subscript"/>
          <w:lang w:val="de-DE" w:eastAsia="nl-NL"/>
        </w:rPr>
        <w:t xml:space="preserve"> </w:t>
      </w:r>
      <w:r w:rsidR="00871C3E" w:rsidRPr="00DD2A86">
        <w:rPr>
          <w:rFonts w:eastAsia="Calibri"/>
          <w:lang w:val="de-DE" w:eastAsia="nl-NL"/>
        </w:rPr>
        <w:t>(Kaliumcarbonat)</w:t>
      </w:r>
      <w:r w:rsidRPr="00DD2A86">
        <w:rPr>
          <w:rFonts w:eastAsia="Calibri"/>
          <w:lang w:val="de-DE" w:eastAsia="nl-NL"/>
        </w:rPr>
        <w:t>“.</w:t>
      </w:r>
    </w:p>
    <w:p w:rsidR="0067734F" w:rsidRPr="00DD2A86" w:rsidRDefault="0067734F">
      <w:pPr>
        <w:suppressAutoHyphens w:val="0"/>
        <w:spacing w:line="240" w:lineRule="auto"/>
        <w:rPr>
          <w:lang w:val="de-DE"/>
        </w:rPr>
      </w:pPr>
    </w:p>
    <w:p w:rsidR="006F7941" w:rsidRPr="00DD2A86" w:rsidRDefault="006F7941" w:rsidP="006F7941">
      <w:pPr>
        <w:spacing w:after="120"/>
        <w:ind w:left="1134" w:right="1134"/>
        <w:jc w:val="both"/>
        <w:rPr>
          <w:lang w:val="de-DE"/>
        </w:rPr>
      </w:pPr>
      <w:r w:rsidRPr="00DD2A86">
        <w:rPr>
          <w:lang w:val="de-DE"/>
        </w:rPr>
        <w:t>9.1.0.40.2.2 f)</w:t>
      </w:r>
      <w:r w:rsidRPr="00DD2A86">
        <w:rPr>
          <w:lang w:val="de-DE"/>
        </w:rPr>
        <w:tab/>
      </w:r>
      <w:r w:rsidRPr="00DD2A86">
        <w:rPr>
          <w:lang w:val="de-DE"/>
        </w:rPr>
        <w:tab/>
      </w:r>
      <w:r w:rsidR="005B0414" w:rsidRPr="00DD2A86">
        <w:rPr>
          <w:lang w:val="de-DE"/>
        </w:rPr>
        <w:t>Der</w:t>
      </w:r>
      <w:r w:rsidRPr="00DD2A86">
        <w:rPr>
          <w:lang w:val="de-DE"/>
        </w:rPr>
        <w:t xml:space="preserve"> Buchstabe f) e</w:t>
      </w:r>
      <w:r w:rsidRPr="00DD2A86">
        <w:rPr>
          <w:iCs/>
          <w:lang w:val="de-DE"/>
        </w:rPr>
        <w:t>rhält folgenden Wortlaut:</w:t>
      </w:r>
    </w:p>
    <w:p w:rsidR="006F7941" w:rsidRPr="00DD2A86" w:rsidRDefault="006F7941" w:rsidP="006F7941">
      <w:pPr>
        <w:spacing w:after="120"/>
        <w:ind w:left="1134" w:right="1134"/>
        <w:jc w:val="both"/>
        <w:rPr>
          <w:lang w:val="de-DE"/>
        </w:rPr>
      </w:pPr>
      <w:r w:rsidRPr="00DD2A86">
        <w:rPr>
          <w:lang w:val="de-DE"/>
        </w:rPr>
        <w:t>„f)</w:t>
      </w:r>
      <w:r w:rsidRPr="00DD2A86">
        <w:rPr>
          <w:lang w:val="de-DE"/>
        </w:rPr>
        <w:tab/>
        <w:t>Geschützte Räume müssen über eine Möglichkeit zum Absaugen des Löschmittels und der Brandgase verfügen. Solche Vorrichtungen müssen von einer Position außerhalb der geschützten Räume aus bedienbar sein, die durch einen Brand in diesen Räumen nicht unzugänglich gemacht werden dürfen. Sind fest installierte Absaugeinrichtungen vorhanden, dürfen diese während des Löschvorganges nicht eingeschaltet werden können.“.</w:t>
      </w:r>
    </w:p>
    <w:p w:rsidR="00C65079" w:rsidRPr="00DD2A86" w:rsidRDefault="00C65079" w:rsidP="0049020F">
      <w:pPr>
        <w:kinsoku w:val="0"/>
        <w:overflowPunct w:val="0"/>
        <w:autoSpaceDE w:val="0"/>
        <w:autoSpaceDN w:val="0"/>
        <w:adjustRightInd w:val="0"/>
        <w:snapToGrid w:val="0"/>
        <w:spacing w:after="120"/>
        <w:ind w:left="1134" w:right="1134"/>
        <w:jc w:val="both"/>
        <w:rPr>
          <w:rFonts w:eastAsiaTheme="minorHAnsi"/>
          <w:lang w:val="de-DE"/>
        </w:rPr>
      </w:pPr>
      <w:r w:rsidRPr="00DD2A86">
        <w:rPr>
          <w:rFonts w:eastAsiaTheme="minorHAnsi"/>
          <w:lang w:val="de-DE"/>
        </w:rPr>
        <w:t>9.1.0.40.2.7</w:t>
      </w:r>
      <w:r w:rsidRPr="00DD2A86">
        <w:rPr>
          <w:rFonts w:eastAsiaTheme="minorHAnsi"/>
          <w:lang w:val="de-DE"/>
        </w:rPr>
        <w:tab/>
        <w:t>[Die Änderung in der französischen Fassung hat keine Auswirkungen auf den deutschen Text.]</w:t>
      </w:r>
    </w:p>
    <w:p w:rsidR="00524441" w:rsidRPr="00DD2A86" w:rsidRDefault="00524441" w:rsidP="00524441">
      <w:pPr>
        <w:tabs>
          <w:tab w:val="left" w:pos="2835"/>
        </w:tabs>
        <w:spacing w:after="160" w:line="259" w:lineRule="auto"/>
        <w:ind w:left="1134" w:right="1134"/>
        <w:jc w:val="both"/>
        <w:rPr>
          <w:lang w:val="de-DE"/>
        </w:rPr>
      </w:pPr>
      <w:r w:rsidRPr="00DD2A86">
        <w:rPr>
          <w:rFonts w:eastAsia="SimSun"/>
          <w:lang w:val="de-DE" w:eastAsia="zh-CN"/>
        </w:rPr>
        <w:t>9.1.0.40.2.14</w:t>
      </w:r>
      <w:r w:rsidRPr="00DD2A86">
        <w:rPr>
          <w:rFonts w:eastAsia="SimSun"/>
          <w:lang w:val="de-DE" w:eastAsia="zh-CN"/>
        </w:rPr>
        <w:tab/>
      </w:r>
      <w:r w:rsidRPr="00DD2A86">
        <w:rPr>
          <w:lang w:val="de-DE"/>
        </w:rPr>
        <w:t xml:space="preserve">Der bisherige Absatz „9.1.0.40.2.14“ wird zu „9.1.0.40.2.16“ mit unverändertem Wortlaut. </w:t>
      </w:r>
    </w:p>
    <w:p w:rsidR="00524441" w:rsidRPr="00DD2A86" w:rsidRDefault="00524441" w:rsidP="00524441">
      <w:pPr>
        <w:tabs>
          <w:tab w:val="left" w:pos="2835"/>
        </w:tabs>
        <w:spacing w:after="160" w:line="259" w:lineRule="auto"/>
        <w:ind w:left="1134" w:right="1134"/>
        <w:jc w:val="both"/>
        <w:rPr>
          <w:lang w:val="de-DE"/>
        </w:rPr>
      </w:pPr>
      <w:r w:rsidRPr="00DD2A86">
        <w:rPr>
          <w:rFonts w:eastAsia="SimSun"/>
          <w:lang w:val="de-DE" w:eastAsia="zh-CN"/>
        </w:rPr>
        <w:t>9.1.0.40.2.14</w:t>
      </w:r>
      <w:r w:rsidRPr="00DD2A86">
        <w:rPr>
          <w:rFonts w:eastAsia="SimSun"/>
          <w:lang w:val="de-DE" w:eastAsia="zh-CN"/>
        </w:rPr>
        <w:tab/>
        <w:t xml:space="preserve">Einen neuen Absatz </w:t>
      </w:r>
      <w:r w:rsidRPr="00DD2A86">
        <w:rPr>
          <w:lang w:val="de-DE"/>
        </w:rPr>
        <w:t>„9.1.0.40.2.14“ mit folgendem Wortlaut hinzufügen: „</w:t>
      </w:r>
      <w:r w:rsidR="00871C3E" w:rsidRPr="00DD2A86">
        <w:rPr>
          <w:lang w:val="de-DE"/>
        </w:rPr>
        <w:t xml:space="preserve">9.1.0.40.2.14 </w:t>
      </w:r>
      <w:r w:rsidR="00871C3E" w:rsidRPr="00DD2A86">
        <w:rPr>
          <w:lang w:val="de-DE"/>
        </w:rPr>
        <w:tab/>
      </w:r>
      <w:r w:rsidRPr="00DD2A86">
        <w:rPr>
          <w:lang w:val="de-DE"/>
        </w:rPr>
        <w:t>(bleibt offen)“.</w:t>
      </w:r>
    </w:p>
    <w:p w:rsidR="00524441" w:rsidRPr="00DD2A86" w:rsidRDefault="00524441" w:rsidP="00524441">
      <w:pPr>
        <w:tabs>
          <w:tab w:val="left" w:pos="2835"/>
        </w:tabs>
        <w:spacing w:before="120" w:after="120"/>
        <w:ind w:left="1134" w:right="1134"/>
        <w:jc w:val="both"/>
        <w:rPr>
          <w:lang w:val="de-DE"/>
        </w:rPr>
      </w:pPr>
      <w:r w:rsidRPr="00DD2A86">
        <w:rPr>
          <w:lang w:val="de-DE"/>
        </w:rPr>
        <w:t>9.1.0.40.2.15</w:t>
      </w:r>
      <w:r w:rsidRPr="00DD2A86">
        <w:rPr>
          <w:lang w:val="de-DE"/>
        </w:rPr>
        <w:tab/>
        <w:t>Einen neuen Absatz 9.1.0.40.2.15 mit folgendem Wortlaut hinzufügen:</w:t>
      </w:r>
    </w:p>
    <w:p w:rsidR="00524441" w:rsidRPr="00DD2A86" w:rsidRDefault="00524441" w:rsidP="00524441">
      <w:pPr>
        <w:suppressAutoHyphens w:val="0"/>
        <w:spacing w:after="160" w:line="259" w:lineRule="auto"/>
        <w:ind w:left="1134" w:right="1134"/>
        <w:jc w:val="both"/>
        <w:rPr>
          <w:rFonts w:eastAsia="Calibri"/>
          <w:lang w:val="de-DE"/>
        </w:rPr>
      </w:pPr>
      <w:r w:rsidRPr="00DD2A86">
        <w:rPr>
          <w:rFonts w:eastAsia="Calibri"/>
          <w:lang w:val="de-DE"/>
        </w:rPr>
        <w:t>„9.1.0.40.2.15</w:t>
      </w:r>
      <w:r w:rsidRPr="00DD2A86">
        <w:rPr>
          <w:rFonts w:eastAsia="Calibri"/>
          <w:lang w:val="de-DE"/>
        </w:rPr>
        <w:tab/>
        <w:t>Mit K</w:t>
      </w:r>
      <w:r w:rsidRPr="00DD2A86">
        <w:rPr>
          <w:rFonts w:eastAsia="Calibri"/>
          <w:vertAlign w:val="subscript"/>
          <w:lang w:val="de-DE"/>
        </w:rPr>
        <w:t>2</w:t>
      </w:r>
      <w:r w:rsidRPr="00DD2A86">
        <w:rPr>
          <w:rFonts w:eastAsia="Calibri"/>
          <w:lang w:val="de-DE"/>
        </w:rPr>
        <w:t>CO</w:t>
      </w:r>
      <w:r w:rsidRPr="00DD2A86">
        <w:rPr>
          <w:rFonts w:eastAsia="Calibri"/>
          <w:vertAlign w:val="subscript"/>
          <w:lang w:val="de-DE"/>
        </w:rPr>
        <w:t xml:space="preserve">3 </w:t>
      </w:r>
      <w:r w:rsidRPr="00DD2A86">
        <w:rPr>
          <w:rFonts w:eastAsia="Calibri"/>
          <w:lang w:val="de-DE"/>
        </w:rPr>
        <w:t xml:space="preserve"> als Löschmittel betriebene Feuerlösch</w:t>
      </w:r>
      <w:r w:rsidR="00871C3E" w:rsidRPr="00DD2A86">
        <w:rPr>
          <w:rFonts w:eastAsia="Calibri"/>
          <w:lang w:val="de-DE"/>
        </w:rPr>
        <w:t>einrichtungen</w:t>
      </w:r>
    </w:p>
    <w:p w:rsidR="00524441" w:rsidRPr="00DD2A86" w:rsidRDefault="00871C3E" w:rsidP="00524441">
      <w:pPr>
        <w:suppressAutoHyphens w:val="0"/>
        <w:autoSpaceDE w:val="0"/>
        <w:autoSpaceDN w:val="0"/>
        <w:adjustRightInd w:val="0"/>
        <w:spacing w:line="240" w:lineRule="auto"/>
        <w:ind w:left="1134" w:right="1134"/>
        <w:jc w:val="both"/>
        <w:rPr>
          <w:rFonts w:eastAsia="Calibri"/>
          <w:lang w:val="de-DE"/>
        </w:rPr>
      </w:pPr>
      <w:r w:rsidRPr="00DD2A86">
        <w:rPr>
          <w:rFonts w:eastAsia="Calibri"/>
          <w:lang w:val="de-DE"/>
        </w:rPr>
        <w:t>Feuerlöscheinrichtungen</w:t>
      </w:r>
      <w:r w:rsidR="00524441" w:rsidRPr="00DD2A86">
        <w:rPr>
          <w:rFonts w:eastAsia="Calibri"/>
          <w:lang w:val="de-DE"/>
        </w:rPr>
        <w:t>, die mit K</w:t>
      </w:r>
      <w:r w:rsidR="00524441" w:rsidRPr="00DD2A86">
        <w:rPr>
          <w:rFonts w:eastAsia="Calibri"/>
          <w:vertAlign w:val="subscript"/>
          <w:lang w:val="de-DE"/>
        </w:rPr>
        <w:t>2</w:t>
      </w:r>
      <w:r w:rsidR="00524441" w:rsidRPr="00DD2A86">
        <w:rPr>
          <w:rFonts w:eastAsia="Calibri"/>
          <w:lang w:val="de-DE"/>
        </w:rPr>
        <w:t>CO</w:t>
      </w:r>
      <w:r w:rsidR="00524441" w:rsidRPr="00DD2A86">
        <w:rPr>
          <w:rFonts w:eastAsia="Calibri"/>
          <w:vertAlign w:val="subscript"/>
          <w:lang w:val="de-DE"/>
        </w:rPr>
        <w:t xml:space="preserve">3 </w:t>
      </w:r>
      <w:r w:rsidR="00524441" w:rsidRPr="00DD2A86">
        <w:rPr>
          <w:rFonts w:eastAsia="Calibri"/>
          <w:lang w:val="de-DE"/>
        </w:rPr>
        <w:t>als Löschmittel betrieben werden, müssen über die Anforderungen nach den Absätzen 9.1.0.40.2.1 bis 9.1.0.40.2.3, 9.1.0.40.2.5, 9.1.0.40.2.6 und 9.1.0.40.2.9 hinaus den folgenden Bestimmungen entsprechen:</w:t>
      </w:r>
    </w:p>
    <w:p w:rsidR="00524441" w:rsidRPr="00DD2A86" w:rsidRDefault="00524441" w:rsidP="00524441">
      <w:pPr>
        <w:suppressAutoHyphens w:val="0"/>
        <w:autoSpaceDE w:val="0"/>
        <w:autoSpaceDN w:val="0"/>
        <w:adjustRightInd w:val="0"/>
        <w:spacing w:before="60"/>
        <w:ind w:left="1418" w:right="1134" w:hanging="284"/>
        <w:jc w:val="both"/>
        <w:rPr>
          <w:snapToGrid w:val="0"/>
          <w:szCs w:val="24"/>
          <w:lang w:val="de-DE" w:eastAsia="fr-FR"/>
        </w:rPr>
      </w:pPr>
      <w:r w:rsidRPr="00DD2A86">
        <w:rPr>
          <w:snapToGrid w:val="0"/>
          <w:szCs w:val="24"/>
          <w:lang w:val="de-DE" w:eastAsia="fr-FR"/>
        </w:rPr>
        <w:t>a)</w:t>
      </w:r>
      <w:r w:rsidRPr="00DD2A86">
        <w:rPr>
          <w:snapToGrid w:val="0"/>
          <w:szCs w:val="24"/>
          <w:lang w:val="de-DE" w:eastAsia="fr-FR"/>
        </w:rPr>
        <w:tab/>
        <w:t xml:space="preserve">Die </w:t>
      </w:r>
      <w:r w:rsidR="00871C3E" w:rsidRPr="00DD2A86">
        <w:rPr>
          <w:snapToGrid w:val="0"/>
          <w:szCs w:val="24"/>
          <w:lang w:val="de-DE" w:eastAsia="fr-FR"/>
        </w:rPr>
        <w:t xml:space="preserve">Feuerlöscheinrichtung </w:t>
      </w:r>
      <w:r w:rsidRPr="00DD2A86">
        <w:rPr>
          <w:snapToGrid w:val="0"/>
          <w:szCs w:val="24"/>
          <w:lang w:val="de-DE" w:eastAsia="fr-FR"/>
        </w:rPr>
        <w:t>muss über eine Typgenehmigung nach der Richtlinie 2014/90/EU</w:t>
      </w:r>
      <w:r w:rsidRPr="00DD2A86">
        <w:rPr>
          <w:snapToGrid w:val="0"/>
          <w:sz w:val="18"/>
          <w:szCs w:val="24"/>
          <w:vertAlign w:val="superscript"/>
          <w:lang w:val="de-DE" w:eastAsia="fr-FR"/>
        </w:rPr>
        <w:t xml:space="preserve"> </w:t>
      </w:r>
      <w:r w:rsidRPr="00DD2A86">
        <w:rPr>
          <w:snapToGrid w:val="0"/>
          <w:sz w:val="18"/>
          <w:szCs w:val="24"/>
          <w:vertAlign w:val="superscript"/>
          <w:lang w:val="fr-CH" w:eastAsia="fr-FR"/>
        </w:rPr>
        <w:footnoteReference w:id="67"/>
      </w:r>
      <w:r w:rsidR="00EC37B3" w:rsidRPr="00DD2A86">
        <w:rPr>
          <w:snapToGrid w:val="0"/>
          <w:sz w:val="18"/>
          <w:szCs w:val="24"/>
          <w:vertAlign w:val="superscript"/>
          <w:lang w:val="de-DE" w:eastAsia="fr-FR"/>
        </w:rPr>
        <w:t>)</w:t>
      </w:r>
      <w:r w:rsidRPr="00DD2A86">
        <w:rPr>
          <w:snapToGrid w:val="0"/>
          <w:szCs w:val="24"/>
          <w:lang w:val="de-DE" w:eastAsia="fr-FR"/>
        </w:rPr>
        <w:t xml:space="preserve"> oder nach MSC/Circ. 1270</w:t>
      </w:r>
      <w:r w:rsidRPr="00DD2A86">
        <w:rPr>
          <w:snapToGrid w:val="0"/>
          <w:szCs w:val="24"/>
          <w:vertAlign w:val="superscript"/>
          <w:lang w:val="fr-FR" w:eastAsia="fr-FR"/>
        </w:rPr>
        <w:footnoteReference w:id="68"/>
      </w:r>
      <w:r w:rsidR="00EC37B3" w:rsidRPr="00DD2A86">
        <w:rPr>
          <w:snapToGrid w:val="0"/>
          <w:szCs w:val="24"/>
          <w:vertAlign w:val="superscript"/>
          <w:lang w:val="de-DE" w:eastAsia="fr-FR"/>
        </w:rPr>
        <w:t>)</w:t>
      </w:r>
      <w:r w:rsidRPr="00DD2A86">
        <w:rPr>
          <w:snapToGrid w:val="0"/>
          <w:szCs w:val="24"/>
          <w:lang w:val="de-DE" w:eastAsia="fr-FR"/>
        </w:rPr>
        <w:t xml:space="preserve"> verfügen;</w:t>
      </w:r>
    </w:p>
    <w:p w:rsidR="00524441" w:rsidRPr="00DD2A86" w:rsidRDefault="00524441" w:rsidP="00524441">
      <w:pPr>
        <w:suppressAutoHyphens w:val="0"/>
        <w:autoSpaceDE w:val="0"/>
        <w:autoSpaceDN w:val="0"/>
        <w:adjustRightInd w:val="0"/>
        <w:spacing w:before="60"/>
        <w:ind w:left="1418" w:right="1134" w:hanging="284"/>
        <w:jc w:val="both"/>
        <w:rPr>
          <w:snapToGrid w:val="0"/>
          <w:szCs w:val="24"/>
          <w:lang w:val="de-DE" w:eastAsia="fr-FR"/>
        </w:rPr>
      </w:pPr>
      <w:r w:rsidRPr="00DD2A86">
        <w:rPr>
          <w:snapToGrid w:val="0"/>
          <w:szCs w:val="24"/>
          <w:lang w:val="de-DE" w:eastAsia="fr-FR"/>
        </w:rPr>
        <w:t>b)</w:t>
      </w:r>
      <w:r w:rsidRPr="00DD2A86">
        <w:rPr>
          <w:snapToGrid w:val="0"/>
          <w:szCs w:val="24"/>
          <w:lang w:val="de-DE" w:eastAsia="fr-FR"/>
        </w:rPr>
        <w:tab/>
        <w:t>Jeder Raum ist mit einer eigenen Lösch</w:t>
      </w:r>
      <w:r w:rsidR="00871C3E" w:rsidRPr="00DD2A86">
        <w:rPr>
          <w:snapToGrid w:val="0"/>
          <w:szCs w:val="24"/>
          <w:lang w:val="de-DE" w:eastAsia="fr-FR"/>
        </w:rPr>
        <w:t>einrichtung</w:t>
      </w:r>
      <w:r w:rsidRPr="00DD2A86">
        <w:rPr>
          <w:snapToGrid w:val="0"/>
          <w:szCs w:val="24"/>
          <w:lang w:val="de-DE" w:eastAsia="fr-FR"/>
        </w:rPr>
        <w:t xml:space="preserve"> zu versehen;</w:t>
      </w:r>
    </w:p>
    <w:p w:rsidR="00524441" w:rsidRPr="00DD2A86" w:rsidRDefault="00524441" w:rsidP="00524441">
      <w:pPr>
        <w:suppressAutoHyphens w:val="0"/>
        <w:autoSpaceDE w:val="0"/>
        <w:autoSpaceDN w:val="0"/>
        <w:adjustRightInd w:val="0"/>
        <w:spacing w:before="60"/>
        <w:ind w:left="1418" w:right="1134" w:hanging="284"/>
        <w:jc w:val="both"/>
        <w:rPr>
          <w:snapToGrid w:val="0"/>
          <w:szCs w:val="24"/>
          <w:lang w:val="de-DE" w:eastAsia="fr-FR"/>
        </w:rPr>
      </w:pPr>
      <w:r w:rsidRPr="00DD2A86">
        <w:rPr>
          <w:snapToGrid w:val="0"/>
          <w:szCs w:val="24"/>
          <w:lang w:val="de-DE" w:eastAsia="fr-FR"/>
        </w:rPr>
        <w:t>c)</w:t>
      </w:r>
      <w:r w:rsidRPr="00DD2A86">
        <w:rPr>
          <w:snapToGrid w:val="0"/>
          <w:szCs w:val="24"/>
          <w:lang w:val="de-DE" w:eastAsia="fr-FR"/>
        </w:rPr>
        <w:tab/>
        <w:t>Das Löschmittel muss in speziell dafür vorgesehenen drucklosen Behältern im zu schützenden Raum aufbewahrt werden. Diese Behälter müssen so angebracht sein, dass das Löschmittel gleichmäßig im Raum verteilt wird. Insbesondere muss das Löschmittel auch unter den Bodenplatten wirken;</w:t>
      </w:r>
    </w:p>
    <w:p w:rsidR="00524441" w:rsidRPr="00DD2A86" w:rsidRDefault="00524441" w:rsidP="00524441">
      <w:pPr>
        <w:suppressAutoHyphens w:val="0"/>
        <w:autoSpaceDE w:val="0"/>
        <w:autoSpaceDN w:val="0"/>
        <w:adjustRightInd w:val="0"/>
        <w:spacing w:before="60"/>
        <w:ind w:left="1418" w:right="1134" w:hanging="284"/>
        <w:jc w:val="both"/>
        <w:rPr>
          <w:snapToGrid w:val="0"/>
          <w:szCs w:val="24"/>
          <w:lang w:val="de-DE" w:eastAsia="fr-FR"/>
        </w:rPr>
      </w:pPr>
      <w:r w:rsidRPr="00DD2A86">
        <w:rPr>
          <w:snapToGrid w:val="0"/>
          <w:szCs w:val="24"/>
          <w:lang w:val="de-DE" w:eastAsia="fr-FR"/>
        </w:rPr>
        <w:t>d)</w:t>
      </w:r>
      <w:r w:rsidRPr="00DD2A86">
        <w:rPr>
          <w:snapToGrid w:val="0"/>
          <w:szCs w:val="24"/>
          <w:lang w:val="de-DE" w:eastAsia="fr-FR"/>
        </w:rPr>
        <w:tab/>
        <w:t xml:space="preserve">Jeder Behälter </w:t>
      </w:r>
      <w:r w:rsidR="00871C3E" w:rsidRPr="00DD2A86">
        <w:rPr>
          <w:snapToGrid w:val="0"/>
          <w:szCs w:val="24"/>
          <w:lang w:val="de-DE" w:eastAsia="fr-FR"/>
        </w:rPr>
        <w:t xml:space="preserve">ist </w:t>
      </w:r>
      <w:r w:rsidRPr="00DD2A86">
        <w:rPr>
          <w:snapToGrid w:val="0"/>
          <w:szCs w:val="24"/>
          <w:lang w:val="de-DE" w:eastAsia="fr-FR"/>
        </w:rPr>
        <w:t xml:space="preserve">separat mit der </w:t>
      </w:r>
      <w:r w:rsidR="00871C3E" w:rsidRPr="00DD2A86">
        <w:rPr>
          <w:snapToGrid w:val="0"/>
          <w:szCs w:val="24"/>
          <w:lang w:val="de-DE" w:eastAsia="fr-FR"/>
        </w:rPr>
        <w:t>Auslösee</w:t>
      </w:r>
      <w:r w:rsidRPr="00DD2A86">
        <w:rPr>
          <w:snapToGrid w:val="0"/>
          <w:szCs w:val="24"/>
          <w:lang w:val="de-DE" w:eastAsia="fr-FR"/>
        </w:rPr>
        <w:t xml:space="preserve">inrichtung </w:t>
      </w:r>
      <w:r w:rsidR="00C61E10" w:rsidRPr="00DD2A86">
        <w:rPr>
          <w:snapToGrid w:val="0"/>
          <w:szCs w:val="24"/>
          <w:lang w:val="de-DE" w:eastAsia="fr-FR"/>
        </w:rPr>
        <w:t>zu verbinden</w:t>
      </w:r>
      <w:r w:rsidRPr="00DD2A86">
        <w:rPr>
          <w:snapToGrid w:val="0"/>
          <w:szCs w:val="24"/>
          <w:lang w:val="de-DE" w:eastAsia="fr-FR"/>
        </w:rPr>
        <w:t>;</w:t>
      </w:r>
    </w:p>
    <w:p w:rsidR="00524441" w:rsidRPr="00DD2A86" w:rsidRDefault="00524441" w:rsidP="00524441">
      <w:pPr>
        <w:suppressAutoHyphens w:val="0"/>
        <w:autoSpaceDE w:val="0"/>
        <w:autoSpaceDN w:val="0"/>
        <w:adjustRightInd w:val="0"/>
        <w:spacing w:before="60"/>
        <w:ind w:left="1418" w:right="1134" w:hanging="284"/>
        <w:jc w:val="both"/>
        <w:rPr>
          <w:snapToGrid w:val="0"/>
          <w:szCs w:val="24"/>
          <w:lang w:val="de-DE" w:eastAsia="fr-FR"/>
        </w:rPr>
      </w:pPr>
      <w:r w:rsidRPr="00DD2A86">
        <w:rPr>
          <w:snapToGrid w:val="0"/>
          <w:szCs w:val="24"/>
          <w:lang w:val="de-DE" w:eastAsia="fr-FR"/>
        </w:rPr>
        <w:t>e)</w:t>
      </w:r>
      <w:r w:rsidRPr="00DD2A86">
        <w:rPr>
          <w:snapToGrid w:val="0"/>
          <w:szCs w:val="24"/>
          <w:lang w:val="de-DE" w:eastAsia="fr-FR"/>
        </w:rPr>
        <w:tab/>
        <w:t>Die Menge an trockenem aerosolbildendem Löschmittel für den zu schützenden Raum muss mindestens 120 g/m³ des Nettovolumens des Raums betragen.</w:t>
      </w:r>
      <w:r w:rsidRPr="00DD2A86">
        <w:rPr>
          <w:sz w:val="24"/>
          <w:lang w:val="de-DE"/>
        </w:rPr>
        <w:t xml:space="preserve"> </w:t>
      </w:r>
      <w:r w:rsidRPr="00DD2A86">
        <w:rPr>
          <w:snapToGrid w:val="0"/>
          <w:szCs w:val="24"/>
          <w:lang w:val="de-DE" w:eastAsia="fr-FR"/>
        </w:rPr>
        <w:t>Das Nettovolumen errechnet sich nach der Richtlinie 2014/90/EU</w:t>
      </w:r>
      <w:r w:rsidRPr="00DD2A86">
        <w:rPr>
          <w:snapToGrid w:val="0"/>
          <w:sz w:val="18"/>
          <w:szCs w:val="24"/>
          <w:vertAlign w:val="superscript"/>
          <w:lang w:val="de-DE" w:eastAsia="fr-FR"/>
        </w:rPr>
        <w:t xml:space="preserve"> </w:t>
      </w:r>
      <w:r w:rsidRPr="00DD2A86">
        <w:rPr>
          <w:snapToGrid w:val="0"/>
          <w:sz w:val="18"/>
          <w:szCs w:val="24"/>
          <w:vertAlign w:val="superscript"/>
          <w:lang w:val="fr-CH" w:eastAsia="fr-FR"/>
        </w:rPr>
        <w:footnoteReference w:id="69"/>
      </w:r>
      <w:r w:rsidR="00EC37B3" w:rsidRPr="00DD2A86">
        <w:rPr>
          <w:snapToGrid w:val="0"/>
          <w:sz w:val="18"/>
          <w:szCs w:val="24"/>
          <w:vertAlign w:val="superscript"/>
          <w:lang w:val="de-DE" w:eastAsia="fr-FR"/>
        </w:rPr>
        <w:t>)</w:t>
      </w:r>
      <w:r w:rsidRPr="00DD2A86">
        <w:rPr>
          <w:snapToGrid w:val="0"/>
          <w:szCs w:val="24"/>
          <w:lang w:val="de-DE" w:eastAsia="fr-FR"/>
        </w:rPr>
        <w:t xml:space="preserve"> oder nach MSC/Circ. 1270</w:t>
      </w:r>
      <w:r w:rsidRPr="00DD2A86">
        <w:rPr>
          <w:snapToGrid w:val="0"/>
          <w:szCs w:val="24"/>
          <w:vertAlign w:val="superscript"/>
          <w:lang w:val="fr-FR" w:eastAsia="fr-FR"/>
        </w:rPr>
        <w:footnoteReference w:id="70"/>
      </w:r>
      <w:r w:rsidR="00EC37B3" w:rsidRPr="00DD2A86">
        <w:rPr>
          <w:snapToGrid w:val="0"/>
          <w:szCs w:val="24"/>
          <w:vertAlign w:val="superscript"/>
          <w:lang w:val="de-DE" w:eastAsia="fr-FR"/>
        </w:rPr>
        <w:t>)</w:t>
      </w:r>
      <w:r w:rsidRPr="00DD2A86">
        <w:rPr>
          <w:snapToGrid w:val="0"/>
          <w:lang w:val="de-DE"/>
        </w:rPr>
        <w:t>.</w:t>
      </w:r>
      <w:r w:rsidRPr="00DD2A86">
        <w:rPr>
          <w:snapToGrid w:val="0"/>
          <w:szCs w:val="24"/>
          <w:lang w:val="de-DE" w:eastAsia="fr-FR"/>
        </w:rPr>
        <w:t xml:space="preserve"> Das Löschmittel muss innerhalb von 120 Sekunden zugeführt werden können.“.</w:t>
      </w:r>
    </w:p>
    <w:p w:rsidR="00816896" w:rsidRPr="00DD2A86" w:rsidRDefault="00816896" w:rsidP="0049020F">
      <w:pPr>
        <w:suppressAutoHyphens w:val="0"/>
        <w:autoSpaceDE w:val="0"/>
        <w:autoSpaceDN w:val="0"/>
        <w:adjustRightInd w:val="0"/>
        <w:spacing w:before="240" w:line="240" w:lineRule="auto"/>
        <w:ind w:left="1134" w:right="1134"/>
        <w:jc w:val="both"/>
        <w:rPr>
          <w:rFonts w:eastAsia="Calibri"/>
          <w:lang w:val="de-DE"/>
        </w:rPr>
      </w:pPr>
      <w:r w:rsidRPr="00DD2A86">
        <w:rPr>
          <w:rFonts w:eastAsia="Calibri"/>
          <w:lang w:val="de-DE"/>
        </w:rPr>
        <w:t xml:space="preserve">„9.1.0.42 – 9.1.0.51 (bleibt offen)“ ändern in: </w:t>
      </w:r>
      <w:r w:rsidR="00C30E39" w:rsidRPr="00DD2A86">
        <w:rPr>
          <w:rFonts w:eastAsia="Calibri"/>
          <w:lang w:val="de-DE"/>
        </w:rPr>
        <w:t>„</w:t>
      </w:r>
      <w:r w:rsidRPr="00DD2A86">
        <w:rPr>
          <w:rFonts w:eastAsia="Calibri"/>
          <w:lang w:val="de-DE"/>
        </w:rPr>
        <w:t>9.1.0.42 – 9.1.0.50 (bleibt offen</w:t>
      </w:r>
      <w:r w:rsidR="00353A93" w:rsidRPr="00DD2A86">
        <w:rPr>
          <w:rFonts w:eastAsia="Calibri"/>
          <w:lang w:val="de-DE"/>
        </w:rPr>
        <w:t>)</w:t>
      </w:r>
      <w:r w:rsidRPr="00DD2A86">
        <w:rPr>
          <w:rFonts w:eastAsia="Calibri"/>
          <w:lang w:val="de-DE"/>
        </w:rPr>
        <w:t>“.</w:t>
      </w:r>
    </w:p>
    <w:p w:rsidR="00353A93" w:rsidRPr="00DD2A86" w:rsidRDefault="00353A93" w:rsidP="0049020F">
      <w:pPr>
        <w:suppressAutoHyphens w:val="0"/>
        <w:autoSpaceDE w:val="0"/>
        <w:autoSpaceDN w:val="0"/>
        <w:adjustRightInd w:val="0"/>
        <w:spacing w:before="240" w:line="240" w:lineRule="auto"/>
        <w:ind w:left="1134" w:right="1134"/>
        <w:jc w:val="both"/>
        <w:rPr>
          <w:rFonts w:eastAsia="Calibri"/>
          <w:bCs/>
          <w:lang w:val="de-DE"/>
        </w:rPr>
      </w:pPr>
      <w:r w:rsidRPr="00DD2A86">
        <w:rPr>
          <w:rFonts w:eastAsia="Calibri"/>
          <w:bCs/>
          <w:lang w:val="de-DE"/>
        </w:rPr>
        <w:t>9.1.0.51</w:t>
      </w:r>
      <w:r w:rsidRPr="00DD2A86">
        <w:rPr>
          <w:rFonts w:eastAsia="Calibri"/>
          <w:bCs/>
          <w:lang w:val="de-DE"/>
        </w:rPr>
        <w:tab/>
        <w:t>Folgenden neuen Absatz hinzufügen:</w:t>
      </w:r>
    </w:p>
    <w:p w:rsidR="00353A93" w:rsidRPr="00DD2A86" w:rsidRDefault="00B1565A" w:rsidP="0049020F">
      <w:pPr>
        <w:tabs>
          <w:tab w:val="left" w:pos="1134"/>
        </w:tabs>
        <w:suppressAutoHyphens w:val="0"/>
        <w:autoSpaceDE w:val="0"/>
        <w:autoSpaceDN w:val="0"/>
        <w:adjustRightInd w:val="0"/>
        <w:spacing w:before="120" w:after="120" w:line="240" w:lineRule="auto"/>
        <w:ind w:left="2268" w:right="1134"/>
        <w:jc w:val="both"/>
        <w:rPr>
          <w:rFonts w:eastAsia="Calibri"/>
          <w:b/>
          <w:lang w:val="de-DE"/>
        </w:rPr>
      </w:pPr>
      <w:r w:rsidRPr="00DD2A86">
        <w:rPr>
          <w:rFonts w:eastAsia="Calibri"/>
          <w:b/>
          <w:lang w:val="de-DE"/>
        </w:rPr>
        <w:t xml:space="preserve">„9.1.0.51 </w:t>
      </w:r>
      <w:r w:rsidR="00353A93" w:rsidRPr="00DD2A86">
        <w:rPr>
          <w:rFonts w:eastAsia="Calibri"/>
          <w:b/>
          <w:lang w:val="de-DE"/>
        </w:rPr>
        <w:t>Oberflächentemperaturen von elektrischen und nicht-el</w:t>
      </w:r>
      <w:r w:rsidRPr="00DD2A86">
        <w:rPr>
          <w:rFonts w:eastAsia="Calibri"/>
          <w:b/>
          <w:lang w:val="de-DE"/>
        </w:rPr>
        <w:t>ektrischen Anlagen und Geräten</w:t>
      </w:r>
    </w:p>
    <w:p w:rsidR="00353A93" w:rsidRPr="00DD2A86" w:rsidRDefault="00353A93" w:rsidP="0049020F">
      <w:pPr>
        <w:suppressAutoHyphens w:val="0"/>
        <w:autoSpaceDE w:val="0"/>
        <w:autoSpaceDN w:val="0"/>
        <w:adjustRightInd w:val="0"/>
        <w:spacing w:line="240" w:lineRule="auto"/>
        <w:ind w:left="2552" w:right="1134" w:hanging="284"/>
        <w:jc w:val="both"/>
        <w:rPr>
          <w:rFonts w:eastAsia="Calibri"/>
          <w:lang w:val="de-DE"/>
        </w:rPr>
      </w:pPr>
      <w:r w:rsidRPr="00DD2A86">
        <w:rPr>
          <w:rFonts w:eastAsia="Calibri"/>
          <w:lang w:val="de-DE"/>
        </w:rPr>
        <w:t>a)</w:t>
      </w:r>
      <w:r w:rsidRPr="00DD2A86">
        <w:rPr>
          <w:rFonts w:eastAsia="Calibri"/>
          <w:lang w:val="de-DE"/>
        </w:rPr>
        <w:tab/>
        <w:t>Oberflächentemperaturen von elektrischen und nicht-elektrischen Anlagen und Geräten sowie von äußeren Teilen von Motoren und deren Luft- und Abgasschächten dürfen 200 °C nicht überschreiten.</w:t>
      </w:r>
    </w:p>
    <w:p w:rsidR="00353A93" w:rsidRPr="00DD2A86" w:rsidRDefault="00353A93" w:rsidP="0049020F">
      <w:pPr>
        <w:suppressAutoHyphens w:val="0"/>
        <w:autoSpaceDE w:val="0"/>
        <w:autoSpaceDN w:val="0"/>
        <w:adjustRightInd w:val="0"/>
        <w:spacing w:line="240" w:lineRule="auto"/>
        <w:ind w:left="2552" w:right="1134" w:hanging="284"/>
        <w:jc w:val="both"/>
        <w:rPr>
          <w:rFonts w:eastAsia="Calibri"/>
          <w:lang w:val="de-DE"/>
        </w:rPr>
      </w:pPr>
      <w:r w:rsidRPr="00DD2A86">
        <w:rPr>
          <w:rFonts w:eastAsia="Calibri"/>
          <w:lang w:val="de-DE"/>
        </w:rPr>
        <w:t>b)</w:t>
      </w:r>
      <w:r w:rsidRPr="00DD2A86">
        <w:rPr>
          <w:rFonts w:eastAsia="Calibri"/>
          <w:lang w:val="de-DE"/>
        </w:rPr>
        <w:tab/>
        <w:t>Dies gilt nicht, wenn folgende Forderungen eingehalten sind:</w:t>
      </w:r>
    </w:p>
    <w:p w:rsidR="00353A93" w:rsidRPr="00DD2A86" w:rsidRDefault="00353A93" w:rsidP="0049020F">
      <w:pPr>
        <w:suppressAutoHyphens w:val="0"/>
        <w:autoSpaceDE w:val="0"/>
        <w:autoSpaceDN w:val="0"/>
        <w:adjustRightInd w:val="0"/>
        <w:spacing w:line="240" w:lineRule="auto"/>
        <w:ind w:left="2835" w:right="1134" w:hanging="284"/>
        <w:jc w:val="both"/>
        <w:rPr>
          <w:rFonts w:eastAsia="Calibri"/>
          <w:lang w:val="de-DE"/>
        </w:rPr>
      </w:pPr>
      <w:r w:rsidRPr="00DD2A86">
        <w:rPr>
          <w:rFonts w:eastAsia="Calibri"/>
          <w:lang w:val="de-DE"/>
        </w:rPr>
        <w:t>-</w:t>
      </w:r>
      <w:r w:rsidRPr="00DD2A86">
        <w:rPr>
          <w:rFonts w:eastAsia="Calibri"/>
          <w:lang w:val="de-DE"/>
        </w:rPr>
        <w:tab/>
        <w:t>Wohnungen, Steuerhaus und Betriebsräume</w:t>
      </w:r>
      <w:r w:rsidR="00D53B5E" w:rsidRPr="00DD2A86">
        <w:rPr>
          <w:rFonts w:eastAsia="Calibri"/>
          <w:lang w:val="de-DE"/>
        </w:rPr>
        <w:t>,</w:t>
      </w:r>
      <w:r w:rsidRPr="00DD2A86">
        <w:rPr>
          <w:rFonts w:eastAsia="Calibri"/>
          <w:lang w:val="de-DE"/>
        </w:rPr>
        <w:t xml:space="preserve"> in denen höhere Oberflächentemperaturen als 200 °C auftreten, sind mit einen Lüftungssystem nach 9.1.0.12.3 ausgestattet,</w:t>
      </w:r>
    </w:p>
    <w:p w:rsidR="00353A93" w:rsidRPr="00DD2A86" w:rsidRDefault="00353A93" w:rsidP="0049020F">
      <w:pPr>
        <w:suppressAutoHyphens w:val="0"/>
        <w:autoSpaceDE w:val="0"/>
        <w:autoSpaceDN w:val="0"/>
        <w:adjustRightInd w:val="0"/>
        <w:spacing w:line="240" w:lineRule="auto"/>
        <w:ind w:left="2835" w:right="1134" w:hanging="284"/>
        <w:jc w:val="both"/>
        <w:rPr>
          <w:rFonts w:eastAsia="Calibri"/>
          <w:lang w:val="de-DE"/>
        </w:rPr>
      </w:pPr>
      <w:r w:rsidRPr="00DD2A86">
        <w:rPr>
          <w:rFonts w:eastAsia="Calibri"/>
          <w:lang w:val="de-DE"/>
        </w:rPr>
        <w:t>oder</w:t>
      </w:r>
    </w:p>
    <w:p w:rsidR="00353A93" w:rsidRPr="00DD2A86" w:rsidRDefault="00353A93" w:rsidP="0049020F">
      <w:pPr>
        <w:suppressAutoHyphens w:val="0"/>
        <w:autoSpaceDE w:val="0"/>
        <w:autoSpaceDN w:val="0"/>
        <w:adjustRightInd w:val="0"/>
        <w:spacing w:line="240" w:lineRule="auto"/>
        <w:ind w:left="2835" w:right="1134" w:hanging="284"/>
        <w:jc w:val="both"/>
        <w:rPr>
          <w:rFonts w:eastAsia="Calibri"/>
          <w:lang w:val="de-DE"/>
        </w:rPr>
      </w:pPr>
      <w:r w:rsidRPr="00DD2A86">
        <w:rPr>
          <w:rFonts w:eastAsia="Calibri"/>
          <w:lang w:val="de-DE"/>
        </w:rPr>
        <w:t>-</w:t>
      </w:r>
      <w:r w:rsidRPr="00DD2A86">
        <w:rPr>
          <w:rFonts w:eastAsia="Calibri"/>
          <w:lang w:val="de-DE"/>
        </w:rPr>
        <w:tab/>
        <w:t>Anlagen und Geräte, die höhere Oberflächentemperaturen als 200</w:t>
      </w:r>
      <w:r w:rsidR="0070614C" w:rsidRPr="00DD2A86">
        <w:rPr>
          <w:rFonts w:eastAsia="Calibri"/>
          <w:lang w:val="de-DE"/>
        </w:rPr>
        <w:t xml:space="preserve"> </w:t>
      </w:r>
      <w:r w:rsidRPr="00DD2A86">
        <w:rPr>
          <w:rFonts w:eastAsia="Calibri"/>
          <w:lang w:val="de-DE"/>
        </w:rPr>
        <w:t>°C erzeugen, sind abschaltbar. Solche Anlagen und Geräte müssen rot gekennzeichnet sein.</w:t>
      </w:r>
    </w:p>
    <w:p w:rsidR="00353A93" w:rsidRPr="00DD2A86" w:rsidRDefault="00353A93" w:rsidP="0049020F">
      <w:pPr>
        <w:suppressAutoHyphens w:val="0"/>
        <w:autoSpaceDE w:val="0"/>
        <w:autoSpaceDN w:val="0"/>
        <w:adjustRightInd w:val="0"/>
        <w:spacing w:line="240" w:lineRule="auto"/>
        <w:ind w:left="2552" w:right="1134" w:hanging="284"/>
        <w:jc w:val="both"/>
        <w:rPr>
          <w:rFonts w:eastAsia="Calibri"/>
          <w:lang w:val="de-DE"/>
        </w:rPr>
      </w:pPr>
      <w:r w:rsidRPr="00DD2A86">
        <w:rPr>
          <w:rFonts w:eastAsia="Calibri"/>
          <w:lang w:val="de-DE"/>
        </w:rPr>
        <w:t>c)</w:t>
      </w:r>
      <w:r w:rsidRPr="00DD2A86">
        <w:rPr>
          <w:rFonts w:eastAsia="Calibri"/>
          <w:lang w:val="de-DE"/>
        </w:rPr>
        <w:tab/>
        <w:t>Im geschützten Bereich gilt 9.1.0.53.1.</w:t>
      </w:r>
    </w:p>
    <w:p w:rsidR="00353A93" w:rsidRPr="00DD2A86" w:rsidRDefault="00353A93" w:rsidP="0049020F">
      <w:pPr>
        <w:suppressAutoHyphens w:val="0"/>
        <w:autoSpaceDE w:val="0"/>
        <w:autoSpaceDN w:val="0"/>
        <w:adjustRightInd w:val="0"/>
        <w:spacing w:line="240" w:lineRule="auto"/>
        <w:ind w:left="2552" w:right="1134" w:hanging="284"/>
        <w:jc w:val="both"/>
        <w:rPr>
          <w:rFonts w:eastAsia="Calibri"/>
          <w:lang w:val="de-DE"/>
        </w:rPr>
      </w:pPr>
      <w:r w:rsidRPr="00DD2A86">
        <w:rPr>
          <w:rFonts w:eastAsia="Calibri"/>
          <w:lang w:val="de-DE"/>
        </w:rPr>
        <w:t>d)</w:t>
      </w:r>
      <w:r w:rsidRPr="00DD2A86">
        <w:rPr>
          <w:rFonts w:eastAsia="Calibri"/>
          <w:lang w:val="de-DE"/>
        </w:rPr>
        <w:tab/>
        <w:t>Die Anforderungen des Absatzes 9.1.0.51 a) und b) müssen nur erfüllt werden, sofern sich das Schiff in einer oder unmittelbar angrenzend an eine landseitig ausgewiesene Zone aufhalten wird.</w:t>
      </w:r>
      <w:r w:rsidR="00B1565A" w:rsidRPr="00DD2A86">
        <w:rPr>
          <w:rFonts w:eastAsia="Calibri"/>
          <w:lang w:val="de-DE"/>
        </w:rPr>
        <w:t>“.</w:t>
      </w:r>
    </w:p>
    <w:p w:rsidR="0082688C" w:rsidRPr="00DD2A86" w:rsidRDefault="0082688C" w:rsidP="0049020F">
      <w:pPr>
        <w:suppressAutoHyphens w:val="0"/>
        <w:autoSpaceDE w:val="0"/>
        <w:autoSpaceDN w:val="0"/>
        <w:adjustRightInd w:val="0"/>
        <w:spacing w:before="240" w:line="240" w:lineRule="auto"/>
        <w:ind w:left="2268" w:right="1134" w:hanging="1134"/>
        <w:jc w:val="both"/>
        <w:rPr>
          <w:bCs/>
          <w:lang w:val="de-DE" w:eastAsia="de-DE"/>
        </w:rPr>
      </w:pPr>
      <w:r w:rsidRPr="00DD2A86">
        <w:rPr>
          <w:rFonts w:eastAsia="Calibri"/>
          <w:bCs/>
          <w:lang w:val="de-DE"/>
        </w:rPr>
        <w:t>9.1.0.52</w:t>
      </w:r>
      <w:r w:rsidRPr="00DD2A86">
        <w:rPr>
          <w:rFonts w:eastAsia="Calibri"/>
          <w:bCs/>
          <w:lang w:val="de-DE"/>
        </w:rPr>
        <w:tab/>
      </w:r>
      <w:r w:rsidR="0089789A" w:rsidRPr="00DD2A86">
        <w:rPr>
          <w:rFonts w:eastAsia="Calibri"/>
          <w:bCs/>
          <w:lang w:val="de-DE"/>
        </w:rPr>
        <w:t>Der Titel e</w:t>
      </w:r>
      <w:r w:rsidRPr="00DD2A86">
        <w:rPr>
          <w:rFonts w:eastAsia="Calibri"/>
          <w:bCs/>
          <w:lang w:val="de-DE"/>
        </w:rPr>
        <w:t>rhält folgenden Wortlaut: „</w:t>
      </w:r>
      <w:r w:rsidR="001F6BA1" w:rsidRPr="00DD2A86">
        <w:rPr>
          <w:rFonts w:eastAsia="Calibri"/>
          <w:b/>
          <w:bCs/>
          <w:lang w:val="de-DE"/>
        </w:rPr>
        <w:t>9.1.0.52</w:t>
      </w:r>
      <w:r w:rsidR="001F6BA1" w:rsidRPr="00DD2A86">
        <w:rPr>
          <w:rFonts w:eastAsia="Calibri"/>
          <w:bCs/>
          <w:lang w:val="de-DE"/>
        </w:rPr>
        <w:tab/>
      </w:r>
      <w:r w:rsidRPr="00DD2A86">
        <w:rPr>
          <w:b/>
          <w:bCs/>
          <w:lang w:val="de-DE"/>
        </w:rPr>
        <w:t xml:space="preserve">Art und Aufstellungsort der elektrischen </w:t>
      </w:r>
      <w:r w:rsidRPr="00DD2A86">
        <w:rPr>
          <w:b/>
          <w:bCs/>
          <w:lang w:val="de-DE" w:eastAsia="de-DE"/>
        </w:rPr>
        <w:t>Anlagen und Geräte</w:t>
      </w:r>
      <w:r w:rsidRPr="00DD2A86">
        <w:rPr>
          <w:bCs/>
          <w:lang w:val="de-DE" w:eastAsia="de-DE"/>
        </w:rPr>
        <w:t>“.</w:t>
      </w:r>
    </w:p>
    <w:p w:rsidR="00CC4D79" w:rsidRPr="00DD2A86" w:rsidRDefault="00CC4D79" w:rsidP="0049020F">
      <w:pPr>
        <w:suppressAutoHyphens w:val="0"/>
        <w:autoSpaceDE w:val="0"/>
        <w:autoSpaceDN w:val="0"/>
        <w:adjustRightInd w:val="0"/>
        <w:spacing w:before="240" w:line="240" w:lineRule="auto"/>
        <w:ind w:left="1134" w:right="1134"/>
        <w:jc w:val="both"/>
        <w:rPr>
          <w:rFonts w:eastAsia="Calibri"/>
          <w:bCs/>
          <w:lang w:val="de-DE"/>
        </w:rPr>
      </w:pPr>
      <w:r w:rsidRPr="00DD2A86">
        <w:rPr>
          <w:rFonts w:eastAsia="Calibri"/>
          <w:bCs/>
          <w:lang w:val="de-DE"/>
        </w:rPr>
        <w:t>9.1.0.52.1</w:t>
      </w:r>
      <w:r w:rsidRPr="00DD2A86">
        <w:rPr>
          <w:rFonts w:eastAsia="Calibri"/>
          <w:bCs/>
          <w:lang w:val="de-DE"/>
        </w:rPr>
        <w:tab/>
        <w:t>Erhält folgenden Wortlaut:</w:t>
      </w:r>
    </w:p>
    <w:p w:rsidR="00CC4D79" w:rsidRPr="00DD2A86" w:rsidRDefault="00CC4D79" w:rsidP="0049020F">
      <w:pPr>
        <w:suppressAutoHyphens w:val="0"/>
        <w:autoSpaceDE w:val="0"/>
        <w:autoSpaceDN w:val="0"/>
        <w:adjustRightInd w:val="0"/>
        <w:spacing w:before="120" w:line="240" w:lineRule="auto"/>
        <w:ind w:left="2268" w:right="1134"/>
        <w:jc w:val="both"/>
        <w:rPr>
          <w:rFonts w:eastAsia="Calibri"/>
          <w:szCs w:val="24"/>
          <w:lang w:val="de-DE"/>
        </w:rPr>
      </w:pPr>
      <w:r w:rsidRPr="00DD2A86">
        <w:rPr>
          <w:rFonts w:eastAsia="Calibri"/>
          <w:szCs w:val="24"/>
          <w:lang w:val="de-DE"/>
        </w:rPr>
        <w:t>„</w:t>
      </w:r>
      <w:r w:rsidR="0089789A" w:rsidRPr="00DD2A86">
        <w:rPr>
          <w:rFonts w:eastAsia="Calibri"/>
          <w:szCs w:val="24"/>
          <w:lang w:val="de-DE"/>
        </w:rPr>
        <w:t>9.1.0.52.1</w:t>
      </w:r>
      <w:r w:rsidR="0089789A" w:rsidRPr="00DD2A86">
        <w:rPr>
          <w:rFonts w:eastAsia="Calibri"/>
          <w:szCs w:val="24"/>
          <w:lang w:val="de-DE"/>
        </w:rPr>
        <w:tab/>
      </w:r>
      <w:r w:rsidRPr="00DD2A86">
        <w:rPr>
          <w:rFonts w:eastAsia="Calibri"/>
          <w:szCs w:val="24"/>
          <w:lang w:val="de-DE"/>
        </w:rPr>
        <w:t xml:space="preserve">Elektrische Anlagen und Geräte </w:t>
      </w:r>
      <w:r w:rsidRPr="00DD2A86">
        <w:rPr>
          <w:rFonts w:eastAsia="Calibri"/>
          <w:szCs w:val="24"/>
          <w:lang w:val="de-DE" w:eastAsia="de-DE"/>
        </w:rPr>
        <w:t xml:space="preserve">außerhalb des geschützten Bereiches müssen mindestens dem Typ „begrenzte Explosionsgefahr“ entsprechen. </w:t>
      </w:r>
      <w:r w:rsidRPr="00DD2A86">
        <w:rPr>
          <w:rFonts w:eastAsia="Calibri"/>
          <w:szCs w:val="24"/>
          <w:lang w:val="de-DE"/>
        </w:rPr>
        <w:t>Dies gilt nicht für</w:t>
      </w:r>
    </w:p>
    <w:p w:rsidR="00CC4D79" w:rsidRPr="00DD2A86" w:rsidRDefault="00CC4D79" w:rsidP="0049020F">
      <w:pPr>
        <w:suppressAutoHyphens w:val="0"/>
        <w:autoSpaceDE w:val="0"/>
        <w:autoSpaceDN w:val="0"/>
        <w:adjustRightInd w:val="0"/>
        <w:spacing w:line="240" w:lineRule="auto"/>
        <w:ind w:left="2552" w:right="1134" w:hanging="284"/>
        <w:jc w:val="both"/>
        <w:rPr>
          <w:rFonts w:eastAsia="Calibri"/>
          <w:lang w:val="de-DE"/>
        </w:rPr>
      </w:pPr>
      <w:r w:rsidRPr="00DD2A86">
        <w:rPr>
          <w:rFonts w:eastAsia="Calibri"/>
          <w:lang w:val="de-DE"/>
        </w:rPr>
        <w:t>a)</w:t>
      </w:r>
      <w:r w:rsidRPr="00DD2A86">
        <w:rPr>
          <w:rFonts w:eastAsia="Calibri"/>
          <w:lang w:val="de-DE"/>
        </w:rPr>
        <w:tab/>
        <w:t>Beleuchtungsanlagen in den Wohnungen und im Steuerhaus mit Ausnahme der Schalter, die in der Nähe der Eingänge angeordnet sind;</w:t>
      </w:r>
    </w:p>
    <w:p w:rsidR="00CC4D79" w:rsidRPr="00DD2A86" w:rsidRDefault="00CC4D79" w:rsidP="0049020F">
      <w:pPr>
        <w:suppressAutoHyphens w:val="0"/>
        <w:autoSpaceDE w:val="0"/>
        <w:autoSpaceDN w:val="0"/>
        <w:adjustRightInd w:val="0"/>
        <w:spacing w:line="240" w:lineRule="auto"/>
        <w:ind w:left="2552" w:right="1134" w:hanging="284"/>
        <w:jc w:val="both"/>
        <w:rPr>
          <w:rFonts w:eastAsia="Calibri"/>
          <w:lang w:val="de-DE"/>
        </w:rPr>
      </w:pPr>
      <w:r w:rsidRPr="00DD2A86">
        <w:rPr>
          <w:rFonts w:eastAsia="Calibri"/>
          <w:lang w:val="de-DE"/>
        </w:rPr>
        <w:t>b)</w:t>
      </w:r>
      <w:r w:rsidRPr="00DD2A86">
        <w:rPr>
          <w:rFonts w:eastAsia="Calibri"/>
          <w:lang w:val="de-DE"/>
        </w:rPr>
        <w:tab/>
      </w:r>
      <w:r w:rsidR="0063617D" w:rsidRPr="00DD2A86">
        <w:rPr>
          <w:rFonts w:eastAsia="Calibri"/>
          <w:lang w:val="de-DE"/>
        </w:rPr>
        <w:t xml:space="preserve">tragbare Telefone, fest installierte Telefonanlagen sowie stationäre </w:t>
      </w:r>
      <w:r w:rsidR="00B722D7" w:rsidRPr="00DD2A86">
        <w:rPr>
          <w:rFonts w:eastAsia="Calibri"/>
          <w:lang w:val="de-DE"/>
        </w:rPr>
        <w:t xml:space="preserve">und tragbare </w:t>
      </w:r>
      <w:r w:rsidR="0063617D" w:rsidRPr="00DD2A86">
        <w:rPr>
          <w:rFonts w:eastAsia="Calibri"/>
          <w:lang w:val="de-DE"/>
        </w:rPr>
        <w:t>Computer in den Wohnungen und im Steuerhaus;</w:t>
      </w:r>
    </w:p>
    <w:p w:rsidR="00CC4D79" w:rsidRPr="00DD2A86" w:rsidRDefault="00CC4D79" w:rsidP="0049020F">
      <w:pPr>
        <w:suppressAutoHyphens w:val="0"/>
        <w:autoSpaceDE w:val="0"/>
        <w:autoSpaceDN w:val="0"/>
        <w:adjustRightInd w:val="0"/>
        <w:spacing w:line="240" w:lineRule="auto"/>
        <w:ind w:left="2552" w:right="1134" w:hanging="284"/>
        <w:jc w:val="both"/>
        <w:rPr>
          <w:rFonts w:eastAsia="Calibri"/>
          <w:lang w:val="de-DE"/>
        </w:rPr>
      </w:pPr>
      <w:r w:rsidRPr="00DD2A86">
        <w:rPr>
          <w:rFonts w:eastAsia="Calibri"/>
          <w:lang w:val="de-DE"/>
        </w:rPr>
        <w:t>c)</w:t>
      </w:r>
      <w:r w:rsidRPr="00DD2A86">
        <w:rPr>
          <w:rFonts w:eastAsia="Calibri"/>
          <w:lang w:val="de-DE"/>
        </w:rPr>
        <w:tab/>
        <w:t>elektrische Anlagen und Geräte, die während des Aufenthalts in einer oder unmittelbar angrenzend an eine landseitig ausgewiesene Zone,</w:t>
      </w:r>
    </w:p>
    <w:p w:rsidR="00CC4D79" w:rsidRPr="00DD2A86" w:rsidRDefault="00CC4D79" w:rsidP="0049020F">
      <w:pPr>
        <w:numPr>
          <w:ilvl w:val="0"/>
          <w:numId w:val="31"/>
        </w:numPr>
        <w:suppressAutoHyphens w:val="0"/>
        <w:autoSpaceDE w:val="0"/>
        <w:autoSpaceDN w:val="0"/>
        <w:adjustRightInd w:val="0"/>
        <w:spacing w:line="240" w:lineRule="auto"/>
        <w:ind w:left="2835" w:right="1134" w:hanging="283"/>
        <w:jc w:val="both"/>
        <w:rPr>
          <w:rFonts w:eastAsia="Calibri"/>
          <w:szCs w:val="24"/>
          <w:lang w:val="de-DE"/>
        </w:rPr>
      </w:pPr>
      <w:r w:rsidRPr="00DD2A86">
        <w:rPr>
          <w:rFonts w:eastAsia="Calibri"/>
          <w:szCs w:val="24"/>
          <w:lang w:val="de-DE"/>
        </w:rPr>
        <w:t>abgeschaltet sind, oder</w:t>
      </w:r>
    </w:p>
    <w:p w:rsidR="00CC4D79" w:rsidRPr="00DD2A86" w:rsidRDefault="00CC4D79" w:rsidP="0049020F">
      <w:pPr>
        <w:numPr>
          <w:ilvl w:val="0"/>
          <w:numId w:val="31"/>
        </w:numPr>
        <w:suppressAutoHyphens w:val="0"/>
        <w:autoSpaceDE w:val="0"/>
        <w:autoSpaceDN w:val="0"/>
        <w:adjustRightInd w:val="0"/>
        <w:spacing w:line="240" w:lineRule="auto"/>
        <w:ind w:left="2835" w:right="1134" w:hanging="283"/>
        <w:contextualSpacing/>
        <w:jc w:val="both"/>
        <w:rPr>
          <w:rFonts w:eastAsia="Calibri"/>
          <w:b/>
          <w:bCs/>
          <w:lang w:val="de-DE"/>
        </w:rPr>
      </w:pPr>
      <w:r w:rsidRPr="00DD2A86">
        <w:rPr>
          <w:rFonts w:eastAsia="Calibri"/>
          <w:lang w:val="de-DE"/>
        </w:rPr>
        <w:t xml:space="preserve">sich in Räumen befinden, die mit einem Lüftungssystem entsprechend </w:t>
      </w:r>
      <w:r w:rsidRPr="00DD2A86">
        <w:rPr>
          <w:rFonts w:eastAsia="Calibri"/>
          <w:bCs/>
          <w:lang w:val="de-DE"/>
        </w:rPr>
        <w:t>9.1.0.12.3</w:t>
      </w:r>
      <w:r w:rsidRPr="00DD2A86">
        <w:rPr>
          <w:rFonts w:eastAsia="Calibri"/>
          <w:b/>
          <w:bCs/>
          <w:lang w:val="de-DE"/>
        </w:rPr>
        <w:t xml:space="preserve"> </w:t>
      </w:r>
      <w:r w:rsidRPr="00DD2A86">
        <w:rPr>
          <w:rFonts w:eastAsia="Calibri"/>
          <w:lang w:val="de-DE"/>
        </w:rPr>
        <w:t>ausgestattet sind.</w:t>
      </w:r>
    </w:p>
    <w:p w:rsidR="0082688C" w:rsidRPr="00DD2A86" w:rsidRDefault="00CC4D79" w:rsidP="0049020F">
      <w:pPr>
        <w:suppressAutoHyphens w:val="0"/>
        <w:autoSpaceDE w:val="0"/>
        <w:autoSpaceDN w:val="0"/>
        <w:adjustRightInd w:val="0"/>
        <w:spacing w:line="240" w:lineRule="auto"/>
        <w:ind w:left="2552" w:right="1134" w:hanging="284"/>
        <w:jc w:val="both"/>
        <w:rPr>
          <w:rFonts w:eastAsia="Calibri"/>
          <w:lang w:val="de-DE"/>
        </w:rPr>
      </w:pPr>
      <w:r w:rsidRPr="00DD2A86">
        <w:rPr>
          <w:rFonts w:eastAsia="Calibri"/>
          <w:lang w:val="de-DE"/>
        </w:rPr>
        <w:t>d)</w:t>
      </w:r>
      <w:r w:rsidRPr="00DD2A86">
        <w:rPr>
          <w:rFonts w:eastAsia="Calibri"/>
          <w:lang w:val="de-DE"/>
        </w:rPr>
        <w:tab/>
        <w:t>Sprechfunkanlagen und Inland AIS-Geräte (Automatic Identification System) in den Wohnungen und im Steuerhaus, unter der Voraussetzung, dass sich kein Teil von Antennen für Sprechfunkanlagen oder AIS-Geräte über oder innerhalb eines Abstandes von 2</w:t>
      </w:r>
      <w:r w:rsidR="00C96DBD" w:rsidRPr="00DD2A86">
        <w:rPr>
          <w:rFonts w:eastAsia="Calibri"/>
          <w:lang w:val="de-DE"/>
        </w:rPr>
        <w:t>,00</w:t>
      </w:r>
      <w:r w:rsidRPr="00DD2A86">
        <w:rPr>
          <w:rFonts w:eastAsia="Calibri"/>
          <w:lang w:val="de-DE"/>
        </w:rPr>
        <w:t xml:space="preserve"> m vom geschützten Bereich befindet.“.</w:t>
      </w:r>
    </w:p>
    <w:p w:rsidR="00CC4D79" w:rsidRPr="00DD2A86" w:rsidRDefault="00CC4D79" w:rsidP="0049020F">
      <w:pPr>
        <w:suppressAutoHyphens w:val="0"/>
        <w:autoSpaceDE w:val="0"/>
        <w:autoSpaceDN w:val="0"/>
        <w:adjustRightInd w:val="0"/>
        <w:spacing w:before="240" w:line="240" w:lineRule="auto"/>
        <w:ind w:left="1134" w:right="1134"/>
        <w:jc w:val="both"/>
        <w:rPr>
          <w:rFonts w:eastAsia="Calibri"/>
          <w:bCs/>
          <w:lang w:val="de-DE"/>
        </w:rPr>
      </w:pPr>
      <w:r w:rsidRPr="00DD2A86">
        <w:rPr>
          <w:rFonts w:eastAsia="Calibri"/>
          <w:bCs/>
          <w:lang w:val="de-DE"/>
        </w:rPr>
        <w:t>9.1.0.52.2</w:t>
      </w:r>
      <w:r w:rsidRPr="00DD2A86">
        <w:rPr>
          <w:rFonts w:eastAsia="Calibri"/>
          <w:bCs/>
          <w:lang w:val="de-DE"/>
        </w:rPr>
        <w:tab/>
        <w:t>Erhält folgenden Wortlaut:</w:t>
      </w:r>
    </w:p>
    <w:p w:rsidR="00CC4D79" w:rsidRPr="00DD2A86" w:rsidRDefault="00CC4D79" w:rsidP="0049020F">
      <w:pPr>
        <w:suppressAutoHyphens w:val="0"/>
        <w:autoSpaceDE w:val="0"/>
        <w:autoSpaceDN w:val="0"/>
        <w:adjustRightInd w:val="0"/>
        <w:spacing w:before="120" w:line="240" w:lineRule="auto"/>
        <w:ind w:left="2268" w:right="1134"/>
        <w:jc w:val="both"/>
        <w:rPr>
          <w:rFonts w:eastAsia="Calibri"/>
          <w:lang w:val="de-DE"/>
        </w:rPr>
      </w:pPr>
      <w:r w:rsidRPr="00DD2A86">
        <w:rPr>
          <w:rFonts w:eastAsia="Calibri"/>
          <w:lang w:val="de-DE"/>
        </w:rPr>
        <w:t>„</w:t>
      </w:r>
      <w:r w:rsidR="00EC7272" w:rsidRPr="00DD2A86">
        <w:rPr>
          <w:rFonts w:eastAsia="Calibri"/>
          <w:lang w:val="de-DE"/>
        </w:rPr>
        <w:t>9.1.0.52.2</w:t>
      </w:r>
      <w:r w:rsidR="00EC7272" w:rsidRPr="00DD2A86">
        <w:rPr>
          <w:rFonts w:eastAsia="Calibri"/>
          <w:lang w:val="de-DE"/>
        </w:rPr>
        <w:tab/>
      </w:r>
      <w:r w:rsidRPr="00DD2A86">
        <w:rPr>
          <w:rFonts w:eastAsia="Calibri"/>
          <w:lang w:val="de-DE"/>
        </w:rPr>
        <w:t>Fest installierte elektrische Anlagen und Geräte, die den in Absatz 9.1.0.52.1 angegebenen Vorschriften nicht entsprechen, sowie ihre Schaltgeräte müssen rot gekennzeichnet sein. Das Abschalten solcher Anlagen und Geräte muss an einer zentralen Stelle an Bord erfolgen.“.</w:t>
      </w:r>
    </w:p>
    <w:p w:rsidR="00DD06F2" w:rsidRPr="00DD2A86" w:rsidRDefault="00DD06F2" w:rsidP="0049020F">
      <w:pPr>
        <w:suppressAutoHyphens w:val="0"/>
        <w:autoSpaceDE w:val="0"/>
        <w:autoSpaceDN w:val="0"/>
        <w:adjustRightInd w:val="0"/>
        <w:spacing w:before="120" w:line="240" w:lineRule="auto"/>
        <w:ind w:left="2268" w:right="1134" w:hanging="1134"/>
        <w:jc w:val="both"/>
        <w:rPr>
          <w:rFonts w:eastAsia="Calibri"/>
          <w:lang w:val="de-DE"/>
        </w:rPr>
      </w:pPr>
      <w:r w:rsidRPr="00DD2A86">
        <w:rPr>
          <w:rFonts w:eastAsia="Calibri"/>
          <w:bCs/>
          <w:lang w:val="de-DE"/>
        </w:rPr>
        <w:t>9.1.0.52.3</w:t>
      </w:r>
      <w:r w:rsidRPr="00DD2A86">
        <w:rPr>
          <w:rFonts w:eastAsia="Calibri"/>
          <w:bCs/>
          <w:lang w:val="de-DE"/>
        </w:rPr>
        <w:tab/>
        <w:t>Am Ende hinzufügen: „</w:t>
      </w:r>
      <w:r w:rsidRPr="00DD2A86">
        <w:rPr>
          <w:rFonts w:eastAsia="Calibri"/>
          <w:lang w:val="de-DE"/>
        </w:rPr>
        <w:t xml:space="preserve">Diese Steckdosen müssen so ausgeführt sein, dass das Herstellen und das </w:t>
      </w:r>
      <w:r w:rsidR="00961DA7" w:rsidRPr="00DD2A86">
        <w:rPr>
          <w:rFonts w:eastAsia="Calibri"/>
          <w:lang w:val="de-DE"/>
        </w:rPr>
        <w:t xml:space="preserve">Trennen </w:t>
      </w:r>
      <w:r w:rsidRPr="00DD2A86">
        <w:rPr>
          <w:rFonts w:eastAsia="Calibri"/>
          <w:lang w:val="de-DE"/>
        </w:rPr>
        <w:t>der Steckverbindungen nur in spannungslosem Zustand möglich ist.“.</w:t>
      </w:r>
    </w:p>
    <w:p w:rsidR="00CC4D79" w:rsidRPr="00DD2A86" w:rsidRDefault="00CC4D79" w:rsidP="0049020F">
      <w:pPr>
        <w:spacing w:before="240" w:after="120"/>
        <w:ind w:left="1134" w:right="1134"/>
        <w:jc w:val="both"/>
        <w:rPr>
          <w:rFonts w:eastAsia="Calibri"/>
          <w:bCs/>
          <w:lang w:val="de-DE"/>
        </w:rPr>
      </w:pPr>
      <w:r w:rsidRPr="00DD2A86">
        <w:rPr>
          <w:rFonts w:eastAsia="Calibri"/>
          <w:bCs/>
          <w:lang w:val="de-DE"/>
        </w:rPr>
        <w:t>9.1.0.52</w:t>
      </w:r>
      <w:r w:rsidRPr="00DD2A86">
        <w:rPr>
          <w:rFonts w:eastAsia="Calibri"/>
          <w:bCs/>
          <w:lang w:val="de-DE"/>
        </w:rPr>
        <w:tab/>
        <w:t>Folgende neue Absätze hinzufügen:</w:t>
      </w:r>
    </w:p>
    <w:p w:rsidR="00CC4D79" w:rsidRPr="00DD2A86" w:rsidRDefault="00CC4D79" w:rsidP="0049020F">
      <w:pPr>
        <w:spacing w:before="120" w:after="120"/>
        <w:ind w:left="2268" w:right="1134"/>
        <w:jc w:val="both"/>
        <w:rPr>
          <w:rFonts w:eastAsia="Calibri"/>
          <w:bCs/>
          <w:lang w:val="de-DE"/>
        </w:rPr>
      </w:pPr>
      <w:r w:rsidRPr="00DD2A86">
        <w:rPr>
          <w:rFonts w:eastAsia="Calibri"/>
          <w:bCs/>
          <w:lang w:val="de-DE"/>
        </w:rPr>
        <w:t>„9.1.0.52.5</w:t>
      </w:r>
      <w:r w:rsidRPr="00DD2A86">
        <w:rPr>
          <w:rFonts w:eastAsia="Calibri"/>
          <w:bCs/>
          <w:lang w:val="de-DE"/>
        </w:rPr>
        <w:tab/>
        <w:t>Ein Ausfall der elektrischen Speisung von Sicherheits- und Kontrolleinrichtungen muss sofort optisch und akustisch im Steuerhaus und an Deck gemeldet werden. Bei Nichtquittieren muss die Alarmierung automatisch in den Wohnungen erfolgen.</w:t>
      </w:r>
    </w:p>
    <w:p w:rsidR="00CC4D79" w:rsidRPr="00DD2A86" w:rsidRDefault="00CC4D79" w:rsidP="0049020F">
      <w:pPr>
        <w:spacing w:before="120" w:after="120"/>
        <w:ind w:left="2268" w:right="1134"/>
        <w:jc w:val="both"/>
        <w:rPr>
          <w:rFonts w:eastAsia="Calibri"/>
          <w:bCs/>
          <w:lang w:val="de-DE"/>
        </w:rPr>
      </w:pPr>
      <w:r w:rsidRPr="00DD2A86">
        <w:rPr>
          <w:rFonts w:eastAsia="Calibri"/>
          <w:bCs/>
          <w:lang w:val="de-DE"/>
        </w:rPr>
        <w:t>9.1.0.52.6</w:t>
      </w:r>
      <w:r w:rsidRPr="00DD2A86">
        <w:rPr>
          <w:rFonts w:eastAsia="Calibri"/>
          <w:bCs/>
          <w:lang w:val="de-DE"/>
        </w:rPr>
        <w:tab/>
        <w:t>Schalter, Steckdosen und elektrische Kabel an Deck müssen gegen mechanische Beschädigung geschützt sein.</w:t>
      </w:r>
    </w:p>
    <w:p w:rsidR="00CC4D79" w:rsidRPr="00DD2A86" w:rsidRDefault="00CC4D79" w:rsidP="0049020F">
      <w:pPr>
        <w:spacing w:before="120" w:after="120"/>
        <w:ind w:left="2268" w:right="1134"/>
        <w:jc w:val="both"/>
        <w:rPr>
          <w:rFonts w:eastAsia="Calibri"/>
          <w:bCs/>
          <w:lang w:val="de-DE"/>
        </w:rPr>
      </w:pPr>
      <w:r w:rsidRPr="00DD2A86">
        <w:rPr>
          <w:rFonts w:eastAsia="Calibri"/>
          <w:bCs/>
          <w:lang w:val="de-DE"/>
        </w:rPr>
        <w:t>9.1.0.52.7</w:t>
      </w:r>
      <w:r w:rsidRPr="00DD2A86">
        <w:rPr>
          <w:rFonts w:eastAsia="Calibri"/>
          <w:bCs/>
          <w:lang w:val="de-DE"/>
        </w:rPr>
        <w:tab/>
      </w:r>
      <w:r w:rsidR="00DD06F2" w:rsidRPr="00DD2A86">
        <w:rPr>
          <w:rFonts w:eastAsia="Calibri"/>
          <w:bCs/>
          <w:lang w:val="de-DE"/>
        </w:rPr>
        <w:t>Die Anforderungen der Absätze 9.1.0.52.1 und 9.1.0.52.2 müssen nur erfüllt werden, sofern sich das Schiff in einer oder unmittelbar angrenzend an eine landseitig ausgewiesene Zone aufhalten wird.</w:t>
      </w:r>
      <w:r w:rsidR="00433C5B" w:rsidRPr="00DD2A86">
        <w:rPr>
          <w:rFonts w:eastAsia="Calibri"/>
          <w:bCs/>
          <w:lang w:val="de-DE"/>
        </w:rPr>
        <w:t>“.</w:t>
      </w:r>
    </w:p>
    <w:p w:rsidR="00EB6056" w:rsidRPr="00DD2A86" w:rsidRDefault="00EB6056">
      <w:pPr>
        <w:suppressAutoHyphens w:val="0"/>
        <w:spacing w:line="240" w:lineRule="auto"/>
        <w:rPr>
          <w:rFonts w:eastAsia="Calibri"/>
          <w:bCs/>
          <w:lang w:val="de-DE"/>
        </w:rPr>
      </w:pPr>
      <w:r w:rsidRPr="00DD2A86">
        <w:rPr>
          <w:rFonts w:eastAsia="Calibri"/>
          <w:bCs/>
          <w:lang w:val="de-DE"/>
        </w:rPr>
        <w:br w:type="page"/>
      </w:r>
    </w:p>
    <w:p w:rsidR="00CC4D79" w:rsidRPr="00DD2A86" w:rsidRDefault="00CC4D79" w:rsidP="0049020F">
      <w:pPr>
        <w:spacing w:before="240" w:after="120"/>
        <w:ind w:left="1134" w:right="1134"/>
        <w:jc w:val="both"/>
        <w:rPr>
          <w:rFonts w:eastAsia="Calibri"/>
          <w:bCs/>
          <w:lang w:val="de-DE"/>
        </w:rPr>
      </w:pPr>
      <w:r w:rsidRPr="00DD2A86">
        <w:rPr>
          <w:rFonts w:eastAsia="Calibri"/>
          <w:bCs/>
          <w:lang w:val="de-DE"/>
        </w:rPr>
        <w:t>9.1.0.53</w:t>
      </w:r>
      <w:r w:rsidRPr="00DD2A86">
        <w:rPr>
          <w:rFonts w:eastAsia="Calibri"/>
          <w:bCs/>
          <w:lang w:val="de-DE"/>
        </w:rPr>
        <w:tab/>
        <w:t>Folgende neue Absätze hinzufügen:</w:t>
      </w:r>
    </w:p>
    <w:p w:rsidR="00CC4D79" w:rsidRPr="00DD2A86" w:rsidRDefault="00E423EC" w:rsidP="0049020F">
      <w:pPr>
        <w:spacing w:before="120"/>
        <w:ind w:left="2268" w:right="1134"/>
        <w:jc w:val="both"/>
        <w:rPr>
          <w:rFonts w:eastAsia="Calibri"/>
          <w:b/>
          <w:bCs/>
          <w:lang w:val="de-DE"/>
        </w:rPr>
      </w:pPr>
      <w:r w:rsidRPr="00DD2A86">
        <w:rPr>
          <w:rFonts w:eastAsia="Calibri"/>
          <w:bCs/>
          <w:lang w:val="de-DE"/>
        </w:rPr>
        <w:t>„</w:t>
      </w:r>
      <w:r w:rsidR="00CC4D79" w:rsidRPr="00DD2A86">
        <w:rPr>
          <w:rFonts w:eastAsia="Calibri"/>
          <w:b/>
          <w:bCs/>
          <w:lang w:val="de-DE"/>
        </w:rPr>
        <w:t>9.1.0.53</w:t>
      </w:r>
      <w:r w:rsidR="00CC4D79" w:rsidRPr="00DD2A86">
        <w:rPr>
          <w:rFonts w:eastAsia="Calibri"/>
          <w:bCs/>
          <w:lang w:val="de-DE"/>
        </w:rPr>
        <w:t xml:space="preserve"> </w:t>
      </w:r>
      <w:r w:rsidR="00CC4D79" w:rsidRPr="00DD2A86">
        <w:rPr>
          <w:rFonts w:eastAsia="Calibri"/>
          <w:bCs/>
          <w:lang w:val="de-DE"/>
        </w:rPr>
        <w:tab/>
      </w:r>
      <w:r w:rsidR="00CC4D79" w:rsidRPr="00DD2A86">
        <w:rPr>
          <w:rFonts w:eastAsia="Calibri"/>
          <w:b/>
          <w:bCs/>
          <w:lang w:val="de-DE"/>
        </w:rPr>
        <w:t>Art und Aufstellungsort der elektrischen und nicht-elektrischen Anlagen und Geräte zum Einsatz im geschützten Bereich</w:t>
      </w:r>
    </w:p>
    <w:p w:rsidR="00CC4D79" w:rsidRPr="00DD2A86" w:rsidRDefault="00CC4D79" w:rsidP="0049020F">
      <w:pPr>
        <w:spacing w:before="120"/>
        <w:ind w:left="2268" w:right="1134"/>
        <w:jc w:val="both"/>
        <w:rPr>
          <w:rFonts w:eastAsia="Calibri"/>
          <w:bCs/>
          <w:lang w:val="de-DE"/>
        </w:rPr>
      </w:pPr>
      <w:r w:rsidRPr="00DD2A86">
        <w:rPr>
          <w:rFonts w:eastAsia="Calibri"/>
          <w:bCs/>
          <w:lang w:val="de-DE"/>
        </w:rPr>
        <w:t xml:space="preserve">9.1.0.53.1 </w:t>
      </w:r>
      <w:r w:rsidRPr="00DD2A86">
        <w:rPr>
          <w:rFonts w:eastAsia="Calibri"/>
          <w:bCs/>
          <w:lang w:val="de-DE"/>
        </w:rPr>
        <w:tab/>
        <w:t>Elektrische Anlagen und Geräte im geschützten Bereich müssen durch zentral angeordnete Schalter spannungslos gemacht werden können, es sei denn, sie sind</w:t>
      </w:r>
    </w:p>
    <w:p w:rsidR="00CC4D79" w:rsidRPr="00DD2A86" w:rsidRDefault="00CC4D79" w:rsidP="0049020F">
      <w:pPr>
        <w:ind w:left="2552" w:right="1134" w:hanging="284"/>
        <w:jc w:val="both"/>
        <w:rPr>
          <w:rFonts w:eastAsia="Calibri"/>
          <w:bCs/>
          <w:lang w:val="de-DE"/>
        </w:rPr>
      </w:pPr>
      <w:r w:rsidRPr="00DD2A86">
        <w:rPr>
          <w:rFonts w:eastAsia="Calibri"/>
          <w:bCs/>
          <w:lang w:val="de-DE"/>
        </w:rPr>
        <w:t>-</w:t>
      </w:r>
      <w:r w:rsidRPr="00DD2A86">
        <w:rPr>
          <w:rFonts w:eastAsia="Calibri"/>
          <w:bCs/>
          <w:lang w:val="de-DE"/>
        </w:rPr>
        <w:tab/>
        <w:t>in den Laderäumen mindestens für den Einsatz in Zone 1, für die Temperaturklasse T4 und die Explosionsgruppe II B geeignet und</w:t>
      </w:r>
    </w:p>
    <w:p w:rsidR="00CC4D79" w:rsidRPr="00DD2A86" w:rsidRDefault="00CC4D79" w:rsidP="0049020F">
      <w:pPr>
        <w:ind w:left="2552" w:right="1134" w:hanging="284"/>
        <w:jc w:val="both"/>
        <w:rPr>
          <w:rFonts w:eastAsia="Calibri"/>
          <w:bCs/>
          <w:lang w:val="de-DE"/>
        </w:rPr>
      </w:pPr>
      <w:r w:rsidRPr="00DD2A86">
        <w:rPr>
          <w:rFonts w:eastAsia="Calibri"/>
          <w:bCs/>
          <w:lang w:val="de-DE"/>
        </w:rPr>
        <w:t>-</w:t>
      </w:r>
      <w:r w:rsidRPr="00DD2A86">
        <w:rPr>
          <w:rFonts w:eastAsia="Calibri"/>
          <w:bCs/>
          <w:lang w:val="de-DE"/>
        </w:rPr>
        <w:tab/>
        <w:t xml:space="preserve">im geschützten Bereich an Deck vom Typ </w:t>
      </w:r>
      <w:r w:rsidR="00B625E0" w:rsidRPr="00DD2A86">
        <w:rPr>
          <w:rFonts w:eastAsia="Calibri"/>
          <w:bCs/>
          <w:lang w:val="de-DE"/>
        </w:rPr>
        <w:t>„</w:t>
      </w:r>
      <w:r w:rsidRPr="00DD2A86">
        <w:rPr>
          <w:rFonts w:eastAsia="Calibri"/>
          <w:bCs/>
          <w:lang w:val="de-DE"/>
        </w:rPr>
        <w:t>begrenzte Explosionsgefahr“.</w:t>
      </w:r>
    </w:p>
    <w:p w:rsidR="00CC4D79" w:rsidRPr="00DD2A86" w:rsidRDefault="00CC4D79" w:rsidP="0049020F">
      <w:pPr>
        <w:spacing w:before="120"/>
        <w:ind w:left="2268" w:right="1134"/>
        <w:jc w:val="both"/>
        <w:rPr>
          <w:rFonts w:eastAsia="Calibri"/>
          <w:bCs/>
          <w:lang w:val="de-DE"/>
        </w:rPr>
      </w:pPr>
      <w:r w:rsidRPr="00DD2A86">
        <w:rPr>
          <w:rFonts w:eastAsia="Calibri"/>
          <w:bCs/>
          <w:lang w:val="de-DE"/>
        </w:rPr>
        <w:t>Die entsprechenden Stromkreise müssen mit Kontrolllampen versehen sein, die anzeigen, ob der Stromkreis unter Spannung steht oder nicht.</w:t>
      </w:r>
    </w:p>
    <w:p w:rsidR="00CC4D79" w:rsidRPr="00DD2A86" w:rsidRDefault="00CC4D79" w:rsidP="0049020F">
      <w:pPr>
        <w:spacing w:before="120"/>
        <w:ind w:left="2268" w:right="1134"/>
        <w:jc w:val="both"/>
        <w:rPr>
          <w:rFonts w:eastAsia="Calibri"/>
          <w:bCs/>
          <w:lang w:val="de-DE"/>
        </w:rPr>
      </w:pPr>
      <w:r w:rsidRPr="00DD2A86">
        <w:rPr>
          <w:rFonts w:eastAsia="Calibri"/>
          <w:bCs/>
          <w:lang w:val="de-DE"/>
        </w:rPr>
        <w:t xml:space="preserve">Die </w:t>
      </w:r>
      <w:r w:rsidR="00D53B5E" w:rsidRPr="00DD2A86">
        <w:rPr>
          <w:rFonts w:eastAsia="Calibri"/>
          <w:bCs/>
          <w:lang w:val="de-DE"/>
        </w:rPr>
        <w:t>Trenns</w:t>
      </w:r>
      <w:r w:rsidRPr="00DD2A86">
        <w:rPr>
          <w:rFonts w:eastAsia="Calibri"/>
          <w:bCs/>
          <w:lang w:val="de-DE"/>
        </w:rPr>
        <w:t>chalter müssen gegen unbeabsichtigtes Einschalten gesichert sein. Tauchpumpen, welche in den Laderäumen eingebaut oder benutzt werden, müssen mindestens für den Einsatz in Zone 1, Temperaturklasse T4 und Explosionsgruppe II B geeignet sein.</w:t>
      </w:r>
    </w:p>
    <w:p w:rsidR="00CC4D79" w:rsidRPr="00DD2A86" w:rsidRDefault="00CC4D79" w:rsidP="0049020F">
      <w:pPr>
        <w:spacing w:before="120"/>
        <w:ind w:left="2268" w:right="1134"/>
        <w:jc w:val="both"/>
        <w:rPr>
          <w:rFonts w:eastAsia="Calibri"/>
          <w:bCs/>
          <w:lang w:val="de-DE"/>
        </w:rPr>
      </w:pPr>
      <w:r w:rsidRPr="00DD2A86">
        <w:rPr>
          <w:rFonts w:eastAsia="Calibri"/>
          <w:bCs/>
          <w:lang w:val="de-DE"/>
        </w:rPr>
        <w:t>9.1.0.53.2</w:t>
      </w:r>
      <w:r w:rsidRPr="00DD2A86">
        <w:rPr>
          <w:rFonts w:eastAsia="Calibri"/>
          <w:bCs/>
          <w:lang w:val="de-DE"/>
        </w:rPr>
        <w:tab/>
        <w:t xml:space="preserve">Die im geschützten Bereich verwendeten Steckdosen müssen so ausgeführt sein, dass das Herstellen und das </w:t>
      </w:r>
      <w:r w:rsidR="00961DA7" w:rsidRPr="00DD2A86">
        <w:rPr>
          <w:rFonts w:eastAsia="Calibri"/>
          <w:bCs/>
          <w:lang w:val="de-DE"/>
        </w:rPr>
        <w:t xml:space="preserve">Trennen </w:t>
      </w:r>
      <w:r w:rsidRPr="00DD2A86">
        <w:rPr>
          <w:rFonts w:eastAsia="Calibri"/>
          <w:bCs/>
          <w:lang w:val="de-DE"/>
        </w:rPr>
        <w:t>der Steckverbindung nur im spannungslosen Zustand möglich sind.</w:t>
      </w:r>
    </w:p>
    <w:p w:rsidR="00CC4D79" w:rsidRPr="00DD2A86" w:rsidRDefault="00CC4D79" w:rsidP="0049020F">
      <w:pPr>
        <w:spacing w:before="120"/>
        <w:ind w:left="2268" w:right="1134"/>
        <w:jc w:val="both"/>
        <w:rPr>
          <w:rFonts w:eastAsia="Calibri"/>
          <w:bCs/>
          <w:lang w:val="de-DE"/>
        </w:rPr>
      </w:pPr>
      <w:r w:rsidRPr="00DD2A86">
        <w:rPr>
          <w:rFonts w:eastAsia="Calibri"/>
          <w:bCs/>
          <w:lang w:val="de-DE"/>
        </w:rPr>
        <w:t>9.1.0.53.3</w:t>
      </w:r>
      <w:r w:rsidRPr="00DD2A86">
        <w:rPr>
          <w:rFonts w:eastAsia="Calibri"/>
          <w:bCs/>
          <w:lang w:val="de-DE"/>
        </w:rPr>
        <w:tab/>
        <w:t>Elektrische Kabel im geschützten Bereich müssen armiert sein oder eine metallene Abschirmung haben oder in Schutzrohren verlegt sein, ausgenommen Lichtwellenleiter.</w:t>
      </w:r>
    </w:p>
    <w:p w:rsidR="00902EEF" w:rsidRPr="00DD2A86" w:rsidRDefault="00CC4D79" w:rsidP="0049020F">
      <w:pPr>
        <w:spacing w:before="120"/>
        <w:ind w:left="2268" w:right="1134"/>
        <w:jc w:val="both"/>
        <w:rPr>
          <w:rFonts w:eastAsia="Calibri"/>
          <w:bCs/>
          <w:lang w:val="de-DE"/>
        </w:rPr>
      </w:pPr>
      <w:r w:rsidRPr="00DD2A86">
        <w:rPr>
          <w:rFonts w:eastAsia="Calibri"/>
          <w:bCs/>
          <w:lang w:val="de-DE"/>
        </w:rPr>
        <w:t>9.1.0.53.4</w:t>
      </w:r>
      <w:r w:rsidRPr="00DD2A86">
        <w:rPr>
          <w:rFonts w:eastAsia="Calibri"/>
          <w:bCs/>
          <w:lang w:val="de-DE"/>
        </w:rPr>
        <w:tab/>
      </w:r>
      <w:r w:rsidR="00902EEF" w:rsidRPr="00DD2A86">
        <w:rPr>
          <w:rFonts w:eastAsia="Calibri"/>
          <w:bCs/>
          <w:lang w:val="de-DE"/>
        </w:rPr>
        <w:t>Bewegliche elektrische Kabel im geschützten Bereich sind verboten, ausgenommen elektrische Kabel für eigensichere Stromkreise sowie für den Anschluss</w:t>
      </w:r>
    </w:p>
    <w:p w:rsidR="00902EEF" w:rsidRPr="00DD2A86" w:rsidRDefault="00902EEF" w:rsidP="0049020F">
      <w:pPr>
        <w:ind w:left="2552" w:right="1134" w:hanging="284"/>
        <w:jc w:val="both"/>
        <w:rPr>
          <w:rFonts w:eastAsia="Calibri"/>
          <w:bCs/>
          <w:lang w:val="de-DE"/>
        </w:rPr>
      </w:pPr>
      <w:r w:rsidRPr="00DD2A86">
        <w:rPr>
          <w:rFonts w:eastAsia="Calibri"/>
          <w:bCs/>
          <w:lang w:val="de-DE"/>
        </w:rPr>
        <w:t>-</w:t>
      </w:r>
      <w:r w:rsidRPr="00DD2A86">
        <w:rPr>
          <w:rFonts w:eastAsia="Calibri"/>
          <w:bCs/>
          <w:lang w:val="de-DE"/>
        </w:rPr>
        <w:tab/>
        <w:t>von Signal- und Landstegbeleuchtung, wenn die Anschlussstelle (z. B. Steckdose) in unmittelbare Nähe des Signalmastes oder des Landstegs am Schiff fest montiert ist;</w:t>
      </w:r>
    </w:p>
    <w:p w:rsidR="00902EEF" w:rsidRPr="00DD2A86" w:rsidRDefault="00902EEF" w:rsidP="0049020F">
      <w:pPr>
        <w:ind w:left="2552" w:right="1134" w:hanging="284"/>
        <w:jc w:val="both"/>
        <w:rPr>
          <w:rFonts w:eastAsia="Calibri"/>
          <w:bCs/>
          <w:lang w:val="de-DE"/>
        </w:rPr>
      </w:pPr>
      <w:r w:rsidRPr="00DD2A86">
        <w:rPr>
          <w:rFonts w:eastAsia="Calibri"/>
          <w:bCs/>
          <w:lang w:val="de-DE"/>
        </w:rPr>
        <w:t>-</w:t>
      </w:r>
      <w:r w:rsidRPr="00DD2A86">
        <w:rPr>
          <w:rFonts w:eastAsia="Calibri"/>
          <w:bCs/>
          <w:lang w:val="de-DE"/>
        </w:rPr>
        <w:tab/>
        <w:t>von Containern;</w:t>
      </w:r>
    </w:p>
    <w:p w:rsidR="00902EEF" w:rsidRPr="00DD2A86" w:rsidRDefault="00902EEF" w:rsidP="0049020F">
      <w:pPr>
        <w:ind w:left="2552" w:right="1134" w:hanging="284"/>
        <w:jc w:val="both"/>
        <w:rPr>
          <w:rFonts w:eastAsia="Calibri"/>
          <w:bCs/>
          <w:lang w:val="de-DE"/>
        </w:rPr>
      </w:pPr>
      <w:r w:rsidRPr="00DD2A86">
        <w:rPr>
          <w:rFonts w:eastAsia="Calibri"/>
          <w:bCs/>
          <w:lang w:val="de-DE"/>
        </w:rPr>
        <w:t>-</w:t>
      </w:r>
      <w:r w:rsidRPr="00DD2A86">
        <w:rPr>
          <w:rFonts w:eastAsia="Calibri"/>
          <w:bCs/>
          <w:lang w:val="de-DE"/>
        </w:rPr>
        <w:tab/>
        <w:t>von elektrisch betriebenen Lukendeckelwagen;</w:t>
      </w:r>
    </w:p>
    <w:p w:rsidR="00902EEF" w:rsidRPr="00DD2A86" w:rsidRDefault="00902EEF" w:rsidP="0049020F">
      <w:pPr>
        <w:ind w:left="2552" w:right="1134" w:hanging="284"/>
        <w:jc w:val="both"/>
        <w:rPr>
          <w:rFonts w:eastAsia="Calibri"/>
          <w:bCs/>
          <w:lang w:val="de-DE"/>
        </w:rPr>
      </w:pPr>
      <w:r w:rsidRPr="00DD2A86">
        <w:rPr>
          <w:rFonts w:eastAsia="Calibri"/>
          <w:bCs/>
          <w:lang w:val="de-DE"/>
        </w:rPr>
        <w:t>-</w:t>
      </w:r>
      <w:r w:rsidRPr="00DD2A86">
        <w:rPr>
          <w:rFonts w:eastAsia="Calibri"/>
          <w:bCs/>
          <w:lang w:val="de-DE"/>
        </w:rPr>
        <w:tab/>
        <w:t>von Tauchpumpen;</w:t>
      </w:r>
    </w:p>
    <w:p w:rsidR="00902EEF" w:rsidRPr="00DD2A86" w:rsidRDefault="00902EEF" w:rsidP="0049020F">
      <w:pPr>
        <w:ind w:left="2552" w:right="1134" w:hanging="284"/>
        <w:jc w:val="both"/>
        <w:rPr>
          <w:rFonts w:eastAsia="Calibri"/>
          <w:bCs/>
          <w:lang w:val="de-DE"/>
        </w:rPr>
      </w:pPr>
      <w:r w:rsidRPr="00DD2A86">
        <w:rPr>
          <w:rFonts w:eastAsia="Calibri"/>
          <w:bCs/>
          <w:lang w:val="de-DE"/>
        </w:rPr>
        <w:t>-</w:t>
      </w:r>
      <w:r w:rsidRPr="00DD2A86">
        <w:rPr>
          <w:rFonts w:eastAsia="Calibri"/>
          <w:bCs/>
          <w:lang w:val="de-DE"/>
        </w:rPr>
        <w:tab/>
        <w:t>von Laderaumventilatoren;</w:t>
      </w:r>
    </w:p>
    <w:p w:rsidR="00902EEF" w:rsidRPr="00DD2A86" w:rsidRDefault="00902EEF" w:rsidP="0049020F">
      <w:pPr>
        <w:ind w:left="2552" w:right="1134" w:hanging="284"/>
        <w:jc w:val="both"/>
        <w:rPr>
          <w:rFonts w:eastAsia="Calibri"/>
          <w:bCs/>
          <w:lang w:val="de-DE"/>
        </w:rPr>
      </w:pPr>
      <w:r w:rsidRPr="00DD2A86">
        <w:rPr>
          <w:rFonts w:eastAsia="Calibri"/>
          <w:bCs/>
          <w:lang w:val="de-DE"/>
        </w:rPr>
        <w:t>-</w:t>
      </w:r>
      <w:r w:rsidRPr="00DD2A86">
        <w:rPr>
          <w:rFonts w:eastAsia="Calibri"/>
          <w:bCs/>
          <w:lang w:val="de-DE"/>
        </w:rPr>
        <w:tab/>
        <w:t>des Schiffsstromnetzes an ein Landstromnetz, wenn</w:t>
      </w:r>
    </w:p>
    <w:p w:rsidR="00902EEF" w:rsidRPr="00DD2A86" w:rsidRDefault="00902EEF" w:rsidP="0049020F">
      <w:pPr>
        <w:spacing w:before="120"/>
        <w:ind w:left="2552" w:right="1134" w:hanging="284"/>
        <w:jc w:val="both"/>
        <w:rPr>
          <w:rFonts w:eastAsia="Calibri"/>
          <w:bCs/>
          <w:lang w:val="de-DE"/>
        </w:rPr>
      </w:pPr>
      <w:r w:rsidRPr="00DD2A86">
        <w:rPr>
          <w:rFonts w:eastAsia="Calibri"/>
          <w:bCs/>
          <w:lang w:val="de-DE"/>
        </w:rPr>
        <w:t>a) diese elektrischen Kabel und die Einspeiseeinheit an Bord einer gültigen Norm (z.B. EN 15869-03:2010) entsprechen,</w:t>
      </w:r>
    </w:p>
    <w:p w:rsidR="00902EEF" w:rsidRPr="00DD2A86" w:rsidRDefault="00902EEF" w:rsidP="0049020F">
      <w:pPr>
        <w:spacing w:before="120"/>
        <w:ind w:left="2552" w:right="1134" w:hanging="284"/>
        <w:jc w:val="both"/>
        <w:rPr>
          <w:rFonts w:eastAsia="Calibri"/>
          <w:bCs/>
          <w:lang w:val="de-DE"/>
        </w:rPr>
      </w:pPr>
      <w:r w:rsidRPr="00DD2A86">
        <w:rPr>
          <w:rFonts w:eastAsia="Calibri"/>
          <w:bCs/>
          <w:lang w:val="de-DE"/>
        </w:rPr>
        <w:t>b) Einspeiseeinheit und Leitungskupplungen außerhalb des geschützten Bereiches liegen.</w:t>
      </w:r>
    </w:p>
    <w:p w:rsidR="00902EEF" w:rsidRPr="00DD2A86" w:rsidRDefault="00902EEF" w:rsidP="0049020F">
      <w:pPr>
        <w:spacing w:before="120"/>
        <w:ind w:left="2268" w:right="1134"/>
        <w:jc w:val="both"/>
        <w:rPr>
          <w:rFonts w:eastAsia="Calibri"/>
          <w:bCs/>
          <w:lang w:val="de-DE"/>
        </w:rPr>
      </w:pPr>
      <w:r w:rsidRPr="00DD2A86">
        <w:rPr>
          <w:rFonts w:eastAsia="Calibri"/>
          <w:bCs/>
          <w:lang w:val="de-DE"/>
        </w:rPr>
        <w:t>Das Herstellen und das Trennen der entsprechenden Steckverbindungen/Leitungskupplungen darf nur spannungslos möglich sein.</w:t>
      </w:r>
    </w:p>
    <w:p w:rsidR="00B807DD" w:rsidRPr="00DD2A86" w:rsidRDefault="00CC4D79" w:rsidP="0049020F">
      <w:pPr>
        <w:spacing w:before="120"/>
        <w:ind w:left="2268" w:right="1134"/>
        <w:jc w:val="both"/>
        <w:rPr>
          <w:rFonts w:eastAsia="Calibri"/>
          <w:bCs/>
          <w:lang w:val="de-DE"/>
        </w:rPr>
      </w:pPr>
      <w:r w:rsidRPr="00DD2A86">
        <w:rPr>
          <w:rFonts w:eastAsia="Calibri"/>
          <w:bCs/>
          <w:lang w:val="de-DE"/>
        </w:rPr>
        <w:t>9.1.0.53.5</w:t>
      </w:r>
      <w:r w:rsidRPr="00DD2A86">
        <w:rPr>
          <w:rFonts w:eastAsia="Calibri"/>
          <w:bCs/>
          <w:lang w:val="de-DE"/>
        </w:rPr>
        <w:tab/>
        <w:t>Für die nach Absatz 9.1.0.53.4 zulässigen beweglichen elektrischen Kabel dürfen nur schwere Gummischlauchleitungen H07RN-F nach Norm IEC 60245-4:2011</w:t>
      </w:r>
      <w:r w:rsidR="00025E98" w:rsidRPr="00DD2A86">
        <w:rPr>
          <w:rStyle w:val="FootnoteReference"/>
          <w:rFonts w:eastAsia="Calibri"/>
          <w:bCs/>
          <w:lang w:val="de-DE"/>
        </w:rPr>
        <w:footnoteReference w:id="71"/>
      </w:r>
      <w:r w:rsidR="00EC37B3" w:rsidRPr="00DD2A86">
        <w:rPr>
          <w:rFonts w:eastAsia="Calibri"/>
          <w:bCs/>
          <w:vertAlign w:val="superscript"/>
          <w:lang w:val="de-DE"/>
        </w:rPr>
        <w:t>)</w:t>
      </w:r>
      <w:r w:rsidRPr="00DD2A86">
        <w:rPr>
          <w:rFonts w:eastAsia="Calibri"/>
          <w:bCs/>
          <w:lang w:val="de-DE"/>
        </w:rPr>
        <w:t xml:space="preserve"> oder elektrische Kabel mindestens gleichwertiger Ausführung mit einem Mindestquerschnitt der Leiter von 1,5</w:t>
      </w:r>
      <w:r w:rsidR="008A3E14" w:rsidRPr="00DD2A86">
        <w:rPr>
          <w:rFonts w:eastAsia="Calibri"/>
          <w:bCs/>
          <w:lang w:val="de-DE"/>
        </w:rPr>
        <w:t>0</w:t>
      </w:r>
      <w:r w:rsidR="00E423EC" w:rsidRPr="00DD2A86">
        <w:rPr>
          <w:rFonts w:eastAsia="Calibri"/>
          <w:bCs/>
          <w:lang w:val="de-DE"/>
        </w:rPr>
        <w:t> </w:t>
      </w:r>
      <w:r w:rsidR="007C000A" w:rsidRPr="00DD2A86">
        <w:rPr>
          <w:rFonts w:eastAsia="Calibri"/>
          <w:bCs/>
          <w:lang w:val="de-DE"/>
        </w:rPr>
        <w:t>mm² verwendet werden.</w:t>
      </w:r>
    </w:p>
    <w:p w:rsidR="00EB6056" w:rsidRPr="00DD2A86" w:rsidRDefault="00EB6056">
      <w:pPr>
        <w:suppressAutoHyphens w:val="0"/>
        <w:spacing w:line="240" w:lineRule="auto"/>
        <w:rPr>
          <w:rFonts w:eastAsia="Calibri"/>
          <w:bCs/>
          <w:lang w:val="de-DE"/>
        </w:rPr>
      </w:pPr>
      <w:r w:rsidRPr="00DD2A86">
        <w:rPr>
          <w:rFonts w:eastAsia="Calibri"/>
          <w:bCs/>
          <w:lang w:val="de-DE"/>
        </w:rPr>
        <w:br w:type="page"/>
      </w:r>
    </w:p>
    <w:p w:rsidR="00CC4D79" w:rsidRPr="00DD2A86" w:rsidRDefault="00CC4D79" w:rsidP="0049020F">
      <w:pPr>
        <w:spacing w:before="120"/>
        <w:ind w:left="2268" w:right="1134"/>
        <w:jc w:val="both"/>
        <w:rPr>
          <w:rFonts w:eastAsia="Calibri"/>
          <w:bCs/>
          <w:lang w:val="de-DE"/>
        </w:rPr>
      </w:pPr>
      <w:r w:rsidRPr="00DD2A86">
        <w:rPr>
          <w:rFonts w:eastAsia="Calibri"/>
          <w:bCs/>
          <w:lang w:val="de-DE"/>
        </w:rPr>
        <w:t>9.1.0.53.6</w:t>
      </w:r>
      <w:r w:rsidRPr="00DD2A86">
        <w:rPr>
          <w:rFonts w:eastAsia="Calibri"/>
          <w:bCs/>
          <w:lang w:val="de-DE"/>
        </w:rPr>
        <w:tab/>
        <w:t>Nicht-elektrische Anlagen und Geräte im geschützten Bereich, die während des Ladens und Löschens oder während eines Aufenthalts in einer oder unmittelbar angrenzend an eine landseitig ausgewiesene Zone betrieben werden sollen, müssen mindestens die Anforderungen für den Einsatz in der jeweiligen Zone erfüllen. Sie müssen mindestens der Temperaturklasse T4 und der Explosionsgruppe II B entsprechen.</w:t>
      </w:r>
      <w:r w:rsidR="00E423EC" w:rsidRPr="00DD2A86">
        <w:rPr>
          <w:rFonts w:eastAsia="Calibri"/>
          <w:bCs/>
          <w:lang w:val="de-DE"/>
        </w:rPr>
        <w:t>“.</w:t>
      </w:r>
    </w:p>
    <w:p w:rsidR="00E423EC" w:rsidRPr="00DD2A86" w:rsidRDefault="00E423EC" w:rsidP="0049020F">
      <w:pPr>
        <w:suppressAutoHyphens w:val="0"/>
        <w:autoSpaceDE w:val="0"/>
        <w:autoSpaceDN w:val="0"/>
        <w:adjustRightInd w:val="0"/>
        <w:spacing w:before="240" w:line="240" w:lineRule="auto"/>
        <w:ind w:left="1134" w:right="1134"/>
        <w:jc w:val="both"/>
        <w:rPr>
          <w:rFonts w:eastAsia="Calibri"/>
          <w:lang w:val="de-DE"/>
        </w:rPr>
      </w:pPr>
      <w:r w:rsidRPr="00DD2A86">
        <w:rPr>
          <w:rFonts w:eastAsia="Calibri"/>
          <w:lang w:val="de-DE"/>
        </w:rPr>
        <w:t xml:space="preserve">„9.1.0.53 – 9.1.0.55 (bleibt offen)“ ändern in: </w:t>
      </w:r>
      <w:r w:rsidR="00C14EB2" w:rsidRPr="00DD2A86">
        <w:rPr>
          <w:rFonts w:eastAsia="Calibri"/>
          <w:lang w:val="de-DE"/>
        </w:rPr>
        <w:t>„</w:t>
      </w:r>
      <w:r w:rsidRPr="00DD2A86">
        <w:rPr>
          <w:rFonts w:eastAsia="Calibri"/>
          <w:lang w:val="de-DE"/>
        </w:rPr>
        <w:t>9.1.0.54 – 9.1.0.</w:t>
      </w:r>
      <w:r w:rsidR="009F2869" w:rsidRPr="00DD2A86">
        <w:rPr>
          <w:rFonts w:eastAsia="Calibri"/>
          <w:lang w:val="de-DE"/>
        </w:rPr>
        <w:t>55</w:t>
      </w:r>
      <w:r w:rsidRPr="00DD2A86">
        <w:rPr>
          <w:rFonts w:eastAsia="Calibri"/>
          <w:lang w:val="de-DE"/>
        </w:rPr>
        <w:t xml:space="preserve"> (bleibt offen)“.</w:t>
      </w:r>
    </w:p>
    <w:p w:rsidR="00111602" w:rsidRPr="00DD2A86" w:rsidRDefault="00111602" w:rsidP="0049020F">
      <w:pPr>
        <w:tabs>
          <w:tab w:val="left" w:pos="2977"/>
        </w:tabs>
        <w:suppressAutoHyphens w:val="0"/>
        <w:autoSpaceDE w:val="0"/>
        <w:autoSpaceDN w:val="0"/>
        <w:adjustRightInd w:val="0"/>
        <w:spacing w:before="240" w:line="240" w:lineRule="auto"/>
        <w:ind w:left="1134" w:right="1134"/>
        <w:jc w:val="both"/>
        <w:rPr>
          <w:rFonts w:eastAsia="Calibri"/>
          <w:lang w:val="de-DE"/>
        </w:rPr>
      </w:pPr>
      <w:r w:rsidRPr="00DD2A86">
        <w:rPr>
          <w:rFonts w:eastAsia="Calibri"/>
          <w:lang w:val="de-DE"/>
        </w:rPr>
        <w:t>9.1.0.56</w:t>
      </w:r>
      <w:r w:rsidRPr="00DD2A86">
        <w:rPr>
          <w:rFonts w:eastAsia="Calibri"/>
          <w:lang w:val="de-DE"/>
        </w:rPr>
        <w:tab/>
      </w:r>
      <w:r w:rsidR="009F2869" w:rsidRPr="00DD2A86">
        <w:rPr>
          <w:rFonts w:eastAsia="Calibri"/>
          <w:lang w:val="de-DE"/>
        </w:rPr>
        <w:t>Erhält folgenden Wortlaut: „(gestrichen)“.</w:t>
      </w:r>
    </w:p>
    <w:p w:rsidR="00111602" w:rsidRPr="00DD2A86" w:rsidRDefault="00111602" w:rsidP="0049020F">
      <w:pPr>
        <w:tabs>
          <w:tab w:val="left" w:pos="2977"/>
        </w:tabs>
        <w:suppressAutoHyphens w:val="0"/>
        <w:autoSpaceDE w:val="0"/>
        <w:autoSpaceDN w:val="0"/>
        <w:adjustRightInd w:val="0"/>
        <w:spacing w:before="240" w:line="240" w:lineRule="auto"/>
        <w:ind w:left="1134" w:right="1134"/>
        <w:jc w:val="both"/>
        <w:rPr>
          <w:rFonts w:eastAsia="Calibri"/>
          <w:i/>
          <w:lang w:val="de-DE"/>
        </w:rPr>
      </w:pPr>
      <w:r w:rsidRPr="00DD2A86">
        <w:rPr>
          <w:rFonts w:eastAsia="Calibri"/>
          <w:lang w:val="de-DE"/>
        </w:rPr>
        <w:t>9.1.0.56.1</w:t>
      </w:r>
      <w:r w:rsidR="00D86293" w:rsidRPr="00DD2A86">
        <w:rPr>
          <w:rFonts w:eastAsia="Calibri"/>
          <w:lang w:val="de-DE"/>
        </w:rPr>
        <w:t>, 9.1.0.56.2 und 9.1.0.56.3</w:t>
      </w:r>
      <w:r w:rsidR="00D86293" w:rsidRPr="00DD2A86">
        <w:rPr>
          <w:rFonts w:eastAsia="Calibri"/>
          <w:lang w:val="de-DE"/>
        </w:rPr>
        <w:tab/>
      </w:r>
      <w:r w:rsidR="00E32112" w:rsidRPr="00DD2A86">
        <w:rPr>
          <w:rFonts w:eastAsia="Calibri"/>
          <w:lang w:val="de-DE"/>
        </w:rPr>
        <w:t>Streichen</w:t>
      </w:r>
      <w:r w:rsidR="00F86C32" w:rsidRPr="00DD2A86">
        <w:rPr>
          <w:rFonts w:eastAsia="Calibri"/>
          <w:lang w:val="de-DE"/>
        </w:rPr>
        <w:t>.</w:t>
      </w:r>
    </w:p>
    <w:p w:rsidR="00524441" w:rsidRPr="00DD2A86" w:rsidRDefault="00524441" w:rsidP="00524441">
      <w:pPr>
        <w:keepNext/>
        <w:keepLines/>
        <w:tabs>
          <w:tab w:val="right" w:pos="851"/>
        </w:tabs>
        <w:ind w:left="1134" w:right="522" w:hanging="1134"/>
        <w:rPr>
          <w:b/>
          <w:sz w:val="24"/>
          <w:lang w:val="de-DE"/>
        </w:rPr>
      </w:pPr>
    </w:p>
    <w:p w:rsidR="001472DE" w:rsidRPr="00DD2A86" w:rsidRDefault="001472DE" w:rsidP="00B61A90">
      <w:pPr>
        <w:keepNext/>
        <w:keepLines/>
        <w:tabs>
          <w:tab w:val="right" w:pos="851"/>
        </w:tabs>
        <w:spacing w:before="360" w:after="240" w:line="270" w:lineRule="exact"/>
        <w:ind w:left="1134" w:right="521" w:hanging="1134"/>
        <w:rPr>
          <w:b/>
          <w:sz w:val="24"/>
          <w:lang w:val="de-DE"/>
        </w:rPr>
      </w:pPr>
      <w:r w:rsidRPr="00DD2A86">
        <w:rPr>
          <w:b/>
          <w:sz w:val="24"/>
          <w:lang w:val="de-DE"/>
        </w:rPr>
        <w:t>Kapitel 9.3</w:t>
      </w:r>
    </w:p>
    <w:p w:rsidR="00524441" w:rsidRPr="00DD2A86" w:rsidRDefault="00524441" w:rsidP="0049020F">
      <w:pPr>
        <w:tabs>
          <w:tab w:val="left" w:pos="1701"/>
          <w:tab w:val="left" w:pos="2835"/>
        </w:tabs>
        <w:spacing w:before="120" w:after="120"/>
        <w:ind w:left="1134" w:right="1134"/>
        <w:jc w:val="both"/>
        <w:rPr>
          <w:rFonts w:eastAsia="SimSun"/>
          <w:lang w:val="de-DE" w:eastAsia="zh-CN"/>
        </w:rPr>
      </w:pPr>
      <w:r w:rsidRPr="00DD2A86">
        <w:rPr>
          <w:lang w:val="de-DE"/>
        </w:rPr>
        <w:t>9.3.x.0.2</w:t>
      </w:r>
      <w:r w:rsidRPr="00DD2A86">
        <w:rPr>
          <w:lang w:val="de-DE"/>
        </w:rPr>
        <w:tab/>
      </w:r>
      <w:r w:rsidRPr="00DD2A86">
        <w:rPr>
          <w:rFonts w:eastAsia="SimSun"/>
          <w:lang w:val="de-DE" w:eastAsia="zh-CN"/>
        </w:rPr>
        <w:t>„Aluminiumlegierungen oder Kunststoffen“ ändern in: „Aluminiumlegierungen, Kunststoffen oder Gummi“.</w:t>
      </w:r>
    </w:p>
    <w:p w:rsidR="00524441" w:rsidRPr="00DD2A86" w:rsidRDefault="00524441" w:rsidP="0049020F">
      <w:pPr>
        <w:tabs>
          <w:tab w:val="left" w:pos="1701"/>
          <w:tab w:val="left" w:pos="2835"/>
        </w:tabs>
        <w:spacing w:before="120" w:after="120"/>
        <w:ind w:left="1134" w:right="1134"/>
        <w:jc w:val="both"/>
        <w:rPr>
          <w:lang w:val="de-DE"/>
        </w:rPr>
      </w:pPr>
      <w:r w:rsidRPr="00DD2A86">
        <w:rPr>
          <w:lang w:val="de-DE"/>
        </w:rPr>
        <w:t>9.3.x.0.3</w:t>
      </w:r>
      <w:r w:rsidRPr="00DD2A86">
        <w:rPr>
          <w:lang w:val="de-DE"/>
        </w:rPr>
        <w:tab/>
        <w:t>Erhält folgenden Wortlaut:</w:t>
      </w:r>
    </w:p>
    <w:p w:rsidR="00524441" w:rsidRPr="00DD2A86" w:rsidRDefault="00524441" w:rsidP="0049020F">
      <w:pPr>
        <w:suppressAutoHyphens w:val="0"/>
        <w:autoSpaceDE w:val="0"/>
        <w:autoSpaceDN w:val="0"/>
        <w:adjustRightInd w:val="0"/>
        <w:spacing w:before="120"/>
        <w:ind w:left="1134" w:right="1134"/>
        <w:jc w:val="both"/>
        <w:rPr>
          <w:rFonts w:eastAsia="Calibri"/>
          <w:lang w:val="de-DE" w:eastAsia="nl-NL"/>
        </w:rPr>
      </w:pPr>
      <w:r w:rsidRPr="00DD2A86">
        <w:rPr>
          <w:rFonts w:eastAsia="Calibri"/>
          <w:lang w:val="de-DE" w:eastAsia="nl-NL"/>
        </w:rPr>
        <w:t>„Die Verwendung von Holz, Aluminiumlegierungen, Kunststoff und Gummi im Bereich der Ladung ist gemäß folgender Tabelle zulässig.</w:t>
      </w:r>
    </w:p>
    <w:p w:rsidR="00524441" w:rsidRPr="00DD2A86" w:rsidRDefault="00524441" w:rsidP="00524441">
      <w:pPr>
        <w:suppressAutoHyphens w:val="0"/>
        <w:autoSpaceDE w:val="0"/>
        <w:autoSpaceDN w:val="0"/>
        <w:adjustRightInd w:val="0"/>
        <w:spacing w:before="120"/>
        <w:ind w:left="1134" w:right="567"/>
        <w:jc w:val="both"/>
        <w:rPr>
          <w:rFonts w:eastAsia="Calibri"/>
          <w:lang w:val="de-DE" w:eastAsia="nl-NL"/>
        </w:rPr>
        <w:sectPr w:rsidR="00524441" w:rsidRPr="00DD2A86" w:rsidSect="0099605D">
          <w:headerReference w:type="even" r:id="rId99"/>
          <w:headerReference w:type="default" r:id="rId100"/>
          <w:footerReference w:type="even" r:id="rId101"/>
          <w:footerReference w:type="default" r:id="rId102"/>
          <w:headerReference w:type="first" r:id="rId103"/>
          <w:footerReference w:type="first" r:id="rId104"/>
          <w:endnotePr>
            <w:numFmt w:val="decimal"/>
          </w:endnotePr>
          <w:pgSz w:w="11907" w:h="16840" w:code="9"/>
          <w:pgMar w:top="1701" w:right="1134" w:bottom="2268" w:left="1134" w:header="1134" w:footer="1701" w:gutter="0"/>
          <w:cols w:space="720"/>
          <w:titlePg/>
          <w:docGrid w:linePitch="272"/>
        </w:sectPr>
      </w:pPr>
    </w:p>
    <w:tbl>
      <w:tblPr>
        <w:tblW w:w="1427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86"/>
        <w:gridCol w:w="1404"/>
        <w:gridCol w:w="2270"/>
        <w:gridCol w:w="1290"/>
        <w:gridCol w:w="2622"/>
      </w:tblGrid>
      <w:tr w:rsidR="00524441" w:rsidRPr="00DD2A86" w:rsidTr="0099605D">
        <w:trPr>
          <w:trHeight w:val="270"/>
        </w:trPr>
        <w:tc>
          <w:tcPr>
            <w:tcW w:w="8090" w:type="dxa"/>
            <w:gridSpan w:val="2"/>
            <w:tcBorders>
              <w:right w:val="nil"/>
            </w:tcBorders>
            <w:shd w:val="clear" w:color="auto" w:fill="auto"/>
            <w:noWrap/>
            <w:vAlign w:val="center"/>
            <w:hideMark/>
          </w:tcPr>
          <w:p w:rsidR="00524441" w:rsidRPr="00DD2A86" w:rsidRDefault="00524441" w:rsidP="0099605D">
            <w:pPr>
              <w:suppressAutoHyphens w:val="0"/>
              <w:spacing w:line="240" w:lineRule="auto"/>
              <w:rPr>
                <w:sz w:val="18"/>
                <w:szCs w:val="18"/>
                <w:lang w:val="de-DE" w:eastAsia="fr-FR"/>
              </w:rPr>
            </w:pPr>
            <w:r w:rsidRPr="00DD2A86">
              <w:rPr>
                <w:sz w:val="18"/>
                <w:szCs w:val="18"/>
                <w:lang w:val="de-DE" w:eastAsia="fr-FR"/>
              </w:rPr>
              <w:t>Die Verwendung von Holz, Aluminiumlegierungen, Kunststoff und Gummi ist nur zulässig für</w:t>
            </w:r>
          </w:p>
        </w:tc>
        <w:tc>
          <w:tcPr>
            <w:tcW w:w="2270" w:type="dxa"/>
            <w:tcBorders>
              <w:left w:val="nil"/>
              <w:right w:val="nil"/>
            </w:tcBorders>
            <w:shd w:val="clear" w:color="auto" w:fill="auto"/>
            <w:noWrap/>
            <w:vAlign w:val="center"/>
          </w:tcPr>
          <w:p w:rsidR="00524441" w:rsidRPr="00DD2A86" w:rsidRDefault="00524441" w:rsidP="0099605D">
            <w:pPr>
              <w:suppressAutoHyphens w:val="0"/>
              <w:spacing w:line="240" w:lineRule="auto"/>
              <w:rPr>
                <w:b/>
                <w:bCs/>
                <w:sz w:val="18"/>
                <w:szCs w:val="18"/>
                <w:lang w:val="de-DE" w:eastAsia="fr-FR"/>
              </w:rPr>
            </w:pPr>
          </w:p>
        </w:tc>
        <w:tc>
          <w:tcPr>
            <w:tcW w:w="1290" w:type="dxa"/>
            <w:tcBorders>
              <w:left w:val="nil"/>
              <w:right w:val="nil"/>
            </w:tcBorders>
            <w:shd w:val="clear" w:color="auto" w:fill="auto"/>
            <w:noWrap/>
            <w:vAlign w:val="center"/>
            <w:hideMark/>
          </w:tcPr>
          <w:p w:rsidR="00524441" w:rsidRPr="00DD2A86" w:rsidRDefault="00524441" w:rsidP="0099605D">
            <w:pPr>
              <w:suppressAutoHyphens w:val="0"/>
              <w:spacing w:line="240" w:lineRule="auto"/>
              <w:jc w:val="right"/>
              <w:rPr>
                <w:b/>
                <w:bCs/>
                <w:sz w:val="18"/>
                <w:szCs w:val="18"/>
                <w:lang w:val="de-DE" w:eastAsia="fr-FR"/>
              </w:rPr>
            </w:pPr>
          </w:p>
        </w:tc>
        <w:tc>
          <w:tcPr>
            <w:tcW w:w="2622" w:type="dxa"/>
            <w:tcBorders>
              <w:left w:val="nil"/>
            </w:tcBorders>
            <w:shd w:val="clear" w:color="auto" w:fill="auto"/>
            <w:noWrap/>
            <w:vAlign w:val="center"/>
            <w:hideMark/>
          </w:tcPr>
          <w:p w:rsidR="00524441" w:rsidRPr="00DD2A86" w:rsidRDefault="00524441" w:rsidP="0099605D">
            <w:pPr>
              <w:suppressAutoHyphens w:val="0"/>
              <w:spacing w:line="240" w:lineRule="auto"/>
              <w:jc w:val="right"/>
              <w:rPr>
                <w:b/>
                <w:bCs/>
                <w:sz w:val="18"/>
                <w:szCs w:val="18"/>
                <w:lang w:val="fr-FR" w:eastAsia="fr-FR"/>
              </w:rPr>
            </w:pPr>
            <w:r w:rsidRPr="00DD2A86">
              <w:rPr>
                <w:b/>
                <w:bCs/>
                <w:sz w:val="18"/>
                <w:szCs w:val="18"/>
                <w:lang w:val="fr-FR" w:eastAsia="fr-FR"/>
              </w:rPr>
              <w:t>(X bedeutet zugelassen)</w:t>
            </w:r>
          </w:p>
        </w:tc>
      </w:tr>
      <w:tr w:rsidR="00524441" w:rsidRPr="00DD2A86" w:rsidTr="0099605D">
        <w:trPr>
          <w:trHeight w:val="270"/>
        </w:trPr>
        <w:tc>
          <w:tcPr>
            <w:tcW w:w="6686" w:type="dxa"/>
            <w:tcBorders>
              <w:top w:val="single" w:sz="4" w:space="0" w:color="auto"/>
            </w:tcBorders>
            <w:shd w:val="clear" w:color="auto" w:fill="auto"/>
            <w:noWrap/>
            <w:vAlign w:val="bottom"/>
            <w:hideMark/>
          </w:tcPr>
          <w:p w:rsidR="00524441" w:rsidRPr="00DD2A86" w:rsidRDefault="00524441" w:rsidP="0099605D">
            <w:pPr>
              <w:suppressAutoHyphens w:val="0"/>
              <w:spacing w:line="240" w:lineRule="auto"/>
              <w:rPr>
                <w:sz w:val="18"/>
                <w:szCs w:val="18"/>
                <w:lang w:val="fr-FR" w:eastAsia="fr-FR"/>
              </w:rPr>
            </w:pPr>
          </w:p>
        </w:tc>
        <w:tc>
          <w:tcPr>
            <w:tcW w:w="1404" w:type="dxa"/>
            <w:shd w:val="clear" w:color="auto" w:fill="auto"/>
            <w:noWrap/>
            <w:vAlign w:val="bottom"/>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Holz</w:t>
            </w:r>
          </w:p>
        </w:tc>
        <w:tc>
          <w:tcPr>
            <w:tcW w:w="2270" w:type="dxa"/>
            <w:shd w:val="clear" w:color="auto" w:fill="auto"/>
            <w:noWrap/>
            <w:vAlign w:val="bottom"/>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Aluminiumlegierungen</w:t>
            </w:r>
          </w:p>
        </w:tc>
        <w:tc>
          <w:tcPr>
            <w:tcW w:w="1290" w:type="dxa"/>
            <w:shd w:val="clear" w:color="auto" w:fill="auto"/>
            <w:noWrap/>
            <w:vAlign w:val="bottom"/>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Kunststoff</w:t>
            </w:r>
          </w:p>
        </w:tc>
        <w:tc>
          <w:tcPr>
            <w:tcW w:w="2622" w:type="dxa"/>
            <w:shd w:val="clear" w:color="auto" w:fill="auto"/>
            <w:noWrap/>
            <w:vAlign w:val="bottom"/>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Gummi</w:t>
            </w:r>
          </w:p>
        </w:tc>
      </w:tr>
      <w:tr w:rsidR="00524441" w:rsidRPr="00DD2A86" w:rsidTr="0099605D">
        <w:tc>
          <w:tcPr>
            <w:tcW w:w="6686" w:type="dxa"/>
            <w:shd w:val="clear" w:color="auto" w:fill="auto"/>
            <w:vAlign w:val="bottom"/>
            <w:hideMark/>
          </w:tcPr>
          <w:p w:rsidR="00524441" w:rsidRPr="00DD2A86" w:rsidRDefault="00524441" w:rsidP="0099605D">
            <w:pPr>
              <w:suppressAutoHyphens w:val="0"/>
              <w:spacing w:line="240" w:lineRule="auto"/>
              <w:rPr>
                <w:sz w:val="18"/>
                <w:szCs w:val="18"/>
                <w:lang w:val="fr-FR" w:eastAsia="fr-FR"/>
              </w:rPr>
            </w:pPr>
            <w:r w:rsidRPr="00DD2A86">
              <w:rPr>
                <w:sz w:val="18"/>
                <w:szCs w:val="18"/>
                <w:lang w:val="fr-FR" w:eastAsia="fr-FR"/>
              </w:rPr>
              <w:t>Landstege</w:t>
            </w:r>
          </w:p>
        </w:tc>
        <w:tc>
          <w:tcPr>
            <w:tcW w:w="1404"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c>
          <w:tcPr>
            <w:tcW w:w="2270"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c>
          <w:tcPr>
            <w:tcW w:w="1290"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c>
          <w:tcPr>
            <w:tcW w:w="2622"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r>
      <w:tr w:rsidR="00524441" w:rsidRPr="00DD2A86" w:rsidTr="0099605D">
        <w:tc>
          <w:tcPr>
            <w:tcW w:w="6686" w:type="dxa"/>
            <w:shd w:val="clear" w:color="auto" w:fill="auto"/>
            <w:vAlign w:val="bottom"/>
            <w:hideMark/>
          </w:tcPr>
          <w:p w:rsidR="00524441" w:rsidRPr="00DD2A86" w:rsidRDefault="00524441" w:rsidP="0099605D">
            <w:pPr>
              <w:suppressAutoHyphens w:val="0"/>
              <w:spacing w:line="240" w:lineRule="auto"/>
              <w:rPr>
                <w:sz w:val="18"/>
                <w:szCs w:val="18"/>
                <w:lang w:val="fr-FR" w:eastAsia="fr-FR"/>
              </w:rPr>
            </w:pPr>
            <w:r w:rsidRPr="00DD2A86">
              <w:rPr>
                <w:sz w:val="18"/>
                <w:szCs w:val="18"/>
                <w:lang w:val="fr-FR" w:eastAsia="fr-FR"/>
              </w:rPr>
              <w:t>Außenbordtreppen und Gehwege (Laufstege) *</w:t>
            </w:r>
            <w:r w:rsidRPr="00DD2A86">
              <w:rPr>
                <w:sz w:val="18"/>
                <w:szCs w:val="18"/>
                <w:vertAlign w:val="superscript"/>
                <w:lang w:val="fr-FR" w:eastAsia="fr-FR"/>
              </w:rPr>
              <w:t>)</w:t>
            </w:r>
          </w:p>
        </w:tc>
        <w:tc>
          <w:tcPr>
            <w:tcW w:w="1404"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p>
        </w:tc>
        <w:tc>
          <w:tcPr>
            <w:tcW w:w="2270"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c>
          <w:tcPr>
            <w:tcW w:w="1290"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c>
          <w:tcPr>
            <w:tcW w:w="2622"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r>
      <w:tr w:rsidR="00524441" w:rsidRPr="00DD2A86" w:rsidTr="0099605D">
        <w:tc>
          <w:tcPr>
            <w:tcW w:w="6686" w:type="dxa"/>
            <w:shd w:val="clear" w:color="auto" w:fill="auto"/>
            <w:vAlign w:val="bottom"/>
            <w:hideMark/>
          </w:tcPr>
          <w:p w:rsidR="00524441" w:rsidRPr="00DD2A86" w:rsidRDefault="00524441" w:rsidP="0099605D">
            <w:pPr>
              <w:suppressAutoHyphens w:val="0"/>
              <w:spacing w:line="240" w:lineRule="auto"/>
              <w:rPr>
                <w:sz w:val="18"/>
                <w:szCs w:val="18"/>
                <w:lang w:val="fr-FR" w:eastAsia="fr-FR"/>
              </w:rPr>
            </w:pPr>
            <w:r w:rsidRPr="00DD2A86">
              <w:rPr>
                <w:sz w:val="18"/>
                <w:szCs w:val="18"/>
                <w:lang w:val="fr-FR" w:eastAsia="fr-FR"/>
              </w:rPr>
              <w:t>Reinigungsmaterial wie Besen usw.</w:t>
            </w:r>
          </w:p>
        </w:tc>
        <w:tc>
          <w:tcPr>
            <w:tcW w:w="1404"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c>
          <w:tcPr>
            <w:tcW w:w="2270"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p>
        </w:tc>
        <w:tc>
          <w:tcPr>
            <w:tcW w:w="1290"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c>
          <w:tcPr>
            <w:tcW w:w="2622"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r>
      <w:tr w:rsidR="00524441" w:rsidRPr="00DD2A86" w:rsidTr="0099605D">
        <w:tc>
          <w:tcPr>
            <w:tcW w:w="6686" w:type="dxa"/>
            <w:shd w:val="clear" w:color="auto" w:fill="auto"/>
            <w:vAlign w:val="bottom"/>
            <w:hideMark/>
          </w:tcPr>
          <w:p w:rsidR="00524441" w:rsidRPr="00DD2A86" w:rsidRDefault="00524441" w:rsidP="0099605D">
            <w:pPr>
              <w:suppressAutoHyphens w:val="0"/>
              <w:spacing w:line="240" w:lineRule="auto"/>
              <w:rPr>
                <w:sz w:val="18"/>
                <w:szCs w:val="18"/>
                <w:lang w:val="de-DE" w:eastAsia="fr-FR"/>
              </w:rPr>
            </w:pPr>
            <w:r w:rsidRPr="00DD2A86">
              <w:rPr>
                <w:sz w:val="18"/>
                <w:szCs w:val="18"/>
                <w:lang w:val="de-DE" w:eastAsia="fr-FR"/>
              </w:rPr>
              <w:t>lose Ausrüstungsgegenstände wie Feuerlöscher, mobile Gasspürgeräte, Bergegeräte usw.</w:t>
            </w:r>
          </w:p>
        </w:tc>
        <w:tc>
          <w:tcPr>
            <w:tcW w:w="1404" w:type="dxa"/>
            <w:shd w:val="clear" w:color="auto" w:fill="auto"/>
            <w:noWrap/>
            <w:vAlign w:val="center"/>
            <w:hideMark/>
          </w:tcPr>
          <w:p w:rsidR="00524441" w:rsidRPr="00DD2A86" w:rsidRDefault="00524441" w:rsidP="0099605D">
            <w:pPr>
              <w:suppressAutoHyphens w:val="0"/>
              <w:spacing w:line="240" w:lineRule="auto"/>
              <w:jc w:val="center"/>
              <w:rPr>
                <w:sz w:val="18"/>
                <w:szCs w:val="18"/>
                <w:lang w:val="de-DE" w:eastAsia="fr-FR"/>
              </w:rPr>
            </w:pPr>
          </w:p>
        </w:tc>
        <w:tc>
          <w:tcPr>
            <w:tcW w:w="2270"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c>
          <w:tcPr>
            <w:tcW w:w="1290"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c>
          <w:tcPr>
            <w:tcW w:w="2622"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r>
      <w:tr w:rsidR="00524441" w:rsidRPr="00DD2A86" w:rsidTr="0099605D">
        <w:tc>
          <w:tcPr>
            <w:tcW w:w="6686" w:type="dxa"/>
            <w:shd w:val="clear" w:color="auto" w:fill="auto"/>
            <w:vAlign w:val="bottom"/>
          </w:tcPr>
          <w:p w:rsidR="00524441" w:rsidRPr="00DD2A86" w:rsidRDefault="00524441" w:rsidP="0099605D">
            <w:pPr>
              <w:suppressAutoHyphens w:val="0"/>
              <w:spacing w:line="240" w:lineRule="auto"/>
              <w:rPr>
                <w:sz w:val="18"/>
                <w:szCs w:val="18"/>
                <w:lang w:val="de-DE" w:eastAsia="fr-FR"/>
              </w:rPr>
            </w:pPr>
            <w:r w:rsidRPr="00DD2A86">
              <w:rPr>
                <w:sz w:val="18"/>
                <w:szCs w:val="18"/>
                <w:lang w:val="de-DE" w:eastAsia="fr-FR"/>
              </w:rPr>
              <w:t>Leckwannen, Tropftassen</w:t>
            </w:r>
          </w:p>
        </w:tc>
        <w:tc>
          <w:tcPr>
            <w:tcW w:w="1404" w:type="dxa"/>
            <w:shd w:val="clear" w:color="auto" w:fill="auto"/>
            <w:noWrap/>
            <w:vAlign w:val="center"/>
          </w:tcPr>
          <w:p w:rsidR="00524441" w:rsidRPr="00DD2A86" w:rsidRDefault="00524441" w:rsidP="0099605D">
            <w:pPr>
              <w:suppressAutoHyphens w:val="0"/>
              <w:spacing w:line="240" w:lineRule="auto"/>
              <w:jc w:val="center"/>
              <w:rPr>
                <w:strike/>
                <w:sz w:val="18"/>
                <w:szCs w:val="18"/>
                <w:lang w:val="fr-FR" w:eastAsia="fr-FR"/>
              </w:rPr>
            </w:pPr>
          </w:p>
        </w:tc>
        <w:tc>
          <w:tcPr>
            <w:tcW w:w="2270" w:type="dxa"/>
            <w:shd w:val="clear" w:color="auto" w:fill="auto"/>
            <w:noWrap/>
            <w:vAlign w:val="center"/>
          </w:tcPr>
          <w:p w:rsidR="00524441" w:rsidRPr="00DD2A86" w:rsidRDefault="00524441" w:rsidP="0099605D">
            <w:pPr>
              <w:suppressAutoHyphens w:val="0"/>
              <w:spacing w:line="240" w:lineRule="auto"/>
              <w:jc w:val="center"/>
              <w:rPr>
                <w:sz w:val="18"/>
                <w:szCs w:val="18"/>
                <w:lang w:val="fr-FR" w:eastAsia="fr-FR"/>
              </w:rPr>
            </w:pPr>
          </w:p>
        </w:tc>
        <w:tc>
          <w:tcPr>
            <w:tcW w:w="1290" w:type="dxa"/>
            <w:shd w:val="clear" w:color="auto" w:fill="auto"/>
            <w:noWrap/>
            <w:vAlign w:val="center"/>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c>
          <w:tcPr>
            <w:tcW w:w="2622" w:type="dxa"/>
            <w:shd w:val="clear" w:color="auto" w:fill="auto"/>
            <w:noWrap/>
            <w:vAlign w:val="center"/>
          </w:tcPr>
          <w:p w:rsidR="00524441" w:rsidRPr="00DD2A86" w:rsidRDefault="00524441" w:rsidP="0099605D">
            <w:pPr>
              <w:suppressAutoHyphens w:val="0"/>
              <w:spacing w:line="240" w:lineRule="auto"/>
              <w:jc w:val="center"/>
              <w:rPr>
                <w:sz w:val="18"/>
                <w:szCs w:val="18"/>
                <w:lang w:val="fr-FR" w:eastAsia="fr-FR"/>
              </w:rPr>
            </w:pPr>
          </w:p>
        </w:tc>
      </w:tr>
      <w:tr w:rsidR="00524441" w:rsidRPr="00DD2A86" w:rsidTr="0099605D">
        <w:tc>
          <w:tcPr>
            <w:tcW w:w="6686" w:type="dxa"/>
            <w:shd w:val="clear" w:color="auto" w:fill="auto"/>
            <w:vAlign w:val="bottom"/>
            <w:hideMark/>
          </w:tcPr>
          <w:p w:rsidR="00524441" w:rsidRPr="00DD2A86" w:rsidRDefault="00524441" w:rsidP="0099605D">
            <w:pPr>
              <w:suppressAutoHyphens w:val="0"/>
              <w:spacing w:line="240" w:lineRule="auto"/>
              <w:rPr>
                <w:sz w:val="18"/>
                <w:szCs w:val="18"/>
                <w:lang w:val="fr-FR" w:eastAsia="fr-FR"/>
              </w:rPr>
            </w:pPr>
            <w:r w:rsidRPr="00DD2A86">
              <w:rPr>
                <w:sz w:val="18"/>
                <w:szCs w:val="18"/>
                <w:lang w:val="fr-FR" w:eastAsia="fr-FR"/>
              </w:rPr>
              <w:t>Fender</w:t>
            </w:r>
          </w:p>
        </w:tc>
        <w:tc>
          <w:tcPr>
            <w:tcW w:w="1404"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c>
          <w:tcPr>
            <w:tcW w:w="2270"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p>
        </w:tc>
        <w:tc>
          <w:tcPr>
            <w:tcW w:w="1290"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c>
          <w:tcPr>
            <w:tcW w:w="2622"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r>
      <w:tr w:rsidR="00524441" w:rsidRPr="00DD2A86" w:rsidTr="0099605D">
        <w:tc>
          <w:tcPr>
            <w:tcW w:w="6686" w:type="dxa"/>
            <w:shd w:val="clear" w:color="auto" w:fill="auto"/>
            <w:vAlign w:val="bottom"/>
            <w:hideMark/>
          </w:tcPr>
          <w:p w:rsidR="00524441" w:rsidRPr="00DD2A86" w:rsidRDefault="00524441" w:rsidP="0099605D">
            <w:pPr>
              <w:suppressAutoHyphens w:val="0"/>
              <w:spacing w:line="240" w:lineRule="auto"/>
              <w:rPr>
                <w:sz w:val="18"/>
                <w:szCs w:val="18"/>
                <w:lang w:val="de-DE" w:eastAsia="fr-FR"/>
              </w:rPr>
            </w:pPr>
            <w:r w:rsidRPr="00DD2A86">
              <w:rPr>
                <w:sz w:val="18"/>
                <w:szCs w:val="18"/>
                <w:lang w:val="de-DE" w:eastAsia="fr-FR"/>
              </w:rPr>
              <w:t>Trossen zum Festmachen, Taue für Fender</w:t>
            </w:r>
          </w:p>
        </w:tc>
        <w:tc>
          <w:tcPr>
            <w:tcW w:w="1404" w:type="dxa"/>
            <w:shd w:val="clear" w:color="auto" w:fill="auto"/>
            <w:noWrap/>
            <w:vAlign w:val="center"/>
            <w:hideMark/>
          </w:tcPr>
          <w:p w:rsidR="00524441" w:rsidRPr="00DD2A86" w:rsidRDefault="00524441" w:rsidP="0099605D">
            <w:pPr>
              <w:suppressAutoHyphens w:val="0"/>
              <w:spacing w:line="240" w:lineRule="auto"/>
              <w:jc w:val="center"/>
              <w:rPr>
                <w:sz w:val="18"/>
                <w:szCs w:val="18"/>
                <w:lang w:val="de-DE" w:eastAsia="fr-FR"/>
              </w:rPr>
            </w:pPr>
          </w:p>
        </w:tc>
        <w:tc>
          <w:tcPr>
            <w:tcW w:w="2270" w:type="dxa"/>
            <w:shd w:val="clear" w:color="auto" w:fill="auto"/>
            <w:noWrap/>
            <w:vAlign w:val="center"/>
            <w:hideMark/>
          </w:tcPr>
          <w:p w:rsidR="00524441" w:rsidRPr="00DD2A86" w:rsidRDefault="00524441" w:rsidP="0099605D">
            <w:pPr>
              <w:suppressAutoHyphens w:val="0"/>
              <w:spacing w:line="240" w:lineRule="auto"/>
              <w:jc w:val="center"/>
              <w:rPr>
                <w:sz w:val="18"/>
                <w:szCs w:val="18"/>
                <w:lang w:val="de-DE" w:eastAsia="fr-FR"/>
              </w:rPr>
            </w:pPr>
          </w:p>
        </w:tc>
        <w:tc>
          <w:tcPr>
            <w:tcW w:w="1290"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c>
          <w:tcPr>
            <w:tcW w:w="2622"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p>
        </w:tc>
      </w:tr>
      <w:tr w:rsidR="00524441" w:rsidRPr="00DD2A86" w:rsidTr="0099605D">
        <w:tc>
          <w:tcPr>
            <w:tcW w:w="6686" w:type="dxa"/>
            <w:shd w:val="clear" w:color="auto" w:fill="auto"/>
            <w:vAlign w:val="bottom"/>
            <w:hideMark/>
          </w:tcPr>
          <w:p w:rsidR="00524441" w:rsidRPr="00DD2A86" w:rsidRDefault="00524441" w:rsidP="0099605D">
            <w:pPr>
              <w:suppressAutoHyphens w:val="0"/>
              <w:spacing w:line="240" w:lineRule="auto"/>
              <w:rPr>
                <w:sz w:val="18"/>
                <w:szCs w:val="18"/>
                <w:lang w:val="de-DE" w:eastAsia="fr-FR"/>
              </w:rPr>
            </w:pPr>
            <w:r w:rsidRPr="00DD2A86">
              <w:rPr>
                <w:sz w:val="18"/>
                <w:szCs w:val="18"/>
                <w:lang w:val="de-DE" w:eastAsia="fr-FR"/>
              </w:rPr>
              <w:t>die Lagerung der vom Schiffskörper unabhängigen Tanks sowie die Lagerung von Einrichtungen und Ausrüstungen</w:t>
            </w:r>
          </w:p>
        </w:tc>
        <w:tc>
          <w:tcPr>
            <w:tcW w:w="1404"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c>
          <w:tcPr>
            <w:tcW w:w="2270"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p>
        </w:tc>
        <w:tc>
          <w:tcPr>
            <w:tcW w:w="1290"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c>
          <w:tcPr>
            <w:tcW w:w="2622"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p>
        </w:tc>
      </w:tr>
      <w:tr w:rsidR="00524441" w:rsidRPr="00DD2A86" w:rsidTr="0099605D">
        <w:tc>
          <w:tcPr>
            <w:tcW w:w="6686" w:type="dxa"/>
            <w:shd w:val="clear" w:color="auto" w:fill="auto"/>
            <w:vAlign w:val="bottom"/>
            <w:hideMark/>
          </w:tcPr>
          <w:p w:rsidR="00524441" w:rsidRPr="00DD2A86" w:rsidRDefault="00524441" w:rsidP="0099605D">
            <w:pPr>
              <w:suppressAutoHyphens w:val="0"/>
              <w:spacing w:line="240" w:lineRule="auto"/>
              <w:rPr>
                <w:sz w:val="18"/>
                <w:szCs w:val="18"/>
                <w:lang w:val="fr-FR" w:eastAsia="fr-FR"/>
              </w:rPr>
            </w:pPr>
            <w:r w:rsidRPr="00DD2A86">
              <w:rPr>
                <w:sz w:val="18"/>
                <w:szCs w:val="18"/>
                <w:lang w:val="fr-FR" w:eastAsia="fr-FR"/>
              </w:rPr>
              <w:t>Masten und ähnliche Rundhölzer</w:t>
            </w:r>
          </w:p>
        </w:tc>
        <w:tc>
          <w:tcPr>
            <w:tcW w:w="1404"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c>
          <w:tcPr>
            <w:tcW w:w="2270"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c>
          <w:tcPr>
            <w:tcW w:w="1290"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c>
          <w:tcPr>
            <w:tcW w:w="2622"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p>
        </w:tc>
      </w:tr>
      <w:tr w:rsidR="00524441" w:rsidRPr="00DD2A86" w:rsidTr="0099605D">
        <w:tc>
          <w:tcPr>
            <w:tcW w:w="6686" w:type="dxa"/>
            <w:shd w:val="clear" w:color="auto" w:fill="auto"/>
            <w:vAlign w:val="bottom"/>
            <w:hideMark/>
          </w:tcPr>
          <w:p w:rsidR="00524441" w:rsidRPr="00DD2A86" w:rsidRDefault="00524441" w:rsidP="0099605D">
            <w:pPr>
              <w:suppressAutoHyphens w:val="0"/>
              <w:spacing w:line="240" w:lineRule="auto"/>
              <w:rPr>
                <w:sz w:val="18"/>
                <w:szCs w:val="18"/>
                <w:lang w:val="fr-FR" w:eastAsia="fr-FR"/>
              </w:rPr>
            </w:pPr>
            <w:r w:rsidRPr="00DD2A86">
              <w:rPr>
                <w:sz w:val="18"/>
                <w:szCs w:val="18"/>
                <w:lang w:val="fr-FR" w:eastAsia="fr-FR"/>
              </w:rPr>
              <w:t>Maschinenteile</w:t>
            </w:r>
          </w:p>
        </w:tc>
        <w:tc>
          <w:tcPr>
            <w:tcW w:w="1404"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p>
        </w:tc>
        <w:tc>
          <w:tcPr>
            <w:tcW w:w="2270"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c>
          <w:tcPr>
            <w:tcW w:w="1290"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c>
          <w:tcPr>
            <w:tcW w:w="2622"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p>
        </w:tc>
      </w:tr>
      <w:tr w:rsidR="00524441" w:rsidRPr="00DD2A86" w:rsidTr="0099605D">
        <w:tc>
          <w:tcPr>
            <w:tcW w:w="6686" w:type="dxa"/>
            <w:shd w:val="clear" w:color="auto" w:fill="auto"/>
            <w:vAlign w:val="bottom"/>
            <w:hideMark/>
          </w:tcPr>
          <w:p w:rsidR="00524441" w:rsidRPr="00DD2A86" w:rsidRDefault="00524441" w:rsidP="0099605D">
            <w:pPr>
              <w:suppressAutoHyphens w:val="0"/>
              <w:spacing w:line="240" w:lineRule="auto"/>
              <w:rPr>
                <w:sz w:val="18"/>
                <w:szCs w:val="18"/>
                <w:lang w:val="de-DE" w:eastAsia="fr-FR"/>
              </w:rPr>
            </w:pPr>
            <w:r w:rsidRPr="00DD2A86">
              <w:rPr>
                <w:sz w:val="18"/>
                <w:szCs w:val="18"/>
                <w:lang w:val="de-DE" w:eastAsia="fr-FR"/>
              </w:rPr>
              <w:t>Schutzkleider von Motoren und Pumpen</w:t>
            </w:r>
          </w:p>
        </w:tc>
        <w:tc>
          <w:tcPr>
            <w:tcW w:w="1404" w:type="dxa"/>
            <w:shd w:val="clear" w:color="auto" w:fill="auto"/>
            <w:noWrap/>
            <w:vAlign w:val="center"/>
            <w:hideMark/>
          </w:tcPr>
          <w:p w:rsidR="00524441" w:rsidRPr="00DD2A86" w:rsidRDefault="00524441" w:rsidP="0099605D">
            <w:pPr>
              <w:suppressAutoHyphens w:val="0"/>
              <w:spacing w:line="240" w:lineRule="auto"/>
              <w:jc w:val="center"/>
              <w:rPr>
                <w:sz w:val="18"/>
                <w:szCs w:val="18"/>
                <w:lang w:val="de-DE" w:eastAsia="fr-FR"/>
              </w:rPr>
            </w:pPr>
          </w:p>
        </w:tc>
        <w:tc>
          <w:tcPr>
            <w:tcW w:w="2270" w:type="dxa"/>
            <w:shd w:val="clear" w:color="auto" w:fill="auto"/>
            <w:noWrap/>
            <w:vAlign w:val="center"/>
            <w:hideMark/>
          </w:tcPr>
          <w:p w:rsidR="00524441" w:rsidRPr="00DD2A86" w:rsidRDefault="00524441" w:rsidP="0099605D">
            <w:pPr>
              <w:suppressAutoHyphens w:val="0"/>
              <w:spacing w:line="240" w:lineRule="auto"/>
              <w:jc w:val="center"/>
              <w:rPr>
                <w:sz w:val="18"/>
                <w:szCs w:val="18"/>
                <w:lang w:val="de-DE" w:eastAsia="fr-FR"/>
              </w:rPr>
            </w:pPr>
          </w:p>
        </w:tc>
        <w:tc>
          <w:tcPr>
            <w:tcW w:w="1290"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c>
          <w:tcPr>
            <w:tcW w:w="2622"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p>
        </w:tc>
      </w:tr>
      <w:tr w:rsidR="00524441" w:rsidRPr="00DD2A86" w:rsidTr="0099605D">
        <w:tc>
          <w:tcPr>
            <w:tcW w:w="6686" w:type="dxa"/>
            <w:shd w:val="clear" w:color="auto" w:fill="auto"/>
            <w:vAlign w:val="bottom"/>
            <w:hideMark/>
          </w:tcPr>
          <w:p w:rsidR="00524441" w:rsidRPr="00DD2A86" w:rsidRDefault="00524441" w:rsidP="0099605D">
            <w:pPr>
              <w:suppressAutoHyphens w:val="0"/>
              <w:spacing w:line="240" w:lineRule="auto"/>
              <w:rPr>
                <w:sz w:val="18"/>
                <w:szCs w:val="18"/>
                <w:lang w:val="fr-FR" w:eastAsia="fr-FR"/>
              </w:rPr>
            </w:pPr>
            <w:r w:rsidRPr="00DD2A86">
              <w:rPr>
                <w:sz w:val="18"/>
                <w:szCs w:val="18"/>
                <w:lang w:val="fr-FR" w:eastAsia="fr-FR"/>
              </w:rPr>
              <w:t>Teile der elektrischen Anlage</w:t>
            </w:r>
          </w:p>
        </w:tc>
        <w:tc>
          <w:tcPr>
            <w:tcW w:w="1404" w:type="dxa"/>
            <w:shd w:val="clear" w:color="auto" w:fill="auto"/>
            <w:noWrap/>
            <w:vAlign w:val="center"/>
          </w:tcPr>
          <w:p w:rsidR="00524441" w:rsidRPr="00DD2A86" w:rsidRDefault="00524441" w:rsidP="0099605D">
            <w:pPr>
              <w:suppressAutoHyphens w:val="0"/>
              <w:spacing w:line="240" w:lineRule="auto"/>
              <w:jc w:val="center"/>
              <w:rPr>
                <w:sz w:val="18"/>
                <w:szCs w:val="18"/>
                <w:lang w:val="fr-FR" w:eastAsia="fr-FR"/>
              </w:rPr>
            </w:pPr>
          </w:p>
        </w:tc>
        <w:tc>
          <w:tcPr>
            <w:tcW w:w="2270"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c>
          <w:tcPr>
            <w:tcW w:w="1290"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c>
          <w:tcPr>
            <w:tcW w:w="2622"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p>
        </w:tc>
      </w:tr>
      <w:tr w:rsidR="00524441" w:rsidRPr="00DD2A86" w:rsidTr="0099605D">
        <w:tc>
          <w:tcPr>
            <w:tcW w:w="6686" w:type="dxa"/>
            <w:shd w:val="clear" w:color="auto" w:fill="auto"/>
            <w:vAlign w:val="bottom"/>
            <w:hideMark/>
          </w:tcPr>
          <w:p w:rsidR="00524441" w:rsidRPr="00DD2A86" w:rsidRDefault="00524441" w:rsidP="0099605D">
            <w:pPr>
              <w:suppressAutoHyphens w:val="0"/>
              <w:spacing w:line="240" w:lineRule="auto"/>
              <w:rPr>
                <w:sz w:val="18"/>
                <w:szCs w:val="18"/>
                <w:lang w:val="de-DE" w:eastAsia="fr-FR"/>
              </w:rPr>
            </w:pPr>
            <w:r w:rsidRPr="00DD2A86">
              <w:rPr>
                <w:sz w:val="18"/>
                <w:szCs w:val="18"/>
                <w:lang w:val="de-DE" w:eastAsia="fr-FR"/>
              </w:rPr>
              <w:t>Teile der Lade- und Löschanlage wie z.B. Abdichtungen usw.</w:t>
            </w:r>
          </w:p>
        </w:tc>
        <w:tc>
          <w:tcPr>
            <w:tcW w:w="1404" w:type="dxa"/>
            <w:shd w:val="clear" w:color="auto" w:fill="auto"/>
            <w:noWrap/>
            <w:vAlign w:val="center"/>
          </w:tcPr>
          <w:p w:rsidR="00524441" w:rsidRPr="00DD2A86" w:rsidRDefault="00524441" w:rsidP="0099605D">
            <w:pPr>
              <w:suppressAutoHyphens w:val="0"/>
              <w:spacing w:line="240" w:lineRule="auto"/>
              <w:jc w:val="center"/>
              <w:rPr>
                <w:sz w:val="18"/>
                <w:szCs w:val="18"/>
                <w:lang w:val="de-DE" w:eastAsia="fr-FR"/>
              </w:rPr>
            </w:pPr>
          </w:p>
        </w:tc>
        <w:tc>
          <w:tcPr>
            <w:tcW w:w="2270"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c>
          <w:tcPr>
            <w:tcW w:w="1290"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c>
          <w:tcPr>
            <w:tcW w:w="2622"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r>
      <w:tr w:rsidR="00524441" w:rsidRPr="00DD2A86" w:rsidTr="0099605D">
        <w:tc>
          <w:tcPr>
            <w:tcW w:w="6686" w:type="dxa"/>
            <w:shd w:val="clear" w:color="auto" w:fill="auto"/>
            <w:vAlign w:val="bottom"/>
            <w:hideMark/>
          </w:tcPr>
          <w:p w:rsidR="00524441" w:rsidRPr="00DD2A86" w:rsidRDefault="00524441" w:rsidP="0099605D">
            <w:pPr>
              <w:suppressAutoHyphens w:val="0"/>
              <w:spacing w:line="240" w:lineRule="auto"/>
              <w:rPr>
                <w:sz w:val="18"/>
                <w:szCs w:val="18"/>
                <w:lang w:val="de-DE" w:eastAsia="fr-FR"/>
              </w:rPr>
            </w:pPr>
            <w:r w:rsidRPr="00DD2A86">
              <w:rPr>
                <w:sz w:val="18"/>
                <w:szCs w:val="18"/>
                <w:lang w:val="de-DE" w:eastAsia="fr-FR"/>
              </w:rPr>
              <w:t>Kisten, Schränke oder sonstige Behälter an Deck für die Lagerung von Material zum Auffangen von Leckflüssigkeiten, Reinigungsmitteln, Feuerlöschgeräte, Feuerlöschschläuchen, Abfälle usw.</w:t>
            </w:r>
          </w:p>
        </w:tc>
        <w:tc>
          <w:tcPr>
            <w:tcW w:w="1404" w:type="dxa"/>
            <w:shd w:val="clear" w:color="auto" w:fill="auto"/>
            <w:noWrap/>
            <w:vAlign w:val="center"/>
            <w:hideMark/>
          </w:tcPr>
          <w:p w:rsidR="00524441" w:rsidRPr="00DD2A86" w:rsidRDefault="00524441" w:rsidP="0099605D">
            <w:pPr>
              <w:suppressAutoHyphens w:val="0"/>
              <w:spacing w:line="240" w:lineRule="auto"/>
              <w:jc w:val="center"/>
              <w:rPr>
                <w:sz w:val="18"/>
                <w:szCs w:val="18"/>
                <w:lang w:val="de-DE" w:eastAsia="fr-FR"/>
              </w:rPr>
            </w:pPr>
          </w:p>
        </w:tc>
        <w:tc>
          <w:tcPr>
            <w:tcW w:w="2270"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c>
          <w:tcPr>
            <w:tcW w:w="1290"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c>
          <w:tcPr>
            <w:tcW w:w="2622"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p>
        </w:tc>
      </w:tr>
      <w:tr w:rsidR="00524441" w:rsidRPr="00DD2A86" w:rsidTr="0099605D">
        <w:tc>
          <w:tcPr>
            <w:tcW w:w="6686" w:type="dxa"/>
            <w:shd w:val="clear" w:color="auto" w:fill="auto"/>
            <w:vAlign w:val="bottom"/>
            <w:hideMark/>
          </w:tcPr>
          <w:p w:rsidR="00524441" w:rsidRPr="00DD2A86" w:rsidRDefault="00524441" w:rsidP="0099605D">
            <w:pPr>
              <w:suppressAutoHyphens w:val="0"/>
              <w:spacing w:line="240" w:lineRule="auto"/>
              <w:rPr>
                <w:sz w:val="18"/>
                <w:szCs w:val="18"/>
                <w:lang w:val="de-DE" w:eastAsia="fr-FR"/>
              </w:rPr>
            </w:pPr>
            <w:r w:rsidRPr="00DD2A86">
              <w:rPr>
                <w:sz w:val="18"/>
                <w:szCs w:val="18"/>
                <w:lang w:val="de-DE" w:eastAsia="fr-FR"/>
              </w:rPr>
              <w:t>Auflagerblöcke und Anschläge aller Art</w:t>
            </w:r>
          </w:p>
        </w:tc>
        <w:tc>
          <w:tcPr>
            <w:tcW w:w="1404"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c>
          <w:tcPr>
            <w:tcW w:w="2270"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p>
        </w:tc>
        <w:tc>
          <w:tcPr>
            <w:tcW w:w="1290"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c>
          <w:tcPr>
            <w:tcW w:w="2622"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p>
        </w:tc>
      </w:tr>
      <w:tr w:rsidR="00524441" w:rsidRPr="00DD2A86" w:rsidTr="0099605D">
        <w:tc>
          <w:tcPr>
            <w:tcW w:w="6686" w:type="dxa"/>
            <w:shd w:val="clear" w:color="auto" w:fill="auto"/>
            <w:vAlign w:val="bottom"/>
            <w:hideMark/>
          </w:tcPr>
          <w:p w:rsidR="00524441" w:rsidRPr="00DD2A86" w:rsidRDefault="00524441" w:rsidP="0099605D">
            <w:pPr>
              <w:suppressAutoHyphens w:val="0"/>
              <w:spacing w:line="240" w:lineRule="auto"/>
              <w:rPr>
                <w:sz w:val="18"/>
                <w:szCs w:val="18"/>
                <w:lang w:val="de-DE" w:eastAsia="fr-FR"/>
              </w:rPr>
            </w:pPr>
            <w:r w:rsidRPr="00DD2A86">
              <w:rPr>
                <w:sz w:val="18"/>
                <w:szCs w:val="18"/>
                <w:lang w:val="de-DE" w:eastAsia="fr-FR"/>
              </w:rPr>
              <w:t>Ventilatoren einschließlich der Schlauchleitungen für die Belüftung</w:t>
            </w:r>
          </w:p>
        </w:tc>
        <w:tc>
          <w:tcPr>
            <w:tcW w:w="1404" w:type="dxa"/>
            <w:shd w:val="clear" w:color="auto" w:fill="auto"/>
            <w:noWrap/>
            <w:vAlign w:val="center"/>
            <w:hideMark/>
          </w:tcPr>
          <w:p w:rsidR="00524441" w:rsidRPr="00DD2A86" w:rsidRDefault="00524441" w:rsidP="0099605D">
            <w:pPr>
              <w:suppressAutoHyphens w:val="0"/>
              <w:spacing w:line="240" w:lineRule="auto"/>
              <w:jc w:val="center"/>
              <w:rPr>
                <w:sz w:val="18"/>
                <w:szCs w:val="18"/>
                <w:lang w:val="de-DE" w:eastAsia="fr-FR"/>
              </w:rPr>
            </w:pPr>
          </w:p>
        </w:tc>
        <w:tc>
          <w:tcPr>
            <w:tcW w:w="2270"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c>
          <w:tcPr>
            <w:tcW w:w="1290"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c>
          <w:tcPr>
            <w:tcW w:w="2622"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p>
        </w:tc>
      </w:tr>
      <w:tr w:rsidR="00524441" w:rsidRPr="00DD2A86" w:rsidTr="0099605D">
        <w:tc>
          <w:tcPr>
            <w:tcW w:w="6686" w:type="dxa"/>
            <w:shd w:val="clear" w:color="auto" w:fill="auto"/>
            <w:vAlign w:val="bottom"/>
            <w:hideMark/>
          </w:tcPr>
          <w:p w:rsidR="00524441" w:rsidRPr="00DD2A86" w:rsidRDefault="00524441" w:rsidP="0099605D">
            <w:pPr>
              <w:suppressAutoHyphens w:val="0"/>
              <w:spacing w:line="240" w:lineRule="auto"/>
              <w:rPr>
                <w:sz w:val="18"/>
                <w:szCs w:val="18"/>
                <w:lang w:val="de-DE" w:eastAsia="fr-FR"/>
              </w:rPr>
            </w:pPr>
            <w:r w:rsidRPr="00DD2A86">
              <w:rPr>
                <w:sz w:val="18"/>
                <w:szCs w:val="18"/>
                <w:lang w:val="de-DE" w:eastAsia="fr-FR"/>
              </w:rPr>
              <w:t>Teile der Wassersprühanlage und der Dusche und das Augen- und Gesichtsbad</w:t>
            </w:r>
          </w:p>
        </w:tc>
        <w:tc>
          <w:tcPr>
            <w:tcW w:w="1404" w:type="dxa"/>
            <w:shd w:val="clear" w:color="auto" w:fill="auto"/>
            <w:noWrap/>
            <w:vAlign w:val="center"/>
            <w:hideMark/>
          </w:tcPr>
          <w:p w:rsidR="00524441" w:rsidRPr="00DD2A86" w:rsidRDefault="00524441" w:rsidP="0099605D">
            <w:pPr>
              <w:suppressAutoHyphens w:val="0"/>
              <w:spacing w:line="240" w:lineRule="auto"/>
              <w:jc w:val="center"/>
              <w:rPr>
                <w:sz w:val="18"/>
                <w:szCs w:val="18"/>
                <w:lang w:val="de-DE" w:eastAsia="fr-FR"/>
              </w:rPr>
            </w:pPr>
          </w:p>
        </w:tc>
        <w:tc>
          <w:tcPr>
            <w:tcW w:w="2270"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c>
          <w:tcPr>
            <w:tcW w:w="1290"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c>
          <w:tcPr>
            <w:tcW w:w="2622"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p>
        </w:tc>
      </w:tr>
      <w:tr w:rsidR="00524441" w:rsidRPr="00DD2A86" w:rsidTr="0099605D">
        <w:tc>
          <w:tcPr>
            <w:tcW w:w="6686" w:type="dxa"/>
            <w:shd w:val="clear" w:color="auto" w:fill="auto"/>
            <w:vAlign w:val="bottom"/>
            <w:hideMark/>
          </w:tcPr>
          <w:p w:rsidR="00524441" w:rsidRPr="00DD2A86" w:rsidRDefault="00524441" w:rsidP="0099605D">
            <w:pPr>
              <w:suppressAutoHyphens w:val="0"/>
              <w:spacing w:line="240" w:lineRule="auto"/>
              <w:rPr>
                <w:sz w:val="18"/>
                <w:szCs w:val="18"/>
                <w:lang w:val="de-DE" w:eastAsia="fr-FR"/>
              </w:rPr>
            </w:pPr>
            <w:r w:rsidRPr="00DD2A86">
              <w:rPr>
                <w:sz w:val="18"/>
                <w:szCs w:val="18"/>
                <w:lang w:val="de-DE" w:eastAsia="fr-FR"/>
              </w:rPr>
              <w:t>Isolierung der Ladetanks, Lade- und Löschleitungen, der Gasabfuhrleitungen und Heizungsleitungen</w:t>
            </w:r>
          </w:p>
        </w:tc>
        <w:tc>
          <w:tcPr>
            <w:tcW w:w="1404" w:type="dxa"/>
            <w:shd w:val="clear" w:color="auto" w:fill="auto"/>
            <w:noWrap/>
            <w:vAlign w:val="center"/>
            <w:hideMark/>
          </w:tcPr>
          <w:p w:rsidR="00524441" w:rsidRPr="00DD2A86" w:rsidRDefault="00524441" w:rsidP="0099605D">
            <w:pPr>
              <w:suppressAutoHyphens w:val="0"/>
              <w:spacing w:line="240" w:lineRule="auto"/>
              <w:jc w:val="center"/>
              <w:rPr>
                <w:sz w:val="18"/>
                <w:szCs w:val="18"/>
                <w:lang w:val="de-DE" w:eastAsia="fr-FR"/>
              </w:rPr>
            </w:pPr>
          </w:p>
        </w:tc>
        <w:tc>
          <w:tcPr>
            <w:tcW w:w="2270" w:type="dxa"/>
            <w:shd w:val="clear" w:color="auto" w:fill="auto"/>
            <w:noWrap/>
            <w:vAlign w:val="center"/>
            <w:hideMark/>
          </w:tcPr>
          <w:p w:rsidR="00524441" w:rsidRPr="00DD2A86" w:rsidRDefault="00524441" w:rsidP="0099605D">
            <w:pPr>
              <w:suppressAutoHyphens w:val="0"/>
              <w:spacing w:line="240" w:lineRule="auto"/>
              <w:jc w:val="center"/>
              <w:rPr>
                <w:sz w:val="18"/>
                <w:szCs w:val="18"/>
                <w:lang w:val="de-DE" w:eastAsia="fr-FR"/>
              </w:rPr>
            </w:pPr>
          </w:p>
        </w:tc>
        <w:tc>
          <w:tcPr>
            <w:tcW w:w="1290"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c>
          <w:tcPr>
            <w:tcW w:w="2622"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r>
      <w:tr w:rsidR="00524441" w:rsidRPr="00DD2A86" w:rsidTr="0099605D">
        <w:tc>
          <w:tcPr>
            <w:tcW w:w="6686" w:type="dxa"/>
            <w:shd w:val="clear" w:color="auto" w:fill="auto"/>
            <w:vAlign w:val="bottom"/>
            <w:hideMark/>
          </w:tcPr>
          <w:p w:rsidR="00524441" w:rsidRPr="00DD2A86" w:rsidRDefault="00524441" w:rsidP="0099605D">
            <w:pPr>
              <w:suppressAutoHyphens w:val="0"/>
              <w:spacing w:line="240" w:lineRule="auto"/>
              <w:rPr>
                <w:sz w:val="18"/>
                <w:szCs w:val="18"/>
                <w:lang w:val="de-DE" w:eastAsia="fr-FR"/>
              </w:rPr>
            </w:pPr>
            <w:r w:rsidRPr="00DD2A86">
              <w:rPr>
                <w:sz w:val="18"/>
                <w:szCs w:val="18"/>
                <w:lang w:val="de-DE" w:eastAsia="fr-FR"/>
              </w:rPr>
              <w:t>Auskleidung der Tanks und der Lade-/Löschleitungen</w:t>
            </w:r>
          </w:p>
        </w:tc>
        <w:tc>
          <w:tcPr>
            <w:tcW w:w="1404" w:type="dxa"/>
            <w:shd w:val="clear" w:color="auto" w:fill="auto"/>
            <w:noWrap/>
            <w:vAlign w:val="center"/>
            <w:hideMark/>
          </w:tcPr>
          <w:p w:rsidR="00524441" w:rsidRPr="00DD2A86" w:rsidRDefault="00524441" w:rsidP="0099605D">
            <w:pPr>
              <w:suppressAutoHyphens w:val="0"/>
              <w:spacing w:line="240" w:lineRule="auto"/>
              <w:jc w:val="center"/>
              <w:rPr>
                <w:sz w:val="18"/>
                <w:szCs w:val="18"/>
                <w:lang w:val="de-DE" w:eastAsia="fr-FR"/>
              </w:rPr>
            </w:pPr>
          </w:p>
        </w:tc>
        <w:tc>
          <w:tcPr>
            <w:tcW w:w="2270"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c>
          <w:tcPr>
            <w:tcW w:w="1290"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c>
          <w:tcPr>
            <w:tcW w:w="2622"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r>
      <w:tr w:rsidR="00524441" w:rsidRPr="00DD2A86" w:rsidTr="0099605D">
        <w:tc>
          <w:tcPr>
            <w:tcW w:w="6686" w:type="dxa"/>
            <w:shd w:val="clear" w:color="auto" w:fill="auto"/>
            <w:vAlign w:val="bottom"/>
            <w:hideMark/>
          </w:tcPr>
          <w:p w:rsidR="00524441" w:rsidRPr="00DD2A86" w:rsidRDefault="00524441" w:rsidP="0099605D">
            <w:pPr>
              <w:suppressAutoHyphens w:val="0"/>
              <w:spacing w:line="240" w:lineRule="auto"/>
              <w:rPr>
                <w:sz w:val="18"/>
                <w:szCs w:val="18"/>
                <w:lang w:val="de-DE" w:eastAsia="fr-FR"/>
              </w:rPr>
            </w:pPr>
            <w:r w:rsidRPr="00DD2A86">
              <w:rPr>
                <w:sz w:val="18"/>
                <w:szCs w:val="18"/>
                <w:lang w:val="de-DE" w:eastAsia="fr-FR"/>
              </w:rPr>
              <w:t>Dichtungen aller Art (z.B. Dom- und Lukendeckel)</w:t>
            </w:r>
          </w:p>
        </w:tc>
        <w:tc>
          <w:tcPr>
            <w:tcW w:w="1404" w:type="dxa"/>
            <w:shd w:val="clear" w:color="auto" w:fill="auto"/>
            <w:noWrap/>
            <w:vAlign w:val="center"/>
            <w:hideMark/>
          </w:tcPr>
          <w:p w:rsidR="00524441" w:rsidRPr="00DD2A86" w:rsidRDefault="00524441" w:rsidP="0099605D">
            <w:pPr>
              <w:suppressAutoHyphens w:val="0"/>
              <w:spacing w:line="240" w:lineRule="auto"/>
              <w:jc w:val="center"/>
              <w:rPr>
                <w:sz w:val="18"/>
                <w:szCs w:val="18"/>
                <w:lang w:val="de-DE" w:eastAsia="fr-FR"/>
              </w:rPr>
            </w:pPr>
          </w:p>
        </w:tc>
        <w:tc>
          <w:tcPr>
            <w:tcW w:w="2270" w:type="dxa"/>
            <w:shd w:val="clear" w:color="auto" w:fill="auto"/>
            <w:noWrap/>
            <w:vAlign w:val="center"/>
            <w:hideMark/>
          </w:tcPr>
          <w:p w:rsidR="00524441" w:rsidRPr="00DD2A86" w:rsidRDefault="00524441" w:rsidP="0099605D">
            <w:pPr>
              <w:suppressAutoHyphens w:val="0"/>
              <w:spacing w:line="240" w:lineRule="auto"/>
              <w:jc w:val="center"/>
              <w:rPr>
                <w:sz w:val="18"/>
                <w:szCs w:val="18"/>
                <w:lang w:val="de-DE" w:eastAsia="fr-FR"/>
              </w:rPr>
            </w:pPr>
          </w:p>
        </w:tc>
        <w:tc>
          <w:tcPr>
            <w:tcW w:w="1290"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c>
          <w:tcPr>
            <w:tcW w:w="2622"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r>
      <w:tr w:rsidR="00524441" w:rsidRPr="00DD2A86" w:rsidTr="0099605D">
        <w:tc>
          <w:tcPr>
            <w:tcW w:w="6686" w:type="dxa"/>
            <w:shd w:val="clear" w:color="auto" w:fill="auto"/>
            <w:vAlign w:val="bottom"/>
            <w:hideMark/>
          </w:tcPr>
          <w:p w:rsidR="00524441" w:rsidRPr="00DD2A86" w:rsidRDefault="00524441" w:rsidP="0099605D">
            <w:pPr>
              <w:suppressAutoHyphens w:val="0"/>
              <w:spacing w:line="240" w:lineRule="auto"/>
              <w:rPr>
                <w:sz w:val="18"/>
                <w:szCs w:val="18"/>
                <w:lang w:val="de-DE" w:eastAsia="fr-FR"/>
              </w:rPr>
            </w:pPr>
            <w:r w:rsidRPr="00DD2A86">
              <w:rPr>
                <w:sz w:val="18"/>
                <w:szCs w:val="18"/>
                <w:lang w:val="de-DE" w:eastAsia="fr-FR"/>
              </w:rPr>
              <w:t>Kabel für die elektrischen Einrichtungen</w:t>
            </w:r>
          </w:p>
        </w:tc>
        <w:tc>
          <w:tcPr>
            <w:tcW w:w="1404" w:type="dxa"/>
            <w:shd w:val="clear" w:color="auto" w:fill="auto"/>
            <w:noWrap/>
            <w:vAlign w:val="center"/>
            <w:hideMark/>
          </w:tcPr>
          <w:p w:rsidR="00524441" w:rsidRPr="00DD2A86" w:rsidRDefault="00524441" w:rsidP="0099605D">
            <w:pPr>
              <w:suppressAutoHyphens w:val="0"/>
              <w:spacing w:line="240" w:lineRule="auto"/>
              <w:jc w:val="center"/>
              <w:rPr>
                <w:sz w:val="18"/>
                <w:szCs w:val="18"/>
                <w:lang w:val="de-DE" w:eastAsia="fr-FR"/>
              </w:rPr>
            </w:pPr>
          </w:p>
        </w:tc>
        <w:tc>
          <w:tcPr>
            <w:tcW w:w="2270" w:type="dxa"/>
            <w:shd w:val="clear" w:color="auto" w:fill="auto"/>
            <w:noWrap/>
            <w:vAlign w:val="center"/>
            <w:hideMark/>
          </w:tcPr>
          <w:p w:rsidR="00524441" w:rsidRPr="00DD2A86" w:rsidRDefault="00524441" w:rsidP="0099605D">
            <w:pPr>
              <w:suppressAutoHyphens w:val="0"/>
              <w:spacing w:line="240" w:lineRule="auto"/>
              <w:jc w:val="center"/>
              <w:rPr>
                <w:sz w:val="18"/>
                <w:szCs w:val="18"/>
                <w:lang w:val="de-DE" w:eastAsia="fr-FR"/>
              </w:rPr>
            </w:pPr>
          </w:p>
        </w:tc>
        <w:tc>
          <w:tcPr>
            <w:tcW w:w="1290"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c>
          <w:tcPr>
            <w:tcW w:w="2622"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r>
      <w:tr w:rsidR="00524441" w:rsidRPr="00DD2A86" w:rsidTr="0099605D">
        <w:tc>
          <w:tcPr>
            <w:tcW w:w="6686" w:type="dxa"/>
            <w:shd w:val="clear" w:color="auto" w:fill="auto"/>
            <w:vAlign w:val="bottom"/>
            <w:hideMark/>
          </w:tcPr>
          <w:p w:rsidR="00524441" w:rsidRPr="00DD2A86" w:rsidRDefault="00524441" w:rsidP="0099605D">
            <w:pPr>
              <w:suppressAutoHyphens w:val="0"/>
              <w:spacing w:line="240" w:lineRule="auto"/>
              <w:rPr>
                <w:sz w:val="18"/>
                <w:szCs w:val="18"/>
                <w:lang w:val="de-DE" w:eastAsia="fr-FR"/>
              </w:rPr>
            </w:pPr>
            <w:r w:rsidRPr="00DD2A86">
              <w:rPr>
                <w:sz w:val="18"/>
                <w:szCs w:val="18"/>
                <w:lang w:val="de-DE" w:eastAsia="fr-FR"/>
              </w:rPr>
              <w:t>Matte unter dem Landanschluss der Lade- und Löschleitung</w:t>
            </w:r>
          </w:p>
        </w:tc>
        <w:tc>
          <w:tcPr>
            <w:tcW w:w="1404" w:type="dxa"/>
            <w:shd w:val="clear" w:color="auto" w:fill="auto"/>
            <w:noWrap/>
            <w:vAlign w:val="center"/>
            <w:hideMark/>
          </w:tcPr>
          <w:p w:rsidR="00524441" w:rsidRPr="00DD2A86" w:rsidRDefault="00524441" w:rsidP="0099605D">
            <w:pPr>
              <w:suppressAutoHyphens w:val="0"/>
              <w:spacing w:line="240" w:lineRule="auto"/>
              <w:jc w:val="center"/>
              <w:rPr>
                <w:sz w:val="18"/>
                <w:szCs w:val="18"/>
                <w:lang w:val="de-DE" w:eastAsia="fr-FR"/>
              </w:rPr>
            </w:pPr>
          </w:p>
        </w:tc>
        <w:tc>
          <w:tcPr>
            <w:tcW w:w="2270" w:type="dxa"/>
            <w:shd w:val="clear" w:color="auto" w:fill="auto"/>
            <w:noWrap/>
            <w:vAlign w:val="center"/>
            <w:hideMark/>
          </w:tcPr>
          <w:p w:rsidR="00524441" w:rsidRPr="00DD2A86" w:rsidRDefault="00524441" w:rsidP="0099605D">
            <w:pPr>
              <w:suppressAutoHyphens w:val="0"/>
              <w:spacing w:line="240" w:lineRule="auto"/>
              <w:jc w:val="center"/>
              <w:rPr>
                <w:sz w:val="18"/>
                <w:szCs w:val="18"/>
                <w:lang w:val="de-DE" w:eastAsia="fr-FR"/>
              </w:rPr>
            </w:pPr>
          </w:p>
        </w:tc>
        <w:tc>
          <w:tcPr>
            <w:tcW w:w="1290"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c>
          <w:tcPr>
            <w:tcW w:w="2622"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r>
      <w:tr w:rsidR="00524441" w:rsidRPr="00DD2A86" w:rsidTr="0099605D">
        <w:tc>
          <w:tcPr>
            <w:tcW w:w="6686" w:type="dxa"/>
            <w:shd w:val="clear" w:color="auto" w:fill="auto"/>
            <w:vAlign w:val="bottom"/>
            <w:hideMark/>
          </w:tcPr>
          <w:p w:rsidR="00524441" w:rsidRPr="00DD2A86" w:rsidRDefault="00524441" w:rsidP="0099605D">
            <w:pPr>
              <w:suppressAutoHyphens w:val="0"/>
              <w:spacing w:line="240" w:lineRule="auto"/>
              <w:rPr>
                <w:sz w:val="18"/>
                <w:szCs w:val="18"/>
                <w:lang w:val="de-DE" w:eastAsia="fr-FR"/>
              </w:rPr>
            </w:pPr>
            <w:r w:rsidRPr="00DD2A86">
              <w:rPr>
                <w:sz w:val="18"/>
                <w:szCs w:val="18"/>
                <w:lang w:val="de-DE" w:eastAsia="fr-FR"/>
              </w:rPr>
              <w:t>Feuerlöschschläuche, Luftschläuche, Deckwaschschläuche, usw.</w:t>
            </w:r>
          </w:p>
        </w:tc>
        <w:tc>
          <w:tcPr>
            <w:tcW w:w="1404" w:type="dxa"/>
            <w:shd w:val="clear" w:color="auto" w:fill="auto"/>
            <w:noWrap/>
            <w:vAlign w:val="center"/>
            <w:hideMark/>
          </w:tcPr>
          <w:p w:rsidR="00524441" w:rsidRPr="00DD2A86" w:rsidRDefault="00524441" w:rsidP="0099605D">
            <w:pPr>
              <w:suppressAutoHyphens w:val="0"/>
              <w:spacing w:line="240" w:lineRule="auto"/>
              <w:jc w:val="center"/>
              <w:rPr>
                <w:sz w:val="18"/>
                <w:szCs w:val="18"/>
                <w:lang w:val="de-DE" w:eastAsia="fr-FR"/>
              </w:rPr>
            </w:pPr>
          </w:p>
        </w:tc>
        <w:tc>
          <w:tcPr>
            <w:tcW w:w="2270" w:type="dxa"/>
            <w:shd w:val="clear" w:color="auto" w:fill="auto"/>
            <w:noWrap/>
            <w:vAlign w:val="center"/>
            <w:hideMark/>
          </w:tcPr>
          <w:p w:rsidR="00524441" w:rsidRPr="00DD2A86" w:rsidRDefault="00524441" w:rsidP="0099605D">
            <w:pPr>
              <w:suppressAutoHyphens w:val="0"/>
              <w:spacing w:line="240" w:lineRule="auto"/>
              <w:jc w:val="center"/>
              <w:rPr>
                <w:sz w:val="18"/>
                <w:szCs w:val="18"/>
                <w:lang w:val="de-DE" w:eastAsia="fr-FR"/>
              </w:rPr>
            </w:pPr>
          </w:p>
        </w:tc>
        <w:tc>
          <w:tcPr>
            <w:tcW w:w="1290"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c>
          <w:tcPr>
            <w:tcW w:w="2622" w:type="dxa"/>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r>
      <w:tr w:rsidR="00524441" w:rsidRPr="00DD2A86" w:rsidTr="0099605D">
        <w:tc>
          <w:tcPr>
            <w:tcW w:w="6686" w:type="dxa"/>
            <w:tcBorders>
              <w:bottom w:val="single" w:sz="4" w:space="0" w:color="auto"/>
            </w:tcBorders>
            <w:shd w:val="clear" w:color="auto" w:fill="auto"/>
            <w:vAlign w:val="bottom"/>
            <w:hideMark/>
          </w:tcPr>
          <w:p w:rsidR="00524441" w:rsidRPr="00DD2A86" w:rsidRDefault="00524441" w:rsidP="0099605D">
            <w:pPr>
              <w:suppressAutoHyphens w:val="0"/>
              <w:spacing w:line="240" w:lineRule="auto"/>
              <w:rPr>
                <w:sz w:val="18"/>
                <w:szCs w:val="18"/>
                <w:lang w:val="fr-FR" w:eastAsia="fr-FR"/>
              </w:rPr>
            </w:pPr>
            <w:r w:rsidRPr="00DD2A86">
              <w:rPr>
                <w:sz w:val="18"/>
                <w:szCs w:val="18"/>
                <w:lang w:val="fr-FR" w:eastAsia="fr-FR"/>
              </w:rPr>
              <w:t>Probegeräte und Probeflaschen</w:t>
            </w:r>
          </w:p>
        </w:tc>
        <w:tc>
          <w:tcPr>
            <w:tcW w:w="1404" w:type="dxa"/>
            <w:tcBorders>
              <w:bottom w:val="single" w:sz="4" w:space="0" w:color="auto"/>
            </w:tcBorders>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p>
        </w:tc>
        <w:tc>
          <w:tcPr>
            <w:tcW w:w="2270" w:type="dxa"/>
            <w:tcBorders>
              <w:bottom w:val="single" w:sz="4" w:space="0" w:color="auto"/>
            </w:tcBorders>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p>
        </w:tc>
        <w:tc>
          <w:tcPr>
            <w:tcW w:w="1290" w:type="dxa"/>
            <w:tcBorders>
              <w:bottom w:val="single" w:sz="4" w:space="0" w:color="auto"/>
            </w:tcBorders>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c>
          <w:tcPr>
            <w:tcW w:w="2622" w:type="dxa"/>
            <w:tcBorders>
              <w:bottom w:val="single" w:sz="4" w:space="0" w:color="auto"/>
            </w:tcBorders>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p>
        </w:tc>
      </w:tr>
      <w:tr w:rsidR="00524441" w:rsidRPr="00DD2A86" w:rsidTr="0099605D">
        <w:trPr>
          <w:cantSplit/>
        </w:trPr>
        <w:tc>
          <w:tcPr>
            <w:tcW w:w="6686" w:type="dxa"/>
            <w:tcBorders>
              <w:bottom w:val="single" w:sz="4" w:space="0" w:color="auto"/>
            </w:tcBorders>
            <w:shd w:val="clear" w:color="auto" w:fill="auto"/>
            <w:vAlign w:val="bottom"/>
            <w:hideMark/>
          </w:tcPr>
          <w:p w:rsidR="00524441" w:rsidRPr="00DD2A86" w:rsidRDefault="00524441" w:rsidP="0099605D">
            <w:pPr>
              <w:suppressAutoHyphens w:val="0"/>
              <w:spacing w:line="240" w:lineRule="auto"/>
              <w:rPr>
                <w:sz w:val="18"/>
                <w:szCs w:val="18"/>
                <w:lang w:val="de-DE" w:eastAsia="fr-FR"/>
              </w:rPr>
            </w:pPr>
            <w:r w:rsidRPr="00DD2A86">
              <w:rPr>
                <w:sz w:val="18"/>
                <w:szCs w:val="18"/>
                <w:lang w:val="de-DE" w:eastAsia="fr-FR"/>
              </w:rPr>
              <w:t>Fotooptische Kopien des gesamten Zulassungszeugnisses nach 8.1.2.6 oder 8.1.2.7 sowie des Schiffszeugnisses, des Eichscheins und der Rheinschifffahrtszugehörigkeitsurkundedie</w:t>
            </w:r>
          </w:p>
        </w:tc>
        <w:tc>
          <w:tcPr>
            <w:tcW w:w="1404" w:type="dxa"/>
            <w:tcBorders>
              <w:bottom w:val="single" w:sz="4" w:space="0" w:color="auto"/>
            </w:tcBorders>
            <w:shd w:val="clear" w:color="auto" w:fill="auto"/>
            <w:noWrap/>
            <w:vAlign w:val="center"/>
            <w:hideMark/>
          </w:tcPr>
          <w:p w:rsidR="00524441" w:rsidRPr="00DD2A86" w:rsidRDefault="00524441" w:rsidP="0099605D">
            <w:pPr>
              <w:suppressAutoHyphens w:val="0"/>
              <w:spacing w:line="240" w:lineRule="auto"/>
              <w:jc w:val="center"/>
              <w:rPr>
                <w:sz w:val="18"/>
                <w:szCs w:val="18"/>
                <w:lang w:val="de-DE" w:eastAsia="fr-FR"/>
              </w:rPr>
            </w:pPr>
          </w:p>
        </w:tc>
        <w:tc>
          <w:tcPr>
            <w:tcW w:w="2270" w:type="dxa"/>
            <w:tcBorders>
              <w:bottom w:val="single" w:sz="4" w:space="0" w:color="auto"/>
            </w:tcBorders>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c>
          <w:tcPr>
            <w:tcW w:w="1290" w:type="dxa"/>
            <w:tcBorders>
              <w:bottom w:val="single" w:sz="4" w:space="0" w:color="auto"/>
            </w:tcBorders>
            <w:shd w:val="clear" w:color="auto" w:fill="auto"/>
            <w:noWrap/>
            <w:vAlign w:val="center"/>
            <w:hideMark/>
          </w:tcPr>
          <w:p w:rsidR="00524441" w:rsidRPr="00DD2A86" w:rsidRDefault="00524441" w:rsidP="0099605D">
            <w:pPr>
              <w:suppressAutoHyphens w:val="0"/>
              <w:spacing w:line="240" w:lineRule="auto"/>
              <w:jc w:val="center"/>
              <w:rPr>
                <w:sz w:val="18"/>
                <w:szCs w:val="18"/>
                <w:lang w:val="fr-FR" w:eastAsia="fr-FR"/>
              </w:rPr>
            </w:pPr>
            <w:r w:rsidRPr="00DD2A86">
              <w:rPr>
                <w:sz w:val="18"/>
                <w:szCs w:val="18"/>
                <w:lang w:val="fr-FR" w:eastAsia="fr-FR"/>
              </w:rPr>
              <w:t>X</w:t>
            </w:r>
          </w:p>
        </w:tc>
        <w:tc>
          <w:tcPr>
            <w:tcW w:w="2622" w:type="dxa"/>
            <w:tcBorders>
              <w:bottom w:val="single" w:sz="4" w:space="0" w:color="auto"/>
            </w:tcBorders>
            <w:shd w:val="clear" w:color="auto" w:fill="auto"/>
            <w:noWrap/>
            <w:vAlign w:val="center"/>
          </w:tcPr>
          <w:p w:rsidR="00524441" w:rsidRPr="00DD2A86" w:rsidRDefault="00524441" w:rsidP="0099605D">
            <w:pPr>
              <w:suppressAutoHyphens w:val="0"/>
              <w:spacing w:line="240" w:lineRule="auto"/>
              <w:jc w:val="center"/>
              <w:rPr>
                <w:sz w:val="18"/>
                <w:szCs w:val="18"/>
                <w:lang w:val="de-DE" w:eastAsia="fr-FR"/>
              </w:rPr>
            </w:pPr>
          </w:p>
        </w:tc>
      </w:tr>
    </w:tbl>
    <w:p w:rsidR="00524441" w:rsidRPr="00DD2A86" w:rsidRDefault="00524441" w:rsidP="00524441">
      <w:pPr>
        <w:suppressAutoHyphens w:val="0"/>
        <w:spacing w:line="240" w:lineRule="auto"/>
        <w:rPr>
          <w:sz w:val="18"/>
          <w:szCs w:val="18"/>
          <w:lang w:val="de-DE" w:eastAsia="fr-FR"/>
        </w:rPr>
      </w:pPr>
      <w:r w:rsidRPr="00DD2A86">
        <w:rPr>
          <w:sz w:val="18"/>
          <w:szCs w:val="18"/>
          <w:lang w:val="de-DE" w:eastAsia="fr-FR"/>
        </w:rPr>
        <w:t>*</w:t>
      </w:r>
      <w:r w:rsidRPr="00DD2A86">
        <w:rPr>
          <w:sz w:val="18"/>
          <w:szCs w:val="18"/>
          <w:vertAlign w:val="superscript"/>
          <w:lang w:val="de-DE" w:eastAsia="fr-FR"/>
        </w:rPr>
        <w:t>)</w:t>
      </w:r>
      <w:r w:rsidRPr="00DD2A86">
        <w:rPr>
          <w:sz w:val="18"/>
          <w:szCs w:val="18"/>
          <w:lang w:val="de-DE" w:eastAsia="fr-FR"/>
        </w:rPr>
        <w:t xml:space="preserve"> Beachte 9.3.1.0.5, 9.3.2.0.5 bzw. 9.3.3.0.5</w:t>
      </w:r>
    </w:p>
    <w:p w:rsidR="00524441" w:rsidRPr="00DD2A86" w:rsidRDefault="00524441" w:rsidP="00524441">
      <w:pPr>
        <w:suppressAutoHyphens w:val="0"/>
        <w:autoSpaceDE w:val="0"/>
        <w:autoSpaceDN w:val="0"/>
        <w:adjustRightInd w:val="0"/>
        <w:spacing w:before="120"/>
        <w:ind w:left="142" w:right="567"/>
        <w:jc w:val="both"/>
        <w:rPr>
          <w:rFonts w:eastAsia="Calibri"/>
          <w:lang w:val="de-DE" w:eastAsia="nl-NL"/>
        </w:rPr>
      </w:pPr>
      <w:r w:rsidRPr="00DD2A86">
        <w:rPr>
          <w:sz w:val="18"/>
          <w:szCs w:val="18"/>
          <w:lang w:val="de-DE" w:eastAsia="fr-FR"/>
        </w:rPr>
        <w:t>Peilstäbe aus Aluminium sind zugelassen, wenn sie zur Verhinderung der Funkenbildung mit einem Fuß aus Messing versehen sind oder in anderer Weise geschützt sind.</w:t>
      </w:r>
    </w:p>
    <w:p w:rsidR="00524441" w:rsidRPr="00DD2A86" w:rsidRDefault="00524441" w:rsidP="00524441">
      <w:pPr>
        <w:suppressAutoHyphens w:val="0"/>
        <w:autoSpaceDE w:val="0"/>
        <w:autoSpaceDN w:val="0"/>
        <w:adjustRightInd w:val="0"/>
        <w:spacing w:before="120"/>
        <w:ind w:left="1134" w:right="567"/>
        <w:jc w:val="both"/>
        <w:rPr>
          <w:rFonts w:eastAsia="Calibri"/>
          <w:lang w:val="de-DE" w:eastAsia="nl-NL"/>
        </w:rPr>
        <w:sectPr w:rsidR="00524441" w:rsidRPr="00DD2A86" w:rsidSect="0099605D">
          <w:endnotePr>
            <w:numFmt w:val="decimal"/>
          </w:endnotePr>
          <w:pgSz w:w="16840" w:h="11907" w:orient="landscape" w:code="9"/>
          <w:pgMar w:top="1134" w:right="1134" w:bottom="1134" w:left="1134" w:header="1134" w:footer="1701" w:gutter="0"/>
          <w:cols w:space="720"/>
          <w:titlePg/>
          <w:docGrid w:linePitch="272"/>
        </w:sectPr>
      </w:pPr>
    </w:p>
    <w:p w:rsidR="00524441" w:rsidRPr="00DD2A86" w:rsidRDefault="00524441" w:rsidP="00524441">
      <w:pPr>
        <w:suppressAutoHyphens w:val="0"/>
        <w:autoSpaceDE w:val="0"/>
        <w:autoSpaceDN w:val="0"/>
        <w:adjustRightInd w:val="0"/>
        <w:spacing w:before="120"/>
        <w:ind w:left="1134" w:right="567"/>
        <w:jc w:val="both"/>
        <w:rPr>
          <w:rFonts w:eastAsia="Calibri"/>
          <w:lang w:val="de-DE" w:eastAsia="nl-NL"/>
        </w:rPr>
      </w:pPr>
      <w:r w:rsidRPr="00DD2A86">
        <w:rPr>
          <w:rFonts w:eastAsia="Calibri"/>
          <w:lang w:val="de-DE" w:eastAsia="nl-NL"/>
        </w:rPr>
        <w:t>Alle in den Wohnungen und im Steuerhaus verwendeten fest eingebauten Werkstoffe, mit Ausnahme der Möbel, müssen schwer entflammbar sein. Im Brandfall dürfen sie Rauch oder giftige Gase nicht in gefährlichem Maße entwickeln.“.</w:t>
      </w:r>
    </w:p>
    <w:p w:rsidR="00524441" w:rsidRPr="00DD2A86" w:rsidRDefault="00524441" w:rsidP="00596493">
      <w:pPr>
        <w:tabs>
          <w:tab w:val="left" w:pos="1701"/>
          <w:tab w:val="left" w:pos="2268"/>
          <w:tab w:val="left" w:pos="2835"/>
        </w:tabs>
        <w:spacing w:before="120" w:after="120"/>
        <w:ind w:left="1134" w:right="1134"/>
        <w:jc w:val="both"/>
        <w:rPr>
          <w:lang w:val="de-DE"/>
        </w:rPr>
      </w:pPr>
      <w:r w:rsidRPr="00DD2A86">
        <w:rPr>
          <w:lang w:val="de-DE"/>
        </w:rPr>
        <w:t>9.3.x.0.5</w:t>
      </w:r>
      <w:r w:rsidRPr="00DD2A86">
        <w:rPr>
          <w:lang w:val="de-DE"/>
        </w:rPr>
        <w:tab/>
        <w:t>Erhält folgenden Wortlaut:</w:t>
      </w:r>
    </w:p>
    <w:p w:rsidR="00524441" w:rsidRPr="00DD2A86" w:rsidRDefault="00524441" w:rsidP="00524441">
      <w:pPr>
        <w:suppressAutoHyphens w:val="0"/>
        <w:autoSpaceDE w:val="0"/>
        <w:autoSpaceDN w:val="0"/>
        <w:adjustRightInd w:val="0"/>
        <w:spacing w:before="120"/>
        <w:ind w:left="1134" w:right="567"/>
        <w:jc w:val="both"/>
        <w:rPr>
          <w:rFonts w:eastAsia="Calibri"/>
          <w:lang w:val="de-DE"/>
        </w:rPr>
      </w:pPr>
      <w:r w:rsidRPr="00DD2A86">
        <w:rPr>
          <w:rFonts w:eastAsia="Calibri"/>
          <w:lang w:val="de-DE" w:eastAsia="nl-NL"/>
        </w:rPr>
        <w:t>„</w:t>
      </w:r>
      <w:r w:rsidRPr="00DD2A86">
        <w:rPr>
          <w:lang w:val="de-DE"/>
        </w:rPr>
        <w:tab/>
      </w:r>
      <w:r w:rsidRPr="00DD2A86">
        <w:rPr>
          <w:rFonts w:eastAsia="Calibri"/>
          <w:lang w:val="de-DE" w:eastAsia="nl-NL"/>
        </w:rPr>
        <w:t>Die Verwendung von Kunststoffen für Beiboote ist nur zulässig, wenn das Material schwer entflammbar ist.</w:t>
      </w:r>
      <w:r w:rsidRPr="00DD2A86">
        <w:rPr>
          <w:lang w:val="de-DE"/>
        </w:rPr>
        <w:t xml:space="preserve"> </w:t>
      </w:r>
      <w:r w:rsidRPr="00DD2A86">
        <w:rPr>
          <w:rFonts w:eastAsia="Calibri"/>
          <w:lang w:val="de-DE" w:eastAsia="nl-NL"/>
        </w:rPr>
        <w:t>Die Verwendung von Holz, Aluminiumlegierungen, Kunststoffen oder Gummi  ist verboten, sofern dies nicht in Absatz 9.3.x.0.3 oder im Z</w:t>
      </w:r>
      <w:r w:rsidRPr="00DD2A86">
        <w:rPr>
          <w:rFonts w:eastAsia="Calibri"/>
          <w:lang w:val="de-DE"/>
        </w:rPr>
        <w:t>ulassungszeugnis ausdrücklich zugelassen ist.</w:t>
      </w:r>
    </w:p>
    <w:p w:rsidR="00524441" w:rsidRPr="00DD2A86" w:rsidRDefault="00524441" w:rsidP="00524441">
      <w:pPr>
        <w:suppressAutoHyphens w:val="0"/>
        <w:autoSpaceDE w:val="0"/>
        <w:autoSpaceDN w:val="0"/>
        <w:adjustRightInd w:val="0"/>
        <w:spacing w:before="120"/>
        <w:ind w:left="1134" w:right="567"/>
        <w:jc w:val="both"/>
        <w:rPr>
          <w:rFonts w:eastAsia="Calibri"/>
          <w:lang w:val="de-DE" w:eastAsia="nl-NL"/>
        </w:rPr>
      </w:pPr>
      <w:r w:rsidRPr="00DD2A86">
        <w:rPr>
          <w:rFonts w:eastAsia="Calibri"/>
          <w:lang w:val="de-DE" w:eastAsia="nl-NL"/>
        </w:rPr>
        <w:t>Die Verwendung von Aluminiumlegierungen oder Kunststoffen für Gehwege (Laufstege) im Bereich der Ladung ist nur zulässig, wenn das Material schwer entflammbar und elektrisch leitfähig ist.“.</w:t>
      </w:r>
    </w:p>
    <w:p w:rsidR="007017A5" w:rsidRPr="00DD2A86" w:rsidRDefault="00DD71A6" w:rsidP="00D34B0A">
      <w:pPr>
        <w:tabs>
          <w:tab w:val="left" w:pos="2268"/>
        </w:tabs>
        <w:suppressAutoHyphens w:val="0"/>
        <w:autoSpaceDE w:val="0"/>
        <w:autoSpaceDN w:val="0"/>
        <w:adjustRightInd w:val="0"/>
        <w:spacing w:before="120" w:line="240" w:lineRule="auto"/>
        <w:ind w:left="1134" w:right="1134"/>
        <w:jc w:val="both"/>
        <w:rPr>
          <w:rFonts w:eastAsia="Calibri"/>
          <w:lang w:val="de-DE"/>
        </w:rPr>
      </w:pPr>
      <w:r w:rsidRPr="00DD2A86">
        <w:rPr>
          <w:rFonts w:cs="Arial"/>
          <w:lang w:val="de-DE"/>
        </w:rPr>
        <w:t>9.3.x.8.2</w:t>
      </w:r>
      <w:r w:rsidR="007017A5" w:rsidRPr="00DD2A86">
        <w:rPr>
          <w:rFonts w:eastAsia="Calibri"/>
          <w:lang w:val="de-DE"/>
        </w:rPr>
        <w:tab/>
      </w:r>
      <w:r w:rsidR="00821DF0" w:rsidRPr="00DD2A86">
        <w:rPr>
          <w:rFonts w:eastAsia="Calibri"/>
          <w:lang w:val="de-DE"/>
        </w:rPr>
        <w:t>E</w:t>
      </w:r>
      <w:r w:rsidR="007017A5" w:rsidRPr="00DD2A86">
        <w:rPr>
          <w:rFonts w:eastAsia="Calibri"/>
          <w:lang w:val="de-DE"/>
        </w:rPr>
        <w:t>rhält folgenden W</w:t>
      </w:r>
      <w:r w:rsidR="00C73C13" w:rsidRPr="00DD2A86">
        <w:rPr>
          <w:rFonts w:eastAsia="Calibri"/>
          <w:lang w:val="de-DE"/>
        </w:rPr>
        <w:t>ortlaut:</w:t>
      </w:r>
    </w:p>
    <w:p w:rsidR="007017A5" w:rsidRPr="00DD2A86" w:rsidRDefault="00821DF0" w:rsidP="00000D61">
      <w:pPr>
        <w:tabs>
          <w:tab w:val="left" w:pos="2268"/>
        </w:tabs>
        <w:suppressAutoHyphens w:val="0"/>
        <w:autoSpaceDE w:val="0"/>
        <w:autoSpaceDN w:val="0"/>
        <w:adjustRightInd w:val="0"/>
        <w:spacing w:before="120" w:line="240" w:lineRule="auto"/>
        <w:ind w:left="2268" w:right="1134"/>
        <w:jc w:val="both"/>
        <w:rPr>
          <w:rFonts w:eastAsia="Calibri"/>
          <w:lang w:val="de-DE"/>
        </w:rPr>
      </w:pPr>
      <w:r w:rsidRPr="00DD2A86">
        <w:rPr>
          <w:rFonts w:eastAsia="Calibri"/>
          <w:lang w:val="de-DE"/>
        </w:rPr>
        <w:t>„(gestrichen)“.</w:t>
      </w:r>
    </w:p>
    <w:p w:rsidR="00D373F8" w:rsidRPr="00DD2A86" w:rsidRDefault="00D373F8" w:rsidP="00000D61">
      <w:pPr>
        <w:tabs>
          <w:tab w:val="left" w:pos="2268"/>
        </w:tabs>
        <w:suppressAutoHyphens w:val="0"/>
        <w:autoSpaceDE w:val="0"/>
        <w:autoSpaceDN w:val="0"/>
        <w:adjustRightInd w:val="0"/>
        <w:spacing w:before="240" w:line="240" w:lineRule="auto"/>
        <w:ind w:left="1134" w:right="1134"/>
        <w:jc w:val="both"/>
        <w:rPr>
          <w:rFonts w:eastAsia="Calibri"/>
          <w:lang w:val="de-DE"/>
        </w:rPr>
      </w:pPr>
      <w:r w:rsidRPr="00DD2A86">
        <w:rPr>
          <w:rFonts w:eastAsia="Calibri"/>
          <w:lang w:val="de-DE"/>
        </w:rPr>
        <w:t>9.3.x.8.</w:t>
      </w:r>
      <w:r w:rsidR="00C73C13" w:rsidRPr="00DD2A86">
        <w:rPr>
          <w:rFonts w:eastAsia="Calibri"/>
          <w:lang w:val="de-DE"/>
        </w:rPr>
        <w:t>3</w:t>
      </w:r>
      <w:r w:rsidR="00C73C13" w:rsidRPr="00DD2A86">
        <w:rPr>
          <w:rFonts w:eastAsia="Calibri"/>
          <w:lang w:val="de-DE"/>
        </w:rPr>
        <w:tab/>
        <w:t>Erhält folgenden Wortlaut:</w:t>
      </w:r>
    </w:p>
    <w:p w:rsidR="001472DE" w:rsidRPr="00DD2A86" w:rsidRDefault="00821DF0" w:rsidP="00000D61">
      <w:pPr>
        <w:tabs>
          <w:tab w:val="left" w:pos="2268"/>
          <w:tab w:val="left" w:pos="2977"/>
        </w:tabs>
        <w:suppressAutoHyphens w:val="0"/>
        <w:autoSpaceDE w:val="0"/>
        <w:autoSpaceDN w:val="0"/>
        <w:adjustRightInd w:val="0"/>
        <w:spacing w:before="120" w:line="240" w:lineRule="auto"/>
        <w:ind w:left="2268" w:right="1134"/>
        <w:jc w:val="both"/>
        <w:rPr>
          <w:rFonts w:eastAsia="Calibri"/>
          <w:lang w:val="de-DE"/>
        </w:rPr>
      </w:pPr>
      <w:r w:rsidRPr="00DD2A86">
        <w:rPr>
          <w:rFonts w:eastAsia="Calibri"/>
          <w:lang w:val="de-DE"/>
        </w:rPr>
        <w:t>„(gestrichen)“.</w:t>
      </w:r>
    </w:p>
    <w:p w:rsidR="00D373F8" w:rsidRPr="00DD2A86" w:rsidRDefault="00D373F8" w:rsidP="00000D61">
      <w:pPr>
        <w:tabs>
          <w:tab w:val="left" w:pos="2268"/>
        </w:tabs>
        <w:suppressAutoHyphens w:val="0"/>
        <w:autoSpaceDE w:val="0"/>
        <w:autoSpaceDN w:val="0"/>
        <w:adjustRightInd w:val="0"/>
        <w:spacing w:before="240" w:line="240" w:lineRule="auto"/>
        <w:ind w:left="1134" w:right="1134"/>
        <w:jc w:val="both"/>
        <w:rPr>
          <w:rFonts w:eastAsia="Calibri"/>
          <w:bCs/>
          <w:lang w:val="de-DE"/>
        </w:rPr>
      </w:pPr>
      <w:r w:rsidRPr="00DD2A86">
        <w:rPr>
          <w:rFonts w:eastAsia="Calibri"/>
          <w:bCs/>
          <w:lang w:val="de-DE"/>
        </w:rPr>
        <w:t>9.3.</w:t>
      </w:r>
      <w:r w:rsidR="00EE1700" w:rsidRPr="00DD2A86">
        <w:rPr>
          <w:rFonts w:eastAsia="Calibri"/>
          <w:bCs/>
          <w:lang w:val="de-DE"/>
        </w:rPr>
        <w:t>1</w:t>
      </w:r>
      <w:r w:rsidRPr="00DD2A86">
        <w:rPr>
          <w:rFonts w:eastAsia="Calibri"/>
          <w:bCs/>
          <w:lang w:val="de-DE"/>
        </w:rPr>
        <w:t>.8.4</w:t>
      </w:r>
      <w:r w:rsidR="00EE1700" w:rsidRPr="00DD2A86">
        <w:rPr>
          <w:rFonts w:eastAsia="Calibri"/>
          <w:bCs/>
          <w:lang w:val="de-DE"/>
        </w:rPr>
        <w:t xml:space="preserve"> und 9.3.2.8.4</w:t>
      </w:r>
      <w:r w:rsidRPr="00DD2A86">
        <w:rPr>
          <w:rFonts w:eastAsia="Calibri"/>
          <w:bCs/>
          <w:lang w:val="de-DE"/>
        </w:rPr>
        <w:tab/>
        <w:t>Folgenden neuen Absatz hinzufügen:</w:t>
      </w:r>
    </w:p>
    <w:p w:rsidR="00D373F8" w:rsidRPr="00DD2A86" w:rsidRDefault="00D373F8" w:rsidP="00000D61">
      <w:pPr>
        <w:tabs>
          <w:tab w:val="left" w:pos="2268"/>
          <w:tab w:val="left" w:pos="2977"/>
        </w:tabs>
        <w:suppressAutoHyphens w:val="0"/>
        <w:autoSpaceDE w:val="0"/>
        <w:autoSpaceDN w:val="0"/>
        <w:adjustRightInd w:val="0"/>
        <w:spacing w:before="120" w:line="240" w:lineRule="auto"/>
        <w:ind w:left="2268" w:right="1134"/>
        <w:jc w:val="both"/>
        <w:rPr>
          <w:rFonts w:eastAsia="Calibri"/>
          <w:lang w:val="de-DE"/>
        </w:rPr>
      </w:pPr>
      <w:r w:rsidRPr="00DD2A86">
        <w:rPr>
          <w:rFonts w:eastAsia="Calibri"/>
          <w:lang w:val="de-DE"/>
        </w:rPr>
        <w:t>„</w:t>
      </w:r>
      <w:r w:rsidR="008F3877" w:rsidRPr="00DD2A86">
        <w:rPr>
          <w:rFonts w:eastAsia="Calibri"/>
          <w:bCs/>
          <w:lang w:val="de-DE"/>
        </w:rPr>
        <w:tab/>
      </w:r>
      <w:r w:rsidR="008F3877" w:rsidRPr="00DD2A86">
        <w:rPr>
          <w:rFonts w:eastAsia="Calibri"/>
          <w:lang w:val="de-DE" w:eastAsia="de-DE"/>
        </w:rPr>
        <w:t>Die Übereinstimmung der nach Absatz 8.1.2.3 r) bis v) geforderten Unterlagen mit den Gegebenheiten an Bord muss bei jeder Erneuerung des Zulassungszeugnisses sowie innerhalb des dritten Jahres der Gültigkeit des Zulassungszeugnisses einmal von einer anerkannten Klassifikationsgesellschaft, Unteruntersuchungsstelle oder durch</w:t>
      </w:r>
      <w:r w:rsidR="008F3877" w:rsidRPr="00DD2A86">
        <w:rPr>
          <w:rFonts w:eastAsia="Calibri"/>
          <w:lang w:val="de-DE"/>
        </w:rPr>
        <w:t xml:space="preserve"> eine hierfür von der zuständigen Behörde zugelassene Person</w:t>
      </w:r>
      <w:r w:rsidR="008F3877" w:rsidRPr="00DD2A86">
        <w:rPr>
          <w:rFonts w:eastAsia="Calibri"/>
          <w:lang w:val="de-DE" w:eastAsia="de-DE"/>
        </w:rPr>
        <w:t xml:space="preserve"> geprüft werden. </w:t>
      </w:r>
      <w:r w:rsidR="008F3877" w:rsidRPr="00DD2A86">
        <w:rPr>
          <w:rFonts w:eastAsia="Calibri"/>
          <w:lang w:val="de-DE"/>
        </w:rPr>
        <w:t xml:space="preserve">Eine unterzeichnete Bescheinigung muss </w:t>
      </w:r>
      <w:r w:rsidR="002D4E23" w:rsidRPr="00DD2A86">
        <w:rPr>
          <w:rFonts w:eastAsia="Calibri"/>
          <w:lang w:val="de-DE"/>
        </w:rPr>
        <w:t>sich an Bord befinden</w:t>
      </w:r>
      <w:r w:rsidR="008F3877" w:rsidRPr="00DD2A86">
        <w:rPr>
          <w:rFonts w:eastAsia="Calibri"/>
          <w:lang w:val="de-DE"/>
        </w:rPr>
        <w:t>.“.</w:t>
      </w:r>
    </w:p>
    <w:p w:rsidR="008F3877" w:rsidRPr="00DD2A86" w:rsidRDefault="008F3877" w:rsidP="00000D61">
      <w:pPr>
        <w:tabs>
          <w:tab w:val="left" w:pos="2268"/>
        </w:tabs>
        <w:suppressAutoHyphens w:val="0"/>
        <w:autoSpaceDE w:val="0"/>
        <w:autoSpaceDN w:val="0"/>
        <w:adjustRightInd w:val="0"/>
        <w:spacing w:before="240" w:line="240" w:lineRule="auto"/>
        <w:ind w:left="2268" w:right="1134" w:hanging="1134"/>
        <w:jc w:val="both"/>
        <w:rPr>
          <w:rFonts w:eastAsia="Calibri"/>
          <w:lang w:val="de-DE"/>
        </w:rPr>
      </w:pPr>
      <w:r w:rsidRPr="00DD2A86">
        <w:rPr>
          <w:rFonts w:eastAsia="Calibri"/>
          <w:lang w:val="de-DE"/>
        </w:rPr>
        <w:t>9.3.x.10</w:t>
      </w:r>
      <w:r w:rsidRPr="00DD2A86">
        <w:rPr>
          <w:rFonts w:eastAsia="Calibri"/>
          <w:lang w:val="de-DE"/>
        </w:rPr>
        <w:tab/>
        <w:t xml:space="preserve">Erhält folgenden Wortlaut: </w:t>
      </w:r>
      <w:r w:rsidRPr="00DD2A86">
        <w:rPr>
          <w:rFonts w:eastAsia="Calibri"/>
          <w:b/>
          <w:lang w:val="de-DE"/>
        </w:rPr>
        <w:t>„Schutz vor dem Eindringen gefährlicher Gase und dem Ausbreiten gefährlicher Flüssigkeiten“.</w:t>
      </w:r>
    </w:p>
    <w:p w:rsidR="00CB31AE" w:rsidRPr="00DD2A86" w:rsidRDefault="002D0B1F" w:rsidP="00000D61">
      <w:pPr>
        <w:tabs>
          <w:tab w:val="left" w:pos="2268"/>
          <w:tab w:val="left" w:pos="2977"/>
        </w:tabs>
        <w:suppressAutoHyphens w:val="0"/>
        <w:autoSpaceDE w:val="0"/>
        <w:autoSpaceDN w:val="0"/>
        <w:adjustRightInd w:val="0"/>
        <w:spacing w:before="240" w:line="240" w:lineRule="auto"/>
        <w:ind w:left="2268" w:right="1134" w:hanging="1134"/>
        <w:jc w:val="both"/>
        <w:rPr>
          <w:rFonts w:eastAsia="Calibri"/>
          <w:lang w:val="de-DE"/>
        </w:rPr>
      </w:pPr>
      <w:r w:rsidRPr="00DD2A86">
        <w:rPr>
          <w:rFonts w:eastAsia="Calibri"/>
          <w:lang w:val="de-DE"/>
        </w:rPr>
        <w:t>9.3.x.10</w:t>
      </w:r>
      <w:r w:rsidR="00CB31AE" w:rsidRPr="00DD2A86">
        <w:rPr>
          <w:rFonts w:eastAsia="Calibri"/>
          <w:lang w:val="de-DE"/>
        </w:rPr>
        <w:t>.1</w:t>
      </w:r>
      <w:r w:rsidRPr="00DD2A86">
        <w:rPr>
          <w:rFonts w:eastAsia="Calibri"/>
          <w:lang w:val="de-DE"/>
        </w:rPr>
        <w:tab/>
      </w:r>
      <w:r w:rsidR="00C73C13" w:rsidRPr="00DD2A86">
        <w:rPr>
          <w:rFonts w:eastAsia="Calibri"/>
          <w:lang w:val="de-DE"/>
        </w:rPr>
        <w:t>Erhält folgenden Wortlaut:</w:t>
      </w:r>
    </w:p>
    <w:p w:rsidR="008F3877" w:rsidRPr="00DD2A86" w:rsidRDefault="00CB31AE" w:rsidP="00000D61">
      <w:pPr>
        <w:tabs>
          <w:tab w:val="left" w:pos="2268"/>
          <w:tab w:val="left" w:pos="2977"/>
        </w:tabs>
        <w:suppressAutoHyphens w:val="0"/>
        <w:autoSpaceDE w:val="0"/>
        <w:autoSpaceDN w:val="0"/>
        <w:adjustRightInd w:val="0"/>
        <w:spacing w:before="120" w:after="240" w:line="240" w:lineRule="auto"/>
        <w:ind w:left="2268" w:right="1134" w:hanging="1134"/>
        <w:jc w:val="both"/>
        <w:rPr>
          <w:rFonts w:eastAsia="Calibri"/>
          <w:lang w:val="de-DE"/>
        </w:rPr>
      </w:pPr>
      <w:r w:rsidRPr="00DD2A86">
        <w:rPr>
          <w:rFonts w:eastAsia="Calibri"/>
          <w:lang w:val="de-DE"/>
        </w:rPr>
        <w:tab/>
        <w:t>„</w:t>
      </w:r>
      <w:r w:rsidR="002D0B1F" w:rsidRPr="00DD2A86">
        <w:rPr>
          <w:rFonts w:eastAsia="Calibri"/>
          <w:lang w:val="de-DE" w:eastAsia="de-DE"/>
        </w:rPr>
        <w:t>Das Schiff muss so beschaffen sein, dass gefährliche Gase und Flüssigkeiten nicht in Wohnungen, Steuerhaus und Betriebsräume gelangen können. Die</w:t>
      </w:r>
      <w:r w:rsidR="002D0B1F" w:rsidRPr="00DD2A86">
        <w:rPr>
          <w:rFonts w:eastAsia="Calibri"/>
          <w:lang w:val="de-DE"/>
        </w:rPr>
        <w:t xml:space="preserve"> Fenster dieser Räume dürfen nicht geöffnet werden können, sofern sie nicht als Notausstieg vorgesehen und als solche gekennzeichnet sind.</w:t>
      </w:r>
      <w:r w:rsidRPr="00DD2A86">
        <w:rPr>
          <w:rFonts w:eastAsia="Calibri"/>
          <w:lang w:val="de-DE"/>
        </w:rPr>
        <w:t>“.</w:t>
      </w:r>
    </w:p>
    <w:p w:rsidR="00F87283" w:rsidRPr="00DD2A86" w:rsidRDefault="00F87283" w:rsidP="00000D61">
      <w:pPr>
        <w:tabs>
          <w:tab w:val="left" w:pos="2268"/>
          <w:tab w:val="left" w:pos="2977"/>
        </w:tabs>
        <w:suppressAutoHyphens w:val="0"/>
        <w:autoSpaceDE w:val="0"/>
        <w:autoSpaceDN w:val="0"/>
        <w:adjustRightInd w:val="0"/>
        <w:spacing w:before="120" w:after="120" w:line="240" w:lineRule="auto"/>
        <w:ind w:left="2268" w:right="1134" w:hanging="1134"/>
        <w:jc w:val="both"/>
        <w:rPr>
          <w:rFonts w:eastAsia="Calibri"/>
          <w:lang w:val="de-DE"/>
        </w:rPr>
      </w:pPr>
      <w:r w:rsidRPr="00DD2A86">
        <w:rPr>
          <w:rFonts w:eastAsia="Calibri"/>
          <w:lang w:val="de-DE"/>
        </w:rPr>
        <w:t>9.3.x.10.2</w:t>
      </w:r>
      <w:r w:rsidRPr="00DD2A86">
        <w:rPr>
          <w:rFonts w:eastAsia="Calibri"/>
          <w:lang w:val="de-DE"/>
        </w:rPr>
        <w:tab/>
        <w:t xml:space="preserve">Erhält folgenden Wortlaut: </w:t>
      </w:r>
    </w:p>
    <w:p w:rsidR="00CB31AE" w:rsidRPr="00DD2A86" w:rsidRDefault="009A78AB" w:rsidP="00000D61">
      <w:pPr>
        <w:tabs>
          <w:tab w:val="left" w:pos="2268"/>
          <w:tab w:val="left" w:pos="2977"/>
        </w:tabs>
        <w:suppressAutoHyphens w:val="0"/>
        <w:autoSpaceDE w:val="0"/>
        <w:autoSpaceDN w:val="0"/>
        <w:adjustRightInd w:val="0"/>
        <w:spacing w:before="120" w:after="240" w:line="240" w:lineRule="auto"/>
        <w:ind w:left="2268" w:right="1134"/>
        <w:jc w:val="both"/>
        <w:rPr>
          <w:rFonts w:eastAsia="Calibri"/>
          <w:lang w:val="de-DE"/>
        </w:rPr>
      </w:pPr>
      <w:r w:rsidRPr="00DD2A86">
        <w:rPr>
          <w:rFonts w:eastAsia="Calibri"/>
          <w:lang w:val="de-DE"/>
        </w:rPr>
        <w:t>„An Deck sind flüssigkeitsdichte Schutzsülle auf Höhe der äußersten Ladetankschotte</w:t>
      </w:r>
      <w:r w:rsidR="00706EDE" w:rsidRPr="00DD2A86">
        <w:rPr>
          <w:rFonts w:eastAsia="Calibri"/>
          <w:lang w:val="de-DE"/>
        </w:rPr>
        <w:t>,</w:t>
      </w:r>
      <w:r w:rsidRPr="00DD2A86">
        <w:rPr>
          <w:rFonts w:eastAsia="Calibri"/>
          <w:lang w:val="de-DE"/>
        </w:rPr>
        <w:t xml:space="preserve"> höchstens jedoch 0,6</w:t>
      </w:r>
      <w:r w:rsidR="0077037F" w:rsidRPr="00DD2A86">
        <w:rPr>
          <w:rFonts w:eastAsia="Calibri"/>
          <w:lang w:val="de-DE"/>
        </w:rPr>
        <w:t>0</w:t>
      </w:r>
      <w:r w:rsidRPr="00DD2A86">
        <w:rPr>
          <w:rFonts w:eastAsia="Calibri"/>
          <w:lang w:val="de-DE"/>
        </w:rPr>
        <w:t xml:space="preserve"> m innerhalb </w:t>
      </w:r>
      <w:r w:rsidR="00706EDE" w:rsidRPr="00DD2A86">
        <w:rPr>
          <w:rFonts w:eastAsia="Calibri"/>
          <w:lang w:val="de-DE"/>
        </w:rPr>
        <w:t xml:space="preserve">der </w:t>
      </w:r>
      <w:r w:rsidRPr="00DD2A86">
        <w:rPr>
          <w:rFonts w:eastAsia="Calibri"/>
          <w:lang w:val="de-DE"/>
        </w:rPr>
        <w:t>äußeren Kofferdammschott</w:t>
      </w:r>
      <w:r w:rsidR="00706EDE" w:rsidRPr="00DD2A86">
        <w:rPr>
          <w:rFonts w:eastAsia="Calibri"/>
          <w:lang w:val="de-DE"/>
        </w:rPr>
        <w:t>e</w:t>
      </w:r>
      <w:r w:rsidRPr="00DD2A86">
        <w:rPr>
          <w:rFonts w:eastAsia="Calibri"/>
          <w:lang w:val="de-DE"/>
        </w:rPr>
        <w:t xml:space="preserve"> oder de</w:t>
      </w:r>
      <w:r w:rsidR="00706EDE" w:rsidRPr="00DD2A86">
        <w:rPr>
          <w:rFonts w:eastAsia="Calibri"/>
          <w:lang w:val="de-DE"/>
        </w:rPr>
        <w:t>r</w:t>
      </w:r>
      <w:r w:rsidRPr="00DD2A86">
        <w:rPr>
          <w:rFonts w:eastAsia="Calibri"/>
          <w:lang w:val="de-DE"/>
        </w:rPr>
        <w:t xml:space="preserve"> Begrenzungsschotte der Aufstellungsräume anzubringen. Die Schutzsülle müssen entweder über die gesamte Schiffsbreite reichen oder zwischen den seitlich, in Längsrichtung des Schiffes verlaufenden Spillsüllen angebracht sein</w:t>
      </w:r>
      <w:r w:rsidR="00706EDE" w:rsidRPr="00DD2A86">
        <w:rPr>
          <w:rFonts w:eastAsia="Calibri"/>
          <w:lang w:val="de-DE"/>
        </w:rPr>
        <w:t>,</w:t>
      </w:r>
      <w:r w:rsidRPr="00DD2A86">
        <w:rPr>
          <w:rFonts w:eastAsia="Calibri"/>
          <w:lang w:val="de-DE"/>
        </w:rPr>
        <w:t xml:space="preserve"> sodass keine Flüssigkeit zum Achter- bzw. Vorschiff gelangen kann. Die Höhe der Schutzsülle und der Spillsülle muss mindestens 0,075</w:t>
      </w:r>
      <w:r w:rsidR="00706EDE" w:rsidRPr="00DD2A86">
        <w:rPr>
          <w:rFonts w:eastAsia="Calibri"/>
          <w:lang w:val="de-DE"/>
        </w:rPr>
        <w:t xml:space="preserve"> </w:t>
      </w:r>
      <w:r w:rsidRPr="00DD2A86">
        <w:rPr>
          <w:rFonts w:eastAsia="Calibri"/>
          <w:lang w:val="de-DE"/>
        </w:rPr>
        <w:t>m betragen. Das Schutzsüll kann mit der Schutzwand nach 9.3.x.10.3 zusammenfallen sofern die Schutzwand über die gesamte Schiffsbreite reicht.“.</w:t>
      </w:r>
    </w:p>
    <w:p w:rsidR="00EB6056" w:rsidRPr="00DD2A86" w:rsidRDefault="00EB6056">
      <w:pPr>
        <w:suppressAutoHyphens w:val="0"/>
        <w:spacing w:line="240" w:lineRule="auto"/>
        <w:rPr>
          <w:rFonts w:eastAsia="Calibri"/>
          <w:lang w:val="de-DE"/>
        </w:rPr>
      </w:pPr>
      <w:r w:rsidRPr="00DD2A86">
        <w:rPr>
          <w:rFonts w:eastAsia="Calibri"/>
          <w:lang w:val="de-DE"/>
        </w:rPr>
        <w:br w:type="page"/>
      </w:r>
    </w:p>
    <w:p w:rsidR="006F613A" w:rsidRPr="00DD2A86" w:rsidRDefault="006F613A" w:rsidP="00000D61">
      <w:pPr>
        <w:tabs>
          <w:tab w:val="left" w:pos="2977"/>
        </w:tabs>
        <w:suppressAutoHyphens w:val="0"/>
        <w:autoSpaceDE w:val="0"/>
        <w:autoSpaceDN w:val="0"/>
        <w:adjustRightInd w:val="0"/>
        <w:spacing w:before="120" w:after="120" w:line="240" w:lineRule="auto"/>
        <w:ind w:left="2268" w:right="1134" w:hanging="1134"/>
        <w:jc w:val="both"/>
        <w:rPr>
          <w:rFonts w:eastAsia="Calibri"/>
          <w:lang w:val="de-DE"/>
        </w:rPr>
      </w:pPr>
      <w:r w:rsidRPr="00DD2A86">
        <w:rPr>
          <w:rFonts w:eastAsia="Calibri"/>
          <w:lang w:val="de-DE"/>
        </w:rPr>
        <w:t>9.3.1.10.3</w:t>
      </w:r>
      <w:r w:rsidRPr="00DD2A86">
        <w:rPr>
          <w:rFonts w:eastAsia="Calibri"/>
          <w:lang w:val="de-DE"/>
        </w:rPr>
        <w:tab/>
        <w:t>Erhält folgenden Wortlaut:</w:t>
      </w:r>
    </w:p>
    <w:p w:rsidR="006F613A" w:rsidRPr="00DD2A86" w:rsidRDefault="006F613A" w:rsidP="00000D61">
      <w:pPr>
        <w:suppressAutoHyphens w:val="0"/>
        <w:autoSpaceDE w:val="0"/>
        <w:autoSpaceDN w:val="0"/>
        <w:adjustRightInd w:val="0"/>
        <w:spacing w:line="240" w:lineRule="auto"/>
        <w:ind w:left="2268" w:right="1134"/>
        <w:jc w:val="both"/>
        <w:rPr>
          <w:rFonts w:eastAsia="Calibri"/>
          <w:lang w:val="de-DE" w:eastAsia="de-DE"/>
        </w:rPr>
      </w:pPr>
      <w:r w:rsidRPr="00DD2A86">
        <w:rPr>
          <w:rFonts w:eastAsia="Calibri"/>
          <w:lang w:val="de-DE"/>
        </w:rPr>
        <w:t>„</w:t>
      </w:r>
      <w:r w:rsidR="00FE5240" w:rsidRPr="00DD2A86">
        <w:rPr>
          <w:rFonts w:eastAsia="Calibri"/>
          <w:lang w:val="de-DE"/>
        </w:rPr>
        <w:t>9.3.1.10.3</w:t>
      </w:r>
      <w:r w:rsidR="00FE5240" w:rsidRPr="00DD2A86">
        <w:rPr>
          <w:rFonts w:eastAsia="Calibri"/>
          <w:lang w:val="de-DE"/>
        </w:rPr>
        <w:tab/>
      </w:r>
      <w:r w:rsidRPr="00DD2A86">
        <w:rPr>
          <w:rFonts w:eastAsia="Calibri"/>
          <w:lang w:val="de-DE"/>
        </w:rPr>
        <w:t>Wenn die Schiffsstoffliste nach Absatz 1.16.1.2.5 Stoffe enthalten soll</w:t>
      </w:r>
      <w:r w:rsidR="00706EDE" w:rsidRPr="00DD2A86">
        <w:rPr>
          <w:rFonts w:eastAsia="Calibri"/>
          <w:lang w:val="de-DE"/>
        </w:rPr>
        <w:t>,</w:t>
      </w:r>
      <w:r w:rsidRPr="00DD2A86">
        <w:rPr>
          <w:rFonts w:eastAsia="Calibri"/>
          <w:lang w:val="de-DE"/>
        </w:rPr>
        <w:t xml:space="preserve"> für die nach Unteranschnitt 3.2.3.2 Tabelle C, Spalte (17) </w:t>
      </w:r>
      <w:r w:rsidRPr="00DD2A86">
        <w:rPr>
          <w:rFonts w:eastAsia="Calibri"/>
          <w:lang w:val="de-DE" w:eastAsia="de-DE"/>
        </w:rPr>
        <w:t xml:space="preserve">Explosionsschutz gefordert ist, dürfen in Bereichen an Deck außerhalb des Bereichs der Ladung Anlagen und Geräte, </w:t>
      </w:r>
      <w:r w:rsidRPr="00DD2A86">
        <w:rPr>
          <w:rFonts w:eastAsia="Calibri"/>
          <w:szCs w:val="24"/>
          <w:lang w:val="de-DE" w:eastAsia="de-DE"/>
        </w:rPr>
        <w:t xml:space="preserve">die nicht mindestens dem Typ „begrenzte Explosionsgefahr“ entsprechen, </w:t>
      </w:r>
      <w:r w:rsidRPr="00DD2A86">
        <w:rPr>
          <w:rFonts w:eastAsia="Calibri"/>
          <w:lang w:val="de-DE" w:eastAsia="de-DE"/>
        </w:rPr>
        <w:t xml:space="preserve">während des Ladens oder Löschens nicht betrieben werden, es sei denn dieser Bereich ist durch eine gas- und flüssigkeitsdichte Schutzwand vor dem Eindringen von Flüssigkeiten und Gasen geschützt. </w:t>
      </w:r>
      <w:r w:rsidRPr="00DD2A86">
        <w:rPr>
          <w:rFonts w:eastAsia="Calibri"/>
          <w:lang w:val="de-DE"/>
        </w:rPr>
        <w:t>Diese Wand muss entweder über die gesamte Schiffsbreite reichen oder diese Bereiche an Deck U-förmig umschließen. Dabei muss sich die Wand über die gesamte Breite des zu schützenden Bereiches erstrecken und 1,00 m in Richtung der dem Bereich der Ladung abgewandten Seite fortgeführt werden (siehe Skizze Zoneneinteilung). Die Höhe der Wand muss mindestens 1,00 m bezogen auf das anschließende Ladetankdeck im Bereich der Ladung betragen.</w:t>
      </w:r>
      <w:r w:rsidRPr="00DD2A86">
        <w:rPr>
          <w:rFonts w:eastAsia="Calibri"/>
          <w:lang w:val="de-DE" w:eastAsia="de-DE"/>
        </w:rPr>
        <w:t xml:space="preserve"> </w:t>
      </w:r>
      <w:r w:rsidRPr="00DD2A86">
        <w:rPr>
          <w:rFonts w:eastAsia="Calibri"/>
          <w:szCs w:val="24"/>
          <w:lang w:val="de-DE" w:eastAsia="de-DE"/>
        </w:rPr>
        <w:t>Außenwand und die Seitenwände der Wohnungen können als Schutzwand gelten, sofern sie keine Öffnungen aufweisen und die Abmessungen eingehalten sind</w:t>
      </w:r>
      <w:r w:rsidRPr="00DD2A86">
        <w:rPr>
          <w:rFonts w:eastAsia="Calibri"/>
          <w:lang w:val="de-DE" w:eastAsia="de-DE"/>
        </w:rPr>
        <w:t>.</w:t>
      </w:r>
    </w:p>
    <w:p w:rsidR="006F613A" w:rsidRPr="00DD2A86" w:rsidRDefault="006F613A" w:rsidP="00000D61">
      <w:pPr>
        <w:tabs>
          <w:tab w:val="left" w:pos="2977"/>
        </w:tabs>
        <w:suppressAutoHyphens w:val="0"/>
        <w:autoSpaceDE w:val="0"/>
        <w:autoSpaceDN w:val="0"/>
        <w:adjustRightInd w:val="0"/>
        <w:spacing w:before="120" w:after="240" w:line="240" w:lineRule="auto"/>
        <w:ind w:left="2268" w:right="1134"/>
        <w:jc w:val="both"/>
        <w:rPr>
          <w:rFonts w:eastAsia="Calibri"/>
          <w:lang w:val="de-DE" w:eastAsia="de-DE"/>
        </w:rPr>
      </w:pPr>
      <w:r w:rsidRPr="00DD2A86">
        <w:rPr>
          <w:rFonts w:eastAsia="Calibri"/>
          <w:lang w:val="de-DE" w:eastAsia="de-DE"/>
        </w:rPr>
        <w:t xml:space="preserve">Diese Schutzwand ist nicht erforderlich, wenn vor den zu schützenden Bereichen ein Abstand zum nächstgelegenen  Sicherheitsventil, Landanschluss der </w:t>
      </w:r>
      <w:r w:rsidR="002374D7" w:rsidRPr="00DD2A86">
        <w:rPr>
          <w:rFonts w:eastAsia="Calibri"/>
          <w:lang w:val="de-DE" w:eastAsia="de-DE"/>
        </w:rPr>
        <w:t>Lade-, Lösch- und Gasabfuhrleitungen</w:t>
      </w:r>
      <w:r w:rsidRPr="00DD2A86">
        <w:rPr>
          <w:rFonts w:eastAsia="Calibri"/>
          <w:lang w:val="de-DE" w:eastAsia="de-DE"/>
        </w:rPr>
        <w:t>, Kompressor  an Deck und zur nächstgelegenen Öffnung der Ladetanks von mindestens 12,00 m eingehalten ist.“.</w:t>
      </w:r>
    </w:p>
    <w:p w:rsidR="003F47A0" w:rsidRPr="00DD2A86" w:rsidRDefault="003F47A0" w:rsidP="00000D61">
      <w:pPr>
        <w:tabs>
          <w:tab w:val="left" w:pos="2268"/>
          <w:tab w:val="left" w:pos="2977"/>
        </w:tabs>
        <w:suppressAutoHyphens w:val="0"/>
        <w:autoSpaceDE w:val="0"/>
        <w:autoSpaceDN w:val="0"/>
        <w:adjustRightInd w:val="0"/>
        <w:spacing w:before="120" w:after="120" w:line="240" w:lineRule="auto"/>
        <w:ind w:left="2268" w:right="1134" w:hanging="1134"/>
        <w:jc w:val="both"/>
        <w:rPr>
          <w:rFonts w:eastAsia="Calibri"/>
          <w:lang w:val="de-DE"/>
        </w:rPr>
      </w:pPr>
      <w:r w:rsidRPr="00DD2A86">
        <w:rPr>
          <w:rFonts w:eastAsia="Calibri"/>
          <w:lang w:val="de-DE"/>
        </w:rPr>
        <w:t>9.3.x.10.4</w:t>
      </w:r>
      <w:r w:rsidRPr="00DD2A86">
        <w:rPr>
          <w:rFonts w:eastAsia="Calibri"/>
          <w:lang w:val="de-DE"/>
        </w:rPr>
        <w:tab/>
        <w:t>Erhält folgenden Wortlaut:</w:t>
      </w:r>
    </w:p>
    <w:p w:rsidR="003F47A0" w:rsidRPr="00DD2A86" w:rsidRDefault="003F47A0" w:rsidP="00000D61">
      <w:pPr>
        <w:suppressAutoHyphens w:val="0"/>
        <w:autoSpaceDE w:val="0"/>
        <w:autoSpaceDN w:val="0"/>
        <w:adjustRightInd w:val="0"/>
        <w:spacing w:line="240" w:lineRule="auto"/>
        <w:ind w:left="2268" w:right="1134"/>
        <w:rPr>
          <w:rFonts w:eastAsia="Calibri"/>
          <w:szCs w:val="24"/>
          <w:lang w:val="de-DE"/>
        </w:rPr>
      </w:pPr>
      <w:r w:rsidRPr="00DD2A86">
        <w:rPr>
          <w:rFonts w:eastAsia="Calibri"/>
          <w:szCs w:val="24"/>
          <w:lang w:val="de-DE" w:eastAsia="de-DE"/>
        </w:rPr>
        <w:t xml:space="preserve">„An Deck muss die Höhe der Unterkante der Öffnungen in den Seitenwänden von Aufbauten und die Höhe der Sülle von Zugangsluken </w:t>
      </w:r>
      <w:r w:rsidRPr="00DD2A86">
        <w:rPr>
          <w:rFonts w:eastAsia="Calibri"/>
          <w:szCs w:val="24"/>
          <w:lang w:val="de-DE"/>
        </w:rPr>
        <w:t>und Lüftungsöffnungen von</w:t>
      </w:r>
      <w:r w:rsidRPr="00DD2A86">
        <w:rPr>
          <w:rFonts w:eastAsia="Calibri"/>
          <w:szCs w:val="24"/>
          <w:lang w:val="de-DE" w:eastAsia="de-DE"/>
        </w:rPr>
        <w:t xml:space="preserve"> Räumen unter Deck mindestens 0,50 m über Deck betragen.</w:t>
      </w:r>
    </w:p>
    <w:p w:rsidR="003F47A0" w:rsidRPr="00DD2A86" w:rsidRDefault="003F47A0" w:rsidP="00000D61">
      <w:pPr>
        <w:suppressAutoHyphens w:val="0"/>
        <w:autoSpaceDE w:val="0"/>
        <w:autoSpaceDN w:val="0"/>
        <w:adjustRightInd w:val="0"/>
        <w:spacing w:line="240" w:lineRule="auto"/>
        <w:ind w:left="2268" w:right="1134"/>
        <w:rPr>
          <w:rFonts w:eastAsia="Calibri"/>
          <w:szCs w:val="24"/>
          <w:lang w:val="de-DE"/>
        </w:rPr>
      </w:pPr>
      <w:r w:rsidRPr="00DD2A86">
        <w:rPr>
          <w:rFonts w:eastAsia="Calibri"/>
          <w:szCs w:val="24"/>
          <w:lang w:val="de-DE"/>
        </w:rPr>
        <w:t>Dies gilt nicht für Öffnungen von Wallgängen und Doppelböden.“.</w:t>
      </w:r>
    </w:p>
    <w:p w:rsidR="003F47A0" w:rsidRPr="00DD2A86" w:rsidRDefault="003F47A0" w:rsidP="00000D61">
      <w:pPr>
        <w:tabs>
          <w:tab w:val="left" w:pos="2268"/>
        </w:tabs>
        <w:suppressAutoHyphens w:val="0"/>
        <w:autoSpaceDE w:val="0"/>
        <w:autoSpaceDN w:val="0"/>
        <w:adjustRightInd w:val="0"/>
        <w:spacing w:before="240" w:line="240" w:lineRule="auto"/>
        <w:ind w:left="1134" w:right="1134"/>
        <w:jc w:val="both"/>
        <w:rPr>
          <w:rFonts w:eastAsia="Calibri"/>
          <w:bCs/>
          <w:lang w:val="de-DE"/>
        </w:rPr>
      </w:pPr>
      <w:r w:rsidRPr="00DD2A86">
        <w:rPr>
          <w:rFonts w:eastAsia="Calibri"/>
          <w:bCs/>
          <w:lang w:val="de-DE"/>
        </w:rPr>
        <w:t>9.3.</w:t>
      </w:r>
      <w:r w:rsidR="002B604C" w:rsidRPr="00DD2A86">
        <w:rPr>
          <w:rFonts w:eastAsia="Calibri"/>
          <w:bCs/>
          <w:lang w:val="de-DE"/>
        </w:rPr>
        <w:t>1</w:t>
      </w:r>
      <w:r w:rsidRPr="00DD2A86">
        <w:rPr>
          <w:rFonts w:eastAsia="Calibri"/>
          <w:bCs/>
          <w:lang w:val="de-DE"/>
        </w:rPr>
        <w:t>.10.5</w:t>
      </w:r>
      <w:r w:rsidR="002B604C" w:rsidRPr="00DD2A86">
        <w:rPr>
          <w:rFonts w:eastAsia="Calibri"/>
          <w:bCs/>
          <w:lang w:val="de-DE"/>
        </w:rPr>
        <w:t xml:space="preserve"> und 9.3.2.10.5</w:t>
      </w:r>
      <w:r w:rsidRPr="00DD2A86">
        <w:rPr>
          <w:rFonts w:eastAsia="Calibri"/>
          <w:bCs/>
          <w:lang w:val="de-DE"/>
        </w:rPr>
        <w:tab/>
        <w:t>Folgenden neuen Absatz hinzufügen:</w:t>
      </w:r>
    </w:p>
    <w:p w:rsidR="003F47A0" w:rsidRPr="00DD2A86" w:rsidRDefault="003F47A0" w:rsidP="00000D61">
      <w:pPr>
        <w:tabs>
          <w:tab w:val="left" w:pos="2977"/>
        </w:tabs>
        <w:suppressAutoHyphens w:val="0"/>
        <w:autoSpaceDE w:val="0"/>
        <w:autoSpaceDN w:val="0"/>
        <w:adjustRightInd w:val="0"/>
        <w:spacing w:before="120" w:after="240" w:line="240" w:lineRule="auto"/>
        <w:ind w:left="2268" w:right="1134"/>
        <w:jc w:val="both"/>
        <w:rPr>
          <w:rFonts w:eastAsia="Calibri"/>
          <w:lang w:val="de-DE"/>
        </w:rPr>
      </w:pPr>
      <w:r w:rsidRPr="00DD2A86">
        <w:rPr>
          <w:rFonts w:eastAsia="Calibri"/>
          <w:lang w:val="de-DE"/>
        </w:rPr>
        <w:t>„Schanzkleider, Fußleisten usw. müssen mit genügend großen, direkt über dem Deck angeordneten Öffnungen versehen sein.“.</w:t>
      </w:r>
    </w:p>
    <w:p w:rsidR="00A338D3" w:rsidRPr="00DD2A86" w:rsidRDefault="00A338D3" w:rsidP="00A338D3">
      <w:pPr>
        <w:kinsoku w:val="0"/>
        <w:overflowPunct w:val="0"/>
        <w:autoSpaceDE w:val="0"/>
        <w:autoSpaceDN w:val="0"/>
        <w:adjustRightInd w:val="0"/>
        <w:snapToGrid w:val="0"/>
        <w:spacing w:before="120" w:after="120"/>
        <w:ind w:left="1134" w:right="1134"/>
        <w:jc w:val="both"/>
        <w:rPr>
          <w:rFonts w:eastAsiaTheme="minorHAnsi"/>
          <w:lang w:val="de-DE"/>
        </w:rPr>
      </w:pPr>
      <w:r w:rsidRPr="00DD2A86">
        <w:rPr>
          <w:rFonts w:eastAsiaTheme="minorHAnsi"/>
          <w:lang w:val="de-DE"/>
        </w:rPr>
        <w:t>9.3.1.11.3 a)</w:t>
      </w:r>
      <w:r w:rsidRPr="00DD2A86">
        <w:rPr>
          <w:rFonts w:eastAsiaTheme="minorHAnsi"/>
          <w:lang w:val="de-DE"/>
        </w:rPr>
        <w:tab/>
        <w:t>Der erste Satz erhält folgenden Wortlaut:</w:t>
      </w:r>
    </w:p>
    <w:p w:rsidR="00A338D3" w:rsidRPr="00DD2A86" w:rsidRDefault="00A338D3" w:rsidP="00A338D3">
      <w:pPr>
        <w:kinsoku w:val="0"/>
        <w:overflowPunct w:val="0"/>
        <w:autoSpaceDE w:val="0"/>
        <w:autoSpaceDN w:val="0"/>
        <w:adjustRightInd w:val="0"/>
        <w:snapToGrid w:val="0"/>
        <w:spacing w:before="120" w:after="120"/>
        <w:ind w:left="1134" w:right="1134"/>
        <w:jc w:val="both"/>
        <w:rPr>
          <w:rFonts w:eastAsiaTheme="minorHAnsi"/>
          <w:lang w:val="de-DE"/>
        </w:rPr>
      </w:pPr>
      <w:r w:rsidRPr="00DD2A86">
        <w:rPr>
          <w:rFonts w:eastAsiaTheme="minorHAnsi"/>
          <w:lang w:val="de-DE"/>
        </w:rPr>
        <w:t>„Aufstellungsräume müssen von den Wohnungen, den Maschinenräumen und den Betriebsräumen unter Deck außerhalb des Bereichs der Ladung durch Schotte mit einer „A-60“-Isolierung nach SOLAS 74 Kapitel II-2 Regel 3 getrennt sein.“.</w:t>
      </w:r>
    </w:p>
    <w:p w:rsidR="00A338D3" w:rsidRPr="00DD2A86" w:rsidRDefault="00A338D3" w:rsidP="00A338D3">
      <w:pPr>
        <w:kinsoku w:val="0"/>
        <w:overflowPunct w:val="0"/>
        <w:autoSpaceDE w:val="0"/>
        <w:autoSpaceDN w:val="0"/>
        <w:adjustRightInd w:val="0"/>
        <w:snapToGrid w:val="0"/>
        <w:spacing w:before="120" w:after="120"/>
        <w:ind w:left="1134" w:right="1134"/>
        <w:jc w:val="both"/>
        <w:rPr>
          <w:rFonts w:eastAsiaTheme="minorHAnsi"/>
          <w:lang w:val="de-DE"/>
        </w:rPr>
      </w:pPr>
      <w:r w:rsidRPr="00DD2A86">
        <w:rPr>
          <w:rFonts w:eastAsiaTheme="minorHAnsi"/>
          <w:lang w:val="de-DE"/>
        </w:rPr>
        <w:t xml:space="preserve">9.3.2.11.3 </w:t>
      </w:r>
      <w:r w:rsidR="006E508C" w:rsidRPr="00DD2A86">
        <w:rPr>
          <w:rFonts w:eastAsiaTheme="minorHAnsi"/>
          <w:lang w:val="de-DE"/>
        </w:rPr>
        <w:t xml:space="preserve">c) </w:t>
      </w:r>
      <w:r w:rsidRPr="00DD2A86">
        <w:rPr>
          <w:rFonts w:eastAsiaTheme="minorHAnsi"/>
          <w:lang w:val="de-DE"/>
        </w:rPr>
        <w:t>und 9.3.3.11.3 c) zweiter Satz</w:t>
      </w:r>
      <w:r w:rsidRPr="00DD2A86">
        <w:rPr>
          <w:rFonts w:eastAsiaTheme="minorHAnsi"/>
          <w:lang w:val="de-DE"/>
        </w:rPr>
        <w:tab/>
      </w:r>
      <w:r w:rsidRPr="00DD2A86">
        <w:rPr>
          <w:rFonts w:eastAsiaTheme="minorHAnsi"/>
          <w:lang w:val="de-DE"/>
        </w:rPr>
        <w:tab/>
        <w:t>[Die Änderung in der französischen und englischen Fassung hat keine Auswirkungen auf den deutschen Text.]</w:t>
      </w:r>
    </w:p>
    <w:p w:rsidR="00167059" w:rsidRPr="00DD2A86" w:rsidRDefault="00167059" w:rsidP="00167059">
      <w:pPr>
        <w:tabs>
          <w:tab w:val="left" w:pos="2268"/>
          <w:tab w:val="left" w:pos="2977"/>
        </w:tabs>
        <w:suppressAutoHyphens w:val="0"/>
        <w:autoSpaceDE w:val="0"/>
        <w:autoSpaceDN w:val="0"/>
        <w:adjustRightInd w:val="0"/>
        <w:spacing w:before="240" w:after="120" w:line="240" w:lineRule="auto"/>
        <w:ind w:left="2268" w:right="1134" w:hanging="1134"/>
        <w:jc w:val="both"/>
        <w:rPr>
          <w:rFonts w:eastAsia="Calibri"/>
          <w:lang w:val="de-DE"/>
        </w:rPr>
      </w:pPr>
      <w:r w:rsidRPr="00DD2A86">
        <w:rPr>
          <w:rFonts w:eastAsia="Calibri"/>
          <w:lang w:val="de-DE"/>
        </w:rPr>
        <w:t>9.3.1.12.3 und 9.3.2.12.3</w:t>
      </w:r>
      <w:r w:rsidRPr="00DD2A86">
        <w:rPr>
          <w:rFonts w:eastAsia="Calibri"/>
          <w:lang w:val="de-DE"/>
        </w:rPr>
        <w:tab/>
        <w:t>Erhalten folgenden Wortlaut:</w:t>
      </w:r>
    </w:p>
    <w:p w:rsidR="00167059" w:rsidRPr="00DD2A86" w:rsidRDefault="00167059" w:rsidP="00167059">
      <w:pPr>
        <w:suppressAutoHyphens w:val="0"/>
        <w:autoSpaceDE w:val="0"/>
        <w:autoSpaceDN w:val="0"/>
        <w:adjustRightInd w:val="0"/>
        <w:spacing w:line="240" w:lineRule="auto"/>
        <w:ind w:left="2552" w:right="1134" w:hanging="284"/>
        <w:jc w:val="both"/>
        <w:rPr>
          <w:rFonts w:eastAsia="Calibri"/>
          <w:lang w:val="de-DE" w:eastAsia="de-DE"/>
        </w:rPr>
      </w:pPr>
      <w:r w:rsidRPr="00DD2A86">
        <w:rPr>
          <w:rFonts w:eastAsia="Calibri"/>
          <w:lang w:val="de-DE" w:eastAsia="de-DE"/>
        </w:rPr>
        <w:t>„a)</w:t>
      </w:r>
      <w:r w:rsidRPr="00DD2A86">
        <w:rPr>
          <w:rFonts w:eastAsia="Calibri"/>
          <w:lang w:val="de-DE" w:eastAsia="de-DE"/>
        </w:rPr>
        <w:tab/>
        <w:t>Ein im Bereich der Ladung unter Deck angeordneter Betriebsraum muss mit einer technischen Lüftung versehen sein. Die Kapazität der Ventilatoren muss so ausgelegt sein, dass das Volumen des Betriebsraums mindestens zwanzig Mal je Stunde vollständig erneuert werden kann.</w:t>
      </w:r>
    </w:p>
    <w:p w:rsidR="00167059" w:rsidRPr="00DD2A86" w:rsidRDefault="00167059" w:rsidP="00167059">
      <w:pPr>
        <w:suppressAutoHyphens w:val="0"/>
        <w:autoSpaceDE w:val="0"/>
        <w:autoSpaceDN w:val="0"/>
        <w:adjustRightInd w:val="0"/>
        <w:spacing w:line="240" w:lineRule="auto"/>
        <w:ind w:left="2552" w:right="1134"/>
        <w:jc w:val="both"/>
        <w:rPr>
          <w:rFonts w:eastAsia="Calibri"/>
          <w:i/>
          <w:lang w:val="de-DE"/>
        </w:rPr>
      </w:pPr>
      <w:r w:rsidRPr="00DD2A86">
        <w:rPr>
          <w:rFonts w:eastAsia="Calibri"/>
          <w:lang w:val="de-DE" w:eastAsia="de-DE"/>
        </w:rPr>
        <w:t>Die Absaugschächte müssen bis zu einem Abstand von 50 mm an den Betriebsraumboden herangeführt sein. Die Zuluft muss durch einen Schacht von oben in den Betriebsraum eingeführt werden.</w:t>
      </w:r>
    </w:p>
    <w:p w:rsidR="00C860AD" w:rsidRDefault="00C860AD">
      <w:pPr>
        <w:suppressAutoHyphens w:val="0"/>
        <w:spacing w:line="240" w:lineRule="auto"/>
        <w:rPr>
          <w:rFonts w:eastAsia="Calibri"/>
          <w:lang w:val="de-DE"/>
        </w:rPr>
      </w:pPr>
      <w:r>
        <w:rPr>
          <w:rFonts w:eastAsia="Calibri"/>
          <w:lang w:val="de-DE"/>
        </w:rPr>
        <w:br w:type="page"/>
      </w:r>
    </w:p>
    <w:p w:rsidR="00167059" w:rsidRPr="00DD2A86" w:rsidRDefault="00167059" w:rsidP="00167059">
      <w:pPr>
        <w:suppressAutoHyphens w:val="0"/>
        <w:autoSpaceDE w:val="0"/>
        <w:autoSpaceDN w:val="0"/>
        <w:adjustRightInd w:val="0"/>
        <w:spacing w:before="120" w:line="240" w:lineRule="auto"/>
        <w:ind w:left="2552" w:right="1134" w:hanging="284"/>
        <w:jc w:val="both"/>
        <w:rPr>
          <w:rFonts w:eastAsia="Calibri"/>
          <w:lang w:val="de-DE" w:eastAsia="de-DE"/>
        </w:rPr>
      </w:pPr>
      <w:r w:rsidRPr="00DD2A86">
        <w:rPr>
          <w:rFonts w:eastAsia="Calibri"/>
          <w:lang w:val="de-DE"/>
        </w:rPr>
        <w:t>b)</w:t>
      </w:r>
      <w:r w:rsidRPr="00DD2A86">
        <w:rPr>
          <w:rFonts w:eastAsia="Calibri"/>
          <w:lang w:val="de-DE"/>
        </w:rPr>
        <w:tab/>
        <w:t xml:space="preserve">Wenn die Schiffsstoffliste nach Absatz 1.16.1.2.5 Stoffe enthalten soll, für die nach Unterabschnitt 3.2.3.2 Tabelle C Spalte (17) </w:t>
      </w:r>
      <w:r w:rsidRPr="00DD2A86">
        <w:rPr>
          <w:rFonts w:eastAsia="Calibri"/>
          <w:lang w:val="de-DE" w:eastAsia="de-DE"/>
        </w:rPr>
        <w:t>Explosionsschutz gefordert ist, müssen die Zuluftöffnungen mindestens 2,00 m über Deck, 2,00 m von Ladetanköffnungen und 6,00 m von Austrittsöffnungen der Sicherheitsventile entfernt angebracht sein.</w:t>
      </w:r>
    </w:p>
    <w:p w:rsidR="00BD68C1" w:rsidRPr="00DD2A86" w:rsidRDefault="00BD68C1" w:rsidP="00BD68C1">
      <w:pPr>
        <w:tabs>
          <w:tab w:val="left" w:pos="2977"/>
        </w:tabs>
        <w:suppressAutoHyphens w:val="0"/>
        <w:autoSpaceDE w:val="0"/>
        <w:autoSpaceDN w:val="0"/>
        <w:adjustRightInd w:val="0"/>
        <w:spacing w:line="240" w:lineRule="auto"/>
        <w:ind w:left="2552" w:right="1134"/>
        <w:jc w:val="both"/>
        <w:rPr>
          <w:rFonts w:eastAsia="Calibri"/>
          <w:lang w:val="de-DE" w:eastAsia="de-DE"/>
        </w:rPr>
      </w:pPr>
    </w:p>
    <w:p w:rsidR="00167059" w:rsidRPr="00DD2A86" w:rsidRDefault="00167059" w:rsidP="00BD68C1">
      <w:pPr>
        <w:tabs>
          <w:tab w:val="left" w:pos="2977"/>
        </w:tabs>
        <w:suppressAutoHyphens w:val="0"/>
        <w:autoSpaceDE w:val="0"/>
        <w:autoSpaceDN w:val="0"/>
        <w:adjustRightInd w:val="0"/>
        <w:spacing w:line="240" w:lineRule="auto"/>
        <w:ind w:left="2552" w:right="1134"/>
        <w:jc w:val="both"/>
        <w:rPr>
          <w:rFonts w:eastAsia="Calibri"/>
          <w:lang w:val="de-DE" w:eastAsia="de-DE"/>
        </w:rPr>
      </w:pPr>
      <w:r w:rsidRPr="00DD2A86">
        <w:rPr>
          <w:rFonts w:eastAsia="Calibri"/>
          <w:lang w:val="de-DE" w:eastAsia="de-DE"/>
        </w:rPr>
        <w:t>Die hierzu gegebenenfalls notwendigen Verlängerungsrohre dürfen klapp</w:t>
      </w:r>
      <w:r w:rsidRPr="00DD2A86">
        <w:rPr>
          <w:rFonts w:eastAsia="Calibri"/>
          <w:lang w:val="de-DE" w:eastAsia="de-DE"/>
        </w:rPr>
        <w:softHyphen/>
        <w:t>bar ausgeführt sein.“.</w:t>
      </w:r>
    </w:p>
    <w:p w:rsidR="00167059" w:rsidRPr="00DD2A86" w:rsidRDefault="00167059" w:rsidP="00167059">
      <w:pPr>
        <w:tabs>
          <w:tab w:val="left" w:pos="2268"/>
        </w:tabs>
        <w:suppressAutoHyphens w:val="0"/>
        <w:autoSpaceDE w:val="0"/>
        <w:autoSpaceDN w:val="0"/>
        <w:adjustRightInd w:val="0"/>
        <w:spacing w:before="240" w:after="120" w:line="240" w:lineRule="auto"/>
        <w:ind w:left="1134" w:right="1134"/>
        <w:jc w:val="both"/>
        <w:rPr>
          <w:rFonts w:eastAsia="Calibri"/>
          <w:lang w:val="de-DE"/>
        </w:rPr>
      </w:pPr>
      <w:r w:rsidRPr="00DD2A86">
        <w:rPr>
          <w:rFonts w:eastAsia="Calibri"/>
          <w:lang w:val="de-DE"/>
        </w:rPr>
        <w:t>9.3.x.12.4</w:t>
      </w:r>
      <w:r w:rsidRPr="00DD2A86">
        <w:rPr>
          <w:rFonts w:eastAsia="Calibri"/>
          <w:lang w:val="de-DE"/>
        </w:rPr>
        <w:tab/>
        <w:t>Erhält folgenden Wortlaut:</w:t>
      </w:r>
    </w:p>
    <w:p w:rsidR="00167059" w:rsidRPr="00DD2A86" w:rsidRDefault="00167059" w:rsidP="00167059">
      <w:pPr>
        <w:suppressAutoHyphens w:val="0"/>
        <w:autoSpaceDE w:val="0"/>
        <w:autoSpaceDN w:val="0"/>
        <w:adjustRightInd w:val="0"/>
        <w:spacing w:before="60"/>
        <w:ind w:left="2552" w:right="1134" w:hanging="284"/>
        <w:jc w:val="both"/>
        <w:rPr>
          <w:rFonts w:eastAsia="Calibri"/>
          <w:lang w:val="de-DE"/>
        </w:rPr>
      </w:pPr>
      <w:r w:rsidRPr="00DD2A86">
        <w:rPr>
          <w:rFonts w:eastAsia="Calibri"/>
          <w:lang w:val="de-DE"/>
        </w:rPr>
        <w:t>„a)</w:t>
      </w:r>
      <w:r w:rsidRPr="00DD2A86">
        <w:rPr>
          <w:rFonts w:eastAsia="Calibri"/>
          <w:lang w:val="de-DE"/>
        </w:rPr>
        <w:tab/>
        <w:t>Wohnungen, Steuerhaus und Betriebsräume müssen belüftet werden können.</w:t>
      </w:r>
    </w:p>
    <w:p w:rsidR="00167059" w:rsidRPr="00DD2A86" w:rsidRDefault="00167059" w:rsidP="00167059">
      <w:pPr>
        <w:suppressAutoHyphens w:val="0"/>
        <w:autoSpaceDE w:val="0"/>
        <w:autoSpaceDN w:val="0"/>
        <w:adjustRightInd w:val="0"/>
        <w:spacing w:before="60"/>
        <w:ind w:left="2552" w:right="1134" w:hanging="284"/>
        <w:jc w:val="both"/>
        <w:rPr>
          <w:rFonts w:eastAsia="Calibri"/>
          <w:lang w:val="de-DE"/>
        </w:rPr>
      </w:pPr>
      <w:r w:rsidRPr="00DD2A86">
        <w:rPr>
          <w:rFonts w:eastAsia="Calibri"/>
          <w:lang w:val="de-DE"/>
        </w:rPr>
        <w:t>b)</w:t>
      </w:r>
      <w:r w:rsidRPr="00DD2A86">
        <w:rPr>
          <w:rFonts w:eastAsia="Calibri"/>
          <w:lang w:val="de-DE"/>
        </w:rPr>
        <w:tab/>
        <w:t>Das Lüftungssystem in diesen Räumen muss nachfolgende Anforderungen erfüllen:</w:t>
      </w:r>
    </w:p>
    <w:p w:rsidR="00167059" w:rsidRPr="00DD2A86" w:rsidRDefault="00167059" w:rsidP="00167059">
      <w:pPr>
        <w:suppressAutoHyphens w:val="0"/>
        <w:autoSpaceDE w:val="0"/>
        <w:autoSpaceDN w:val="0"/>
        <w:adjustRightInd w:val="0"/>
        <w:spacing w:before="60"/>
        <w:ind w:left="2977" w:right="1134" w:hanging="425"/>
        <w:jc w:val="both"/>
        <w:rPr>
          <w:rFonts w:eastAsia="Calibri"/>
          <w:lang w:val="de-DE"/>
        </w:rPr>
      </w:pPr>
      <w:r w:rsidRPr="00DD2A86">
        <w:rPr>
          <w:rFonts w:eastAsia="Calibri"/>
          <w:lang w:val="de-DE"/>
        </w:rPr>
        <w:t>(i)</w:t>
      </w:r>
      <w:r w:rsidRPr="00DD2A86">
        <w:rPr>
          <w:rFonts w:eastAsia="Calibri"/>
          <w:lang w:val="de-DE"/>
        </w:rPr>
        <w:tab/>
        <w:t>Die Ansaugöffnungen sind so weit wie möglich, mindestens jedoch 6,00 m vom geschützten Bereich entfernt und mindestens 2,00 m über Deck angeordnet,</w:t>
      </w:r>
    </w:p>
    <w:p w:rsidR="00167059" w:rsidRPr="00DD2A86" w:rsidRDefault="00167059" w:rsidP="00167059">
      <w:pPr>
        <w:suppressAutoHyphens w:val="0"/>
        <w:autoSpaceDE w:val="0"/>
        <w:autoSpaceDN w:val="0"/>
        <w:adjustRightInd w:val="0"/>
        <w:spacing w:before="60"/>
        <w:ind w:left="2977" w:right="1134" w:hanging="425"/>
        <w:jc w:val="both"/>
        <w:rPr>
          <w:rFonts w:eastAsia="Calibri"/>
          <w:lang w:val="de-DE"/>
        </w:rPr>
      </w:pPr>
      <w:r w:rsidRPr="00DD2A86">
        <w:rPr>
          <w:rFonts w:eastAsia="Calibri"/>
          <w:lang w:val="de-DE"/>
        </w:rPr>
        <w:t>(ii)</w:t>
      </w:r>
      <w:r w:rsidRPr="00DD2A86">
        <w:rPr>
          <w:rFonts w:eastAsia="Calibri"/>
          <w:lang w:val="de-DE"/>
        </w:rPr>
        <w:tab/>
        <w:t>Ein Überdruck von mindestens 0,1 kPa (0,001 bar) kann in den Räumen gewährleistet werden,</w:t>
      </w:r>
    </w:p>
    <w:p w:rsidR="00167059" w:rsidRPr="00DD2A86" w:rsidRDefault="00167059" w:rsidP="00167059">
      <w:pPr>
        <w:suppressAutoHyphens w:val="0"/>
        <w:autoSpaceDE w:val="0"/>
        <w:autoSpaceDN w:val="0"/>
        <w:adjustRightInd w:val="0"/>
        <w:spacing w:before="60"/>
        <w:ind w:left="2977" w:right="1134" w:hanging="425"/>
        <w:jc w:val="both"/>
        <w:rPr>
          <w:rFonts w:eastAsia="Calibri"/>
          <w:lang w:val="de-DE"/>
        </w:rPr>
      </w:pPr>
      <w:r w:rsidRPr="00DD2A86">
        <w:rPr>
          <w:rFonts w:eastAsia="Calibri"/>
          <w:lang w:val="de-DE"/>
        </w:rPr>
        <w:t>(iii)</w:t>
      </w:r>
      <w:r w:rsidRPr="00DD2A86">
        <w:rPr>
          <w:rFonts w:eastAsia="Calibri"/>
          <w:lang w:val="de-DE"/>
        </w:rPr>
        <w:tab/>
        <w:t>Eine Ausfallalarmierung ist integriert.</w:t>
      </w:r>
    </w:p>
    <w:p w:rsidR="00167059" w:rsidRPr="00DD2A86" w:rsidRDefault="00167059" w:rsidP="00167059">
      <w:pPr>
        <w:suppressAutoHyphens w:val="0"/>
        <w:autoSpaceDE w:val="0"/>
        <w:autoSpaceDN w:val="0"/>
        <w:adjustRightInd w:val="0"/>
        <w:spacing w:before="60"/>
        <w:ind w:left="2977" w:right="1134" w:hanging="425"/>
        <w:jc w:val="both"/>
        <w:rPr>
          <w:rFonts w:eastAsia="Calibri"/>
          <w:lang w:val="de-DE"/>
        </w:rPr>
      </w:pPr>
      <w:r w:rsidRPr="00DD2A86">
        <w:rPr>
          <w:rFonts w:eastAsia="Calibri"/>
          <w:lang w:val="de-DE"/>
        </w:rPr>
        <w:t>(iv)</w:t>
      </w:r>
      <w:r w:rsidRPr="00DD2A86">
        <w:rPr>
          <w:rFonts w:eastAsia="Calibri"/>
          <w:lang w:val="de-DE"/>
        </w:rPr>
        <w:tab/>
        <w:t>Das Lüftungssystem einschließlich der Ausfallalarmierung entspricht mindestens den Typ „begrenzte Explosionsgefahr“,</w:t>
      </w:r>
    </w:p>
    <w:p w:rsidR="00167059" w:rsidRPr="00DD2A86" w:rsidRDefault="00167059" w:rsidP="00167059">
      <w:pPr>
        <w:suppressAutoHyphens w:val="0"/>
        <w:autoSpaceDE w:val="0"/>
        <w:autoSpaceDN w:val="0"/>
        <w:adjustRightInd w:val="0"/>
        <w:spacing w:before="60"/>
        <w:ind w:left="2977" w:right="1134" w:hanging="425"/>
        <w:jc w:val="both"/>
        <w:rPr>
          <w:rFonts w:eastAsia="Calibri"/>
          <w:lang w:val="de-DE"/>
        </w:rPr>
      </w:pPr>
      <w:r w:rsidRPr="00DD2A86">
        <w:rPr>
          <w:rFonts w:eastAsia="Calibri"/>
          <w:lang w:val="de-DE"/>
        </w:rPr>
        <w:t>(v)</w:t>
      </w:r>
      <w:r w:rsidRPr="00DD2A86">
        <w:rPr>
          <w:rFonts w:eastAsia="Calibri"/>
          <w:lang w:val="de-DE"/>
        </w:rPr>
        <w:tab/>
        <w:t>Eine Gasspüranlage, welche folgende Bedingungen 1. bis 4. erfüllt</w:t>
      </w:r>
      <w:r w:rsidRPr="00DD2A86" w:rsidDel="00655531">
        <w:rPr>
          <w:rFonts w:eastAsia="Calibri"/>
          <w:lang w:val="de-DE"/>
        </w:rPr>
        <w:t xml:space="preserve"> </w:t>
      </w:r>
      <w:r w:rsidRPr="00DD2A86">
        <w:rPr>
          <w:rFonts w:eastAsia="Calibri"/>
          <w:lang w:val="de-DE"/>
        </w:rPr>
        <w:t>ist mit dem Lüftungssystem verbunden:</w:t>
      </w:r>
    </w:p>
    <w:p w:rsidR="00167059" w:rsidRPr="00DD2A86" w:rsidRDefault="00167059" w:rsidP="00167059">
      <w:pPr>
        <w:suppressAutoHyphens w:val="0"/>
        <w:autoSpaceDE w:val="0"/>
        <w:autoSpaceDN w:val="0"/>
        <w:adjustRightInd w:val="0"/>
        <w:spacing w:before="60"/>
        <w:ind w:left="3402" w:right="1134" w:hanging="425"/>
        <w:jc w:val="both"/>
        <w:rPr>
          <w:rFonts w:eastAsia="Calibri"/>
          <w:lang w:val="de-DE"/>
        </w:rPr>
      </w:pPr>
      <w:r w:rsidRPr="00DD2A86">
        <w:rPr>
          <w:rFonts w:eastAsia="Calibri"/>
          <w:lang w:val="de-DE"/>
        </w:rPr>
        <w:t>1.</w:t>
      </w:r>
      <w:r w:rsidRPr="00DD2A86">
        <w:rPr>
          <w:rFonts w:eastAsia="Calibri"/>
          <w:lang w:val="de-DE"/>
        </w:rPr>
        <w:tab/>
        <w:t>sie ist mindestens für den Betrieb in Zone 1 Explosionsgruppe II C, Temperaturklasse T6 geeignet</w:t>
      </w:r>
    </w:p>
    <w:p w:rsidR="00167059" w:rsidRPr="00DD2A86" w:rsidRDefault="00167059" w:rsidP="00167059">
      <w:pPr>
        <w:suppressAutoHyphens w:val="0"/>
        <w:autoSpaceDE w:val="0"/>
        <w:autoSpaceDN w:val="0"/>
        <w:adjustRightInd w:val="0"/>
        <w:spacing w:before="60"/>
        <w:ind w:left="2977" w:right="1134"/>
        <w:jc w:val="both"/>
        <w:rPr>
          <w:rFonts w:eastAsia="Calibri"/>
          <w:lang w:val="de-DE"/>
        </w:rPr>
      </w:pPr>
      <w:r w:rsidRPr="00DD2A86">
        <w:rPr>
          <w:rFonts w:eastAsia="Calibri"/>
          <w:lang w:val="de-DE"/>
        </w:rPr>
        <w:t>2.</w:t>
      </w:r>
      <w:r w:rsidRPr="00DD2A86">
        <w:rPr>
          <w:rFonts w:eastAsia="Calibri"/>
          <w:lang w:val="de-DE"/>
        </w:rPr>
        <w:tab/>
        <w:t>sie hat Messstellen</w:t>
      </w:r>
    </w:p>
    <w:p w:rsidR="00167059" w:rsidRPr="00DD2A86" w:rsidRDefault="00167059" w:rsidP="006E508C">
      <w:pPr>
        <w:suppressAutoHyphens w:val="0"/>
        <w:autoSpaceDE w:val="0"/>
        <w:autoSpaceDN w:val="0"/>
        <w:adjustRightInd w:val="0"/>
        <w:spacing w:before="60"/>
        <w:ind w:left="3686" w:right="1134" w:hanging="284"/>
        <w:jc w:val="both"/>
        <w:rPr>
          <w:rFonts w:eastAsia="Calibri"/>
          <w:lang w:val="de-DE"/>
        </w:rPr>
      </w:pPr>
      <w:r w:rsidRPr="00DD2A86">
        <w:rPr>
          <w:rFonts w:eastAsia="Calibri"/>
          <w:lang w:val="de-DE"/>
        </w:rPr>
        <w:t>-</w:t>
      </w:r>
      <w:r w:rsidRPr="00DD2A86">
        <w:rPr>
          <w:rFonts w:eastAsia="Calibri"/>
          <w:lang w:val="de-DE"/>
        </w:rPr>
        <w:tab/>
        <w:t>in den Ansaugöffnungen der Lüftungssysteme und</w:t>
      </w:r>
    </w:p>
    <w:p w:rsidR="00167059" w:rsidRPr="00DD2A86" w:rsidRDefault="00167059" w:rsidP="006E508C">
      <w:pPr>
        <w:suppressAutoHyphens w:val="0"/>
        <w:autoSpaceDE w:val="0"/>
        <w:autoSpaceDN w:val="0"/>
        <w:adjustRightInd w:val="0"/>
        <w:spacing w:before="60"/>
        <w:ind w:left="3686" w:right="1134" w:hanging="284"/>
        <w:jc w:val="both"/>
        <w:rPr>
          <w:rFonts w:eastAsia="Calibri"/>
          <w:lang w:val="de-DE"/>
        </w:rPr>
      </w:pPr>
      <w:r w:rsidRPr="00DD2A86">
        <w:rPr>
          <w:rFonts w:eastAsia="Calibri"/>
          <w:lang w:val="de-DE"/>
        </w:rPr>
        <w:t>-</w:t>
      </w:r>
      <w:r w:rsidRPr="00DD2A86">
        <w:rPr>
          <w:rFonts w:eastAsia="Calibri"/>
          <w:lang w:val="de-DE"/>
        </w:rPr>
        <w:tab/>
        <w:t>direkt unterhalb der Oberkante des Türsülls der Eingänge.</w:t>
      </w:r>
    </w:p>
    <w:p w:rsidR="00167059" w:rsidRPr="00DD2A86" w:rsidRDefault="00167059" w:rsidP="00167059">
      <w:pPr>
        <w:tabs>
          <w:tab w:val="left" w:pos="904"/>
        </w:tabs>
        <w:suppressAutoHyphens w:val="0"/>
        <w:autoSpaceDE w:val="0"/>
        <w:autoSpaceDN w:val="0"/>
        <w:adjustRightInd w:val="0"/>
        <w:spacing w:before="60"/>
        <w:ind w:left="2977" w:right="1134"/>
        <w:jc w:val="both"/>
        <w:rPr>
          <w:rFonts w:eastAsia="Calibri"/>
          <w:lang w:val="de-DE"/>
        </w:rPr>
      </w:pPr>
      <w:r w:rsidRPr="00DD2A86">
        <w:rPr>
          <w:rFonts w:eastAsia="Calibri"/>
          <w:lang w:val="de-DE"/>
        </w:rPr>
        <w:t>3.</w:t>
      </w:r>
      <w:r w:rsidRPr="00DD2A86">
        <w:rPr>
          <w:rFonts w:eastAsia="Calibri"/>
          <w:lang w:val="de-DE"/>
        </w:rPr>
        <w:tab/>
        <w:t xml:space="preserve">ihre </w:t>
      </w:r>
      <w:r w:rsidRPr="00DD2A86">
        <w:rPr>
          <w:rFonts w:eastAsia="Calibri"/>
          <w:bCs/>
          <w:lang w:val="de-DE"/>
        </w:rPr>
        <w:t>T90-Zeit ist kleiner oder gleich 4 s</w:t>
      </w:r>
      <w:r w:rsidRPr="00DD2A86">
        <w:rPr>
          <w:rFonts w:eastAsia="Calibri"/>
          <w:lang w:val="de-DE"/>
        </w:rPr>
        <w:t>,</w:t>
      </w:r>
    </w:p>
    <w:p w:rsidR="00167059" w:rsidRPr="00DD2A86" w:rsidRDefault="00167059" w:rsidP="00167059">
      <w:pPr>
        <w:tabs>
          <w:tab w:val="left" w:pos="904"/>
        </w:tabs>
        <w:suppressAutoHyphens w:val="0"/>
        <w:autoSpaceDE w:val="0"/>
        <w:autoSpaceDN w:val="0"/>
        <w:adjustRightInd w:val="0"/>
        <w:spacing w:before="60"/>
        <w:ind w:left="2977" w:right="1134"/>
        <w:jc w:val="both"/>
        <w:rPr>
          <w:rFonts w:eastAsia="Calibri"/>
          <w:lang w:val="de-DE"/>
        </w:rPr>
      </w:pPr>
      <w:r w:rsidRPr="00DD2A86">
        <w:rPr>
          <w:rFonts w:eastAsia="Calibri"/>
          <w:bCs/>
          <w:lang w:val="de-DE"/>
        </w:rPr>
        <w:t>4.</w:t>
      </w:r>
      <w:r w:rsidRPr="00DD2A86">
        <w:rPr>
          <w:rFonts w:eastAsia="Calibri"/>
          <w:bCs/>
          <w:lang w:val="de-DE"/>
        </w:rPr>
        <w:tab/>
        <w:t>d</w:t>
      </w:r>
      <w:r w:rsidRPr="00DD2A86">
        <w:rPr>
          <w:rFonts w:eastAsia="Calibri"/>
          <w:lang w:val="de-DE"/>
        </w:rPr>
        <w:t>ie Messungen erfolgen stetig.</w:t>
      </w:r>
    </w:p>
    <w:p w:rsidR="00167059" w:rsidRPr="00DD2A86" w:rsidRDefault="00167059" w:rsidP="00167059">
      <w:pPr>
        <w:suppressAutoHyphens w:val="0"/>
        <w:autoSpaceDE w:val="0"/>
        <w:autoSpaceDN w:val="0"/>
        <w:adjustRightInd w:val="0"/>
        <w:spacing w:before="60"/>
        <w:ind w:left="2977" w:right="1134" w:hanging="425"/>
        <w:jc w:val="both"/>
        <w:rPr>
          <w:rFonts w:eastAsia="Calibri"/>
          <w:lang w:val="de-DE"/>
        </w:rPr>
      </w:pPr>
      <w:r w:rsidRPr="00DD2A86">
        <w:rPr>
          <w:rFonts w:eastAsia="Calibri"/>
          <w:lang w:val="de-DE"/>
        </w:rPr>
        <w:t>(vi)</w:t>
      </w:r>
      <w:r w:rsidRPr="00DD2A86">
        <w:rPr>
          <w:rFonts w:eastAsia="Calibri"/>
          <w:lang w:val="de-DE"/>
        </w:rPr>
        <w:tab/>
        <w:t>In den Betriebsräumen ist das Lüftungssystem mit einer Notbeleuchtung, die mindestens vom Typ „begrenzte Explosionsgefahr“ ist, verbunden.</w:t>
      </w:r>
    </w:p>
    <w:p w:rsidR="00167059" w:rsidRPr="00DD2A86" w:rsidRDefault="00167059" w:rsidP="00167059">
      <w:pPr>
        <w:suppressAutoHyphens w:val="0"/>
        <w:autoSpaceDE w:val="0"/>
        <w:autoSpaceDN w:val="0"/>
        <w:adjustRightInd w:val="0"/>
        <w:spacing w:before="60"/>
        <w:ind w:left="2977" w:right="1134"/>
        <w:jc w:val="both"/>
        <w:rPr>
          <w:rFonts w:eastAsia="Calibri"/>
          <w:lang w:val="de-DE"/>
        </w:rPr>
      </w:pPr>
      <w:r w:rsidRPr="00DD2A86">
        <w:rPr>
          <w:rFonts w:eastAsia="Calibri"/>
          <w:lang w:val="de-DE"/>
        </w:rPr>
        <w:t>Diese Notbeleuchtung ist nicht erforderlich, wenn die Beleuchtungsanlagen in den Betriebsräumen vom Typ „begrenzte Explosionsgefahr“ sind.</w:t>
      </w:r>
    </w:p>
    <w:p w:rsidR="00167059" w:rsidRPr="00DD2A86" w:rsidRDefault="00167059" w:rsidP="00167059">
      <w:pPr>
        <w:suppressAutoHyphens w:val="0"/>
        <w:autoSpaceDE w:val="0"/>
        <w:autoSpaceDN w:val="0"/>
        <w:adjustRightInd w:val="0"/>
        <w:spacing w:before="60"/>
        <w:ind w:left="2977" w:right="1134" w:hanging="425"/>
        <w:jc w:val="both"/>
        <w:rPr>
          <w:rFonts w:eastAsia="Calibri"/>
          <w:lang w:val="de-DE"/>
        </w:rPr>
      </w:pPr>
      <w:r w:rsidRPr="00DD2A86">
        <w:rPr>
          <w:rFonts w:eastAsia="Calibri"/>
          <w:lang w:val="de-DE"/>
        </w:rPr>
        <w:t>(vii)</w:t>
      </w:r>
      <w:r w:rsidRPr="00DD2A86">
        <w:rPr>
          <w:rFonts w:eastAsia="Calibri"/>
          <w:lang w:val="de-DE"/>
        </w:rPr>
        <w:tab/>
        <w:t>Die Ansaugung des Lüftungssystems und die Anlagen und Geräte, die den unter 9.3.x.51 Buchstaben a) und b) und 9.3.x.52.1 genannten Bedingungen nicht entsprechen, werden abgeschaltet sobald eine Konzentration von 20 % der UEG von n-Hexan erreicht wird.</w:t>
      </w:r>
    </w:p>
    <w:p w:rsidR="00167059" w:rsidRPr="00DD2A86" w:rsidRDefault="00167059" w:rsidP="00167059">
      <w:pPr>
        <w:suppressAutoHyphens w:val="0"/>
        <w:autoSpaceDE w:val="0"/>
        <w:autoSpaceDN w:val="0"/>
        <w:adjustRightInd w:val="0"/>
        <w:spacing w:before="60"/>
        <w:ind w:left="2977" w:right="1134"/>
        <w:jc w:val="both"/>
        <w:rPr>
          <w:rFonts w:eastAsia="Calibri"/>
          <w:lang w:val="de-DE"/>
        </w:rPr>
      </w:pPr>
      <w:r w:rsidRPr="00DD2A86">
        <w:rPr>
          <w:rFonts w:eastAsia="Calibri"/>
          <w:lang w:val="de-DE"/>
        </w:rPr>
        <w:t>Das Abschalten wird in den Wohnungen und im Steuerhaus optisch und akustisch gemeldet.</w:t>
      </w:r>
    </w:p>
    <w:p w:rsidR="00167059" w:rsidRPr="00DD2A86" w:rsidRDefault="00167059" w:rsidP="00167059">
      <w:pPr>
        <w:suppressAutoHyphens w:val="0"/>
        <w:autoSpaceDE w:val="0"/>
        <w:autoSpaceDN w:val="0"/>
        <w:adjustRightInd w:val="0"/>
        <w:spacing w:before="60"/>
        <w:ind w:left="2977" w:right="1134" w:hanging="425"/>
        <w:jc w:val="both"/>
        <w:rPr>
          <w:rFonts w:eastAsia="Calibri"/>
          <w:lang w:val="de-DE"/>
        </w:rPr>
      </w:pPr>
      <w:r w:rsidRPr="00DD2A86">
        <w:rPr>
          <w:rFonts w:eastAsia="Calibri"/>
          <w:lang w:val="de-DE"/>
        </w:rPr>
        <w:t>(viii)</w:t>
      </w:r>
      <w:r w:rsidRPr="00DD2A86">
        <w:rPr>
          <w:rFonts w:eastAsia="Calibri"/>
          <w:lang w:val="de-DE"/>
        </w:rPr>
        <w:tab/>
        <w:t>Bei einem Ausfall des Lüftungssystems oder der Gasspüranlagen in den Wohnungen werden die Anlagen und Geräte in den Wohnungen, die den unter 9.3.x.51 Buchstaben a) und b) und 9.3.x.52.1 genannten Bedingungen nicht entsprechen abgeschaltet.</w:t>
      </w:r>
    </w:p>
    <w:p w:rsidR="00EB6056" w:rsidRPr="00DD2A86" w:rsidRDefault="00167059" w:rsidP="00C860AD">
      <w:pPr>
        <w:suppressAutoHyphens w:val="0"/>
        <w:autoSpaceDE w:val="0"/>
        <w:autoSpaceDN w:val="0"/>
        <w:adjustRightInd w:val="0"/>
        <w:spacing w:before="60"/>
        <w:ind w:left="2977" w:right="1134"/>
        <w:jc w:val="both"/>
        <w:rPr>
          <w:rFonts w:eastAsia="Calibri"/>
          <w:lang w:val="de-DE"/>
        </w:rPr>
      </w:pPr>
      <w:r w:rsidRPr="00DD2A86">
        <w:rPr>
          <w:rFonts w:eastAsia="Calibri"/>
          <w:lang w:val="de-DE"/>
        </w:rPr>
        <w:t>Der Ausfall wird optisch und akustisch in den Wohnungen, im Steuerhaus, und an Deck gemeldet.</w:t>
      </w:r>
      <w:r w:rsidR="00EB6056" w:rsidRPr="00DD2A86">
        <w:rPr>
          <w:rFonts w:eastAsia="Calibri"/>
          <w:lang w:val="de-DE"/>
        </w:rPr>
        <w:br w:type="page"/>
      </w:r>
    </w:p>
    <w:p w:rsidR="00167059" w:rsidRPr="00DD2A86" w:rsidRDefault="00167059" w:rsidP="00167059">
      <w:pPr>
        <w:suppressAutoHyphens w:val="0"/>
        <w:autoSpaceDE w:val="0"/>
        <w:autoSpaceDN w:val="0"/>
        <w:adjustRightInd w:val="0"/>
        <w:spacing w:before="60"/>
        <w:ind w:left="2977" w:right="1134" w:hanging="425"/>
        <w:jc w:val="both"/>
        <w:rPr>
          <w:rFonts w:eastAsia="Calibri"/>
          <w:lang w:val="de-DE"/>
        </w:rPr>
      </w:pPr>
      <w:r w:rsidRPr="00DD2A86">
        <w:rPr>
          <w:rFonts w:eastAsia="Calibri"/>
          <w:lang w:val="de-DE"/>
        </w:rPr>
        <w:t>(ix)</w:t>
      </w:r>
      <w:r w:rsidRPr="00DD2A86">
        <w:rPr>
          <w:rFonts w:eastAsia="Calibri"/>
          <w:lang w:val="de-DE"/>
        </w:rPr>
        <w:tab/>
        <w:t>Bei einem Ausfall des Lüftungssystems oder der Gasspüranlagen des Steuerhauses oder der Betriebsräume werden die Anlagen und Geräte in diesen Räumen, die den unter 9.3.x.51 Buchstaben a) und b) und 9.3.x.52.1 genannten Bedingungen nicht entsprechen, abgeschaltet.</w:t>
      </w:r>
    </w:p>
    <w:p w:rsidR="00167059" w:rsidRPr="00DD2A86" w:rsidRDefault="00167059" w:rsidP="00167059">
      <w:pPr>
        <w:suppressAutoHyphens w:val="0"/>
        <w:autoSpaceDE w:val="0"/>
        <w:autoSpaceDN w:val="0"/>
        <w:adjustRightInd w:val="0"/>
        <w:spacing w:before="60"/>
        <w:ind w:left="2977" w:right="1134"/>
        <w:jc w:val="both"/>
        <w:rPr>
          <w:rFonts w:eastAsia="Calibri"/>
          <w:lang w:val="de-DE"/>
        </w:rPr>
      </w:pPr>
      <w:r w:rsidRPr="00DD2A86">
        <w:rPr>
          <w:rFonts w:eastAsia="Calibri"/>
          <w:lang w:val="de-DE"/>
        </w:rPr>
        <w:t>Der Ausfall wird optisch und akustisch im Steuerhaus und an Deck gemeldet werden. Bei Nichtquittieren muss die Alarmierung automatisch in den Wohnungen erfolgen.</w:t>
      </w:r>
    </w:p>
    <w:p w:rsidR="00167059" w:rsidRPr="00DD2A86" w:rsidRDefault="00167059" w:rsidP="00167059">
      <w:pPr>
        <w:suppressAutoHyphens w:val="0"/>
        <w:autoSpaceDE w:val="0"/>
        <w:autoSpaceDN w:val="0"/>
        <w:adjustRightInd w:val="0"/>
        <w:spacing w:before="60"/>
        <w:ind w:left="2977" w:right="1134" w:hanging="425"/>
        <w:jc w:val="both"/>
        <w:rPr>
          <w:rFonts w:eastAsia="Calibri"/>
          <w:lang w:val="de-DE"/>
        </w:rPr>
      </w:pPr>
      <w:r w:rsidRPr="00DD2A86">
        <w:rPr>
          <w:rFonts w:eastAsia="Calibri"/>
          <w:lang w:val="de-DE"/>
        </w:rPr>
        <w:t>(x)</w:t>
      </w:r>
      <w:r w:rsidRPr="00DD2A86">
        <w:rPr>
          <w:rFonts w:eastAsia="Calibri"/>
          <w:lang w:val="de-DE"/>
        </w:rPr>
        <w:tab/>
        <w:t>Jede Abschaltung erfolgt sofort und automatisch und setzt gegebenenfalls die Notbeleuchtung in Betrieb.</w:t>
      </w:r>
    </w:p>
    <w:p w:rsidR="00167059" w:rsidRPr="00DD2A86" w:rsidRDefault="00167059" w:rsidP="00167059">
      <w:pPr>
        <w:suppressAutoHyphens w:val="0"/>
        <w:autoSpaceDE w:val="0"/>
        <w:autoSpaceDN w:val="0"/>
        <w:adjustRightInd w:val="0"/>
        <w:spacing w:before="60"/>
        <w:ind w:left="2977" w:right="1134"/>
        <w:jc w:val="both"/>
        <w:rPr>
          <w:rFonts w:eastAsia="Calibri"/>
          <w:lang w:val="de-DE"/>
        </w:rPr>
      </w:pPr>
      <w:r w:rsidRPr="00DD2A86">
        <w:rPr>
          <w:rFonts w:eastAsia="Calibri"/>
          <w:lang w:val="de-DE"/>
        </w:rPr>
        <w:t>Die automatische Abschaltung ist so eingestellt, dass sie nicht während der Fahrt erfolgen kann.</w:t>
      </w:r>
    </w:p>
    <w:p w:rsidR="00167059" w:rsidRPr="00DD2A86" w:rsidRDefault="00167059" w:rsidP="00167059">
      <w:pPr>
        <w:suppressAutoHyphens w:val="0"/>
        <w:autoSpaceDE w:val="0"/>
        <w:autoSpaceDN w:val="0"/>
        <w:adjustRightInd w:val="0"/>
        <w:spacing w:before="60"/>
        <w:ind w:left="2552" w:right="1134" w:hanging="284"/>
        <w:jc w:val="both"/>
        <w:rPr>
          <w:rFonts w:eastAsia="Calibri"/>
          <w:lang w:val="de-DE"/>
        </w:rPr>
      </w:pPr>
      <w:r w:rsidRPr="00DD2A86">
        <w:rPr>
          <w:rFonts w:eastAsia="Calibri"/>
          <w:lang w:val="de-DE"/>
        </w:rPr>
        <w:t>c)</w:t>
      </w:r>
      <w:r w:rsidRPr="00DD2A86">
        <w:rPr>
          <w:rFonts w:eastAsia="Calibri"/>
          <w:lang w:val="de-DE"/>
        </w:rPr>
        <w:tab/>
        <w:t>Ist ein Lüftungssystem nicht vorhanden oder erfüllt das Lüftungssystem des jeweiligen Raumes nicht alle in Buchstabe b) genannten Anforderungen, müssen in dem jeweiligen Raum die Anlagen und Geräte, bei deren Betrieb höhere Oberflächentemperaturen als unter 9.3.x.51 Buchstaben a) und b) angegeben, auftreten können oder die nicht die Anforderungen nach 9.3.x.52.1 erfüllen, abschaltbar ausgeführt sein.“.</w:t>
      </w:r>
    </w:p>
    <w:p w:rsidR="00167059" w:rsidRPr="00DD2A86" w:rsidRDefault="00167059" w:rsidP="00167059">
      <w:pPr>
        <w:pStyle w:val="ListParagraph"/>
        <w:tabs>
          <w:tab w:val="left" w:pos="4536"/>
        </w:tabs>
        <w:suppressAutoHyphens w:val="0"/>
        <w:autoSpaceDE w:val="0"/>
        <w:autoSpaceDN w:val="0"/>
        <w:adjustRightInd w:val="0"/>
        <w:spacing w:before="240"/>
        <w:ind w:left="1134"/>
        <w:contextualSpacing w:val="0"/>
        <w:jc w:val="both"/>
        <w:rPr>
          <w:rFonts w:eastAsia="Calibri"/>
          <w:lang w:val="de-DE"/>
        </w:rPr>
      </w:pPr>
      <w:r w:rsidRPr="00DD2A86">
        <w:rPr>
          <w:rFonts w:eastAsia="Calibri"/>
          <w:lang w:val="de-DE" w:eastAsia="de-DE"/>
        </w:rPr>
        <w:t>9.3.1.12.5, 9.3.2.12.5 und 9.3.3.12.5</w:t>
      </w:r>
      <w:r w:rsidRPr="00DD2A86">
        <w:rPr>
          <w:rFonts w:eastAsia="Calibri"/>
          <w:lang w:val="de-DE" w:eastAsia="de-DE"/>
        </w:rPr>
        <w:tab/>
        <w:t>Erhalten f</w:t>
      </w:r>
      <w:r w:rsidRPr="00DD2A86">
        <w:rPr>
          <w:rFonts w:eastAsia="Calibri"/>
          <w:lang w:val="de-DE"/>
        </w:rPr>
        <w:t>olgenden Wortlaut: „(gestrichen)“.</w:t>
      </w:r>
    </w:p>
    <w:p w:rsidR="009B7327" w:rsidRPr="00DD2A86" w:rsidRDefault="009B7327" w:rsidP="009B7327">
      <w:pPr>
        <w:pStyle w:val="ListParagraph"/>
        <w:tabs>
          <w:tab w:val="left" w:pos="2268"/>
          <w:tab w:val="left" w:pos="4536"/>
        </w:tabs>
        <w:suppressAutoHyphens w:val="0"/>
        <w:autoSpaceDE w:val="0"/>
        <w:autoSpaceDN w:val="0"/>
        <w:adjustRightInd w:val="0"/>
        <w:spacing w:before="240"/>
        <w:ind w:left="1134" w:right="1134"/>
        <w:contextualSpacing w:val="0"/>
        <w:jc w:val="both"/>
        <w:rPr>
          <w:rFonts w:eastAsia="Calibri"/>
          <w:lang w:val="de-DE"/>
        </w:rPr>
      </w:pPr>
      <w:r w:rsidRPr="00DD2A86">
        <w:rPr>
          <w:rFonts w:eastAsia="Calibri"/>
          <w:lang w:val="de-DE"/>
        </w:rPr>
        <w:t>9.3.x.12.6</w:t>
      </w:r>
      <w:r w:rsidRPr="00DD2A86">
        <w:rPr>
          <w:rFonts w:eastAsia="Calibri"/>
          <w:lang w:val="de-DE"/>
        </w:rPr>
        <w:tab/>
        <w:t>Erhält folgenden Wortlaut:</w:t>
      </w:r>
    </w:p>
    <w:p w:rsidR="009B7327" w:rsidRPr="00DD2A86" w:rsidRDefault="009B7327" w:rsidP="009B7327">
      <w:pPr>
        <w:suppressAutoHyphens w:val="0"/>
        <w:autoSpaceDE w:val="0"/>
        <w:autoSpaceDN w:val="0"/>
        <w:adjustRightInd w:val="0"/>
        <w:spacing w:before="120" w:line="240" w:lineRule="auto"/>
        <w:ind w:left="2268" w:right="1134"/>
        <w:jc w:val="both"/>
        <w:rPr>
          <w:rFonts w:eastAsia="Calibri"/>
          <w:lang w:val="de-DE" w:eastAsia="de-DE"/>
        </w:rPr>
      </w:pPr>
      <w:r w:rsidRPr="00DD2A86">
        <w:rPr>
          <w:rFonts w:eastAsia="Calibri"/>
          <w:lang w:val="de-DE"/>
        </w:rPr>
        <w:t>„</w:t>
      </w:r>
      <w:r w:rsidRPr="00DD2A86">
        <w:rPr>
          <w:rFonts w:eastAsia="Calibri"/>
          <w:lang w:val="de-DE" w:eastAsia="de-DE"/>
        </w:rPr>
        <w:t xml:space="preserve">An Lüftungsöffnungen müssen Hinweisschilder angebracht sein, welche die Bedingungen für das Schließen angeben. Alle Lüftungsöffnungen, die von Wohnungen, Steuerhaus und Betriebsräumen außerhalb des Bereichs der Ladung ins Freie führen, müssen mit fest installierten Vorrichtungen nach </w:t>
      </w:r>
      <w:r w:rsidRPr="00DD2A86">
        <w:rPr>
          <w:rFonts w:eastAsia="Calibri"/>
          <w:bCs/>
          <w:lang w:val="de-DE"/>
        </w:rPr>
        <w:t xml:space="preserve">9.3.x.40.2.2 c) </w:t>
      </w:r>
      <w:r w:rsidRPr="00DD2A86">
        <w:rPr>
          <w:rFonts w:eastAsia="Calibri"/>
          <w:lang w:val="de-DE" w:eastAsia="de-DE"/>
        </w:rPr>
        <w:t>versehen sein, die schnell zu schließen sind.</w:t>
      </w:r>
      <w:r w:rsidRPr="00DD2A86">
        <w:rPr>
          <w:rFonts w:eastAsia="Calibri"/>
          <w:lang w:val="de-DE"/>
        </w:rPr>
        <w:t xml:space="preserve"> Der Verschlusszustand muss eindeutig erkennbar sein.</w:t>
      </w:r>
    </w:p>
    <w:p w:rsidR="009B7327" w:rsidRPr="00DD2A86" w:rsidRDefault="009B7327" w:rsidP="00BD68C1">
      <w:pPr>
        <w:suppressAutoHyphens w:val="0"/>
        <w:autoSpaceDE w:val="0"/>
        <w:autoSpaceDN w:val="0"/>
        <w:adjustRightInd w:val="0"/>
        <w:spacing w:before="120" w:line="240" w:lineRule="auto"/>
        <w:ind w:left="2268" w:right="1134"/>
        <w:jc w:val="both"/>
        <w:rPr>
          <w:rFonts w:eastAsia="Calibri"/>
          <w:lang w:val="de-DE" w:eastAsia="de-DE"/>
        </w:rPr>
      </w:pPr>
      <w:r w:rsidRPr="00DD2A86">
        <w:rPr>
          <w:rFonts w:eastAsia="Calibri"/>
          <w:lang w:val="de-DE" w:eastAsia="de-DE"/>
        </w:rPr>
        <w:t>Solche Lüftungsöffnungen müssen mindestens 2,00 m vom Bereich der Ladung entfernt angeordnet sein.</w:t>
      </w:r>
    </w:p>
    <w:p w:rsidR="009B7327" w:rsidRPr="00DD2A86" w:rsidRDefault="009B7327" w:rsidP="00BD68C1">
      <w:pPr>
        <w:pStyle w:val="ListParagraph"/>
        <w:tabs>
          <w:tab w:val="left" w:pos="4536"/>
        </w:tabs>
        <w:suppressAutoHyphens w:val="0"/>
        <w:autoSpaceDE w:val="0"/>
        <w:autoSpaceDN w:val="0"/>
        <w:adjustRightInd w:val="0"/>
        <w:spacing w:before="120"/>
        <w:ind w:left="2268" w:right="1134"/>
        <w:contextualSpacing w:val="0"/>
        <w:jc w:val="both"/>
        <w:rPr>
          <w:rFonts w:eastAsia="Calibri"/>
          <w:lang w:val="de-DE" w:eastAsia="de-DE"/>
        </w:rPr>
      </w:pPr>
      <w:r w:rsidRPr="00DD2A86">
        <w:rPr>
          <w:rFonts w:eastAsia="Calibri"/>
          <w:lang w:val="de-DE" w:eastAsia="de-DE"/>
        </w:rPr>
        <w:t>Lüftungsöffnungen von im Bereich der Ladung gelegenen Betriebsräumen dürfen in diesem Bereich angeordnet sein.“.</w:t>
      </w:r>
    </w:p>
    <w:p w:rsidR="009B7327" w:rsidRPr="00DD2A86" w:rsidRDefault="009B7327" w:rsidP="009B7327">
      <w:pPr>
        <w:pStyle w:val="ListParagraph"/>
        <w:suppressAutoHyphens w:val="0"/>
        <w:autoSpaceDE w:val="0"/>
        <w:autoSpaceDN w:val="0"/>
        <w:adjustRightInd w:val="0"/>
        <w:spacing w:before="240"/>
        <w:ind w:left="1134" w:right="1134"/>
        <w:contextualSpacing w:val="0"/>
        <w:jc w:val="both"/>
        <w:rPr>
          <w:rFonts w:eastAsia="Calibri"/>
          <w:lang w:val="de-DE" w:eastAsia="en-US"/>
        </w:rPr>
      </w:pPr>
      <w:r w:rsidRPr="00DD2A86">
        <w:rPr>
          <w:rFonts w:eastAsia="Calibri"/>
          <w:lang w:val="de-DE" w:eastAsia="en-US"/>
        </w:rPr>
        <w:t>9.3.1.17.1, 9.3.2.17.1 und 9.3.3.17.1</w:t>
      </w:r>
      <w:r w:rsidRPr="00DD2A86">
        <w:rPr>
          <w:rFonts w:eastAsia="Calibri"/>
          <w:lang w:val="de-DE" w:eastAsia="en-US"/>
        </w:rPr>
        <w:tab/>
        <w:t>Der erste Satz erhält folgenden Wortlaut:</w:t>
      </w:r>
    </w:p>
    <w:p w:rsidR="009B7327" w:rsidRPr="00DD2A86" w:rsidRDefault="009B7327" w:rsidP="009B7327">
      <w:pPr>
        <w:pStyle w:val="ListParagraph"/>
        <w:suppressAutoHyphens w:val="0"/>
        <w:autoSpaceDE w:val="0"/>
        <w:autoSpaceDN w:val="0"/>
        <w:adjustRightInd w:val="0"/>
        <w:spacing w:before="120"/>
        <w:ind w:left="2268" w:right="1134"/>
        <w:contextualSpacing w:val="0"/>
        <w:jc w:val="both"/>
        <w:rPr>
          <w:rFonts w:eastAsia="Calibri"/>
          <w:lang w:val="de-DE" w:eastAsia="en-US"/>
        </w:rPr>
      </w:pPr>
      <w:r w:rsidRPr="00DD2A86">
        <w:rPr>
          <w:rFonts w:eastAsia="Calibri"/>
          <w:lang w:val="de-DE" w:eastAsia="en-US"/>
        </w:rPr>
        <w:t>„Wohnungen und Steuerhaus müssen außerhalb des Bereichs der Ladung (hinter der hinteren oder vor der vorderen Begrenzungsebene des Bereichs der Ladung) liegen.“.</w:t>
      </w:r>
    </w:p>
    <w:p w:rsidR="009B7327" w:rsidRPr="00DD2A86" w:rsidRDefault="009B7327" w:rsidP="009B7327">
      <w:pPr>
        <w:pStyle w:val="ListParagraph"/>
        <w:suppressAutoHyphens w:val="0"/>
        <w:autoSpaceDE w:val="0"/>
        <w:autoSpaceDN w:val="0"/>
        <w:adjustRightInd w:val="0"/>
        <w:spacing w:before="240"/>
        <w:ind w:left="1134" w:right="1134"/>
        <w:contextualSpacing w:val="0"/>
        <w:jc w:val="both"/>
        <w:rPr>
          <w:rFonts w:eastAsia="Calibri"/>
          <w:lang w:val="de-DE"/>
        </w:rPr>
      </w:pPr>
      <w:r w:rsidRPr="00DD2A86">
        <w:rPr>
          <w:rFonts w:eastAsia="Calibri"/>
          <w:lang w:val="de-DE" w:eastAsia="de-DE"/>
        </w:rPr>
        <w:t>9.3.1.17.6</w:t>
      </w:r>
      <w:r w:rsidRPr="00DD2A86">
        <w:rPr>
          <w:rFonts w:eastAsia="Calibri"/>
          <w:lang w:val="de-DE" w:eastAsia="de-DE"/>
        </w:rPr>
        <w:tab/>
        <w:t>Erhält f</w:t>
      </w:r>
      <w:r w:rsidRPr="00DD2A86">
        <w:rPr>
          <w:rFonts w:eastAsia="Calibri"/>
          <w:lang w:val="de-DE"/>
        </w:rPr>
        <w:t>olgenden Wortlaut:</w:t>
      </w:r>
    </w:p>
    <w:p w:rsidR="009B7327" w:rsidRPr="00DD2A86" w:rsidRDefault="009B7327" w:rsidP="009B7327">
      <w:pPr>
        <w:suppressAutoHyphens w:val="0"/>
        <w:autoSpaceDE w:val="0"/>
        <w:autoSpaceDN w:val="0"/>
        <w:adjustRightInd w:val="0"/>
        <w:spacing w:before="120" w:line="240" w:lineRule="auto"/>
        <w:ind w:left="2268" w:right="1134" w:firstLine="1"/>
        <w:jc w:val="both"/>
        <w:rPr>
          <w:rFonts w:eastAsia="Calibri"/>
          <w:lang w:val="de-DE"/>
        </w:rPr>
      </w:pPr>
      <w:r w:rsidRPr="00DD2A86">
        <w:rPr>
          <w:rFonts w:eastAsia="Calibri"/>
          <w:lang w:val="de-DE"/>
        </w:rPr>
        <w:t>„</w:t>
      </w:r>
      <w:r w:rsidR="0089789A" w:rsidRPr="00DD2A86">
        <w:rPr>
          <w:rFonts w:eastAsia="Calibri"/>
          <w:lang w:val="de-DE"/>
        </w:rPr>
        <w:t>9.3.1.17.6</w:t>
      </w:r>
      <w:r w:rsidR="0089789A" w:rsidRPr="00DD2A86">
        <w:rPr>
          <w:rFonts w:eastAsia="Calibri"/>
          <w:lang w:val="de-DE"/>
        </w:rPr>
        <w:tab/>
      </w:r>
      <w:r w:rsidRPr="00DD2A86">
        <w:rPr>
          <w:rFonts w:eastAsia="Calibri"/>
          <w:lang w:val="de-DE"/>
        </w:rPr>
        <w:t>Ein im Bereich der Ladung unter Deck angeordneter Betriebsraum ist als Pumpenraum für die Aufstellung einer Eigengaslöschanlage, wie z.B. Kompressoren oder Kompressor-/Wärmetauscher-Pumpenkombinationen nur zulässig, wenn:</w:t>
      </w:r>
    </w:p>
    <w:p w:rsidR="009B7327" w:rsidRPr="00DD2A86" w:rsidRDefault="009B7327" w:rsidP="009B7327">
      <w:pPr>
        <w:suppressAutoHyphens w:val="0"/>
        <w:autoSpaceDE w:val="0"/>
        <w:autoSpaceDN w:val="0"/>
        <w:adjustRightInd w:val="0"/>
        <w:spacing w:line="240" w:lineRule="auto"/>
        <w:ind w:left="2552" w:right="1134" w:hanging="284"/>
        <w:jc w:val="both"/>
        <w:rPr>
          <w:rFonts w:eastAsia="Calibri"/>
          <w:lang w:val="de-DE"/>
        </w:rPr>
      </w:pPr>
      <w:r w:rsidRPr="00DD2A86">
        <w:rPr>
          <w:rFonts w:eastAsia="Calibri"/>
          <w:lang w:val="de-DE"/>
        </w:rPr>
        <w:t>-</w:t>
      </w:r>
      <w:r w:rsidRPr="00DD2A86">
        <w:rPr>
          <w:rFonts w:eastAsia="Calibri"/>
          <w:lang w:val="de-DE"/>
        </w:rPr>
        <w:tab/>
        <w:t>der Pumpenraum durch einen Kofferdamm oder ein Schott mit einer „A-60“-Isolierung nach SOLAS 74 Kapitel II-2 Regel 3 versehen ist oder durch einen Betriebsraum oder einen Aufstellungsraum vom Maschinenraum oder von Betriebsräumen außerhalb des Bereichs der Ladung getrennt ist;</w:t>
      </w:r>
    </w:p>
    <w:p w:rsidR="009B7327" w:rsidRPr="00DD2A86" w:rsidRDefault="009B7327" w:rsidP="009B7327">
      <w:pPr>
        <w:suppressAutoHyphens w:val="0"/>
        <w:autoSpaceDE w:val="0"/>
        <w:autoSpaceDN w:val="0"/>
        <w:adjustRightInd w:val="0"/>
        <w:spacing w:line="240" w:lineRule="auto"/>
        <w:ind w:left="2552" w:right="1134" w:hanging="284"/>
        <w:jc w:val="both"/>
        <w:rPr>
          <w:rFonts w:eastAsia="Calibri"/>
          <w:lang w:val="de-DE"/>
        </w:rPr>
      </w:pPr>
      <w:r w:rsidRPr="00DD2A86">
        <w:rPr>
          <w:rFonts w:eastAsia="Calibri"/>
          <w:lang w:val="de-DE"/>
        </w:rPr>
        <w:t>-</w:t>
      </w:r>
      <w:r w:rsidRPr="00DD2A86">
        <w:rPr>
          <w:rFonts w:eastAsia="Calibri"/>
          <w:lang w:val="de-DE"/>
        </w:rPr>
        <w:tab/>
        <w:t>das vorstehend geforderte „A-60“-Schott keine Durchbrüche gemäß Absatz 9.3.1.17.5 a) hat;</w:t>
      </w:r>
    </w:p>
    <w:p w:rsidR="009B7327" w:rsidRPr="00DD2A86" w:rsidRDefault="009B7327" w:rsidP="009B7327">
      <w:pPr>
        <w:suppressAutoHyphens w:val="0"/>
        <w:autoSpaceDE w:val="0"/>
        <w:autoSpaceDN w:val="0"/>
        <w:adjustRightInd w:val="0"/>
        <w:spacing w:line="240" w:lineRule="auto"/>
        <w:ind w:left="2552" w:right="1134" w:hanging="284"/>
        <w:jc w:val="both"/>
        <w:rPr>
          <w:rFonts w:eastAsia="Calibri"/>
          <w:lang w:val="de-DE"/>
        </w:rPr>
      </w:pPr>
      <w:r w:rsidRPr="00DD2A86">
        <w:rPr>
          <w:rFonts w:eastAsia="Calibri"/>
          <w:lang w:val="de-DE"/>
        </w:rPr>
        <w:t>-</w:t>
      </w:r>
      <w:r w:rsidRPr="00DD2A86">
        <w:rPr>
          <w:rFonts w:eastAsia="Calibri"/>
          <w:lang w:val="de-DE"/>
        </w:rPr>
        <w:tab/>
        <w:t>Lüftungsaustrittsöffnungen mindestens 6,00 m von Zugängen und Öffnungen der Wohnungen, des Steuerhauses und der Betriebsräume außerhalb des Bereichs der Ladung entfernt angeordnet sind;</w:t>
      </w:r>
    </w:p>
    <w:p w:rsidR="009B7327" w:rsidRPr="00DD2A86" w:rsidRDefault="009B7327" w:rsidP="009B7327">
      <w:pPr>
        <w:suppressAutoHyphens w:val="0"/>
        <w:autoSpaceDE w:val="0"/>
        <w:autoSpaceDN w:val="0"/>
        <w:adjustRightInd w:val="0"/>
        <w:spacing w:line="240" w:lineRule="auto"/>
        <w:ind w:left="2552" w:right="1134" w:hanging="284"/>
        <w:jc w:val="both"/>
        <w:rPr>
          <w:rFonts w:eastAsia="Calibri"/>
          <w:lang w:val="de-DE"/>
        </w:rPr>
      </w:pPr>
      <w:r w:rsidRPr="00DD2A86">
        <w:rPr>
          <w:rFonts w:eastAsia="Calibri"/>
          <w:lang w:val="de-DE"/>
        </w:rPr>
        <w:t>-</w:t>
      </w:r>
      <w:r w:rsidRPr="00DD2A86">
        <w:rPr>
          <w:rFonts w:eastAsia="Calibri"/>
          <w:lang w:val="de-DE"/>
        </w:rPr>
        <w:tab/>
        <w:t>Zugangs- und Lüftungsöffnungen von außen verschließbar sind;</w:t>
      </w:r>
    </w:p>
    <w:p w:rsidR="009B7327" w:rsidRPr="00DD2A86" w:rsidRDefault="009B7327" w:rsidP="009B7327">
      <w:pPr>
        <w:suppressAutoHyphens w:val="0"/>
        <w:autoSpaceDE w:val="0"/>
        <w:autoSpaceDN w:val="0"/>
        <w:adjustRightInd w:val="0"/>
        <w:spacing w:line="240" w:lineRule="auto"/>
        <w:ind w:left="2552" w:right="1134" w:hanging="284"/>
        <w:jc w:val="both"/>
        <w:rPr>
          <w:rFonts w:eastAsia="Calibri"/>
          <w:lang w:val="de-DE"/>
        </w:rPr>
      </w:pPr>
      <w:r w:rsidRPr="00DD2A86">
        <w:rPr>
          <w:rFonts w:eastAsia="Calibri"/>
          <w:lang w:val="de-DE"/>
        </w:rPr>
        <w:t>-</w:t>
      </w:r>
      <w:r w:rsidRPr="00DD2A86">
        <w:rPr>
          <w:rFonts w:eastAsia="Calibri"/>
          <w:lang w:val="de-DE"/>
        </w:rPr>
        <w:tab/>
        <w:t>alle Lade- und Löschleitungen (saug- und druckseitig) durch das Deck über dem Pumpenraum geführt sind. Die erforderliche Bedienung der Armaturen im Pumpenraum und das Starten der Pumpen oder Kompressoren sowie die notwendige Regulierung des Flüssigkeitsstromes muss von Deck aus erfolgen;</w:t>
      </w:r>
    </w:p>
    <w:p w:rsidR="009B7327" w:rsidRPr="00DD2A86" w:rsidRDefault="009B7327" w:rsidP="009B7327">
      <w:pPr>
        <w:suppressAutoHyphens w:val="0"/>
        <w:autoSpaceDE w:val="0"/>
        <w:autoSpaceDN w:val="0"/>
        <w:adjustRightInd w:val="0"/>
        <w:spacing w:line="240" w:lineRule="auto"/>
        <w:ind w:left="2552" w:right="1134" w:hanging="284"/>
        <w:jc w:val="both"/>
        <w:rPr>
          <w:rFonts w:eastAsia="Calibri"/>
          <w:lang w:val="de-DE"/>
        </w:rPr>
      </w:pPr>
      <w:r w:rsidRPr="00DD2A86">
        <w:rPr>
          <w:rFonts w:eastAsia="Calibri"/>
          <w:lang w:val="de-DE"/>
        </w:rPr>
        <w:t>-</w:t>
      </w:r>
      <w:r w:rsidRPr="00DD2A86">
        <w:rPr>
          <w:rFonts w:eastAsia="Calibri"/>
          <w:lang w:val="de-DE"/>
        </w:rPr>
        <w:tab/>
        <w:t>die Anlage voll in das Gas- und Flüssigkeitsrohrleitungssystem integriert ist;</w:t>
      </w:r>
    </w:p>
    <w:p w:rsidR="009B7327" w:rsidRPr="00DD2A86" w:rsidRDefault="009B7327" w:rsidP="009B7327">
      <w:pPr>
        <w:suppressAutoHyphens w:val="0"/>
        <w:autoSpaceDE w:val="0"/>
        <w:autoSpaceDN w:val="0"/>
        <w:adjustRightInd w:val="0"/>
        <w:spacing w:line="240" w:lineRule="auto"/>
        <w:ind w:left="2552" w:right="1134" w:hanging="284"/>
        <w:jc w:val="both"/>
        <w:rPr>
          <w:rFonts w:eastAsia="Calibri"/>
          <w:lang w:val="de-DE" w:eastAsia="de-DE"/>
        </w:rPr>
      </w:pPr>
      <w:r w:rsidRPr="00DD2A86">
        <w:rPr>
          <w:rFonts w:eastAsia="Calibri"/>
          <w:lang w:val="de-DE" w:eastAsia="de-DE"/>
        </w:rPr>
        <w:t>-</w:t>
      </w:r>
      <w:r w:rsidRPr="00DD2A86">
        <w:rPr>
          <w:rFonts w:eastAsia="Calibri"/>
          <w:lang w:val="de-DE" w:eastAsia="de-DE"/>
        </w:rPr>
        <w:tab/>
        <w:t>der Pumpenraum mit einer fest eingebauten Sauerstoffmessanlage versehen ist, welche den Sauerstoffgehalt automatisch anzeigt und bei einer Sauerstoffkonzentration von 19,5 Vol.-% einen optischen und akustischen Alarm auslöst. Die Sensoren dieser Anlage müssen sich an geeigneten Stellen am Boden und in 2,00 m Höhe befinden. Die Messungen müssen stetig erfolgen und nahe des Einganges angezeigt werden. Die Alarme müssen optisch und akustisch im Steuerhaus und im Pumpenraum gemeldet werden und müssen die Lade- und Löschanlage abschalten.</w:t>
      </w:r>
    </w:p>
    <w:p w:rsidR="009B7327" w:rsidRPr="00DD2A86" w:rsidRDefault="009B7327" w:rsidP="009B7327">
      <w:pPr>
        <w:suppressAutoHyphens w:val="0"/>
        <w:autoSpaceDE w:val="0"/>
        <w:autoSpaceDN w:val="0"/>
        <w:adjustRightInd w:val="0"/>
        <w:spacing w:line="240" w:lineRule="auto"/>
        <w:ind w:left="2552" w:right="1134" w:hanging="284"/>
        <w:jc w:val="both"/>
        <w:rPr>
          <w:rFonts w:eastAsia="Calibri"/>
          <w:lang w:val="de-DE"/>
        </w:rPr>
      </w:pPr>
      <w:r w:rsidRPr="00DD2A86">
        <w:rPr>
          <w:rFonts w:eastAsia="Calibri"/>
          <w:lang w:val="de-DE" w:eastAsia="de-DE"/>
        </w:rPr>
        <w:tab/>
        <w:t xml:space="preserve">Ein Ausfall der Sauerstoffmessanlage muss </w:t>
      </w:r>
      <w:r w:rsidRPr="00DD2A86">
        <w:rPr>
          <w:rFonts w:eastAsia="Calibri"/>
          <w:lang w:val="de-DE"/>
        </w:rPr>
        <w:t>optischen und akustischen Alarm im Steuerhaus und an Deck auslösen. Bei Nichtquittieren muss die Alarmierung automatisch in den Wohnungen erfolgen.</w:t>
      </w:r>
    </w:p>
    <w:p w:rsidR="009B7327" w:rsidRPr="00DD2A86" w:rsidRDefault="009B7327" w:rsidP="009B7327">
      <w:pPr>
        <w:suppressAutoHyphens w:val="0"/>
        <w:autoSpaceDE w:val="0"/>
        <w:autoSpaceDN w:val="0"/>
        <w:adjustRightInd w:val="0"/>
        <w:spacing w:line="240" w:lineRule="auto"/>
        <w:ind w:left="2552" w:right="1134" w:hanging="284"/>
        <w:jc w:val="both"/>
        <w:rPr>
          <w:rFonts w:eastAsia="Calibri"/>
          <w:lang w:val="de-DE"/>
        </w:rPr>
      </w:pPr>
      <w:r w:rsidRPr="00DD2A86">
        <w:rPr>
          <w:rFonts w:eastAsia="Calibri"/>
          <w:lang w:val="de-DE"/>
        </w:rPr>
        <w:t>-</w:t>
      </w:r>
      <w:r w:rsidRPr="00DD2A86">
        <w:rPr>
          <w:rFonts w:eastAsia="Calibri"/>
          <w:lang w:val="de-DE"/>
        </w:rPr>
        <w:tab/>
        <w:t>das in Absatz 9.3.1.12.3 vorgeschriebene Lüftungssystem</w:t>
      </w:r>
      <w:r w:rsidRPr="00DD2A86" w:rsidDel="000E1E4E">
        <w:rPr>
          <w:rFonts w:eastAsia="Calibri"/>
          <w:lang w:val="de-DE"/>
        </w:rPr>
        <w:t xml:space="preserve"> </w:t>
      </w:r>
      <w:r w:rsidRPr="00DD2A86">
        <w:rPr>
          <w:rFonts w:eastAsia="Calibri"/>
          <w:lang w:val="de-DE"/>
        </w:rPr>
        <w:t>eine Stundenleistung von mindestens dem dreißigfachen des Rauminhalts des Betriebsraums besitzt.</w:t>
      </w:r>
    </w:p>
    <w:p w:rsidR="009B7327" w:rsidRPr="00DD2A86" w:rsidRDefault="009B7327" w:rsidP="009B7327">
      <w:pPr>
        <w:suppressAutoHyphens w:val="0"/>
        <w:spacing w:before="120" w:line="240" w:lineRule="auto"/>
        <w:ind w:left="2268" w:right="1134"/>
        <w:jc w:val="both"/>
        <w:rPr>
          <w:rFonts w:eastAsia="Calibri"/>
          <w:lang w:val="de-DE"/>
        </w:rPr>
      </w:pPr>
      <w:r w:rsidRPr="00DD2A86">
        <w:rPr>
          <w:rFonts w:eastAsia="Calibri"/>
          <w:lang w:val="de-DE"/>
        </w:rPr>
        <w:t xml:space="preserve">Wenn die Schiffsstoffliste nach Absatz 1.16.1.2.5 Stoffe enthalten soll, für die nach Unterabschnitt 3.2.3.2 Tabelle C Spalte (17) </w:t>
      </w:r>
      <w:r w:rsidRPr="00DD2A86">
        <w:rPr>
          <w:rFonts w:eastAsia="Calibri"/>
          <w:lang w:val="de-DE" w:eastAsia="de-DE"/>
        </w:rPr>
        <w:t>Explosionsschutz gefordert ist,</w:t>
      </w:r>
      <w:r w:rsidRPr="00DD2A86">
        <w:rPr>
          <w:rFonts w:eastAsia="Calibri"/>
          <w:lang w:val="de-DE"/>
        </w:rPr>
        <w:t xml:space="preserve"> muss der Pumpenraum zusätzlich mit einer fest eingebauten Gasspüranlage versehen sein,</w:t>
      </w:r>
      <w:r w:rsidRPr="00DD2A86">
        <w:rPr>
          <w:rFonts w:eastAsia="Calibri"/>
          <w:i/>
          <w:lang w:val="de-DE"/>
        </w:rPr>
        <w:t xml:space="preserve"> </w:t>
      </w:r>
      <w:r w:rsidRPr="00DD2A86">
        <w:rPr>
          <w:rFonts w:eastAsia="Calibri"/>
          <w:lang w:val="de-DE"/>
        </w:rPr>
        <w:t>welche, die Anwesenheit entzündbarer Gase automatisch anzeigt und beim Erreichen einer Gaskonzentration von 20 % der UEG der Ladung oder 20 % der UEG von n-Hexan einen optischen und akustischen Alarm auslöst</w:t>
      </w:r>
      <w:r w:rsidRPr="00DD2A86">
        <w:rPr>
          <w:rFonts w:eastAsia="Calibri"/>
          <w:szCs w:val="24"/>
          <w:lang w:val="de-DE"/>
        </w:rPr>
        <w:t>, je nachdem welche UEG die kritischere ist</w:t>
      </w:r>
      <w:r w:rsidRPr="00DD2A86">
        <w:rPr>
          <w:rFonts w:eastAsia="Calibri"/>
          <w:lang w:val="de-DE"/>
        </w:rPr>
        <w:t>.</w:t>
      </w:r>
    </w:p>
    <w:p w:rsidR="009B7327" w:rsidRPr="00DD2A86" w:rsidRDefault="009B7327" w:rsidP="009B7327">
      <w:pPr>
        <w:suppressAutoHyphens w:val="0"/>
        <w:autoSpaceDE w:val="0"/>
        <w:autoSpaceDN w:val="0"/>
        <w:adjustRightInd w:val="0"/>
        <w:spacing w:before="120" w:line="240" w:lineRule="auto"/>
        <w:ind w:left="2268" w:right="1134"/>
        <w:jc w:val="both"/>
        <w:rPr>
          <w:rFonts w:eastAsia="Calibri"/>
          <w:lang w:val="de-DE"/>
        </w:rPr>
      </w:pPr>
      <w:r w:rsidRPr="00DD2A86">
        <w:rPr>
          <w:rFonts w:eastAsia="Calibri"/>
          <w:lang w:val="de-DE"/>
        </w:rPr>
        <w:t>Die Sensoren der Gasspüranlage müssen sich an geeigneten Stellen am Boden und direkt unterhalb der Decke befinden.</w:t>
      </w:r>
    </w:p>
    <w:p w:rsidR="009B7327" w:rsidRPr="00DD2A86" w:rsidRDefault="009B7327" w:rsidP="00BD68C1">
      <w:pPr>
        <w:suppressAutoHyphens w:val="0"/>
        <w:autoSpaceDE w:val="0"/>
        <w:autoSpaceDN w:val="0"/>
        <w:adjustRightInd w:val="0"/>
        <w:spacing w:before="240" w:line="240" w:lineRule="auto"/>
        <w:ind w:left="2268" w:right="1134"/>
        <w:jc w:val="both"/>
        <w:rPr>
          <w:rFonts w:eastAsia="Calibri"/>
          <w:lang w:val="de-DE"/>
        </w:rPr>
      </w:pPr>
      <w:r w:rsidRPr="00DD2A86">
        <w:rPr>
          <w:rFonts w:eastAsia="Calibri"/>
          <w:lang w:val="de-DE"/>
        </w:rPr>
        <w:t xml:space="preserve">Die Messungen müssen stetig erfolgen </w:t>
      </w:r>
      <w:r w:rsidRPr="00DD2A86">
        <w:rPr>
          <w:rFonts w:eastAsia="Calibri"/>
          <w:lang w:val="de-DE" w:eastAsia="de-DE"/>
        </w:rPr>
        <w:t>und nahe des Einganges angezeigt werden</w:t>
      </w:r>
      <w:r w:rsidRPr="00DD2A86">
        <w:rPr>
          <w:rFonts w:eastAsia="Calibri"/>
          <w:lang w:val="de-DE"/>
        </w:rPr>
        <w:t>.</w:t>
      </w:r>
    </w:p>
    <w:p w:rsidR="009B7327" w:rsidRPr="00DD2A86" w:rsidRDefault="009B7327" w:rsidP="00BD68C1">
      <w:pPr>
        <w:suppressAutoHyphens w:val="0"/>
        <w:autoSpaceDE w:val="0"/>
        <w:autoSpaceDN w:val="0"/>
        <w:adjustRightInd w:val="0"/>
        <w:spacing w:before="120" w:line="240" w:lineRule="auto"/>
        <w:ind w:left="2268" w:right="1134"/>
        <w:jc w:val="both"/>
        <w:rPr>
          <w:rFonts w:eastAsia="Calibri"/>
          <w:lang w:val="de-DE"/>
        </w:rPr>
      </w:pPr>
      <w:r w:rsidRPr="00DD2A86">
        <w:rPr>
          <w:rFonts w:eastAsia="Calibri"/>
          <w:lang w:val="de-DE"/>
        </w:rPr>
        <w:t>Die Alarme müssen optisch und akustisch im Steuerhaus und im Pumpenraum gemeldet werden und müssen die Lade- und Löschanlage abschalten.</w:t>
      </w:r>
    </w:p>
    <w:p w:rsidR="009B7327" w:rsidRPr="00DD2A86" w:rsidRDefault="009B7327" w:rsidP="00BD68C1">
      <w:pPr>
        <w:pStyle w:val="ListParagraph"/>
        <w:suppressAutoHyphens w:val="0"/>
        <w:autoSpaceDE w:val="0"/>
        <w:autoSpaceDN w:val="0"/>
        <w:adjustRightInd w:val="0"/>
        <w:spacing w:before="120"/>
        <w:ind w:left="2268" w:right="1134"/>
        <w:contextualSpacing w:val="0"/>
        <w:jc w:val="both"/>
        <w:rPr>
          <w:rFonts w:eastAsia="Calibri"/>
          <w:lang w:val="de-DE"/>
        </w:rPr>
      </w:pPr>
      <w:r w:rsidRPr="00DD2A86">
        <w:rPr>
          <w:rFonts w:eastAsia="Calibri"/>
          <w:lang w:val="de-DE"/>
        </w:rPr>
        <w:t>Ein Ausfall der Gasspüranlage muss optisch und akustisch im Steuerhaus und an Deck gemeldet werden. Bei Nichtquittieren muss die Alarmierung automatisch in den Wohnungen erfolgen.“.</w:t>
      </w:r>
    </w:p>
    <w:p w:rsidR="009B7327" w:rsidRPr="00DD2A86" w:rsidRDefault="009B7327" w:rsidP="009B7327">
      <w:pPr>
        <w:tabs>
          <w:tab w:val="left" w:pos="1701"/>
          <w:tab w:val="left" w:pos="2835"/>
        </w:tabs>
        <w:spacing w:before="120" w:after="120"/>
        <w:ind w:left="1134" w:right="1134"/>
        <w:jc w:val="both"/>
        <w:rPr>
          <w:rFonts w:eastAsia="SimSun"/>
          <w:i/>
          <w:lang w:val="de-DE" w:eastAsia="zh-CN"/>
        </w:rPr>
      </w:pPr>
      <w:r w:rsidRPr="00DD2A86">
        <w:rPr>
          <w:rFonts w:eastAsia="SimSun"/>
          <w:lang w:val="de-DE" w:eastAsia="zh-CN"/>
        </w:rPr>
        <w:t>9.3.1.21.9</w:t>
      </w:r>
      <w:r w:rsidRPr="00DD2A86">
        <w:rPr>
          <w:rFonts w:eastAsia="SimSun"/>
          <w:lang w:val="de-DE" w:eastAsia="zh-CN"/>
        </w:rPr>
        <w:tab/>
        <w:t>[Die Änderung in der französischen und englischen Fassung hat keine Auswirkungen auf den deutschen Text.]</w:t>
      </w:r>
    </w:p>
    <w:p w:rsidR="009B7327" w:rsidRPr="00DD2A86" w:rsidRDefault="009B7327" w:rsidP="009B7327">
      <w:pPr>
        <w:tabs>
          <w:tab w:val="left" w:pos="2835"/>
        </w:tabs>
        <w:spacing w:before="120" w:after="120"/>
        <w:ind w:left="1134" w:right="1134"/>
        <w:jc w:val="both"/>
        <w:rPr>
          <w:rFonts w:eastAsia="SimSun"/>
          <w:lang w:val="de-DE" w:eastAsia="zh-CN"/>
        </w:rPr>
      </w:pPr>
      <w:r w:rsidRPr="00DD2A86">
        <w:rPr>
          <w:lang w:val="de-DE" w:eastAsia="fr-FR"/>
        </w:rPr>
        <w:t>9.3.1.24.1 c)</w:t>
      </w:r>
      <w:r w:rsidRPr="00DD2A86">
        <w:rPr>
          <w:lang w:val="de-DE" w:eastAsia="fr-FR"/>
        </w:rPr>
        <w:tab/>
        <w:t>Der Buchstabe c) erhält folgenden Wortlaut: „</w:t>
      </w:r>
      <w:r w:rsidRPr="00DD2A86">
        <w:rPr>
          <w:rFonts w:eastAsia="SimSun"/>
          <w:lang w:val="de-DE" w:eastAsia="zh-CN"/>
        </w:rPr>
        <w:t>Nur für UN-Nr. 1972: ein System, das den Druck in den Ladetanks regelt, wobei die Boil-Off-Gase als Brennstoff an Bord genutzt werden.“;</w:t>
      </w:r>
    </w:p>
    <w:p w:rsidR="009B7327" w:rsidRPr="00DD2A86" w:rsidRDefault="009B7327" w:rsidP="009B7327">
      <w:pPr>
        <w:tabs>
          <w:tab w:val="left" w:pos="2835"/>
        </w:tabs>
        <w:spacing w:before="120" w:after="120"/>
        <w:ind w:left="1134" w:right="1134"/>
        <w:jc w:val="both"/>
        <w:rPr>
          <w:rFonts w:eastAsia="SimSun"/>
          <w:lang w:val="de-DE" w:eastAsia="zh-CN"/>
        </w:rPr>
      </w:pPr>
      <w:r w:rsidRPr="00DD2A86">
        <w:rPr>
          <w:rFonts w:eastAsia="SimSun"/>
          <w:lang w:val="de-DE" w:eastAsia="zh-CN"/>
        </w:rPr>
        <w:t>9.3.1.25.2 d) zweiter Absatz</w:t>
      </w:r>
      <w:r w:rsidRPr="00DD2A86">
        <w:rPr>
          <w:rFonts w:eastAsia="SimSun"/>
          <w:lang w:val="de-DE" w:eastAsia="zh-CN"/>
        </w:rPr>
        <w:tab/>
        <w:t>, vierter Satz</w:t>
      </w:r>
      <w:r w:rsidRPr="00DD2A86">
        <w:rPr>
          <w:rFonts w:eastAsia="SimSun"/>
          <w:lang w:val="de-DE" w:eastAsia="zh-CN"/>
        </w:rPr>
        <w:tab/>
        <w:t>„fernbetätigte Schnellschlussarmatur“ ändern in: „</w:t>
      </w:r>
      <w:r w:rsidRPr="00DD2A86">
        <w:rPr>
          <w:lang w:val="de-DE" w:eastAsia="fr-FR"/>
        </w:rPr>
        <w:t>Schnellschlussventil“.</w:t>
      </w:r>
    </w:p>
    <w:p w:rsidR="009B7327" w:rsidRPr="00DD2A86" w:rsidRDefault="009B7327" w:rsidP="009B7327">
      <w:pPr>
        <w:tabs>
          <w:tab w:val="left" w:pos="1701"/>
        </w:tabs>
        <w:spacing w:before="120" w:after="120"/>
        <w:ind w:left="1134" w:right="1134"/>
        <w:jc w:val="both"/>
        <w:rPr>
          <w:rFonts w:eastAsia="SimSun"/>
          <w:lang w:val="de-DE" w:eastAsia="zh-CN"/>
        </w:rPr>
      </w:pPr>
      <w:r w:rsidRPr="00DD2A86">
        <w:rPr>
          <w:rFonts w:eastAsia="SimSun"/>
          <w:lang w:val="de-DE" w:eastAsia="zh-CN"/>
        </w:rPr>
        <w:t>9.3.1.25.2 f)</w:t>
      </w:r>
      <w:r w:rsidRPr="00DD2A86">
        <w:rPr>
          <w:rFonts w:eastAsia="SimSun"/>
          <w:lang w:val="de-DE" w:eastAsia="zh-CN"/>
        </w:rPr>
        <w:tab/>
        <w:t>[Die Änderung in der englischen Fassung hat keine Auswirkungen auf den deutschen Text.]</w:t>
      </w:r>
    </w:p>
    <w:p w:rsidR="009B7327" w:rsidRPr="00DD2A86" w:rsidRDefault="009B7327" w:rsidP="009B7327">
      <w:pPr>
        <w:pStyle w:val="ListParagraph"/>
        <w:suppressAutoHyphens w:val="0"/>
        <w:autoSpaceDE w:val="0"/>
        <w:autoSpaceDN w:val="0"/>
        <w:adjustRightInd w:val="0"/>
        <w:spacing w:before="240"/>
        <w:ind w:left="1134" w:right="1134"/>
        <w:contextualSpacing w:val="0"/>
        <w:jc w:val="both"/>
        <w:rPr>
          <w:rFonts w:eastAsia="Calibri"/>
          <w:lang w:val="de-DE" w:eastAsia="de-DE"/>
        </w:rPr>
      </w:pPr>
      <w:r w:rsidRPr="00DD2A86">
        <w:rPr>
          <w:rFonts w:eastAsia="Calibri"/>
          <w:lang w:val="de-DE" w:eastAsia="de-DE"/>
        </w:rPr>
        <w:t>9.3.1.25.3, 9.3.2.25.3 und 9.3.3.25.3</w:t>
      </w:r>
      <w:r w:rsidRPr="00DD2A86">
        <w:rPr>
          <w:rFonts w:eastAsia="Calibri"/>
          <w:lang w:val="de-DE" w:eastAsia="de-DE"/>
        </w:rPr>
        <w:tab/>
        <w:t>Erhalten folgenden Wortlaut: „(gestrichen)“.</w:t>
      </w:r>
    </w:p>
    <w:p w:rsidR="009B7327" w:rsidRPr="00DD2A86" w:rsidRDefault="009B7327" w:rsidP="00002563">
      <w:pPr>
        <w:spacing w:before="120"/>
        <w:ind w:left="1134" w:right="1134"/>
        <w:jc w:val="both"/>
        <w:rPr>
          <w:rFonts w:eastAsiaTheme="minorHAnsi"/>
          <w:lang w:val="de-DE"/>
        </w:rPr>
      </w:pPr>
      <w:r w:rsidRPr="00DD2A86">
        <w:rPr>
          <w:rFonts w:eastAsiaTheme="minorHAnsi"/>
          <w:lang w:val="de-DE"/>
        </w:rPr>
        <w:t>9.3.x.25.10</w:t>
      </w:r>
      <w:r w:rsidRPr="00DD2A86">
        <w:rPr>
          <w:rFonts w:eastAsiaTheme="minorHAnsi"/>
          <w:lang w:val="de-DE"/>
        </w:rPr>
        <w:tab/>
        <w:t xml:space="preserve">Im ersten Absatz, streichen: „oder des Steuerhauses“. </w:t>
      </w:r>
    </w:p>
    <w:p w:rsidR="009B7327" w:rsidRPr="00DD2A86" w:rsidRDefault="009B7327" w:rsidP="009B7327">
      <w:pPr>
        <w:kinsoku w:val="0"/>
        <w:overflowPunct w:val="0"/>
        <w:autoSpaceDE w:val="0"/>
        <w:autoSpaceDN w:val="0"/>
        <w:adjustRightInd w:val="0"/>
        <w:snapToGrid w:val="0"/>
        <w:spacing w:after="120"/>
        <w:ind w:left="2268" w:right="1134"/>
        <w:jc w:val="both"/>
        <w:rPr>
          <w:rFonts w:eastAsiaTheme="minorHAnsi"/>
          <w:lang w:val="de-DE"/>
        </w:rPr>
      </w:pPr>
      <w:r w:rsidRPr="00DD2A86">
        <w:rPr>
          <w:rFonts w:eastAsiaTheme="minorHAnsi"/>
          <w:lang w:val="de-DE"/>
        </w:rPr>
        <w:t>„In Wohnungen oder Betriebsräume“ ändern in: „In Wohnungen, das Steuerhaus oder Betriebsräume“.</w:t>
      </w:r>
    </w:p>
    <w:p w:rsidR="006D68DD" w:rsidRPr="00DD2A86" w:rsidRDefault="006D68DD" w:rsidP="006D68DD">
      <w:pPr>
        <w:pStyle w:val="ListParagraph"/>
        <w:suppressAutoHyphens w:val="0"/>
        <w:autoSpaceDE w:val="0"/>
        <w:autoSpaceDN w:val="0"/>
        <w:adjustRightInd w:val="0"/>
        <w:spacing w:before="240"/>
        <w:ind w:left="1134" w:right="1134"/>
        <w:contextualSpacing w:val="0"/>
        <w:jc w:val="both"/>
        <w:rPr>
          <w:rFonts w:eastAsia="Calibri"/>
          <w:lang w:val="de-DE" w:eastAsia="de-DE"/>
        </w:rPr>
      </w:pPr>
      <w:r w:rsidRPr="00DD2A86">
        <w:rPr>
          <w:rFonts w:eastAsia="Calibri"/>
          <w:lang w:val="de-DE" w:eastAsia="de-DE"/>
        </w:rPr>
        <w:t>9.3.1.28</w:t>
      </w:r>
      <w:r w:rsidRPr="00DD2A86">
        <w:rPr>
          <w:rFonts w:eastAsia="Calibri"/>
          <w:lang w:val="de-DE" w:eastAsia="de-DE"/>
        </w:rPr>
        <w:tab/>
        <w:t>„</w:t>
      </w:r>
      <w:r w:rsidRPr="00DD2A86">
        <w:rPr>
          <w:rFonts w:eastAsia="Calibri"/>
          <w:lang w:val="de-DE" w:eastAsia="en-US"/>
        </w:rPr>
        <w:t xml:space="preserve">in Kapitel 3.2“ ändern in: „in </w:t>
      </w:r>
      <w:r w:rsidRPr="00DD2A86">
        <w:rPr>
          <w:rFonts w:eastAsia="Calibri"/>
          <w:bCs/>
          <w:lang w:val="de-DE" w:eastAsia="en-US"/>
        </w:rPr>
        <w:t>Unterabschnitt 3.2.3.2“.</w:t>
      </w:r>
      <w:r w:rsidR="006E508C" w:rsidRPr="00DD2A86">
        <w:rPr>
          <w:rFonts w:eastAsia="Calibri"/>
          <w:bCs/>
          <w:lang w:val="de-DE" w:eastAsia="en-US"/>
        </w:rPr>
        <w:t xml:space="preserve"> [Betrifft nur die deutsche Sprachfassung]</w:t>
      </w:r>
    </w:p>
    <w:p w:rsidR="00E741E6" w:rsidRPr="00DD2A86" w:rsidRDefault="00E741E6" w:rsidP="00002563">
      <w:pPr>
        <w:tabs>
          <w:tab w:val="left" w:pos="1985"/>
        </w:tabs>
        <w:spacing w:before="120" w:after="120"/>
        <w:ind w:left="1134" w:right="1134"/>
        <w:jc w:val="both"/>
        <w:rPr>
          <w:lang w:val="de-DE"/>
        </w:rPr>
      </w:pPr>
      <w:r w:rsidRPr="00DD2A86">
        <w:rPr>
          <w:lang w:val="de-DE"/>
        </w:rPr>
        <w:t>9.3.1.31.1, 9.3.2.31.1 und 9.3.3.31.1</w:t>
      </w:r>
      <w:r w:rsidRPr="00DD2A86">
        <w:rPr>
          <w:lang w:val="de-DE"/>
        </w:rPr>
        <w:tab/>
        <w:t>erhalten folgenden Wortlaut:</w:t>
      </w:r>
    </w:p>
    <w:p w:rsidR="00E741E6" w:rsidRPr="00DD2A86" w:rsidRDefault="00E741E6" w:rsidP="00E741E6">
      <w:pPr>
        <w:spacing w:after="120"/>
        <w:ind w:left="1134" w:right="1134"/>
        <w:jc w:val="both"/>
        <w:rPr>
          <w:rFonts w:eastAsia="SimSun"/>
          <w:lang w:val="de-DE" w:eastAsia="zh-CN"/>
        </w:rPr>
      </w:pPr>
      <w:r w:rsidRPr="00DD2A86">
        <w:rPr>
          <w:rFonts w:eastAsia="SimSun"/>
          <w:lang w:val="de-DE" w:eastAsia="zh-CN"/>
        </w:rPr>
        <w:t>„Es dürfen nur Verbrennungsmotoren eingebaut sein, die mit Kraftstoff betrieben werden, der einen Flammpunkt von mehr als 55 ºC hat. Diese Vorschrift gilt nicht für Verbrennungsmotoren, die Bestandteil von Antriebs- und Hilfssystemen sind. Diese Systeme müssen den Anforderungen des Kapitels 30 und der Anlage 8 Abschnitt 1 des Europäischen Standards der technischen Vorschriften für Binnenschiffe (ES-TRIN) in der jeweils geltenden Fassung entsprechen</w:t>
      </w:r>
      <w:r w:rsidRPr="00DD2A86">
        <w:rPr>
          <w:rFonts w:eastAsia="SimSun"/>
          <w:vertAlign w:val="superscript"/>
          <w:lang w:val="de-DE" w:eastAsia="zh-CN"/>
        </w:rPr>
        <w:footnoteReference w:customMarkFollows="1" w:id="72"/>
        <w:t>*</w:t>
      </w:r>
      <w:r w:rsidRPr="00DD2A86">
        <w:rPr>
          <w:rFonts w:eastAsia="SimSun"/>
          <w:lang w:val="de-DE" w:eastAsia="zh-CN"/>
        </w:rPr>
        <w:t>.“.</w:t>
      </w:r>
    </w:p>
    <w:p w:rsidR="00E741E6" w:rsidRPr="00DD2A86" w:rsidRDefault="00E741E6" w:rsidP="00E741E6">
      <w:pPr>
        <w:pStyle w:val="ListParagraph"/>
        <w:suppressAutoHyphens w:val="0"/>
        <w:autoSpaceDE w:val="0"/>
        <w:autoSpaceDN w:val="0"/>
        <w:adjustRightInd w:val="0"/>
        <w:spacing w:before="240"/>
        <w:ind w:left="1134" w:right="1134"/>
        <w:contextualSpacing w:val="0"/>
        <w:jc w:val="both"/>
        <w:rPr>
          <w:rFonts w:eastAsia="Calibri"/>
          <w:lang w:val="de-DE" w:eastAsia="de-DE"/>
        </w:rPr>
      </w:pPr>
      <w:r w:rsidRPr="00DD2A86">
        <w:rPr>
          <w:rFonts w:eastAsia="Calibri"/>
          <w:lang w:val="de-DE" w:eastAsia="de-DE"/>
        </w:rPr>
        <w:t>9.3.1.31.3, 9.3.2.31.3 und 9.3.3.31.3</w:t>
      </w:r>
      <w:r w:rsidRPr="00DD2A86">
        <w:rPr>
          <w:rFonts w:eastAsia="Calibri"/>
          <w:lang w:val="de-DE" w:eastAsia="de-DE"/>
        </w:rPr>
        <w:tab/>
        <w:t>Erhalten folgenden Wortlaut: „(gestrichen)“.</w:t>
      </w:r>
    </w:p>
    <w:p w:rsidR="00E741E6" w:rsidRPr="00DD2A86" w:rsidRDefault="00E741E6" w:rsidP="00E741E6">
      <w:pPr>
        <w:pStyle w:val="ListParagraph"/>
        <w:suppressAutoHyphens w:val="0"/>
        <w:autoSpaceDE w:val="0"/>
        <w:autoSpaceDN w:val="0"/>
        <w:adjustRightInd w:val="0"/>
        <w:spacing w:before="240"/>
        <w:ind w:left="1134"/>
        <w:contextualSpacing w:val="0"/>
        <w:jc w:val="both"/>
        <w:rPr>
          <w:rFonts w:eastAsia="Calibri"/>
          <w:lang w:val="de-DE" w:eastAsia="de-DE"/>
        </w:rPr>
      </w:pPr>
      <w:r w:rsidRPr="00DD2A86">
        <w:rPr>
          <w:rFonts w:eastAsia="Calibri"/>
          <w:lang w:val="de-DE" w:eastAsia="de-DE"/>
        </w:rPr>
        <w:t>9.3.1.31.4, 9.3.2.31.4 und 9.3.3.31.4</w:t>
      </w:r>
      <w:r w:rsidRPr="00DD2A86">
        <w:rPr>
          <w:rFonts w:eastAsia="Calibri"/>
          <w:lang w:val="de-DE" w:eastAsia="de-DE"/>
        </w:rPr>
        <w:tab/>
        <w:t>Erhalten folgenden Wortlaut: „(gestrichen)“.</w:t>
      </w:r>
    </w:p>
    <w:p w:rsidR="00E741E6" w:rsidRPr="00DD2A86" w:rsidRDefault="00E741E6" w:rsidP="00E741E6">
      <w:pPr>
        <w:tabs>
          <w:tab w:val="left" w:pos="1701"/>
        </w:tabs>
        <w:spacing w:before="240" w:after="120"/>
        <w:ind w:left="1134" w:right="1134"/>
        <w:jc w:val="both"/>
        <w:rPr>
          <w:rFonts w:eastAsia="SimSun"/>
          <w:lang w:val="de-DE" w:eastAsia="zh-CN"/>
        </w:rPr>
      </w:pPr>
      <w:r w:rsidRPr="00DD2A86">
        <w:rPr>
          <w:rFonts w:eastAsia="TimesNewRomanPSMT"/>
          <w:lang w:val="de-DE"/>
        </w:rPr>
        <w:t>9.3.x.32.2</w:t>
      </w:r>
      <w:r w:rsidRPr="00DD2A86">
        <w:rPr>
          <w:rFonts w:eastAsia="TimesNewRomanPSMT"/>
          <w:lang w:val="de-DE"/>
        </w:rPr>
        <w:tab/>
      </w:r>
      <w:r w:rsidRPr="00DD2A86">
        <w:rPr>
          <w:rFonts w:eastAsia="SimSun"/>
          <w:lang w:val="de-DE" w:eastAsia="zh-CN"/>
        </w:rPr>
        <w:t>[Die Änderungen in der französischen und englischen Fassung haben keine Auswirkungen auf den deutschen Text.]</w:t>
      </w:r>
    </w:p>
    <w:p w:rsidR="00E741E6" w:rsidRPr="00DD2A86" w:rsidRDefault="00E741E6" w:rsidP="00E741E6">
      <w:pPr>
        <w:spacing w:after="120"/>
        <w:ind w:left="1134" w:right="1134"/>
        <w:jc w:val="both"/>
        <w:rPr>
          <w:lang w:val="de-DE"/>
        </w:rPr>
      </w:pPr>
      <w:r w:rsidRPr="00DD2A86">
        <w:rPr>
          <w:lang w:val="de-DE"/>
        </w:rPr>
        <w:t>9.3.1.35.1, 9.3.2.35.1 und 9.3.3.35.1</w:t>
      </w:r>
      <w:r w:rsidRPr="00DD2A86">
        <w:rPr>
          <w:lang w:val="de-DE"/>
        </w:rPr>
        <w:tab/>
        <w:t>Der zweite Anstrich erhält am Ende folgenden Wortlaut: „… und das Lenzen mittels Ejektoren erfolgt, die im Bereich der Ladung aufgestellt sind.“.</w:t>
      </w:r>
    </w:p>
    <w:p w:rsidR="00E741E6" w:rsidRPr="00DD2A86" w:rsidRDefault="00E741E6" w:rsidP="00E741E6">
      <w:pPr>
        <w:kinsoku w:val="0"/>
        <w:overflowPunct w:val="0"/>
        <w:autoSpaceDE w:val="0"/>
        <w:autoSpaceDN w:val="0"/>
        <w:adjustRightInd w:val="0"/>
        <w:snapToGrid w:val="0"/>
        <w:spacing w:after="120"/>
        <w:ind w:left="1134" w:right="1134"/>
        <w:jc w:val="both"/>
        <w:rPr>
          <w:rFonts w:eastAsiaTheme="minorHAnsi"/>
          <w:lang w:val="de-DE"/>
        </w:rPr>
      </w:pPr>
      <w:r w:rsidRPr="00DD2A86">
        <w:rPr>
          <w:rFonts w:eastAsiaTheme="minorHAnsi"/>
          <w:lang w:val="de-DE"/>
        </w:rPr>
        <w:t>9.3.1.40.1</w:t>
      </w:r>
      <w:r w:rsidR="006E508C" w:rsidRPr="00DD2A86">
        <w:rPr>
          <w:rFonts w:eastAsiaTheme="minorHAnsi"/>
          <w:lang w:val="de-DE"/>
        </w:rPr>
        <w:t>, 9.3.2.40.1</w:t>
      </w:r>
      <w:r w:rsidRPr="00DD2A86">
        <w:rPr>
          <w:rFonts w:eastAsiaTheme="minorHAnsi"/>
          <w:lang w:val="de-DE"/>
        </w:rPr>
        <w:t xml:space="preserve"> und 9.3.3.40.1</w:t>
      </w:r>
      <w:r w:rsidRPr="00DD2A86">
        <w:rPr>
          <w:rFonts w:eastAsiaTheme="minorHAnsi"/>
          <w:lang w:val="de-DE"/>
        </w:rPr>
        <w:tab/>
        <w:t>[Die Änderung in der französischen Fassung hat keine Auswirkungen auf den deutschen Text.]</w:t>
      </w:r>
    </w:p>
    <w:p w:rsidR="00E741E6" w:rsidRPr="00DD2A86" w:rsidRDefault="00E741E6" w:rsidP="00E741E6">
      <w:pPr>
        <w:tabs>
          <w:tab w:val="left" w:pos="1701"/>
        </w:tabs>
        <w:spacing w:before="240" w:after="120"/>
        <w:ind w:left="1134" w:right="1134"/>
        <w:jc w:val="both"/>
        <w:rPr>
          <w:rFonts w:eastAsia="SimSun"/>
          <w:lang w:val="de-DE" w:eastAsia="zh-CN"/>
        </w:rPr>
      </w:pPr>
      <w:r w:rsidRPr="00DD2A86">
        <w:rPr>
          <w:rFonts w:eastAsia="SimSun"/>
          <w:lang w:val="de-DE" w:eastAsia="zh-CN"/>
        </w:rPr>
        <w:t>9.3.x.40.2.1</w:t>
      </w:r>
      <w:r w:rsidRPr="00DD2A86">
        <w:rPr>
          <w:rFonts w:eastAsia="SimSun"/>
          <w:lang w:val="de-DE" w:eastAsia="zh-CN"/>
        </w:rPr>
        <w:tab/>
        <w:t>Einen neuen Buchstaben e) und einen neuen Buchstaben f) mit folgendem Wortlaut hinzufügen:</w:t>
      </w:r>
    </w:p>
    <w:p w:rsidR="00E741E6" w:rsidRPr="00DD2A86" w:rsidRDefault="00E741E6" w:rsidP="00E741E6">
      <w:pPr>
        <w:suppressAutoHyphens w:val="0"/>
        <w:autoSpaceDE w:val="0"/>
        <w:autoSpaceDN w:val="0"/>
        <w:adjustRightInd w:val="0"/>
        <w:spacing w:before="120"/>
        <w:ind w:left="1843" w:right="567"/>
        <w:jc w:val="both"/>
        <w:rPr>
          <w:rFonts w:eastAsia="Calibri"/>
          <w:lang w:val="de-DE" w:eastAsia="nl-NL"/>
        </w:rPr>
      </w:pPr>
      <w:r w:rsidRPr="00DD2A86">
        <w:rPr>
          <w:rFonts w:eastAsia="Calibri"/>
          <w:lang w:val="de-DE" w:eastAsia="nl-NL"/>
        </w:rPr>
        <w:t>„e)</w:t>
      </w:r>
      <w:r w:rsidRPr="00DD2A86">
        <w:rPr>
          <w:rFonts w:eastAsia="Calibri"/>
          <w:lang w:val="de-DE" w:eastAsia="nl-NL"/>
        </w:rPr>
        <w:tab/>
        <w:t>(bleibt offen);</w:t>
      </w:r>
    </w:p>
    <w:p w:rsidR="00E741E6" w:rsidRPr="00DD2A86" w:rsidRDefault="00E741E6" w:rsidP="00E741E6">
      <w:pPr>
        <w:suppressAutoHyphens w:val="0"/>
        <w:autoSpaceDE w:val="0"/>
        <w:autoSpaceDN w:val="0"/>
        <w:adjustRightInd w:val="0"/>
        <w:spacing w:before="120"/>
        <w:ind w:left="1843" w:right="567"/>
        <w:jc w:val="both"/>
        <w:rPr>
          <w:rFonts w:eastAsia="Calibri"/>
          <w:lang w:val="de-DE" w:eastAsia="nl-NL"/>
        </w:rPr>
      </w:pPr>
      <w:r w:rsidRPr="00DD2A86">
        <w:rPr>
          <w:rFonts w:eastAsia="Calibri"/>
          <w:lang w:val="de-DE" w:eastAsia="nl-NL"/>
        </w:rPr>
        <w:t>f)</w:t>
      </w:r>
      <w:r w:rsidRPr="00DD2A86">
        <w:rPr>
          <w:rFonts w:eastAsia="Calibri"/>
          <w:lang w:val="de-DE" w:eastAsia="nl-NL"/>
        </w:rPr>
        <w:tab/>
        <w:t>K</w:t>
      </w:r>
      <w:r w:rsidRPr="00DD2A86">
        <w:rPr>
          <w:rFonts w:eastAsia="Calibri"/>
          <w:vertAlign w:val="subscript"/>
          <w:lang w:val="de-DE" w:eastAsia="nl-NL"/>
        </w:rPr>
        <w:t>2</w:t>
      </w:r>
      <w:r w:rsidRPr="00DD2A86">
        <w:rPr>
          <w:rFonts w:eastAsia="Calibri"/>
          <w:lang w:val="de-DE" w:eastAsia="nl-NL"/>
        </w:rPr>
        <w:t>CO</w:t>
      </w:r>
      <w:r w:rsidRPr="00DD2A86">
        <w:rPr>
          <w:rFonts w:eastAsia="Calibri"/>
          <w:vertAlign w:val="subscript"/>
          <w:lang w:val="de-DE" w:eastAsia="nl-NL"/>
        </w:rPr>
        <w:t xml:space="preserve">3 </w:t>
      </w:r>
      <w:r w:rsidRPr="00DD2A86">
        <w:rPr>
          <w:rFonts w:eastAsia="Calibri"/>
          <w:lang w:val="de-DE" w:eastAsia="nl-NL"/>
        </w:rPr>
        <w:t>(Kaliumcarbonat)“.</w:t>
      </w:r>
    </w:p>
    <w:p w:rsidR="00E741E6" w:rsidRPr="00DD2A86" w:rsidRDefault="00E741E6" w:rsidP="00002563">
      <w:pPr>
        <w:spacing w:before="100" w:beforeAutospacing="1" w:after="120"/>
        <w:ind w:left="1134" w:right="1134"/>
        <w:jc w:val="both"/>
        <w:rPr>
          <w:lang w:val="de-DE"/>
        </w:rPr>
      </w:pPr>
      <w:r w:rsidRPr="00DD2A86">
        <w:rPr>
          <w:lang w:val="de-DE"/>
        </w:rPr>
        <w:t>9.3.x.40.2.2 f)</w:t>
      </w:r>
      <w:r w:rsidRPr="00DD2A86">
        <w:rPr>
          <w:lang w:val="de-DE"/>
        </w:rPr>
        <w:tab/>
      </w:r>
      <w:r w:rsidRPr="00DD2A86">
        <w:rPr>
          <w:lang w:val="de-DE"/>
        </w:rPr>
        <w:tab/>
        <w:t>Der Buchstabe f) e</w:t>
      </w:r>
      <w:r w:rsidRPr="00DD2A86">
        <w:rPr>
          <w:iCs/>
          <w:lang w:val="de-DE"/>
        </w:rPr>
        <w:t>rhält folgenden Wortlaut:</w:t>
      </w:r>
    </w:p>
    <w:p w:rsidR="00E741E6" w:rsidRPr="00DD2A86" w:rsidRDefault="00E741E6" w:rsidP="00E741E6">
      <w:pPr>
        <w:spacing w:after="120"/>
        <w:ind w:left="1134" w:right="1134"/>
        <w:jc w:val="both"/>
        <w:rPr>
          <w:lang w:val="de-DE"/>
        </w:rPr>
      </w:pPr>
      <w:r w:rsidRPr="00DD2A86">
        <w:rPr>
          <w:lang w:val="de-DE"/>
        </w:rPr>
        <w:t>„f)</w:t>
      </w:r>
      <w:r w:rsidRPr="00DD2A86">
        <w:rPr>
          <w:lang w:val="de-DE"/>
        </w:rPr>
        <w:tab/>
        <w:t>Geschützte Räume müssen über eine Vorrichtung zum Absaugen des Löschmittels und der Brandgase verfügen. Solche Vorrichtungen müssen von einer Position außerhalb der geschützten Räume aus bedienbar sein, die durch einen Brand in diesen Räumen nicht unzugänglich gemacht werden dürfen. Sind fest installierte Absaugeinrichtungen vorhanden, dürfen diese während des Löschvorganges nicht eingeschaltet werden können.“.</w:t>
      </w:r>
    </w:p>
    <w:p w:rsidR="00E741E6" w:rsidRPr="00DD2A86" w:rsidRDefault="00E741E6" w:rsidP="00E741E6">
      <w:pPr>
        <w:kinsoku w:val="0"/>
        <w:overflowPunct w:val="0"/>
        <w:autoSpaceDE w:val="0"/>
        <w:autoSpaceDN w:val="0"/>
        <w:adjustRightInd w:val="0"/>
        <w:snapToGrid w:val="0"/>
        <w:spacing w:before="120" w:after="120"/>
        <w:ind w:left="2268" w:right="1134" w:hanging="1134"/>
        <w:jc w:val="both"/>
        <w:rPr>
          <w:rFonts w:eastAsiaTheme="minorHAnsi"/>
          <w:lang w:val="de-DE"/>
        </w:rPr>
      </w:pPr>
      <w:r w:rsidRPr="00DD2A86">
        <w:rPr>
          <w:rFonts w:eastAsiaTheme="minorHAnsi"/>
          <w:lang w:val="de-DE"/>
        </w:rPr>
        <w:t>9.3.x.40.2.7</w:t>
      </w:r>
      <w:r w:rsidRPr="00DD2A86">
        <w:rPr>
          <w:rFonts w:eastAsiaTheme="minorHAnsi"/>
          <w:lang w:val="de-DE"/>
        </w:rPr>
        <w:tab/>
        <w:t>[Die Änderung in der französischen Fassung hat keine Auswirkungen auf den deutschen Text.]</w:t>
      </w:r>
    </w:p>
    <w:p w:rsidR="00E741E6" w:rsidRPr="00DD2A86" w:rsidRDefault="00E741E6" w:rsidP="00E741E6">
      <w:pPr>
        <w:tabs>
          <w:tab w:val="left" w:pos="2835"/>
        </w:tabs>
        <w:spacing w:after="160" w:line="259" w:lineRule="auto"/>
        <w:ind w:left="1134" w:right="1134"/>
        <w:jc w:val="both"/>
        <w:rPr>
          <w:lang w:val="de-DE"/>
        </w:rPr>
      </w:pPr>
      <w:r w:rsidRPr="00DD2A86">
        <w:rPr>
          <w:rFonts w:eastAsia="SimSun"/>
          <w:lang w:val="de-DE" w:eastAsia="zh-CN"/>
        </w:rPr>
        <w:t>9.3.x.40.2.14</w:t>
      </w:r>
      <w:r w:rsidRPr="00DD2A86">
        <w:rPr>
          <w:rFonts w:eastAsia="SimSun"/>
          <w:lang w:val="de-DE" w:eastAsia="zh-CN"/>
        </w:rPr>
        <w:tab/>
      </w:r>
      <w:r w:rsidRPr="00DD2A86">
        <w:rPr>
          <w:lang w:val="de-DE"/>
        </w:rPr>
        <w:t xml:space="preserve">Der bisherige Absatz „9.3.x.40.2.14“ wird zu „9.3.x.40.2.16“ mit unverändertem Wortlaut. </w:t>
      </w:r>
    </w:p>
    <w:p w:rsidR="00E741E6" w:rsidRPr="00DD2A86" w:rsidRDefault="00E741E6" w:rsidP="00E741E6">
      <w:pPr>
        <w:tabs>
          <w:tab w:val="left" w:pos="2835"/>
        </w:tabs>
        <w:spacing w:after="160" w:line="259" w:lineRule="auto"/>
        <w:ind w:left="1134" w:right="1134"/>
        <w:jc w:val="both"/>
        <w:rPr>
          <w:lang w:val="de-DE"/>
        </w:rPr>
      </w:pPr>
      <w:r w:rsidRPr="00DD2A86">
        <w:rPr>
          <w:rFonts w:eastAsia="SimSun"/>
          <w:lang w:val="de-DE" w:eastAsia="zh-CN"/>
        </w:rPr>
        <w:t>9.3.x.40.2.14</w:t>
      </w:r>
      <w:r w:rsidRPr="00DD2A86">
        <w:rPr>
          <w:rFonts w:eastAsia="SimSun"/>
          <w:lang w:val="de-DE" w:eastAsia="zh-CN"/>
        </w:rPr>
        <w:tab/>
        <w:t xml:space="preserve">Einen neuen Absatz </w:t>
      </w:r>
      <w:r w:rsidRPr="00DD2A86">
        <w:rPr>
          <w:lang w:val="de-DE"/>
        </w:rPr>
        <w:t>„9.3.x.40.2.14“ mit folgendem Wortlaut hinzufügen: „9.3.x.40.2.14 (bleibt offen)“.</w:t>
      </w:r>
    </w:p>
    <w:p w:rsidR="00EB6056" w:rsidRPr="00DD2A86" w:rsidRDefault="00EB6056">
      <w:pPr>
        <w:suppressAutoHyphens w:val="0"/>
        <w:spacing w:line="240" w:lineRule="auto"/>
        <w:rPr>
          <w:lang w:val="de-DE"/>
        </w:rPr>
      </w:pPr>
      <w:r w:rsidRPr="00DD2A86">
        <w:rPr>
          <w:lang w:val="de-DE"/>
        </w:rPr>
        <w:br w:type="page"/>
      </w:r>
    </w:p>
    <w:p w:rsidR="00E741E6" w:rsidRPr="00DD2A86" w:rsidRDefault="00E741E6" w:rsidP="00E741E6">
      <w:pPr>
        <w:tabs>
          <w:tab w:val="left" w:pos="2835"/>
        </w:tabs>
        <w:spacing w:before="120" w:after="120"/>
        <w:ind w:left="1134" w:right="1134"/>
        <w:jc w:val="both"/>
        <w:rPr>
          <w:lang w:val="de-DE"/>
        </w:rPr>
      </w:pPr>
      <w:r w:rsidRPr="00DD2A86">
        <w:rPr>
          <w:lang w:val="de-DE"/>
        </w:rPr>
        <w:t>9.3.x.40.2.15</w:t>
      </w:r>
      <w:r w:rsidRPr="00DD2A86">
        <w:rPr>
          <w:lang w:val="de-DE"/>
        </w:rPr>
        <w:tab/>
        <w:t>Einen neuen Absatz 9.1.</w:t>
      </w:r>
      <w:r w:rsidR="007F1631" w:rsidRPr="00DD2A86">
        <w:rPr>
          <w:lang w:val="de-DE"/>
        </w:rPr>
        <w:t>x</w:t>
      </w:r>
      <w:r w:rsidRPr="00DD2A86">
        <w:rPr>
          <w:lang w:val="de-DE"/>
        </w:rPr>
        <w:t>.40.2.15 mit folgendem Wortlaut hinzufügen:</w:t>
      </w:r>
    </w:p>
    <w:p w:rsidR="00E741E6" w:rsidRPr="00DD2A86" w:rsidRDefault="00E741E6" w:rsidP="00E741E6">
      <w:pPr>
        <w:suppressAutoHyphens w:val="0"/>
        <w:spacing w:after="160" w:line="259" w:lineRule="auto"/>
        <w:ind w:left="1134" w:right="1134"/>
        <w:jc w:val="both"/>
        <w:rPr>
          <w:rFonts w:eastAsia="Calibri"/>
          <w:lang w:val="de-DE"/>
        </w:rPr>
      </w:pPr>
      <w:r w:rsidRPr="00DD2A86">
        <w:rPr>
          <w:rFonts w:eastAsia="Calibri"/>
          <w:lang w:val="de-DE"/>
        </w:rPr>
        <w:t>„Mit K</w:t>
      </w:r>
      <w:r w:rsidRPr="00DD2A86">
        <w:rPr>
          <w:rFonts w:eastAsia="Calibri"/>
          <w:vertAlign w:val="subscript"/>
          <w:lang w:val="de-DE"/>
        </w:rPr>
        <w:t>2</w:t>
      </w:r>
      <w:r w:rsidRPr="00DD2A86">
        <w:rPr>
          <w:rFonts w:eastAsia="Calibri"/>
          <w:lang w:val="de-DE"/>
        </w:rPr>
        <w:t>CO</w:t>
      </w:r>
      <w:r w:rsidRPr="00DD2A86">
        <w:rPr>
          <w:rFonts w:eastAsia="Calibri"/>
          <w:vertAlign w:val="subscript"/>
          <w:lang w:val="de-DE"/>
        </w:rPr>
        <w:t xml:space="preserve">3 </w:t>
      </w:r>
      <w:r w:rsidRPr="00DD2A86">
        <w:rPr>
          <w:rFonts w:eastAsia="Calibri"/>
          <w:lang w:val="de-DE"/>
        </w:rPr>
        <w:t xml:space="preserve"> als Löschmittel betriebene Feuerlöscheinrichtungen</w:t>
      </w:r>
    </w:p>
    <w:p w:rsidR="00E741E6" w:rsidRPr="00DD2A86" w:rsidRDefault="00E741E6" w:rsidP="00E741E6">
      <w:pPr>
        <w:suppressAutoHyphens w:val="0"/>
        <w:autoSpaceDE w:val="0"/>
        <w:autoSpaceDN w:val="0"/>
        <w:adjustRightInd w:val="0"/>
        <w:spacing w:line="240" w:lineRule="auto"/>
        <w:ind w:left="1134" w:right="1134"/>
        <w:jc w:val="both"/>
        <w:rPr>
          <w:rFonts w:eastAsia="Calibri"/>
          <w:lang w:val="de-DE"/>
        </w:rPr>
      </w:pPr>
      <w:r w:rsidRPr="00DD2A86">
        <w:rPr>
          <w:rFonts w:eastAsia="Calibri"/>
          <w:lang w:val="de-DE"/>
        </w:rPr>
        <w:t>Feuerlöscheinrichtungen, die mit K</w:t>
      </w:r>
      <w:r w:rsidRPr="00DD2A86">
        <w:rPr>
          <w:rFonts w:eastAsia="Calibri"/>
          <w:vertAlign w:val="subscript"/>
          <w:lang w:val="de-DE"/>
        </w:rPr>
        <w:t>2</w:t>
      </w:r>
      <w:r w:rsidRPr="00DD2A86">
        <w:rPr>
          <w:rFonts w:eastAsia="Calibri"/>
          <w:lang w:val="de-DE"/>
        </w:rPr>
        <w:t>CO</w:t>
      </w:r>
      <w:r w:rsidRPr="00DD2A86">
        <w:rPr>
          <w:rFonts w:eastAsia="Calibri"/>
          <w:vertAlign w:val="subscript"/>
          <w:lang w:val="de-DE"/>
        </w:rPr>
        <w:t xml:space="preserve">3 </w:t>
      </w:r>
      <w:r w:rsidRPr="00DD2A86">
        <w:rPr>
          <w:rFonts w:eastAsia="Calibri"/>
          <w:lang w:val="de-DE"/>
        </w:rPr>
        <w:t>als Löschmittel betrieben werden, müssen über die Anforderungen nach den Absätzen 9.3.x.40.2.1 bis 9.3.x.40.2.3, 9.3.x.40.2.5, 9.3.x.40.2.6 und 9.3.x.40.2.9 hinaus den folgenden Bestimmungen entsprechen:</w:t>
      </w:r>
    </w:p>
    <w:p w:rsidR="00E741E6" w:rsidRPr="00DD2A86" w:rsidRDefault="00E741E6" w:rsidP="00E741E6">
      <w:pPr>
        <w:suppressAutoHyphens w:val="0"/>
        <w:autoSpaceDE w:val="0"/>
        <w:autoSpaceDN w:val="0"/>
        <w:adjustRightInd w:val="0"/>
        <w:spacing w:before="60"/>
        <w:ind w:left="1418" w:right="1134" w:hanging="284"/>
        <w:jc w:val="both"/>
        <w:rPr>
          <w:snapToGrid w:val="0"/>
          <w:szCs w:val="24"/>
          <w:lang w:val="de-DE" w:eastAsia="fr-FR"/>
        </w:rPr>
      </w:pPr>
      <w:r w:rsidRPr="00DD2A86">
        <w:rPr>
          <w:snapToGrid w:val="0"/>
          <w:szCs w:val="24"/>
          <w:lang w:val="de-DE" w:eastAsia="fr-FR"/>
        </w:rPr>
        <w:t>a)</w:t>
      </w:r>
      <w:r w:rsidRPr="00DD2A86">
        <w:rPr>
          <w:snapToGrid w:val="0"/>
          <w:szCs w:val="24"/>
          <w:lang w:val="de-DE" w:eastAsia="fr-FR"/>
        </w:rPr>
        <w:tab/>
        <w:t>Die Feuerlöscheinrichtung muss über eine Typgenehmigung nach der Richtlinie 2014/90/EU</w:t>
      </w:r>
      <w:r w:rsidRPr="00DD2A86">
        <w:rPr>
          <w:snapToGrid w:val="0"/>
          <w:sz w:val="18"/>
          <w:szCs w:val="24"/>
          <w:vertAlign w:val="superscript"/>
          <w:lang w:val="de-DE" w:eastAsia="fr-FR"/>
        </w:rPr>
        <w:t xml:space="preserve"> </w:t>
      </w:r>
      <w:r w:rsidRPr="00DD2A86">
        <w:rPr>
          <w:snapToGrid w:val="0"/>
          <w:sz w:val="18"/>
          <w:szCs w:val="24"/>
          <w:vertAlign w:val="superscript"/>
          <w:lang w:val="fr-CH" w:eastAsia="fr-FR"/>
        </w:rPr>
        <w:footnoteReference w:id="73"/>
      </w:r>
      <w:r w:rsidRPr="00DD2A86">
        <w:rPr>
          <w:snapToGrid w:val="0"/>
          <w:szCs w:val="24"/>
          <w:lang w:val="de-DE" w:eastAsia="fr-FR"/>
        </w:rPr>
        <w:t xml:space="preserve"> oder nach MSC/Circ. 1270</w:t>
      </w:r>
      <w:r w:rsidRPr="00DD2A86">
        <w:rPr>
          <w:snapToGrid w:val="0"/>
          <w:szCs w:val="24"/>
          <w:vertAlign w:val="superscript"/>
          <w:lang w:val="fr-FR" w:eastAsia="fr-FR"/>
        </w:rPr>
        <w:footnoteReference w:id="74"/>
      </w:r>
      <w:r w:rsidRPr="00DD2A86">
        <w:rPr>
          <w:snapToGrid w:val="0"/>
          <w:szCs w:val="24"/>
          <w:vertAlign w:val="superscript"/>
          <w:lang w:val="de-DE" w:eastAsia="fr-FR"/>
        </w:rPr>
        <w:t>)</w:t>
      </w:r>
      <w:r w:rsidRPr="00DD2A86">
        <w:rPr>
          <w:snapToGrid w:val="0"/>
          <w:szCs w:val="24"/>
          <w:lang w:val="de-DE" w:eastAsia="fr-FR"/>
        </w:rPr>
        <w:t xml:space="preserve"> verfügen;</w:t>
      </w:r>
    </w:p>
    <w:p w:rsidR="00E741E6" w:rsidRPr="00DD2A86" w:rsidRDefault="00E741E6" w:rsidP="00E741E6">
      <w:pPr>
        <w:suppressAutoHyphens w:val="0"/>
        <w:autoSpaceDE w:val="0"/>
        <w:autoSpaceDN w:val="0"/>
        <w:adjustRightInd w:val="0"/>
        <w:spacing w:before="60"/>
        <w:ind w:left="1418" w:right="1134" w:hanging="284"/>
        <w:jc w:val="both"/>
        <w:rPr>
          <w:snapToGrid w:val="0"/>
          <w:szCs w:val="24"/>
          <w:lang w:val="de-DE" w:eastAsia="fr-FR"/>
        </w:rPr>
      </w:pPr>
      <w:r w:rsidRPr="00DD2A86">
        <w:rPr>
          <w:snapToGrid w:val="0"/>
          <w:szCs w:val="24"/>
          <w:lang w:val="de-DE" w:eastAsia="fr-FR"/>
        </w:rPr>
        <w:t>b)</w:t>
      </w:r>
      <w:r w:rsidRPr="00DD2A86">
        <w:rPr>
          <w:snapToGrid w:val="0"/>
          <w:szCs w:val="24"/>
          <w:lang w:val="de-DE" w:eastAsia="fr-FR"/>
        </w:rPr>
        <w:tab/>
        <w:t>Jeder Raum ist mit einer eigenen Löscheinrichtung zu versehen;</w:t>
      </w:r>
    </w:p>
    <w:p w:rsidR="00E741E6" w:rsidRPr="00DD2A86" w:rsidRDefault="00E741E6" w:rsidP="00E741E6">
      <w:pPr>
        <w:suppressAutoHyphens w:val="0"/>
        <w:autoSpaceDE w:val="0"/>
        <w:autoSpaceDN w:val="0"/>
        <w:adjustRightInd w:val="0"/>
        <w:spacing w:before="60"/>
        <w:ind w:left="1418" w:right="1134" w:hanging="284"/>
        <w:jc w:val="both"/>
        <w:rPr>
          <w:snapToGrid w:val="0"/>
          <w:szCs w:val="24"/>
          <w:lang w:val="de-DE" w:eastAsia="fr-FR"/>
        </w:rPr>
      </w:pPr>
      <w:r w:rsidRPr="00DD2A86">
        <w:rPr>
          <w:snapToGrid w:val="0"/>
          <w:szCs w:val="24"/>
          <w:lang w:val="de-DE" w:eastAsia="fr-FR"/>
        </w:rPr>
        <w:t>c)</w:t>
      </w:r>
      <w:r w:rsidRPr="00DD2A86">
        <w:rPr>
          <w:snapToGrid w:val="0"/>
          <w:szCs w:val="24"/>
          <w:lang w:val="de-DE" w:eastAsia="fr-FR"/>
        </w:rPr>
        <w:tab/>
        <w:t>Das Löschmittel muss in speziell dafür vorgesehenen drucklosen Behältern im zu schützenden Raum aufbewahrt werden. Diese Behälter müssen so angebracht sein, dass das Löschmittel gleichmäßig im Raum verteilt wird. Insbesondere muss das Löschmittel auch unter den Bodenplatten wirken;</w:t>
      </w:r>
    </w:p>
    <w:p w:rsidR="00E741E6" w:rsidRPr="00DD2A86" w:rsidRDefault="00E741E6" w:rsidP="00E741E6">
      <w:pPr>
        <w:suppressAutoHyphens w:val="0"/>
        <w:autoSpaceDE w:val="0"/>
        <w:autoSpaceDN w:val="0"/>
        <w:adjustRightInd w:val="0"/>
        <w:spacing w:before="60"/>
        <w:ind w:left="1418" w:right="1134" w:hanging="284"/>
        <w:jc w:val="both"/>
        <w:rPr>
          <w:snapToGrid w:val="0"/>
          <w:szCs w:val="24"/>
          <w:lang w:val="de-DE" w:eastAsia="fr-FR"/>
        </w:rPr>
      </w:pPr>
      <w:r w:rsidRPr="00DD2A86">
        <w:rPr>
          <w:snapToGrid w:val="0"/>
          <w:szCs w:val="24"/>
          <w:lang w:val="de-DE" w:eastAsia="fr-FR"/>
        </w:rPr>
        <w:t>d)</w:t>
      </w:r>
      <w:r w:rsidRPr="00DD2A86">
        <w:rPr>
          <w:snapToGrid w:val="0"/>
          <w:szCs w:val="24"/>
          <w:lang w:val="de-DE" w:eastAsia="fr-FR"/>
        </w:rPr>
        <w:tab/>
        <w:t>Jeder Behälter ist separat mit der Auslöseeinrichtung  zu verbinden;</w:t>
      </w:r>
    </w:p>
    <w:p w:rsidR="00E741E6" w:rsidRPr="00DD2A86" w:rsidRDefault="00E741E6" w:rsidP="00E741E6">
      <w:pPr>
        <w:suppressAutoHyphens w:val="0"/>
        <w:autoSpaceDE w:val="0"/>
        <w:autoSpaceDN w:val="0"/>
        <w:adjustRightInd w:val="0"/>
        <w:spacing w:before="60"/>
        <w:ind w:left="1418" w:right="1134" w:hanging="284"/>
        <w:jc w:val="both"/>
        <w:rPr>
          <w:snapToGrid w:val="0"/>
          <w:szCs w:val="24"/>
          <w:lang w:val="de-DE" w:eastAsia="fr-FR"/>
        </w:rPr>
      </w:pPr>
      <w:r w:rsidRPr="00DD2A86">
        <w:rPr>
          <w:snapToGrid w:val="0"/>
          <w:szCs w:val="24"/>
          <w:lang w:val="de-DE" w:eastAsia="fr-FR"/>
        </w:rPr>
        <w:t>e)</w:t>
      </w:r>
      <w:r w:rsidRPr="00DD2A86">
        <w:rPr>
          <w:snapToGrid w:val="0"/>
          <w:szCs w:val="24"/>
          <w:lang w:val="de-DE" w:eastAsia="fr-FR"/>
        </w:rPr>
        <w:tab/>
        <w:t>Die Menge an trockenem aerosolbildendem Löschmittel für den zu schützenden Raum muss mindestens 120 g/m³ des Nettovolumens des Raums betragen.</w:t>
      </w:r>
      <w:r w:rsidRPr="00DD2A86">
        <w:rPr>
          <w:sz w:val="24"/>
          <w:lang w:val="de-DE"/>
        </w:rPr>
        <w:t xml:space="preserve"> </w:t>
      </w:r>
      <w:r w:rsidRPr="00DD2A86">
        <w:rPr>
          <w:snapToGrid w:val="0"/>
          <w:szCs w:val="24"/>
          <w:lang w:val="de-DE" w:eastAsia="fr-FR"/>
        </w:rPr>
        <w:t>Das Nettovolumen errechnet sich nach der Richtlinie 2014/90/EU</w:t>
      </w:r>
      <w:r w:rsidRPr="00DD2A86">
        <w:rPr>
          <w:snapToGrid w:val="0"/>
          <w:sz w:val="18"/>
          <w:szCs w:val="24"/>
          <w:vertAlign w:val="superscript"/>
          <w:lang w:val="de-DE" w:eastAsia="fr-FR"/>
        </w:rPr>
        <w:t xml:space="preserve"> </w:t>
      </w:r>
      <w:r w:rsidRPr="00DD2A86">
        <w:rPr>
          <w:snapToGrid w:val="0"/>
          <w:sz w:val="18"/>
          <w:szCs w:val="24"/>
          <w:vertAlign w:val="superscript"/>
          <w:lang w:val="fr-CH" w:eastAsia="fr-FR"/>
        </w:rPr>
        <w:footnoteReference w:id="75"/>
      </w:r>
      <w:r w:rsidRPr="00DD2A86">
        <w:rPr>
          <w:snapToGrid w:val="0"/>
          <w:sz w:val="18"/>
          <w:szCs w:val="24"/>
          <w:vertAlign w:val="superscript"/>
          <w:lang w:val="de-DE" w:eastAsia="fr-FR"/>
        </w:rPr>
        <w:t>)</w:t>
      </w:r>
      <w:r w:rsidRPr="00DD2A86">
        <w:rPr>
          <w:snapToGrid w:val="0"/>
          <w:szCs w:val="24"/>
          <w:lang w:val="de-DE" w:eastAsia="fr-FR"/>
        </w:rPr>
        <w:t xml:space="preserve"> oder nach MSC/Circ. 1270</w:t>
      </w:r>
      <w:r w:rsidRPr="00DD2A86">
        <w:rPr>
          <w:snapToGrid w:val="0"/>
          <w:szCs w:val="24"/>
          <w:vertAlign w:val="superscript"/>
          <w:lang w:val="fr-FR" w:eastAsia="fr-FR"/>
        </w:rPr>
        <w:footnoteReference w:id="76"/>
      </w:r>
      <w:r w:rsidRPr="00DD2A86">
        <w:rPr>
          <w:snapToGrid w:val="0"/>
          <w:szCs w:val="24"/>
          <w:vertAlign w:val="superscript"/>
          <w:lang w:val="de-DE" w:eastAsia="fr-FR"/>
        </w:rPr>
        <w:t>)</w:t>
      </w:r>
      <w:r w:rsidRPr="00DD2A86">
        <w:rPr>
          <w:snapToGrid w:val="0"/>
          <w:lang w:val="de-DE"/>
        </w:rPr>
        <w:t>.</w:t>
      </w:r>
      <w:r w:rsidRPr="00DD2A86">
        <w:rPr>
          <w:snapToGrid w:val="0"/>
          <w:szCs w:val="24"/>
          <w:lang w:val="de-DE" w:eastAsia="fr-FR"/>
        </w:rPr>
        <w:t xml:space="preserve"> Das Löschmittel muss innerhalb von 120 Sekunden zugeführt werden können.“.</w:t>
      </w:r>
    </w:p>
    <w:p w:rsidR="00E741E6" w:rsidRPr="00DD2A86" w:rsidRDefault="00E741E6" w:rsidP="006E508C">
      <w:pPr>
        <w:pStyle w:val="ListParagraph"/>
        <w:tabs>
          <w:tab w:val="left" w:pos="4536"/>
        </w:tabs>
        <w:suppressAutoHyphens w:val="0"/>
        <w:autoSpaceDE w:val="0"/>
        <w:autoSpaceDN w:val="0"/>
        <w:adjustRightInd w:val="0"/>
        <w:spacing w:before="240"/>
        <w:ind w:left="1134" w:right="992"/>
        <w:contextualSpacing w:val="0"/>
        <w:jc w:val="both"/>
        <w:rPr>
          <w:lang w:val="de-DE" w:eastAsia="de-DE"/>
        </w:rPr>
      </w:pPr>
      <w:r w:rsidRPr="00DD2A86">
        <w:rPr>
          <w:rFonts w:eastAsia="Calibri"/>
          <w:lang w:val="de-DE" w:eastAsia="de-DE"/>
        </w:rPr>
        <w:t>9.3.1.41.3, 9.3.2.41.3 und 9.3.3.41.3</w:t>
      </w:r>
      <w:r w:rsidRPr="00DD2A86">
        <w:rPr>
          <w:rFonts w:eastAsia="Calibri"/>
          <w:lang w:val="de-DE" w:eastAsia="de-DE"/>
        </w:rPr>
        <w:tab/>
        <w:t>Erhalten folgenden Wortlaut:</w:t>
      </w:r>
      <w:r w:rsidR="006E508C" w:rsidRPr="00DD2A86">
        <w:rPr>
          <w:rFonts w:eastAsia="Calibri"/>
          <w:lang w:val="de-DE" w:eastAsia="de-DE"/>
        </w:rPr>
        <w:t xml:space="preserve"> </w:t>
      </w:r>
      <w:r w:rsidRPr="00DD2A86">
        <w:rPr>
          <w:rFonts w:eastAsia="Calibri"/>
          <w:lang w:val="de-DE" w:eastAsia="de-DE"/>
        </w:rPr>
        <w:t>„</w:t>
      </w:r>
      <w:r w:rsidRPr="00DD2A86">
        <w:rPr>
          <w:lang w:val="de-DE" w:eastAsia="de-DE"/>
        </w:rPr>
        <w:t>Es sind nur elektrische Leuchtmittel zugelassen.“.</w:t>
      </w:r>
    </w:p>
    <w:p w:rsidR="002669A1" w:rsidRPr="00DD2A86" w:rsidRDefault="002669A1" w:rsidP="002669A1">
      <w:pPr>
        <w:pStyle w:val="ListParagraph"/>
        <w:tabs>
          <w:tab w:val="left" w:pos="4536"/>
        </w:tabs>
        <w:suppressAutoHyphens w:val="0"/>
        <w:autoSpaceDE w:val="0"/>
        <w:autoSpaceDN w:val="0"/>
        <w:adjustRightInd w:val="0"/>
        <w:spacing w:before="240"/>
        <w:ind w:left="1134"/>
        <w:contextualSpacing w:val="0"/>
        <w:jc w:val="both"/>
        <w:rPr>
          <w:rFonts w:eastAsia="Calibri"/>
          <w:lang w:val="de-DE" w:eastAsia="de-DE"/>
        </w:rPr>
      </w:pPr>
      <w:r w:rsidRPr="00DD2A86">
        <w:rPr>
          <w:rFonts w:eastAsia="Calibri"/>
          <w:lang w:val="de-DE" w:eastAsia="de-DE"/>
        </w:rPr>
        <w:t>9.3.1.50, 9.3.2.50 und 9.3.3.50</w:t>
      </w:r>
      <w:r w:rsidRPr="00DD2A86">
        <w:rPr>
          <w:rFonts w:eastAsia="Calibri"/>
          <w:lang w:val="de-DE" w:eastAsia="de-DE"/>
        </w:rPr>
        <w:tab/>
        <w:t>Erhalten folgenden Wortlaut: „(gestrichen)“.</w:t>
      </w:r>
    </w:p>
    <w:p w:rsidR="002669A1" w:rsidRPr="00DD2A86" w:rsidRDefault="002669A1" w:rsidP="002669A1">
      <w:pPr>
        <w:pStyle w:val="ListParagraph"/>
        <w:suppressAutoHyphens w:val="0"/>
        <w:autoSpaceDE w:val="0"/>
        <w:autoSpaceDN w:val="0"/>
        <w:adjustRightInd w:val="0"/>
        <w:spacing w:before="240"/>
        <w:ind w:left="1134" w:right="1134"/>
        <w:contextualSpacing w:val="0"/>
        <w:jc w:val="both"/>
        <w:rPr>
          <w:rFonts w:eastAsia="Calibri"/>
          <w:lang w:val="de-DE" w:eastAsia="de-DE"/>
        </w:rPr>
      </w:pPr>
      <w:r w:rsidRPr="00DD2A86">
        <w:rPr>
          <w:rFonts w:eastAsia="Calibri"/>
          <w:lang w:val="de-DE" w:eastAsia="de-DE"/>
        </w:rPr>
        <w:t>9.3.1.51 und 9.3.2.51</w:t>
      </w:r>
      <w:r w:rsidRPr="00DD2A86">
        <w:rPr>
          <w:rFonts w:eastAsia="Calibri"/>
          <w:lang w:val="de-DE" w:eastAsia="de-DE"/>
        </w:rPr>
        <w:tab/>
      </w:r>
      <w:r w:rsidRPr="00DD2A86">
        <w:rPr>
          <w:rFonts w:eastAsia="Calibri"/>
          <w:lang w:val="de-DE" w:eastAsia="de-DE"/>
        </w:rPr>
        <w:tab/>
        <w:t>Erhalten folgenden Wortlaut:</w:t>
      </w:r>
    </w:p>
    <w:p w:rsidR="002669A1" w:rsidRPr="00DD2A86" w:rsidRDefault="002669A1" w:rsidP="002669A1">
      <w:pPr>
        <w:pStyle w:val="ListParagraph"/>
        <w:suppressAutoHyphens w:val="0"/>
        <w:autoSpaceDE w:val="0"/>
        <w:autoSpaceDN w:val="0"/>
        <w:adjustRightInd w:val="0"/>
        <w:spacing w:before="60"/>
        <w:ind w:left="2268" w:right="1134"/>
        <w:contextualSpacing w:val="0"/>
        <w:rPr>
          <w:rFonts w:eastAsia="Calibri"/>
          <w:b/>
          <w:bCs/>
          <w:lang w:val="de-DE" w:eastAsia="de-DE"/>
        </w:rPr>
      </w:pPr>
      <w:r w:rsidRPr="00DD2A86">
        <w:rPr>
          <w:rFonts w:eastAsia="Calibri"/>
          <w:b/>
          <w:bCs/>
          <w:lang w:val="de-DE" w:eastAsia="de-DE"/>
        </w:rPr>
        <w:t>„Oberflächentemperaturen von Anlagen und Geräten</w:t>
      </w:r>
    </w:p>
    <w:p w:rsidR="002669A1" w:rsidRPr="00DD2A86" w:rsidRDefault="002669A1" w:rsidP="002669A1">
      <w:pPr>
        <w:suppressAutoHyphens w:val="0"/>
        <w:autoSpaceDE w:val="0"/>
        <w:autoSpaceDN w:val="0"/>
        <w:adjustRightInd w:val="0"/>
        <w:spacing w:before="60"/>
        <w:ind w:left="2552" w:right="1134" w:hanging="284"/>
        <w:jc w:val="both"/>
        <w:rPr>
          <w:rFonts w:eastAsia="Calibri"/>
          <w:lang w:val="de-DE"/>
        </w:rPr>
      </w:pPr>
      <w:r w:rsidRPr="00DD2A86">
        <w:rPr>
          <w:rFonts w:eastAsia="Calibri"/>
          <w:lang w:val="de-DE"/>
        </w:rPr>
        <w:t>a)</w:t>
      </w:r>
      <w:r w:rsidRPr="00DD2A86">
        <w:rPr>
          <w:rFonts w:eastAsia="Calibri"/>
          <w:lang w:val="de-DE"/>
        </w:rPr>
        <w:tab/>
        <w:t>Oberflächentemperaturen von elektrischen und nicht-elektrischen Anlagen und Geräten dürfen 200 °C nicht überschreiten.</w:t>
      </w:r>
    </w:p>
    <w:p w:rsidR="002669A1" w:rsidRPr="00DD2A86" w:rsidRDefault="002669A1" w:rsidP="002669A1">
      <w:pPr>
        <w:suppressAutoHyphens w:val="0"/>
        <w:autoSpaceDE w:val="0"/>
        <w:autoSpaceDN w:val="0"/>
        <w:adjustRightInd w:val="0"/>
        <w:spacing w:before="60"/>
        <w:ind w:left="2552" w:right="1134" w:hanging="284"/>
        <w:jc w:val="both"/>
        <w:rPr>
          <w:rFonts w:eastAsia="Calibri"/>
          <w:lang w:val="de-DE"/>
        </w:rPr>
      </w:pPr>
      <w:r w:rsidRPr="00DD2A86">
        <w:rPr>
          <w:rFonts w:eastAsia="Calibri"/>
          <w:lang w:val="de-DE"/>
        </w:rPr>
        <w:t>b)</w:t>
      </w:r>
      <w:r w:rsidRPr="00DD2A86">
        <w:rPr>
          <w:rFonts w:eastAsia="Calibri"/>
          <w:lang w:val="de-DE"/>
        </w:rPr>
        <w:tab/>
        <w:t>Oberflächentemperaturen von äußeren Teilen von Motoren und deren Luft- und Abgasschächten dürfen 200 °C nicht überschreiten.</w:t>
      </w:r>
    </w:p>
    <w:p w:rsidR="002669A1" w:rsidRPr="00DD2A86" w:rsidRDefault="002669A1" w:rsidP="002669A1">
      <w:pPr>
        <w:suppressAutoHyphens w:val="0"/>
        <w:autoSpaceDE w:val="0"/>
        <w:autoSpaceDN w:val="0"/>
        <w:adjustRightInd w:val="0"/>
        <w:spacing w:before="60"/>
        <w:ind w:left="2552" w:right="1134" w:hanging="284"/>
        <w:jc w:val="both"/>
        <w:rPr>
          <w:rFonts w:eastAsia="Calibri"/>
          <w:lang w:val="de-DE"/>
        </w:rPr>
      </w:pPr>
      <w:r w:rsidRPr="00DD2A86">
        <w:rPr>
          <w:rFonts w:eastAsia="Calibri"/>
          <w:lang w:val="de-DE"/>
        </w:rPr>
        <w:t>c)</w:t>
      </w:r>
      <w:r w:rsidRPr="00DD2A86">
        <w:rPr>
          <w:rFonts w:eastAsia="Calibri"/>
          <w:lang w:val="de-DE"/>
        </w:rPr>
        <w:tab/>
        <w:t>Wenn die Schiffsstoffliste nach Absatz 1.16.1.2.5 Stoffe enthalten soll, für die nach Unterabschnitt 3.2.3.2 Tabelle C, Spalte (15) eine Temperaturklasse T4, T5 oder T6 eingetragen ist, dürfen in den an Bord ausgewiesenen Zonen die entsprechenden Oberflächentemperaturen 135</w:t>
      </w:r>
      <w:r w:rsidR="006E508C" w:rsidRPr="00DD2A86">
        <w:rPr>
          <w:rFonts w:eastAsia="Calibri"/>
          <w:lang w:val="de-DE"/>
        </w:rPr>
        <w:t> </w:t>
      </w:r>
      <w:r w:rsidRPr="00DD2A86">
        <w:rPr>
          <w:rFonts w:eastAsia="Calibri"/>
          <w:lang w:val="de-DE"/>
        </w:rPr>
        <w:t>°C (T4), 100 °C (T5) und 85 °C (T6) nicht überschreiten.</w:t>
      </w:r>
    </w:p>
    <w:p w:rsidR="002669A1" w:rsidRPr="00DD2A86" w:rsidRDefault="002669A1" w:rsidP="002669A1">
      <w:pPr>
        <w:suppressAutoHyphens w:val="0"/>
        <w:autoSpaceDE w:val="0"/>
        <w:autoSpaceDN w:val="0"/>
        <w:adjustRightInd w:val="0"/>
        <w:spacing w:before="60"/>
        <w:ind w:left="2552" w:right="1134" w:hanging="284"/>
        <w:jc w:val="both"/>
        <w:rPr>
          <w:rFonts w:eastAsia="Calibri"/>
          <w:lang w:val="de-DE"/>
        </w:rPr>
      </w:pPr>
      <w:r w:rsidRPr="00DD2A86">
        <w:rPr>
          <w:rFonts w:eastAsia="Calibri"/>
          <w:lang w:val="de-DE"/>
        </w:rPr>
        <w:t>d)</w:t>
      </w:r>
      <w:r w:rsidRPr="00DD2A86">
        <w:rPr>
          <w:rFonts w:eastAsia="Calibri"/>
          <w:lang w:val="de-DE"/>
        </w:rPr>
        <w:tab/>
        <w:t>Buchstaben a) und b) gelten nicht, wenn folgende Forderungen eingehalten sind (siehe auch 7.2.3.51.4):</w:t>
      </w:r>
    </w:p>
    <w:p w:rsidR="002669A1" w:rsidRPr="00DD2A86" w:rsidRDefault="002669A1" w:rsidP="002669A1">
      <w:pPr>
        <w:suppressAutoHyphens w:val="0"/>
        <w:autoSpaceDE w:val="0"/>
        <w:autoSpaceDN w:val="0"/>
        <w:adjustRightInd w:val="0"/>
        <w:spacing w:before="60"/>
        <w:ind w:left="2835" w:right="1134" w:hanging="284"/>
        <w:jc w:val="both"/>
        <w:rPr>
          <w:rFonts w:eastAsia="Calibri"/>
          <w:lang w:val="de-DE"/>
        </w:rPr>
      </w:pPr>
      <w:r w:rsidRPr="00DD2A86">
        <w:rPr>
          <w:rFonts w:eastAsia="Calibri"/>
          <w:lang w:val="de-DE"/>
        </w:rPr>
        <w:t>(i)</w:t>
      </w:r>
      <w:r w:rsidRPr="00DD2A86">
        <w:rPr>
          <w:rFonts w:eastAsia="Calibri"/>
          <w:lang w:val="de-DE"/>
        </w:rPr>
        <w:tab/>
        <w:t>Wohnungen, Steuerhaus und Betriebsräume in denen höhere Oberflächentemperaturen als unter Buchstaben a) und b) angegeben, auftreten, sind mit einen Lüftungssystem nach 9.3.x.12.4 b) ausgestattet,</w:t>
      </w:r>
    </w:p>
    <w:p w:rsidR="002669A1" w:rsidRPr="00DD2A86" w:rsidRDefault="002669A1" w:rsidP="002669A1">
      <w:pPr>
        <w:suppressAutoHyphens w:val="0"/>
        <w:autoSpaceDE w:val="0"/>
        <w:autoSpaceDN w:val="0"/>
        <w:adjustRightInd w:val="0"/>
        <w:spacing w:before="60"/>
        <w:ind w:left="2835" w:right="1134" w:hanging="284"/>
        <w:jc w:val="both"/>
        <w:rPr>
          <w:rFonts w:eastAsia="Calibri"/>
          <w:lang w:val="de-DE"/>
        </w:rPr>
      </w:pPr>
      <w:r w:rsidRPr="00DD2A86">
        <w:rPr>
          <w:rFonts w:eastAsia="Calibri"/>
          <w:lang w:val="de-DE"/>
        </w:rPr>
        <w:t>oder</w:t>
      </w:r>
    </w:p>
    <w:p w:rsidR="002669A1" w:rsidRPr="00DD2A86" w:rsidRDefault="002669A1" w:rsidP="002669A1">
      <w:pPr>
        <w:suppressAutoHyphens w:val="0"/>
        <w:autoSpaceDE w:val="0"/>
        <w:autoSpaceDN w:val="0"/>
        <w:adjustRightInd w:val="0"/>
        <w:spacing w:before="60"/>
        <w:ind w:left="2835" w:right="1134" w:hanging="284"/>
        <w:jc w:val="both"/>
        <w:rPr>
          <w:rFonts w:eastAsia="Calibri"/>
          <w:lang w:val="de-DE"/>
        </w:rPr>
      </w:pPr>
      <w:r w:rsidRPr="00DD2A86">
        <w:rPr>
          <w:rFonts w:eastAsia="Calibri"/>
          <w:lang w:val="de-DE"/>
        </w:rPr>
        <w:t>(ii)</w:t>
      </w:r>
      <w:r w:rsidRPr="00DD2A86">
        <w:rPr>
          <w:rFonts w:eastAsia="Calibri"/>
          <w:lang w:val="de-DE"/>
        </w:rPr>
        <w:tab/>
        <w:t>Anlagen und Geräte, die höhere Oberflächentemperaturen als unter Buchstabe a) bzw. b) angegeben erzeugen, sind abschaltbar. Solche Anlagen und Geräte müssen rot gekennzeichnet sein.“.</w:t>
      </w:r>
    </w:p>
    <w:p w:rsidR="002669A1" w:rsidRPr="00DD2A86" w:rsidRDefault="002669A1" w:rsidP="002669A1">
      <w:pPr>
        <w:pStyle w:val="ListParagraph"/>
        <w:suppressAutoHyphens w:val="0"/>
        <w:autoSpaceDE w:val="0"/>
        <w:autoSpaceDN w:val="0"/>
        <w:adjustRightInd w:val="0"/>
        <w:spacing w:before="240"/>
        <w:ind w:left="1134"/>
        <w:contextualSpacing w:val="0"/>
        <w:jc w:val="both"/>
        <w:rPr>
          <w:rFonts w:eastAsia="Calibri"/>
          <w:bCs/>
          <w:lang w:val="de-DE" w:eastAsia="de-DE"/>
        </w:rPr>
      </w:pPr>
      <w:r w:rsidRPr="00DD2A86">
        <w:rPr>
          <w:rFonts w:eastAsia="Calibri"/>
          <w:bCs/>
          <w:lang w:val="de-DE" w:eastAsia="de-DE"/>
        </w:rPr>
        <w:t>9.3.1.51.1, 9.3.1.51.2 und 9.3.1.51.3</w:t>
      </w:r>
      <w:r w:rsidRPr="00DD2A86">
        <w:rPr>
          <w:rFonts w:eastAsia="Calibri"/>
          <w:bCs/>
          <w:lang w:val="de-DE" w:eastAsia="de-DE"/>
        </w:rPr>
        <w:tab/>
        <w:t>Absätze streichen</w:t>
      </w:r>
    </w:p>
    <w:p w:rsidR="002669A1" w:rsidRPr="00DD2A86" w:rsidRDefault="002669A1" w:rsidP="002669A1">
      <w:pPr>
        <w:pStyle w:val="ListParagraph"/>
        <w:suppressAutoHyphens w:val="0"/>
        <w:autoSpaceDE w:val="0"/>
        <w:autoSpaceDN w:val="0"/>
        <w:adjustRightInd w:val="0"/>
        <w:spacing w:before="240"/>
        <w:ind w:left="1134" w:right="1134"/>
        <w:contextualSpacing w:val="0"/>
        <w:jc w:val="both"/>
        <w:rPr>
          <w:rFonts w:eastAsia="Calibri"/>
          <w:lang w:val="de-DE" w:eastAsia="de-DE"/>
        </w:rPr>
      </w:pPr>
      <w:r w:rsidRPr="00DD2A86">
        <w:rPr>
          <w:rFonts w:eastAsia="Calibri"/>
          <w:lang w:val="de-DE" w:eastAsia="de-DE"/>
        </w:rPr>
        <w:t>9.3.1.52, 9.3.2.52 und 9.3.3.52</w:t>
      </w:r>
      <w:r w:rsidRPr="00DD2A86">
        <w:rPr>
          <w:rFonts w:eastAsia="Calibri"/>
          <w:lang w:val="de-DE" w:eastAsia="de-DE"/>
        </w:rPr>
        <w:tab/>
        <w:t>Der Titel erhält folgenden Wortlaut:</w:t>
      </w:r>
    </w:p>
    <w:p w:rsidR="002669A1" w:rsidRPr="00DD2A86" w:rsidRDefault="002669A1" w:rsidP="002669A1">
      <w:pPr>
        <w:spacing w:before="120" w:line="240" w:lineRule="auto"/>
        <w:ind w:left="2268" w:right="1134"/>
        <w:jc w:val="both"/>
        <w:rPr>
          <w:bCs/>
          <w:snapToGrid w:val="0"/>
          <w:lang w:val="de-DE" w:eastAsia="de-DE"/>
        </w:rPr>
      </w:pPr>
      <w:r w:rsidRPr="00DD2A86">
        <w:rPr>
          <w:bCs/>
          <w:snapToGrid w:val="0"/>
          <w:lang w:val="de-DE" w:eastAsia="de-DE"/>
        </w:rPr>
        <w:t>„Art und Aufstellungsort der elektrischen Anlagen und Geräte“.</w:t>
      </w:r>
    </w:p>
    <w:p w:rsidR="002669A1" w:rsidRPr="00DD2A86" w:rsidRDefault="002669A1" w:rsidP="002669A1">
      <w:pPr>
        <w:pStyle w:val="ListParagraph"/>
        <w:suppressAutoHyphens w:val="0"/>
        <w:autoSpaceDE w:val="0"/>
        <w:autoSpaceDN w:val="0"/>
        <w:adjustRightInd w:val="0"/>
        <w:spacing w:before="240"/>
        <w:ind w:left="1134" w:right="1134"/>
        <w:contextualSpacing w:val="0"/>
        <w:jc w:val="both"/>
        <w:rPr>
          <w:rFonts w:eastAsia="Calibri"/>
          <w:lang w:val="de-DE" w:eastAsia="de-DE"/>
        </w:rPr>
      </w:pPr>
      <w:r w:rsidRPr="00DD2A86">
        <w:rPr>
          <w:rFonts w:eastAsia="Calibri"/>
          <w:lang w:val="de-DE" w:eastAsia="de-DE"/>
        </w:rPr>
        <w:t>9.3.1.52.1, 9.3.2.52.1 und 9.3.3.52.1</w:t>
      </w:r>
      <w:r w:rsidRPr="00DD2A86">
        <w:rPr>
          <w:rFonts w:eastAsia="Calibri"/>
          <w:lang w:val="de-DE" w:eastAsia="de-DE"/>
        </w:rPr>
        <w:tab/>
        <w:t>Erhalten folgenden Wortlaut:</w:t>
      </w:r>
    </w:p>
    <w:p w:rsidR="002669A1" w:rsidRPr="00DD2A86" w:rsidRDefault="002669A1" w:rsidP="002669A1">
      <w:pPr>
        <w:suppressAutoHyphens w:val="0"/>
        <w:autoSpaceDE w:val="0"/>
        <w:autoSpaceDN w:val="0"/>
        <w:adjustRightInd w:val="0"/>
        <w:spacing w:before="120" w:line="240" w:lineRule="auto"/>
        <w:ind w:left="2268" w:right="1134"/>
        <w:rPr>
          <w:rFonts w:eastAsia="Calibri"/>
          <w:lang w:val="de-DE"/>
        </w:rPr>
      </w:pPr>
      <w:r w:rsidRPr="00DD2A86">
        <w:rPr>
          <w:rFonts w:eastAsia="Calibri"/>
          <w:lang w:val="de-DE"/>
        </w:rPr>
        <w:t xml:space="preserve">„Elektrische Anlagen und </w:t>
      </w:r>
      <w:r w:rsidRPr="00DD2A86">
        <w:rPr>
          <w:rFonts w:eastAsia="Calibri"/>
          <w:lang w:val="de-DE" w:eastAsia="de-DE"/>
        </w:rPr>
        <w:t>Geräte</w:t>
      </w:r>
      <w:r w:rsidRPr="00DD2A86">
        <w:rPr>
          <w:rFonts w:eastAsia="Calibri"/>
          <w:color w:val="3333FF"/>
          <w:lang w:val="de-DE" w:eastAsia="de-DE"/>
        </w:rPr>
        <w:t xml:space="preserve"> </w:t>
      </w:r>
      <w:r w:rsidRPr="00DD2A86">
        <w:rPr>
          <w:rFonts w:eastAsia="Calibri"/>
          <w:lang w:val="de-DE" w:eastAsia="de-DE"/>
        </w:rPr>
        <w:t>müssen mindestens dem Typ „begrenzte Explosionsgefahr“ entsprechen.</w:t>
      </w:r>
    </w:p>
    <w:p w:rsidR="002669A1" w:rsidRPr="00DD2A86" w:rsidRDefault="002669A1" w:rsidP="002669A1">
      <w:pPr>
        <w:suppressAutoHyphens w:val="0"/>
        <w:autoSpaceDE w:val="0"/>
        <w:autoSpaceDN w:val="0"/>
        <w:adjustRightInd w:val="0"/>
        <w:spacing w:before="120" w:line="240" w:lineRule="auto"/>
        <w:ind w:left="2268" w:right="1134"/>
        <w:jc w:val="both"/>
        <w:rPr>
          <w:rFonts w:eastAsia="Calibri"/>
          <w:lang w:val="de-DE"/>
        </w:rPr>
      </w:pPr>
      <w:r w:rsidRPr="00DD2A86">
        <w:rPr>
          <w:rFonts w:eastAsia="Calibri"/>
          <w:lang w:val="de-DE"/>
        </w:rPr>
        <w:t>Dies gilt nicht für</w:t>
      </w:r>
    </w:p>
    <w:p w:rsidR="002669A1" w:rsidRPr="00DD2A86" w:rsidRDefault="002669A1" w:rsidP="002669A1">
      <w:pPr>
        <w:suppressAutoHyphens w:val="0"/>
        <w:autoSpaceDE w:val="0"/>
        <w:autoSpaceDN w:val="0"/>
        <w:adjustRightInd w:val="0"/>
        <w:spacing w:before="60"/>
        <w:ind w:left="2552" w:right="1134" w:hanging="284"/>
        <w:jc w:val="both"/>
        <w:rPr>
          <w:rFonts w:eastAsia="Calibri"/>
          <w:lang w:val="de-DE"/>
        </w:rPr>
      </w:pPr>
      <w:r w:rsidRPr="00DD2A86">
        <w:rPr>
          <w:rFonts w:eastAsia="Calibri"/>
          <w:lang w:val="de-DE"/>
        </w:rPr>
        <w:t>a)</w:t>
      </w:r>
      <w:r w:rsidRPr="00DD2A86">
        <w:rPr>
          <w:rFonts w:eastAsia="Calibri"/>
          <w:lang w:val="de-DE"/>
        </w:rPr>
        <w:tab/>
        <w:t>Beleuchtungsanlagen in den Wohnungen und im Steuerhaus mit Ausnahme der Schalter, die in der Nähe der Eingänge angeordnet sind;</w:t>
      </w:r>
    </w:p>
    <w:p w:rsidR="002669A1" w:rsidRPr="00DD2A86" w:rsidRDefault="002669A1" w:rsidP="002669A1">
      <w:pPr>
        <w:suppressAutoHyphens w:val="0"/>
        <w:autoSpaceDE w:val="0"/>
        <w:autoSpaceDN w:val="0"/>
        <w:adjustRightInd w:val="0"/>
        <w:spacing w:before="60"/>
        <w:ind w:left="2552" w:right="1134" w:hanging="284"/>
        <w:jc w:val="both"/>
        <w:rPr>
          <w:rFonts w:eastAsia="Calibri"/>
          <w:lang w:val="de-DE"/>
        </w:rPr>
      </w:pPr>
      <w:r w:rsidRPr="00DD2A86">
        <w:rPr>
          <w:rFonts w:eastAsia="Calibri"/>
          <w:lang w:val="de-DE"/>
        </w:rPr>
        <w:t>b)</w:t>
      </w:r>
      <w:r w:rsidRPr="00DD2A86">
        <w:rPr>
          <w:rFonts w:eastAsia="Calibri"/>
          <w:lang w:val="de-DE"/>
        </w:rPr>
        <w:tab/>
        <w:t xml:space="preserve">tragbare Telefone, fest installierte Telefonanlagen, Ladungsrechner </w:t>
      </w:r>
      <w:r w:rsidRPr="00DD2A86">
        <w:rPr>
          <w:rFonts w:eastAsia="Calibri"/>
          <w:lang w:val="de-DE" w:eastAsia="fr-FR"/>
        </w:rPr>
        <w:t xml:space="preserve">sowie stationäre und </w:t>
      </w:r>
      <w:r w:rsidRPr="00DD2A86">
        <w:rPr>
          <w:lang w:val="de-DE" w:eastAsia="fr-FR"/>
        </w:rPr>
        <w:t xml:space="preserve">tragbare </w:t>
      </w:r>
      <w:r w:rsidRPr="00DD2A86">
        <w:rPr>
          <w:rFonts w:eastAsia="Calibri"/>
          <w:lang w:val="de-DE" w:eastAsia="fr-FR"/>
        </w:rPr>
        <w:t xml:space="preserve">Computer </w:t>
      </w:r>
      <w:r w:rsidRPr="00DD2A86">
        <w:rPr>
          <w:rFonts w:eastAsia="Calibri"/>
          <w:lang w:val="de-DE"/>
        </w:rPr>
        <w:t>in den Wohnungen und im Steuerhaus;</w:t>
      </w:r>
    </w:p>
    <w:p w:rsidR="002669A1" w:rsidRPr="00DD2A86" w:rsidRDefault="002669A1" w:rsidP="002669A1">
      <w:pPr>
        <w:suppressAutoHyphens w:val="0"/>
        <w:autoSpaceDE w:val="0"/>
        <w:autoSpaceDN w:val="0"/>
        <w:adjustRightInd w:val="0"/>
        <w:spacing w:before="60"/>
        <w:ind w:left="2552" w:right="1134" w:hanging="284"/>
        <w:jc w:val="both"/>
        <w:rPr>
          <w:rFonts w:eastAsia="Calibri"/>
          <w:lang w:val="de-DE"/>
        </w:rPr>
      </w:pPr>
      <w:r w:rsidRPr="00DD2A86">
        <w:rPr>
          <w:rFonts w:eastAsia="Calibri"/>
          <w:lang w:val="de-DE"/>
        </w:rPr>
        <w:t>c)</w:t>
      </w:r>
      <w:r w:rsidRPr="00DD2A86">
        <w:rPr>
          <w:rFonts w:eastAsia="Calibri"/>
          <w:lang w:val="de-DE"/>
        </w:rPr>
        <w:tab/>
        <w:t>elektrische Anlagen und Geräte die während des Aufenthalts in einer oder unmittelbar angrenzend an eine landseitig ausgewiesenen Zone</w:t>
      </w:r>
    </w:p>
    <w:p w:rsidR="002669A1" w:rsidRPr="00DD2A86" w:rsidRDefault="002669A1" w:rsidP="002669A1">
      <w:pPr>
        <w:tabs>
          <w:tab w:val="left" w:pos="567"/>
          <w:tab w:val="left" w:pos="1134"/>
          <w:tab w:val="left" w:pos="1701"/>
          <w:tab w:val="left" w:pos="2268"/>
          <w:tab w:val="left" w:pos="2835"/>
          <w:tab w:val="left" w:pos="3402"/>
          <w:tab w:val="left" w:pos="3969"/>
          <w:tab w:val="left" w:pos="4536"/>
          <w:tab w:val="center" w:pos="5528"/>
        </w:tabs>
        <w:suppressAutoHyphens w:val="0"/>
        <w:autoSpaceDE w:val="0"/>
        <w:autoSpaceDN w:val="0"/>
        <w:adjustRightInd w:val="0"/>
        <w:spacing w:before="60"/>
        <w:ind w:left="2835" w:right="1134" w:hanging="284"/>
        <w:jc w:val="both"/>
        <w:rPr>
          <w:rFonts w:eastAsia="Calibri"/>
          <w:lang w:val="de-DE"/>
        </w:rPr>
      </w:pPr>
      <w:r w:rsidRPr="00DD2A86">
        <w:rPr>
          <w:rFonts w:eastAsia="Calibri"/>
          <w:lang w:val="de-DE"/>
        </w:rPr>
        <w:t>-</w:t>
      </w:r>
      <w:r w:rsidRPr="00DD2A86">
        <w:rPr>
          <w:rFonts w:eastAsia="Calibri"/>
          <w:lang w:val="de-DE"/>
        </w:rPr>
        <w:tab/>
        <w:t>abgeschaltet sind, oder</w:t>
      </w:r>
      <w:r w:rsidRPr="00DD2A86">
        <w:rPr>
          <w:rFonts w:eastAsia="Calibri"/>
          <w:lang w:val="de-DE"/>
        </w:rPr>
        <w:tab/>
      </w:r>
    </w:p>
    <w:p w:rsidR="002669A1" w:rsidRPr="00DD2A86" w:rsidRDefault="002669A1" w:rsidP="002669A1">
      <w:pPr>
        <w:suppressAutoHyphens w:val="0"/>
        <w:autoSpaceDE w:val="0"/>
        <w:autoSpaceDN w:val="0"/>
        <w:adjustRightInd w:val="0"/>
        <w:spacing w:before="60"/>
        <w:ind w:left="2835" w:right="1134" w:hanging="284"/>
        <w:jc w:val="both"/>
        <w:rPr>
          <w:rFonts w:eastAsia="Calibri"/>
          <w:lang w:val="de-DE"/>
        </w:rPr>
      </w:pPr>
      <w:r w:rsidRPr="00DD2A86">
        <w:rPr>
          <w:rFonts w:eastAsia="Calibri"/>
          <w:lang w:val="de-DE"/>
        </w:rPr>
        <w:t>-</w:t>
      </w:r>
      <w:r w:rsidRPr="00DD2A86">
        <w:rPr>
          <w:rFonts w:eastAsia="Calibri"/>
          <w:lang w:val="de-DE"/>
        </w:rPr>
        <w:tab/>
        <w:t>sich in Räumen befinden, die mit einer Lüftungsanlage entsprechend 9.3.x.12.4 ausgestattet sind.</w:t>
      </w:r>
    </w:p>
    <w:p w:rsidR="002669A1" w:rsidRPr="00DD2A86" w:rsidRDefault="002669A1" w:rsidP="002669A1">
      <w:pPr>
        <w:suppressAutoHyphens w:val="0"/>
        <w:autoSpaceDE w:val="0"/>
        <w:autoSpaceDN w:val="0"/>
        <w:adjustRightInd w:val="0"/>
        <w:spacing w:before="60"/>
        <w:ind w:left="2552" w:right="1134" w:hanging="284"/>
        <w:jc w:val="both"/>
        <w:rPr>
          <w:rFonts w:eastAsia="Calibri"/>
          <w:lang w:val="de-DE"/>
        </w:rPr>
      </w:pPr>
      <w:r w:rsidRPr="00DD2A86">
        <w:rPr>
          <w:rFonts w:eastAsia="Calibri"/>
          <w:lang w:val="de-DE"/>
        </w:rPr>
        <w:t>d) Sprechfunkanlagen und Inland AIS-Geräte (Automatic Identification System) in den Wohnungen und im Steuerhaus, unter der Voraussetzung, dass sich kein Teil von Antennen für Sprechfunkanlagen bzw. AIS-Geräte über oder innerhalb eines Abstandes von 2,00 m vom Bereich der Ladung befindet.“.</w:t>
      </w:r>
    </w:p>
    <w:p w:rsidR="002669A1" w:rsidRPr="00DD2A86" w:rsidRDefault="002669A1" w:rsidP="002669A1">
      <w:pPr>
        <w:pStyle w:val="ListParagraph"/>
        <w:suppressAutoHyphens w:val="0"/>
        <w:autoSpaceDE w:val="0"/>
        <w:autoSpaceDN w:val="0"/>
        <w:adjustRightInd w:val="0"/>
        <w:spacing w:before="240"/>
        <w:ind w:left="1134" w:right="1134"/>
        <w:contextualSpacing w:val="0"/>
        <w:jc w:val="both"/>
        <w:rPr>
          <w:rFonts w:eastAsia="Calibri"/>
          <w:lang w:val="de-DE" w:eastAsia="de-DE"/>
        </w:rPr>
      </w:pPr>
      <w:r w:rsidRPr="00DD2A86">
        <w:rPr>
          <w:rFonts w:eastAsia="Calibri"/>
          <w:lang w:val="de-DE" w:eastAsia="de-DE"/>
        </w:rPr>
        <w:t>9.3.1.52.2, 9.3.2.52.2 und 9.3.3.52.2</w:t>
      </w:r>
      <w:r w:rsidRPr="00DD2A86">
        <w:rPr>
          <w:rFonts w:eastAsia="Calibri"/>
          <w:lang w:val="de-DE" w:eastAsia="de-DE"/>
        </w:rPr>
        <w:tab/>
        <w:t>Erhalten folgenden Wortlaut:</w:t>
      </w:r>
    </w:p>
    <w:p w:rsidR="002669A1" w:rsidRPr="00DD2A86" w:rsidRDefault="002669A1" w:rsidP="002669A1">
      <w:pPr>
        <w:pStyle w:val="ListParagraph"/>
        <w:suppressAutoHyphens w:val="0"/>
        <w:autoSpaceDE w:val="0"/>
        <w:autoSpaceDN w:val="0"/>
        <w:adjustRightInd w:val="0"/>
        <w:spacing w:before="120"/>
        <w:ind w:left="2268" w:right="1134"/>
        <w:contextualSpacing w:val="0"/>
        <w:jc w:val="both"/>
        <w:rPr>
          <w:rFonts w:eastAsia="Calibri"/>
          <w:lang w:val="de-DE" w:eastAsia="en-US"/>
        </w:rPr>
      </w:pPr>
      <w:r w:rsidRPr="00DD2A86">
        <w:rPr>
          <w:rFonts w:eastAsia="Calibri"/>
          <w:lang w:val="de-DE" w:eastAsia="en-US"/>
        </w:rPr>
        <w:t>„In Kofferdämmen, Wallgängen, Doppelböden und Aufstellungsräumen sind nur hermetisch abgeschlossene Echolotschwinger, deren Kabel in dickwandigen Stahlrohren mit gasdichten Verbindungen bis über das Hauptdeck geführt sind, erlaubt.“.</w:t>
      </w:r>
    </w:p>
    <w:p w:rsidR="002669A1" w:rsidRPr="00DD2A86" w:rsidRDefault="002669A1" w:rsidP="002669A1">
      <w:pPr>
        <w:pStyle w:val="ListParagraph"/>
        <w:suppressAutoHyphens w:val="0"/>
        <w:autoSpaceDE w:val="0"/>
        <w:autoSpaceDN w:val="0"/>
        <w:adjustRightInd w:val="0"/>
        <w:spacing w:before="240"/>
        <w:ind w:left="1134" w:right="1134"/>
        <w:contextualSpacing w:val="0"/>
        <w:jc w:val="both"/>
        <w:rPr>
          <w:rFonts w:eastAsia="Calibri"/>
          <w:lang w:val="de-DE" w:eastAsia="de-DE"/>
        </w:rPr>
      </w:pPr>
      <w:r w:rsidRPr="00DD2A86">
        <w:rPr>
          <w:rFonts w:eastAsia="Calibri"/>
          <w:lang w:val="de-DE" w:eastAsia="de-DE"/>
        </w:rPr>
        <w:t>9.3.1.52.3, 9.3.2.52.3 und 9.3.3.52.3</w:t>
      </w:r>
      <w:r w:rsidRPr="00DD2A86">
        <w:rPr>
          <w:rFonts w:eastAsia="Calibri"/>
          <w:lang w:val="de-DE" w:eastAsia="de-DE"/>
        </w:rPr>
        <w:tab/>
        <w:t>Erhalten folgenden Wortlaut:</w:t>
      </w:r>
    </w:p>
    <w:p w:rsidR="002669A1" w:rsidRPr="00DD2A86" w:rsidRDefault="002669A1" w:rsidP="002669A1">
      <w:pPr>
        <w:pStyle w:val="ListParagraph"/>
        <w:suppressAutoHyphens w:val="0"/>
        <w:autoSpaceDE w:val="0"/>
        <w:autoSpaceDN w:val="0"/>
        <w:adjustRightInd w:val="0"/>
        <w:spacing w:before="120"/>
        <w:ind w:left="2268" w:right="1134"/>
        <w:contextualSpacing w:val="0"/>
        <w:jc w:val="both"/>
        <w:rPr>
          <w:rFonts w:eastAsia="Calibri"/>
          <w:szCs w:val="24"/>
          <w:lang w:val="de-DE" w:eastAsia="en-US"/>
        </w:rPr>
      </w:pPr>
      <w:r w:rsidRPr="00DD2A86">
        <w:rPr>
          <w:rFonts w:eastAsia="Calibri"/>
          <w:lang w:val="de-DE" w:eastAsia="en-US"/>
        </w:rPr>
        <w:t>„Fest installierte e</w:t>
      </w:r>
      <w:r w:rsidRPr="00DD2A86">
        <w:rPr>
          <w:rFonts w:eastAsia="Calibri"/>
          <w:szCs w:val="24"/>
          <w:lang w:val="de-DE" w:eastAsia="en-US"/>
        </w:rPr>
        <w:t xml:space="preserve">lektrische Anlagen und Geräte, die </w:t>
      </w:r>
      <w:r w:rsidRPr="00DD2A86">
        <w:rPr>
          <w:rFonts w:eastAsia="Calibri"/>
          <w:lang w:val="de-DE" w:eastAsia="en-US"/>
        </w:rPr>
        <w:t xml:space="preserve">den in den Absätzen 9.3.x.51 a), 9.3.x.51 b) und </w:t>
      </w:r>
      <w:r w:rsidRPr="00DD2A86">
        <w:rPr>
          <w:rFonts w:eastAsia="Calibri"/>
          <w:bCs/>
          <w:lang w:val="de-DE" w:eastAsia="en-US"/>
        </w:rPr>
        <w:t xml:space="preserve">9.3.x.52.1 </w:t>
      </w:r>
      <w:r w:rsidRPr="00DD2A86">
        <w:rPr>
          <w:rFonts w:eastAsia="Calibri"/>
          <w:lang w:val="de-DE" w:eastAsia="en-US"/>
        </w:rPr>
        <w:t xml:space="preserve">angegebenen Vorschriften nicht entsprechen, sowie ihre Schaltgeräte </w:t>
      </w:r>
      <w:r w:rsidRPr="00DD2A86">
        <w:rPr>
          <w:rFonts w:eastAsia="Calibri"/>
          <w:szCs w:val="24"/>
          <w:lang w:val="de-DE" w:eastAsia="en-US"/>
        </w:rPr>
        <w:t>müssen rot gekennzeichnet sein. Das Abschalten solcher Anlagen und Geräte muss an einer zentralen Stelle an Bord erfolgen.“.</w:t>
      </w:r>
    </w:p>
    <w:p w:rsidR="002669A1" w:rsidRPr="00DD2A86" w:rsidRDefault="002669A1" w:rsidP="002669A1">
      <w:pPr>
        <w:pStyle w:val="ListParagraph"/>
        <w:suppressAutoHyphens w:val="0"/>
        <w:autoSpaceDE w:val="0"/>
        <w:autoSpaceDN w:val="0"/>
        <w:adjustRightInd w:val="0"/>
        <w:spacing w:before="240"/>
        <w:ind w:left="1134" w:right="1134"/>
        <w:contextualSpacing w:val="0"/>
        <w:jc w:val="both"/>
        <w:rPr>
          <w:rFonts w:eastAsia="Calibri"/>
          <w:lang w:val="de-DE" w:eastAsia="de-DE"/>
        </w:rPr>
      </w:pPr>
      <w:r w:rsidRPr="00DD2A86">
        <w:rPr>
          <w:rFonts w:eastAsia="Calibri"/>
          <w:lang w:val="de-DE" w:eastAsia="de-DE"/>
        </w:rPr>
        <w:t>9.3.1.52.4, 9.3.2.52.4 und 9.3.3.52.4</w:t>
      </w:r>
      <w:r w:rsidRPr="00DD2A86">
        <w:rPr>
          <w:rFonts w:eastAsia="Calibri"/>
          <w:lang w:val="de-DE" w:eastAsia="de-DE"/>
        </w:rPr>
        <w:tab/>
        <w:t>Erhalten folgenden Wortlaut:</w:t>
      </w:r>
    </w:p>
    <w:p w:rsidR="002669A1" w:rsidRPr="00DD2A86" w:rsidRDefault="002669A1" w:rsidP="002669A1">
      <w:pPr>
        <w:pStyle w:val="ListParagraph"/>
        <w:suppressAutoHyphens w:val="0"/>
        <w:autoSpaceDE w:val="0"/>
        <w:autoSpaceDN w:val="0"/>
        <w:adjustRightInd w:val="0"/>
        <w:spacing w:before="120"/>
        <w:ind w:left="2268" w:right="1134"/>
        <w:contextualSpacing w:val="0"/>
        <w:jc w:val="both"/>
        <w:rPr>
          <w:rFonts w:eastAsia="Calibri"/>
          <w:lang w:val="de-DE" w:eastAsia="en-US"/>
        </w:rPr>
      </w:pPr>
      <w:r w:rsidRPr="00DD2A86">
        <w:rPr>
          <w:rFonts w:eastAsia="Calibri"/>
          <w:lang w:val="de-DE" w:eastAsia="en-US"/>
        </w:rPr>
        <w:t>„In jedem isolierten Versorgungssystem muss eine selbsttätige Isolationskontrolleinrichtung mit optischer und akustischer Warnung eingebaut sein.“.</w:t>
      </w:r>
    </w:p>
    <w:p w:rsidR="00EB6056" w:rsidRPr="00DD2A86" w:rsidRDefault="00EB6056">
      <w:pPr>
        <w:suppressAutoHyphens w:val="0"/>
        <w:spacing w:line="240" w:lineRule="auto"/>
        <w:rPr>
          <w:rFonts w:eastAsia="Calibri"/>
          <w:lang w:val="de-DE" w:eastAsia="de-DE"/>
        </w:rPr>
      </w:pPr>
      <w:r w:rsidRPr="00DD2A86">
        <w:rPr>
          <w:rFonts w:eastAsia="Calibri"/>
          <w:lang w:val="de-DE" w:eastAsia="de-DE"/>
        </w:rPr>
        <w:br w:type="page"/>
      </w:r>
    </w:p>
    <w:p w:rsidR="002669A1" w:rsidRPr="00DD2A86" w:rsidRDefault="002669A1" w:rsidP="002669A1">
      <w:pPr>
        <w:pStyle w:val="ListParagraph"/>
        <w:suppressAutoHyphens w:val="0"/>
        <w:autoSpaceDE w:val="0"/>
        <w:autoSpaceDN w:val="0"/>
        <w:adjustRightInd w:val="0"/>
        <w:spacing w:before="240"/>
        <w:ind w:left="1134" w:right="1134"/>
        <w:contextualSpacing w:val="0"/>
        <w:jc w:val="both"/>
        <w:rPr>
          <w:rFonts w:eastAsia="Calibri"/>
          <w:lang w:val="de-DE" w:eastAsia="de-DE"/>
        </w:rPr>
      </w:pPr>
      <w:r w:rsidRPr="00DD2A86">
        <w:rPr>
          <w:rFonts w:eastAsia="Calibri"/>
          <w:lang w:val="de-DE" w:eastAsia="de-DE"/>
        </w:rPr>
        <w:t>9.3.1.52.5, 9.3.2.52.5 und 9.3.3.52.5</w:t>
      </w:r>
      <w:r w:rsidRPr="00DD2A86">
        <w:rPr>
          <w:rFonts w:eastAsia="Calibri"/>
          <w:lang w:val="de-DE" w:eastAsia="de-DE"/>
        </w:rPr>
        <w:tab/>
        <w:t>Erhalten folgenden Wortlaut:</w:t>
      </w:r>
    </w:p>
    <w:p w:rsidR="002669A1" w:rsidRPr="00DD2A86" w:rsidRDefault="002669A1" w:rsidP="002669A1">
      <w:pPr>
        <w:suppressAutoHyphens w:val="0"/>
        <w:autoSpaceDE w:val="0"/>
        <w:autoSpaceDN w:val="0"/>
        <w:adjustRightInd w:val="0"/>
        <w:spacing w:before="120" w:line="240" w:lineRule="auto"/>
        <w:ind w:left="2268" w:right="1134"/>
        <w:jc w:val="both"/>
        <w:rPr>
          <w:rFonts w:eastAsia="Calibri"/>
          <w:lang w:val="de-DE"/>
        </w:rPr>
      </w:pPr>
      <w:r w:rsidRPr="00DD2A86">
        <w:rPr>
          <w:rFonts w:eastAsia="Calibri"/>
          <w:lang w:val="de-DE"/>
        </w:rPr>
        <w:t>„Es sind nur Verteilersysteme ohne Schiffskörperrückleitung zugelassen. Dies gilt nicht für:</w:t>
      </w:r>
    </w:p>
    <w:p w:rsidR="002669A1" w:rsidRPr="00DD2A86" w:rsidRDefault="002669A1" w:rsidP="002669A1">
      <w:pPr>
        <w:tabs>
          <w:tab w:val="left" w:pos="317"/>
        </w:tabs>
        <w:suppressAutoHyphens w:val="0"/>
        <w:autoSpaceDE w:val="0"/>
        <w:autoSpaceDN w:val="0"/>
        <w:adjustRightInd w:val="0"/>
        <w:spacing w:before="60" w:line="240" w:lineRule="auto"/>
        <w:ind w:left="2552" w:right="1134" w:hanging="284"/>
        <w:jc w:val="both"/>
        <w:rPr>
          <w:rFonts w:eastAsia="Calibri"/>
          <w:lang w:val="de-DE"/>
        </w:rPr>
      </w:pPr>
      <w:r w:rsidRPr="00DD2A86">
        <w:rPr>
          <w:rFonts w:eastAsia="Calibri"/>
          <w:lang w:val="de-DE"/>
        </w:rPr>
        <w:t>-</w:t>
      </w:r>
      <w:r w:rsidRPr="00DD2A86">
        <w:rPr>
          <w:rFonts w:eastAsia="Calibri"/>
          <w:lang w:val="de-DE"/>
        </w:rPr>
        <w:tab/>
        <w:t>kathodische Fremdstrom-Korrosionsschutzanlagen;</w:t>
      </w:r>
    </w:p>
    <w:p w:rsidR="002669A1" w:rsidRPr="00DD2A86" w:rsidRDefault="002669A1" w:rsidP="002669A1">
      <w:pPr>
        <w:tabs>
          <w:tab w:val="left" w:pos="317"/>
        </w:tabs>
        <w:suppressAutoHyphens w:val="0"/>
        <w:autoSpaceDE w:val="0"/>
        <w:autoSpaceDN w:val="0"/>
        <w:adjustRightInd w:val="0"/>
        <w:spacing w:before="60" w:line="240" w:lineRule="auto"/>
        <w:ind w:left="2552" w:right="1134" w:hanging="284"/>
        <w:jc w:val="both"/>
        <w:rPr>
          <w:rFonts w:eastAsia="Calibri"/>
          <w:lang w:val="de-DE"/>
        </w:rPr>
      </w:pPr>
      <w:r w:rsidRPr="00DD2A86">
        <w:rPr>
          <w:rFonts w:eastAsia="Calibri"/>
          <w:lang w:val="de-DE"/>
        </w:rPr>
        <w:t>-</w:t>
      </w:r>
      <w:r w:rsidRPr="00DD2A86">
        <w:rPr>
          <w:rFonts w:eastAsia="Calibri"/>
          <w:lang w:val="de-DE"/>
        </w:rPr>
        <w:tab/>
        <w:t>örtlich begrenzte und außerhalb des Bereichs der Ladung liegende Anlageteile (z.B. Anlasseinrichtungen der Dieselmotoren);</w:t>
      </w:r>
    </w:p>
    <w:p w:rsidR="002669A1" w:rsidRPr="00DD2A86" w:rsidRDefault="002669A1" w:rsidP="002669A1">
      <w:pPr>
        <w:pStyle w:val="ListParagraph"/>
        <w:suppressAutoHyphens w:val="0"/>
        <w:autoSpaceDE w:val="0"/>
        <w:autoSpaceDN w:val="0"/>
        <w:adjustRightInd w:val="0"/>
        <w:spacing w:before="60"/>
        <w:ind w:left="2552" w:right="1134" w:hanging="284"/>
        <w:contextualSpacing w:val="0"/>
        <w:jc w:val="both"/>
        <w:rPr>
          <w:rFonts w:eastAsia="Calibri"/>
          <w:lang w:val="de-DE" w:eastAsia="en-US"/>
        </w:rPr>
      </w:pPr>
      <w:r w:rsidRPr="00DD2A86">
        <w:rPr>
          <w:rFonts w:eastAsia="Calibri"/>
          <w:lang w:val="de-DE" w:eastAsia="en-US"/>
        </w:rPr>
        <w:t>-</w:t>
      </w:r>
      <w:r w:rsidRPr="00DD2A86">
        <w:rPr>
          <w:rFonts w:eastAsia="Calibri"/>
          <w:lang w:val="de-DE" w:eastAsia="en-US"/>
        </w:rPr>
        <w:tab/>
        <w:t>die Isolationskontrolleinrichtung nach Absatz 9.3.x.52.4.“.</w:t>
      </w:r>
    </w:p>
    <w:p w:rsidR="002669A1" w:rsidRPr="00DD2A86" w:rsidRDefault="002669A1" w:rsidP="002669A1">
      <w:pPr>
        <w:pStyle w:val="ListParagraph"/>
        <w:suppressAutoHyphens w:val="0"/>
        <w:autoSpaceDE w:val="0"/>
        <w:autoSpaceDN w:val="0"/>
        <w:adjustRightInd w:val="0"/>
        <w:spacing w:before="240"/>
        <w:ind w:left="1134" w:right="1134"/>
        <w:contextualSpacing w:val="0"/>
        <w:jc w:val="both"/>
        <w:rPr>
          <w:rFonts w:eastAsia="Calibri"/>
          <w:lang w:val="de-DE" w:eastAsia="de-DE"/>
        </w:rPr>
      </w:pPr>
      <w:r w:rsidRPr="00DD2A86">
        <w:rPr>
          <w:rFonts w:eastAsia="Calibri"/>
          <w:lang w:val="de-DE" w:eastAsia="de-DE"/>
        </w:rPr>
        <w:t>9.3.1.52.6, 9.3.2.52.6 und 9.3.3.52.6</w:t>
      </w:r>
      <w:r w:rsidRPr="00DD2A86">
        <w:rPr>
          <w:rFonts w:eastAsia="Calibri"/>
          <w:lang w:val="de-DE" w:eastAsia="de-DE"/>
        </w:rPr>
        <w:tab/>
        <w:t>Erhalten folgenden Wortlaut:</w:t>
      </w:r>
    </w:p>
    <w:p w:rsidR="002669A1" w:rsidRPr="00DD2A86" w:rsidRDefault="002669A1" w:rsidP="002669A1">
      <w:pPr>
        <w:pStyle w:val="ListParagraph"/>
        <w:spacing w:before="120"/>
        <w:ind w:left="2268" w:right="1134"/>
        <w:contextualSpacing w:val="0"/>
        <w:jc w:val="both"/>
        <w:rPr>
          <w:rFonts w:eastAsia="Calibri"/>
          <w:lang w:val="de-DE"/>
        </w:rPr>
      </w:pPr>
      <w:r w:rsidRPr="00DD2A86">
        <w:rPr>
          <w:rFonts w:eastAsia="Calibri"/>
          <w:lang w:val="de-DE"/>
        </w:rPr>
        <w:t>„Ein elektrischer Generator, der den in Absatz 9.3.x.52.1 angegebenen Vorschriften nicht entspricht, aber durch eine Maschine ständig angetrieben wird, muss mit einem mehrpoligen Schalter versehen sein, der den Generator herunterfährt. Eine Hinweistafel mit den Bedienungsvorschriften muss beim Schalter angebracht sein.“.</w:t>
      </w:r>
    </w:p>
    <w:p w:rsidR="002669A1" w:rsidRPr="00DD2A86" w:rsidRDefault="002669A1" w:rsidP="002669A1">
      <w:pPr>
        <w:pStyle w:val="ListParagraph"/>
        <w:suppressAutoHyphens w:val="0"/>
        <w:autoSpaceDE w:val="0"/>
        <w:autoSpaceDN w:val="0"/>
        <w:adjustRightInd w:val="0"/>
        <w:spacing w:before="240"/>
        <w:ind w:left="1134" w:right="1134"/>
        <w:contextualSpacing w:val="0"/>
        <w:jc w:val="both"/>
        <w:rPr>
          <w:rFonts w:eastAsia="Calibri"/>
          <w:lang w:val="de-DE" w:eastAsia="de-DE"/>
        </w:rPr>
      </w:pPr>
      <w:r w:rsidRPr="00DD2A86">
        <w:rPr>
          <w:rFonts w:eastAsia="Calibri"/>
          <w:lang w:val="de-DE" w:eastAsia="de-DE"/>
        </w:rPr>
        <w:t>9.3.1.52.7, 9.3.2.52.7 und 9.3.3.52.7</w:t>
      </w:r>
      <w:r w:rsidRPr="00DD2A86">
        <w:rPr>
          <w:rFonts w:eastAsia="Calibri"/>
          <w:lang w:val="de-DE" w:eastAsia="de-DE"/>
        </w:rPr>
        <w:tab/>
        <w:t>Erhalten folgenden Wortlaut:</w:t>
      </w:r>
    </w:p>
    <w:p w:rsidR="002669A1" w:rsidRPr="00DD2A86" w:rsidRDefault="002669A1" w:rsidP="002669A1">
      <w:pPr>
        <w:pStyle w:val="ListParagraph"/>
        <w:suppressAutoHyphens w:val="0"/>
        <w:autoSpaceDE w:val="0"/>
        <w:autoSpaceDN w:val="0"/>
        <w:adjustRightInd w:val="0"/>
        <w:spacing w:before="120"/>
        <w:ind w:left="2268" w:right="1134"/>
        <w:contextualSpacing w:val="0"/>
        <w:jc w:val="both"/>
        <w:rPr>
          <w:rFonts w:eastAsia="Calibri"/>
          <w:lang w:val="de-DE" w:eastAsia="de-DE"/>
        </w:rPr>
      </w:pPr>
      <w:r w:rsidRPr="00DD2A86">
        <w:rPr>
          <w:rFonts w:eastAsia="Calibri"/>
          <w:lang w:val="de-DE" w:eastAsia="de-DE"/>
        </w:rPr>
        <w:t>„Ein Ausfall der elektrischen Speisung von Sicherheits- und Kontrolleinrichtungen muss sofort optisch und akustisch im Steuerhaus und an Deck gemeldet werden. Bei Nichtquittieren muss die Alarmierung automatisch in den Wohnungen erfolgen.“.</w:t>
      </w:r>
    </w:p>
    <w:p w:rsidR="002669A1" w:rsidRPr="00DD2A86" w:rsidRDefault="002669A1" w:rsidP="002669A1">
      <w:pPr>
        <w:pStyle w:val="ListParagraph"/>
        <w:suppressAutoHyphens w:val="0"/>
        <w:autoSpaceDE w:val="0"/>
        <w:autoSpaceDN w:val="0"/>
        <w:adjustRightInd w:val="0"/>
        <w:spacing w:before="240"/>
        <w:ind w:left="1134" w:right="1134"/>
        <w:contextualSpacing w:val="0"/>
        <w:jc w:val="both"/>
        <w:rPr>
          <w:rFonts w:eastAsia="Calibri"/>
          <w:bCs/>
          <w:lang w:val="de-DE"/>
        </w:rPr>
      </w:pPr>
      <w:r w:rsidRPr="00DD2A86">
        <w:rPr>
          <w:rFonts w:eastAsia="Calibri"/>
          <w:lang w:val="de-DE" w:eastAsia="de-DE"/>
        </w:rPr>
        <w:t>9.3.1.52, 9.3.2.52 und 9.3.3.52</w:t>
      </w:r>
      <w:r w:rsidRPr="00DD2A86">
        <w:rPr>
          <w:rFonts w:eastAsia="Calibri"/>
          <w:lang w:val="de-DE" w:eastAsia="de-DE"/>
        </w:rPr>
        <w:tab/>
      </w:r>
      <w:r w:rsidRPr="00DD2A86">
        <w:rPr>
          <w:rFonts w:eastAsia="Calibri"/>
          <w:bCs/>
          <w:lang w:val="de-DE"/>
        </w:rPr>
        <w:t xml:space="preserve">Folgende neue </w:t>
      </w:r>
      <w:r w:rsidR="006E508C" w:rsidRPr="00DD2A86">
        <w:rPr>
          <w:rFonts w:eastAsia="Calibri"/>
          <w:bCs/>
          <w:lang w:val="de-DE"/>
        </w:rPr>
        <w:t xml:space="preserve">Absätze </w:t>
      </w:r>
      <w:r w:rsidRPr="00DD2A86">
        <w:rPr>
          <w:rFonts w:eastAsia="Calibri"/>
          <w:bCs/>
          <w:lang w:val="de-DE"/>
        </w:rPr>
        <w:t>hinzufügen:</w:t>
      </w:r>
    </w:p>
    <w:p w:rsidR="002669A1" w:rsidRPr="00DD2A86" w:rsidRDefault="002669A1" w:rsidP="002669A1">
      <w:pPr>
        <w:pStyle w:val="ListParagraph"/>
        <w:suppressAutoHyphens w:val="0"/>
        <w:autoSpaceDE w:val="0"/>
        <w:autoSpaceDN w:val="0"/>
        <w:adjustRightInd w:val="0"/>
        <w:spacing w:before="120"/>
        <w:ind w:left="2268" w:right="1134"/>
        <w:contextualSpacing w:val="0"/>
        <w:jc w:val="both"/>
        <w:rPr>
          <w:rFonts w:eastAsia="Calibri"/>
          <w:lang w:val="de-DE"/>
        </w:rPr>
      </w:pPr>
      <w:r w:rsidRPr="00DD2A86">
        <w:rPr>
          <w:rFonts w:eastAsia="Calibri"/>
          <w:bCs/>
          <w:lang w:val="de-DE"/>
        </w:rPr>
        <w:t>„</w:t>
      </w:r>
      <w:r w:rsidRPr="00DD2A86">
        <w:rPr>
          <w:rFonts w:eastAsia="Calibri"/>
          <w:lang w:val="de-DE" w:eastAsia="de-DE"/>
        </w:rPr>
        <w:t>9.3.x.52.8</w:t>
      </w:r>
      <w:r w:rsidRPr="00DD2A86">
        <w:rPr>
          <w:rFonts w:eastAsia="Calibri"/>
          <w:lang w:val="de-DE" w:eastAsia="de-DE"/>
        </w:rPr>
        <w:tab/>
      </w:r>
      <w:r w:rsidRPr="00DD2A86">
        <w:rPr>
          <w:rFonts w:eastAsia="Calibri"/>
          <w:lang w:val="de-DE"/>
        </w:rPr>
        <w:t>Schalter, Steckdosen und elektrische Kabel an Deck müssen gegen mechanische Beschädigung geschützt sein.</w:t>
      </w:r>
    </w:p>
    <w:p w:rsidR="002669A1" w:rsidRPr="00DD2A86" w:rsidRDefault="002669A1" w:rsidP="002669A1">
      <w:pPr>
        <w:pStyle w:val="ListParagraph"/>
        <w:suppressAutoHyphens w:val="0"/>
        <w:autoSpaceDE w:val="0"/>
        <w:autoSpaceDN w:val="0"/>
        <w:adjustRightInd w:val="0"/>
        <w:spacing w:before="120"/>
        <w:ind w:left="2268" w:right="1134"/>
        <w:contextualSpacing w:val="0"/>
        <w:jc w:val="both"/>
        <w:rPr>
          <w:rFonts w:eastAsia="Calibri"/>
          <w:lang w:val="de-DE"/>
        </w:rPr>
      </w:pPr>
      <w:r w:rsidRPr="00DD2A86">
        <w:rPr>
          <w:rFonts w:eastAsia="Calibri"/>
          <w:lang w:val="de-DE" w:eastAsia="de-DE"/>
        </w:rPr>
        <w:t>9.3.x.52.9</w:t>
      </w:r>
      <w:r w:rsidRPr="00DD2A86">
        <w:rPr>
          <w:rFonts w:eastAsia="Calibri"/>
          <w:lang w:val="de-DE" w:eastAsia="de-DE"/>
        </w:rPr>
        <w:tab/>
      </w:r>
      <w:r w:rsidRPr="00DD2A86">
        <w:rPr>
          <w:rFonts w:eastAsia="Calibri"/>
          <w:lang w:val="de-DE"/>
        </w:rPr>
        <w:t>Steckdosen für den Anschluss von Signalleuchten und Landstegbeleuchtung müssen in unmittelbarer Nähe des Signalmastes bzw. des Landsteges am Schiff fest montiert sein. Diese Steckdosen müssen so ausgeführt sein, dass das Herstellen und das Trennen der Steckverbindungen nur in spannungslosem Zustand möglich ist.</w:t>
      </w:r>
    </w:p>
    <w:p w:rsidR="002669A1" w:rsidRPr="00DD2A86" w:rsidRDefault="006E508C" w:rsidP="002669A1">
      <w:pPr>
        <w:pStyle w:val="ListParagraph"/>
        <w:suppressAutoHyphens w:val="0"/>
        <w:autoSpaceDE w:val="0"/>
        <w:autoSpaceDN w:val="0"/>
        <w:adjustRightInd w:val="0"/>
        <w:spacing w:before="120"/>
        <w:ind w:left="2268" w:right="1134"/>
        <w:contextualSpacing w:val="0"/>
        <w:jc w:val="both"/>
        <w:rPr>
          <w:rFonts w:eastAsia="Calibri"/>
          <w:lang w:val="de-DE" w:eastAsia="de-DE"/>
        </w:rPr>
      </w:pPr>
      <w:r w:rsidRPr="00DD2A86" w:rsidDel="006E508C">
        <w:rPr>
          <w:rFonts w:eastAsia="Calibri"/>
          <w:lang w:val="de-DE" w:eastAsia="de-DE"/>
        </w:rPr>
        <w:t xml:space="preserve"> </w:t>
      </w:r>
      <w:r w:rsidR="002669A1" w:rsidRPr="00DD2A86">
        <w:rPr>
          <w:rFonts w:eastAsia="Calibri"/>
          <w:lang w:val="de-DE" w:eastAsia="de-DE"/>
        </w:rPr>
        <w:t>9.3.x.52.10</w:t>
      </w:r>
      <w:r w:rsidR="002669A1" w:rsidRPr="00DD2A86">
        <w:rPr>
          <w:rFonts w:eastAsia="Calibri"/>
          <w:lang w:val="de-DE" w:eastAsia="de-DE"/>
        </w:rPr>
        <w:tab/>
      </w:r>
      <w:r w:rsidR="002669A1" w:rsidRPr="00DD2A86">
        <w:rPr>
          <w:rFonts w:eastAsia="Calibri"/>
          <w:lang w:val="de-DE"/>
        </w:rPr>
        <w:t>Akkumulatoren müssen außerhalb des Bereichs der Ladung untergebracht sein.“.</w:t>
      </w:r>
    </w:p>
    <w:p w:rsidR="00ED0FFC" w:rsidRPr="00DD2A86" w:rsidRDefault="00ED0FFC" w:rsidP="00ED0FFC">
      <w:pPr>
        <w:pStyle w:val="ListParagraph"/>
        <w:suppressAutoHyphens w:val="0"/>
        <w:autoSpaceDE w:val="0"/>
        <w:autoSpaceDN w:val="0"/>
        <w:adjustRightInd w:val="0"/>
        <w:spacing w:before="240"/>
        <w:ind w:left="1134" w:right="1134"/>
        <w:contextualSpacing w:val="0"/>
        <w:jc w:val="both"/>
        <w:rPr>
          <w:rFonts w:eastAsia="Calibri"/>
          <w:lang w:val="de-DE" w:eastAsia="de-DE"/>
        </w:rPr>
      </w:pPr>
      <w:r w:rsidRPr="00DD2A86">
        <w:rPr>
          <w:rFonts w:eastAsia="Calibri"/>
          <w:lang w:val="de-DE" w:eastAsia="de-DE"/>
        </w:rPr>
        <w:t>9.3.1.53, 9.3.2.53 und 9.3.3.53, Titel</w:t>
      </w:r>
      <w:r w:rsidRPr="00DD2A86">
        <w:rPr>
          <w:rFonts w:eastAsia="Calibri"/>
          <w:lang w:val="de-DE" w:eastAsia="de-DE"/>
        </w:rPr>
        <w:tab/>
        <w:t>Erhalten folgenden Wortlaut:</w:t>
      </w:r>
    </w:p>
    <w:p w:rsidR="00ED0FFC" w:rsidRPr="00DD2A86" w:rsidRDefault="00ED0FFC" w:rsidP="00ED0FFC">
      <w:pPr>
        <w:pStyle w:val="ListParagraph"/>
        <w:suppressAutoHyphens w:val="0"/>
        <w:autoSpaceDE w:val="0"/>
        <w:autoSpaceDN w:val="0"/>
        <w:adjustRightInd w:val="0"/>
        <w:spacing w:before="120"/>
        <w:ind w:left="2268" w:right="1134"/>
        <w:contextualSpacing w:val="0"/>
        <w:jc w:val="both"/>
        <w:rPr>
          <w:b/>
          <w:lang w:val="de-DE"/>
        </w:rPr>
      </w:pPr>
      <w:r w:rsidRPr="00DD2A86">
        <w:rPr>
          <w:rFonts w:eastAsia="Calibri"/>
          <w:lang w:val="de-DE" w:eastAsia="de-DE"/>
        </w:rPr>
        <w:t>„</w:t>
      </w:r>
      <w:r w:rsidRPr="00DD2A86">
        <w:rPr>
          <w:b/>
          <w:bCs/>
          <w:lang w:val="de-DE" w:eastAsia="de-DE"/>
        </w:rPr>
        <w:t xml:space="preserve">Art und Aufstellungsort der elektrischen und nicht-elektrischen Anlagen und Geräte </w:t>
      </w:r>
      <w:r w:rsidRPr="00DD2A86">
        <w:rPr>
          <w:b/>
          <w:lang w:val="de-DE"/>
        </w:rPr>
        <w:t>zum Einsatz in explosionsgefährdeten Bereichen“.</w:t>
      </w:r>
    </w:p>
    <w:p w:rsidR="00EB6056" w:rsidRPr="00DD2A86" w:rsidRDefault="00EB6056">
      <w:pPr>
        <w:suppressAutoHyphens w:val="0"/>
        <w:spacing w:line="240" w:lineRule="auto"/>
        <w:rPr>
          <w:rFonts w:eastAsia="Calibri"/>
          <w:lang w:val="de-DE" w:eastAsia="de-DE"/>
        </w:rPr>
      </w:pPr>
      <w:r w:rsidRPr="00DD2A86">
        <w:rPr>
          <w:rFonts w:eastAsia="Calibri"/>
          <w:lang w:val="de-DE" w:eastAsia="de-DE"/>
        </w:rPr>
        <w:br w:type="page"/>
      </w:r>
    </w:p>
    <w:p w:rsidR="00ED0FFC" w:rsidRPr="00DD2A86" w:rsidRDefault="00ED0FFC" w:rsidP="00ED0FFC">
      <w:pPr>
        <w:pStyle w:val="ListParagraph"/>
        <w:suppressAutoHyphens w:val="0"/>
        <w:autoSpaceDE w:val="0"/>
        <w:autoSpaceDN w:val="0"/>
        <w:adjustRightInd w:val="0"/>
        <w:spacing w:before="240"/>
        <w:ind w:left="1134" w:right="1134"/>
        <w:contextualSpacing w:val="0"/>
        <w:jc w:val="both"/>
        <w:rPr>
          <w:rFonts w:eastAsia="Calibri"/>
          <w:lang w:val="de-DE" w:eastAsia="de-DE"/>
        </w:rPr>
      </w:pPr>
      <w:r w:rsidRPr="00DD2A86">
        <w:rPr>
          <w:rFonts w:eastAsia="Calibri"/>
          <w:lang w:val="de-DE" w:eastAsia="de-DE"/>
        </w:rPr>
        <w:t>9.3.1.53.1, 9.3.2.53.1 und 9.3.3.53.1</w:t>
      </w:r>
      <w:r w:rsidRPr="00DD2A86">
        <w:rPr>
          <w:rFonts w:eastAsia="Calibri"/>
          <w:lang w:val="de-DE" w:eastAsia="de-DE"/>
        </w:rPr>
        <w:tab/>
        <w:t>Erhalten folgenden Wortlaut:</w:t>
      </w:r>
    </w:p>
    <w:p w:rsidR="00ED0FFC" w:rsidRPr="00DD2A86" w:rsidRDefault="00ED0FFC" w:rsidP="00ED0FFC">
      <w:pPr>
        <w:keepNext/>
        <w:keepLines/>
        <w:tabs>
          <w:tab w:val="right" w:pos="851"/>
        </w:tabs>
        <w:suppressAutoHyphens w:val="0"/>
        <w:autoSpaceDE w:val="0"/>
        <w:autoSpaceDN w:val="0"/>
        <w:adjustRightInd w:val="0"/>
        <w:spacing w:before="120" w:line="240" w:lineRule="auto"/>
        <w:ind w:left="2268" w:right="1134"/>
        <w:jc w:val="both"/>
        <w:rPr>
          <w:rFonts w:eastAsia="Calibri"/>
          <w:lang w:val="de-DE"/>
        </w:rPr>
      </w:pPr>
      <w:r w:rsidRPr="00DD2A86">
        <w:rPr>
          <w:rFonts w:eastAsia="Calibri"/>
          <w:lang w:val="de-DE"/>
        </w:rPr>
        <w:t>„An Bord von Schiffen, für die die Zoneneinteilung gemäß der Begriffsbestimmung in Abschnitt 1.2.1 gilt, müssen die</w:t>
      </w:r>
      <w:r w:rsidRPr="00DD2A86">
        <w:rPr>
          <w:rFonts w:eastAsia="Calibri"/>
          <w:lang w:val="de-DE" w:eastAsia="de-DE"/>
        </w:rPr>
        <w:t xml:space="preserve"> </w:t>
      </w:r>
      <w:r w:rsidRPr="00DD2A86">
        <w:rPr>
          <w:rFonts w:eastAsia="Calibri"/>
          <w:lang w:val="de-DE"/>
        </w:rPr>
        <w:t>elektrischen und nicht-elektrischen Anlagen und Geräte die in den explosionsgefährdeten Bereichen betrieben werden, mindestens die Anforderungen für den Einsatz in der jeweiligen Zone erfüllen.</w:t>
      </w:r>
    </w:p>
    <w:p w:rsidR="00ED0FFC" w:rsidRPr="00DD2A86" w:rsidRDefault="00ED0FFC" w:rsidP="0085363E">
      <w:pPr>
        <w:keepNext/>
        <w:keepLines/>
        <w:tabs>
          <w:tab w:val="right" w:pos="851"/>
        </w:tabs>
        <w:suppressAutoHyphens w:val="0"/>
        <w:autoSpaceDE w:val="0"/>
        <w:autoSpaceDN w:val="0"/>
        <w:adjustRightInd w:val="0"/>
        <w:spacing w:before="120" w:line="240" w:lineRule="auto"/>
        <w:ind w:left="2268" w:right="1134"/>
        <w:jc w:val="both"/>
        <w:rPr>
          <w:rFonts w:eastAsia="Calibri"/>
          <w:lang w:val="de-DE" w:eastAsia="de-DE"/>
        </w:rPr>
      </w:pPr>
      <w:r w:rsidRPr="00DD2A86">
        <w:rPr>
          <w:rFonts w:eastAsia="Calibri"/>
          <w:lang w:val="de-DE" w:eastAsia="de-DE"/>
        </w:rPr>
        <w:t xml:space="preserve">Sie sind unter Berücksichtigung der zu befördernden Stoffe entsprechend den dafür erforderlichen Explosionsgruppen und Temperaturklassen, auszuwählen (siehe </w:t>
      </w:r>
      <w:r w:rsidRPr="00DD2A86">
        <w:rPr>
          <w:rFonts w:eastAsia="Calibri"/>
          <w:lang w:val="de-DE"/>
        </w:rPr>
        <w:t xml:space="preserve">Unterabschnitt 3.2.3.2 </w:t>
      </w:r>
      <w:r w:rsidRPr="00DD2A86">
        <w:rPr>
          <w:rFonts w:eastAsia="Calibri"/>
          <w:lang w:val="de-DE" w:eastAsia="de-DE"/>
        </w:rPr>
        <w:t>Tabelle C Spalten (15) und (16)).</w:t>
      </w:r>
    </w:p>
    <w:p w:rsidR="00ED0FFC" w:rsidRPr="00DD2A86" w:rsidRDefault="00ED0FFC" w:rsidP="0085363E">
      <w:pPr>
        <w:keepNext/>
        <w:keepLines/>
        <w:tabs>
          <w:tab w:val="right" w:pos="851"/>
        </w:tabs>
        <w:suppressAutoHyphens w:val="0"/>
        <w:autoSpaceDE w:val="0"/>
        <w:autoSpaceDN w:val="0"/>
        <w:adjustRightInd w:val="0"/>
        <w:spacing w:before="120" w:line="240" w:lineRule="auto"/>
        <w:ind w:left="2268" w:right="1134"/>
        <w:jc w:val="both"/>
        <w:rPr>
          <w:rFonts w:eastAsia="Calibri"/>
          <w:lang w:val="de-DE"/>
        </w:rPr>
      </w:pPr>
      <w:r w:rsidRPr="00DD2A86">
        <w:rPr>
          <w:rFonts w:eastAsia="Calibri"/>
          <w:lang w:val="de-DE"/>
        </w:rPr>
        <w:t xml:space="preserve">Wenn die Schiffsstoffliste nach Absatz 1.16.1.2.5 Stoffe enthalten soll, für die nach Unterabschnitt 3.2.3.2 Tabelle C Spalte </w:t>
      </w:r>
      <w:r w:rsidRPr="00DD2A86">
        <w:rPr>
          <w:rFonts w:eastAsia="Calibri"/>
          <w:sz w:val="18"/>
          <w:lang w:val="de-DE"/>
        </w:rPr>
        <w:t>(</w:t>
      </w:r>
      <w:r w:rsidRPr="00DD2A86">
        <w:rPr>
          <w:rFonts w:eastAsia="Calibri"/>
          <w:lang w:val="de-DE"/>
        </w:rPr>
        <w:t>15) eine Temperaturklasse T4, T5 oder T6 eingetragen ist, dürfen in den ausgewiesenen Zonen die entsprechenden Oberflächentemperaturen 135 °C (T4), 100 °C (T5) beziehungsweise 85 °C (T6) nicht überschreiten.</w:t>
      </w:r>
    </w:p>
    <w:p w:rsidR="00ED0FFC" w:rsidRPr="00DD2A86" w:rsidRDefault="00ED0FFC" w:rsidP="0085363E">
      <w:pPr>
        <w:pStyle w:val="ListParagraph"/>
        <w:suppressAutoHyphens w:val="0"/>
        <w:autoSpaceDE w:val="0"/>
        <w:autoSpaceDN w:val="0"/>
        <w:adjustRightInd w:val="0"/>
        <w:spacing w:before="120"/>
        <w:ind w:left="2268" w:right="1134"/>
        <w:contextualSpacing w:val="0"/>
        <w:jc w:val="both"/>
        <w:rPr>
          <w:rFonts w:eastAsia="Calibri"/>
          <w:lang w:val="de-DE" w:eastAsia="en-US"/>
        </w:rPr>
      </w:pPr>
      <w:r w:rsidRPr="00DD2A86">
        <w:rPr>
          <w:rFonts w:eastAsia="Calibri"/>
          <w:lang w:val="de-DE" w:eastAsia="en-US"/>
        </w:rPr>
        <w:t>Wenn die Schiffsstoffliste nach Absatz 1.16.1.2.5 Stoffe enthalten soll, für die nach Unterabschnitt 3.2.3.2 Tabelle C Spalte (15) eine Temperaturklasse T1 oder T2 eingetragen ist, dürfen in den ausgewiesenen Zonen die entsprechenden Oberflächentemperaturen 200 °C nicht überschreiten.“.</w:t>
      </w:r>
    </w:p>
    <w:p w:rsidR="00ED0FFC" w:rsidRPr="00DD2A86" w:rsidRDefault="00ED0FFC" w:rsidP="00ED0FFC">
      <w:pPr>
        <w:pStyle w:val="ListParagraph"/>
        <w:suppressAutoHyphens w:val="0"/>
        <w:autoSpaceDE w:val="0"/>
        <w:autoSpaceDN w:val="0"/>
        <w:adjustRightInd w:val="0"/>
        <w:spacing w:before="240"/>
        <w:ind w:left="1134" w:right="1134"/>
        <w:contextualSpacing w:val="0"/>
        <w:jc w:val="both"/>
        <w:rPr>
          <w:rFonts w:eastAsia="Calibri"/>
          <w:lang w:val="de-DE" w:eastAsia="de-DE"/>
        </w:rPr>
      </w:pPr>
      <w:r w:rsidRPr="00DD2A86">
        <w:rPr>
          <w:rFonts w:eastAsia="Calibri"/>
          <w:lang w:val="de-DE" w:eastAsia="de-DE"/>
        </w:rPr>
        <w:t>9.3.1.53.2, 9.3.2.53.2 und 9.3.3.53.2</w:t>
      </w:r>
      <w:r w:rsidRPr="00DD2A86">
        <w:rPr>
          <w:rFonts w:eastAsia="Calibri"/>
          <w:lang w:val="de-DE" w:eastAsia="de-DE"/>
        </w:rPr>
        <w:tab/>
        <w:t>Erhalten folgenden Wortlaut:</w:t>
      </w:r>
    </w:p>
    <w:p w:rsidR="00ED0FFC" w:rsidRPr="00DD2A86" w:rsidRDefault="00ED0FFC" w:rsidP="00ED0FFC">
      <w:pPr>
        <w:pStyle w:val="ListParagraph"/>
        <w:spacing w:before="120"/>
        <w:ind w:left="2268" w:right="1134"/>
        <w:contextualSpacing w:val="0"/>
        <w:rPr>
          <w:rFonts w:eastAsia="Calibri"/>
          <w:lang w:val="de-DE" w:eastAsia="de-DE"/>
        </w:rPr>
      </w:pPr>
      <w:r w:rsidRPr="00DD2A86">
        <w:rPr>
          <w:rFonts w:eastAsia="Calibri"/>
          <w:lang w:val="de-DE" w:eastAsia="de-DE"/>
        </w:rPr>
        <w:t>„Elektrische Kabel müssen armiert sein, eine metallene Abschirmung haben oder in Schutzrohren verlegt sein, ausgenommen Lichtwellenleiter.</w:t>
      </w:r>
    </w:p>
    <w:p w:rsidR="00ED0FFC" w:rsidRPr="00DD2A86" w:rsidRDefault="00ED0FFC" w:rsidP="0085363E">
      <w:pPr>
        <w:pStyle w:val="ListParagraph"/>
        <w:suppressAutoHyphens w:val="0"/>
        <w:autoSpaceDE w:val="0"/>
        <w:autoSpaceDN w:val="0"/>
        <w:adjustRightInd w:val="0"/>
        <w:spacing w:before="120"/>
        <w:ind w:left="2268" w:right="1134"/>
        <w:contextualSpacing w:val="0"/>
        <w:jc w:val="both"/>
        <w:rPr>
          <w:rFonts w:eastAsia="Calibri"/>
          <w:lang w:val="de-DE" w:eastAsia="de-DE"/>
        </w:rPr>
      </w:pPr>
      <w:r w:rsidRPr="00DD2A86">
        <w:rPr>
          <w:rFonts w:eastAsia="Calibri"/>
          <w:lang w:val="de-DE" w:eastAsia="de-DE"/>
        </w:rPr>
        <w:t>Elektrische Kabel für den aktiven Kathodenschutz der Außenhaut müssen in dickwandigen Schutzrohren aus Stahl mit gasdichten Verbindungen bis über das Hauptdeck geführt sein.“.</w:t>
      </w:r>
    </w:p>
    <w:p w:rsidR="00ED0FFC" w:rsidRPr="00DD2A86" w:rsidRDefault="00ED0FFC" w:rsidP="00ED0FFC">
      <w:pPr>
        <w:pStyle w:val="ListParagraph"/>
        <w:suppressAutoHyphens w:val="0"/>
        <w:autoSpaceDE w:val="0"/>
        <w:autoSpaceDN w:val="0"/>
        <w:adjustRightInd w:val="0"/>
        <w:spacing w:before="240"/>
        <w:ind w:left="1134" w:right="1134"/>
        <w:contextualSpacing w:val="0"/>
        <w:jc w:val="both"/>
        <w:rPr>
          <w:rFonts w:eastAsia="Calibri"/>
          <w:lang w:val="de-DE" w:eastAsia="de-DE"/>
        </w:rPr>
      </w:pPr>
      <w:r w:rsidRPr="00DD2A86">
        <w:rPr>
          <w:rFonts w:eastAsia="Calibri"/>
          <w:lang w:val="de-DE" w:eastAsia="de-DE"/>
        </w:rPr>
        <w:t>9.3.x.53.3</w:t>
      </w:r>
      <w:r w:rsidRPr="00DD2A86">
        <w:rPr>
          <w:rFonts w:eastAsia="Calibri"/>
          <w:lang w:val="de-DE" w:eastAsia="de-DE"/>
        </w:rPr>
        <w:tab/>
        <w:t>Erhält folgenden Wortlaut:</w:t>
      </w:r>
    </w:p>
    <w:p w:rsidR="00ED0FFC" w:rsidRPr="00DD2A86" w:rsidRDefault="00ED0FFC" w:rsidP="00ED0FFC">
      <w:pPr>
        <w:pStyle w:val="ListParagraph"/>
        <w:spacing w:before="120" w:after="120"/>
        <w:ind w:left="2268" w:right="1134"/>
        <w:contextualSpacing w:val="0"/>
        <w:jc w:val="both"/>
        <w:rPr>
          <w:lang w:val="de-DE"/>
        </w:rPr>
      </w:pPr>
      <w:r w:rsidRPr="00DD2A86">
        <w:rPr>
          <w:lang w:val="de-DE"/>
        </w:rPr>
        <w:t>„Bewegliche elektrische Kabel im explosionsgefährdeten Bereich sind verboten, ausgenommen elektrische Kabel für eigensichere Stromkreise sowie für den Anschluss</w:t>
      </w:r>
    </w:p>
    <w:p w:rsidR="00ED0FFC" w:rsidRPr="00DD2A86" w:rsidRDefault="0085363E" w:rsidP="00ED0FFC">
      <w:pPr>
        <w:pStyle w:val="ListParagraph"/>
        <w:spacing w:after="120"/>
        <w:ind w:left="2552" w:right="1134" w:hanging="284"/>
        <w:contextualSpacing w:val="0"/>
        <w:rPr>
          <w:lang w:val="de-DE"/>
        </w:rPr>
      </w:pPr>
      <w:r w:rsidRPr="00DD2A86">
        <w:rPr>
          <w:lang w:val="de-DE"/>
        </w:rPr>
        <w:t>a)</w:t>
      </w:r>
      <w:r w:rsidR="00ED0FFC" w:rsidRPr="00DD2A86">
        <w:rPr>
          <w:lang w:val="de-DE"/>
        </w:rPr>
        <w:tab/>
        <w:t>von Signal- und Landstegbeleuchtung, wenn die Anschlussstelle (z. B. Steckdose) in unmittelbare Nähe des Signalmastes oder des Landstegs am Schiff fest montiert ist;</w:t>
      </w:r>
    </w:p>
    <w:p w:rsidR="00ED0FFC" w:rsidRPr="00DD2A86" w:rsidRDefault="0085363E" w:rsidP="00ED0FFC">
      <w:pPr>
        <w:pStyle w:val="ListParagraph"/>
        <w:spacing w:after="120"/>
        <w:ind w:left="2552" w:right="1134" w:hanging="284"/>
        <w:contextualSpacing w:val="0"/>
        <w:rPr>
          <w:lang w:val="de-DE"/>
        </w:rPr>
      </w:pPr>
      <w:r w:rsidRPr="00DD2A86">
        <w:rPr>
          <w:lang w:val="de-DE"/>
        </w:rPr>
        <w:t>b)</w:t>
      </w:r>
      <w:r w:rsidR="00ED0FFC" w:rsidRPr="00DD2A86">
        <w:rPr>
          <w:lang w:val="de-DE"/>
        </w:rPr>
        <w:tab/>
        <w:t>des Schiffsstromnetzes an ein Landstromnetz, wenn</w:t>
      </w:r>
    </w:p>
    <w:p w:rsidR="00ED0FFC" w:rsidRPr="00DD2A86" w:rsidRDefault="0085363E" w:rsidP="00ED0FFC">
      <w:pPr>
        <w:pStyle w:val="ListParagraph"/>
        <w:spacing w:after="120"/>
        <w:ind w:left="2552" w:right="1134" w:hanging="284"/>
        <w:contextualSpacing w:val="0"/>
        <w:rPr>
          <w:lang w:val="de-DE"/>
        </w:rPr>
      </w:pPr>
      <w:r w:rsidRPr="00DD2A86">
        <w:rPr>
          <w:lang w:val="de-DE"/>
        </w:rPr>
        <w:t>-</w:t>
      </w:r>
      <w:r w:rsidR="00ED0FFC" w:rsidRPr="00DD2A86">
        <w:rPr>
          <w:lang w:val="de-DE"/>
        </w:rPr>
        <w:tab/>
        <w:t>diese elektrischen Kabel und die Einspeiseeinheit an Bord einer gültigen Norm (z.B. EN 15869-03: 2010) entsprechen,</w:t>
      </w:r>
    </w:p>
    <w:p w:rsidR="00ED0FFC" w:rsidRPr="00DD2A86" w:rsidRDefault="0085363E" w:rsidP="00ED0FFC">
      <w:pPr>
        <w:pStyle w:val="ListParagraph"/>
        <w:spacing w:after="120"/>
        <w:ind w:left="2552" w:right="1134" w:hanging="284"/>
        <w:contextualSpacing w:val="0"/>
        <w:rPr>
          <w:lang w:val="de-DE"/>
        </w:rPr>
      </w:pPr>
      <w:r w:rsidRPr="00DD2A86">
        <w:rPr>
          <w:lang w:val="de-DE"/>
        </w:rPr>
        <w:t>-</w:t>
      </w:r>
      <w:r w:rsidR="00ED0FFC" w:rsidRPr="00DD2A86">
        <w:rPr>
          <w:lang w:val="de-DE"/>
        </w:rPr>
        <w:tab/>
        <w:t>Einspeiseeinheit und Leitungskupplung außerhalb des explosionsgefährdeten Bereiches liegen.</w:t>
      </w:r>
    </w:p>
    <w:p w:rsidR="00ED0FFC" w:rsidRPr="00DD2A86" w:rsidRDefault="00ED0FFC" w:rsidP="00ED0FFC">
      <w:pPr>
        <w:pStyle w:val="ListParagraph"/>
        <w:spacing w:after="120"/>
        <w:ind w:left="2268" w:right="1134"/>
        <w:contextualSpacing w:val="0"/>
        <w:jc w:val="both"/>
        <w:rPr>
          <w:lang w:val="de-DE"/>
        </w:rPr>
      </w:pPr>
      <w:r w:rsidRPr="00DD2A86">
        <w:rPr>
          <w:lang w:val="de-DE"/>
        </w:rPr>
        <w:t>Das Herstellen und das Trennen der entsprechenden Steckverbindungen/Leitungskupplungen darf nur spannungslos möglich sein.“.</w:t>
      </w:r>
    </w:p>
    <w:p w:rsidR="0040549D" w:rsidRPr="00DD2A86" w:rsidRDefault="0040549D" w:rsidP="0040549D">
      <w:pPr>
        <w:pStyle w:val="ListParagraph"/>
        <w:suppressAutoHyphens w:val="0"/>
        <w:autoSpaceDE w:val="0"/>
        <w:autoSpaceDN w:val="0"/>
        <w:adjustRightInd w:val="0"/>
        <w:spacing w:before="240"/>
        <w:ind w:left="1134" w:right="1134"/>
        <w:contextualSpacing w:val="0"/>
        <w:jc w:val="both"/>
        <w:rPr>
          <w:rFonts w:eastAsia="Calibri"/>
          <w:lang w:val="de-DE" w:eastAsia="de-DE"/>
        </w:rPr>
      </w:pPr>
      <w:r w:rsidRPr="00DD2A86">
        <w:rPr>
          <w:rFonts w:eastAsia="Calibri"/>
          <w:lang w:val="de-DE" w:eastAsia="de-DE"/>
        </w:rPr>
        <w:t>9.3.1.53.4, 9.3.2.53.4 und 9.3.3.53.4</w:t>
      </w:r>
      <w:r w:rsidRPr="00DD2A86">
        <w:rPr>
          <w:rFonts w:eastAsia="Calibri"/>
          <w:lang w:val="de-DE" w:eastAsia="de-DE"/>
        </w:rPr>
        <w:tab/>
        <w:t>Erhalten folgenden Wortlaut:</w:t>
      </w:r>
    </w:p>
    <w:p w:rsidR="0040549D" w:rsidRPr="00DD2A86" w:rsidRDefault="0040549D" w:rsidP="0040549D">
      <w:pPr>
        <w:pStyle w:val="ListParagraph"/>
        <w:suppressAutoHyphens w:val="0"/>
        <w:autoSpaceDE w:val="0"/>
        <w:autoSpaceDN w:val="0"/>
        <w:adjustRightInd w:val="0"/>
        <w:spacing w:before="120"/>
        <w:ind w:left="2268" w:right="1134"/>
        <w:contextualSpacing w:val="0"/>
        <w:jc w:val="both"/>
        <w:rPr>
          <w:rFonts w:eastAsia="Calibri"/>
          <w:lang w:val="de-DE" w:eastAsia="en-US"/>
        </w:rPr>
      </w:pPr>
      <w:r w:rsidRPr="00DD2A86">
        <w:rPr>
          <w:rFonts w:eastAsia="Calibri"/>
          <w:lang w:val="de-DE" w:eastAsia="en-US"/>
        </w:rPr>
        <w:t>„Elektrische Kabel für eigensichere Stromkreise müssen von anderen Kabeln, die nicht zu solchen Stromkreisen gehören, getrennt verlegt und gekennzeichnet sein (z.B. nicht zusammen im gleichen Kabelbündel und nicht durch gemeinsame Kabelschellen gehalten).“.</w:t>
      </w:r>
    </w:p>
    <w:p w:rsidR="00EB6056" w:rsidRPr="00DD2A86" w:rsidRDefault="00EB6056">
      <w:pPr>
        <w:suppressAutoHyphens w:val="0"/>
        <w:spacing w:line="240" w:lineRule="auto"/>
        <w:rPr>
          <w:rFonts w:eastAsia="Calibri"/>
          <w:lang w:val="de-DE" w:eastAsia="de-DE"/>
        </w:rPr>
      </w:pPr>
      <w:r w:rsidRPr="00DD2A86">
        <w:rPr>
          <w:rFonts w:eastAsia="Calibri"/>
          <w:lang w:val="de-DE" w:eastAsia="de-DE"/>
        </w:rPr>
        <w:br w:type="page"/>
      </w:r>
    </w:p>
    <w:p w:rsidR="0040549D" w:rsidRPr="00DD2A86" w:rsidRDefault="0040549D" w:rsidP="0040549D">
      <w:pPr>
        <w:pStyle w:val="ListParagraph"/>
        <w:autoSpaceDE w:val="0"/>
        <w:autoSpaceDN w:val="0"/>
        <w:adjustRightInd w:val="0"/>
        <w:spacing w:before="120"/>
        <w:ind w:left="1134" w:right="1134"/>
        <w:contextualSpacing w:val="0"/>
        <w:rPr>
          <w:rFonts w:eastAsia="Calibri"/>
          <w:bCs/>
          <w:lang w:val="de-DE" w:eastAsia="de-DE"/>
        </w:rPr>
      </w:pPr>
      <w:r w:rsidRPr="00DD2A86">
        <w:rPr>
          <w:rFonts w:eastAsia="Calibri"/>
          <w:lang w:val="de-DE" w:eastAsia="de-DE"/>
        </w:rPr>
        <w:t>9.3.x.53.5</w:t>
      </w:r>
      <w:r w:rsidRPr="00DD2A86">
        <w:rPr>
          <w:rFonts w:eastAsia="Calibri"/>
          <w:lang w:val="de-DE" w:eastAsia="de-DE"/>
        </w:rPr>
        <w:tab/>
        <w:t>F</w:t>
      </w:r>
      <w:r w:rsidRPr="00DD2A86">
        <w:rPr>
          <w:rFonts w:eastAsia="Calibri"/>
          <w:bCs/>
          <w:lang w:val="de-DE" w:eastAsia="de-DE"/>
        </w:rPr>
        <w:t>olgenden neuen Absatz hinzufügen:</w:t>
      </w:r>
    </w:p>
    <w:p w:rsidR="0040549D" w:rsidRPr="00DD2A86" w:rsidRDefault="0040549D" w:rsidP="0040549D">
      <w:pPr>
        <w:pStyle w:val="ListParagraph"/>
        <w:autoSpaceDE w:val="0"/>
        <w:autoSpaceDN w:val="0"/>
        <w:adjustRightInd w:val="0"/>
        <w:spacing w:before="120"/>
        <w:ind w:left="2268" w:right="1134"/>
        <w:contextualSpacing w:val="0"/>
        <w:jc w:val="both"/>
        <w:rPr>
          <w:rFonts w:eastAsia="Calibri"/>
          <w:bCs/>
          <w:lang w:val="de-DE" w:eastAsia="de-DE"/>
        </w:rPr>
      </w:pPr>
      <w:r w:rsidRPr="00DD2A86">
        <w:rPr>
          <w:rFonts w:eastAsia="Calibri"/>
          <w:lang w:val="de-DE" w:eastAsia="de-DE"/>
        </w:rPr>
        <w:t>„9.3.x.53.5</w:t>
      </w:r>
      <w:r w:rsidRPr="00DD2A86">
        <w:rPr>
          <w:rFonts w:eastAsia="Calibri"/>
          <w:lang w:val="de-DE" w:eastAsia="de-DE"/>
        </w:rPr>
        <w:tab/>
      </w:r>
      <w:r w:rsidRPr="00DD2A86">
        <w:rPr>
          <w:rFonts w:eastAsia="Calibri"/>
          <w:bCs/>
          <w:lang w:val="de-DE" w:eastAsia="de-DE"/>
        </w:rPr>
        <w:t xml:space="preserve">Für die nach Absatz </w:t>
      </w:r>
      <w:r w:rsidRPr="00DD2A86">
        <w:rPr>
          <w:rFonts w:eastAsia="Calibri"/>
          <w:lang w:val="de-DE" w:eastAsia="de-DE"/>
        </w:rPr>
        <w:t xml:space="preserve">9.3.x.53.3 </w:t>
      </w:r>
      <w:r w:rsidRPr="00DD2A86">
        <w:rPr>
          <w:rFonts w:eastAsia="Calibri"/>
          <w:bCs/>
          <w:lang w:val="de-DE" w:eastAsia="de-DE"/>
        </w:rPr>
        <w:t xml:space="preserve">zulässigen beweglichen elektrischen Kabel dürfen nur Schlauchleitungen </w:t>
      </w:r>
      <w:r w:rsidRPr="00DD2A86">
        <w:rPr>
          <w:rFonts w:eastAsia="Calibri"/>
          <w:lang w:val="de-DE" w:eastAsia="de-DE"/>
        </w:rPr>
        <w:t xml:space="preserve">des Typs </w:t>
      </w:r>
      <w:r w:rsidRPr="00DD2A86">
        <w:rPr>
          <w:rFonts w:eastAsia="Calibri"/>
          <w:bCs/>
          <w:lang w:val="de-DE" w:eastAsia="de-DE"/>
        </w:rPr>
        <w:t>H</w:t>
      </w:r>
      <w:r w:rsidRPr="00DD2A86">
        <w:rPr>
          <w:rFonts w:eastAsia="Calibri"/>
          <w:lang w:val="de-DE" w:eastAsia="de-DE"/>
        </w:rPr>
        <w:t> </w:t>
      </w:r>
      <w:r w:rsidRPr="00DD2A86">
        <w:rPr>
          <w:rFonts w:eastAsia="Calibri"/>
          <w:bCs/>
          <w:lang w:val="de-DE" w:eastAsia="de-DE"/>
        </w:rPr>
        <w:t>07</w:t>
      </w:r>
      <w:r w:rsidRPr="00DD2A86">
        <w:rPr>
          <w:rFonts w:eastAsia="Calibri"/>
          <w:lang w:val="de-DE" w:eastAsia="de-DE"/>
        </w:rPr>
        <w:t> </w:t>
      </w:r>
      <w:r w:rsidRPr="00DD2A86">
        <w:rPr>
          <w:rFonts w:eastAsia="Calibri"/>
          <w:bCs/>
          <w:lang w:val="de-DE" w:eastAsia="de-DE"/>
        </w:rPr>
        <w:t>RN-F nach Norm IEC 60245-4:2011</w:t>
      </w:r>
      <w:r w:rsidRPr="00DD2A86">
        <w:rPr>
          <w:rStyle w:val="FootnoteReference"/>
          <w:rFonts w:eastAsia="Calibri"/>
          <w:bCs/>
          <w:lang w:val="de-DE" w:eastAsia="de-DE"/>
        </w:rPr>
        <w:footnoteReference w:id="77"/>
      </w:r>
      <w:r w:rsidRPr="00DD2A86">
        <w:rPr>
          <w:rFonts w:eastAsia="Calibri"/>
          <w:bCs/>
          <w:vertAlign w:val="superscript"/>
          <w:lang w:val="de-DE" w:eastAsia="de-DE"/>
        </w:rPr>
        <w:t>)</w:t>
      </w:r>
      <w:r w:rsidRPr="00DD2A86">
        <w:rPr>
          <w:rFonts w:eastAsia="Calibri"/>
          <w:bCs/>
          <w:lang w:val="de-DE" w:eastAsia="de-DE"/>
        </w:rPr>
        <w:t xml:space="preserve"> oder elektrische Kabel mindestens gleichwertiger Ausführung mit einem Mindestquerschnitt der Leiter von 1,50 mm² verwendet werden.“.</w:t>
      </w:r>
    </w:p>
    <w:p w:rsidR="0040549D" w:rsidRPr="00DD2A86" w:rsidRDefault="0040549D" w:rsidP="0040549D">
      <w:pPr>
        <w:suppressAutoHyphens w:val="0"/>
        <w:spacing w:before="240" w:line="240" w:lineRule="auto"/>
        <w:ind w:left="2268" w:right="1134" w:hanging="1134"/>
        <w:rPr>
          <w:bCs/>
          <w:lang w:val="de-DE" w:eastAsia="de-DE"/>
        </w:rPr>
      </w:pPr>
      <w:r w:rsidRPr="00DD2A86">
        <w:rPr>
          <w:bCs/>
          <w:lang w:val="de-DE" w:eastAsia="de-DE"/>
        </w:rPr>
        <w:t>9.3.x.54</w:t>
      </w:r>
      <w:r w:rsidRPr="00DD2A86">
        <w:rPr>
          <w:bCs/>
          <w:lang w:val="de-DE" w:eastAsia="de-DE"/>
        </w:rPr>
        <w:tab/>
        <w:t>Folgende neue Absätze hinzufügen:</w:t>
      </w:r>
    </w:p>
    <w:p w:rsidR="0040549D" w:rsidRPr="00DD2A86" w:rsidRDefault="0040549D" w:rsidP="0040549D">
      <w:pPr>
        <w:pStyle w:val="ListParagraph"/>
        <w:tabs>
          <w:tab w:val="left" w:pos="567"/>
          <w:tab w:val="left" w:pos="1134"/>
          <w:tab w:val="left" w:pos="1701"/>
          <w:tab w:val="left" w:pos="2268"/>
          <w:tab w:val="left" w:pos="2835"/>
          <w:tab w:val="left" w:pos="3402"/>
          <w:tab w:val="left" w:pos="3969"/>
          <w:tab w:val="left" w:pos="4642"/>
        </w:tabs>
        <w:suppressAutoHyphens w:val="0"/>
        <w:autoSpaceDE w:val="0"/>
        <w:autoSpaceDN w:val="0"/>
        <w:adjustRightInd w:val="0"/>
        <w:spacing w:before="120"/>
        <w:ind w:left="3402" w:right="1134" w:hanging="1134"/>
        <w:contextualSpacing w:val="0"/>
        <w:jc w:val="both"/>
        <w:rPr>
          <w:rFonts w:eastAsia="Calibri"/>
          <w:bCs/>
          <w:lang w:val="de-DE" w:eastAsia="de-DE"/>
        </w:rPr>
      </w:pPr>
      <w:r w:rsidRPr="00DD2A86">
        <w:rPr>
          <w:rFonts w:eastAsia="Calibri"/>
          <w:bCs/>
          <w:lang w:val="de-DE" w:eastAsia="de-DE"/>
        </w:rPr>
        <w:t>„</w:t>
      </w:r>
      <w:r w:rsidRPr="00DD2A86">
        <w:rPr>
          <w:rFonts w:eastAsia="Calibri"/>
          <w:b/>
          <w:bCs/>
          <w:lang w:val="de-DE" w:eastAsia="de-DE"/>
        </w:rPr>
        <w:t>9.3.x.54</w:t>
      </w:r>
      <w:r w:rsidRPr="00DD2A86">
        <w:rPr>
          <w:rFonts w:eastAsia="Calibri"/>
          <w:b/>
          <w:bCs/>
          <w:lang w:val="de-DE" w:eastAsia="de-DE"/>
        </w:rPr>
        <w:tab/>
        <w:t>Erdung</w:t>
      </w:r>
    </w:p>
    <w:p w:rsidR="0040549D" w:rsidRPr="00DD2A86" w:rsidRDefault="0040549D" w:rsidP="0040549D">
      <w:pPr>
        <w:pStyle w:val="ListParagraph"/>
        <w:suppressAutoHyphens w:val="0"/>
        <w:autoSpaceDE w:val="0"/>
        <w:autoSpaceDN w:val="0"/>
        <w:adjustRightInd w:val="0"/>
        <w:spacing w:before="120"/>
        <w:ind w:left="3402" w:right="1134" w:hanging="1134"/>
        <w:contextualSpacing w:val="0"/>
        <w:jc w:val="both"/>
        <w:rPr>
          <w:rFonts w:eastAsia="Calibri"/>
          <w:bCs/>
          <w:lang w:val="de-DE"/>
        </w:rPr>
      </w:pPr>
      <w:r w:rsidRPr="00DD2A86">
        <w:rPr>
          <w:rFonts w:eastAsia="Calibri"/>
          <w:bCs/>
          <w:lang w:val="de-DE"/>
        </w:rPr>
        <w:t>9.3.x.54.1</w:t>
      </w:r>
      <w:r w:rsidRPr="00DD2A86">
        <w:rPr>
          <w:rFonts w:eastAsia="Calibri"/>
          <w:bCs/>
          <w:lang w:val="de-DE"/>
        </w:rPr>
        <w:tab/>
        <w:t>Im Bereich der Ladung müssen die betriebsmäßig nicht unter Spannung stehenden Metallteile elektrischer Anlagen und Geräte sowie Metallarmierungen und Metallmäntel von Kabeln geerdet sein, sofern sie nicht durch die Art ihres Einbaus mit dem Schiffskörper metallisch leitend verbunden sind.</w:t>
      </w:r>
    </w:p>
    <w:p w:rsidR="0040549D" w:rsidRPr="00DD2A86" w:rsidRDefault="0040549D" w:rsidP="0040549D">
      <w:pPr>
        <w:pStyle w:val="ListParagraph"/>
        <w:spacing w:before="120"/>
        <w:ind w:left="3402" w:right="1134" w:hanging="1134"/>
        <w:contextualSpacing w:val="0"/>
        <w:jc w:val="both"/>
        <w:rPr>
          <w:rFonts w:eastAsia="Calibri"/>
          <w:bCs/>
          <w:lang w:val="de-DE"/>
        </w:rPr>
      </w:pPr>
      <w:r w:rsidRPr="00DD2A86">
        <w:rPr>
          <w:rFonts w:eastAsia="Calibri"/>
          <w:bCs/>
          <w:lang w:val="de-DE"/>
        </w:rPr>
        <w:t>9.3.x.54.2</w:t>
      </w:r>
      <w:r w:rsidRPr="00DD2A86">
        <w:rPr>
          <w:rFonts w:eastAsia="Calibri"/>
          <w:bCs/>
          <w:lang w:val="de-DE"/>
        </w:rPr>
        <w:tab/>
        <w:t>Die Vorschriften des Absatzes 9.3.x.54.1 gilt auch für Anlagen mit einer Spannung unter 50 Volt.</w:t>
      </w:r>
    </w:p>
    <w:p w:rsidR="0040549D" w:rsidRPr="00DD2A86" w:rsidRDefault="0040549D" w:rsidP="0040549D">
      <w:pPr>
        <w:pStyle w:val="ListParagraph"/>
        <w:spacing w:before="120"/>
        <w:ind w:left="3402" w:right="1134" w:hanging="1134"/>
        <w:contextualSpacing w:val="0"/>
        <w:jc w:val="both"/>
        <w:rPr>
          <w:rFonts w:eastAsia="Calibri"/>
          <w:bCs/>
          <w:lang w:val="de-DE"/>
        </w:rPr>
      </w:pPr>
      <w:r w:rsidRPr="00DD2A86">
        <w:rPr>
          <w:rFonts w:eastAsia="Calibri"/>
          <w:bCs/>
          <w:lang w:val="de-DE"/>
        </w:rPr>
        <w:t>9.3.x.54.3</w:t>
      </w:r>
      <w:r w:rsidRPr="00DD2A86">
        <w:rPr>
          <w:rFonts w:eastAsia="Calibri"/>
          <w:bCs/>
          <w:lang w:val="de-DE"/>
        </w:rPr>
        <w:tab/>
        <w:t>Unabhängige Ladetanks, metallene Großpackmittel und Tankcontainer müssen geerdet sein.</w:t>
      </w:r>
    </w:p>
    <w:p w:rsidR="0040549D" w:rsidRPr="00DD2A86" w:rsidRDefault="0040549D" w:rsidP="0040549D">
      <w:pPr>
        <w:pStyle w:val="ListParagraph"/>
        <w:spacing w:before="120"/>
        <w:ind w:left="3402" w:right="1134" w:hanging="1134"/>
        <w:contextualSpacing w:val="0"/>
        <w:jc w:val="both"/>
        <w:rPr>
          <w:rFonts w:eastAsia="Calibri"/>
          <w:lang w:val="de-DE"/>
        </w:rPr>
      </w:pPr>
      <w:r w:rsidRPr="00DD2A86">
        <w:rPr>
          <w:rFonts w:eastAsia="Calibri"/>
          <w:bCs/>
          <w:lang w:val="de-DE"/>
        </w:rPr>
        <w:t>9.3.x.54.4</w:t>
      </w:r>
      <w:r w:rsidRPr="00DD2A86">
        <w:rPr>
          <w:rFonts w:eastAsia="Calibri"/>
          <w:bCs/>
          <w:lang w:val="de-DE"/>
        </w:rPr>
        <w:tab/>
      </w:r>
      <w:r w:rsidRPr="00DD2A86">
        <w:rPr>
          <w:rFonts w:eastAsia="Calibri"/>
          <w:lang w:val="de-DE"/>
        </w:rPr>
        <w:t>Restebehälter müssen geerdet werden können.“.</w:t>
      </w:r>
    </w:p>
    <w:p w:rsidR="0040549D" w:rsidRPr="00DD2A86" w:rsidRDefault="0040549D" w:rsidP="0040549D">
      <w:pPr>
        <w:pStyle w:val="ListParagraph"/>
        <w:spacing w:before="240"/>
        <w:ind w:left="2268" w:hanging="1134"/>
        <w:contextualSpacing w:val="0"/>
        <w:jc w:val="both"/>
        <w:rPr>
          <w:rFonts w:eastAsia="Calibri"/>
          <w:lang w:val="de-DE"/>
        </w:rPr>
      </w:pPr>
      <w:r w:rsidRPr="00DD2A86">
        <w:rPr>
          <w:rFonts w:eastAsia="Calibri"/>
          <w:lang w:val="de-DE"/>
        </w:rPr>
        <w:t>9.3.x.54</w:t>
      </w:r>
      <w:r w:rsidRPr="00DD2A86">
        <w:rPr>
          <w:rFonts w:eastAsia="Calibri"/>
          <w:lang w:val="de-DE"/>
        </w:rPr>
        <w:tab/>
        <w:t>„9.3.x.54 – 9.3.x.55 (bleibt offen)“ ändern in: „9.3.x.55 (bleibt offen)“.</w:t>
      </w:r>
    </w:p>
    <w:p w:rsidR="0040549D" w:rsidRPr="00DD2A86" w:rsidRDefault="0040549D" w:rsidP="0040549D">
      <w:pPr>
        <w:tabs>
          <w:tab w:val="left" w:pos="2268"/>
        </w:tabs>
        <w:suppressAutoHyphens w:val="0"/>
        <w:autoSpaceDE w:val="0"/>
        <w:autoSpaceDN w:val="0"/>
        <w:adjustRightInd w:val="0"/>
        <w:spacing w:before="240" w:line="240" w:lineRule="auto"/>
        <w:ind w:left="1134" w:right="112"/>
        <w:jc w:val="both"/>
        <w:rPr>
          <w:rFonts w:eastAsia="Calibri"/>
          <w:lang w:val="de-DE"/>
        </w:rPr>
      </w:pPr>
      <w:r w:rsidRPr="00DD2A86">
        <w:rPr>
          <w:rFonts w:eastAsia="Calibri"/>
          <w:lang w:val="de-DE"/>
        </w:rPr>
        <w:t>9.3.x.56</w:t>
      </w:r>
      <w:r w:rsidRPr="00DD2A86">
        <w:rPr>
          <w:rFonts w:eastAsia="Calibri"/>
          <w:lang w:val="de-DE"/>
        </w:rPr>
        <w:tab/>
        <w:t>Erhält folgenden Wortlaut: „(gestrichen)“.</w:t>
      </w:r>
    </w:p>
    <w:p w:rsidR="0040549D" w:rsidRPr="00DD2A86" w:rsidRDefault="0040549D" w:rsidP="00596E04">
      <w:pPr>
        <w:tabs>
          <w:tab w:val="left" w:pos="2268"/>
          <w:tab w:val="left" w:pos="7230"/>
        </w:tabs>
        <w:suppressAutoHyphens w:val="0"/>
        <w:autoSpaceDE w:val="0"/>
        <w:autoSpaceDN w:val="0"/>
        <w:adjustRightInd w:val="0"/>
        <w:spacing w:before="240" w:line="240" w:lineRule="auto"/>
        <w:ind w:left="1134" w:right="112"/>
        <w:jc w:val="both"/>
        <w:rPr>
          <w:rFonts w:eastAsia="Calibri"/>
          <w:i/>
          <w:lang w:val="de-DE"/>
        </w:rPr>
      </w:pPr>
      <w:r w:rsidRPr="00DD2A86">
        <w:rPr>
          <w:rFonts w:eastAsia="Calibri"/>
          <w:lang w:val="de-DE"/>
        </w:rPr>
        <w:t>9.3.x.56.1, 9.3.x.56.2, 9.3.x.56.3, 9.3.x.56.4, 9.3.x.56.5 und 9.3.x.56.6</w:t>
      </w:r>
      <w:r w:rsidRPr="00DD2A86">
        <w:rPr>
          <w:rFonts w:eastAsia="Calibri"/>
          <w:lang w:val="de-DE"/>
        </w:rPr>
        <w:tab/>
        <w:t>Streichen</w:t>
      </w:r>
    </w:p>
    <w:p w:rsidR="0040549D" w:rsidRPr="00DD2A86" w:rsidRDefault="0040549D" w:rsidP="0040549D">
      <w:pPr>
        <w:kinsoku w:val="0"/>
        <w:overflowPunct w:val="0"/>
        <w:autoSpaceDE w:val="0"/>
        <w:autoSpaceDN w:val="0"/>
        <w:adjustRightInd w:val="0"/>
        <w:snapToGrid w:val="0"/>
        <w:spacing w:before="240" w:after="120"/>
        <w:ind w:left="1134" w:right="1134"/>
        <w:jc w:val="both"/>
        <w:rPr>
          <w:rFonts w:eastAsiaTheme="minorHAnsi"/>
          <w:lang w:val="de-DE"/>
        </w:rPr>
      </w:pPr>
      <w:r w:rsidRPr="00DD2A86">
        <w:rPr>
          <w:rFonts w:eastAsiaTheme="minorHAnsi"/>
          <w:lang w:val="de-DE"/>
        </w:rPr>
        <w:t>9.3.x.60</w:t>
      </w:r>
      <w:r w:rsidRPr="00DD2A86">
        <w:rPr>
          <w:rFonts w:eastAsiaTheme="minorHAnsi"/>
          <w:lang w:val="de-DE"/>
        </w:rPr>
        <w:tab/>
        <w:t>Am Ende hinzufügen:</w:t>
      </w:r>
    </w:p>
    <w:p w:rsidR="0040549D" w:rsidRPr="00DD2A86" w:rsidRDefault="0040549D" w:rsidP="0040549D">
      <w:pPr>
        <w:kinsoku w:val="0"/>
        <w:overflowPunct w:val="0"/>
        <w:autoSpaceDE w:val="0"/>
        <w:autoSpaceDN w:val="0"/>
        <w:adjustRightInd w:val="0"/>
        <w:snapToGrid w:val="0"/>
        <w:spacing w:after="120"/>
        <w:ind w:left="1134" w:right="1134"/>
        <w:jc w:val="both"/>
        <w:rPr>
          <w:rFonts w:eastAsiaTheme="minorHAnsi"/>
          <w:lang w:val="de-DE"/>
        </w:rPr>
      </w:pPr>
      <w:r w:rsidRPr="00DD2A86">
        <w:rPr>
          <w:rFonts w:eastAsiaTheme="minorHAnsi"/>
          <w:lang w:val="de-DE"/>
        </w:rPr>
        <w:t>„Das Wasser muss der Qualität des Trinkwassers an Bord entsprechen.</w:t>
      </w:r>
    </w:p>
    <w:p w:rsidR="0040549D" w:rsidRPr="00DD2A86" w:rsidRDefault="0040549D" w:rsidP="00F04668">
      <w:pPr>
        <w:kinsoku w:val="0"/>
        <w:overflowPunct w:val="0"/>
        <w:autoSpaceDE w:val="0"/>
        <w:autoSpaceDN w:val="0"/>
        <w:adjustRightInd w:val="0"/>
        <w:snapToGrid w:val="0"/>
        <w:spacing w:after="120"/>
        <w:ind w:left="1701" w:right="1134" w:hanging="567"/>
        <w:jc w:val="both"/>
        <w:rPr>
          <w:rFonts w:eastAsiaTheme="minorHAnsi"/>
          <w:lang w:val="de-DE"/>
        </w:rPr>
      </w:pPr>
      <w:r w:rsidRPr="00DD2A86">
        <w:rPr>
          <w:rFonts w:eastAsiaTheme="minorHAnsi"/>
          <w:b/>
          <w:i/>
          <w:lang w:val="de-DE"/>
        </w:rPr>
        <w:t>Bem.</w:t>
      </w:r>
      <w:r w:rsidRPr="00DD2A86">
        <w:rPr>
          <w:rFonts w:eastAsiaTheme="minorHAnsi"/>
          <w:i/>
          <w:lang w:val="de-DE"/>
        </w:rPr>
        <w:tab/>
      </w:r>
      <w:r w:rsidRPr="00DD2A86">
        <w:rPr>
          <w:rFonts w:eastAsiaTheme="minorHAnsi"/>
          <w:lang w:val="de-DE"/>
        </w:rPr>
        <w:t>Weitere Dekontaminationsmittel zur Vermeidung von Augen- und Hautverätzungen sind zugelassen.</w:t>
      </w:r>
    </w:p>
    <w:p w:rsidR="0040549D" w:rsidRPr="00DD2A86" w:rsidRDefault="0040549D" w:rsidP="0040549D">
      <w:pPr>
        <w:kinsoku w:val="0"/>
        <w:overflowPunct w:val="0"/>
        <w:autoSpaceDE w:val="0"/>
        <w:autoSpaceDN w:val="0"/>
        <w:adjustRightInd w:val="0"/>
        <w:snapToGrid w:val="0"/>
        <w:spacing w:after="120"/>
        <w:ind w:left="1134" w:right="1134"/>
        <w:jc w:val="both"/>
        <w:rPr>
          <w:rFonts w:eastAsiaTheme="minorHAnsi"/>
          <w:lang w:val="de-DE"/>
        </w:rPr>
      </w:pPr>
      <w:r w:rsidRPr="00DD2A86">
        <w:rPr>
          <w:rFonts w:eastAsiaTheme="minorHAnsi"/>
          <w:lang w:val="de-DE"/>
        </w:rPr>
        <w:t>Eine Verbindung dieser besonderen Ausrüstung mit dem Bereich außerhalb des Ladungsbereichs ist zulässig.</w:t>
      </w:r>
    </w:p>
    <w:p w:rsidR="0040549D" w:rsidRPr="00DD2A86" w:rsidRDefault="0040549D" w:rsidP="0040549D">
      <w:pPr>
        <w:kinsoku w:val="0"/>
        <w:overflowPunct w:val="0"/>
        <w:autoSpaceDE w:val="0"/>
        <w:autoSpaceDN w:val="0"/>
        <w:adjustRightInd w:val="0"/>
        <w:snapToGrid w:val="0"/>
        <w:spacing w:after="120"/>
        <w:ind w:left="1134" w:right="1134"/>
        <w:jc w:val="both"/>
        <w:rPr>
          <w:rFonts w:eastAsiaTheme="minorHAnsi"/>
          <w:lang w:val="de-DE"/>
        </w:rPr>
      </w:pPr>
      <w:r w:rsidRPr="00DD2A86">
        <w:rPr>
          <w:rFonts w:eastAsiaTheme="minorHAnsi"/>
          <w:lang w:val="de-DE"/>
        </w:rPr>
        <w:t>Es muss ein federbelastetes Rückschlagventil montiert sein, um sicherzustellen, dass durch das Dusch- und das Augen- und Gesichtsbadsystem keine Gase außerhalb des Ladungsbereichs gelangen können.“.</w:t>
      </w:r>
    </w:p>
    <w:p w:rsidR="0040549D" w:rsidRPr="00DD2A86" w:rsidRDefault="0040549D" w:rsidP="0040549D">
      <w:pPr>
        <w:tabs>
          <w:tab w:val="left" w:pos="2552"/>
        </w:tabs>
        <w:kinsoku w:val="0"/>
        <w:overflowPunct w:val="0"/>
        <w:autoSpaceDE w:val="0"/>
        <w:autoSpaceDN w:val="0"/>
        <w:adjustRightInd w:val="0"/>
        <w:snapToGrid w:val="0"/>
        <w:spacing w:before="120" w:after="120"/>
        <w:ind w:left="1134" w:right="1134"/>
        <w:jc w:val="both"/>
        <w:rPr>
          <w:rFonts w:eastAsiaTheme="minorHAnsi"/>
          <w:lang w:val="de-DE"/>
        </w:rPr>
      </w:pPr>
      <w:r w:rsidRPr="00DD2A86">
        <w:rPr>
          <w:rFonts w:eastAsiaTheme="minorHAnsi"/>
          <w:lang w:val="de-DE"/>
        </w:rPr>
        <w:t>9.3.1 und 9.3.2</w:t>
      </w:r>
      <w:r w:rsidRPr="00DD2A86">
        <w:rPr>
          <w:rFonts w:eastAsiaTheme="minorHAnsi"/>
          <w:lang w:val="de-DE"/>
        </w:rPr>
        <w:tab/>
        <w:t>Einfügen: „9.3.</w:t>
      </w:r>
      <w:r w:rsidR="00596E04" w:rsidRPr="00DD2A86">
        <w:rPr>
          <w:rFonts w:eastAsiaTheme="minorHAnsi"/>
          <w:lang w:val="de-DE"/>
        </w:rPr>
        <w:t>x</w:t>
      </w:r>
      <w:r w:rsidRPr="00DD2A86">
        <w:rPr>
          <w:rFonts w:eastAsiaTheme="minorHAnsi"/>
          <w:lang w:val="de-DE"/>
        </w:rPr>
        <w:t>.61 (bleibt offen)“.</w:t>
      </w:r>
    </w:p>
    <w:p w:rsidR="00EB6056" w:rsidRPr="00DD2A86" w:rsidRDefault="00EB6056">
      <w:pPr>
        <w:suppressAutoHyphens w:val="0"/>
        <w:spacing w:line="240" w:lineRule="auto"/>
        <w:rPr>
          <w:rFonts w:eastAsiaTheme="minorHAnsi"/>
          <w:lang w:val="de-DE"/>
        </w:rPr>
      </w:pPr>
      <w:r w:rsidRPr="00DD2A86">
        <w:rPr>
          <w:rFonts w:eastAsiaTheme="minorHAnsi"/>
          <w:lang w:val="de-DE"/>
        </w:rPr>
        <w:br w:type="page"/>
      </w:r>
    </w:p>
    <w:p w:rsidR="009714E5" w:rsidRPr="00DD2A86" w:rsidRDefault="009714E5" w:rsidP="009714E5">
      <w:pPr>
        <w:kinsoku w:val="0"/>
        <w:overflowPunct w:val="0"/>
        <w:autoSpaceDE w:val="0"/>
        <w:autoSpaceDN w:val="0"/>
        <w:adjustRightInd w:val="0"/>
        <w:snapToGrid w:val="0"/>
        <w:spacing w:before="120" w:after="120"/>
        <w:ind w:left="1134" w:right="1134"/>
        <w:jc w:val="both"/>
        <w:rPr>
          <w:rFonts w:eastAsiaTheme="minorHAnsi"/>
          <w:lang w:val="de-DE"/>
        </w:rPr>
      </w:pPr>
      <w:r w:rsidRPr="00DD2A86">
        <w:rPr>
          <w:rFonts w:eastAsiaTheme="minorHAnsi"/>
          <w:lang w:val="de-DE"/>
        </w:rPr>
        <w:t>9.3.1, 9.3.2 und 9.3.3</w:t>
      </w:r>
      <w:r w:rsidRPr="00DD2A86">
        <w:rPr>
          <w:rFonts w:eastAsiaTheme="minorHAnsi"/>
          <w:lang w:val="de-DE"/>
        </w:rPr>
        <w:tab/>
      </w:r>
      <w:r w:rsidRPr="00DD2A86">
        <w:rPr>
          <w:rFonts w:eastAsiaTheme="minorHAnsi"/>
          <w:lang w:val="de-DE"/>
        </w:rPr>
        <w:tab/>
        <w:t>Einen neuen Unterabsatz 9.3.x.62 mit folgendem Wortlaut einfügen:</w:t>
      </w:r>
    </w:p>
    <w:p w:rsidR="00ED0FFC" w:rsidRPr="00DD2A86" w:rsidRDefault="00ED0FFC" w:rsidP="009714E5">
      <w:pPr>
        <w:suppressAutoHyphens w:val="0"/>
        <w:autoSpaceDE w:val="0"/>
        <w:adjustRightInd w:val="0"/>
        <w:spacing w:before="120"/>
        <w:ind w:left="1134" w:right="567"/>
        <w:jc w:val="both"/>
        <w:rPr>
          <w:b/>
          <w:szCs w:val="18"/>
          <w:lang w:val="de-DE"/>
        </w:rPr>
      </w:pPr>
      <w:r w:rsidRPr="00DD2A86">
        <w:rPr>
          <w:b/>
          <w:szCs w:val="18"/>
          <w:lang w:val="de-DE"/>
        </w:rPr>
        <w:t>„9.3.x.62</w:t>
      </w:r>
      <w:r w:rsidRPr="00DD2A86">
        <w:rPr>
          <w:b/>
          <w:szCs w:val="18"/>
          <w:lang w:val="de-DE"/>
        </w:rPr>
        <w:tab/>
        <w:t>Ventil zum Entgasen an Annahmestellen</w:t>
      </w:r>
    </w:p>
    <w:p w:rsidR="00ED0FFC" w:rsidRPr="00DD2A86" w:rsidRDefault="00ED0FFC" w:rsidP="00ED0FFC">
      <w:pPr>
        <w:suppressAutoHyphens w:val="0"/>
        <w:autoSpaceDE w:val="0"/>
        <w:adjustRightInd w:val="0"/>
        <w:spacing w:before="120"/>
        <w:ind w:left="1134" w:right="1134"/>
        <w:jc w:val="both"/>
        <w:rPr>
          <w:szCs w:val="18"/>
          <w:lang w:val="de-DE"/>
        </w:rPr>
      </w:pPr>
      <w:r w:rsidRPr="00DD2A86">
        <w:rPr>
          <w:szCs w:val="18"/>
          <w:lang w:val="de-DE"/>
        </w:rPr>
        <w:t>Die für das Luftabsaugen bestimmte Leitung muss mit einem fest eingebauten oder beweglichen, federbelasteten Niederdruckventil, das während des Entgasens an Annahmestellen benutzt wird, versehen sein. Wenn die Schiffsstoffliste nach Absatz 1.16.1.2.5 Stoffe enthält, für die nach Unterabschnitt 3.2.3.2 Tabelle C Spalte (17) Explosionsschutz erforderlich ist, muss dieses Ventil mit einer deflagrationssicheren Flammendurchschlagsicherung versehen sein. Wenn das Schiff nicht an einer Annahmestelle entgast wird, muss das Ventil mit einem Blindflansch geschlossen werden. Das Niederdruckventil muss so eingebaut sein, dass das Unterdruckventil unter sonst normalen Betriebsbedingungen nicht betätigt wird.</w:t>
      </w:r>
    </w:p>
    <w:p w:rsidR="00ED0FFC" w:rsidRPr="00DD2A86" w:rsidRDefault="00ED0FFC" w:rsidP="00ED0FFC">
      <w:pPr>
        <w:suppressAutoHyphens w:val="0"/>
        <w:autoSpaceDE w:val="0"/>
        <w:adjustRightInd w:val="0"/>
        <w:spacing w:before="120"/>
        <w:ind w:left="1134" w:right="1134"/>
        <w:jc w:val="both"/>
        <w:rPr>
          <w:szCs w:val="18"/>
          <w:lang w:val="de-DE"/>
        </w:rPr>
      </w:pPr>
      <w:r w:rsidRPr="00DD2A86">
        <w:rPr>
          <w:b/>
          <w:szCs w:val="18"/>
          <w:lang w:val="de-DE"/>
        </w:rPr>
        <w:t>Bem</w:t>
      </w:r>
      <w:r w:rsidRPr="00DD2A86">
        <w:rPr>
          <w:szCs w:val="18"/>
          <w:lang w:val="de-DE"/>
        </w:rPr>
        <w:t>. Die Entgasungsvorgänge fallen unter die normalen Betriebsbedingungen.“.</w:t>
      </w:r>
    </w:p>
    <w:p w:rsidR="00ED0FFC" w:rsidRPr="00DD2A86" w:rsidRDefault="00ED0FFC" w:rsidP="00ED0FFC">
      <w:pPr>
        <w:kinsoku w:val="0"/>
        <w:overflowPunct w:val="0"/>
        <w:autoSpaceDE w:val="0"/>
        <w:autoSpaceDN w:val="0"/>
        <w:adjustRightInd w:val="0"/>
        <w:snapToGrid w:val="0"/>
        <w:spacing w:before="120" w:after="120"/>
        <w:ind w:left="1134" w:right="1134"/>
        <w:jc w:val="both"/>
        <w:rPr>
          <w:rFonts w:eastAsiaTheme="minorHAnsi"/>
          <w:szCs w:val="18"/>
          <w:lang w:val="de-DE"/>
        </w:rPr>
      </w:pPr>
      <w:r w:rsidRPr="00DD2A86">
        <w:rPr>
          <w:rFonts w:eastAsiaTheme="minorHAnsi"/>
          <w:lang w:val="de-DE"/>
        </w:rPr>
        <w:t>9.3.1, 9.3.2 und 9.3.3</w:t>
      </w:r>
      <w:r w:rsidRPr="00DD2A86">
        <w:rPr>
          <w:rFonts w:eastAsiaTheme="minorHAnsi"/>
          <w:lang w:val="de-DE"/>
        </w:rPr>
        <w:tab/>
      </w:r>
      <w:r w:rsidRPr="00DD2A86">
        <w:rPr>
          <w:rFonts w:eastAsiaTheme="minorHAnsi"/>
          <w:lang w:val="de-DE"/>
        </w:rPr>
        <w:tab/>
        <w:t>„</w:t>
      </w:r>
      <w:r w:rsidRPr="00DD2A86">
        <w:rPr>
          <w:rFonts w:eastAsiaTheme="minorHAnsi"/>
          <w:szCs w:val="18"/>
          <w:lang w:val="de-DE"/>
        </w:rPr>
        <w:t xml:space="preserve">9.3.x.61 - 9.3.x.70 </w:t>
      </w:r>
      <w:r w:rsidRPr="00DD2A86">
        <w:rPr>
          <w:rFonts w:eastAsiaTheme="minorHAnsi"/>
          <w:lang w:val="de-DE"/>
        </w:rPr>
        <w:t>(bleibt offen)“</w:t>
      </w:r>
      <w:r w:rsidRPr="00DD2A86">
        <w:rPr>
          <w:rFonts w:eastAsiaTheme="minorHAnsi"/>
          <w:szCs w:val="18"/>
          <w:lang w:val="de-DE"/>
        </w:rPr>
        <w:t xml:space="preserve"> ändern in: „9.3.x.63 - 9.3.x.70 </w:t>
      </w:r>
      <w:r w:rsidRPr="00DD2A86">
        <w:rPr>
          <w:rFonts w:eastAsiaTheme="minorHAnsi"/>
          <w:lang w:val="de-DE"/>
        </w:rPr>
        <w:t>(bleibt offen)“</w:t>
      </w:r>
      <w:r w:rsidRPr="00DD2A86">
        <w:rPr>
          <w:rFonts w:eastAsiaTheme="minorHAnsi"/>
          <w:szCs w:val="18"/>
          <w:lang w:val="de-DE"/>
        </w:rPr>
        <w:t>.</w:t>
      </w:r>
    </w:p>
    <w:p w:rsidR="00E93F1F" w:rsidRPr="00DD2A86" w:rsidRDefault="00E93F1F" w:rsidP="00E93F1F">
      <w:pPr>
        <w:tabs>
          <w:tab w:val="left" w:pos="2268"/>
        </w:tabs>
        <w:suppressAutoHyphens w:val="0"/>
        <w:autoSpaceDE w:val="0"/>
        <w:autoSpaceDN w:val="0"/>
        <w:adjustRightInd w:val="0"/>
        <w:spacing w:before="120" w:after="120" w:line="240" w:lineRule="auto"/>
        <w:ind w:left="2268" w:right="1134" w:hanging="1134"/>
        <w:jc w:val="both"/>
        <w:rPr>
          <w:rFonts w:eastAsia="Calibri"/>
          <w:lang w:val="de-DE"/>
        </w:rPr>
      </w:pPr>
      <w:r w:rsidRPr="00DD2A86">
        <w:rPr>
          <w:rFonts w:eastAsia="Calibri"/>
          <w:lang w:val="de-DE"/>
        </w:rPr>
        <w:t>9.3.2.10.3 und 9.3.3.10.3</w:t>
      </w:r>
      <w:r w:rsidRPr="00DD2A86">
        <w:rPr>
          <w:rFonts w:eastAsia="Calibri"/>
          <w:lang w:val="de-DE"/>
        </w:rPr>
        <w:tab/>
        <w:t>Erhalten folgenden Wortlaut:</w:t>
      </w:r>
    </w:p>
    <w:p w:rsidR="00E93F1F" w:rsidRPr="00DD2A86" w:rsidRDefault="00E93F1F" w:rsidP="00E93F1F">
      <w:pPr>
        <w:suppressAutoHyphens w:val="0"/>
        <w:spacing w:line="240" w:lineRule="auto"/>
        <w:ind w:left="2268" w:right="1134"/>
        <w:jc w:val="both"/>
        <w:rPr>
          <w:rFonts w:eastAsia="Calibri"/>
          <w:lang w:val="de-DE" w:eastAsia="de-DE"/>
        </w:rPr>
      </w:pPr>
      <w:r w:rsidRPr="00DD2A86">
        <w:rPr>
          <w:rFonts w:eastAsia="Calibri"/>
          <w:lang w:val="de-DE"/>
        </w:rPr>
        <w:t xml:space="preserve">„Wenn die Schiffsstoffliste nach Absatz 1.16.1.2.5 Stoffe enthalten soll, für die nach Unteranschnitt 3.2.3.2 Tabelle C, Spalte (17) </w:t>
      </w:r>
      <w:r w:rsidRPr="00DD2A86">
        <w:rPr>
          <w:rFonts w:eastAsia="Calibri"/>
          <w:lang w:val="de-DE" w:eastAsia="de-DE"/>
        </w:rPr>
        <w:t xml:space="preserve">Explosionsschutz gefordert ist, dürfen in Bereichen an Deck außerhalb des Bereichs der Ladung Anlagen und Geräte, </w:t>
      </w:r>
      <w:r w:rsidRPr="00DD2A86">
        <w:rPr>
          <w:rFonts w:eastAsia="Calibri"/>
          <w:szCs w:val="24"/>
          <w:lang w:val="de-DE" w:eastAsia="de-DE"/>
        </w:rPr>
        <w:t xml:space="preserve">die nicht mindestens dem Typ „begrenzte Explosionsgefahr“ entsprechen, </w:t>
      </w:r>
      <w:r w:rsidRPr="00DD2A86">
        <w:rPr>
          <w:rFonts w:eastAsia="Calibri"/>
          <w:lang w:val="de-DE" w:eastAsia="de-DE"/>
        </w:rPr>
        <w:t xml:space="preserve">während des Ladens oder Löschens nicht betrieben werden, es sei denn dieser Bereich ist durch eine gas- und flüssigkeitsdichte Schutzwand vor dem Eindringen von Flüssigkeiten und Gasen geschützt. </w:t>
      </w:r>
      <w:r w:rsidRPr="00DD2A86">
        <w:rPr>
          <w:rFonts w:eastAsia="Calibri"/>
          <w:lang w:val="de-DE"/>
        </w:rPr>
        <w:t>Diese Wand muss entweder über die gesamte Schiffsbreite reichen oder diese Bereiche an Deck U-förmig umschließen. Dabei muss sich die Wand über die gesamte Breite des zu schützenden Bereiches erstrecken und 1,00 m in Richtung der dem Bereich der Ladung abgewandten Seite fortgeführt werden (siehe Skizze Zoneneinteilung). Die Höhe der Wand muss mindestens 1,00 m bezogen auf das anschließende Ladetankdeck im Bereich der Ladung betragen.</w:t>
      </w:r>
      <w:r w:rsidRPr="00DD2A86">
        <w:rPr>
          <w:rFonts w:eastAsia="Calibri"/>
          <w:lang w:val="de-DE" w:eastAsia="de-DE"/>
        </w:rPr>
        <w:t xml:space="preserve"> </w:t>
      </w:r>
      <w:r w:rsidRPr="00DD2A86">
        <w:rPr>
          <w:rFonts w:eastAsia="Calibri"/>
          <w:szCs w:val="24"/>
          <w:lang w:val="de-DE" w:eastAsia="de-DE"/>
        </w:rPr>
        <w:t>Außenwand und die Seitenwände der Wohnungen können als Schutzwand gelten, sofern sie keine Öffnungen aufweisen und die Abmessungen eingehalten sind.</w:t>
      </w:r>
    </w:p>
    <w:p w:rsidR="00E93F1F" w:rsidRPr="00DD2A86" w:rsidRDefault="00E93F1F" w:rsidP="00E93F1F">
      <w:pPr>
        <w:tabs>
          <w:tab w:val="left" w:pos="2977"/>
        </w:tabs>
        <w:suppressAutoHyphens w:val="0"/>
        <w:autoSpaceDE w:val="0"/>
        <w:autoSpaceDN w:val="0"/>
        <w:adjustRightInd w:val="0"/>
        <w:spacing w:before="120" w:after="120" w:line="240" w:lineRule="auto"/>
        <w:ind w:left="2268" w:right="1134"/>
        <w:jc w:val="both"/>
        <w:rPr>
          <w:rFonts w:eastAsia="Calibri"/>
          <w:lang w:val="de-DE" w:eastAsia="de-DE"/>
        </w:rPr>
      </w:pPr>
      <w:r w:rsidRPr="00DD2A86">
        <w:rPr>
          <w:rFonts w:eastAsia="Calibri"/>
          <w:lang w:val="de-DE" w:eastAsia="de-DE"/>
        </w:rPr>
        <w:t>Diese Schutzwand ist nicht erforderlich, wenn vor den zu schützenden Bereichen ein Abstand zum nächstgelegenen Hochgeschwindigkeitsventil, Ladeanschluss der Lade- und Löschleitungen, Ladepumpe an Deck und zur nächstgelegenen  Öffnung der Ladetanks von mindestens 12,00 m eingehalten ist.“.</w:t>
      </w:r>
    </w:p>
    <w:p w:rsidR="00532CC9" w:rsidRPr="00DD2A86" w:rsidRDefault="00532CC9" w:rsidP="00000D61">
      <w:pPr>
        <w:tabs>
          <w:tab w:val="left" w:pos="2268"/>
          <w:tab w:val="left" w:pos="2977"/>
        </w:tabs>
        <w:suppressAutoHyphens w:val="0"/>
        <w:autoSpaceDE w:val="0"/>
        <w:autoSpaceDN w:val="0"/>
        <w:adjustRightInd w:val="0"/>
        <w:spacing w:before="240" w:after="120" w:line="240" w:lineRule="auto"/>
        <w:ind w:left="2268" w:right="1134" w:hanging="1134"/>
        <w:jc w:val="both"/>
        <w:rPr>
          <w:rFonts w:eastAsia="Calibri"/>
          <w:lang w:val="de-DE"/>
        </w:rPr>
      </w:pPr>
      <w:r w:rsidRPr="00DD2A86">
        <w:rPr>
          <w:rFonts w:eastAsia="Calibri"/>
          <w:lang w:val="de-DE"/>
        </w:rPr>
        <w:t>9.3.2.11.2</w:t>
      </w:r>
      <w:r w:rsidRPr="00DD2A86">
        <w:rPr>
          <w:rFonts w:eastAsia="Calibri"/>
          <w:lang w:val="de-DE"/>
        </w:rPr>
        <w:tab/>
        <w:t>Erhält folgenden Wortlaut:</w:t>
      </w:r>
    </w:p>
    <w:p w:rsidR="00532CC9" w:rsidRPr="00DD2A86" w:rsidRDefault="00532CC9" w:rsidP="0089789A">
      <w:pPr>
        <w:suppressAutoHyphens w:val="0"/>
        <w:autoSpaceDE w:val="0"/>
        <w:autoSpaceDN w:val="0"/>
        <w:adjustRightInd w:val="0"/>
        <w:spacing w:before="60"/>
        <w:ind w:left="2297" w:right="1134" w:hanging="1163"/>
        <w:jc w:val="both"/>
        <w:rPr>
          <w:rFonts w:eastAsia="Calibri"/>
          <w:lang w:val="de-DE"/>
        </w:rPr>
      </w:pPr>
      <w:r w:rsidRPr="00DD2A86">
        <w:rPr>
          <w:rFonts w:eastAsia="Calibri"/>
          <w:lang w:val="de-DE"/>
        </w:rPr>
        <w:t>„</w:t>
      </w:r>
      <w:r w:rsidR="0089789A" w:rsidRPr="00DD2A86">
        <w:rPr>
          <w:rFonts w:eastAsia="Calibri"/>
          <w:lang w:val="de-DE"/>
        </w:rPr>
        <w:t>9.3.2.11.2</w:t>
      </w:r>
      <w:r w:rsidR="0089789A" w:rsidRPr="00DD2A86">
        <w:rPr>
          <w:rFonts w:eastAsia="Calibri"/>
          <w:lang w:val="de-DE"/>
        </w:rPr>
        <w:tab/>
      </w:r>
      <w:r w:rsidRPr="00DD2A86">
        <w:rPr>
          <w:rFonts w:eastAsia="Calibri"/>
          <w:lang w:val="de-DE"/>
        </w:rPr>
        <w:t>a)</w:t>
      </w:r>
      <w:r w:rsidRPr="00DD2A86">
        <w:rPr>
          <w:rFonts w:eastAsia="Calibri"/>
          <w:lang w:val="de-DE"/>
        </w:rPr>
        <w:tab/>
        <w:t>Das Schiff muss im Bereich der Ladung (ausgenommen Kofferdämme) als Glattdeck-Doppelhüllenschiff mit Wallgängen, Doppelboden und ohne Trunk ausgeführt sein. Vom Schiffskörper unabhängige Ladetanks und gekühlte Ladetanks dürfen nur in einem Aufstellungsraum, der durch Wallgänge und Doppelboden gemäß Absatz 9.3.2.11.</w:t>
      </w:r>
      <w:r w:rsidR="009E1C2D" w:rsidRPr="00DD2A86">
        <w:rPr>
          <w:rFonts w:eastAsia="Calibri"/>
          <w:lang w:val="de-DE"/>
        </w:rPr>
        <w:t xml:space="preserve">8 </w:t>
      </w:r>
      <w:r w:rsidRPr="00DD2A86">
        <w:rPr>
          <w:rFonts w:eastAsia="Calibri"/>
          <w:lang w:val="de-DE"/>
        </w:rPr>
        <w:t>gebildet wird, aufgestellt sein. Ladetanks dürfen nicht über das Deck hinausragen.</w:t>
      </w:r>
    </w:p>
    <w:p w:rsidR="00532CC9" w:rsidRPr="00DD2A86" w:rsidRDefault="00532CC9" w:rsidP="00000D61">
      <w:pPr>
        <w:suppressAutoHyphens w:val="0"/>
        <w:autoSpaceDE w:val="0"/>
        <w:autoSpaceDN w:val="0"/>
        <w:adjustRightInd w:val="0"/>
        <w:spacing w:before="60" w:line="240" w:lineRule="auto"/>
        <w:ind w:left="2552" w:right="1134" w:hanging="284"/>
        <w:jc w:val="both"/>
        <w:rPr>
          <w:rFonts w:eastAsia="Calibri"/>
          <w:lang w:val="de-DE"/>
        </w:rPr>
      </w:pPr>
      <w:r w:rsidRPr="00DD2A86">
        <w:rPr>
          <w:rFonts w:eastAsia="Calibri"/>
          <w:lang w:val="de-DE"/>
        </w:rPr>
        <w:t>b)</w:t>
      </w:r>
      <w:r w:rsidRPr="00DD2A86">
        <w:rPr>
          <w:rFonts w:eastAsia="Calibri"/>
          <w:lang w:val="de-DE"/>
        </w:rPr>
        <w:tab/>
        <w:t>Vom Schiffskörper unabhängige Ladetanks müssen gegen Aufschwimmen gesichert sein.</w:t>
      </w:r>
    </w:p>
    <w:p w:rsidR="00532CC9" w:rsidRPr="00DD2A86" w:rsidRDefault="00532CC9" w:rsidP="00000D61">
      <w:pPr>
        <w:suppressAutoHyphens w:val="0"/>
        <w:autoSpaceDE w:val="0"/>
        <w:autoSpaceDN w:val="0"/>
        <w:adjustRightInd w:val="0"/>
        <w:ind w:left="2552" w:right="1134"/>
        <w:jc w:val="both"/>
        <w:rPr>
          <w:rFonts w:eastAsia="Calibri"/>
          <w:lang w:val="de-DE"/>
        </w:rPr>
      </w:pPr>
      <w:r w:rsidRPr="00DD2A86">
        <w:rPr>
          <w:rFonts w:eastAsia="Calibri"/>
          <w:lang w:val="de-DE"/>
        </w:rPr>
        <w:t>Die Aufschwimmsicherung der gekühlten Ladetanks muss den Vorschriften einer anerkannten Klassifikationsgesellschaft entsprechen.</w:t>
      </w:r>
    </w:p>
    <w:p w:rsidR="00532CC9" w:rsidRPr="00DD2A86" w:rsidRDefault="00532CC9" w:rsidP="00000D61">
      <w:pPr>
        <w:suppressAutoHyphens w:val="0"/>
        <w:autoSpaceDE w:val="0"/>
        <w:autoSpaceDN w:val="0"/>
        <w:adjustRightInd w:val="0"/>
        <w:spacing w:before="60"/>
        <w:ind w:left="2552" w:right="1134" w:hanging="284"/>
        <w:jc w:val="both"/>
        <w:rPr>
          <w:rFonts w:eastAsia="Calibri"/>
          <w:lang w:val="de-DE"/>
        </w:rPr>
      </w:pPr>
      <w:r w:rsidRPr="00DD2A86">
        <w:rPr>
          <w:rFonts w:eastAsia="Calibri"/>
          <w:lang w:val="de-DE"/>
        </w:rPr>
        <w:t>c)</w:t>
      </w:r>
      <w:r w:rsidRPr="00DD2A86">
        <w:rPr>
          <w:rFonts w:eastAsia="Calibri"/>
          <w:lang w:val="de-DE"/>
        </w:rPr>
        <w:tab/>
        <w:t>Ein Pumpensumpf darf nicht mehr als 0,10 m³ Inhalt haben.</w:t>
      </w:r>
    </w:p>
    <w:p w:rsidR="00532CC9" w:rsidRPr="00DD2A86" w:rsidRDefault="00532CC9" w:rsidP="00000D61">
      <w:pPr>
        <w:suppressAutoHyphens w:val="0"/>
        <w:autoSpaceDE w:val="0"/>
        <w:autoSpaceDN w:val="0"/>
        <w:adjustRightInd w:val="0"/>
        <w:spacing w:before="60"/>
        <w:ind w:left="2552" w:right="1134" w:hanging="284"/>
        <w:jc w:val="both"/>
        <w:rPr>
          <w:rFonts w:eastAsia="Calibri"/>
          <w:lang w:val="de-DE"/>
        </w:rPr>
      </w:pPr>
      <w:r w:rsidRPr="00DD2A86">
        <w:rPr>
          <w:rFonts w:eastAsia="Calibri"/>
          <w:lang w:val="de-DE"/>
        </w:rPr>
        <w:t>d)</w:t>
      </w:r>
      <w:r w:rsidRPr="00DD2A86">
        <w:rPr>
          <w:rFonts w:eastAsia="Calibri"/>
          <w:lang w:val="de-DE"/>
        </w:rPr>
        <w:tab/>
        <w:t>Stützen, welche tragende Teile der Schiffsseitenwände mit tragenden Teilen des Längsschotts der Ladetanks verbinden, und Stützen, welche tragende Teile des Schiffsbodens mit dem Boden der Ladetanks</w:t>
      </w:r>
      <w:r w:rsidRPr="00DD2A86" w:rsidDel="00D51D71">
        <w:rPr>
          <w:rFonts w:eastAsia="Calibri"/>
          <w:lang w:val="de-DE"/>
        </w:rPr>
        <w:t xml:space="preserve"> </w:t>
      </w:r>
      <w:r w:rsidRPr="00DD2A86">
        <w:rPr>
          <w:rFonts w:eastAsia="Calibri"/>
          <w:lang w:val="de-DE"/>
        </w:rPr>
        <w:t>verbinden, sind nicht zulässig.</w:t>
      </w:r>
    </w:p>
    <w:p w:rsidR="00532CC9" w:rsidRPr="00DD2A86" w:rsidRDefault="00532CC9" w:rsidP="00000D61">
      <w:pPr>
        <w:suppressAutoHyphens w:val="0"/>
        <w:autoSpaceDE w:val="0"/>
        <w:autoSpaceDN w:val="0"/>
        <w:adjustRightInd w:val="0"/>
        <w:spacing w:before="60"/>
        <w:ind w:left="2552" w:right="1134" w:hanging="284"/>
        <w:jc w:val="both"/>
        <w:rPr>
          <w:rFonts w:eastAsia="Calibri"/>
          <w:lang w:val="de-DE"/>
        </w:rPr>
      </w:pPr>
      <w:r w:rsidRPr="00DD2A86">
        <w:rPr>
          <w:rFonts w:eastAsia="Calibri"/>
          <w:lang w:val="de-DE"/>
        </w:rPr>
        <w:t>e)</w:t>
      </w:r>
      <w:r w:rsidRPr="00DD2A86">
        <w:rPr>
          <w:rFonts w:eastAsia="Calibri"/>
          <w:lang w:val="de-DE"/>
        </w:rPr>
        <w:tab/>
        <w:t>Eine örtliche Vertiefung im Tankdeck, die von allen Seiten begrenzt, mehr als 0,1</w:t>
      </w:r>
      <w:r w:rsidR="008A3E14" w:rsidRPr="00DD2A86">
        <w:rPr>
          <w:rFonts w:eastAsia="Calibri"/>
          <w:lang w:val="de-DE"/>
        </w:rPr>
        <w:t>0</w:t>
      </w:r>
      <w:r w:rsidRPr="00DD2A86">
        <w:rPr>
          <w:rFonts w:eastAsia="Calibri"/>
          <w:lang w:val="de-DE"/>
        </w:rPr>
        <w:t xml:space="preserve"> m tief ist und zur Aufnahme der Ladungspumpe dient, ist zulässig, wenn sie folgende Anforderungen erfüllt:</w:t>
      </w:r>
    </w:p>
    <w:p w:rsidR="00532CC9" w:rsidRPr="00DD2A86" w:rsidRDefault="00532CC9" w:rsidP="00000D61">
      <w:pPr>
        <w:tabs>
          <w:tab w:val="left" w:pos="601"/>
        </w:tabs>
        <w:suppressAutoHyphens w:val="0"/>
        <w:autoSpaceDE w:val="0"/>
        <w:autoSpaceDN w:val="0"/>
        <w:adjustRightInd w:val="0"/>
        <w:spacing w:before="60"/>
        <w:ind w:left="2835" w:right="1134" w:hanging="283"/>
        <w:jc w:val="both"/>
        <w:rPr>
          <w:rFonts w:eastAsia="Calibri"/>
          <w:lang w:val="de-DE"/>
        </w:rPr>
      </w:pPr>
      <w:r w:rsidRPr="00DD2A86">
        <w:rPr>
          <w:rFonts w:eastAsia="Calibri"/>
          <w:lang w:val="de-DE"/>
        </w:rPr>
        <w:t>-</w:t>
      </w:r>
      <w:r w:rsidRPr="00DD2A86">
        <w:rPr>
          <w:rFonts w:eastAsia="Calibri"/>
          <w:lang w:val="de-DE"/>
        </w:rPr>
        <w:tab/>
        <w:t>Die Vertiefung darf nicht mehr als 1</w:t>
      </w:r>
      <w:r w:rsidR="00FD4217" w:rsidRPr="00DD2A86">
        <w:rPr>
          <w:rFonts w:eastAsia="Calibri"/>
          <w:lang w:val="de-DE"/>
        </w:rPr>
        <w:t>,00</w:t>
      </w:r>
      <w:r w:rsidRPr="00DD2A86">
        <w:rPr>
          <w:rFonts w:eastAsia="Calibri"/>
          <w:lang w:val="de-DE"/>
        </w:rPr>
        <w:t xml:space="preserve"> m betragen.</w:t>
      </w:r>
    </w:p>
    <w:p w:rsidR="00532CC9" w:rsidRPr="00DD2A86" w:rsidRDefault="00532CC9" w:rsidP="00000D61">
      <w:pPr>
        <w:tabs>
          <w:tab w:val="left" w:pos="601"/>
        </w:tabs>
        <w:suppressAutoHyphens w:val="0"/>
        <w:autoSpaceDE w:val="0"/>
        <w:autoSpaceDN w:val="0"/>
        <w:adjustRightInd w:val="0"/>
        <w:spacing w:before="60"/>
        <w:ind w:left="2835" w:right="1134" w:hanging="283"/>
        <w:jc w:val="both"/>
        <w:rPr>
          <w:rFonts w:eastAsia="Calibri"/>
          <w:lang w:val="de-DE"/>
        </w:rPr>
      </w:pPr>
      <w:r w:rsidRPr="00DD2A86">
        <w:rPr>
          <w:rFonts w:eastAsia="Calibri"/>
          <w:lang w:val="de-DE"/>
        </w:rPr>
        <w:t>-</w:t>
      </w:r>
      <w:r w:rsidRPr="00DD2A86">
        <w:rPr>
          <w:rFonts w:eastAsia="Calibri"/>
          <w:lang w:val="de-DE"/>
        </w:rPr>
        <w:tab/>
        <w:t xml:space="preserve">Die Vertiefung muss mindestens 6,00 m </w:t>
      </w:r>
      <w:r w:rsidRPr="00DD2A86">
        <w:rPr>
          <w:rFonts w:eastAsia="Calibri"/>
          <w:lang w:val="de-DE" w:eastAsia="de-DE"/>
        </w:rPr>
        <w:t>von Zugängen oder Öffnungen der Wohnungen und der</w:t>
      </w:r>
      <w:r w:rsidRPr="00DD2A86" w:rsidDel="00EA71CC">
        <w:rPr>
          <w:rFonts w:eastAsia="Calibri"/>
          <w:lang w:val="de-DE" w:eastAsia="de-DE"/>
        </w:rPr>
        <w:t xml:space="preserve"> </w:t>
      </w:r>
      <w:r w:rsidRPr="00DD2A86">
        <w:rPr>
          <w:rFonts w:eastAsia="Calibri"/>
          <w:lang w:val="de-DE"/>
        </w:rPr>
        <w:t>außerhalb des Bereichs der Ladung gelegenen Betriebsräume entfernt sein.</w:t>
      </w:r>
    </w:p>
    <w:p w:rsidR="00532CC9" w:rsidRPr="00DD2A86" w:rsidRDefault="00532CC9" w:rsidP="00000D61">
      <w:pPr>
        <w:tabs>
          <w:tab w:val="left" w:pos="601"/>
        </w:tabs>
        <w:suppressAutoHyphens w:val="0"/>
        <w:autoSpaceDE w:val="0"/>
        <w:autoSpaceDN w:val="0"/>
        <w:adjustRightInd w:val="0"/>
        <w:spacing w:before="60"/>
        <w:ind w:left="2835" w:right="1134" w:hanging="283"/>
        <w:jc w:val="both"/>
        <w:rPr>
          <w:rFonts w:eastAsia="Calibri"/>
          <w:lang w:val="de-DE"/>
        </w:rPr>
      </w:pPr>
      <w:r w:rsidRPr="00DD2A86">
        <w:rPr>
          <w:rFonts w:eastAsia="Calibri"/>
          <w:lang w:val="de-DE"/>
        </w:rPr>
        <w:t>-</w:t>
      </w:r>
      <w:r w:rsidRPr="00DD2A86">
        <w:rPr>
          <w:rFonts w:eastAsia="Calibri"/>
          <w:lang w:val="de-DE"/>
        </w:rPr>
        <w:tab/>
        <w:t>Die Vertiefung muss sich mindestens im Abstand von einem Viertel der Schiffsbreite zur Außenhaut befinden.</w:t>
      </w:r>
    </w:p>
    <w:p w:rsidR="00532CC9" w:rsidRPr="00DD2A86" w:rsidRDefault="00532CC9" w:rsidP="00000D61">
      <w:pPr>
        <w:tabs>
          <w:tab w:val="left" w:pos="601"/>
        </w:tabs>
        <w:suppressAutoHyphens w:val="0"/>
        <w:autoSpaceDE w:val="0"/>
        <w:autoSpaceDN w:val="0"/>
        <w:adjustRightInd w:val="0"/>
        <w:spacing w:before="60"/>
        <w:ind w:left="2835" w:right="1134" w:hanging="283"/>
        <w:jc w:val="both"/>
        <w:rPr>
          <w:rFonts w:eastAsia="Calibri"/>
          <w:lang w:val="de-DE"/>
        </w:rPr>
      </w:pPr>
      <w:r w:rsidRPr="00DD2A86">
        <w:rPr>
          <w:rFonts w:eastAsia="Calibri"/>
          <w:lang w:val="de-DE"/>
        </w:rPr>
        <w:t>-</w:t>
      </w:r>
      <w:r w:rsidRPr="00DD2A86">
        <w:rPr>
          <w:rFonts w:eastAsia="Calibri"/>
          <w:lang w:val="de-DE"/>
        </w:rPr>
        <w:tab/>
        <w:t>Alle Leitungen, die von der Vertiefung aus in die Ladetanks führen, müssen direkt am Schott mit einer Absperrarmatur versehen sein.</w:t>
      </w:r>
    </w:p>
    <w:p w:rsidR="00532CC9" w:rsidRPr="00DD2A86" w:rsidRDefault="00532CC9" w:rsidP="00000D61">
      <w:pPr>
        <w:tabs>
          <w:tab w:val="left" w:pos="601"/>
        </w:tabs>
        <w:suppressAutoHyphens w:val="0"/>
        <w:autoSpaceDE w:val="0"/>
        <w:autoSpaceDN w:val="0"/>
        <w:adjustRightInd w:val="0"/>
        <w:spacing w:before="60"/>
        <w:ind w:left="2835" w:right="1134" w:hanging="283"/>
        <w:jc w:val="both"/>
        <w:rPr>
          <w:rFonts w:eastAsia="Calibri"/>
          <w:lang w:val="de-DE"/>
        </w:rPr>
      </w:pPr>
      <w:r w:rsidRPr="00DD2A86">
        <w:rPr>
          <w:rFonts w:eastAsia="Calibri"/>
          <w:lang w:val="de-DE"/>
        </w:rPr>
        <w:t>-</w:t>
      </w:r>
      <w:r w:rsidRPr="00DD2A86">
        <w:rPr>
          <w:rFonts w:eastAsia="Calibri"/>
          <w:lang w:val="de-DE"/>
        </w:rPr>
        <w:tab/>
        <w:t>Alle erforderlichen Bedienungen der Armaturen in der Vertiefung müssen von Deck aus erfolgen.</w:t>
      </w:r>
    </w:p>
    <w:p w:rsidR="00532CC9" w:rsidRPr="00DD2A86" w:rsidRDefault="00532CC9" w:rsidP="00000D61">
      <w:pPr>
        <w:tabs>
          <w:tab w:val="left" w:pos="601"/>
        </w:tabs>
        <w:suppressAutoHyphens w:val="0"/>
        <w:autoSpaceDE w:val="0"/>
        <w:autoSpaceDN w:val="0"/>
        <w:adjustRightInd w:val="0"/>
        <w:spacing w:before="60"/>
        <w:ind w:left="2835" w:right="1134" w:hanging="283"/>
        <w:jc w:val="both"/>
        <w:rPr>
          <w:rFonts w:eastAsia="Calibri"/>
          <w:lang w:val="de-DE"/>
        </w:rPr>
      </w:pPr>
      <w:r w:rsidRPr="00DD2A86">
        <w:rPr>
          <w:rFonts w:eastAsia="Calibri"/>
          <w:lang w:val="de-DE"/>
        </w:rPr>
        <w:t>-</w:t>
      </w:r>
      <w:r w:rsidRPr="00DD2A86">
        <w:rPr>
          <w:rFonts w:eastAsia="Calibri"/>
          <w:lang w:val="de-DE"/>
        </w:rPr>
        <w:tab/>
        <w:t>Die Vertiefung muss durch eine von allen anderen Einrichtungen unabhängigen Einrichtung an Deck im Bereich der Ladung gelenzt werden können.</w:t>
      </w:r>
    </w:p>
    <w:p w:rsidR="00532CC9" w:rsidRPr="00DD2A86" w:rsidRDefault="00532CC9" w:rsidP="00000D61">
      <w:pPr>
        <w:tabs>
          <w:tab w:val="left" w:pos="601"/>
        </w:tabs>
        <w:suppressAutoHyphens w:val="0"/>
        <w:autoSpaceDE w:val="0"/>
        <w:autoSpaceDN w:val="0"/>
        <w:adjustRightInd w:val="0"/>
        <w:spacing w:before="60"/>
        <w:ind w:left="2835" w:right="1134" w:hanging="283"/>
        <w:jc w:val="both"/>
        <w:rPr>
          <w:rFonts w:eastAsia="Calibri"/>
          <w:lang w:val="de-DE"/>
        </w:rPr>
      </w:pPr>
      <w:r w:rsidRPr="00DD2A86">
        <w:rPr>
          <w:rFonts w:eastAsia="Calibri"/>
          <w:lang w:val="de-DE"/>
        </w:rPr>
        <w:t>-</w:t>
      </w:r>
      <w:r w:rsidRPr="00DD2A86">
        <w:rPr>
          <w:rFonts w:eastAsia="Calibri"/>
          <w:lang w:val="de-DE"/>
        </w:rPr>
        <w:tab/>
        <w:t>Die Vertiefung muss mit einer Einrichtung zum Messen des Füllstandes versehen sein, die die Lenzeinrichtung betätigt und einen optischen und akustischen Alarm im Steuerhaus und an Deck auslöst, wenn sich am Boden Flüssigkeit a</w:t>
      </w:r>
      <w:r w:rsidR="00F44289" w:rsidRPr="00DD2A86">
        <w:rPr>
          <w:rFonts w:eastAsia="Calibri"/>
          <w:lang w:val="de-DE"/>
        </w:rPr>
        <w:t>nsammelt.</w:t>
      </w:r>
    </w:p>
    <w:p w:rsidR="00532CC9" w:rsidRPr="00DD2A86" w:rsidRDefault="00532CC9" w:rsidP="00000D61">
      <w:pPr>
        <w:tabs>
          <w:tab w:val="left" w:pos="601"/>
        </w:tabs>
        <w:suppressAutoHyphens w:val="0"/>
        <w:autoSpaceDE w:val="0"/>
        <w:autoSpaceDN w:val="0"/>
        <w:adjustRightInd w:val="0"/>
        <w:spacing w:before="60"/>
        <w:ind w:left="2835" w:right="1134" w:hanging="283"/>
        <w:jc w:val="both"/>
        <w:rPr>
          <w:rFonts w:eastAsia="Calibri"/>
          <w:lang w:val="de-DE"/>
        </w:rPr>
      </w:pPr>
      <w:r w:rsidRPr="00DD2A86">
        <w:rPr>
          <w:rFonts w:eastAsia="Calibri"/>
          <w:lang w:val="de-DE"/>
        </w:rPr>
        <w:t>-</w:t>
      </w:r>
      <w:r w:rsidRPr="00DD2A86">
        <w:rPr>
          <w:rFonts w:eastAsia="Calibri"/>
          <w:lang w:val="de-DE"/>
        </w:rPr>
        <w:tab/>
        <w:t>Wenn sich die Vertiefung über dem Kofferdamm befindet, muss das Maschinenraumschott mit einer „A-60“</w:t>
      </w:r>
      <w:r w:rsidR="007A0AF9" w:rsidRPr="00DD2A86">
        <w:rPr>
          <w:rFonts w:eastAsia="Calibri"/>
          <w:lang w:val="de-DE"/>
        </w:rPr>
        <w:t>- Isolierung</w:t>
      </w:r>
      <w:r w:rsidRPr="00DD2A86">
        <w:rPr>
          <w:rFonts w:eastAsia="Calibri"/>
          <w:lang w:val="de-DE"/>
        </w:rPr>
        <w:t xml:space="preserve"> nach SOLAS 74 Kapitel II-2 Regel 3 versehen sein.</w:t>
      </w:r>
    </w:p>
    <w:p w:rsidR="00532CC9" w:rsidRPr="00DD2A86" w:rsidRDefault="00532CC9" w:rsidP="00000D61">
      <w:pPr>
        <w:tabs>
          <w:tab w:val="left" w:pos="601"/>
        </w:tabs>
        <w:suppressAutoHyphens w:val="0"/>
        <w:autoSpaceDE w:val="0"/>
        <w:autoSpaceDN w:val="0"/>
        <w:adjustRightInd w:val="0"/>
        <w:spacing w:before="60"/>
        <w:ind w:left="2835" w:right="1134" w:hanging="283"/>
        <w:jc w:val="both"/>
        <w:rPr>
          <w:rFonts w:eastAsia="Calibri"/>
          <w:lang w:val="de-DE"/>
        </w:rPr>
      </w:pPr>
      <w:r w:rsidRPr="00DD2A86">
        <w:rPr>
          <w:rFonts w:eastAsia="Calibri"/>
          <w:lang w:val="de-DE"/>
        </w:rPr>
        <w:t>-</w:t>
      </w:r>
      <w:r w:rsidRPr="00DD2A86">
        <w:rPr>
          <w:rFonts w:eastAsia="Calibri"/>
          <w:lang w:val="de-DE"/>
        </w:rPr>
        <w:tab/>
        <w:t>Wenn der Bereich der Ladung mit einer Wassersprüheinrichtung versehen ist, müssen die elektrischen Anlagen in der Vertiefung gegen Überflutung geschützt sein.</w:t>
      </w:r>
    </w:p>
    <w:p w:rsidR="00532CC9" w:rsidRPr="00DD2A86" w:rsidRDefault="00532CC9" w:rsidP="00000D61">
      <w:pPr>
        <w:tabs>
          <w:tab w:val="left" w:pos="601"/>
        </w:tabs>
        <w:suppressAutoHyphens w:val="0"/>
        <w:autoSpaceDE w:val="0"/>
        <w:autoSpaceDN w:val="0"/>
        <w:adjustRightInd w:val="0"/>
        <w:spacing w:before="60"/>
        <w:ind w:left="2835" w:right="1134" w:hanging="283"/>
        <w:jc w:val="both"/>
        <w:rPr>
          <w:rFonts w:eastAsia="Calibri"/>
          <w:lang w:val="de-DE"/>
        </w:rPr>
      </w:pPr>
      <w:r w:rsidRPr="00DD2A86">
        <w:rPr>
          <w:rFonts w:eastAsia="Calibri"/>
          <w:lang w:val="de-DE"/>
        </w:rPr>
        <w:t>-</w:t>
      </w:r>
      <w:r w:rsidRPr="00DD2A86">
        <w:rPr>
          <w:rFonts w:eastAsia="Calibri"/>
          <w:lang w:val="de-DE"/>
        </w:rPr>
        <w:tab/>
        <w:t>Verbindungsleitungen zwischen der Vertiefung und dem Schiffskörper dürfen nicht durch Ladetanks laufen.</w:t>
      </w:r>
    </w:p>
    <w:p w:rsidR="00532CC9" w:rsidRPr="00DD2A86" w:rsidRDefault="00532CC9" w:rsidP="00000D61">
      <w:pPr>
        <w:suppressAutoHyphens w:val="0"/>
        <w:autoSpaceDE w:val="0"/>
        <w:autoSpaceDN w:val="0"/>
        <w:adjustRightInd w:val="0"/>
        <w:spacing w:before="60"/>
        <w:ind w:left="2552" w:right="1134" w:hanging="284"/>
        <w:jc w:val="both"/>
        <w:rPr>
          <w:rFonts w:eastAsia="Calibri"/>
          <w:lang w:val="de-DE"/>
        </w:rPr>
      </w:pPr>
      <w:r w:rsidRPr="00DD2A86">
        <w:rPr>
          <w:rFonts w:eastAsia="Calibri"/>
          <w:lang w:val="de-DE"/>
        </w:rPr>
        <w:t>f)</w:t>
      </w:r>
      <w:r w:rsidRPr="00DD2A86">
        <w:rPr>
          <w:rFonts w:eastAsia="Calibri"/>
          <w:lang w:val="de-DE"/>
        </w:rPr>
        <w:tab/>
        <w:t xml:space="preserve">Wenn die Schiffsstoffliste nach </w:t>
      </w:r>
      <w:r w:rsidR="000C68EC" w:rsidRPr="00DD2A86">
        <w:rPr>
          <w:rFonts w:eastAsia="Calibri"/>
          <w:lang w:val="de-DE"/>
        </w:rPr>
        <w:t xml:space="preserve">Absatz </w:t>
      </w:r>
      <w:r w:rsidRPr="00DD2A86">
        <w:rPr>
          <w:rFonts w:eastAsia="Calibri"/>
          <w:lang w:val="de-DE"/>
        </w:rPr>
        <w:t>1.16.1.2.5 Stoffe enthalten soll</w:t>
      </w:r>
      <w:r w:rsidR="00B433BA" w:rsidRPr="00DD2A86">
        <w:rPr>
          <w:rFonts w:eastAsia="Calibri"/>
          <w:lang w:val="de-DE"/>
        </w:rPr>
        <w:t>,</w:t>
      </w:r>
      <w:r w:rsidRPr="00DD2A86">
        <w:rPr>
          <w:rFonts w:eastAsia="Calibri"/>
          <w:lang w:val="de-DE"/>
        </w:rPr>
        <w:t xml:space="preserve"> für die nach </w:t>
      </w:r>
      <w:r w:rsidR="000C68EC" w:rsidRPr="00DD2A86">
        <w:rPr>
          <w:rFonts w:eastAsia="Calibri"/>
          <w:lang w:val="de-DE"/>
        </w:rPr>
        <w:t xml:space="preserve">Unterabschnitt </w:t>
      </w:r>
      <w:r w:rsidRPr="00DD2A86">
        <w:rPr>
          <w:rFonts w:eastAsia="Calibri"/>
          <w:lang w:val="de-DE"/>
        </w:rPr>
        <w:t xml:space="preserve">3.2.3.2 Tabelle C Spalte (17) Explosionsschutz gefordert ist, muss die Vertiefung bei einer Tiefe von mehr als 0,50 m mit einer fest eingebauten Gasspüranlage versehen sein, welche die Anwesenheit </w:t>
      </w:r>
      <w:r w:rsidR="000C68EC" w:rsidRPr="00DD2A86">
        <w:rPr>
          <w:rFonts w:eastAsia="Calibri"/>
          <w:lang w:val="de-DE"/>
        </w:rPr>
        <w:t>entzündbare</w:t>
      </w:r>
      <w:r w:rsidR="00D94D7B" w:rsidRPr="00DD2A86">
        <w:rPr>
          <w:rFonts w:eastAsia="Calibri"/>
          <w:lang w:val="de-DE"/>
        </w:rPr>
        <w:t>r</w:t>
      </w:r>
      <w:r w:rsidR="000C68EC" w:rsidRPr="00DD2A86">
        <w:rPr>
          <w:rFonts w:eastAsia="Calibri"/>
          <w:lang w:val="de-DE"/>
        </w:rPr>
        <w:t xml:space="preserve"> </w:t>
      </w:r>
      <w:r w:rsidRPr="00DD2A86">
        <w:rPr>
          <w:rFonts w:eastAsia="Calibri"/>
          <w:lang w:val="de-DE"/>
        </w:rPr>
        <w:t>Gase durch direkt messende Sensoren automatisch anzeigt und beim Erreichen einer Gaskonzentration von 20 % der UEG der Ladung oder 20% der UEG von n-Hexan einen optischen und akustischen Alarm auslöst</w:t>
      </w:r>
      <w:r w:rsidR="000C68EC" w:rsidRPr="00DD2A86">
        <w:rPr>
          <w:rFonts w:eastAsia="Calibri"/>
          <w:lang w:val="de-DE"/>
        </w:rPr>
        <w:t>,</w:t>
      </w:r>
      <w:r w:rsidR="000C68EC" w:rsidRPr="00DD2A86">
        <w:rPr>
          <w:lang w:val="de-DE"/>
        </w:rPr>
        <w:t xml:space="preserve"> </w:t>
      </w:r>
      <w:r w:rsidR="000C68EC" w:rsidRPr="00DD2A86">
        <w:rPr>
          <w:rFonts w:eastAsia="Calibri"/>
          <w:lang w:val="de-DE"/>
        </w:rPr>
        <w:t>je nachdem welche UEG die kritischere ist</w:t>
      </w:r>
      <w:r w:rsidRPr="00DD2A86">
        <w:rPr>
          <w:rFonts w:eastAsia="Calibri"/>
          <w:lang w:val="de-DE"/>
        </w:rPr>
        <w:t>. Die Sensoren dieser Anlage müssen sich an geeigneten Stellen am Boden der Vertiefung befinden.</w:t>
      </w:r>
    </w:p>
    <w:p w:rsidR="00532CC9" w:rsidRPr="00DD2A86" w:rsidRDefault="00532CC9" w:rsidP="00000D61">
      <w:pPr>
        <w:suppressAutoHyphens w:val="0"/>
        <w:autoSpaceDE w:val="0"/>
        <w:autoSpaceDN w:val="0"/>
        <w:adjustRightInd w:val="0"/>
        <w:spacing w:before="60"/>
        <w:ind w:left="2552" w:right="1134"/>
        <w:jc w:val="both"/>
        <w:rPr>
          <w:rFonts w:eastAsia="Calibri"/>
          <w:lang w:val="de-DE"/>
        </w:rPr>
      </w:pPr>
      <w:r w:rsidRPr="00DD2A86">
        <w:rPr>
          <w:rFonts w:eastAsia="Calibri"/>
          <w:lang w:val="de-DE"/>
        </w:rPr>
        <w:t>Die Messungen müssen ständig erfolgen.</w:t>
      </w:r>
    </w:p>
    <w:p w:rsidR="002374D7" w:rsidRPr="00DD2A86" w:rsidRDefault="00532CC9" w:rsidP="00000D61">
      <w:pPr>
        <w:tabs>
          <w:tab w:val="left" w:pos="2977"/>
        </w:tabs>
        <w:suppressAutoHyphens w:val="0"/>
        <w:autoSpaceDE w:val="0"/>
        <w:autoSpaceDN w:val="0"/>
        <w:adjustRightInd w:val="0"/>
        <w:spacing w:before="120" w:after="120" w:line="240" w:lineRule="auto"/>
        <w:ind w:left="2552" w:right="1134"/>
        <w:jc w:val="both"/>
        <w:rPr>
          <w:rFonts w:eastAsia="Calibri"/>
          <w:lang w:val="de-DE"/>
        </w:rPr>
      </w:pPr>
      <w:r w:rsidRPr="00DD2A86">
        <w:rPr>
          <w:rFonts w:eastAsia="Calibri"/>
          <w:lang w:val="de-DE"/>
        </w:rPr>
        <w:t>Die Alarme müssen optisch und akustisch im Steuerhaus und an Deck gemeldet werden und müssen die Ladungspumpe abschalten. Ein Ausfall der Gasspüranlage muss sofort optisch und akustisch im Steuerhaus und an Deck gemeldet werden.</w:t>
      </w:r>
    </w:p>
    <w:p w:rsidR="00532CC9" w:rsidRPr="00DD2A86" w:rsidRDefault="002374D7" w:rsidP="00000D61">
      <w:pPr>
        <w:tabs>
          <w:tab w:val="left" w:pos="2977"/>
        </w:tabs>
        <w:suppressAutoHyphens w:val="0"/>
        <w:autoSpaceDE w:val="0"/>
        <w:autoSpaceDN w:val="0"/>
        <w:adjustRightInd w:val="0"/>
        <w:spacing w:before="120" w:after="120" w:line="240" w:lineRule="auto"/>
        <w:ind w:left="2268" w:right="1134"/>
        <w:jc w:val="both"/>
        <w:rPr>
          <w:rFonts w:eastAsia="Calibri"/>
          <w:lang w:val="de-DE"/>
        </w:rPr>
      </w:pPr>
      <w:r w:rsidRPr="00DD2A86">
        <w:rPr>
          <w:rFonts w:eastAsia="Calibri"/>
          <w:lang w:val="de-DE"/>
        </w:rPr>
        <w:t>Bei Nichtquittieren muss die Alarmierung automatisch in den Wohnungen erfolgen.</w:t>
      </w:r>
      <w:r w:rsidR="00532CC9" w:rsidRPr="00DD2A86">
        <w:rPr>
          <w:rFonts w:eastAsia="Calibri"/>
          <w:lang w:val="de-DE"/>
        </w:rPr>
        <w:t>“.</w:t>
      </w:r>
    </w:p>
    <w:p w:rsidR="0078010E" w:rsidRPr="00DD2A86" w:rsidRDefault="0078010E" w:rsidP="0078010E">
      <w:pPr>
        <w:tabs>
          <w:tab w:val="left" w:pos="3686"/>
        </w:tabs>
        <w:kinsoku w:val="0"/>
        <w:overflowPunct w:val="0"/>
        <w:autoSpaceDE w:val="0"/>
        <w:autoSpaceDN w:val="0"/>
        <w:adjustRightInd w:val="0"/>
        <w:snapToGrid w:val="0"/>
        <w:spacing w:after="120"/>
        <w:ind w:left="1134" w:right="1134"/>
        <w:jc w:val="both"/>
        <w:rPr>
          <w:rFonts w:eastAsiaTheme="minorHAnsi"/>
          <w:lang w:val="de-DE"/>
        </w:rPr>
      </w:pPr>
      <w:r w:rsidRPr="00DD2A86">
        <w:rPr>
          <w:rFonts w:eastAsiaTheme="minorHAnsi"/>
          <w:lang w:val="de-DE"/>
        </w:rPr>
        <w:t>9.3.2.11.3 a) und 9.3.3.11.3 a)</w:t>
      </w:r>
      <w:r w:rsidRPr="00DD2A86">
        <w:rPr>
          <w:rFonts w:eastAsiaTheme="minorHAnsi"/>
          <w:lang w:val="de-DE"/>
        </w:rPr>
        <w:tab/>
      </w:r>
      <w:r w:rsidR="00ED0FFC" w:rsidRPr="00DD2A86">
        <w:rPr>
          <w:rFonts w:eastAsiaTheme="minorHAnsi"/>
          <w:lang w:val="de-DE"/>
        </w:rPr>
        <w:tab/>
      </w:r>
      <w:r w:rsidRPr="00DD2A86">
        <w:rPr>
          <w:rFonts w:eastAsiaTheme="minorHAnsi"/>
          <w:lang w:val="de-DE"/>
        </w:rPr>
        <w:t xml:space="preserve">Der Vorletzte Satz erhält folgenden Wortlaut: „In diesem Fall wird ein Endschott, </w:t>
      </w:r>
      <w:r w:rsidRPr="00DD2A86">
        <w:rPr>
          <w:rFonts w:eastAsia="SimSun"/>
          <w:lang w:val="de-DE" w:eastAsia="zh-CN"/>
        </w:rPr>
        <w:t>mit einer „A-60“-Isolierung nach SOLAS 74 Kapitel II-2 Regel 3</w:t>
      </w:r>
      <w:r w:rsidRPr="00DD2A86">
        <w:rPr>
          <w:rFonts w:eastAsiaTheme="minorHAnsi"/>
          <w:u w:val="single"/>
          <w:lang w:val="de-DE"/>
        </w:rPr>
        <w:t>,</w:t>
      </w:r>
      <w:r w:rsidRPr="00DD2A86">
        <w:rPr>
          <w:rFonts w:eastAsiaTheme="minorHAnsi"/>
          <w:lang w:val="de-DE"/>
        </w:rPr>
        <w:t xml:space="preserve"> als einem Kofferdamm gleichwertig angesehen.“.</w:t>
      </w:r>
    </w:p>
    <w:p w:rsidR="00ED0FFC" w:rsidRPr="00DD2A86" w:rsidRDefault="00ED0FFC" w:rsidP="00ED0FFC">
      <w:pPr>
        <w:pStyle w:val="ListParagraph"/>
        <w:tabs>
          <w:tab w:val="left" w:pos="2268"/>
          <w:tab w:val="left" w:pos="4536"/>
        </w:tabs>
        <w:suppressAutoHyphens w:val="0"/>
        <w:autoSpaceDE w:val="0"/>
        <w:autoSpaceDN w:val="0"/>
        <w:adjustRightInd w:val="0"/>
        <w:spacing w:before="240"/>
        <w:ind w:left="1134" w:right="1134"/>
        <w:contextualSpacing w:val="0"/>
        <w:jc w:val="both"/>
        <w:rPr>
          <w:rFonts w:eastAsia="Calibri"/>
          <w:lang w:val="de-DE"/>
        </w:rPr>
      </w:pPr>
      <w:r w:rsidRPr="00DD2A86">
        <w:rPr>
          <w:rFonts w:eastAsia="Calibri"/>
          <w:lang w:val="de-DE" w:eastAsia="de-DE"/>
        </w:rPr>
        <w:t>9.3.2.12.7</w:t>
      </w:r>
      <w:r w:rsidRPr="00DD2A86">
        <w:rPr>
          <w:rFonts w:eastAsia="Calibri"/>
          <w:lang w:val="de-DE" w:eastAsia="de-DE"/>
        </w:rPr>
        <w:tab/>
        <w:t>Erhält f</w:t>
      </w:r>
      <w:r w:rsidRPr="00DD2A86">
        <w:rPr>
          <w:rFonts w:eastAsia="Calibri"/>
          <w:lang w:val="de-DE"/>
        </w:rPr>
        <w:t>olgenden Wortlaut: „(gestrichen)“.</w:t>
      </w:r>
    </w:p>
    <w:p w:rsidR="00ED0FFC" w:rsidRPr="00DD2A86" w:rsidRDefault="00ED0FFC" w:rsidP="00002563">
      <w:pPr>
        <w:kinsoku w:val="0"/>
        <w:overflowPunct w:val="0"/>
        <w:autoSpaceDE w:val="0"/>
        <w:autoSpaceDN w:val="0"/>
        <w:adjustRightInd w:val="0"/>
        <w:snapToGrid w:val="0"/>
        <w:spacing w:before="120" w:after="120"/>
        <w:ind w:left="1134" w:right="1134"/>
        <w:jc w:val="both"/>
        <w:rPr>
          <w:rFonts w:eastAsiaTheme="minorHAnsi"/>
          <w:lang w:val="de-DE"/>
        </w:rPr>
      </w:pPr>
      <w:r w:rsidRPr="00DD2A86">
        <w:rPr>
          <w:rFonts w:eastAsiaTheme="minorHAnsi"/>
          <w:lang w:val="de-DE"/>
        </w:rPr>
        <w:t>9.3.2.17.5 d)</w:t>
      </w:r>
      <w:r w:rsidRPr="00DD2A86">
        <w:rPr>
          <w:rFonts w:eastAsiaTheme="minorHAnsi"/>
          <w:lang w:val="de-DE"/>
        </w:rPr>
        <w:tab/>
        <w:t>Der letzte Satz erhält folgenden Wortlaut:</w:t>
      </w:r>
    </w:p>
    <w:p w:rsidR="00ED0FFC" w:rsidRPr="00DD2A86" w:rsidRDefault="00ED0FFC" w:rsidP="00ED0FFC">
      <w:pPr>
        <w:widowControl w:val="0"/>
        <w:tabs>
          <w:tab w:val="left" w:pos="1134"/>
        </w:tabs>
        <w:suppressAutoHyphens w:val="0"/>
        <w:spacing w:before="180"/>
        <w:ind w:left="1134" w:right="1134"/>
        <w:jc w:val="both"/>
        <w:textAlignment w:val="baseline"/>
        <w:rPr>
          <w:lang w:val="de-DE" w:eastAsia="fr-FR"/>
        </w:rPr>
      </w:pPr>
      <w:r w:rsidRPr="00DD2A86">
        <w:rPr>
          <w:lang w:val="de-DE" w:eastAsia="fr-FR"/>
        </w:rPr>
        <w:t>„Durchführungen durch ein Schott, mit einer „A-60“-Isolierung nach SOLAS 74 Kapitel II-2 Regel 3</w:t>
      </w:r>
      <w:r w:rsidR="00B81B76" w:rsidRPr="00DD2A86">
        <w:rPr>
          <w:lang w:val="de-DE" w:eastAsia="fr-FR"/>
        </w:rPr>
        <w:t xml:space="preserve"> </w:t>
      </w:r>
      <w:r w:rsidRPr="00DD2A86">
        <w:rPr>
          <w:lang w:val="de-DE" w:eastAsia="fr-FR"/>
        </w:rPr>
        <w:t>müssen eine gleichwertige Brandschutzisolierung haben.“.</w:t>
      </w:r>
    </w:p>
    <w:p w:rsidR="0074634A" w:rsidRPr="00DD2A86" w:rsidRDefault="0074634A" w:rsidP="0074634A">
      <w:pPr>
        <w:pStyle w:val="ListParagraph"/>
        <w:tabs>
          <w:tab w:val="left" w:pos="3402"/>
        </w:tabs>
        <w:suppressAutoHyphens w:val="0"/>
        <w:autoSpaceDE w:val="0"/>
        <w:autoSpaceDN w:val="0"/>
        <w:adjustRightInd w:val="0"/>
        <w:spacing w:before="240"/>
        <w:ind w:left="1134" w:right="1134"/>
        <w:contextualSpacing w:val="0"/>
        <w:jc w:val="both"/>
        <w:rPr>
          <w:rFonts w:eastAsia="Calibri"/>
          <w:lang w:val="de-DE" w:eastAsia="de-DE"/>
        </w:rPr>
      </w:pPr>
      <w:r w:rsidRPr="00DD2A86">
        <w:rPr>
          <w:rFonts w:eastAsia="Calibri"/>
          <w:lang w:val="de-DE" w:eastAsia="de-DE"/>
        </w:rPr>
        <w:t>9.3.2.17.6 und 9.3.3.17.6</w:t>
      </w:r>
      <w:r w:rsidRPr="00DD2A86">
        <w:rPr>
          <w:rFonts w:eastAsia="Calibri"/>
          <w:lang w:val="de-DE" w:eastAsia="de-DE"/>
        </w:rPr>
        <w:tab/>
        <w:t>Erhalten folgenden Wortlaut:</w:t>
      </w:r>
    </w:p>
    <w:p w:rsidR="0074634A" w:rsidRPr="00DD2A86" w:rsidRDefault="0074634A" w:rsidP="0074634A">
      <w:pPr>
        <w:suppressAutoHyphens w:val="0"/>
        <w:autoSpaceDE w:val="0"/>
        <w:autoSpaceDN w:val="0"/>
        <w:adjustRightInd w:val="0"/>
        <w:spacing w:before="120" w:line="240" w:lineRule="auto"/>
        <w:ind w:left="2268" w:right="1134" w:firstLine="1"/>
        <w:jc w:val="both"/>
        <w:rPr>
          <w:rFonts w:eastAsia="Calibri"/>
          <w:lang w:val="de-DE"/>
        </w:rPr>
      </w:pPr>
      <w:r w:rsidRPr="00DD2A86">
        <w:rPr>
          <w:rFonts w:eastAsia="Calibri"/>
          <w:lang w:val="de-DE"/>
        </w:rPr>
        <w:t>„Ein im Bereich der Ladung unter Deck angeordneter Betriebsraum ist als Pumpenraum für die Aufstellung einer Lade- und Löschanlage nur zulässig, wenn:</w:t>
      </w:r>
    </w:p>
    <w:p w:rsidR="0074634A" w:rsidRPr="00DD2A86" w:rsidRDefault="0074634A" w:rsidP="0074634A">
      <w:pPr>
        <w:suppressAutoHyphens w:val="0"/>
        <w:autoSpaceDE w:val="0"/>
        <w:autoSpaceDN w:val="0"/>
        <w:adjustRightInd w:val="0"/>
        <w:spacing w:line="240" w:lineRule="auto"/>
        <w:ind w:left="2552" w:right="1134" w:hanging="284"/>
        <w:jc w:val="both"/>
        <w:rPr>
          <w:rFonts w:eastAsia="Calibri"/>
          <w:lang w:val="de-DE"/>
        </w:rPr>
      </w:pPr>
      <w:r w:rsidRPr="00DD2A86">
        <w:rPr>
          <w:rFonts w:eastAsia="Calibri"/>
          <w:lang w:val="de-DE"/>
        </w:rPr>
        <w:t>-</w:t>
      </w:r>
      <w:r w:rsidRPr="00DD2A86">
        <w:rPr>
          <w:rFonts w:eastAsia="Calibri"/>
          <w:lang w:val="de-DE"/>
        </w:rPr>
        <w:tab/>
        <w:t xml:space="preserve">der Pumpenraum durch einen Kofferdamm oder ein Schott </w:t>
      </w:r>
      <w:r w:rsidRPr="00DD2A86">
        <w:rPr>
          <w:rFonts w:eastAsiaTheme="minorHAnsi"/>
          <w:lang w:val="de-DE"/>
        </w:rPr>
        <w:t>mit einer „A-60“-Isolierung</w:t>
      </w:r>
      <w:r w:rsidRPr="00DD2A86">
        <w:rPr>
          <w:rFonts w:eastAsia="Calibri"/>
          <w:lang w:val="de-DE"/>
        </w:rPr>
        <w:t xml:space="preserve"> nach SOLAS 74 Kapitel II-2 Regel 3 versehen ist oder durch einen Betriebsraum oder einen Aufstellungsraum vom Maschinenraum oder von Betriebsräumen außerhalb des Bereichs der Ladung getrennt ist;</w:t>
      </w:r>
    </w:p>
    <w:p w:rsidR="0074634A" w:rsidRPr="00DD2A86" w:rsidRDefault="0074634A" w:rsidP="0074634A">
      <w:pPr>
        <w:suppressAutoHyphens w:val="0"/>
        <w:autoSpaceDE w:val="0"/>
        <w:autoSpaceDN w:val="0"/>
        <w:adjustRightInd w:val="0"/>
        <w:spacing w:line="240" w:lineRule="auto"/>
        <w:ind w:left="2552" w:right="1134" w:hanging="284"/>
        <w:jc w:val="both"/>
        <w:rPr>
          <w:rFonts w:eastAsia="Calibri"/>
          <w:lang w:val="de-DE"/>
        </w:rPr>
      </w:pPr>
      <w:r w:rsidRPr="00DD2A86">
        <w:rPr>
          <w:rFonts w:eastAsia="Calibri"/>
          <w:lang w:val="de-DE"/>
        </w:rPr>
        <w:t>-</w:t>
      </w:r>
      <w:r w:rsidRPr="00DD2A86">
        <w:rPr>
          <w:rFonts w:eastAsia="Calibri"/>
          <w:lang w:val="de-DE"/>
        </w:rPr>
        <w:tab/>
        <w:t>das vorstehend geforderte „A-60“-Schott keine Durchbrüche gemäß Absatz 9.3.x.17.5 a) hat;</w:t>
      </w:r>
    </w:p>
    <w:p w:rsidR="0074634A" w:rsidRPr="00DD2A86" w:rsidRDefault="0074634A" w:rsidP="0074634A">
      <w:pPr>
        <w:suppressAutoHyphens w:val="0"/>
        <w:autoSpaceDE w:val="0"/>
        <w:autoSpaceDN w:val="0"/>
        <w:adjustRightInd w:val="0"/>
        <w:spacing w:line="240" w:lineRule="auto"/>
        <w:ind w:left="2552" w:right="1134" w:hanging="284"/>
        <w:jc w:val="both"/>
        <w:rPr>
          <w:rFonts w:eastAsia="Calibri"/>
          <w:lang w:val="de-DE"/>
        </w:rPr>
      </w:pPr>
      <w:r w:rsidRPr="00DD2A86">
        <w:rPr>
          <w:rFonts w:eastAsia="Calibri"/>
          <w:lang w:val="de-DE"/>
        </w:rPr>
        <w:t>-</w:t>
      </w:r>
      <w:r w:rsidRPr="00DD2A86">
        <w:rPr>
          <w:rFonts w:eastAsia="Calibri"/>
          <w:lang w:val="de-DE"/>
        </w:rPr>
        <w:tab/>
        <w:t>Lüftungsaustrittsöffnungen mindestens 6,00 m von Zugängen und Öffnungen der Wohnungen, des Steuerhauses und der Betriebsräume außerhalb des Bereichs der Ladung entfernt angeordnet sind;</w:t>
      </w:r>
    </w:p>
    <w:p w:rsidR="0074634A" w:rsidRPr="00DD2A86" w:rsidRDefault="0074634A" w:rsidP="0074634A">
      <w:pPr>
        <w:suppressAutoHyphens w:val="0"/>
        <w:autoSpaceDE w:val="0"/>
        <w:autoSpaceDN w:val="0"/>
        <w:adjustRightInd w:val="0"/>
        <w:spacing w:line="240" w:lineRule="auto"/>
        <w:ind w:left="2552" w:right="1134" w:hanging="284"/>
        <w:jc w:val="both"/>
        <w:rPr>
          <w:rFonts w:eastAsia="Calibri"/>
          <w:lang w:val="de-DE"/>
        </w:rPr>
      </w:pPr>
      <w:r w:rsidRPr="00DD2A86">
        <w:rPr>
          <w:rFonts w:eastAsia="Calibri"/>
          <w:lang w:val="de-DE"/>
        </w:rPr>
        <w:t>-</w:t>
      </w:r>
      <w:r w:rsidRPr="00DD2A86">
        <w:rPr>
          <w:rFonts w:eastAsia="Calibri"/>
          <w:lang w:val="de-DE"/>
        </w:rPr>
        <w:tab/>
        <w:t>Zugangs- und Lüftungsöffnungen von außen verschließbar sind;</w:t>
      </w:r>
    </w:p>
    <w:p w:rsidR="0074634A" w:rsidRPr="00DD2A86" w:rsidRDefault="0074634A" w:rsidP="0074634A">
      <w:pPr>
        <w:suppressAutoHyphens w:val="0"/>
        <w:autoSpaceDE w:val="0"/>
        <w:autoSpaceDN w:val="0"/>
        <w:adjustRightInd w:val="0"/>
        <w:spacing w:line="240" w:lineRule="auto"/>
        <w:ind w:left="2552" w:right="1134" w:hanging="284"/>
        <w:jc w:val="both"/>
        <w:rPr>
          <w:rFonts w:eastAsia="Calibri"/>
          <w:lang w:val="de-DE"/>
        </w:rPr>
      </w:pPr>
      <w:r w:rsidRPr="00DD2A86">
        <w:rPr>
          <w:rFonts w:eastAsia="Calibri"/>
          <w:lang w:val="de-DE"/>
        </w:rPr>
        <w:t>-</w:t>
      </w:r>
      <w:r w:rsidRPr="00DD2A86">
        <w:rPr>
          <w:rFonts w:eastAsia="Calibri"/>
          <w:lang w:val="de-DE"/>
        </w:rPr>
        <w:tab/>
        <w:t>alle Lade- und Löschleitungen sowie die Rohrleitungen der Nachlenzsysteme auf der Saugseite der Pumpe im Pumpenraum direkt am Schott mit einer Absperrarmatur versehen sind. Die erforderliche Bedienung der Armaturen im Pumpenraum und das Starten der Pumpen sowie die notwendige Regulierung des Flüssigkeitsstroms muss von Deck aus erfolgen;</w:t>
      </w:r>
    </w:p>
    <w:p w:rsidR="0074634A" w:rsidRPr="00DD2A86" w:rsidRDefault="0074634A" w:rsidP="0074634A">
      <w:pPr>
        <w:suppressAutoHyphens w:val="0"/>
        <w:autoSpaceDE w:val="0"/>
        <w:autoSpaceDN w:val="0"/>
        <w:adjustRightInd w:val="0"/>
        <w:spacing w:line="240" w:lineRule="auto"/>
        <w:ind w:left="2552" w:right="1134" w:hanging="284"/>
        <w:jc w:val="both"/>
        <w:rPr>
          <w:rFonts w:eastAsia="Calibri"/>
          <w:lang w:val="de-DE"/>
        </w:rPr>
      </w:pPr>
      <w:r w:rsidRPr="00DD2A86">
        <w:rPr>
          <w:rFonts w:eastAsia="Calibri"/>
          <w:lang w:val="de-DE"/>
        </w:rPr>
        <w:t>-</w:t>
      </w:r>
      <w:r w:rsidRPr="00DD2A86">
        <w:rPr>
          <w:rFonts w:eastAsia="Calibri"/>
          <w:lang w:val="de-DE"/>
        </w:rPr>
        <w:tab/>
        <w:t>die Pumpenraumbilge mit einer Einrichtung zum Messen des Füllstands versehen ist, die einen optischen und akustischen Alarm im Steuerhaus auslöst, wenn sich in der Pumpenraumbilge Flüssigkeit ansammelt;</w:t>
      </w:r>
    </w:p>
    <w:p w:rsidR="0074634A" w:rsidRPr="00DD2A86" w:rsidRDefault="0074634A" w:rsidP="0074634A">
      <w:pPr>
        <w:suppressAutoHyphens w:val="0"/>
        <w:autoSpaceDE w:val="0"/>
        <w:autoSpaceDN w:val="0"/>
        <w:adjustRightInd w:val="0"/>
        <w:spacing w:line="240" w:lineRule="auto"/>
        <w:ind w:left="2552" w:right="1134" w:hanging="284"/>
        <w:jc w:val="both"/>
        <w:rPr>
          <w:rFonts w:eastAsia="Calibri"/>
          <w:lang w:val="de-DE" w:eastAsia="de-DE"/>
        </w:rPr>
      </w:pPr>
      <w:r w:rsidRPr="00DD2A86">
        <w:rPr>
          <w:rFonts w:eastAsia="Calibri"/>
          <w:lang w:val="de-DE" w:eastAsia="de-DE"/>
        </w:rPr>
        <w:t>-</w:t>
      </w:r>
      <w:r w:rsidRPr="00DD2A86">
        <w:rPr>
          <w:rFonts w:eastAsia="Calibri"/>
          <w:lang w:val="de-DE" w:eastAsia="de-DE"/>
        </w:rPr>
        <w:tab/>
        <w:t>der Pumpenraum mit einer fest eingebauten Sauerstoffmessanlage versehen ist, welche den Sauerstoffgehalt automatisch anzeigt und bei einer Sauerstoffkonzentration von 19,5 Vol.-% einen optischen und akustischen Alarm auslöst. Die Sensoren dieser Anlage müssen sich an geeigneten Stellen am Boden und in 2,00 m Höhe befinden. Die Messungen müssen stetig erfolgen und nahe des Einganges angezeigt werden. Die Alarme müssen optisch und akustisch im Steuerhaus und im Pumpenraum gemeldet werden und müssen die Lade- und Löschanlage abschalten.</w:t>
      </w:r>
    </w:p>
    <w:p w:rsidR="0074634A" w:rsidRPr="00DD2A86" w:rsidRDefault="0074634A" w:rsidP="00461BAC">
      <w:pPr>
        <w:suppressAutoHyphens w:val="0"/>
        <w:autoSpaceDE w:val="0"/>
        <w:autoSpaceDN w:val="0"/>
        <w:adjustRightInd w:val="0"/>
        <w:spacing w:line="240" w:lineRule="auto"/>
        <w:ind w:left="2552" w:right="1134"/>
        <w:jc w:val="both"/>
        <w:rPr>
          <w:rFonts w:eastAsia="Calibri"/>
          <w:lang w:val="de-DE"/>
        </w:rPr>
      </w:pPr>
      <w:r w:rsidRPr="00DD2A86">
        <w:rPr>
          <w:rFonts w:eastAsia="Calibri"/>
          <w:lang w:val="de-DE" w:eastAsia="de-DE"/>
        </w:rPr>
        <w:t xml:space="preserve">Ein Ausfall der Sauerstoffmessanlage muss </w:t>
      </w:r>
      <w:r w:rsidRPr="00DD2A86">
        <w:rPr>
          <w:rFonts w:eastAsia="Calibri"/>
          <w:lang w:val="de-DE"/>
        </w:rPr>
        <w:t>optischen und akustischen Alarm im Steuerhaus und an Deck auslösen. Bei Nichtquittieren muss die Alarmierung automatisch in den Wohnungen erfolgen;</w:t>
      </w:r>
    </w:p>
    <w:p w:rsidR="0074634A" w:rsidRPr="00DD2A86" w:rsidRDefault="0074634A" w:rsidP="0074634A">
      <w:pPr>
        <w:suppressAutoHyphens w:val="0"/>
        <w:autoSpaceDE w:val="0"/>
        <w:autoSpaceDN w:val="0"/>
        <w:adjustRightInd w:val="0"/>
        <w:spacing w:after="120" w:line="240" w:lineRule="auto"/>
        <w:ind w:left="2552" w:right="1134" w:hanging="284"/>
        <w:jc w:val="both"/>
        <w:rPr>
          <w:rFonts w:eastAsia="Calibri"/>
          <w:lang w:val="de-DE"/>
        </w:rPr>
      </w:pPr>
      <w:r w:rsidRPr="00DD2A86">
        <w:rPr>
          <w:rFonts w:eastAsia="Calibri"/>
          <w:lang w:val="de-DE"/>
        </w:rPr>
        <w:t>-</w:t>
      </w:r>
      <w:r w:rsidRPr="00DD2A86">
        <w:rPr>
          <w:rFonts w:eastAsia="Calibri"/>
          <w:lang w:val="de-DE"/>
        </w:rPr>
        <w:tab/>
        <w:t xml:space="preserve">das in Absatz 9.3.x.12.3 vorgeschriebene </w:t>
      </w:r>
      <w:r w:rsidRPr="00DD2A86">
        <w:rPr>
          <w:rFonts w:eastAsia="Calibri"/>
          <w:bCs/>
          <w:lang w:val="de-DE"/>
        </w:rPr>
        <w:t>Lüftungssystem</w:t>
      </w:r>
      <w:r w:rsidRPr="00DD2A86" w:rsidDel="000E1E4E">
        <w:rPr>
          <w:rFonts w:eastAsia="Calibri"/>
          <w:lang w:val="de-DE"/>
        </w:rPr>
        <w:t xml:space="preserve"> </w:t>
      </w:r>
      <w:r w:rsidRPr="00DD2A86">
        <w:rPr>
          <w:rFonts w:eastAsia="Calibri"/>
          <w:lang w:val="de-DE"/>
        </w:rPr>
        <w:t>eine Stundenleistung von mindestens dem dreißigfachen des Rauminhalts des Betriebsraums besitzt.</w:t>
      </w:r>
    </w:p>
    <w:p w:rsidR="0074634A" w:rsidRPr="00DD2A86" w:rsidRDefault="0074634A" w:rsidP="0074634A">
      <w:pPr>
        <w:suppressAutoHyphens w:val="0"/>
        <w:spacing w:before="120" w:line="240" w:lineRule="auto"/>
        <w:ind w:left="2268" w:right="1134"/>
        <w:jc w:val="both"/>
        <w:rPr>
          <w:rFonts w:eastAsia="Calibri"/>
          <w:lang w:val="de-DE"/>
        </w:rPr>
      </w:pPr>
      <w:r w:rsidRPr="00DD2A86">
        <w:rPr>
          <w:rFonts w:eastAsia="Calibri"/>
          <w:lang w:val="de-DE"/>
        </w:rPr>
        <w:t xml:space="preserve">Wenn die Schiffsstoffliste nach Absatz 1.16.1.2.5 Stoffe enthalten soll, für die nach Unterabschnitt 3.2.3.2 Tabelle C Spalte (17) </w:t>
      </w:r>
      <w:r w:rsidRPr="00DD2A86">
        <w:rPr>
          <w:rFonts w:eastAsia="Calibri"/>
          <w:lang w:val="de-DE" w:eastAsia="de-DE"/>
        </w:rPr>
        <w:t>Explosionsschutz gefordert ist,</w:t>
      </w:r>
      <w:r w:rsidRPr="00DD2A86">
        <w:rPr>
          <w:rFonts w:eastAsia="Calibri"/>
          <w:lang w:val="de-DE"/>
        </w:rPr>
        <w:t xml:space="preserve"> muss der Pumpenraum zusätzlich mit einer fest eingebauten Gasspüranlage versehen sein,</w:t>
      </w:r>
      <w:r w:rsidRPr="00DD2A86">
        <w:rPr>
          <w:rFonts w:eastAsia="Calibri"/>
          <w:i/>
          <w:lang w:val="de-DE"/>
        </w:rPr>
        <w:t xml:space="preserve"> </w:t>
      </w:r>
      <w:r w:rsidRPr="00DD2A86">
        <w:rPr>
          <w:rFonts w:eastAsia="Calibri"/>
          <w:lang w:val="de-DE"/>
        </w:rPr>
        <w:t>welche, die Anwesenheit entzündbarer Gase automatisch anzeigt und beim Erreichen einer Gaskonzentration von 20 % der UEG der Ladung oder 20 % der UEG von n-Hexan einen optischen und akustischen Alarm auslöst</w:t>
      </w:r>
      <w:r w:rsidRPr="00DD2A86">
        <w:rPr>
          <w:rFonts w:eastAsia="Calibri"/>
          <w:szCs w:val="24"/>
          <w:lang w:val="de-DE"/>
        </w:rPr>
        <w:t>, je nachdem welche UEG die kritischere ist</w:t>
      </w:r>
      <w:r w:rsidRPr="00DD2A86">
        <w:rPr>
          <w:rFonts w:eastAsia="Calibri"/>
          <w:lang w:val="de-DE"/>
        </w:rPr>
        <w:t>.</w:t>
      </w:r>
    </w:p>
    <w:p w:rsidR="0074634A" w:rsidRPr="00DD2A86" w:rsidRDefault="0074634A" w:rsidP="0074634A">
      <w:pPr>
        <w:suppressAutoHyphens w:val="0"/>
        <w:autoSpaceDE w:val="0"/>
        <w:autoSpaceDN w:val="0"/>
        <w:adjustRightInd w:val="0"/>
        <w:spacing w:before="120" w:line="240" w:lineRule="auto"/>
        <w:ind w:left="2268" w:right="1134"/>
        <w:jc w:val="both"/>
        <w:rPr>
          <w:rFonts w:eastAsia="Calibri"/>
          <w:lang w:val="de-DE"/>
        </w:rPr>
      </w:pPr>
      <w:r w:rsidRPr="00DD2A86">
        <w:rPr>
          <w:rFonts w:eastAsia="Calibri"/>
          <w:lang w:val="de-DE"/>
        </w:rPr>
        <w:t xml:space="preserve">Die Sensoren der Gasspüranlage müssen sich an geeigneten Stellen am Boden und direkt unterhalb der Decke befinden. Die Messungen müssen stetig erfolgen </w:t>
      </w:r>
      <w:r w:rsidRPr="00DD2A86">
        <w:rPr>
          <w:rFonts w:eastAsia="Calibri"/>
          <w:lang w:val="de-DE" w:eastAsia="de-DE"/>
        </w:rPr>
        <w:t>und nahe des Einganges angezeigt werden</w:t>
      </w:r>
      <w:r w:rsidRPr="00DD2A86">
        <w:rPr>
          <w:rFonts w:eastAsia="Calibri"/>
          <w:lang w:val="de-DE"/>
        </w:rPr>
        <w:t>.</w:t>
      </w:r>
    </w:p>
    <w:p w:rsidR="0074634A" w:rsidRPr="00DD2A86" w:rsidRDefault="0074634A" w:rsidP="00761EB1">
      <w:pPr>
        <w:suppressAutoHyphens w:val="0"/>
        <w:autoSpaceDE w:val="0"/>
        <w:autoSpaceDN w:val="0"/>
        <w:adjustRightInd w:val="0"/>
        <w:spacing w:before="120" w:line="240" w:lineRule="auto"/>
        <w:ind w:left="2268" w:right="1134"/>
        <w:jc w:val="both"/>
        <w:rPr>
          <w:rFonts w:eastAsia="Calibri"/>
          <w:lang w:val="de-DE"/>
        </w:rPr>
      </w:pPr>
      <w:r w:rsidRPr="00DD2A86">
        <w:rPr>
          <w:rFonts w:eastAsia="Calibri"/>
          <w:lang w:val="de-DE"/>
        </w:rPr>
        <w:t>Die Alarme müssen optisch und akustisch im Steuerhaus und im Pumpenraum gemeldet werden und müssen die Lade- und Löschanlage abschalten.</w:t>
      </w:r>
    </w:p>
    <w:p w:rsidR="0074634A" w:rsidRPr="00DD2A86" w:rsidRDefault="0074634A" w:rsidP="00761EB1">
      <w:pPr>
        <w:pStyle w:val="ListParagraph"/>
        <w:tabs>
          <w:tab w:val="left" w:pos="3402"/>
        </w:tabs>
        <w:suppressAutoHyphens w:val="0"/>
        <w:autoSpaceDE w:val="0"/>
        <w:autoSpaceDN w:val="0"/>
        <w:adjustRightInd w:val="0"/>
        <w:spacing w:before="120"/>
        <w:ind w:left="2268" w:right="1134"/>
        <w:contextualSpacing w:val="0"/>
        <w:jc w:val="both"/>
        <w:rPr>
          <w:rFonts w:eastAsia="Calibri"/>
          <w:lang w:val="de-DE" w:eastAsia="en-US"/>
        </w:rPr>
      </w:pPr>
      <w:r w:rsidRPr="00DD2A86">
        <w:rPr>
          <w:rFonts w:eastAsia="Calibri"/>
          <w:lang w:val="de-DE" w:eastAsia="en-US"/>
        </w:rPr>
        <w:t>Ein Ausfall der Gasspüranlage muss optisch und akustisch im Steuerhaus und an Deck gemeldet werden.</w:t>
      </w:r>
      <w:r w:rsidRPr="00DD2A86">
        <w:rPr>
          <w:rFonts w:eastAsia="Calibri"/>
          <w:color w:val="0000FF"/>
          <w:lang w:val="de-DE" w:eastAsia="en-US"/>
        </w:rPr>
        <w:t xml:space="preserve"> </w:t>
      </w:r>
      <w:r w:rsidRPr="00DD2A86">
        <w:rPr>
          <w:rFonts w:eastAsia="Calibri"/>
          <w:lang w:val="de-DE" w:eastAsia="en-US"/>
        </w:rPr>
        <w:t>Bei Nichtquittieren muss die Alarmierung automatisch in den Wohnungen erfolgen.“.</w:t>
      </w:r>
    </w:p>
    <w:p w:rsidR="008E71A6" w:rsidRPr="00DD2A86" w:rsidRDefault="008E71A6" w:rsidP="008E71A6">
      <w:pPr>
        <w:pStyle w:val="ListParagraph"/>
        <w:suppressAutoHyphens w:val="0"/>
        <w:autoSpaceDE w:val="0"/>
        <w:autoSpaceDN w:val="0"/>
        <w:adjustRightInd w:val="0"/>
        <w:spacing w:before="240"/>
        <w:ind w:left="1134" w:right="1134"/>
        <w:contextualSpacing w:val="0"/>
        <w:jc w:val="both"/>
        <w:rPr>
          <w:rFonts w:eastAsia="Calibri"/>
          <w:szCs w:val="24"/>
          <w:lang w:val="de-DE"/>
        </w:rPr>
      </w:pPr>
      <w:r w:rsidRPr="00DD2A86">
        <w:rPr>
          <w:rFonts w:eastAsia="Calibri"/>
          <w:szCs w:val="24"/>
          <w:lang w:val="de-DE"/>
        </w:rPr>
        <w:t>9.3.2.20.4 und 9.3.3.20.4</w:t>
      </w:r>
      <w:r w:rsidRPr="00DD2A86">
        <w:rPr>
          <w:rFonts w:eastAsia="Calibri"/>
          <w:szCs w:val="24"/>
          <w:lang w:val="de-DE"/>
        </w:rPr>
        <w:tab/>
        <w:t>Erhalten folgenden Wortlaut:</w:t>
      </w:r>
    </w:p>
    <w:p w:rsidR="008E71A6" w:rsidRPr="00DD2A86" w:rsidRDefault="008E71A6" w:rsidP="008E71A6">
      <w:pPr>
        <w:pStyle w:val="ListParagraph"/>
        <w:suppressAutoHyphens w:val="0"/>
        <w:autoSpaceDE w:val="0"/>
        <w:autoSpaceDN w:val="0"/>
        <w:adjustRightInd w:val="0"/>
        <w:spacing w:before="120"/>
        <w:ind w:left="2268" w:right="1134"/>
        <w:contextualSpacing w:val="0"/>
        <w:jc w:val="both"/>
        <w:rPr>
          <w:rFonts w:eastAsia="Calibri"/>
          <w:szCs w:val="24"/>
          <w:lang w:val="de-DE" w:eastAsia="de-DE"/>
        </w:rPr>
      </w:pPr>
      <w:r w:rsidRPr="00DD2A86">
        <w:rPr>
          <w:rFonts w:eastAsia="Calibri"/>
          <w:szCs w:val="24"/>
          <w:lang w:val="de-DE"/>
        </w:rPr>
        <w:t>„</w:t>
      </w:r>
      <w:r w:rsidRPr="00DD2A86">
        <w:rPr>
          <w:rFonts w:eastAsia="Calibri"/>
          <w:lang w:val="de-DE" w:eastAsia="en-US"/>
        </w:rPr>
        <w:t>Wenn die Schiffsstoffliste nach 1.16.1.2.5 Stoffe enthalten soll, für die nach Unterabschnitt</w:t>
      </w:r>
      <w:r w:rsidRPr="00DD2A86">
        <w:rPr>
          <w:rFonts w:eastAsia="Calibri"/>
          <w:lang w:val="de-DE" w:eastAsia="de-DE"/>
        </w:rPr>
        <w:t xml:space="preserve"> 3.2.3.2 </w:t>
      </w:r>
      <w:r w:rsidRPr="00DD2A86">
        <w:rPr>
          <w:rFonts w:eastAsia="Calibri"/>
          <w:lang w:val="de-DE" w:eastAsia="en-US"/>
        </w:rPr>
        <w:t>Tabelle C Spalte (17) Explosionsschutz gefordert ist, müssen die Lüftungsöffnungen der Kofferdämme mit einer deflagrationssicheren Flammendurchschlagsicherung versehen sein. Diese Flammendurchschlagsicherungen sind</w:t>
      </w:r>
      <w:r w:rsidRPr="00DD2A86">
        <w:rPr>
          <w:rFonts w:eastAsia="Calibri"/>
          <w:strike/>
          <w:lang w:val="de-DE" w:eastAsia="en-US"/>
        </w:rPr>
        <w:t xml:space="preserve"> </w:t>
      </w:r>
      <w:r w:rsidRPr="00DD2A86">
        <w:rPr>
          <w:rFonts w:eastAsia="Calibri"/>
          <w:lang w:val="de-DE" w:eastAsia="en-US"/>
        </w:rPr>
        <w:t>unter</w:t>
      </w:r>
      <w:r w:rsidRPr="00DD2A86">
        <w:rPr>
          <w:rFonts w:eastAsia="Calibri"/>
          <w:szCs w:val="24"/>
          <w:lang w:val="de-DE" w:eastAsia="en-US"/>
        </w:rPr>
        <w:t xml:space="preserve"> </w:t>
      </w:r>
      <w:r w:rsidRPr="00DD2A86">
        <w:rPr>
          <w:rFonts w:eastAsia="Calibri"/>
          <w:szCs w:val="24"/>
          <w:lang w:val="de-DE" w:eastAsia="de-DE"/>
        </w:rPr>
        <w:t>Berücksichtigung</w:t>
      </w:r>
      <w:r w:rsidRPr="00DD2A86">
        <w:rPr>
          <w:rFonts w:eastAsia="Calibri"/>
          <w:szCs w:val="24"/>
          <w:lang w:val="de-DE" w:eastAsia="en-US"/>
        </w:rPr>
        <w:t xml:space="preserve"> der für die Schiffsstoffliste vorgesehenen Stoffe entsprechend </w:t>
      </w:r>
      <w:r w:rsidRPr="00DD2A86">
        <w:rPr>
          <w:rFonts w:eastAsia="Calibri"/>
          <w:szCs w:val="24"/>
          <w:lang w:val="de-DE" w:eastAsia="de-DE"/>
        </w:rPr>
        <w:t xml:space="preserve">den dafür erforderlichen Explosionsgruppen/Untergruppen auszuwählen (siehe </w:t>
      </w:r>
      <w:r w:rsidRPr="00DD2A86">
        <w:rPr>
          <w:rFonts w:eastAsia="Calibri"/>
          <w:szCs w:val="24"/>
          <w:lang w:val="de-DE" w:eastAsia="en-US"/>
        </w:rPr>
        <w:t>Unterabschnitt</w:t>
      </w:r>
      <w:r w:rsidRPr="00DD2A86">
        <w:rPr>
          <w:rFonts w:eastAsia="Calibri"/>
          <w:szCs w:val="24"/>
          <w:lang w:val="de-DE" w:eastAsia="de-DE"/>
        </w:rPr>
        <w:t xml:space="preserve"> 3.2.3.2 Tabelle C Spalte (16)).“.</w:t>
      </w:r>
    </w:p>
    <w:p w:rsidR="008E71A6" w:rsidRPr="00DD2A86" w:rsidRDefault="008E71A6" w:rsidP="008E71A6">
      <w:pPr>
        <w:pStyle w:val="ListParagraph"/>
        <w:suppressAutoHyphens w:val="0"/>
        <w:autoSpaceDE w:val="0"/>
        <w:autoSpaceDN w:val="0"/>
        <w:adjustRightInd w:val="0"/>
        <w:spacing w:before="240"/>
        <w:ind w:left="1134" w:right="1134"/>
        <w:contextualSpacing w:val="0"/>
        <w:jc w:val="both"/>
        <w:rPr>
          <w:rFonts w:eastAsia="Calibri"/>
          <w:szCs w:val="24"/>
          <w:lang w:val="de-DE"/>
        </w:rPr>
      </w:pPr>
      <w:r w:rsidRPr="00DD2A86">
        <w:rPr>
          <w:rFonts w:eastAsia="Calibri"/>
          <w:szCs w:val="24"/>
          <w:lang w:val="de-DE"/>
        </w:rPr>
        <w:t>9.3.2.21.1 f) und 9.3.3.21.1 f)</w:t>
      </w:r>
      <w:r w:rsidRPr="00DD2A86">
        <w:rPr>
          <w:rFonts w:eastAsia="Calibri"/>
          <w:szCs w:val="24"/>
          <w:lang w:val="de-DE"/>
        </w:rPr>
        <w:tab/>
        <w:t>Der Buchstabe f) erhält folgenden Wortlaut:</w:t>
      </w:r>
    </w:p>
    <w:p w:rsidR="008E71A6" w:rsidRPr="00DD2A86" w:rsidRDefault="008E71A6" w:rsidP="008E71A6">
      <w:pPr>
        <w:suppressAutoHyphens w:val="0"/>
        <w:autoSpaceDE w:val="0"/>
        <w:autoSpaceDN w:val="0"/>
        <w:adjustRightInd w:val="0"/>
        <w:spacing w:before="120" w:line="240" w:lineRule="auto"/>
        <w:ind w:left="2268" w:right="1134"/>
        <w:jc w:val="both"/>
        <w:rPr>
          <w:rFonts w:eastAsia="Calibri"/>
          <w:lang w:val="de-DE"/>
        </w:rPr>
      </w:pPr>
      <w:r w:rsidRPr="00DD2A86">
        <w:rPr>
          <w:rFonts w:eastAsia="Calibri"/>
          <w:lang w:val="de-DE"/>
        </w:rPr>
        <w:t>„f)</w:t>
      </w:r>
      <w:r w:rsidRPr="00DD2A86">
        <w:rPr>
          <w:rFonts w:eastAsia="Calibri"/>
          <w:lang w:val="de-DE"/>
        </w:rPr>
        <w:tab/>
        <w:t>einer Einrichtung zum Messen der Temperatur der Ladung, wenn in Unterabschnitt 3.2.3.2 Tabelle C Spalte (9) eine Ladungsheizungsanlage an Bord oder eine Ladungsheizmöglichkeit oder in Unterabschnitt 3.2.3.2 Tabelle C Spalte (20) eine maximal zulässige Temperatur aufgeführt ist;“.</w:t>
      </w:r>
    </w:p>
    <w:p w:rsidR="008E71A6" w:rsidRPr="00DD2A86" w:rsidRDefault="008E71A6" w:rsidP="008E71A6">
      <w:pPr>
        <w:pStyle w:val="ListParagraph"/>
        <w:suppressAutoHyphens w:val="0"/>
        <w:autoSpaceDE w:val="0"/>
        <w:autoSpaceDN w:val="0"/>
        <w:adjustRightInd w:val="0"/>
        <w:spacing w:before="240"/>
        <w:ind w:left="1134" w:right="1134"/>
        <w:contextualSpacing w:val="0"/>
        <w:jc w:val="both"/>
        <w:rPr>
          <w:rFonts w:eastAsia="Calibri"/>
          <w:szCs w:val="24"/>
          <w:lang w:val="de-DE"/>
        </w:rPr>
      </w:pPr>
      <w:r w:rsidRPr="00DD2A86">
        <w:rPr>
          <w:rFonts w:eastAsia="Calibri"/>
          <w:szCs w:val="24"/>
          <w:lang w:val="de-DE"/>
        </w:rPr>
        <w:t>9.3.2.21.1 g) und 9.3.3.21.1 g)</w:t>
      </w:r>
      <w:r w:rsidRPr="00DD2A86">
        <w:rPr>
          <w:rFonts w:eastAsia="Calibri"/>
          <w:szCs w:val="24"/>
          <w:lang w:val="de-DE"/>
        </w:rPr>
        <w:tab/>
        <w:t>Der Buchstabe g) erhält folgenden Wortlaut:</w:t>
      </w:r>
    </w:p>
    <w:p w:rsidR="008E71A6" w:rsidRPr="00DD2A86" w:rsidRDefault="008E71A6" w:rsidP="008E71A6">
      <w:pPr>
        <w:suppressAutoHyphens w:val="0"/>
        <w:autoSpaceDE w:val="0"/>
        <w:autoSpaceDN w:val="0"/>
        <w:adjustRightInd w:val="0"/>
        <w:spacing w:before="120" w:line="240" w:lineRule="auto"/>
        <w:ind w:left="2268" w:right="1134"/>
        <w:jc w:val="both"/>
        <w:rPr>
          <w:rFonts w:eastAsia="Calibri"/>
          <w:lang w:val="de-DE"/>
        </w:rPr>
      </w:pPr>
      <w:r w:rsidRPr="00DD2A86">
        <w:rPr>
          <w:rFonts w:eastAsia="Calibri"/>
          <w:lang w:val="de-DE"/>
        </w:rPr>
        <w:t>„g)</w:t>
      </w:r>
      <w:r w:rsidRPr="00DD2A86">
        <w:rPr>
          <w:rFonts w:eastAsia="Calibri"/>
          <w:lang w:val="de-DE"/>
        </w:rPr>
        <w:tab/>
        <w:t xml:space="preserve">einem Anschluss für eine geschlossene oder teilweise geschlossene Probeentnahmeeinrichtung und/oder mindestens einer Probeentnahmeöffnung entsprechend der Anforderung in Kapitel 3.2 Tabelle C Spalte (13). </w:t>
      </w:r>
    </w:p>
    <w:p w:rsidR="008E71A6" w:rsidRPr="00DD2A86" w:rsidRDefault="008E71A6" w:rsidP="00761EB1">
      <w:pPr>
        <w:pStyle w:val="ListParagraph"/>
        <w:suppressAutoHyphens w:val="0"/>
        <w:autoSpaceDE w:val="0"/>
        <w:autoSpaceDN w:val="0"/>
        <w:adjustRightInd w:val="0"/>
        <w:spacing w:before="120"/>
        <w:ind w:left="2268" w:right="1134"/>
        <w:contextualSpacing w:val="0"/>
        <w:jc w:val="both"/>
        <w:rPr>
          <w:rFonts w:eastAsia="Calibri"/>
          <w:lang w:val="de-DE" w:eastAsia="de-DE"/>
        </w:rPr>
      </w:pPr>
      <w:r w:rsidRPr="00DD2A86">
        <w:rPr>
          <w:rFonts w:eastAsia="Calibri"/>
          <w:lang w:val="de-DE"/>
        </w:rPr>
        <w:t xml:space="preserve">Wenn die Schiffsstoffliste nach 1.16.1.2.5 Stoffe enthalten soll, für die nach Unterabschnitt 3.2.3.2 Tabelle C Spalte (17) Explosionsschutz gefordert ist, ist die dauerbrandsichere Flammensperre der Probeentnahmeöffnung unter </w:t>
      </w:r>
      <w:r w:rsidRPr="00DD2A86">
        <w:rPr>
          <w:rFonts w:eastAsia="Calibri"/>
          <w:lang w:val="de-DE" w:eastAsia="de-DE"/>
        </w:rPr>
        <w:t>Berücksichtigung</w:t>
      </w:r>
      <w:r w:rsidRPr="00DD2A86">
        <w:rPr>
          <w:rFonts w:eastAsia="Calibri"/>
          <w:lang w:val="de-DE"/>
        </w:rPr>
        <w:t xml:space="preserve"> der für die Schiffsstoffliste vorgesehenen Stoffe entsprechend </w:t>
      </w:r>
      <w:r w:rsidRPr="00DD2A86">
        <w:rPr>
          <w:rFonts w:eastAsia="Calibri"/>
          <w:lang w:val="de-DE" w:eastAsia="de-DE"/>
        </w:rPr>
        <w:t xml:space="preserve">den dafür erforderlichen Explosionsgruppen/Untergruppen auszuwählen (siehe </w:t>
      </w:r>
      <w:r w:rsidRPr="00DD2A86">
        <w:rPr>
          <w:rFonts w:eastAsia="Calibri"/>
          <w:lang w:val="de-DE"/>
        </w:rPr>
        <w:t>Unterabschnitt</w:t>
      </w:r>
      <w:r w:rsidRPr="00DD2A86">
        <w:rPr>
          <w:rFonts w:eastAsia="Calibri"/>
          <w:lang w:val="de-DE" w:eastAsia="de-DE"/>
        </w:rPr>
        <w:t xml:space="preserve"> 3.2.3.2 Tabelle C Spalte (16).“.</w:t>
      </w:r>
    </w:p>
    <w:p w:rsidR="008E71A6" w:rsidRPr="00DD2A86" w:rsidRDefault="008E71A6" w:rsidP="008E71A6">
      <w:pPr>
        <w:pStyle w:val="ListParagraph"/>
        <w:suppressAutoHyphens w:val="0"/>
        <w:autoSpaceDE w:val="0"/>
        <w:autoSpaceDN w:val="0"/>
        <w:adjustRightInd w:val="0"/>
        <w:spacing w:before="240"/>
        <w:ind w:left="1134" w:right="1134"/>
        <w:contextualSpacing w:val="0"/>
        <w:jc w:val="both"/>
        <w:rPr>
          <w:rFonts w:eastAsia="Calibri"/>
          <w:szCs w:val="24"/>
          <w:lang w:val="de-DE"/>
        </w:rPr>
      </w:pPr>
      <w:r w:rsidRPr="00DD2A86">
        <w:rPr>
          <w:rFonts w:eastAsia="Calibri"/>
          <w:szCs w:val="24"/>
          <w:lang w:val="de-DE"/>
        </w:rPr>
        <w:t>9.3.2.21.7 und 9.3.3.21.7</w:t>
      </w:r>
      <w:r w:rsidRPr="00DD2A86">
        <w:rPr>
          <w:rFonts w:eastAsia="Calibri"/>
          <w:szCs w:val="24"/>
          <w:lang w:val="de-DE"/>
        </w:rPr>
        <w:tab/>
        <w:t>Erhalten folgenden Wortlaut:</w:t>
      </w:r>
    </w:p>
    <w:p w:rsidR="008E71A6" w:rsidRPr="00DD2A86" w:rsidRDefault="008E71A6" w:rsidP="008E71A6">
      <w:pPr>
        <w:suppressAutoHyphens w:val="0"/>
        <w:autoSpaceDE w:val="0"/>
        <w:autoSpaceDN w:val="0"/>
        <w:adjustRightInd w:val="0"/>
        <w:spacing w:before="120" w:line="240" w:lineRule="auto"/>
        <w:ind w:left="2268" w:right="1134"/>
        <w:jc w:val="both"/>
        <w:rPr>
          <w:rFonts w:eastAsia="Calibri"/>
          <w:lang w:val="de-DE"/>
        </w:rPr>
      </w:pPr>
      <w:r w:rsidRPr="00DD2A86">
        <w:rPr>
          <w:rFonts w:eastAsia="Calibri"/>
          <w:lang w:val="de-DE"/>
        </w:rPr>
        <w:t>„Einrichtungen zum Messen des Über- und Unterdrucks der Gasphase im Ladetank und gegebenenfalls der Temperatur der Ladung müssen beim Überschreiten eines vorgegebenen Druckes oder einer vorgegebenen Temperatur einen optischen und akustischen Alarm im Steuerhaus und an Deck auslösen. Bei Nichtquittieren muss die Alarmierung automatisch in den Wohnungen erfolgen.</w:t>
      </w:r>
    </w:p>
    <w:p w:rsidR="008E71A6" w:rsidRPr="00DD2A86" w:rsidRDefault="008E71A6" w:rsidP="008E71A6">
      <w:pPr>
        <w:suppressAutoHyphens w:val="0"/>
        <w:autoSpaceDE w:val="0"/>
        <w:autoSpaceDN w:val="0"/>
        <w:adjustRightInd w:val="0"/>
        <w:spacing w:before="120" w:line="240" w:lineRule="auto"/>
        <w:ind w:left="2268" w:right="1134"/>
        <w:jc w:val="both"/>
        <w:rPr>
          <w:rFonts w:eastAsia="Calibri"/>
          <w:lang w:val="de-DE"/>
        </w:rPr>
      </w:pPr>
      <w:r w:rsidRPr="00DD2A86">
        <w:rPr>
          <w:rFonts w:eastAsia="Calibri"/>
          <w:lang w:val="de-DE"/>
        </w:rPr>
        <w:t>Beim Laden und Löschen muss die Einrichtung zum Messen des Druckes beim Erreichen eines vorgegebenen Wertes gleichzeitig einen elektrischen Kontakt betätigen, der mit Hilfe des in Absatz 9.3.x.21.5 genannten Steckers Maßnahmen einleiten kann, durch die das Laden oder Löschen unterbrochen wird. Bei Verwendung der bordeigenen Löschpumpe muss diese automatisch abgeschaltet werden.</w:t>
      </w:r>
    </w:p>
    <w:p w:rsidR="008E71A6" w:rsidRPr="00DD2A86" w:rsidRDefault="008E71A6" w:rsidP="008E71A6">
      <w:pPr>
        <w:suppressAutoHyphens w:val="0"/>
        <w:autoSpaceDE w:val="0"/>
        <w:autoSpaceDN w:val="0"/>
        <w:adjustRightInd w:val="0"/>
        <w:spacing w:before="120" w:line="240" w:lineRule="auto"/>
        <w:ind w:left="2268" w:right="1134"/>
        <w:jc w:val="both"/>
        <w:rPr>
          <w:rFonts w:eastAsia="Calibri"/>
          <w:lang w:val="de-DE"/>
        </w:rPr>
      </w:pPr>
      <w:r w:rsidRPr="00DD2A86">
        <w:rPr>
          <w:rFonts w:eastAsia="Calibri"/>
          <w:lang w:val="de-DE"/>
        </w:rPr>
        <w:t>Die Einrichtung zum Messen des Über- und Unterdrucks muss spätestens den Alarm auslösen bei Erreichen</w:t>
      </w:r>
    </w:p>
    <w:p w:rsidR="008E71A6" w:rsidRPr="00DD2A86" w:rsidRDefault="008E71A6" w:rsidP="008E71A6">
      <w:pPr>
        <w:numPr>
          <w:ilvl w:val="0"/>
          <w:numId w:val="32"/>
        </w:numPr>
        <w:suppressAutoHyphens w:val="0"/>
        <w:autoSpaceDE w:val="0"/>
        <w:autoSpaceDN w:val="0"/>
        <w:adjustRightInd w:val="0"/>
        <w:spacing w:before="60" w:line="240" w:lineRule="auto"/>
        <w:ind w:left="2552" w:right="1134" w:hanging="284"/>
        <w:jc w:val="both"/>
        <w:rPr>
          <w:rFonts w:eastAsia="Calibri"/>
          <w:lang w:val="de-DE"/>
        </w:rPr>
      </w:pPr>
      <w:r w:rsidRPr="00DD2A86">
        <w:rPr>
          <w:rFonts w:eastAsia="Calibri"/>
          <w:lang w:val="de-DE"/>
        </w:rPr>
        <w:t>des 1,15-fachen des Öffnungsdrucks der Überdruck-/ Hochgeschwindigkeitsventile oder</w:t>
      </w:r>
    </w:p>
    <w:p w:rsidR="008E71A6" w:rsidRPr="00DD2A86" w:rsidRDefault="008E71A6" w:rsidP="008E71A6">
      <w:pPr>
        <w:numPr>
          <w:ilvl w:val="0"/>
          <w:numId w:val="32"/>
        </w:numPr>
        <w:suppressAutoHyphens w:val="0"/>
        <w:autoSpaceDE w:val="0"/>
        <w:autoSpaceDN w:val="0"/>
        <w:adjustRightInd w:val="0"/>
        <w:spacing w:before="60" w:line="240" w:lineRule="auto"/>
        <w:ind w:left="2552" w:right="1134" w:hanging="284"/>
        <w:jc w:val="both"/>
        <w:rPr>
          <w:rFonts w:eastAsia="Calibri"/>
          <w:lang w:val="de-DE"/>
        </w:rPr>
      </w:pPr>
      <w:r w:rsidRPr="00DD2A86">
        <w:rPr>
          <w:rFonts w:eastAsia="Calibri"/>
          <w:lang w:val="de-DE"/>
        </w:rPr>
        <w:t>der Untergrenze des Auslegungsdruckes der Unterdruckventile, ohne jedoch einen Unterdruck von 5 kPa (0,05 bar) zu überschreiten.</w:t>
      </w:r>
    </w:p>
    <w:p w:rsidR="008E71A6" w:rsidRPr="00DD2A86" w:rsidRDefault="008E71A6" w:rsidP="008E71A6">
      <w:pPr>
        <w:suppressAutoHyphens w:val="0"/>
        <w:autoSpaceDE w:val="0"/>
        <w:autoSpaceDN w:val="0"/>
        <w:adjustRightInd w:val="0"/>
        <w:spacing w:before="60" w:line="240" w:lineRule="auto"/>
        <w:ind w:left="2268" w:right="1134"/>
        <w:jc w:val="both"/>
        <w:rPr>
          <w:rFonts w:eastAsia="Calibri"/>
          <w:lang w:val="de-DE"/>
        </w:rPr>
      </w:pPr>
      <w:r w:rsidRPr="00DD2A86">
        <w:rPr>
          <w:rFonts w:eastAsia="Calibri"/>
          <w:lang w:val="de-DE"/>
        </w:rPr>
        <w:t>Die maximal zulässige Temperatur ist in Unterabschnitt 3.2.3.2 Tabelle C Spalte (20) aufgeführt. Die Geber der in diesem Absatz erwähnten Alarme dürfen an die Alarmeinrichtung des Grenzwertgebers angeschlossen sein.</w:t>
      </w:r>
    </w:p>
    <w:p w:rsidR="008E71A6" w:rsidRPr="00DD2A86" w:rsidRDefault="008E71A6" w:rsidP="00761EB1">
      <w:pPr>
        <w:pStyle w:val="ListParagraph"/>
        <w:suppressAutoHyphens w:val="0"/>
        <w:autoSpaceDE w:val="0"/>
        <w:autoSpaceDN w:val="0"/>
        <w:adjustRightInd w:val="0"/>
        <w:spacing w:before="120"/>
        <w:ind w:left="2268" w:right="1134"/>
        <w:contextualSpacing w:val="0"/>
        <w:jc w:val="both"/>
        <w:rPr>
          <w:rFonts w:eastAsia="Calibri"/>
          <w:lang w:val="de-DE"/>
        </w:rPr>
      </w:pPr>
      <w:r w:rsidRPr="00DD2A86">
        <w:rPr>
          <w:rFonts w:eastAsia="Calibri"/>
          <w:lang w:val="de-DE"/>
        </w:rPr>
        <w:t>Wenn dies in Unterabschnitt 3.2.3.2 Tabelle C Spalte (20) gefordert wird, muss die Einrichtung zum Messen des Überdrucks der Gasphase im Ladetank während der Fahrt bei Überschreiten von 40 kPa (0,4 bar) einen optischen und akustischen Alarm im Steuerhaus und an Deck auslösen. Bei Nichtquittieren muss die Alarmierung automatisch in den Wohnungen erfolgen. Die Druckanzeige muss in direkter Nähe der Bedienung der Berieselungsanlage abgelesen werden können.“.</w:t>
      </w:r>
    </w:p>
    <w:p w:rsidR="008E71A6" w:rsidRPr="00DD2A86" w:rsidRDefault="008E71A6" w:rsidP="008E71A6">
      <w:pPr>
        <w:tabs>
          <w:tab w:val="left" w:pos="1701"/>
        </w:tabs>
        <w:spacing w:before="240" w:after="120"/>
        <w:ind w:left="1134" w:right="1134"/>
        <w:jc w:val="both"/>
        <w:rPr>
          <w:rFonts w:eastAsia="SimSun"/>
          <w:lang w:val="de-DE" w:eastAsia="zh-CN"/>
        </w:rPr>
      </w:pPr>
      <w:r w:rsidRPr="00DD2A86">
        <w:rPr>
          <w:rFonts w:eastAsia="SimSun"/>
          <w:lang w:val="de-DE" w:eastAsia="zh-CN"/>
        </w:rPr>
        <w:t>9.3.2.21.9</w:t>
      </w:r>
      <w:r w:rsidRPr="00DD2A86">
        <w:rPr>
          <w:rFonts w:eastAsia="SimSun"/>
          <w:lang w:val="de-DE" w:eastAsia="zh-CN"/>
        </w:rPr>
        <w:tab/>
        <w:t>[Die Änderung in der französischen und englischen Fassung hat keine Auswirkungen auf den deutschen Text.]</w:t>
      </w:r>
    </w:p>
    <w:p w:rsidR="008E71A6" w:rsidRPr="00DD2A86" w:rsidRDefault="008E71A6" w:rsidP="008E71A6">
      <w:pPr>
        <w:pStyle w:val="ListParagraph"/>
        <w:suppressAutoHyphens w:val="0"/>
        <w:autoSpaceDE w:val="0"/>
        <w:autoSpaceDN w:val="0"/>
        <w:adjustRightInd w:val="0"/>
        <w:spacing w:before="240"/>
        <w:ind w:left="1134" w:right="1134"/>
        <w:contextualSpacing w:val="0"/>
        <w:jc w:val="both"/>
        <w:rPr>
          <w:rFonts w:eastAsia="Calibri"/>
          <w:szCs w:val="24"/>
          <w:lang w:val="de-DE"/>
        </w:rPr>
      </w:pPr>
      <w:r w:rsidRPr="00DD2A86">
        <w:rPr>
          <w:rFonts w:eastAsia="Calibri"/>
          <w:lang w:val="de-DE" w:eastAsia="de-DE"/>
        </w:rPr>
        <w:t>9.3.2.22.4</w:t>
      </w:r>
      <w:r w:rsidRPr="00DD2A86">
        <w:rPr>
          <w:rFonts w:eastAsia="Calibri"/>
          <w:lang w:val="de-DE" w:eastAsia="de-DE"/>
        </w:rPr>
        <w:tab/>
      </w:r>
      <w:r w:rsidRPr="00DD2A86">
        <w:rPr>
          <w:rFonts w:eastAsia="Calibri"/>
          <w:szCs w:val="24"/>
          <w:lang w:val="de-DE"/>
        </w:rPr>
        <w:t>Erhält folgenden Wortlaut:</w:t>
      </w:r>
    </w:p>
    <w:p w:rsidR="008E71A6" w:rsidRPr="00DD2A86" w:rsidRDefault="008E71A6" w:rsidP="0089789A">
      <w:pPr>
        <w:tabs>
          <w:tab w:val="left" w:pos="2127"/>
        </w:tabs>
        <w:suppressAutoHyphens w:val="0"/>
        <w:autoSpaceDE w:val="0"/>
        <w:autoSpaceDN w:val="0"/>
        <w:adjustRightInd w:val="0"/>
        <w:spacing w:before="120" w:line="240" w:lineRule="auto"/>
        <w:ind w:left="2694" w:right="1134" w:hanging="1560"/>
        <w:jc w:val="both"/>
        <w:rPr>
          <w:rFonts w:eastAsia="Calibri"/>
          <w:szCs w:val="24"/>
          <w:lang w:val="de-DE"/>
        </w:rPr>
      </w:pPr>
      <w:r w:rsidRPr="00DD2A86">
        <w:rPr>
          <w:rFonts w:eastAsia="Calibri"/>
          <w:szCs w:val="24"/>
          <w:lang w:val="de-DE"/>
        </w:rPr>
        <w:t>„</w:t>
      </w:r>
      <w:r w:rsidR="0089789A" w:rsidRPr="00DD2A86">
        <w:rPr>
          <w:rFonts w:eastAsia="Calibri"/>
          <w:szCs w:val="24"/>
          <w:lang w:val="de-DE"/>
        </w:rPr>
        <w:t>9.3.2.22.4</w:t>
      </w:r>
      <w:r w:rsidR="0089789A" w:rsidRPr="00DD2A86">
        <w:rPr>
          <w:rFonts w:eastAsia="Calibri"/>
          <w:szCs w:val="24"/>
          <w:lang w:val="de-DE"/>
        </w:rPr>
        <w:tab/>
      </w:r>
      <w:r w:rsidRPr="00DD2A86">
        <w:rPr>
          <w:rFonts w:eastAsia="Calibri"/>
          <w:szCs w:val="24"/>
          <w:lang w:val="de-DE"/>
        </w:rPr>
        <w:t>a)</w:t>
      </w:r>
      <w:r w:rsidRPr="00DD2A86">
        <w:rPr>
          <w:rFonts w:eastAsia="Calibri"/>
          <w:szCs w:val="24"/>
          <w:lang w:val="de-DE"/>
        </w:rPr>
        <w:tab/>
        <w:t>Jeder Ladetank oder jede Gruppe von Ladetanks, die mit einer gemeinsamen Gasabfuhrleitung verbunden sind, muss ausgerüstet sein mit:</w:t>
      </w:r>
    </w:p>
    <w:p w:rsidR="008E71A6" w:rsidRPr="00DD2A86" w:rsidRDefault="008E71A6" w:rsidP="008E71A6">
      <w:pPr>
        <w:suppressAutoHyphens w:val="0"/>
        <w:autoSpaceDE w:val="0"/>
        <w:autoSpaceDN w:val="0"/>
        <w:adjustRightInd w:val="0"/>
        <w:spacing w:before="60" w:line="240" w:lineRule="auto"/>
        <w:ind w:left="2977" w:right="1134" w:hanging="284"/>
        <w:jc w:val="both"/>
        <w:rPr>
          <w:rFonts w:eastAsia="Calibri"/>
          <w:lang w:val="de-DE"/>
        </w:rPr>
      </w:pPr>
      <w:r w:rsidRPr="00DD2A86">
        <w:rPr>
          <w:rFonts w:eastAsia="Calibri"/>
          <w:lang w:val="de-DE"/>
        </w:rPr>
        <w:t>-</w:t>
      </w:r>
      <w:r w:rsidRPr="00DD2A86">
        <w:rPr>
          <w:rFonts w:eastAsia="Calibri"/>
          <w:lang w:val="de-DE"/>
        </w:rPr>
        <w:tab/>
        <w:t>einem Anschluss für die gefahrlose Rückgabe der beim Laden entweichenden Gase an die Landanlage;</w:t>
      </w:r>
    </w:p>
    <w:p w:rsidR="008E71A6" w:rsidRPr="00DD2A86" w:rsidRDefault="008E71A6" w:rsidP="008E71A6">
      <w:pPr>
        <w:suppressAutoHyphens w:val="0"/>
        <w:autoSpaceDE w:val="0"/>
        <w:autoSpaceDN w:val="0"/>
        <w:adjustRightInd w:val="0"/>
        <w:spacing w:before="60" w:line="240" w:lineRule="auto"/>
        <w:ind w:left="2977" w:right="1134" w:hanging="284"/>
        <w:jc w:val="both"/>
        <w:rPr>
          <w:rFonts w:eastAsia="Calibri"/>
          <w:strike/>
          <w:szCs w:val="24"/>
          <w:lang w:val="de-DE"/>
        </w:rPr>
      </w:pPr>
      <w:r w:rsidRPr="00DD2A86">
        <w:rPr>
          <w:rFonts w:eastAsia="Calibri"/>
          <w:lang w:val="de-DE"/>
        </w:rPr>
        <w:t>-</w:t>
      </w:r>
      <w:r w:rsidRPr="00DD2A86">
        <w:rPr>
          <w:rFonts w:eastAsia="Calibri"/>
          <w:lang w:val="de-DE"/>
        </w:rPr>
        <w:tab/>
        <w:t xml:space="preserve">einer Vorrichtung zum gefahrlosen Entspannen der Ladetanks, </w:t>
      </w:r>
      <w:r w:rsidRPr="00DD2A86">
        <w:rPr>
          <w:rFonts w:eastAsia="Calibri"/>
          <w:szCs w:val="24"/>
          <w:lang w:val="de-DE"/>
        </w:rPr>
        <w:t>wobei aus der Stellung der Absperrarmatur klar erkennbar sein muss, ob sie offen oder geschlossen ist;</w:t>
      </w:r>
    </w:p>
    <w:p w:rsidR="008E71A6" w:rsidRPr="00DD2A86" w:rsidRDefault="008E71A6" w:rsidP="008E71A6">
      <w:pPr>
        <w:suppressAutoHyphens w:val="0"/>
        <w:autoSpaceDE w:val="0"/>
        <w:autoSpaceDN w:val="0"/>
        <w:adjustRightInd w:val="0"/>
        <w:spacing w:before="60" w:line="240" w:lineRule="auto"/>
        <w:ind w:left="2977" w:right="1134" w:hanging="284"/>
        <w:jc w:val="both"/>
        <w:rPr>
          <w:rFonts w:eastAsia="Calibri"/>
          <w:szCs w:val="24"/>
          <w:lang w:val="de-DE"/>
        </w:rPr>
      </w:pPr>
      <w:r w:rsidRPr="00DD2A86">
        <w:rPr>
          <w:rFonts w:eastAsia="Calibri"/>
          <w:szCs w:val="24"/>
          <w:lang w:val="de-DE"/>
        </w:rPr>
        <w:t>-</w:t>
      </w:r>
      <w:r w:rsidRPr="00DD2A86">
        <w:rPr>
          <w:rFonts w:eastAsia="Calibri"/>
          <w:szCs w:val="24"/>
          <w:lang w:val="de-DE"/>
        </w:rPr>
        <w:tab/>
        <w:t>Sicherheitsventilen, die unzulässige Über- und Unterdrücke verhindern.</w:t>
      </w:r>
    </w:p>
    <w:p w:rsidR="008E71A6" w:rsidRPr="00DD2A86" w:rsidRDefault="008E71A6" w:rsidP="008E71A6">
      <w:pPr>
        <w:suppressAutoHyphens w:val="0"/>
        <w:autoSpaceDE w:val="0"/>
        <w:autoSpaceDN w:val="0"/>
        <w:adjustRightInd w:val="0"/>
        <w:spacing w:line="240" w:lineRule="auto"/>
        <w:ind w:left="2977" w:right="1134"/>
        <w:jc w:val="both"/>
        <w:rPr>
          <w:rFonts w:eastAsia="Calibri"/>
          <w:szCs w:val="24"/>
          <w:lang w:val="de-DE"/>
        </w:rPr>
      </w:pPr>
      <w:r w:rsidRPr="00DD2A86">
        <w:rPr>
          <w:rFonts w:eastAsia="Calibri"/>
          <w:szCs w:val="24"/>
          <w:lang w:val="de-DE"/>
        </w:rPr>
        <w:t>Auf den Sicherheitsventilen muss der jeweilige Öffnungsdruck dauerhaft angebracht sein.</w:t>
      </w:r>
    </w:p>
    <w:p w:rsidR="008E71A6" w:rsidRPr="00DD2A86" w:rsidRDefault="008E71A6" w:rsidP="008E71A6">
      <w:pPr>
        <w:suppressAutoHyphens w:val="0"/>
        <w:autoSpaceDE w:val="0"/>
        <w:autoSpaceDN w:val="0"/>
        <w:adjustRightInd w:val="0"/>
        <w:spacing w:line="240" w:lineRule="auto"/>
        <w:ind w:left="2977" w:right="1134"/>
        <w:jc w:val="both"/>
        <w:rPr>
          <w:rFonts w:eastAsia="Calibri"/>
          <w:szCs w:val="24"/>
          <w:lang w:val="de-DE"/>
        </w:rPr>
      </w:pPr>
      <w:r w:rsidRPr="00DD2A86">
        <w:rPr>
          <w:rFonts w:eastAsia="Calibri"/>
          <w:szCs w:val="24"/>
          <w:lang w:val="de-DE"/>
        </w:rPr>
        <w:t>Die Überdruckventile müssen so dimensioniert sein, dass sie während der Beförderung erst beim Erreichen des höchstzulässigen Betriebsdrucks der Ladetanks ansprechen.</w:t>
      </w:r>
    </w:p>
    <w:p w:rsidR="008E71A6" w:rsidRPr="00DD2A86" w:rsidRDefault="008E71A6" w:rsidP="008E71A6">
      <w:pPr>
        <w:suppressAutoHyphens w:val="0"/>
        <w:autoSpaceDE w:val="0"/>
        <w:autoSpaceDN w:val="0"/>
        <w:adjustRightInd w:val="0"/>
        <w:spacing w:line="240" w:lineRule="auto"/>
        <w:ind w:left="2977" w:right="1134"/>
        <w:jc w:val="both"/>
        <w:rPr>
          <w:rFonts w:eastAsia="Calibri"/>
          <w:szCs w:val="24"/>
          <w:lang w:val="de-DE"/>
        </w:rPr>
      </w:pPr>
      <w:r w:rsidRPr="00DD2A86">
        <w:rPr>
          <w:rFonts w:eastAsia="Calibri"/>
          <w:szCs w:val="24"/>
          <w:lang w:val="de-DE"/>
        </w:rPr>
        <w:t>Die Gase müssen nach oben abgeführt werden.</w:t>
      </w:r>
    </w:p>
    <w:p w:rsidR="008E71A6" w:rsidRPr="00DD2A86" w:rsidRDefault="008E71A6" w:rsidP="008E71A6">
      <w:pPr>
        <w:suppressAutoHyphens w:val="0"/>
        <w:autoSpaceDE w:val="0"/>
        <w:autoSpaceDN w:val="0"/>
        <w:adjustRightInd w:val="0"/>
        <w:spacing w:line="240" w:lineRule="auto"/>
        <w:ind w:left="2977" w:right="1134"/>
        <w:jc w:val="both"/>
        <w:rPr>
          <w:rFonts w:eastAsia="Calibri"/>
          <w:szCs w:val="24"/>
          <w:lang w:val="de-DE" w:eastAsia="de-DE"/>
        </w:rPr>
      </w:pPr>
      <w:r w:rsidRPr="00DD2A86">
        <w:rPr>
          <w:rFonts w:eastAsia="Calibri"/>
          <w:szCs w:val="24"/>
          <w:lang w:val="de-DE" w:eastAsia="de-DE"/>
        </w:rPr>
        <w:t>Austrittsöffnungen der Überdruckventile müssen mindestens 1,00 m über Deck angeordnet sein und einen Abstand von mindestens 6,00 m von den Öffnungen von Wohnungen, Steuerhaus und Betriebsräumen außerhalb des Bereichs der Ladung haben. In einem Umkreis von 1,00 m um die Austrittsöffnung der Überdruckventile dürfen keine Bedienungseinrichtungen vorhanden sein. Dieser Bereich muss als Gefahrenbereich gekennzeichnet sein.</w:t>
      </w:r>
    </w:p>
    <w:p w:rsidR="008E71A6" w:rsidRPr="00DD2A86" w:rsidRDefault="008E71A6" w:rsidP="008E71A6">
      <w:pPr>
        <w:suppressAutoHyphens w:val="0"/>
        <w:autoSpaceDE w:val="0"/>
        <w:autoSpaceDN w:val="0"/>
        <w:adjustRightInd w:val="0"/>
        <w:spacing w:before="60" w:line="240" w:lineRule="auto"/>
        <w:ind w:left="2694" w:right="1134" w:hanging="426"/>
        <w:jc w:val="both"/>
        <w:rPr>
          <w:rFonts w:eastAsia="Calibri"/>
          <w:lang w:val="de-DE"/>
        </w:rPr>
      </w:pPr>
      <w:r w:rsidRPr="00DD2A86">
        <w:rPr>
          <w:rFonts w:eastAsia="Calibri"/>
          <w:szCs w:val="24"/>
          <w:lang w:val="de-DE"/>
        </w:rPr>
        <w:t>b)</w:t>
      </w:r>
      <w:r w:rsidRPr="00DD2A86">
        <w:rPr>
          <w:rFonts w:eastAsia="Calibri"/>
          <w:szCs w:val="24"/>
          <w:lang w:val="de-DE"/>
        </w:rPr>
        <w:tab/>
        <w:t xml:space="preserve">Wenn die Schiffsstoffliste nach Absatz 1.16.1.2.5 Stoffe enthalten soll, für die nach Unterabschnitt 3.2.3.2 Tabelle C Spalte (17) </w:t>
      </w:r>
      <w:r w:rsidRPr="00DD2A86">
        <w:rPr>
          <w:rFonts w:eastAsia="Calibri"/>
          <w:szCs w:val="24"/>
          <w:lang w:val="de-DE" w:eastAsia="de-DE"/>
        </w:rPr>
        <w:t>Explosionsschutz gefordert ist</w:t>
      </w:r>
      <w:r w:rsidRPr="00DD2A86">
        <w:rPr>
          <w:rFonts w:eastAsia="Calibri"/>
          <w:szCs w:val="24"/>
          <w:lang w:val="de-DE"/>
        </w:rPr>
        <w:t>, muss</w:t>
      </w:r>
      <w:r w:rsidRPr="00DD2A86">
        <w:rPr>
          <w:rFonts w:eastAsia="Calibri"/>
          <w:lang w:val="de-DE"/>
        </w:rPr>
        <w:t xml:space="preserve"> die Gasabfuhrleitung an der Einführung in jeden Ladetank sowie das Unterdruckventil mit einer detonationssicheren Flammendurchschlagsicherung versehen sein.</w:t>
      </w:r>
    </w:p>
    <w:p w:rsidR="008E71A6" w:rsidRPr="00DD2A86" w:rsidRDefault="008E71A6" w:rsidP="008E71A6">
      <w:pPr>
        <w:suppressAutoHyphens w:val="0"/>
        <w:autoSpaceDE w:val="0"/>
        <w:autoSpaceDN w:val="0"/>
        <w:adjustRightInd w:val="0"/>
        <w:spacing w:before="60" w:line="240" w:lineRule="auto"/>
        <w:ind w:left="2694" w:right="1134" w:hanging="426"/>
        <w:jc w:val="both"/>
        <w:rPr>
          <w:rFonts w:eastAsia="Calibri"/>
          <w:szCs w:val="24"/>
          <w:lang w:val="de-DE"/>
        </w:rPr>
      </w:pPr>
      <w:r w:rsidRPr="00DD2A86">
        <w:rPr>
          <w:rFonts w:eastAsia="Calibri"/>
          <w:szCs w:val="24"/>
          <w:lang w:val="de-DE"/>
        </w:rPr>
        <w:t>c)</w:t>
      </w:r>
      <w:r w:rsidRPr="00DD2A86">
        <w:rPr>
          <w:rFonts w:eastAsia="Calibri"/>
          <w:szCs w:val="24"/>
          <w:lang w:val="de-DE"/>
        </w:rPr>
        <w:tab/>
        <w:t>Wenn die Schiffsstoffliste nach Absatz 1.16.1.2.5 Stoffe enthalten soll, für die nach Unterabschnitt 3.2.3.2 Tabelle C Spalte (17) Explosionsschutz gefordert ist, oder für die in Unterabschnitt 3.2.3.2 Tabelle C, Spalte (3b) ein T eingetragen ist, muss das Überdruckventil als Hochgeschwindigkeitsventil ausgeführt sein.</w:t>
      </w:r>
    </w:p>
    <w:p w:rsidR="008E71A6" w:rsidRPr="00DD2A86" w:rsidRDefault="008E71A6" w:rsidP="008E71A6">
      <w:pPr>
        <w:suppressAutoHyphens w:val="0"/>
        <w:autoSpaceDE w:val="0"/>
        <w:autoSpaceDN w:val="0"/>
        <w:adjustRightInd w:val="0"/>
        <w:spacing w:before="60" w:line="240" w:lineRule="auto"/>
        <w:ind w:left="2694" w:right="1134" w:hanging="426"/>
        <w:jc w:val="both"/>
        <w:rPr>
          <w:rFonts w:eastAsia="Calibri"/>
          <w:szCs w:val="24"/>
          <w:lang w:val="de-DE"/>
        </w:rPr>
      </w:pPr>
      <w:r w:rsidRPr="00DD2A86">
        <w:rPr>
          <w:rFonts w:eastAsia="Calibri"/>
          <w:szCs w:val="24"/>
          <w:lang w:val="de-DE"/>
        </w:rPr>
        <w:t>d)</w:t>
      </w:r>
      <w:r w:rsidRPr="00DD2A86">
        <w:rPr>
          <w:rFonts w:eastAsia="Calibri"/>
          <w:szCs w:val="24"/>
          <w:lang w:val="de-DE"/>
        </w:rPr>
        <w:tab/>
        <w:t>Wenn zwischen Gasabfuhrleitung und Ladetank eine Absperrarmatur vorgesehen ist, muss diese zwischen Ladetank und Flammendurchschlagsicherung angeordnet sein und jeder Ladetank muss mit eigenen Sicherheitsventilen versehen sein.</w:t>
      </w:r>
    </w:p>
    <w:p w:rsidR="008E71A6" w:rsidRPr="00DD2A86" w:rsidRDefault="008E71A6" w:rsidP="008E71A6">
      <w:pPr>
        <w:suppressAutoHyphens w:val="0"/>
        <w:autoSpaceDE w:val="0"/>
        <w:autoSpaceDN w:val="0"/>
        <w:adjustRightInd w:val="0"/>
        <w:spacing w:before="60" w:line="240" w:lineRule="auto"/>
        <w:ind w:left="2694" w:right="1134" w:hanging="426"/>
        <w:jc w:val="both"/>
        <w:rPr>
          <w:rFonts w:eastAsia="Calibri"/>
          <w:szCs w:val="24"/>
          <w:lang w:val="de-DE"/>
        </w:rPr>
      </w:pPr>
      <w:r w:rsidRPr="00DD2A86">
        <w:rPr>
          <w:rFonts w:eastAsia="Calibri"/>
          <w:szCs w:val="24"/>
          <w:lang w:val="de-DE"/>
        </w:rPr>
        <w:t>e)</w:t>
      </w:r>
      <w:r w:rsidRPr="00DD2A86">
        <w:rPr>
          <w:rFonts w:eastAsia="Calibri"/>
          <w:szCs w:val="24"/>
          <w:lang w:val="de-DE"/>
        </w:rPr>
        <w:tab/>
        <w:t>Die in c) genannten autonomen Schutzsysteme sind unter Berücksichtigung der für die Schiffsstoffliste vorgesehenen Stoffe entsprechend den dafür erforderlichen Explosionsgruppen/Untergruppen auszuwählen (siehe Unterabschnitt 3.2.3.2 Tabelle C Spalte (16). Austrittsöffnungen der Hochgeschwindigkeitsventile müssen mindestens 2,00 m über Deck angeordnet sein und mindestens 6,00 m von den Öffnungen von Wohnungen, Steuerhaus und Betriebsräumen außerhalb des Bereichs der Ladung entfernt sein. Die Höhe kann auf 1,00 m verringert werden, wenn in einem Umkreis von 1,00 m um die Austrittsöffnung keine Bedienungseinrichtungen vorhanden sind. Dieser Bereich  muss als Gefahrenbereich gekennzeichnet sein.</w:t>
      </w:r>
    </w:p>
    <w:p w:rsidR="008E71A6" w:rsidRPr="00DD2A86" w:rsidRDefault="008E71A6" w:rsidP="008E71A6">
      <w:pPr>
        <w:pStyle w:val="ListParagraph"/>
        <w:suppressAutoHyphens w:val="0"/>
        <w:autoSpaceDE w:val="0"/>
        <w:autoSpaceDN w:val="0"/>
        <w:adjustRightInd w:val="0"/>
        <w:ind w:left="2694" w:right="1134"/>
        <w:jc w:val="both"/>
        <w:rPr>
          <w:rFonts w:eastAsia="Calibri"/>
          <w:szCs w:val="24"/>
          <w:lang w:val="de-DE" w:eastAsia="de-DE"/>
        </w:rPr>
      </w:pPr>
      <w:r w:rsidRPr="00DD2A86">
        <w:rPr>
          <w:rFonts w:eastAsia="Calibri"/>
          <w:szCs w:val="24"/>
          <w:lang w:val="de-DE" w:eastAsia="de-DE"/>
        </w:rPr>
        <w:t>Wenn das Hochgeschwindigkeitsventil, das Unterdruckventil, die Flammendurchschlagsicherungen sowie die Gasabfuhrleitung beheizbar ausgeführt sein müssen, müssen die genannten Sicherheitseinrichtungen für die jeweilige Temperatur geeignet sein.“.</w:t>
      </w:r>
    </w:p>
    <w:p w:rsidR="008E71A6" w:rsidRPr="00DD2A86" w:rsidRDefault="008E71A6" w:rsidP="008E71A6">
      <w:pPr>
        <w:pStyle w:val="ListParagraph"/>
        <w:suppressAutoHyphens w:val="0"/>
        <w:autoSpaceDE w:val="0"/>
        <w:autoSpaceDN w:val="0"/>
        <w:adjustRightInd w:val="0"/>
        <w:spacing w:before="240"/>
        <w:ind w:left="1134" w:right="1134"/>
        <w:contextualSpacing w:val="0"/>
        <w:jc w:val="both"/>
        <w:rPr>
          <w:rFonts w:eastAsia="Calibri"/>
          <w:szCs w:val="24"/>
          <w:lang w:val="de-DE"/>
        </w:rPr>
      </w:pPr>
      <w:r w:rsidRPr="00DD2A86">
        <w:rPr>
          <w:rFonts w:eastAsia="Calibri"/>
          <w:lang w:val="de-DE" w:eastAsia="de-DE"/>
        </w:rPr>
        <w:t>9.3.2.22.5 und 9.3.3.22.5</w:t>
      </w:r>
      <w:r w:rsidRPr="00DD2A86">
        <w:rPr>
          <w:rFonts w:eastAsia="Calibri"/>
          <w:lang w:val="de-DE" w:eastAsia="de-DE"/>
        </w:rPr>
        <w:tab/>
      </w:r>
      <w:r w:rsidRPr="00DD2A86">
        <w:rPr>
          <w:rFonts w:eastAsia="Calibri"/>
          <w:szCs w:val="24"/>
          <w:lang w:val="de-DE"/>
        </w:rPr>
        <w:t>Erhalten folgenden Wortlaut:</w:t>
      </w:r>
    </w:p>
    <w:p w:rsidR="008E71A6" w:rsidRPr="00DD2A86" w:rsidRDefault="008E71A6" w:rsidP="008E71A6">
      <w:pPr>
        <w:pStyle w:val="ListParagraph"/>
        <w:suppressAutoHyphens w:val="0"/>
        <w:autoSpaceDE w:val="0"/>
        <w:autoSpaceDN w:val="0"/>
        <w:adjustRightInd w:val="0"/>
        <w:spacing w:before="60"/>
        <w:ind w:left="2268" w:right="1134"/>
        <w:contextualSpacing w:val="0"/>
        <w:jc w:val="both"/>
        <w:rPr>
          <w:rFonts w:eastAsia="Calibri"/>
          <w:b/>
          <w:lang w:val="de-DE" w:eastAsia="de-DE"/>
        </w:rPr>
      </w:pPr>
      <w:r w:rsidRPr="00DD2A86">
        <w:rPr>
          <w:rFonts w:eastAsia="Calibri"/>
          <w:b/>
          <w:lang w:val="de-DE" w:eastAsia="de-DE"/>
        </w:rPr>
        <w:t>„Gasabfuhrleitung</w:t>
      </w:r>
    </w:p>
    <w:p w:rsidR="008E71A6" w:rsidRPr="00DD2A86" w:rsidRDefault="008E71A6" w:rsidP="008E71A6">
      <w:pPr>
        <w:numPr>
          <w:ilvl w:val="0"/>
          <w:numId w:val="33"/>
        </w:numPr>
        <w:suppressAutoHyphens w:val="0"/>
        <w:spacing w:before="60"/>
        <w:ind w:left="2694" w:right="1134" w:hanging="426"/>
        <w:jc w:val="both"/>
        <w:rPr>
          <w:rFonts w:eastAsia="Calibri"/>
          <w:lang w:val="de-DE" w:eastAsia="de-DE"/>
        </w:rPr>
      </w:pPr>
      <w:r w:rsidRPr="00DD2A86">
        <w:rPr>
          <w:rFonts w:eastAsia="Calibri"/>
          <w:lang w:val="de-DE" w:eastAsia="de-DE"/>
        </w:rPr>
        <w:t>Sind zwei oder mehr Ladetanks über eine gemeinsame Gasabfuhrleitung miteinander verbunden, ist es ausreichend, wenn die Ausrüstung nach 9.3.x.22.4 (Sicherheitsventile, die unzulässigen Über- und Unterdruck verhindern, Hochgeschwindigkeitsventil, deflagrationssicheres Unterdruckventil, deflagrationssichere Vorrichtung zum gefahrlosen Entspannen der Ladetanks) nur an der gemeinsamen Gasabfuhrleitung angebracht ist (siehe auch 7.2.4.16.7).</w:t>
      </w:r>
    </w:p>
    <w:p w:rsidR="008E71A6" w:rsidRPr="00DD2A86" w:rsidRDefault="008E71A6" w:rsidP="008E71A6">
      <w:pPr>
        <w:numPr>
          <w:ilvl w:val="0"/>
          <w:numId w:val="33"/>
        </w:numPr>
        <w:suppressAutoHyphens w:val="0"/>
        <w:spacing w:before="60" w:after="200"/>
        <w:ind w:left="2694" w:right="1134" w:hanging="426"/>
        <w:jc w:val="both"/>
        <w:rPr>
          <w:rFonts w:eastAsia="Calibri"/>
          <w:lang w:val="de-DE"/>
        </w:rPr>
      </w:pPr>
      <w:r w:rsidRPr="00DD2A86">
        <w:rPr>
          <w:rFonts w:eastAsia="Calibri"/>
          <w:lang w:val="de-DE" w:eastAsia="de-DE"/>
        </w:rPr>
        <w:t>Ist jeder Ladetank an eine eigene Gasabfuhrleitung angeschlossen, muss jeder Ladetank oder die zugehörige Gasabfuhrleitung entsprechend 9.3.x.22.4 ausgerüstet sein.“.</w:t>
      </w:r>
    </w:p>
    <w:p w:rsidR="00761EB1" w:rsidRPr="00DD2A86" w:rsidRDefault="00761EB1" w:rsidP="00761EB1">
      <w:pPr>
        <w:autoSpaceDE w:val="0"/>
        <w:autoSpaceDN w:val="0"/>
        <w:adjustRightInd w:val="0"/>
        <w:spacing w:before="240" w:line="240" w:lineRule="auto"/>
        <w:ind w:left="2268" w:right="1134" w:hanging="1134"/>
        <w:jc w:val="both"/>
        <w:rPr>
          <w:rFonts w:eastAsia="Calibri"/>
          <w:lang w:val="de-DE" w:eastAsia="de-DE"/>
        </w:rPr>
      </w:pPr>
      <w:r w:rsidRPr="00DD2A86">
        <w:rPr>
          <w:rFonts w:eastAsia="Calibri"/>
          <w:lang w:val="de-DE" w:eastAsia="de-DE"/>
        </w:rPr>
        <w:t>9.3.2.25.9</w:t>
      </w:r>
      <w:r w:rsidRPr="00DD2A86">
        <w:rPr>
          <w:rFonts w:eastAsia="Calibri"/>
          <w:lang w:val="de-DE" w:eastAsia="de-DE"/>
        </w:rPr>
        <w:tab/>
        <w:t>Der letzte Satz erhält folgenden Wortlaut: „Eine Instruktion über die maximal zulässige Lade- und Löschrate pro Ladetank oder pro Ladetankgruppe muss sich an Bord befinden.“.“.</w:t>
      </w:r>
    </w:p>
    <w:p w:rsidR="008E71A6" w:rsidRPr="00DD2A86" w:rsidRDefault="008E71A6" w:rsidP="008E71A6">
      <w:pPr>
        <w:autoSpaceDE w:val="0"/>
        <w:autoSpaceDN w:val="0"/>
        <w:adjustRightInd w:val="0"/>
        <w:spacing w:before="240" w:line="240" w:lineRule="auto"/>
        <w:ind w:left="1134" w:right="1134"/>
        <w:jc w:val="both"/>
        <w:rPr>
          <w:rFonts w:eastAsia="Calibri"/>
          <w:lang w:val="de-DE" w:eastAsia="de-DE"/>
        </w:rPr>
      </w:pPr>
      <w:r w:rsidRPr="00DD2A86">
        <w:rPr>
          <w:rFonts w:eastAsia="Calibri"/>
          <w:lang w:val="de-DE" w:eastAsia="de-DE"/>
        </w:rPr>
        <w:t>9.3.2.25.9 und 9.3.3.25.9</w:t>
      </w:r>
    </w:p>
    <w:p w:rsidR="008E71A6" w:rsidRPr="00DD2A86" w:rsidRDefault="008E71A6" w:rsidP="008E71A6">
      <w:pPr>
        <w:autoSpaceDE w:val="0"/>
        <w:autoSpaceDN w:val="0"/>
        <w:adjustRightInd w:val="0"/>
        <w:spacing w:line="240" w:lineRule="auto"/>
        <w:ind w:left="2552" w:right="1134" w:hanging="284"/>
        <w:jc w:val="both"/>
        <w:rPr>
          <w:rFonts w:eastAsia="Calibri"/>
          <w:lang w:val="de-DE" w:eastAsia="de-DE"/>
        </w:rPr>
      </w:pPr>
      <w:r w:rsidRPr="00DD2A86">
        <w:rPr>
          <w:rFonts w:eastAsia="Calibri"/>
          <w:lang w:val="de-DE" w:eastAsia="de-DE"/>
        </w:rPr>
        <w:t>-</w:t>
      </w:r>
      <w:r w:rsidRPr="00DD2A86">
        <w:rPr>
          <w:rFonts w:eastAsia="Calibri"/>
          <w:lang w:val="de-DE" w:eastAsia="de-DE"/>
        </w:rPr>
        <w:tab/>
        <w:t xml:space="preserve">„Überdruck: 115 % des Öffnungsdrucks des Hochgeschwindigkeitsventils“ ändern in: „Überdruck: </w:t>
      </w:r>
      <w:r w:rsidRPr="00DD2A86">
        <w:rPr>
          <w:rFonts w:eastAsia="Calibri"/>
          <w:lang w:val="de-DE"/>
        </w:rPr>
        <w:t xml:space="preserve">das 1,15-fache </w:t>
      </w:r>
      <w:r w:rsidRPr="00DD2A86">
        <w:rPr>
          <w:rFonts w:eastAsia="Calibri"/>
          <w:lang w:val="de-DE" w:eastAsia="de-DE"/>
        </w:rPr>
        <w:t>des Öffnungsdrucks des Überdruck-/ Hochgeschwindigkeitsventils“.</w:t>
      </w:r>
    </w:p>
    <w:p w:rsidR="008E71A6" w:rsidRPr="00DD2A86" w:rsidRDefault="008E71A6" w:rsidP="008E71A6">
      <w:pPr>
        <w:autoSpaceDE w:val="0"/>
        <w:autoSpaceDN w:val="0"/>
        <w:adjustRightInd w:val="0"/>
        <w:spacing w:before="120" w:line="240" w:lineRule="auto"/>
        <w:ind w:left="2552" w:right="1134" w:hanging="284"/>
        <w:jc w:val="both"/>
        <w:rPr>
          <w:rFonts w:eastAsia="Calibri"/>
          <w:lang w:val="de-DE" w:eastAsia="de-DE"/>
        </w:rPr>
      </w:pPr>
      <w:r w:rsidRPr="00DD2A86">
        <w:rPr>
          <w:rFonts w:eastAsia="Calibri"/>
          <w:lang w:val="de-DE" w:eastAsia="de-DE"/>
        </w:rPr>
        <w:t>-</w:t>
      </w:r>
      <w:r w:rsidRPr="00DD2A86">
        <w:rPr>
          <w:rFonts w:eastAsia="Calibri"/>
          <w:lang w:val="de-DE" w:eastAsia="de-DE"/>
        </w:rPr>
        <w:tab/>
        <w:t>„Unterdruck: nicht mehr als der Auslegungsunterdruck, ohne jedoch 5 kPa (0,05 bar) zu überschreiten.“ ändern in: „Unterdruck: nicht mehr als der Auslegungsdruck, ohne jedoch einen Unterdruck von 5 kPa (0,05 bar) zu überschreiten.“.</w:t>
      </w:r>
    </w:p>
    <w:p w:rsidR="006A6AD4" w:rsidRPr="00DD2A86" w:rsidRDefault="006A6AD4" w:rsidP="006A6AD4">
      <w:pPr>
        <w:pStyle w:val="ListParagraph"/>
        <w:tabs>
          <w:tab w:val="left" w:pos="3402"/>
        </w:tabs>
        <w:suppressAutoHyphens w:val="0"/>
        <w:autoSpaceDE w:val="0"/>
        <w:autoSpaceDN w:val="0"/>
        <w:adjustRightInd w:val="0"/>
        <w:spacing w:before="240"/>
        <w:ind w:left="1134" w:right="1134"/>
        <w:contextualSpacing w:val="0"/>
        <w:jc w:val="both"/>
        <w:rPr>
          <w:lang w:val="de-DE" w:eastAsia="de-DE"/>
        </w:rPr>
      </w:pPr>
      <w:r w:rsidRPr="00DD2A86">
        <w:rPr>
          <w:rFonts w:eastAsia="Calibri"/>
          <w:lang w:val="de-DE" w:eastAsia="de-DE"/>
        </w:rPr>
        <w:t>9.3.2.26 und 9.3.3.26</w:t>
      </w:r>
      <w:r w:rsidRPr="00DD2A86">
        <w:rPr>
          <w:rFonts w:eastAsia="Calibri"/>
          <w:lang w:val="de-DE" w:eastAsia="de-DE"/>
        </w:rPr>
        <w:tab/>
        <w:t>Der Titel erhält folgenden Wortlaut: „</w:t>
      </w:r>
      <w:r w:rsidRPr="00DD2A86">
        <w:rPr>
          <w:lang w:val="de-DE" w:eastAsia="de-DE"/>
        </w:rPr>
        <w:t>Restetanks und Restebehälter“.</w:t>
      </w:r>
    </w:p>
    <w:p w:rsidR="00EB6056" w:rsidRPr="00DD2A86" w:rsidRDefault="00EB6056">
      <w:pPr>
        <w:suppressAutoHyphens w:val="0"/>
        <w:spacing w:line="240" w:lineRule="auto"/>
        <w:rPr>
          <w:rFonts w:eastAsia="Calibri"/>
          <w:lang w:val="de-DE" w:eastAsia="de-DE"/>
        </w:rPr>
      </w:pPr>
      <w:r w:rsidRPr="00DD2A86">
        <w:rPr>
          <w:rFonts w:eastAsia="Calibri"/>
          <w:lang w:val="de-DE" w:eastAsia="de-DE"/>
        </w:rPr>
        <w:br w:type="page"/>
      </w:r>
    </w:p>
    <w:p w:rsidR="006A6AD4" w:rsidRPr="00DD2A86" w:rsidRDefault="006A6AD4" w:rsidP="006A6AD4">
      <w:pPr>
        <w:pStyle w:val="ListParagraph"/>
        <w:suppressAutoHyphens w:val="0"/>
        <w:autoSpaceDE w:val="0"/>
        <w:autoSpaceDN w:val="0"/>
        <w:adjustRightInd w:val="0"/>
        <w:spacing w:before="240"/>
        <w:ind w:left="1134" w:right="1134"/>
        <w:contextualSpacing w:val="0"/>
        <w:jc w:val="both"/>
        <w:rPr>
          <w:rFonts w:eastAsia="Calibri"/>
          <w:lang w:val="de-DE" w:eastAsia="de-DE"/>
        </w:rPr>
      </w:pPr>
      <w:r w:rsidRPr="00DD2A86">
        <w:rPr>
          <w:rFonts w:eastAsia="Calibri"/>
          <w:lang w:val="de-DE" w:eastAsia="de-DE"/>
        </w:rPr>
        <w:t>9.3.2.26.1 und 9.3.3.26.1</w:t>
      </w:r>
      <w:r w:rsidRPr="00DD2A86">
        <w:rPr>
          <w:rFonts w:eastAsia="Calibri"/>
          <w:lang w:val="de-DE" w:eastAsia="de-DE"/>
        </w:rPr>
        <w:tab/>
        <w:t>Erhalten folgenden Wortlaut:</w:t>
      </w:r>
    </w:p>
    <w:p w:rsidR="006A6AD4" w:rsidRPr="00DD2A86" w:rsidRDefault="006A6AD4" w:rsidP="006A6AD4">
      <w:pPr>
        <w:suppressAutoHyphens w:val="0"/>
        <w:autoSpaceDE w:val="0"/>
        <w:autoSpaceDN w:val="0"/>
        <w:adjustRightInd w:val="0"/>
        <w:spacing w:before="120" w:line="276" w:lineRule="auto"/>
        <w:ind w:left="2268" w:right="1134"/>
        <w:jc w:val="both"/>
        <w:rPr>
          <w:rFonts w:eastAsia="Calibri"/>
          <w:lang w:val="de-DE"/>
        </w:rPr>
      </w:pPr>
      <w:r w:rsidRPr="00DD2A86">
        <w:rPr>
          <w:rFonts w:eastAsia="Calibri"/>
          <w:lang w:val="de-DE" w:eastAsia="de-DE"/>
        </w:rPr>
        <w:t>„Wenn Schiffe mit Restetanks oder Restebehältern ausgerüstet sind, müssen diese im Bereich der Ladung angeordnet sein und den Absätzen 9.3.x.26.2 und 9.3.x.26.3 entsprechen</w:t>
      </w:r>
      <w:r w:rsidRPr="00DD2A86">
        <w:rPr>
          <w:rFonts w:eastAsia="Calibri"/>
          <w:b/>
          <w:lang w:val="de-DE" w:eastAsia="de-DE"/>
        </w:rPr>
        <w:t xml:space="preserve">. </w:t>
      </w:r>
      <w:r w:rsidRPr="00DD2A86">
        <w:rPr>
          <w:rFonts w:eastAsia="Calibri"/>
          <w:lang w:val="de-DE" w:eastAsia="de-DE"/>
        </w:rPr>
        <w:t xml:space="preserve">Restebehälter dürfen nur im Bereich der Ladung an Deck angeordnet sein und </w:t>
      </w:r>
      <w:r w:rsidRPr="00DD2A86">
        <w:rPr>
          <w:rFonts w:eastAsia="Calibri"/>
          <w:lang w:val="de-DE"/>
        </w:rPr>
        <w:t>müssen sich mindestens im Abstand von einem Viertel der Schiffsbreite zur Außenhaut befinden.“.</w:t>
      </w:r>
    </w:p>
    <w:p w:rsidR="006A6AD4" w:rsidRPr="00DD2A86" w:rsidRDefault="006A6AD4" w:rsidP="006A6AD4">
      <w:pPr>
        <w:pStyle w:val="ListParagraph"/>
        <w:tabs>
          <w:tab w:val="left" w:pos="567"/>
          <w:tab w:val="left" w:pos="1134"/>
          <w:tab w:val="left" w:pos="1701"/>
          <w:tab w:val="left" w:pos="2268"/>
          <w:tab w:val="left" w:pos="2835"/>
          <w:tab w:val="left" w:pos="3402"/>
          <w:tab w:val="left" w:pos="3969"/>
          <w:tab w:val="left" w:pos="4536"/>
          <w:tab w:val="left" w:pos="6018"/>
        </w:tabs>
        <w:suppressAutoHyphens w:val="0"/>
        <w:autoSpaceDE w:val="0"/>
        <w:autoSpaceDN w:val="0"/>
        <w:adjustRightInd w:val="0"/>
        <w:spacing w:before="240"/>
        <w:ind w:left="1134" w:right="1134"/>
        <w:contextualSpacing w:val="0"/>
        <w:jc w:val="both"/>
        <w:rPr>
          <w:rFonts w:eastAsia="Calibri"/>
          <w:lang w:val="de-DE" w:eastAsia="de-DE"/>
        </w:rPr>
      </w:pPr>
      <w:r w:rsidRPr="00DD2A86">
        <w:rPr>
          <w:rFonts w:eastAsia="Calibri"/>
          <w:lang w:val="de-DE" w:eastAsia="de-DE"/>
        </w:rPr>
        <w:t>9.3.2.26.2</w:t>
      </w:r>
      <w:r w:rsidRPr="00DD2A86">
        <w:rPr>
          <w:rFonts w:eastAsia="Calibri"/>
          <w:lang w:val="de-DE" w:eastAsia="de-DE"/>
        </w:rPr>
        <w:tab/>
        <w:t>Erhält folgenden Wortlaut:</w:t>
      </w:r>
    </w:p>
    <w:p w:rsidR="006A6AD4" w:rsidRPr="00DD2A86" w:rsidRDefault="006A6AD4" w:rsidP="006A6AD4">
      <w:pPr>
        <w:autoSpaceDE w:val="0"/>
        <w:autoSpaceDN w:val="0"/>
        <w:adjustRightInd w:val="0"/>
        <w:spacing w:before="120" w:line="240" w:lineRule="auto"/>
        <w:ind w:left="2268" w:right="1134"/>
        <w:jc w:val="both"/>
        <w:rPr>
          <w:rFonts w:eastAsia="Calibri"/>
          <w:lang w:val="de-DE" w:eastAsia="de-DE"/>
        </w:rPr>
      </w:pPr>
      <w:r w:rsidRPr="00DD2A86">
        <w:rPr>
          <w:rFonts w:eastAsia="Calibri"/>
          <w:lang w:val="de-DE" w:eastAsia="de-DE"/>
        </w:rPr>
        <w:t>„</w:t>
      </w:r>
      <w:r w:rsidR="0089789A" w:rsidRPr="00DD2A86">
        <w:rPr>
          <w:rFonts w:eastAsia="Calibri"/>
          <w:lang w:val="de-DE" w:eastAsia="de-DE"/>
        </w:rPr>
        <w:t>9.3.2.26.2</w:t>
      </w:r>
      <w:r w:rsidR="0089789A" w:rsidRPr="00DD2A86">
        <w:rPr>
          <w:rFonts w:eastAsia="Calibri"/>
          <w:lang w:val="de-DE" w:eastAsia="de-DE"/>
        </w:rPr>
        <w:tab/>
      </w:r>
      <w:r w:rsidRPr="00DD2A86">
        <w:rPr>
          <w:rFonts w:eastAsia="Calibri"/>
          <w:lang w:val="de-DE" w:eastAsia="de-DE"/>
        </w:rPr>
        <w:t>Restetanks müssen versehen sein mit:</w:t>
      </w:r>
    </w:p>
    <w:p w:rsidR="006A6AD4" w:rsidRPr="00DD2A86" w:rsidRDefault="006A6AD4" w:rsidP="006A6AD4">
      <w:pPr>
        <w:suppressAutoHyphens w:val="0"/>
        <w:autoSpaceDE w:val="0"/>
        <w:autoSpaceDN w:val="0"/>
        <w:adjustRightInd w:val="0"/>
        <w:spacing w:before="60"/>
        <w:ind w:left="2552" w:right="1134" w:hanging="284"/>
        <w:jc w:val="both"/>
        <w:rPr>
          <w:rFonts w:eastAsia="Calibri"/>
          <w:lang w:val="de-DE"/>
        </w:rPr>
      </w:pPr>
      <w:r w:rsidRPr="00DD2A86">
        <w:rPr>
          <w:rFonts w:eastAsia="Calibri"/>
          <w:lang w:val="de-DE" w:eastAsia="de-DE"/>
        </w:rPr>
        <w:t>-</w:t>
      </w:r>
      <w:r w:rsidRPr="00DD2A86">
        <w:rPr>
          <w:rFonts w:eastAsia="Calibri"/>
          <w:lang w:val="de-DE" w:eastAsia="de-DE"/>
        </w:rPr>
        <w:tab/>
      </w:r>
      <w:r w:rsidRPr="00DD2A86">
        <w:rPr>
          <w:rFonts w:eastAsia="Calibri"/>
          <w:lang w:val="de-DE"/>
        </w:rPr>
        <w:t>einem Niveau-Anzeigegerät;</w:t>
      </w:r>
    </w:p>
    <w:p w:rsidR="006A6AD4" w:rsidRPr="00DD2A86" w:rsidRDefault="006A6AD4" w:rsidP="006A6AD4">
      <w:pPr>
        <w:suppressAutoHyphens w:val="0"/>
        <w:autoSpaceDE w:val="0"/>
        <w:autoSpaceDN w:val="0"/>
        <w:adjustRightInd w:val="0"/>
        <w:spacing w:before="60"/>
        <w:ind w:left="2552" w:right="1134" w:hanging="284"/>
        <w:jc w:val="both"/>
        <w:rPr>
          <w:rFonts w:eastAsia="Calibri"/>
          <w:lang w:val="de-DE"/>
        </w:rPr>
      </w:pPr>
      <w:r w:rsidRPr="00DD2A86">
        <w:rPr>
          <w:rFonts w:eastAsia="Calibri"/>
          <w:lang w:val="de-DE"/>
        </w:rPr>
        <w:t>-</w:t>
      </w:r>
      <w:r w:rsidRPr="00DD2A86">
        <w:rPr>
          <w:rFonts w:eastAsia="Calibri"/>
          <w:lang w:val="de-DE"/>
        </w:rPr>
        <w:tab/>
        <w:t>Anschlüssen mit Absperrarmaturen für Rohrleitungen und Schlauchleitungen;</w:t>
      </w:r>
    </w:p>
    <w:p w:rsidR="006A6AD4" w:rsidRPr="00DD2A86" w:rsidRDefault="006A6AD4" w:rsidP="006A6AD4">
      <w:pPr>
        <w:suppressAutoHyphens w:val="0"/>
        <w:autoSpaceDE w:val="0"/>
        <w:autoSpaceDN w:val="0"/>
        <w:adjustRightInd w:val="0"/>
        <w:spacing w:before="60"/>
        <w:ind w:left="2552" w:right="1134" w:hanging="284"/>
        <w:jc w:val="both"/>
        <w:rPr>
          <w:rFonts w:eastAsia="Calibri"/>
          <w:lang w:val="de-DE" w:eastAsia="de-DE"/>
        </w:rPr>
      </w:pPr>
      <w:r w:rsidRPr="00DD2A86">
        <w:rPr>
          <w:rFonts w:eastAsia="Calibri"/>
          <w:lang w:val="de-DE"/>
        </w:rPr>
        <w:t>-</w:t>
      </w:r>
      <w:r w:rsidRPr="00DD2A86">
        <w:rPr>
          <w:rFonts w:eastAsia="Calibri"/>
          <w:lang w:val="de-DE"/>
        </w:rPr>
        <w:tab/>
      </w:r>
      <w:r w:rsidRPr="00DD2A86">
        <w:rPr>
          <w:rFonts w:eastAsia="Calibri"/>
          <w:lang w:val="de-DE" w:eastAsia="de-DE"/>
        </w:rPr>
        <w:t>einem Unter- und einem Überdruckventil.</w:t>
      </w:r>
    </w:p>
    <w:p w:rsidR="006A6AD4" w:rsidRPr="00DD2A86" w:rsidRDefault="006A6AD4" w:rsidP="006A6AD4">
      <w:pPr>
        <w:suppressAutoHyphens w:val="0"/>
        <w:autoSpaceDE w:val="0"/>
        <w:autoSpaceDN w:val="0"/>
        <w:adjustRightInd w:val="0"/>
        <w:spacing w:before="60"/>
        <w:ind w:left="2552" w:right="1134"/>
        <w:jc w:val="both"/>
        <w:rPr>
          <w:rFonts w:eastAsia="Calibri"/>
          <w:lang w:val="de-DE" w:eastAsia="de-DE"/>
        </w:rPr>
      </w:pPr>
      <w:r w:rsidRPr="00DD2A86">
        <w:rPr>
          <w:rFonts w:eastAsia="Calibri"/>
          <w:lang w:val="de-DE" w:eastAsia="de-DE"/>
        </w:rPr>
        <w:t>Das Überdruckventil muss so</w:t>
      </w:r>
      <w:r w:rsidRPr="00DD2A86">
        <w:rPr>
          <w:rFonts w:eastAsia="Calibri"/>
          <w:lang w:val="de-DE"/>
        </w:rPr>
        <w:t xml:space="preserve"> </w:t>
      </w:r>
      <w:r w:rsidRPr="00DD2A86">
        <w:rPr>
          <w:rFonts w:eastAsia="Calibri"/>
          <w:lang w:val="de-DE" w:eastAsia="de-DE"/>
        </w:rPr>
        <w:t>dimensioniert sein, dass es während der Beförderung normalerweise nicht anspricht. Diese Bedingung ist erfüllt, wenn der Öffnungsdruck des Ventils den Anforderungen der zu befördernden Stoffe nach Unterabschnitt 3.2.3.2 Tabelle C Spalte (10) entspricht.</w:t>
      </w:r>
    </w:p>
    <w:p w:rsidR="006A6AD4" w:rsidRPr="00DD2A86" w:rsidRDefault="006A6AD4" w:rsidP="006A6AD4">
      <w:pPr>
        <w:suppressAutoHyphens w:val="0"/>
        <w:autoSpaceDE w:val="0"/>
        <w:autoSpaceDN w:val="0"/>
        <w:adjustRightInd w:val="0"/>
        <w:spacing w:before="120"/>
        <w:ind w:left="2268" w:right="1134"/>
        <w:jc w:val="both"/>
        <w:rPr>
          <w:rFonts w:eastAsia="Calibri"/>
          <w:lang w:val="de-DE"/>
        </w:rPr>
      </w:pPr>
      <w:r w:rsidRPr="00DD2A86">
        <w:rPr>
          <w:rFonts w:eastAsia="Calibri"/>
          <w:lang w:val="de-DE"/>
        </w:rPr>
        <w:t xml:space="preserve">Wenn die Schiffsstoffliste nach Absatz 1.16.1.2.5 Stoffe enthalten soll, für die nach Unterabschnitt 3.2.3.2 Tabelle C Spalte (17) </w:t>
      </w:r>
      <w:r w:rsidRPr="00DD2A86">
        <w:rPr>
          <w:rFonts w:eastAsia="Calibri"/>
          <w:lang w:val="de-DE" w:eastAsia="de-DE"/>
        </w:rPr>
        <w:t>Explosionsschutz gefordert ist, muss d</w:t>
      </w:r>
      <w:r w:rsidRPr="00DD2A86">
        <w:rPr>
          <w:rFonts w:eastAsia="Calibri"/>
          <w:lang w:val="de-DE"/>
        </w:rPr>
        <w:t>as Unterdruckventil deflagrationssicher ausgeführt sein</w:t>
      </w:r>
      <w:r w:rsidRPr="00DD2A86">
        <w:rPr>
          <w:rFonts w:eastAsia="Calibri"/>
          <w:lang w:val="de-DE" w:eastAsia="de-DE"/>
        </w:rPr>
        <w:t xml:space="preserve">. </w:t>
      </w:r>
      <w:r w:rsidRPr="00DD2A86">
        <w:rPr>
          <w:rFonts w:eastAsia="Calibri"/>
          <w:lang w:val="de-DE"/>
        </w:rPr>
        <w:t>Die Deflagrationssicherheit kann auch durch eine Flammendurchschlagsicherung gewährleistet werden.</w:t>
      </w:r>
    </w:p>
    <w:p w:rsidR="006A6AD4" w:rsidRPr="00DD2A86" w:rsidRDefault="006A6AD4" w:rsidP="00761EB1">
      <w:pPr>
        <w:suppressAutoHyphens w:val="0"/>
        <w:autoSpaceDE w:val="0"/>
        <w:autoSpaceDN w:val="0"/>
        <w:adjustRightInd w:val="0"/>
        <w:spacing w:before="120" w:line="240" w:lineRule="auto"/>
        <w:ind w:left="2268" w:right="1134"/>
        <w:jc w:val="both"/>
        <w:rPr>
          <w:rFonts w:eastAsia="Calibri"/>
          <w:lang w:val="de-DE"/>
        </w:rPr>
      </w:pPr>
      <w:r w:rsidRPr="00DD2A86">
        <w:rPr>
          <w:rFonts w:eastAsia="Calibri"/>
          <w:lang w:val="de-DE"/>
        </w:rPr>
        <w:t xml:space="preserve">Wenn die Schiffsstoffliste nach Absatz 1.16.1.2.5 Stoffe enthalten soll, für die nach Unterabschnitt 3.2.3.2 Tabelle C Spalte (17) </w:t>
      </w:r>
      <w:r w:rsidRPr="00DD2A86">
        <w:rPr>
          <w:rFonts w:eastAsia="Calibri"/>
          <w:lang w:val="de-DE" w:eastAsia="de-DE"/>
        </w:rPr>
        <w:t>Explosionsschutz gefordert ist, oder für die in</w:t>
      </w:r>
      <w:r w:rsidRPr="00DD2A86">
        <w:rPr>
          <w:rFonts w:eastAsia="Calibri"/>
          <w:lang w:val="de-DE"/>
        </w:rPr>
        <w:t xml:space="preserve"> Unterabschnitt 3.2.3.2 Tabelle C</w:t>
      </w:r>
      <w:r w:rsidRPr="00DD2A86">
        <w:rPr>
          <w:rFonts w:eastAsia="Calibri"/>
          <w:lang w:val="de-DE" w:eastAsia="de-DE"/>
        </w:rPr>
        <w:t xml:space="preserve"> Spalte (3b) ein T eingetragen ist, muss das Überdruckventil als Hochgeschwindigkeitsventil ausgeführt sein</w:t>
      </w:r>
      <w:r w:rsidRPr="00DD2A86">
        <w:rPr>
          <w:rFonts w:eastAsia="Calibri"/>
          <w:lang w:val="de-DE"/>
        </w:rPr>
        <w:t>.</w:t>
      </w:r>
    </w:p>
    <w:p w:rsidR="006A6AD4" w:rsidRPr="00DD2A86" w:rsidRDefault="006A6AD4" w:rsidP="00761EB1">
      <w:pPr>
        <w:suppressAutoHyphens w:val="0"/>
        <w:autoSpaceDE w:val="0"/>
        <w:autoSpaceDN w:val="0"/>
        <w:adjustRightInd w:val="0"/>
        <w:spacing w:before="120" w:line="240" w:lineRule="auto"/>
        <w:ind w:left="2268" w:right="1134"/>
        <w:jc w:val="both"/>
        <w:rPr>
          <w:rFonts w:eastAsia="Calibri"/>
          <w:lang w:val="de-DE" w:eastAsia="de-DE"/>
        </w:rPr>
      </w:pPr>
      <w:r w:rsidRPr="00DD2A86">
        <w:rPr>
          <w:rFonts w:eastAsia="Calibri"/>
          <w:lang w:val="de-DE" w:eastAsia="de-DE"/>
        </w:rPr>
        <w:t xml:space="preserve">Das Hochgeschwindigkeitsventil muss so dimensioniert sein, dass es während der Beförderung normalerweise nicht anspricht. Diese Bedingung ist erfüllt, wenn der Öffnungsdruck des Ventils den Anforderungen des zu befördernden Stoffes nach Unterabschnitt </w:t>
      </w:r>
      <w:r w:rsidRPr="00DD2A86">
        <w:rPr>
          <w:rFonts w:eastAsia="Calibri"/>
          <w:lang w:val="de-DE"/>
        </w:rPr>
        <w:t xml:space="preserve">3.2.3.2 </w:t>
      </w:r>
      <w:r w:rsidRPr="00DD2A86">
        <w:rPr>
          <w:rFonts w:eastAsia="Calibri"/>
          <w:lang w:val="de-DE" w:eastAsia="de-DE"/>
        </w:rPr>
        <w:t>Tabelle C Spalte (10) entspricht.</w:t>
      </w:r>
    </w:p>
    <w:p w:rsidR="006A6AD4" w:rsidRPr="00DD2A86" w:rsidRDefault="006A6AD4" w:rsidP="006A6AD4">
      <w:pPr>
        <w:suppressAutoHyphens w:val="0"/>
        <w:autoSpaceDE w:val="0"/>
        <w:autoSpaceDN w:val="0"/>
        <w:adjustRightInd w:val="0"/>
        <w:spacing w:before="120" w:line="240" w:lineRule="auto"/>
        <w:ind w:left="2268" w:right="1134"/>
        <w:jc w:val="both"/>
        <w:rPr>
          <w:rFonts w:eastAsia="Calibri"/>
          <w:lang w:val="de-DE" w:eastAsia="de-DE"/>
        </w:rPr>
      </w:pPr>
      <w:r w:rsidRPr="00DD2A86">
        <w:rPr>
          <w:rFonts w:eastAsia="Calibri"/>
          <w:lang w:val="de-DE"/>
        </w:rPr>
        <w:t xml:space="preserve">Hochgeschwindigkeitsventil und deflagrationssicheres Unterdruckventil sind unter </w:t>
      </w:r>
      <w:r w:rsidRPr="00DD2A86">
        <w:rPr>
          <w:rFonts w:eastAsia="Calibri"/>
          <w:lang w:val="de-DE" w:eastAsia="de-DE"/>
        </w:rPr>
        <w:t>Berücksichtigung</w:t>
      </w:r>
      <w:r w:rsidRPr="00DD2A86">
        <w:rPr>
          <w:rFonts w:eastAsia="Calibri"/>
          <w:lang w:val="de-DE"/>
        </w:rPr>
        <w:t xml:space="preserve"> der für die Schiffsstoffliste vorgesehenen Stoffe entsprechend </w:t>
      </w:r>
      <w:r w:rsidRPr="00DD2A86">
        <w:rPr>
          <w:rFonts w:eastAsia="Calibri"/>
          <w:lang w:val="de-DE" w:eastAsia="de-DE"/>
        </w:rPr>
        <w:t>den dafür erforderlichen Explosionsgruppen/Untergruppen auszuwählen (siehe Unterabschnitt 3.2.3.2 Tabelle C Spalte (16)).</w:t>
      </w:r>
    </w:p>
    <w:p w:rsidR="006A6AD4" w:rsidRPr="00DD2A86" w:rsidRDefault="006A6AD4" w:rsidP="00596E04">
      <w:pPr>
        <w:pStyle w:val="ListParagraph"/>
        <w:suppressAutoHyphens w:val="0"/>
        <w:autoSpaceDE w:val="0"/>
        <w:autoSpaceDN w:val="0"/>
        <w:adjustRightInd w:val="0"/>
        <w:spacing w:before="120"/>
        <w:ind w:left="2268" w:right="1134"/>
        <w:contextualSpacing w:val="0"/>
        <w:jc w:val="both"/>
        <w:rPr>
          <w:rFonts w:eastAsia="Calibri"/>
          <w:lang w:val="de-DE" w:eastAsia="de-DE"/>
        </w:rPr>
      </w:pPr>
      <w:r w:rsidRPr="00DD2A86">
        <w:rPr>
          <w:rFonts w:eastAsia="Calibri"/>
          <w:lang w:val="de-DE" w:eastAsia="en-US"/>
        </w:rPr>
        <w:t>Der höchstzulässige Inhalt beträgt 30 m³.“.</w:t>
      </w:r>
    </w:p>
    <w:p w:rsidR="006D68DD" w:rsidRPr="00DD2A86" w:rsidRDefault="006D68DD" w:rsidP="006D68DD">
      <w:pPr>
        <w:pStyle w:val="ListParagraph"/>
        <w:suppressAutoHyphens w:val="0"/>
        <w:autoSpaceDE w:val="0"/>
        <w:autoSpaceDN w:val="0"/>
        <w:adjustRightInd w:val="0"/>
        <w:spacing w:before="240"/>
        <w:ind w:left="1134" w:right="1134"/>
        <w:contextualSpacing w:val="0"/>
        <w:jc w:val="both"/>
        <w:rPr>
          <w:rFonts w:eastAsia="Calibri"/>
          <w:lang w:val="de-DE" w:eastAsia="de-DE"/>
        </w:rPr>
      </w:pPr>
      <w:r w:rsidRPr="00DD2A86">
        <w:rPr>
          <w:rFonts w:eastAsia="Calibri"/>
          <w:lang w:val="de-DE" w:eastAsia="de-DE"/>
        </w:rPr>
        <w:t>9.3.2.26.3 und 9.3.3.26.3</w:t>
      </w:r>
      <w:r w:rsidRPr="00DD2A86">
        <w:rPr>
          <w:rFonts w:eastAsia="Calibri"/>
          <w:lang w:val="de-DE" w:eastAsia="de-DE"/>
        </w:rPr>
        <w:tab/>
        <w:t>Erhalten folgenden Wortlaut:</w:t>
      </w:r>
    </w:p>
    <w:p w:rsidR="006D68DD" w:rsidRPr="00DD2A86" w:rsidRDefault="006D68DD" w:rsidP="006D68DD">
      <w:pPr>
        <w:autoSpaceDE w:val="0"/>
        <w:autoSpaceDN w:val="0"/>
        <w:adjustRightInd w:val="0"/>
        <w:spacing w:before="120" w:line="240" w:lineRule="auto"/>
        <w:ind w:left="2268" w:right="1134"/>
        <w:jc w:val="both"/>
        <w:rPr>
          <w:lang w:val="de-DE"/>
        </w:rPr>
      </w:pPr>
      <w:r w:rsidRPr="00DD2A86">
        <w:rPr>
          <w:lang w:val="de-DE"/>
        </w:rPr>
        <w:t>„Restebehälter müssen versehen sein mit:</w:t>
      </w:r>
    </w:p>
    <w:p w:rsidR="006D68DD" w:rsidRPr="00DD2A86" w:rsidRDefault="006D68DD" w:rsidP="006D68DD">
      <w:pPr>
        <w:suppressAutoHyphens w:val="0"/>
        <w:autoSpaceDE w:val="0"/>
        <w:autoSpaceDN w:val="0"/>
        <w:adjustRightInd w:val="0"/>
        <w:spacing w:before="60"/>
        <w:ind w:left="2552" w:right="1134" w:hanging="284"/>
        <w:jc w:val="both"/>
        <w:rPr>
          <w:rFonts w:eastAsia="Calibri"/>
          <w:lang w:val="de-DE" w:eastAsia="de-DE"/>
        </w:rPr>
      </w:pPr>
      <w:r w:rsidRPr="00DD2A86">
        <w:rPr>
          <w:rFonts w:eastAsia="Calibri"/>
          <w:lang w:val="de-DE" w:eastAsia="de-DE"/>
        </w:rPr>
        <w:t>-</w:t>
      </w:r>
      <w:r w:rsidRPr="00DD2A86">
        <w:rPr>
          <w:rFonts w:eastAsia="Calibri"/>
          <w:lang w:val="de-DE" w:eastAsia="de-DE"/>
        </w:rPr>
        <w:tab/>
        <w:t>einer Niveau-Anzeigemöglichkeit;</w:t>
      </w:r>
    </w:p>
    <w:p w:rsidR="006D68DD" w:rsidRPr="00DD2A86" w:rsidRDefault="006D68DD" w:rsidP="006D68DD">
      <w:pPr>
        <w:suppressAutoHyphens w:val="0"/>
        <w:autoSpaceDE w:val="0"/>
        <w:autoSpaceDN w:val="0"/>
        <w:adjustRightInd w:val="0"/>
        <w:spacing w:before="60"/>
        <w:ind w:left="2552" w:right="1134" w:hanging="284"/>
        <w:jc w:val="both"/>
        <w:rPr>
          <w:rFonts w:eastAsia="Calibri"/>
          <w:lang w:val="de-DE" w:eastAsia="de-DE"/>
        </w:rPr>
      </w:pPr>
      <w:r w:rsidRPr="00DD2A86">
        <w:rPr>
          <w:rFonts w:eastAsia="Calibri"/>
          <w:lang w:val="de-DE" w:eastAsia="de-DE"/>
        </w:rPr>
        <w:t>-</w:t>
      </w:r>
      <w:r w:rsidRPr="00DD2A86">
        <w:rPr>
          <w:rFonts w:eastAsia="Calibri"/>
          <w:lang w:val="de-DE" w:eastAsia="de-DE"/>
        </w:rPr>
        <w:tab/>
        <w:t>Anschlüssen mit Absperrarmaturen für Rohrleitungen und Schlauchleitungen;</w:t>
      </w:r>
    </w:p>
    <w:p w:rsidR="006D68DD" w:rsidRPr="00DD2A86" w:rsidRDefault="006D68DD" w:rsidP="006D68DD">
      <w:pPr>
        <w:suppressAutoHyphens w:val="0"/>
        <w:autoSpaceDE w:val="0"/>
        <w:autoSpaceDN w:val="0"/>
        <w:adjustRightInd w:val="0"/>
        <w:spacing w:before="60"/>
        <w:ind w:left="2552" w:right="1134" w:hanging="284"/>
        <w:jc w:val="both"/>
        <w:rPr>
          <w:rFonts w:eastAsia="Calibri"/>
          <w:lang w:val="de-DE" w:eastAsia="de-DE"/>
        </w:rPr>
      </w:pPr>
      <w:r w:rsidRPr="00DD2A86">
        <w:rPr>
          <w:rFonts w:eastAsia="Calibri"/>
          <w:lang w:val="de-DE" w:eastAsia="de-DE"/>
        </w:rPr>
        <w:t>-</w:t>
      </w:r>
      <w:r w:rsidRPr="00DD2A86">
        <w:rPr>
          <w:rFonts w:eastAsia="Calibri"/>
          <w:lang w:val="de-DE" w:eastAsia="de-DE"/>
        </w:rPr>
        <w:tab/>
        <w:t>einem Anschluss, um während der Befüllung die austretenden Gase in sicherer Weise abführen zu können.“.</w:t>
      </w:r>
    </w:p>
    <w:p w:rsidR="006D68DD" w:rsidRPr="00DD2A86" w:rsidRDefault="006D68DD" w:rsidP="006D68DD">
      <w:pPr>
        <w:pStyle w:val="ListParagraph"/>
        <w:suppressAutoHyphens w:val="0"/>
        <w:autoSpaceDE w:val="0"/>
        <w:autoSpaceDN w:val="0"/>
        <w:adjustRightInd w:val="0"/>
        <w:spacing w:before="240"/>
        <w:ind w:left="1134" w:right="1134"/>
        <w:contextualSpacing w:val="0"/>
        <w:jc w:val="both"/>
        <w:rPr>
          <w:rFonts w:eastAsia="Calibri"/>
          <w:lang w:val="de-DE" w:eastAsia="de-DE"/>
        </w:rPr>
      </w:pPr>
      <w:r w:rsidRPr="00DD2A86">
        <w:rPr>
          <w:rFonts w:eastAsia="Calibri"/>
          <w:lang w:val="de-DE" w:eastAsia="de-DE"/>
        </w:rPr>
        <w:t>9.3.2.26.4 und 9.3.3.26.4</w:t>
      </w:r>
      <w:r w:rsidRPr="00DD2A86">
        <w:rPr>
          <w:rFonts w:eastAsia="Calibri"/>
          <w:lang w:val="de-DE" w:eastAsia="de-DE"/>
        </w:rPr>
        <w:tab/>
        <w:t>Erhalten folgenden Wortlaut: „(gestrichen)“.</w:t>
      </w:r>
    </w:p>
    <w:p w:rsidR="00EB6056" w:rsidRPr="00DD2A86" w:rsidRDefault="00EB6056">
      <w:pPr>
        <w:suppressAutoHyphens w:val="0"/>
        <w:spacing w:line="240" w:lineRule="auto"/>
        <w:rPr>
          <w:rFonts w:eastAsia="Calibri"/>
          <w:lang w:val="de-DE" w:eastAsia="de-DE"/>
        </w:rPr>
      </w:pPr>
      <w:r w:rsidRPr="00DD2A86">
        <w:rPr>
          <w:rFonts w:eastAsia="Calibri"/>
          <w:lang w:val="de-DE" w:eastAsia="de-DE"/>
        </w:rPr>
        <w:br w:type="page"/>
      </w:r>
    </w:p>
    <w:p w:rsidR="006D68DD" w:rsidRPr="00DD2A86" w:rsidRDefault="006D68DD" w:rsidP="006D68DD">
      <w:pPr>
        <w:pStyle w:val="ListParagraph"/>
        <w:tabs>
          <w:tab w:val="left" w:pos="2268"/>
          <w:tab w:val="left" w:pos="2552"/>
        </w:tabs>
        <w:suppressAutoHyphens w:val="0"/>
        <w:autoSpaceDE w:val="0"/>
        <w:autoSpaceDN w:val="0"/>
        <w:adjustRightInd w:val="0"/>
        <w:spacing w:before="240"/>
        <w:ind w:left="1134" w:right="1134"/>
        <w:contextualSpacing w:val="0"/>
        <w:jc w:val="both"/>
        <w:rPr>
          <w:rFonts w:eastAsia="Calibri"/>
          <w:bCs/>
          <w:lang w:val="de-DE" w:eastAsia="en-US"/>
        </w:rPr>
      </w:pPr>
      <w:r w:rsidRPr="00DD2A86">
        <w:rPr>
          <w:rFonts w:eastAsia="Calibri"/>
          <w:lang w:val="de-DE" w:eastAsia="de-DE"/>
        </w:rPr>
        <w:t>9.3.2.28</w:t>
      </w:r>
      <w:r w:rsidRPr="00DD2A86">
        <w:rPr>
          <w:rFonts w:eastAsia="Calibri"/>
          <w:lang w:val="de-DE" w:eastAsia="de-DE"/>
        </w:rPr>
        <w:tab/>
        <w:t>-</w:t>
      </w:r>
      <w:r w:rsidRPr="00DD2A86">
        <w:rPr>
          <w:rFonts w:eastAsia="Calibri"/>
          <w:lang w:val="de-DE" w:eastAsia="de-DE"/>
        </w:rPr>
        <w:tab/>
        <w:t>Im ersten Satz „</w:t>
      </w:r>
      <w:r w:rsidRPr="00DD2A86">
        <w:rPr>
          <w:rFonts w:eastAsia="Calibri"/>
          <w:lang w:val="de-DE" w:eastAsia="en-US"/>
        </w:rPr>
        <w:t xml:space="preserve">in Kapitel 3.2“ ändern in: „in </w:t>
      </w:r>
      <w:r w:rsidRPr="00DD2A86">
        <w:rPr>
          <w:rFonts w:eastAsia="Calibri"/>
          <w:bCs/>
          <w:lang w:val="de-DE" w:eastAsia="en-US"/>
        </w:rPr>
        <w:t>Unterabschnitt 3.2.3.2“.</w:t>
      </w:r>
    </w:p>
    <w:p w:rsidR="006D68DD" w:rsidRPr="00DD2A86" w:rsidRDefault="006D68DD" w:rsidP="006D68DD">
      <w:pPr>
        <w:pStyle w:val="ListParagraph"/>
        <w:tabs>
          <w:tab w:val="left" w:pos="2268"/>
          <w:tab w:val="left" w:pos="2552"/>
        </w:tabs>
        <w:suppressAutoHyphens w:val="0"/>
        <w:autoSpaceDE w:val="0"/>
        <w:autoSpaceDN w:val="0"/>
        <w:adjustRightInd w:val="0"/>
        <w:ind w:left="2268" w:right="1134"/>
        <w:contextualSpacing w:val="0"/>
        <w:jc w:val="both"/>
        <w:rPr>
          <w:rFonts w:eastAsia="Calibri"/>
          <w:lang w:val="de-DE" w:eastAsia="de-DE"/>
        </w:rPr>
      </w:pPr>
      <w:r w:rsidRPr="00DD2A86">
        <w:rPr>
          <w:rFonts w:eastAsia="Calibri"/>
          <w:lang w:val="de-DE" w:eastAsia="de-DE"/>
        </w:rPr>
        <w:t>-</w:t>
      </w:r>
      <w:r w:rsidRPr="00DD2A86">
        <w:rPr>
          <w:rFonts w:eastAsia="Calibri"/>
          <w:lang w:val="de-DE" w:eastAsia="de-DE"/>
        </w:rPr>
        <w:tab/>
        <w:t xml:space="preserve">Im ersten </w:t>
      </w:r>
      <w:r w:rsidRPr="00DD2A86">
        <w:rPr>
          <w:rFonts w:eastAsia="Calibri"/>
          <w:bCs/>
          <w:lang w:val="de-DE" w:eastAsia="de-DE"/>
        </w:rPr>
        <w:t>Satz „und das Deck„</w:t>
      </w:r>
      <w:r w:rsidRPr="00DD2A86">
        <w:rPr>
          <w:rFonts w:eastAsia="Calibri"/>
          <w:lang w:val="de-DE" w:eastAsia="de-DE"/>
        </w:rPr>
        <w:t xml:space="preserve"> ändern in: „</w:t>
      </w:r>
      <w:r w:rsidRPr="00DD2A86">
        <w:rPr>
          <w:rFonts w:eastAsia="Calibri"/>
          <w:bCs/>
          <w:lang w:val="de-DE" w:eastAsia="de-DE"/>
        </w:rPr>
        <w:t>oder das Deck“.</w:t>
      </w:r>
    </w:p>
    <w:p w:rsidR="006D68DD" w:rsidRPr="00DD2A86" w:rsidRDefault="006D68DD" w:rsidP="006D68DD">
      <w:pPr>
        <w:pStyle w:val="ListParagraph"/>
        <w:tabs>
          <w:tab w:val="left" w:pos="2552"/>
        </w:tabs>
        <w:suppressAutoHyphens w:val="0"/>
        <w:autoSpaceDE w:val="0"/>
        <w:autoSpaceDN w:val="0"/>
        <w:adjustRightInd w:val="0"/>
        <w:ind w:left="2552" w:right="1134" w:hanging="284"/>
        <w:contextualSpacing w:val="0"/>
        <w:jc w:val="both"/>
        <w:rPr>
          <w:rFonts w:eastAsia="Calibri"/>
          <w:lang w:val="de-DE" w:eastAsia="de-DE"/>
        </w:rPr>
      </w:pPr>
      <w:r w:rsidRPr="00DD2A86">
        <w:rPr>
          <w:rFonts w:eastAsia="Calibri"/>
          <w:lang w:val="de-DE" w:eastAsia="de-DE"/>
        </w:rPr>
        <w:t>-</w:t>
      </w:r>
      <w:r w:rsidRPr="00DD2A86">
        <w:rPr>
          <w:rFonts w:eastAsia="Calibri"/>
          <w:lang w:val="de-DE" w:eastAsia="de-DE"/>
        </w:rPr>
        <w:tab/>
        <w:t>Im ersten Satz „der Hochgeschwindigkeitsventile“ ändern in: „der Überdruck-/ Hochgeschwindigkeitsventile“.</w:t>
      </w:r>
    </w:p>
    <w:p w:rsidR="006D68DD" w:rsidRPr="00DD2A86" w:rsidRDefault="006D68DD" w:rsidP="006D68DD">
      <w:pPr>
        <w:pStyle w:val="ListParagraph"/>
        <w:tabs>
          <w:tab w:val="left" w:pos="2552"/>
        </w:tabs>
        <w:suppressAutoHyphens w:val="0"/>
        <w:autoSpaceDE w:val="0"/>
        <w:autoSpaceDN w:val="0"/>
        <w:adjustRightInd w:val="0"/>
        <w:ind w:left="2552" w:right="1134" w:hanging="284"/>
        <w:contextualSpacing w:val="0"/>
        <w:jc w:val="both"/>
        <w:rPr>
          <w:rFonts w:eastAsia="Calibri"/>
          <w:lang w:val="de-DE" w:eastAsia="de-DE"/>
        </w:rPr>
      </w:pPr>
      <w:r w:rsidRPr="00DD2A86">
        <w:rPr>
          <w:rFonts w:eastAsia="Calibri"/>
          <w:lang w:val="de-DE" w:eastAsia="de-DE"/>
        </w:rPr>
        <w:t>-</w:t>
      </w:r>
      <w:r w:rsidRPr="00DD2A86">
        <w:rPr>
          <w:rFonts w:eastAsia="Calibri"/>
          <w:lang w:val="de-DE" w:eastAsia="de-DE"/>
        </w:rPr>
        <w:tab/>
        <w:t>Im vierten Satz „Steuerstand“ ändern in: „Steuerhaus“.</w:t>
      </w:r>
    </w:p>
    <w:p w:rsidR="00A60E42" w:rsidRPr="00DD2A86" w:rsidRDefault="00A60E42" w:rsidP="00A60E42">
      <w:pPr>
        <w:kinsoku w:val="0"/>
        <w:overflowPunct w:val="0"/>
        <w:autoSpaceDE w:val="0"/>
        <w:autoSpaceDN w:val="0"/>
        <w:adjustRightInd w:val="0"/>
        <w:snapToGrid w:val="0"/>
        <w:spacing w:before="120" w:after="120"/>
        <w:ind w:left="1134" w:right="1134"/>
        <w:jc w:val="both"/>
        <w:rPr>
          <w:rFonts w:eastAsiaTheme="minorHAnsi"/>
          <w:lang w:val="de-DE"/>
        </w:rPr>
      </w:pPr>
      <w:r w:rsidRPr="00DD2A86">
        <w:rPr>
          <w:rFonts w:eastAsiaTheme="minorHAnsi"/>
          <w:lang w:val="de-DE"/>
        </w:rPr>
        <w:t>9.3.2.40.1</w:t>
      </w:r>
      <w:r w:rsidRPr="00DD2A86">
        <w:rPr>
          <w:rFonts w:eastAsiaTheme="minorHAnsi"/>
          <w:lang w:val="de-DE"/>
        </w:rPr>
        <w:tab/>
        <w:t xml:space="preserve">[Die Änderungen in den englischen und französischen Fassungen haben keine Auswirkungen auf den deutschen Text.] </w:t>
      </w:r>
    </w:p>
    <w:p w:rsidR="009F2B9E" w:rsidRPr="00DD2A86" w:rsidRDefault="009F2B9E" w:rsidP="009F2B9E">
      <w:pPr>
        <w:kinsoku w:val="0"/>
        <w:overflowPunct w:val="0"/>
        <w:autoSpaceDE w:val="0"/>
        <w:autoSpaceDN w:val="0"/>
        <w:adjustRightInd w:val="0"/>
        <w:snapToGrid w:val="0"/>
        <w:spacing w:before="120" w:after="120"/>
        <w:ind w:left="1134" w:right="1134"/>
        <w:jc w:val="both"/>
        <w:rPr>
          <w:szCs w:val="18"/>
          <w:lang w:val="de-DE"/>
        </w:rPr>
      </w:pPr>
      <w:r w:rsidRPr="00DD2A86">
        <w:rPr>
          <w:rFonts w:eastAsiaTheme="minorHAnsi"/>
          <w:szCs w:val="18"/>
          <w:lang w:val="de-DE"/>
        </w:rPr>
        <w:t>9.3.2.42.4 und 9.3.3.42.4</w:t>
      </w:r>
      <w:r w:rsidRPr="00DD2A86">
        <w:rPr>
          <w:rFonts w:eastAsiaTheme="minorHAnsi"/>
          <w:szCs w:val="18"/>
          <w:lang w:val="de-DE"/>
        </w:rPr>
        <w:tab/>
        <w:t>Im ersten Satz „</w:t>
      </w:r>
      <w:r w:rsidRPr="00DD2A86">
        <w:rPr>
          <w:szCs w:val="18"/>
          <w:lang w:val="de-DE"/>
        </w:rPr>
        <w:t>Entgasen“ ändern in: „Entgasen bei einer aus der Ladung herrührenden Konzentration von 10 % der UEG oder mehr“.</w:t>
      </w:r>
    </w:p>
    <w:p w:rsidR="009714E5" w:rsidRPr="00DD2A86" w:rsidRDefault="009714E5" w:rsidP="009714E5">
      <w:pPr>
        <w:pStyle w:val="ListParagraph"/>
        <w:suppressAutoHyphens w:val="0"/>
        <w:autoSpaceDE w:val="0"/>
        <w:autoSpaceDN w:val="0"/>
        <w:adjustRightInd w:val="0"/>
        <w:spacing w:before="240"/>
        <w:ind w:left="1134"/>
        <w:contextualSpacing w:val="0"/>
        <w:jc w:val="both"/>
        <w:rPr>
          <w:rFonts w:eastAsia="Calibri"/>
          <w:bCs/>
          <w:lang w:val="de-DE" w:eastAsia="de-DE"/>
        </w:rPr>
      </w:pPr>
      <w:r w:rsidRPr="00DD2A86">
        <w:rPr>
          <w:rFonts w:eastAsia="Calibri"/>
          <w:bCs/>
          <w:lang w:val="de-DE" w:eastAsia="de-DE"/>
        </w:rPr>
        <w:t>9.3.2.51.1, 9.3.2.51.2 und 9.3.2.51.3</w:t>
      </w:r>
      <w:r w:rsidRPr="00DD2A86">
        <w:rPr>
          <w:rFonts w:eastAsia="Calibri"/>
          <w:bCs/>
          <w:lang w:val="de-DE" w:eastAsia="de-DE"/>
        </w:rPr>
        <w:tab/>
        <w:t>Absätze streichen</w:t>
      </w:r>
    </w:p>
    <w:p w:rsidR="009714E5" w:rsidRPr="00DD2A86" w:rsidRDefault="009714E5" w:rsidP="009714E5">
      <w:pPr>
        <w:tabs>
          <w:tab w:val="left" w:pos="2268"/>
        </w:tabs>
        <w:suppressAutoHyphens w:val="0"/>
        <w:autoSpaceDE w:val="0"/>
        <w:autoSpaceDN w:val="0"/>
        <w:adjustRightInd w:val="0"/>
        <w:spacing w:before="240" w:line="240" w:lineRule="auto"/>
        <w:ind w:left="1134" w:right="1134"/>
        <w:jc w:val="both"/>
        <w:rPr>
          <w:rFonts w:eastAsia="Calibri"/>
          <w:bCs/>
          <w:lang w:val="de-DE"/>
        </w:rPr>
      </w:pPr>
      <w:r w:rsidRPr="00DD2A86">
        <w:rPr>
          <w:rFonts w:eastAsia="Calibri"/>
          <w:bCs/>
          <w:lang w:val="de-DE"/>
        </w:rPr>
        <w:t>9.3.3.8.4</w:t>
      </w:r>
      <w:r w:rsidRPr="00DD2A86">
        <w:rPr>
          <w:rFonts w:eastAsia="Calibri"/>
          <w:bCs/>
          <w:lang w:val="de-DE"/>
        </w:rPr>
        <w:tab/>
        <w:t xml:space="preserve">Erhält folgenden Wortlaut: </w:t>
      </w:r>
    </w:p>
    <w:p w:rsidR="009714E5" w:rsidRPr="00DD2A86" w:rsidRDefault="009714E5" w:rsidP="009714E5">
      <w:pPr>
        <w:tabs>
          <w:tab w:val="left" w:pos="2268"/>
          <w:tab w:val="left" w:pos="2977"/>
        </w:tabs>
        <w:suppressAutoHyphens w:val="0"/>
        <w:autoSpaceDE w:val="0"/>
        <w:autoSpaceDN w:val="0"/>
        <w:adjustRightInd w:val="0"/>
        <w:spacing w:before="120" w:line="240" w:lineRule="auto"/>
        <w:ind w:left="2268" w:right="1134"/>
        <w:jc w:val="both"/>
        <w:rPr>
          <w:rFonts w:eastAsia="Calibri"/>
          <w:lang w:val="de-DE"/>
        </w:rPr>
      </w:pPr>
      <w:r w:rsidRPr="00DD2A86">
        <w:rPr>
          <w:rFonts w:eastAsia="Calibri"/>
          <w:lang w:val="de-DE"/>
        </w:rPr>
        <w:t>„</w:t>
      </w:r>
      <w:r w:rsidRPr="00DD2A86">
        <w:rPr>
          <w:rFonts w:eastAsia="Calibri"/>
          <w:bCs/>
          <w:lang w:val="de-DE"/>
        </w:rPr>
        <w:t>9.3.3.8.4</w:t>
      </w:r>
      <w:r w:rsidRPr="00DD2A86">
        <w:rPr>
          <w:rFonts w:eastAsia="Calibri"/>
          <w:bCs/>
          <w:lang w:val="de-DE"/>
        </w:rPr>
        <w:tab/>
      </w:r>
      <w:r w:rsidRPr="00DD2A86">
        <w:rPr>
          <w:rFonts w:eastAsia="Calibri"/>
          <w:lang w:val="de-DE" w:eastAsia="de-DE"/>
        </w:rPr>
        <w:t>Die Übereinstimmung der nach Absatz 8.1.2.3 r) bis v) geforderten Unterlagen mit den Gegebenheiten an Bord muss bei jeder Erneuerung des Zulassungszeugnisses sowie innerhalb des dritten Jahres der Gültigkeit des Zulassungszeugnisses einmal von einer anerkannten Klassifikationsgesellschaft, Unteruntersuchungsstelle oder durch</w:t>
      </w:r>
      <w:r w:rsidRPr="00DD2A86">
        <w:rPr>
          <w:rFonts w:eastAsia="Calibri"/>
          <w:lang w:val="de-DE"/>
        </w:rPr>
        <w:t xml:space="preserve"> eine hierfür von der zuständigen Behörde zugelassene Person</w:t>
      </w:r>
      <w:r w:rsidRPr="00DD2A86">
        <w:rPr>
          <w:rFonts w:eastAsia="Calibri"/>
          <w:lang w:val="de-DE" w:eastAsia="de-DE"/>
        </w:rPr>
        <w:t xml:space="preserve"> geprüft werden. </w:t>
      </w:r>
      <w:r w:rsidRPr="00DD2A86">
        <w:rPr>
          <w:rFonts w:eastAsia="Calibri"/>
          <w:lang w:val="de-DE"/>
        </w:rPr>
        <w:t>Eine unterzeichnete Bescheinigung muss sich an Bord befinden.“.</w:t>
      </w:r>
    </w:p>
    <w:p w:rsidR="009714E5" w:rsidRPr="00DD2A86" w:rsidRDefault="009714E5" w:rsidP="009714E5">
      <w:pPr>
        <w:tabs>
          <w:tab w:val="left" w:pos="2268"/>
        </w:tabs>
        <w:suppressAutoHyphens w:val="0"/>
        <w:autoSpaceDE w:val="0"/>
        <w:autoSpaceDN w:val="0"/>
        <w:adjustRightInd w:val="0"/>
        <w:spacing w:before="120" w:after="120" w:line="240" w:lineRule="auto"/>
        <w:ind w:left="1134" w:right="1134"/>
        <w:jc w:val="both"/>
        <w:rPr>
          <w:rFonts w:eastAsia="Calibri"/>
          <w:lang w:val="de-DE"/>
        </w:rPr>
      </w:pPr>
      <w:r w:rsidRPr="00DD2A86">
        <w:rPr>
          <w:rFonts w:eastAsia="Calibri"/>
          <w:lang w:val="de-DE"/>
        </w:rPr>
        <w:t>9.3.3.10.5</w:t>
      </w:r>
      <w:r w:rsidRPr="00DD2A86">
        <w:rPr>
          <w:rFonts w:eastAsia="Calibri"/>
          <w:lang w:val="de-DE"/>
        </w:rPr>
        <w:tab/>
        <w:t>Erhält folgenden Wortlaut:</w:t>
      </w:r>
    </w:p>
    <w:p w:rsidR="009714E5" w:rsidRPr="00DD2A86" w:rsidRDefault="009714E5" w:rsidP="009714E5">
      <w:pPr>
        <w:tabs>
          <w:tab w:val="left" w:pos="2977"/>
        </w:tabs>
        <w:suppressAutoHyphens w:val="0"/>
        <w:autoSpaceDE w:val="0"/>
        <w:autoSpaceDN w:val="0"/>
        <w:adjustRightInd w:val="0"/>
        <w:spacing w:after="240" w:line="240" w:lineRule="auto"/>
        <w:ind w:left="2268" w:right="1134"/>
        <w:jc w:val="both"/>
        <w:rPr>
          <w:rFonts w:eastAsia="Calibri"/>
          <w:lang w:val="de-DE"/>
        </w:rPr>
      </w:pPr>
      <w:r w:rsidRPr="00DD2A86">
        <w:rPr>
          <w:rFonts w:eastAsia="Calibri"/>
          <w:lang w:val="de-DE"/>
        </w:rPr>
        <w:t>„9.3.3.10.5</w:t>
      </w:r>
      <w:r w:rsidRPr="00DD2A86">
        <w:rPr>
          <w:rFonts w:eastAsia="Calibri"/>
          <w:lang w:val="de-DE"/>
        </w:rPr>
        <w:tab/>
        <w:t>Schanzkleider, Fußleisten usw. müssen mit genügend großen, direkt über dem Deck angeordneten Öffnungen versehen sein.“.</w:t>
      </w:r>
    </w:p>
    <w:p w:rsidR="009714E5" w:rsidRPr="00DD2A86" w:rsidRDefault="009714E5" w:rsidP="009714E5">
      <w:pPr>
        <w:tabs>
          <w:tab w:val="left" w:pos="2268"/>
        </w:tabs>
        <w:suppressAutoHyphens w:val="0"/>
        <w:autoSpaceDE w:val="0"/>
        <w:autoSpaceDN w:val="0"/>
        <w:adjustRightInd w:val="0"/>
        <w:spacing w:before="240" w:line="240" w:lineRule="auto"/>
        <w:ind w:left="1134" w:right="1134"/>
        <w:jc w:val="both"/>
        <w:rPr>
          <w:rFonts w:eastAsia="Calibri"/>
          <w:bCs/>
          <w:lang w:val="de-DE"/>
        </w:rPr>
      </w:pPr>
      <w:r w:rsidRPr="00DD2A86">
        <w:rPr>
          <w:rFonts w:eastAsia="Calibri"/>
          <w:bCs/>
          <w:lang w:val="de-DE"/>
        </w:rPr>
        <w:t>9.3.3.10.6</w:t>
      </w:r>
      <w:r w:rsidRPr="00DD2A86">
        <w:rPr>
          <w:rFonts w:eastAsia="Calibri"/>
          <w:bCs/>
          <w:lang w:val="de-DE"/>
        </w:rPr>
        <w:tab/>
        <w:t>Folgenden neuen Absatz hinzufügen:</w:t>
      </w:r>
    </w:p>
    <w:p w:rsidR="009714E5" w:rsidRPr="00DD2A86" w:rsidRDefault="009714E5" w:rsidP="009714E5">
      <w:pPr>
        <w:tabs>
          <w:tab w:val="left" w:pos="2268"/>
        </w:tabs>
        <w:suppressAutoHyphens w:val="0"/>
        <w:autoSpaceDE w:val="0"/>
        <w:autoSpaceDN w:val="0"/>
        <w:adjustRightInd w:val="0"/>
        <w:spacing w:before="120" w:line="240" w:lineRule="auto"/>
        <w:ind w:left="2268" w:right="1134"/>
        <w:jc w:val="both"/>
        <w:rPr>
          <w:rFonts w:eastAsia="Calibri"/>
          <w:lang w:val="de-DE"/>
        </w:rPr>
      </w:pPr>
      <w:r w:rsidRPr="00DD2A86">
        <w:rPr>
          <w:rFonts w:eastAsia="Calibri"/>
          <w:bCs/>
          <w:lang w:val="de-DE"/>
        </w:rPr>
        <w:t>„9.3.3.10.6</w:t>
      </w:r>
      <w:r w:rsidRPr="00DD2A86">
        <w:rPr>
          <w:rFonts w:eastAsia="Calibri"/>
          <w:bCs/>
          <w:lang w:val="de-DE"/>
        </w:rPr>
        <w:tab/>
      </w:r>
      <w:r w:rsidRPr="00DD2A86">
        <w:rPr>
          <w:rFonts w:eastAsia="Calibri"/>
          <w:lang w:val="de-DE"/>
        </w:rPr>
        <w:t xml:space="preserve">Schiffe des Typs N offen müssen die Anforderungen des Absatzes </w:t>
      </w:r>
      <w:r w:rsidRPr="00DD2A86">
        <w:rPr>
          <w:rFonts w:eastAsia="Calibri"/>
          <w:lang w:val="de-DE" w:eastAsia="de-DE"/>
        </w:rPr>
        <w:t xml:space="preserve">9.3.3.10.1 </w:t>
      </w:r>
      <w:r w:rsidRPr="00DD2A86">
        <w:rPr>
          <w:rFonts w:eastAsia="Calibri"/>
          <w:lang w:val="de-DE"/>
        </w:rPr>
        <w:t>nur erfüllen, sofern sich das Schiff in einer oder unmittelbar angrenzend an eine landseitig ausgewiesene Zone aufhalten wird.“.</w:t>
      </w:r>
    </w:p>
    <w:p w:rsidR="00905BDE" w:rsidRPr="00DD2A86" w:rsidRDefault="00905BDE" w:rsidP="00905BDE">
      <w:pPr>
        <w:kinsoku w:val="0"/>
        <w:overflowPunct w:val="0"/>
        <w:autoSpaceDE w:val="0"/>
        <w:autoSpaceDN w:val="0"/>
        <w:adjustRightInd w:val="0"/>
        <w:snapToGrid w:val="0"/>
        <w:spacing w:before="120" w:after="120"/>
        <w:ind w:left="1134" w:right="1134"/>
        <w:jc w:val="both"/>
        <w:rPr>
          <w:rFonts w:eastAsiaTheme="minorHAnsi"/>
          <w:lang w:val="de-DE"/>
        </w:rPr>
      </w:pPr>
      <w:r w:rsidRPr="00DD2A86">
        <w:rPr>
          <w:rFonts w:eastAsiaTheme="minorHAnsi"/>
          <w:lang w:val="de-DE"/>
        </w:rPr>
        <w:t>9.3.3.11.2</w:t>
      </w:r>
      <w:r w:rsidRPr="00DD2A86">
        <w:rPr>
          <w:rFonts w:eastAsiaTheme="minorHAnsi"/>
          <w:lang w:val="de-DE"/>
        </w:rPr>
        <w:tab/>
        <w:t>Zwei neue Absätze c) und d) mit folgendem Wortlaut hinzufügen:</w:t>
      </w:r>
    </w:p>
    <w:p w:rsidR="00905BDE" w:rsidRPr="00DD2A86" w:rsidRDefault="00905BDE" w:rsidP="00905BDE">
      <w:pPr>
        <w:kinsoku w:val="0"/>
        <w:overflowPunct w:val="0"/>
        <w:autoSpaceDE w:val="0"/>
        <w:autoSpaceDN w:val="0"/>
        <w:adjustRightInd w:val="0"/>
        <w:snapToGrid w:val="0"/>
        <w:spacing w:before="120" w:after="120"/>
        <w:ind w:left="1134" w:right="1134"/>
        <w:jc w:val="both"/>
        <w:rPr>
          <w:rFonts w:eastAsiaTheme="minorHAnsi"/>
          <w:lang w:val="de-DE"/>
        </w:rPr>
      </w:pPr>
      <w:r w:rsidRPr="00DD2A86">
        <w:rPr>
          <w:rFonts w:eastAsiaTheme="minorHAnsi"/>
          <w:lang w:val="de-DE"/>
        </w:rPr>
        <w:t>„c)</w:t>
      </w:r>
      <w:r w:rsidRPr="00DD2A86">
        <w:rPr>
          <w:rFonts w:eastAsiaTheme="minorHAnsi"/>
          <w:lang w:val="de-DE"/>
        </w:rPr>
        <w:tab/>
        <w:t>(bleibt offen)</w:t>
      </w:r>
    </w:p>
    <w:p w:rsidR="00905BDE" w:rsidRPr="00DD2A86" w:rsidRDefault="00905BDE" w:rsidP="00905BDE">
      <w:pPr>
        <w:spacing w:after="120"/>
        <w:ind w:left="1701" w:right="1134" w:hanging="567"/>
        <w:jc w:val="both"/>
        <w:rPr>
          <w:rFonts w:eastAsia="TimesNewRomanPSMT"/>
          <w:lang w:val="de-DE" w:eastAsia="zh-CN"/>
        </w:rPr>
      </w:pPr>
      <w:r w:rsidRPr="00DD2A86">
        <w:rPr>
          <w:rFonts w:eastAsia="SimSun"/>
          <w:lang w:val="de-DE" w:eastAsia="zh-CN"/>
        </w:rPr>
        <w:t>d)</w:t>
      </w:r>
      <w:r w:rsidRPr="00DD2A86">
        <w:rPr>
          <w:rFonts w:eastAsia="SimSun"/>
          <w:lang w:val="de-DE" w:eastAsia="zh-CN"/>
        </w:rPr>
        <w:tab/>
        <w:t>Stützen, welche tragende Teile der Schiffsseitenwände mit tragenden Teilen des Längsschotts der Ladetanks verbinden, und Stützen, welche tragende Teile des Schiffsbodens mit dem Tankboden verbinden, sind nicht zulässig.</w:t>
      </w:r>
      <w:r w:rsidRPr="00DD2A86">
        <w:rPr>
          <w:rFonts w:ascii="Arial" w:eastAsia="SimSun" w:hAnsi="Arial" w:cs="Arial"/>
          <w:lang w:val="de-DE" w:eastAsia="zh-CN"/>
        </w:rPr>
        <w:t>“.</w:t>
      </w:r>
    </w:p>
    <w:p w:rsidR="00F44289" w:rsidRPr="00DD2A86" w:rsidRDefault="00296540" w:rsidP="00000D61">
      <w:pPr>
        <w:tabs>
          <w:tab w:val="left" w:pos="2268"/>
        </w:tabs>
        <w:suppressAutoHyphens w:val="0"/>
        <w:autoSpaceDE w:val="0"/>
        <w:autoSpaceDN w:val="0"/>
        <w:adjustRightInd w:val="0"/>
        <w:spacing w:before="240" w:after="120" w:line="240" w:lineRule="auto"/>
        <w:ind w:left="1134" w:right="1134"/>
        <w:jc w:val="both"/>
        <w:rPr>
          <w:rFonts w:eastAsia="Calibri"/>
          <w:lang w:val="de-DE"/>
        </w:rPr>
      </w:pPr>
      <w:r w:rsidRPr="00DD2A86">
        <w:rPr>
          <w:rFonts w:eastAsia="Calibri"/>
          <w:lang w:val="de-DE"/>
        </w:rPr>
        <w:t>9.3.3.12.3</w:t>
      </w:r>
      <w:r w:rsidRPr="00DD2A86">
        <w:rPr>
          <w:rFonts w:eastAsia="Calibri"/>
          <w:lang w:val="de-DE"/>
        </w:rPr>
        <w:tab/>
      </w:r>
      <w:r w:rsidR="00F44289" w:rsidRPr="00DD2A86">
        <w:rPr>
          <w:rFonts w:eastAsia="Calibri"/>
          <w:lang w:val="de-DE"/>
        </w:rPr>
        <w:t>Erhält folgenden Wortlaut:</w:t>
      </w:r>
    </w:p>
    <w:p w:rsidR="00F44289" w:rsidRPr="00DD2A86" w:rsidRDefault="00355DA7" w:rsidP="0089789A">
      <w:pPr>
        <w:suppressAutoHyphens w:val="0"/>
        <w:autoSpaceDE w:val="0"/>
        <w:autoSpaceDN w:val="0"/>
        <w:adjustRightInd w:val="0"/>
        <w:spacing w:line="240" w:lineRule="auto"/>
        <w:ind w:left="2552" w:right="1134" w:hanging="1418"/>
        <w:jc w:val="both"/>
        <w:rPr>
          <w:rFonts w:eastAsia="Calibri"/>
          <w:lang w:val="de-DE" w:eastAsia="de-DE"/>
        </w:rPr>
      </w:pPr>
      <w:r w:rsidRPr="00DD2A86">
        <w:rPr>
          <w:rFonts w:eastAsia="Calibri"/>
          <w:lang w:val="de-DE" w:eastAsia="de-DE"/>
        </w:rPr>
        <w:t>„</w:t>
      </w:r>
      <w:r w:rsidR="0089789A" w:rsidRPr="00DD2A86">
        <w:rPr>
          <w:rFonts w:eastAsia="Calibri"/>
          <w:lang w:val="de-DE" w:eastAsia="de-DE"/>
        </w:rPr>
        <w:t>9.3.3.12.3</w:t>
      </w:r>
      <w:r w:rsidR="0089789A" w:rsidRPr="00DD2A86">
        <w:rPr>
          <w:rFonts w:eastAsia="Calibri"/>
          <w:lang w:val="de-DE" w:eastAsia="de-DE"/>
        </w:rPr>
        <w:tab/>
      </w:r>
      <w:r w:rsidRPr="00DD2A86">
        <w:rPr>
          <w:rFonts w:eastAsia="Calibri"/>
          <w:lang w:val="de-DE" w:eastAsia="de-DE"/>
        </w:rPr>
        <w:t>a)</w:t>
      </w:r>
      <w:r w:rsidRPr="00DD2A86">
        <w:rPr>
          <w:rFonts w:eastAsia="Calibri"/>
          <w:lang w:val="de-DE" w:eastAsia="de-DE"/>
        </w:rPr>
        <w:tab/>
      </w:r>
      <w:r w:rsidR="00F44289" w:rsidRPr="00DD2A86">
        <w:rPr>
          <w:rFonts w:eastAsia="Calibri"/>
          <w:lang w:val="de-DE" w:eastAsia="de-DE"/>
        </w:rPr>
        <w:t>Ein im Bereich der Ladung unter Deck angeordneter Betriebsraum muss mit einer technischen Lüftung versehen sein. Die Kapazität der Ventilatoren muss so ausgelegt sein, dass das Volumen des Betriebsraums mindestens zwanzig Mal je Stunde vollständig erneuert werden kann.</w:t>
      </w:r>
    </w:p>
    <w:p w:rsidR="00F44289" w:rsidRPr="00DD2A86" w:rsidRDefault="00F44289" w:rsidP="00000D61">
      <w:pPr>
        <w:suppressAutoHyphens w:val="0"/>
        <w:autoSpaceDE w:val="0"/>
        <w:autoSpaceDN w:val="0"/>
        <w:adjustRightInd w:val="0"/>
        <w:spacing w:line="240" w:lineRule="auto"/>
        <w:ind w:left="2552" w:right="1134"/>
        <w:jc w:val="both"/>
        <w:rPr>
          <w:rFonts w:eastAsia="Calibri"/>
          <w:lang w:val="de-DE" w:eastAsia="de-DE"/>
        </w:rPr>
      </w:pPr>
      <w:r w:rsidRPr="00DD2A86">
        <w:rPr>
          <w:rFonts w:eastAsia="Calibri"/>
          <w:lang w:val="de-DE" w:eastAsia="de-DE"/>
        </w:rPr>
        <w:t>Die Absaugschächte müssen bis zu einem Abstand von 50 mm an den Betriebsraumboden herangeführt sein. Die Zuluft muss durch einen Schacht von oben in den Betriebsraum eingeführt werden.</w:t>
      </w:r>
    </w:p>
    <w:p w:rsidR="00F44289" w:rsidRPr="00DD2A86" w:rsidRDefault="00355DA7" w:rsidP="00000D61">
      <w:pPr>
        <w:suppressAutoHyphens w:val="0"/>
        <w:autoSpaceDE w:val="0"/>
        <w:autoSpaceDN w:val="0"/>
        <w:adjustRightInd w:val="0"/>
        <w:spacing w:before="60"/>
        <w:ind w:left="2552" w:right="1134" w:hanging="284"/>
        <w:jc w:val="both"/>
        <w:rPr>
          <w:rFonts w:eastAsia="Calibri"/>
          <w:lang w:val="de-DE" w:eastAsia="de-DE"/>
        </w:rPr>
      </w:pPr>
      <w:r w:rsidRPr="00DD2A86">
        <w:rPr>
          <w:rFonts w:eastAsia="Calibri"/>
          <w:lang w:val="de-DE" w:eastAsia="de-DE"/>
        </w:rPr>
        <w:t>b)</w:t>
      </w:r>
      <w:r w:rsidRPr="00DD2A86">
        <w:rPr>
          <w:rFonts w:eastAsia="Calibri"/>
          <w:lang w:val="de-DE" w:eastAsia="de-DE"/>
        </w:rPr>
        <w:tab/>
      </w:r>
      <w:r w:rsidR="00F44289" w:rsidRPr="00DD2A86">
        <w:rPr>
          <w:rFonts w:eastAsia="Calibri"/>
          <w:lang w:val="de-DE" w:eastAsia="de-DE"/>
        </w:rPr>
        <w:t>Wenn die Schiffsstoffliste nach Absatz 1.16.1.2.5 Stoffe enthalten soll</w:t>
      </w:r>
      <w:r w:rsidR="00B433BA" w:rsidRPr="00DD2A86">
        <w:rPr>
          <w:rFonts w:eastAsia="Calibri"/>
          <w:lang w:val="de-DE" w:eastAsia="de-DE"/>
        </w:rPr>
        <w:t>,</w:t>
      </w:r>
      <w:r w:rsidR="00F44289" w:rsidRPr="00DD2A86">
        <w:rPr>
          <w:rFonts w:eastAsia="Calibri"/>
          <w:lang w:val="de-DE" w:eastAsia="de-DE"/>
        </w:rPr>
        <w:t xml:space="preserve"> für die nach Unterabschnitt 3.2.3.2 Tabelle C Spalte (17) Explosionsschutz gefordert ist, müssen die Zuluftöffnungen mindestens 2,00 m über Deck, 2,00 m von Ladetanköffnungen und 6,00 m von Austrittsöffnungen der Sicherheitsventile entfernt angebracht sein.</w:t>
      </w:r>
    </w:p>
    <w:p w:rsidR="00F44289" w:rsidRPr="00DD2A86" w:rsidRDefault="00F44289" w:rsidP="00761EB1">
      <w:pPr>
        <w:suppressAutoHyphens w:val="0"/>
        <w:autoSpaceDE w:val="0"/>
        <w:autoSpaceDN w:val="0"/>
        <w:adjustRightInd w:val="0"/>
        <w:spacing w:before="120" w:line="240" w:lineRule="auto"/>
        <w:ind w:left="2552" w:right="1134"/>
        <w:jc w:val="both"/>
        <w:rPr>
          <w:rFonts w:eastAsia="Calibri"/>
          <w:lang w:val="de-DE" w:eastAsia="de-DE"/>
        </w:rPr>
      </w:pPr>
      <w:r w:rsidRPr="00DD2A86">
        <w:rPr>
          <w:rFonts w:eastAsia="Calibri"/>
          <w:lang w:val="de-DE" w:eastAsia="de-DE"/>
        </w:rPr>
        <w:t>Die hierzu gegebenenfalls notwendigen Verlängerungsrohre dürfen klappbar ausgeführt sein.</w:t>
      </w:r>
    </w:p>
    <w:p w:rsidR="00F44289" w:rsidRPr="00DD2A86" w:rsidRDefault="00FF15D8" w:rsidP="00000D61">
      <w:pPr>
        <w:suppressAutoHyphens w:val="0"/>
        <w:autoSpaceDE w:val="0"/>
        <w:autoSpaceDN w:val="0"/>
        <w:adjustRightInd w:val="0"/>
        <w:spacing w:before="60"/>
        <w:ind w:left="2552" w:right="1134" w:hanging="284"/>
        <w:jc w:val="both"/>
        <w:rPr>
          <w:rFonts w:eastAsia="Calibri"/>
          <w:lang w:val="de-DE" w:eastAsia="de-DE"/>
        </w:rPr>
      </w:pPr>
      <w:r w:rsidRPr="00DD2A86">
        <w:rPr>
          <w:rFonts w:eastAsia="Calibri"/>
          <w:lang w:val="de-DE" w:eastAsia="de-DE"/>
        </w:rPr>
        <w:t>c)</w:t>
      </w:r>
      <w:r w:rsidRPr="00DD2A86">
        <w:rPr>
          <w:rFonts w:eastAsia="Calibri"/>
          <w:lang w:val="de-DE" w:eastAsia="de-DE"/>
        </w:rPr>
        <w:tab/>
      </w:r>
      <w:r w:rsidR="00F44289" w:rsidRPr="00DD2A86">
        <w:rPr>
          <w:rFonts w:eastAsia="Calibri"/>
          <w:lang w:val="de-DE" w:eastAsia="de-DE"/>
        </w:rPr>
        <w:t xml:space="preserve">An Bord </w:t>
      </w:r>
      <w:r w:rsidR="008218B9" w:rsidRPr="00DD2A86">
        <w:rPr>
          <w:rFonts w:eastAsia="Calibri"/>
          <w:lang w:val="de-DE" w:eastAsia="de-DE"/>
        </w:rPr>
        <w:t xml:space="preserve">von Schiffen </w:t>
      </w:r>
      <w:r w:rsidR="00F44289" w:rsidRPr="00DD2A86">
        <w:rPr>
          <w:rFonts w:eastAsia="Calibri"/>
          <w:lang w:val="de-DE" w:eastAsia="de-DE"/>
        </w:rPr>
        <w:t>des Typs N offen genügt Lüftung mittels sonstigen geeigneten Vorrichtungen ohne Ventilatoren.</w:t>
      </w:r>
      <w:r w:rsidR="00355DA7" w:rsidRPr="00DD2A86">
        <w:rPr>
          <w:rFonts w:eastAsia="Calibri"/>
          <w:lang w:val="de-DE" w:eastAsia="de-DE"/>
        </w:rPr>
        <w:t>“.</w:t>
      </w:r>
    </w:p>
    <w:p w:rsidR="00877350" w:rsidRPr="00DD2A86" w:rsidRDefault="00877350" w:rsidP="004649CB">
      <w:pPr>
        <w:pStyle w:val="ListParagraph"/>
        <w:suppressAutoHyphens w:val="0"/>
        <w:autoSpaceDE w:val="0"/>
        <w:autoSpaceDN w:val="0"/>
        <w:adjustRightInd w:val="0"/>
        <w:spacing w:before="240"/>
        <w:ind w:left="1134" w:right="1134"/>
        <w:contextualSpacing w:val="0"/>
        <w:jc w:val="both"/>
        <w:rPr>
          <w:rFonts w:eastAsia="Calibri"/>
          <w:lang w:val="de-DE"/>
        </w:rPr>
      </w:pPr>
      <w:r w:rsidRPr="00DD2A86">
        <w:rPr>
          <w:rFonts w:eastAsia="Calibri"/>
          <w:lang w:val="de-DE" w:eastAsia="de-DE"/>
        </w:rPr>
        <w:t>9.3.3.12.7</w:t>
      </w:r>
      <w:r w:rsidRPr="00DD2A86">
        <w:rPr>
          <w:rFonts w:eastAsia="Calibri"/>
          <w:lang w:val="de-DE" w:eastAsia="de-DE"/>
        </w:rPr>
        <w:tab/>
        <w:t>Erhält f</w:t>
      </w:r>
      <w:r w:rsidRPr="00DD2A86">
        <w:rPr>
          <w:rFonts w:eastAsia="Calibri"/>
          <w:lang w:val="de-DE"/>
        </w:rPr>
        <w:t>olgenden Wortlaut</w:t>
      </w:r>
      <w:r w:rsidR="00B625E0" w:rsidRPr="00DD2A86">
        <w:rPr>
          <w:rFonts w:eastAsia="Calibri"/>
          <w:lang w:val="de-DE"/>
        </w:rPr>
        <w:t>:</w:t>
      </w:r>
    </w:p>
    <w:p w:rsidR="0051662E" w:rsidRPr="00DD2A86" w:rsidRDefault="00877350" w:rsidP="004649CB">
      <w:pPr>
        <w:pStyle w:val="ListParagraph"/>
        <w:suppressAutoHyphens w:val="0"/>
        <w:autoSpaceDE w:val="0"/>
        <w:autoSpaceDN w:val="0"/>
        <w:adjustRightInd w:val="0"/>
        <w:spacing w:before="120"/>
        <w:ind w:left="2268" w:right="1134"/>
        <w:contextualSpacing w:val="0"/>
        <w:jc w:val="both"/>
        <w:rPr>
          <w:rFonts w:eastAsia="Calibri"/>
          <w:lang w:val="de-DE" w:eastAsia="en-US"/>
        </w:rPr>
      </w:pPr>
      <w:r w:rsidRPr="00DD2A86">
        <w:rPr>
          <w:rFonts w:eastAsia="Calibri"/>
          <w:lang w:val="de-DE"/>
        </w:rPr>
        <w:t>„</w:t>
      </w:r>
      <w:r w:rsidR="00761EB1" w:rsidRPr="00DD2A86">
        <w:rPr>
          <w:rFonts w:eastAsia="Calibri"/>
          <w:lang w:val="de-DE"/>
        </w:rPr>
        <w:t>9.3.3.12.7</w:t>
      </w:r>
      <w:r w:rsidR="00761EB1" w:rsidRPr="00DD2A86">
        <w:rPr>
          <w:rFonts w:eastAsia="Calibri"/>
          <w:lang w:val="de-DE"/>
        </w:rPr>
        <w:tab/>
      </w:r>
      <w:r w:rsidRPr="00DD2A86">
        <w:rPr>
          <w:rFonts w:eastAsia="Calibri"/>
          <w:lang w:val="de-DE" w:eastAsia="en-US"/>
        </w:rPr>
        <w:t xml:space="preserve">Schiffe des Typs N offen müssen die Anforderungen des Absatzes </w:t>
      </w:r>
      <w:r w:rsidRPr="00DD2A86">
        <w:rPr>
          <w:rFonts w:eastAsia="Calibri"/>
          <w:lang w:val="de-DE" w:eastAsia="de-DE"/>
        </w:rPr>
        <w:t xml:space="preserve">9.3.3.12.4 Buchstaben b) oder c) </w:t>
      </w:r>
      <w:r w:rsidRPr="00DD2A86">
        <w:rPr>
          <w:rFonts w:eastAsia="Calibri"/>
          <w:lang w:val="de-DE" w:eastAsia="en-US"/>
        </w:rPr>
        <w:t>nur erfüllen, sofern sich das Schiff in einer oder unmittelbar angrenzend an eine landseitig ausgewiesene Zone aufhalten wird.“.</w:t>
      </w:r>
    </w:p>
    <w:p w:rsidR="00877350" w:rsidRPr="00DD2A86" w:rsidRDefault="00877350" w:rsidP="004649CB">
      <w:pPr>
        <w:pStyle w:val="ListParagraph"/>
        <w:suppressAutoHyphens w:val="0"/>
        <w:autoSpaceDE w:val="0"/>
        <w:autoSpaceDN w:val="0"/>
        <w:adjustRightInd w:val="0"/>
        <w:spacing w:before="240"/>
        <w:ind w:left="1134" w:right="1134"/>
        <w:contextualSpacing w:val="0"/>
        <w:jc w:val="both"/>
        <w:rPr>
          <w:rFonts w:eastAsia="Calibri"/>
          <w:lang w:val="de-DE" w:eastAsia="de-DE"/>
        </w:rPr>
      </w:pPr>
      <w:r w:rsidRPr="00DD2A86">
        <w:rPr>
          <w:rFonts w:eastAsia="Calibri"/>
          <w:lang w:val="de-DE" w:eastAsia="de-DE"/>
        </w:rPr>
        <w:t>9.3.3.12.8</w:t>
      </w:r>
      <w:r w:rsidRPr="00DD2A86">
        <w:rPr>
          <w:rFonts w:eastAsia="Calibri"/>
          <w:lang w:val="de-DE" w:eastAsia="de-DE"/>
        </w:rPr>
        <w:tab/>
        <w:t>Streichen: „9.3.3.12.5,“.</w:t>
      </w:r>
    </w:p>
    <w:p w:rsidR="00CD5BF1" w:rsidRPr="00DD2A86" w:rsidRDefault="002C7853" w:rsidP="00C034B7">
      <w:pPr>
        <w:pStyle w:val="ListParagraph"/>
        <w:suppressAutoHyphens w:val="0"/>
        <w:autoSpaceDE w:val="0"/>
        <w:autoSpaceDN w:val="0"/>
        <w:adjustRightInd w:val="0"/>
        <w:spacing w:before="240"/>
        <w:ind w:left="1134" w:right="1134"/>
        <w:contextualSpacing w:val="0"/>
        <w:jc w:val="both"/>
        <w:rPr>
          <w:rFonts w:eastAsia="Calibri"/>
          <w:szCs w:val="24"/>
          <w:lang w:val="de-DE"/>
        </w:rPr>
      </w:pPr>
      <w:r w:rsidRPr="00DD2A86">
        <w:rPr>
          <w:rFonts w:eastAsia="Calibri"/>
          <w:lang w:val="de-DE"/>
        </w:rPr>
        <w:t>9.3.3.17.8</w:t>
      </w:r>
      <w:r w:rsidRPr="00DD2A86">
        <w:rPr>
          <w:rFonts w:eastAsia="Calibri"/>
          <w:lang w:val="de-DE"/>
        </w:rPr>
        <w:tab/>
        <w:t>Nach „9.3.3.17.6“ einfügen: „</w:t>
      </w:r>
      <w:r w:rsidRPr="00DD2A86">
        <w:rPr>
          <w:rFonts w:eastAsia="Calibri"/>
          <w:szCs w:val="24"/>
          <w:lang w:val="de-DE"/>
        </w:rPr>
        <w:t>mit Ausnahme der fest eingebaute</w:t>
      </w:r>
      <w:r w:rsidR="00ED6C56" w:rsidRPr="00DD2A86">
        <w:rPr>
          <w:rFonts w:eastAsia="Calibri"/>
          <w:szCs w:val="24"/>
          <w:lang w:val="de-DE"/>
        </w:rPr>
        <w:t>n</w:t>
      </w:r>
      <w:r w:rsidRPr="00DD2A86">
        <w:rPr>
          <w:rFonts w:eastAsia="Calibri"/>
          <w:szCs w:val="24"/>
          <w:lang w:val="de-DE"/>
        </w:rPr>
        <w:t xml:space="preserve"> Sauerstoffmessanlage“.</w:t>
      </w:r>
    </w:p>
    <w:p w:rsidR="0008540F" w:rsidRPr="00DD2A86" w:rsidRDefault="0008540F" w:rsidP="00C034B7">
      <w:pPr>
        <w:pStyle w:val="ListParagraph"/>
        <w:suppressAutoHyphens w:val="0"/>
        <w:autoSpaceDE w:val="0"/>
        <w:autoSpaceDN w:val="0"/>
        <w:adjustRightInd w:val="0"/>
        <w:spacing w:before="240"/>
        <w:ind w:left="1134" w:right="1134"/>
        <w:contextualSpacing w:val="0"/>
        <w:jc w:val="both"/>
        <w:rPr>
          <w:rFonts w:eastAsia="Calibri"/>
          <w:szCs w:val="24"/>
          <w:lang w:val="de-DE"/>
        </w:rPr>
      </w:pPr>
      <w:r w:rsidRPr="00DD2A86">
        <w:rPr>
          <w:rFonts w:eastAsia="Calibri"/>
          <w:szCs w:val="24"/>
          <w:lang w:val="de-DE"/>
        </w:rPr>
        <w:t>9.3.</w:t>
      </w:r>
      <w:r w:rsidR="00AB58FB" w:rsidRPr="00DD2A86">
        <w:rPr>
          <w:rFonts w:eastAsia="Calibri"/>
          <w:szCs w:val="24"/>
          <w:lang w:val="de-DE"/>
        </w:rPr>
        <w:t>3</w:t>
      </w:r>
      <w:r w:rsidRPr="00DD2A86">
        <w:rPr>
          <w:rFonts w:eastAsia="Calibri"/>
          <w:szCs w:val="24"/>
          <w:lang w:val="de-DE"/>
        </w:rPr>
        <w:t>.20.5</w:t>
      </w:r>
      <w:r w:rsidRPr="00DD2A86">
        <w:rPr>
          <w:rFonts w:eastAsia="Calibri"/>
          <w:szCs w:val="24"/>
          <w:lang w:val="de-DE"/>
        </w:rPr>
        <w:tab/>
        <w:t>Erhält folgenden Wortlaut:</w:t>
      </w:r>
    </w:p>
    <w:p w:rsidR="002C7853" w:rsidRPr="00DD2A86" w:rsidRDefault="0008540F" w:rsidP="00C034B7">
      <w:pPr>
        <w:pStyle w:val="ListParagraph"/>
        <w:suppressAutoHyphens w:val="0"/>
        <w:autoSpaceDE w:val="0"/>
        <w:autoSpaceDN w:val="0"/>
        <w:adjustRightInd w:val="0"/>
        <w:spacing w:before="120"/>
        <w:ind w:left="2268" w:right="1134"/>
        <w:contextualSpacing w:val="0"/>
        <w:jc w:val="both"/>
        <w:rPr>
          <w:rFonts w:eastAsia="Calibri"/>
          <w:lang w:val="de-DE" w:eastAsia="en-US"/>
        </w:rPr>
      </w:pPr>
      <w:r w:rsidRPr="00DD2A86">
        <w:rPr>
          <w:rFonts w:eastAsia="Calibri"/>
          <w:lang w:val="de-DE" w:eastAsia="en-US"/>
        </w:rPr>
        <w:t>„</w:t>
      </w:r>
      <w:r w:rsidR="00761EB1" w:rsidRPr="00DD2A86">
        <w:rPr>
          <w:rFonts w:eastAsia="Calibri"/>
          <w:lang w:val="de-DE" w:eastAsia="en-US"/>
        </w:rPr>
        <w:t>9.3.3.20.5</w:t>
      </w:r>
      <w:r w:rsidR="00761EB1" w:rsidRPr="00DD2A86">
        <w:rPr>
          <w:rFonts w:eastAsia="Calibri"/>
          <w:lang w:val="de-DE" w:eastAsia="en-US"/>
        </w:rPr>
        <w:tab/>
      </w:r>
      <w:r w:rsidRPr="00DD2A86">
        <w:rPr>
          <w:rFonts w:eastAsia="Calibri"/>
          <w:lang w:val="de-DE" w:eastAsia="en-US"/>
        </w:rPr>
        <w:t>Die Vorschrift des Absatzes 9.3.3.20.2 gilt nicht für Bilgenentölungsboote und Bunkerboote.“.</w:t>
      </w:r>
    </w:p>
    <w:p w:rsidR="00B43F48" w:rsidRPr="00DD2A86" w:rsidRDefault="006A26A4" w:rsidP="00C034B7">
      <w:pPr>
        <w:pStyle w:val="ListParagraph"/>
        <w:suppressAutoHyphens w:val="0"/>
        <w:autoSpaceDE w:val="0"/>
        <w:autoSpaceDN w:val="0"/>
        <w:adjustRightInd w:val="0"/>
        <w:spacing w:before="240"/>
        <w:ind w:left="1134" w:right="1134"/>
        <w:contextualSpacing w:val="0"/>
        <w:jc w:val="both"/>
        <w:rPr>
          <w:rFonts w:eastAsia="Calibri"/>
          <w:szCs w:val="24"/>
          <w:lang w:val="de-DE"/>
        </w:rPr>
      </w:pPr>
      <w:r w:rsidRPr="00DD2A86">
        <w:rPr>
          <w:rFonts w:eastAsia="Calibri"/>
          <w:lang w:val="de-DE" w:eastAsia="de-DE"/>
        </w:rPr>
        <w:t>9.3.3.22.4</w:t>
      </w:r>
      <w:r w:rsidR="00B43F48" w:rsidRPr="00DD2A86">
        <w:rPr>
          <w:rFonts w:eastAsia="Calibri"/>
          <w:lang w:val="de-DE" w:eastAsia="de-DE"/>
        </w:rPr>
        <w:tab/>
      </w:r>
      <w:r w:rsidR="00B43F48" w:rsidRPr="00DD2A86">
        <w:rPr>
          <w:rFonts w:eastAsia="Calibri"/>
          <w:szCs w:val="24"/>
          <w:lang w:val="de-DE"/>
        </w:rPr>
        <w:t>Erhält folgenden Wortlaut:</w:t>
      </w:r>
    </w:p>
    <w:p w:rsidR="00B43F48" w:rsidRPr="00DD2A86" w:rsidRDefault="00B43F48" w:rsidP="00C034B7">
      <w:pPr>
        <w:suppressAutoHyphens w:val="0"/>
        <w:autoSpaceDE w:val="0"/>
        <w:autoSpaceDN w:val="0"/>
        <w:adjustRightInd w:val="0"/>
        <w:spacing w:before="120" w:line="240" w:lineRule="auto"/>
        <w:ind w:left="2268" w:right="1134"/>
        <w:jc w:val="both"/>
        <w:rPr>
          <w:rFonts w:eastAsia="Calibri"/>
          <w:strike/>
          <w:lang w:val="de-DE" w:eastAsia="de-DE"/>
        </w:rPr>
      </w:pPr>
      <w:r w:rsidRPr="00DD2A86">
        <w:rPr>
          <w:rFonts w:eastAsia="Calibri"/>
          <w:lang w:val="de-DE" w:eastAsia="de-DE"/>
        </w:rPr>
        <w:t>„</w:t>
      </w:r>
      <w:r w:rsidR="00761EB1" w:rsidRPr="00DD2A86">
        <w:rPr>
          <w:rFonts w:eastAsia="Calibri"/>
          <w:lang w:val="de-DE" w:eastAsia="de-DE"/>
        </w:rPr>
        <w:t>9.3.3.22.4</w:t>
      </w:r>
      <w:r w:rsidR="00761EB1" w:rsidRPr="00DD2A86">
        <w:rPr>
          <w:rFonts w:eastAsia="Calibri"/>
          <w:lang w:val="de-DE" w:eastAsia="de-DE"/>
        </w:rPr>
        <w:tab/>
      </w:r>
      <w:r w:rsidRPr="00DD2A86">
        <w:rPr>
          <w:rFonts w:eastAsia="Calibri"/>
          <w:lang w:val="de-DE" w:eastAsia="de-DE"/>
        </w:rPr>
        <w:t xml:space="preserve">Jeder Ladetank oder jede Gruppe von Ladetanks, die mit einer gemeinsamen Gasabfuhrleitung verbunden sind, muss wie folgt </w:t>
      </w:r>
      <w:r w:rsidRPr="00DD2A86">
        <w:rPr>
          <w:rFonts w:eastAsia="Calibri"/>
          <w:lang w:val="de-DE"/>
        </w:rPr>
        <w:t>ausgerüstet</w:t>
      </w:r>
      <w:r w:rsidRPr="00DD2A86">
        <w:rPr>
          <w:rFonts w:eastAsia="Calibri"/>
          <w:lang w:val="de-DE" w:eastAsia="de-DE"/>
        </w:rPr>
        <w:t xml:space="preserve"> sein:</w:t>
      </w:r>
    </w:p>
    <w:p w:rsidR="00B43F48" w:rsidRPr="00DD2A86" w:rsidRDefault="00B43F48" w:rsidP="00C034B7">
      <w:pPr>
        <w:suppressAutoHyphens w:val="0"/>
        <w:autoSpaceDE w:val="0"/>
        <w:autoSpaceDN w:val="0"/>
        <w:adjustRightInd w:val="0"/>
        <w:spacing w:before="120" w:line="240" w:lineRule="auto"/>
        <w:ind w:left="2268" w:right="1134"/>
        <w:jc w:val="both"/>
        <w:rPr>
          <w:rFonts w:eastAsia="Calibri"/>
          <w:lang w:val="de-DE" w:eastAsia="de-DE"/>
        </w:rPr>
      </w:pPr>
      <w:r w:rsidRPr="00DD2A86">
        <w:rPr>
          <w:rFonts w:eastAsia="Calibri"/>
          <w:lang w:val="de-DE" w:eastAsia="de-DE"/>
        </w:rPr>
        <w:t>Typ N offen:</w:t>
      </w:r>
    </w:p>
    <w:p w:rsidR="00B43F48" w:rsidRPr="00DD2A86" w:rsidRDefault="00B43F48" w:rsidP="00C034B7">
      <w:pPr>
        <w:suppressAutoHyphens w:val="0"/>
        <w:autoSpaceDE w:val="0"/>
        <w:autoSpaceDN w:val="0"/>
        <w:adjustRightInd w:val="0"/>
        <w:spacing w:line="240" w:lineRule="auto"/>
        <w:ind w:left="2552" w:right="1134" w:hanging="284"/>
        <w:jc w:val="both"/>
        <w:rPr>
          <w:rFonts w:eastAsia="Calibri"/>
          <w:lang w:val="de-DE"/>
        </w:rPr>
      </w:pPr>
      <w:r w:rsidRPr="00DD2A86">
        <w:rPr>
          <w:rFonts w:eastAsia="Calibri"/>
          <w:lang w:val="de-DE" w:eastAsia="de-DE"/>
        </w:rPr>
        <w:t>-</w:t>
      </w:r>
      <w:r w:rsidRPr="00DD2A86">
        <w:rPr>
          <w:rFonts w:eastAsia="Calibri"/>
          <w:lang w:val="de-DE" w:eastAsia="de-DE"/>
        </w:rPr>
        <w:tab/>
      </w:r>
      <w:r w:rsidRPr="00DD2A86">
        <w:rPr>
          <w:rFonts w:eastAsia="Calibri"/>
          <w:lang w:val="de-DE"/>
        </w:rPr>
        <w:t>mit Einrichtungen, die unzulässige Über- und Unterdrücke verhindern und so gebaut sind, dass jede Ansammlung von Wasser und dessen Eindringen in Ladetanks verhindert wird.</w:t>
      </w:r>
    </w:p>
    <w:p w:rsidR="00B43F48" w:rsidRPr="00DD2A86" w:rsidRDefault="00B43F48" w:rsidP="00C034B7">
      <w:pPr>
        <w:suppressAutoHyphens w:val="0"/>
        <w:autoSpaceDE w:val="0"/>
        <w:autoSpaceDN w:val="0"/>
        <w:adjustRightInd w:val="0"/>
        <w:spacing w:before="120" w:line="240" w:lineRule="auto"/>
        <w:ind w:left="2268" w:right="1134"/>
        <w:jc w:val="both"/>
        <w:rPr>
          <w:rFonts w:eastAsia="Calibri"/>
          <w:lang w:val="de-DE"/>
        </w:rPr>
      </w:pPr>
      <w:r w:rsidRPr="00DD2A86">
        <w:rPr>
          <w:rFonts w:eastAsia="Calibri"/>
          <w:lang w:val="de-DE"/>
        </w:rPr>
        <w:t>Typ N offen mit Flammendurchschlagsicherungen:</w:t>
      </w:r>
    </w:p>
    <w:p w:rsidR="00B43F48" w:rsidRPr="00DD2A86" w:rsidRDefault="00B43F48" w:rsidP="00C034B7">
      <w:pPr>
        <w:suppressAutoHyphens w:val="0"/>
        <w:autoSpaceDE w:val="0"/>
        <w:autoSpaceDN w:val="0"/>
        <w:adjustRightInd w:val="0"/>
        <w:spacing w:line="240" w:lineRule="auto"/>
        <w:ind w:left="2552" w:right="1134" w:hanging="284"/>
        <w:jc w:val="both"/>
        <w:rPr>
          <w:rFonts w:eastAsia="Calibri"/>
          <w:lang w:val="de-DE" w:eastAsia="de-DE"/>
        </w:rPr>
      </w:pPr>
      <w:r w:rsidRPr="00DD2A86">
        <w:rPr>
          <w:rFonts w:eastAsia="Calibri"/>
          <w:lang w:val="de-DE"/>
        </w:rPr>
        <w:t>-</w:t>
      </w:r>
      <w:r w:rsidRPr="00DD2A86">
        <w:rPr>
          <w:rFonts w:eastAsia="Calibri"/>
          <w:lang w:val="de-DE"/>
        </w:rPr>
        <w:tab/>
      </w:r>
      <w:r w:rsidRPr="00DD2A86">
        <w:rPr>
          <w:rFonts w:eastAsia="Calibri"/>
          <w:lang w:val="de-DE" w:eastAsia="de-DE"/>
        </w:rPr>
        <w:t>mit Einrichtungen, die unzulässige Über- und Unterdrücke verhindern, mit dauerbrandsicheren Flammendurchschlagsicherungen versehen und so gebaut sind, dass jede Ansammlung von Wasser und dessen Eindringen in Ladetanks verhindert wird.</w:t>
      </w:r>
    </w:p>
    <w:p w:rsidR="00B43F48" w:rsidRPr="00DD2A86" w:rsidRDefault="00B43F48" w:rsidP="00C034B7">
      <w:pPr>
        <w:suppressAutoHyphens w:val="0"/>
        <w:autoSpaceDE w:val="0"/>
        <w:autoSpaceDN w:val="0"/>
        <w:adjustRightInd w:val="0"/>
        <w:spacing w:before="120" w:line="240" w:lineRule="auto"/>
        <w:ind w:left="2268" w:right="1134"/>
        <w:jc w:val="both"/>
        <w:rPr>
          <w:rFonts w:eastAsia="Calibri"/>
          <w:lang w:val="de-DE" w:eastAsia="de-DE"/>
        </w:rPr>
      </w:pPr>
      <w:r w:rsidRPr="00DD2A86">
        <w:rPr>
          <w:rFonts w:eastAsia="Calibri"/>
          <w:lang w:val="de-DE" w:eastAsia="de-DE"/>
        </w:rPr>
        <w:t>Typ N geschlossen:</w:t>
      </w:r>
    </w:p>
    <w:p w:rsidR="00B43F48" w:rsidRPr="00DD2A86" w:rsidRDefault="00B43F48" w:rsidP="00C034B7">
      <w:pPr>
        <w:suppressAutoHyphens w:val="0"/>
        <w:autoSpaceDE w:val="0"/>
        <w:autoSpaceDN w:val="0"/>
        <w:adjustRightInd w:val="0"/>
        <w:spacing w:line="240" w:lineRule="auto"/>
        <w:ind w:left="2268" w:right="1134"/>
        <w:rPr>
          <w:rFonts w:eastAsia="Calibri"/>
          <w:szCs w:val="24"/>
          <w:lang w:val="de-DE"/>
        </w:rPr>
      </w:pPr>
      <w:r w:rsidRPr="00DD2A86">
        <w:rPr>
          <w:rFonts w:eastAsia="Calibri"/>
          <w:szCs w:val="24"/>
          <w:lang w:val="de-DE"/>
        </w:rPr>
        <w:t>mit</w:t>
      </w:r>
    </w:p>
    <w:p w:rsidR="00B43F48" w:rsidRPr="00DD2A86" w:rsidRDefault="00B43F48" w:rsidP="00C034B7">
      <w:pPr>
        <w:suppressAutoHyphens w:val="0"/>
        <w:autoSpaceDE w:val="0"/>
        <w:autoSpaceDN w:val="0"/>
        <w:adjustRightInd w:val="0"/>
        <w:spacing w:before="60" w:line="240" w:lineRule="auto"/>
        <w:ind w:left="2694" w:right="1134" w:hanging="426"/>
        <w:jc w:val="both"/>
        <w:rPr>
          <w:rFonts w:eastAsia="Calibri"/>
          <w:szCs w:val="24"/>
          <w:lang w:val="de-DE"/>
        </w:rPr>
      </w:pPr>
      <w:r w:rsidRPr="00DD2A86">
        <w:rPr>
          <w:rFonts w:eastAsia="Calibri"/>
          <w:szCs w:val="24"/>
          <w:lang w:val="de-DE"/>
        </w:rPr>
        <w:t>a)</w:t>
      </w:r>
      <w:r w:rsidRPr="00DD2A86">
        <w:rPr>
          <w:rFonts w:eastAsia="Calibri"/>
          <w:szCs w:val="24"/>
          <w:lang w:val="de-DE"/>
        </w:rPr>
        <w:tab/>
        <w:t>einem Anschluss für die gefahrlose Rückgabe der beim Laden entwe</w:t>
      </w:r>
      <w:r w:rsidR="006A1890" w:rsidRPr="00DD2A86">
        <w:rPr>
          <w:rFonts w:eastAsia="Calibri"/>
          <w:szCs w:val="24"/>
          <w:lang w:val="de-DE"/>
        </w:rPr>
        <w:t>ichenden Gase an die Landanlage</w:t>
      </w:r>
      <w:r w:rsidR="00ED6C56" w:rsidRPr="00DD2A86">
        <w:rPr>
          <w:rFonts w:eastAsia="Calibri"/>
          <w:szCs w:val="24"/>
          <w:lang w:val="de-DE"/>
        </w:rPr>
        <w:t>.</w:t>
      </w:r>
    </w:p>
    <w:p w:rsidR="00B43F48" w:rsidRPr="00DD2A86" w:rsidRDefault="00B43F48" w:rsidP="00C034B7">
      <w:pPr>
        <w:suppressAutoHyphens w:val="0"/>
        <w:autoSpaceDE w:val="0"/>
        <w:autoSpaceDN w:val="0"/>
        <w:adjustRightInd w:val="0"/>
        <w:spacing w:before="60" w:line="240" w:lineRule="auto"/>
        <w:ind w:left="2694" w:right="1134" w:hanging="426"/>
        <w:jc w:val="both"/>
        <w:rPr>
          <w:rFonts w:eastAsia="Calibri"/>
          <w:szCs w:val="24"/>
          <w:lang w:val="de-DE"/>
        </w:rPr>
      </w:pPr>
      <w:r w:rsidRPr="00DD2A86">
        <w:rPr>
          <w:rFonts w:eastAsia="Calibri"/>
          <w:szCs w:val="24"/>
          <w:lang w:val="de-DE"/>
        </w:rPr>
        <w:t>b)</w:t>
      </w:r>
      <w:r w:rsidRPr="00DD2A86">
        <w:rPr>
          <w:rFonts w:eastAsia="Calibri"/>
          <w:szCs w:val="24"/>
          <w:lang w:val="de-DE"/>
        </w:rPr>
        <w:tab/>
        <w:t>einer Vorrichtung zum gefahrlosen Entspannen der Ladetanks, wobei aus der Stellung der Absperrarmatur klar erkennbar sein muss, ob sie offen oder geschlossen ist.</w:t>
      </w:r>
    </w:p>
    <w:p w:rsidR="00B43F48" w:rsidRPr="00DD2A86" w:rsidRDefault="00B43F48" w:rsidP="00C034B7">
      <w:pPr>
        <w:suppressAutoHyphens w:val="0"/>
        <w:autoSpaceDE w:val="0"/>
        <w:autoSpaceDN w:val="0"/>
        <w:adjustRightInd w:val="0"/>
        <w:spacing w:before="60" w:line="240" w:lineRule="auto"/>
        <w:ind w:left="2694" w:right="1134" w:hanging="426"/>
        <w:jc w:val="both"/>
        <w:rPr>
          <w:rFonts w:eastAsia="Calibri"/>
          <w:szCs w:val="24"/>
          <w:lang w:val="de-DE"/>
        </w:rPr>
      </w:pPr>
      <w:r w:rsidRPr="00DD2A86">
        <w:rPr>
          <w:rFonts w:eastAsia="Calibri"/>
          <w:szCs w:val="24"/>
          <w:lang w:val="de-DE"/>
        </w:rPr>
        <w:t>c)</w:t>
      </w:r>
      <w:r w:rsidRPr="00DD2A86">
        <w:rPr>
          <w:rFonts w:eastAsia="Calibri"/>
          <w:szCs w:val="24"/>
          <w:lang w:val="de-DE"/>
        </w:rPr>
        <w:tab/>
        <w:t>Sicherheitsventile, die unzulässige Über- und Unterdrücke verhindern.</w:t>
      </w:r>
    </w:p>
    <w:p w:rsidR="00B43F48" w:rsidRPr="00DD2A86" w:rsidRDefault="00B43F48" w:rsidP="00C034B7">
      <w:pPr>
        <w:suppressAutoHyphens w:val="0"/>
        <w:autoSpaceDE w:val="0"/>
        <w:autoSpaceDN w:val="0"/>
        <w:adjustRightInd w:val="0"/>
        <w:spacing w:before="60" w:line="240" w:lineRule="auto"/>
        <w:ind w:left="2694" w:right="1134"/>
        <w:jc w:val="both"/>
        <w:rPr>
          <w:rFonts w:eastAsia="Calibri"/>
          <w:szCs w:val="24"/>
          <w:lang w:val="de-DE"/>
        </w:rPr>
      </w:pPr>
      <w:r w:rsidRPr="00DD2A86">
        <w:rPr>
          <w:rFonts w:eastAsia="Calibri"/>
          <w:szCs w:val="24"/>
          <w:lang w:val="de-DE"/>
        </w:rPr>
        <w:t>Auf den Sicherheitsventilen muss der jeweilige Öffnungsdruck dauerhaft angebracht sein.</w:t>
      </w:r>
    </w:p>
    <w:p w:rsidR="00B43F48" w:rsidRPr="00DD2A86" w:rsidRDefault="00B43F48" w:rsidP="00C034B7">
      <w:pPr>
        <w:suppressAutoHyphens w:val="0"/>
        <w:autoSpaceDE w:val="0"/>
        <w:autoSpaceDN w:val="0"/>
        <w:adjustRightInd w:val="0"/>
        <w:spacing w:before="60" w:line="240" w:lineRule="auto"/>
        <w:ind w:left="2694" w:right="1134" w:hanging="426"/>
        <w:jc w:val="both"/>
        <w:rPr>
          <w:rFonts w:eastAsia="Calibri"/>
          <w:szCs w:val="24"/>
          <w:lang w:val="de-DE"/>
        </w:rPr>
      </w:pPr>
      <w:r w:rsidRPr="00DD2A86">
        <w:rPr>
          <w:rFonts w:eastAsia="Calibri"/>
          <w:szCs w:val="24"/>
          <w:lang w:val="de-DE"/>
        </w:rPr>
        <w:t>d)</w:t>
      </w:r>
      <w:r w:rsidRPr="00DD2A86">
        <w:rPr>
          <w:rFonts w:eastAsia="Calibri"/>
          <w:szCs w:val="24"/>
          <w:lang w:val="de-DE"/>
        </w:rPr>
        <w:tab/>
        <w:t>Wenn die Schiffsstoffliste nach Absatz 1.16.1.2.5 Stoffe enthalten soll</w:t>
      </w:r>
      <w:r w:rsidR="00B433BA" w:rsidRPr="00DD2A86">
        <w:rPr>
          <w:rFonts w:eastAsia="Calibri"/>
          <w:szCs w:val="24"/>
          <w:lang w:val="de-DE"/>
        </w:rPr>
        <w:t>,</w:t>
      </w:r>
      <w:r w:rsidRPr="00DD2A86">
        <w:rPr>
          <w:rFonts w:eastAsia="Calibri"/>
          <w:szCs w:val="24"/>
          <w:lang w:val="de-DE"/>
        </w:rPr>
        <w:t xml:space="preserve"> für die nach Unterabschnitt 3.2.3.2 Tabelle C Spalte (17) Explosionsschutz gefordert ist, muss</w:t>
      </w:r>
    </w:p>
    <w:p w:rsidR="00B43F48" w:rsidRPr="00DD2A86" w:rsidRDefault="00B43F48" w:rsidP="00C034B7">
      <w:pPr>
        <w:suppressAutoHyphens w:val="0"/>
        <w:autoSpaceDE w:val="0"/>
        <w:autoSpaceDN w:val="0"/>
        <w:adjustRightInd w:val="0"/>
        <w:spacing w:before="60" w:line="240" w:lineRule="auto"/>
        <w:ind w:left="2977" w:right="1134" w:hanging="283"/>
        <w:jc w:val="both"/>
        <w:rPr>
          <w:rFonts w:eastAsia="Calibri"/>
          <w:szCs w:val="24"/>
          <w:lang w:val="de-DE"/>
        </w:rPr>
      </w:pPr>
      <w:r w:rsidRPr="00DD2A86">
        <w:rPr>
          <w:rFonts w:eastAsia="Calibri"/>
          <w:szCs w:val="24"/>
          <w:lang w:val="de-DE"/>
        </w:rPr>
        <w:t>-</w:t>
      </w:r>
      <w:r w:rsidRPr="00DD2A86">
        <w:rPr>
          <w:rFonts w:eastAsia="Calibri"/>
          <w:szCs w:val="24"/>
          <w:lang w:val="de-DE"/>
        </w:rPr>
        <w:tab/>
        <w:t xml:space="preserve">die Gasabfuhrleitung </w:t>
      </w:r>
      <w:r w:rsidRPr="00DD2A86">
        <w:rPr>
          <w:rFonts w:eastAsia="Calibri"/>
          <w:szCs w:val="24"/>
          <w:lang w:val="de-DE" w:eastAsia="de-DE"/>
        </w:rPr>
        <w:t>an der Einführung in jeden Ladetank mit einer detonationssicheren Flammendurchschlagsicherung versehen sein,</w:t>
      </w:r>
    </w:p>
    <w:p w:rsidR="00B43F48" w:rsidRPr="00DD2A86" w:rsidRDefault="00B43F48" w:rsidP="00C034B7">
      <w:pPr>
        <w:suppressAutoHyphens w:val="0"/>
        <w:autoSpaceDE w:val="0"/>
        <w:autoSpaceDN w:val="0"/>
        <w:adjustRightInd w:val="0"/>
        <w:spacing w:before="60" w:line="240" w:lineRule="auto"/>
        <w:ind w:left="2977" w:right="1134" w:hanging="283"/>
        <w:jc w:val="both"/>
        <w:rPr>
          <w:rFonts w:eastAsia="Calibri"/>
          <w:szCs w:val="24"/>
          <w:lang w:val="de-DE" w:eastAsia="de-DE"/>
        </w:rPr>
      </w:pPr>
      <w:r w:rsidRPr="00DD2A86">
        <w:rPr>
          <w:rFonts w:eastAsia="Calibri"/>
          <w:szCs w:val="24"/>
          <w:lang w:val="de-DE" w:eastAsia="de-DE"/>
        </w:rPr>
        <w:t>-</w:t>
      </w:r>
      <w:r w:rsidRPr="00DD2A86">
        <w:rPr>
          <w:rFonts w:eastAsia="Calibri"/>
          <w:szCs w:val="24"/>
          <w:lang w:val="de-DE" w:eastAsia="de-DE"/>
        </w:rPr>
        <w:tab/>
      </w:r>
      <w:r w:rsidRPr="00DD2A86">
        <w:rPr>
          <w:rFonts w:eastAsia="Calibri"/>
          <w:szCs w:val="24"/>
          <w:lang w:val="de-DE"/>
        </w:rPr>
        <w:t xml:space="preserve">das Unterdruckventil </w:t>
      </w:r>
      <w:r w:rsidRPr="00DD2A86">
        <w:rPr>
          <w:rFonts w:eastAsia="Calibri"/>
          <w:szCs w:val="24"/>
          <w:lang w:val="de-DE" w:eastAsia="de-DE"/>
        </w:rPr>
        <w:t xml:space="preserve">sowie die Vorrichtung zum gefahrlosen Entspannen der Ladetanks </w:t>
      </w:r>
      <w:r w:rsidRPr="00DD2A86">
        <w:rPr>
          <w:rFonts w:eastAsia="Calibri"/>
          <w:szCs w:val="24"/>
          <w:lang w:val="de-DE"/>
        </w:rPr>
        <w:t>deflagrationssicher ausgeführt sein.</w:t>
      </w:r>
      <w:r w:rsidRPr="00DD2A86">
        <w:rPr>
          <w:rFonts w:eastAsia="Calibri"/>
          <w:szCs w:val="24"/>
          <w:lang w:val="de-DE" w:eastAsia="de-DE"/>
        </w:rPr>
        <w:t xml:space="preserve"> </w:t>
      </w:r>
      <w:r w:rsidRPr="00DD2A86">
        <w:rPr>
          <w:rFonts w:eastAsia="Calibri"/>
          <w:szCs w:val="24"/>
          <w:lang w:val="de-DE"/>
        </w:rPr>
        <w:t>Die Deflagrationssicherheit kann auch durch eine Flammendurchschlagsicherung gewährleistet werden</w:t>
      </w:r>
    </w:p>
    <w:p w:rsidR="00B43F48" w:rsidRPr="00DD2A86" w:rsidRDefault="00B43F48" w:rsidP="00C034B7">
      <w:pPr>
        <w:suppressAutoHyphens w:val="0"/>
        <w:autoSpaceDE w:val="0"/>
        <w:autoSpaceDN w:val="0"/>
        <w:adjustRightInd w:val="0"/>
        <w:spacing w:before="60" w:line="240" w:lineRule="auto"/>
        <w:ind w:left="2977" w:right="1134" w:hanging="283"/>
        <w:jc w:val="both"/>
        <w:rPr>
          <w:rFonts w:eastAsia="Calibri"/>
          <w:szCs w:val="24"/>
          <w:lang w:val="de-DE"/>
        </w:rPr>
      </w:pPr>
      <w:r w:rsidRPr="00DD2A86">
        <w:rPr>
          <w:rFonts w:eastAsia="Calibri"/>
          <w:szCs w:val="24"/>
          <w:lang w:val="de-DE" w:eastAsia="de-DE"/>
        </w:rPr>
        <w:t>und</w:t>
      </w:r>
    </w:p>
    <w:p w:rsidR="00B43F48" w:rsidRPr="00DD2A86" w:rsidRDefault="00B43F48" w:rsidP="00C034B7">
      <w:pPr>
        <w:suppressAutoHyphens w:val="0"/>
        <w:autoSpaceDE w:val="0"/>
        <w:autoSpaceDN w:val="0"/>
        <w:adjustRightInd w:val="0"/>
        <w:spacing w:before="60" w:line="240" w:lineRule="auto"/>
        <w:ind w:left="2977" w:right="1134" w:hanging="283"/>
        <w:jc w:val="both"/>
        <w:rPr>
          <w:rFonts w:eastAsia="Calibri"/>
          <w:szCs w:val="24"/>
          <w:lang w:val="de-DE"/>
        </w:rPr>
      </w:pPr>
      <w:r w:rsidRPr="00DD2A86">
        <w:rPr>
          <w:rFonts w:eastAsia="Calibri"/>
          <w:szCs w:val="24"/>
          <w:lang w:val="de-DE"/>
        </w:rPr>
        <w:t>-</w:t>
      </w:r>
      <w:r w:rsidRPr="00DD2A86">
        <w:rPr>
          <w:rFonts w:eastAsia="Calibri"/>
          <w:szCs w:val="24"/>
          <w:lang w:val="de-DE"/>
        </w:rPr>
        <w:tab/>
        <w:t xml:space="preserve">das </w:t>
      </w:r>
      <w:r w:rsidRPr="00DD2A86">
        <w:rPr>
          <w:rFonts w:eastAsia="Calibri"/>
          <w:szCs w:val="24"/>
          <w:lang w:val="de-DE" w:eastAsia="de-DE"/>
        </w:rPr>
        <w:t xml:space="preserve">Überdruckventil als Hochgeschwindigkeitsventil ausgeführt sein, wobei </w:t>
      </w:r>
      <w:r w:rsidRPr="00DD2A86">
        <w:rPr>
          <w:rFonts w:eastAsia="Calibri"/>
          <w:szCs w:val="24"/>
          <w:lang w:val="de-DE"/>
        </w:rPr>
        <w:t>die Gase nach oben abgeführt werden müssen.</w:t>
      </w:r>
    </w:p>
    <w:p w:rsidR="00B43F48" w:rsidRPr="00DD2A86" w:rsidRDefault="00B43F48" w:rsidP="00761EB1">
      <w:pPr>
        <w:suppressAutoHyphens w:val="0"/>
        <w:autoSpaceDE w:val="0"/>
        <w:autoSpaceDN w:val="0"/>
        <w:adjustRightInd w:val="0"/>
        <w:spacing w:before="120" w:line="240" w:lineRule="auto"/>
        <w:ind w:left="2694" w:right="1134"/>
        <w:jc w:val="both"/>
        <w:rPr>
          <w:rFonts w:eastAsia="Calibri"/>
          <w:szCs w:val="24"/>
          <w:lang w:val="de-DE"/>
        </w:rPr>
      </w:pPr>
      <w:r w:rsidRPr="00DD2A86">
        <w:rPr>
          <w:rFonts w:eastAsia="Calibri"/>
          <w:szCs w:val="24"/>
          <w:lang w:val="de-DE"/>
        </w:rPr>
        <w:t>Die Überdruckventile müssen so dimensioniert sein, dass sie während der Beförderung erst beim Erreichen des höchstzulässigen Betriebsdrucks der Ladetanks ansprechen.</w:t>
      </w:r>
    </w:p>
    <w:p w:rsidR="00236D78" w:rsidRPr="00DD2A86" w:rsidRDefault="00236D78" w:rsidP="00C034B7">
      <w:pPr>
        <w:suppressAutoHyphens w:val="0"/>
        <w:autoSpaceDE w:val="0"/>
        <w:autoSpaceDN w:val="0"/>
        <w:adjustRightInd w:val="0"/>
        <w:spacing w:line="240" w:lineRule="auto"/>
        <w:ind w:left="2694" w:right="1134"/>
        <w:jc w:val="both"/>
        <w:rPr>
          <w:rFonts w:eastAsia="Calibri"/>
          <w:szCs w:val="24"/>
          <w:lang w:val="de-DE"/>
        </w:rPr>
      </w:pPr>
    </w:p>
    <w:p w:rsidR="00B43F48" w:rsidRPr="00DD2A86" w:rsidRDefault="00B43F48" w:rsidP="00C034B7">
      <w:pPr>
        <w:suppressAutoHyphens w:val="0"/>
        <w:autoSpaceDE w:val="0"/>
        <w:autoSpaceDN w:val="0"/>
        <w:adjustRightInd w:val="0"/>
        <w:spacing w:line="240" w:lineRule="auto"/>
        <w:ind w:left="2694" w:right="1134"/>
        <w:jc w:val="both"/>
        <w:rPr>
          <w:rFonts w:eastAsia="Calibri"/>
          <w:szCs w:val="24"/>
          <w:lang w:val="de-DE" w:eastAsia="de-DE"/>
        </w:rPr>
      </w:pPr>
      <w:r w:rsidRPr="00DD2A86">
        <w:rPr>
          <w:rFonts w:eastAsia="Calibri"/>
          <w:szCs w:val="24"/>
          <w:lang w:val="de-DE"/>
        </w:rPr>
        <w:t xml:space="preserve">Diese autonomen Schutzsysteme sind unter </w:t>
      </w:r>
      <w:r w:rsidRPr="00DD2A86">
        <w:rPr>
          <w:rFonts w:eastAsia="Calibri"/>
          <w:szCs w:val="24"/>
          <w:lang w:val="de-DE" w:eastAsia="de-DE"/>
        </w:rPr>
        <w:t>Berücksichtigung</w:t>
      </w:r>
      <w:r w:rsidRPr="00DD2A86">
        <w:rPr>
          <w:rFonts w:eastAsia="Calibri"/>
          <w:szCs w:val="24"/>
          <w:lang w:val="de-DE"/>
        </w:rPr>
        <w:t xml:space="preserve"> der für die Schiffsstoffliste vorgesehenen Stoffe entsprechend </w:t>
      </w:r>
      <w:r w:rsidRPr="00DD2A86">
        <w:rPr>
          <w:rFonts w:eastAsia="Calibri"/>
          <w:szCs w:val="24"/>
          <w:lang w:val="de-DE" w:eastAsia="de-DE"/>
        </w:rPr>
        <w:t>den dafür erforderlichen Explosionsgruppen/Untergruppen auszuwählen (siehe Unterabschnitt 3.2.3.2 Tabelle</w:t>
      </w:r>
      <w:r w:rsidR="006A1890" w:rsidRPr="00DD2A86">
        <w:rPr>
          <w:rFonts w:eastAsia="Calibri"/>
          <w:szCs w:val="24"/>
          <w:lang w:val="de-DE" w:eastAsia="de-DE"/>
        </w:rPr>
        <w:t> </w:t>
      </w:r>
      <w:r w:rsidRPr="00DD2A86">
        <w:rPr>
          <w:rFonts w:eastAsia="Calibri"/>
          <w:szCs w:val="24"/>
          <w:lang w:val="de-DE" w:eastAsia="de-DE"/>
        </w:rPr>
        <w:t>C Spalte (16)).</w:t>
      </w:r>
    </w:p>
    <w:p w:rsidR="00B43F48" w:rsidRPr="00DD2A86" w:rsidRDefault="00B43F48" w:rsidP="00761EB1">
      <w:pPr>
        <w:suppressAutoHyphens w:val="0"/>
        <w:autoSpaceDE w:val="0"/>
        <w:autoSpaceDN w:val="0"/>
        <w:adjustRightInd w:val="0"/>
        <w:spacing w:before="240" w:line="240" w:lineRule="auto"/>
        <w:ind w:left="2694" w:right="1134"/>
        <w:jc w:val="both"/>
        <w:rPr>
          <w:rFonts w:eastAsia="Calibri"/>
          <w:szCs w:val="24"/>
          <w:lang w:val="de-DE" w:eastAsia="de-DE"/>
        </w:rPr>
      </w:pPr>
      <w:r w:rsidRPr="00DD2A86">
        <w:rPr>
          <w:rFonts w:eastAsia="Calibri"/>
          <w:szCs w:val="24"/>
          <w:lang w:val="de-DE" w:eastAsia="de-DE"/>
        </w:rPr>
        <w:t>Wenn für die Beförderung das Hochgeschwindigkeitsventil, das Unterdruckventil, die Flammendurchschlagsicherungen sowie die Gasabfuhrleitung beheizbar ausgeführt sein müssen, müssen die genannten Sicherheitseinrichtungen für die jeweilige Temperatur geeignet sein.</w:t>
      </w:r>
    </w:p>
    <w:p w:rsidR="00B43F48" w:rsidRPr="00DD2A86" w:rsidRDefault="00B43F48" w:rsidP="00761EB1">
      <w:pPr>
        <w:suppressAutoHyphens w:val="0"/>
        <w:autoSpaceDE w:val="0"/>
        <w:autoSpaceDN w:val="0"/>
        <w:adjustRightInd w:val="0"/>
        <w:spacing w:before="240" w:line="240" w:lineRule="auto"/>
        <w:ind w:left="2694" w:right="1134"/>
        <w:jc w:val="both"/>
        <w:rPr>
          <w:rFonts w:eastAsia="Calibri"/>
          <w:szCs w:val="24"/>
          <w:lang w:val="de-DE"/>
        </w:rPr>
      </w:pPr>
      <w:r w:rsidRPr="00DD2A86">
        <w:rPr>
          <w:rFonts w:eastAsia="Calibri"/>
          <w:szCs w:val="24"/>
          <w:lang w:val="de-DE"/>
        </w:rPr>
        <w:t>Auf den Über- und Unterdruckventilen und Hochgeschwindigkeitsventilen muss der jeweilige Öffnungsdruck dauerhaft angebracht sein.</w:t>
      </w:r>
    </w:p>
    <w:p w:rsidR="00B43F48" w:rsidRPr="00DD2A86" w:rsidRDefault="00B43F48" w:rsidP="00761EB1">
      <w:pPr>
        <w:suppressAutoHyphens w:val="0"/>
        <w:autoSpaceDE w:val="0"/>
        <w:autoSpaceDN w:val="0"/>
        <w:adjustRightInd w:val="0"/>
        <w:spacing w:before="120" w:line="240" w:lineRule="auto"/>
        <w:ind w:left="2694" w:right="1134"/>
        <w:jc w:val="both"/>
        <w:rPr>
          <w:rFonts w:eastAsia="Calibri"/>
          <w:szCs w:val="24"/>
          <w:lang w:val="de-DE" w:eastAsia="de-DE"/>
        </w:rPr>
      </w:pPr>
      <w:r w:rsidRPr="00DD2A86">
        <w:rPr>
          <w:rFonts w:eastAsia="Calibri"/>
          <w:szCs w:val="24"/>
          <w:lang w:val="de-DE" w:eastAsia="de-DE"/>
        </w:rPr>
        <w:t xml:space="preserve">Wenn zwischen Gasabfuhrleitung und Ladetank eine Absperrarmatur vorgesehen ist, muss diese </w:t>
      </w:r>
      <w:r w:rsidRPr="00DD2A86">
        <w:rPr>
          <w:rFonts w:eastAsia="Calibri"/>
          <w:szCs w:val="24"/>
          <w:lang w:val="de-DE" w:eastAsia="en-GB"/>
        </w:rPr>
        <w:t>zwischen Ladetank und Flammendurchschlagsicherung angeordnet sein</w:t>
      </w:r>
      <w:r w:rsidRPr="00DD2A86">
        <w:rPr>
          <w:rFonts w:eastAsia="Calibri"/>
          <w:szCs w:val="24"/>
          <w:lang w:val="de-DE" w:eastAsia="de-DE"/>
        </w:rPr>
        <w:t xml:space="preserve"> und jeder Ladetank muss mit eigenen Sicherheitsventilen versehen sein.</w:t>
      </w:r>
    </w:p>
    <w:p w:rsidR="00B43F48" w:rsidRPr="00DD2A86" w:rsidRDefault="00B43F48" w:rsidP="00C034B7">
      <w:pPr>
        <w:suppressAutoHyphens w:val="0"/>
        <w:autoSpaceDE w:val="0"/>
        <w:autoSpaceDN w:val="0"/>
        <w:adjustRightInd w:val="0"/>
        <w:spacing w:before="60" w:line="240" w:lineRule="auto"/>
        <w:ind w:left="2694" w:right="1134" w:hanging="426"/>
        <w:jc w:val="both"/>
        <w:rPr>
          <w:rFonts w:eastAsia="Calibri"/>
          <w:szCs w:val="24"/>
          <w:lang w:val="de-DE"/>
        </w:rPr>
      </w:pPr>
      <w:r w:rsidRPr="00DD2A86">
        <w:rPr>
          <w:rFonts w:eastAsia="Calibri"/>
          <w:szCs w:val="24"/>
          <w:lang w:val="de-DE"/>
        </w:rPr>
        <w:t>e)</w:t>
      </w:r>
      <w:r w:rsidRPr="00DD2A86">
        <w:rPr>
          <w:rFonts w:eastAsia="Calibri"/>
          <w:szCs w:val="24"/>
          <w:lang w:val="de-DE"/>
        </w:rPr>
        <w:tab/>
        <w:t xml:space="preserve">Austrittsöffnungen der </w:t>
      </w:r>
      <w:r w:rsidR="00ED6C56" w:rsidRPr="00DD2A86">
        <w:rPr>
          <w:rFonts w:eastAsia="Calibri"/>
          <w:szCs w:val="24"/>
          <w:lang w:val="de-AT"/>
        </w:rPr>
        <w:t>Überdruck-/</w:t>
      </w:r>
      <w:r w:rsidRPr="00DD2A86">
        <w:rPr>
          <w:rFonts w:eastAsia="Calibri"/>
          <w:szCs w:val="24"/>
          <w:lang w:val="de-DE"/>
        </w:rPr>
        <w:t>Hochgeschwindigkeitsventile müssen mindestens 2,00 m über Deck angeordnet sein und einen Abstand von mindestens 6,00 m von den Öffnungen von Wohnungen, Steuerhaus und Betriebsräumen außerhalb des Bereichs der Ladung haben. Die Höhe kann auf 1,00 m verringert werden, wenn in einem Umkreis von 1,00 m um die Austrittsöffnung keine Bedienungseinrichtungen vorhanden sind. Dieser Bereich muss</w:t>
      </w:r>
      <w:r w:rsidRPr="00DD2A86" w:rsidDel="00F53EC1">
        <w:rPr>
          <w:rFonts w:eastAsia="Calibri"/>
          <w:szCs w:val="24"/>
          <w:lang w:val="de-DE"/>
        </w:rPr>
        <w:t xml:space="preserve"> </w:t>
      </w:r>
      <w:r w:rsidRPr="00DD2A86">
        <w:rPr>
          <w:rFonts w:eastAsia="Calibri"/>
          <w:szCs w:val="24"/>
          <w:lang w:val="de-DE"/>
        </w:rPr>
        <w:t>als Gefahrenbereich gekennzeichnet sein.“.</w:t>
      </w:r>
    </w:p>
    <w:p w:rsidR="002D5A83" w:rsidRPr="00DD2A86" w:rsidRDefault="006A26A4" w:rsidP="00B61A90">
      <w:pPr>
        <w:pStyle w:val="ListParagraph"/>
        <w:suppressAutoHyphens w:val="0"/>
        <w:autoSpaceDE w:val="0"/>
        <w:autoSpaceDN w:val="0"/>
        <w:adjustRightInd w:val="0"/>
        <w:spacing w:before="240"/>
        <w:ind w:left="1134"/>
        <w:contextualSpacing w:val="0"/>
        <w:jc w:val="both"/>
        <w:rPr>
          <w:rFonts w:eastAsia="Calibri"/>
          <w:lang w:val="de-DE" w:eastAsia="de-DE"/>
        </w:rPr>
      </w:pPr>
      <w:r w:rsidRPr="00DD2A86">
        <w:rPr>
          <w:rFonts w:eastAsia="Calibri"/>
          <w:lang w:val="de-DE" w:eastAsia="de-DE"/>
        </w:rPr>
        <w:t>9.3.3.22.6</w:t>
      </w:r>
      <w:r w:rsidR="002D5A83" w:rsidRPr="00DD2A86">
        <w:rPr>
          <w:rFonts w:eastAsia="Calibri"/>
          <w:lang w:val="de-DE" w:eastAsia="de-DE"/>
        </w:rPr>
        <w:tab/>
        <w:t>Streichen: „, 9.3.3.22.4 b)“.</w:t>
      </w:r>
    </w:p>
    <w:p w:rsidR="008A2E2B" w:rsidRPr="00DD2A86" w:rsidRDefault="00D83954" w:rsidP="00C034B7">
      <w:pPr>
        <w:pStyle w:val="ListParagraph"/>
        <w:tabs>
          <w:tab w:val="left" w:pos="2268"/>
        </w:tabs>
        <w:suppressAutoHyphens w:val="0"/>
        <w:autoSpaceDE w:val="0"/>
        <w:autoSpaceDN w:val="0"/>
        <w:adjustRightInd w:val="0"/>
        <w:spacing w:before="240"/>
        <w:ind w:left="2552" w:right="1134" w:hanging="1418"/>
        <w:contextualSpacing w:val="0"/>
        <w:jc w:val="both"/>
        <w:rPr>
          <w:rFonts w:eastAsia="Calibri"/>
          <w:lang w:val="de-DE" w:eastAsia="de-DE"/>
        </w:rPr>
      </w:pPr>
      <w:r w:rsidRPr="00DD2A86">
        <w:rPr>
          <w:rFonts w:eastAsia="Calibri"/>
          <w:lang w:val="de-DE" w:eastAsia="de-DE"/>
        </w:rPr>
        <w:t>9.3.3.25.9</w:t>
      </w:r>
      <w:r w:rsidRPr="00DD2A86">
        <w:rPr>
          <w:rFonts w:eastAsia="Calibri"/>
          <w:lang w:val="de-DE" w:eastAsia="de-DE"/>
        </w:rPr>
        <w:tab/>
      </w:r>
      <w:r w:rsidR="008A2E2B" w:rsidRPr="00DD2A86">
        <w:rPr>
          <w:rFonts w:eastAsia="Calibri"/>
          <w:lang w:val="de-DE" w:eastAsia="de-DE"/>
        </w:rPr>
        <w:t>-</w:t>
      </w:r>
      <w:r w:rsidR="008A2E2B" w:rsidRPr="00DD2A86">
        <w:rPr>
          <w:rFonts w:eastAsia="Calibri"/>
          <w:lang w:val="de-DE" w:eastAsia="de-DE"/>
        </w:rPr>
        <w:tab/>
        <w:t>Streichen „Für Tankschiffe des Typs N offen mit Flammendurchschlagsicherung und Typ N offen sind die Lade- und Löschraten abhängig vom Gesamtquerschnitt der Entlüftungsrohre.“.</w:t>
      </w:r>
    </w:p>
    <w:p w:rsidR="00F12E92" w:rsidRPr="00DD2A86" w:rsidRDefault="00F12E92" w:rsidP="00C034B7">
      <w:pPr>
        <w:pStyle w:val="ListParagraph"/>
        <w:suppressAutoHyphens w:val="0"/>
        <w:autoSpaceDE w:val="0"/>
        <w:autoSpaceDN w:val="0"/>
        <w:adjustRightInd w:val="0"/>
        <w:ind w:left="2552" w:right="1134" w:hanging="284"/>
        <w:contextualSpacing w:val="0"/>
        <w:jc w:val="both"/>
        <w:rPr>
          <w:rFonts w:eastAsia="Calibri"/>
          <w:lang w:val="de-DE" w:eastAsia="de-DE"/>
        </w:rPr>
      </w:pPr>
      <w:r w:rsidRPr="00DD2A86">
        <w:rPr>
          <w:rFonts w:eastAsia="Calibri"/>
          <w:lang w:val="de-DE" w:eastAsia="de-DE"/>
        </w:rPr>
        <w:t>-</w:t>
      </w:r>
      <w:r w:rsidRPr="00DD2A86">
        <w:rPr>
          <w:rFonts w:eastAsia="Calibri"/>
          <w:lang w:val="de-DE" w:eastAsia="de-DE"/>
        </w:rPr>
        <w:tab/>
        <w:t>Unter Punkt 4. „Flammendurchschlagsicherung“ ändern in „Flammendurchschlagsicherungen“.</w:t>
      </w:r>
    </w:p>
    <w:p w:rsidR="009078F0" w:rsidRPr="00DD2A86" w:rsidRDefault="009078F0" w:rsidP="00C034B7">
      <w:pPr>
        <w:pStyle w:val="ListParagraph"/>
        <w:suppressAutoHyphens w:val="0"/>
        <w:ind w:left="2552" w:right="1134" w:hanging="284"/>
        <w:jc w:val="both"/>
        <w:rPr>
          <w:rFonts w:eastAsia="Calibri"/>
          <w:lang w:val="de-DE" w:eastAsia="de-DE"/>
        </w:rPr>
      </w:pPr>
      <w:r w:rsidRPr="00DD2A86">
        <w:rPr>
          <w:rFonts w:eastAsia="Calibri"/>
          <w:lang w:val="de-DE" w:eastAsia="de-DE"/>
        </w:rPr>
        <w:t>-</w:t>
      </w:r>
      <w:r w:rsidRPr="00DD2A86">
        <w:rPr>
          <w:rFonts w:eastAsia="Calibri"/>
          <w:lang w:val="de-DE" w:eastAsia="de-DE"/>
        </w:rPr>
        <w:tab/>
        <w:t>Der letzte Satz erhält folgenden Wortlaut: „Eine Instruktion über die maximal zulässige Lade- und Löschrate pro Ladetank oder pro Ladetankgruppe muss</w:t>
      </w:r>
      <w:r w:rsidR="00213A30" w:rsidRPr="00DD2A86">
        <w:rPr>
          <w:rFonts w:eastAsia="Calibri"/>
          <w:lang w:val="de-DE" w:eastAsia="de-DE"/>
        </w:rPr>
        <w:t xml:space="preserve"> sich</w:t>
      </w:r>
      <w:r w:rsidRPr="00DD2A86">
        <w:rPr>
          <w:rFonts w:eastAsia="Calibri"/>
          <w:lang w:val="de-DE" w:eastAsia="de-DE"/>
        </w:rPr>
        <w:t xml:space="preserve"> an Bord </w:t>
      </w:r>
      <w:r w:rsidR="00213A30" w:rsidRPr="00DD2A86">
        <w:rPr>
          <w:rFonts w:eastAsia="Calibri"/>
          <w:lang w:val="de-DE" w:eastAsia="de-DE"/>
        </w:rPr>
        <w:t>befinden</w:t>
      </w:r>
      <w:r w:rsidRPr="00DD2A86">
        <w:rPr>
          <w:rFonts w:eastAsia="Calibri"/>
          <w:lang w:val="de-DE" w:eastAsia="de-DE"/>
        </w:rPr>
        <w:t>.“.</w:t>
      </w:r>
    </w:p>
    <w:p w:rsidR="006A26A4" w:rsidRPr="00DD2A86" w:rsidRDefault="006A26A4" w:rsidP="00C034B7">
      <w:pPr>
        <w:pStyle w:val="ListParagraph"/>
        <w:suppressAutoHyphens w:val="0"/>
        <w:autoSpaceDE w:val="0"/>
        <w:autoSpaceDN w:val="0"/>
        <w:adjustRightInd w:val="0"/>
        <w:spacing w:before="240"/>
        <w:ind w:left="1134" w:right="1134"/>
        <w:contextualSpacing w:val="0"/>
        <w:jc w:val="both"/>
        <w:rPr>
          <w:rFonts w:eastAsia="Calibri"/>
          <w:lang w:val="de-DE" w:eastAsia="de-DE"/>
        </w:rPr>
      </w:pPr>
      <w:r w:rsidRPr="00DD2A86">
        <w:rPr>
          <w:rFonts w:eastAsia="Calibri"/>
          <w:lang w:val="de-DE" w:eastAsia="de-DE"/>
        </w:rPr>
        <w:t>9.3.3.25.12</w:t>
      </w:r>
      <w:r w:rsidR="00D83954" w:rsidRPr="00DD2A86">
        <w:rPr>
          <w:rFonts w:eastAsia="Calibri"/>
          <w:lang w:val="de-DE" w:eastAsia="de-DE"/>
        </w:rPr>
        <w:tab/>
        <w:t>Streichen: „, 9.3.3.25.3“.</w:t>
      </w:r>
    </w:p>
    <w:p w:rsidR="006A26A4" w:rsidRPr="00DD2A86" w:rsidRDefault="00896A64" w:rsidP="00460C87">
      <w:pPr>
        <w:pStyle w:val="ListParagraph"/>
        <w:tabs>
          <w:tab w:val="left" w:pos="567"/>
          <w:tab w:val="left" w:pos="1134"/>
          <w:tab w:val="left" w:pos="1701"/>
          <w:tab w:val="left" w:pos="2268"/>
          <w:tab w:val="left" w:pos="2835"/>
          <w:tab w:val="left" w:pos="3402"/>
          <w:tab w:val="left" w:pos="3969"/>
          <w:tab w:val="left" w:pos="4536"/>
          <w:tab w:val="left" w:pos="5255"/>
          <w:tab w:val="left" w:pos="5706"/>
        </w:tabs>
        <w:suppressAutoHyphens w:val="0"/>
        <w:autoSpaceDE w:val="0"/>
        <w:autoSpaceDN w:val="0"/>
        <w:adjustRightInd w:val="0"/>
        <w:spacing w:before="240"/>
        <w:ind w:left="1134" w:right="1134"/>
        <w:contextualSpacing w:val="0"/>
        <w:jc w:val="both"/>
        <w:rPr>
          <w:rFonts w:eastAsia="Calibri"/>
          <w:lang w:val="de-DE" w:eastAsia="de-DE"/>
        </w:rPr>
      </w:pPr>
      <w:r w:rsidRPr="00DD2A86">
        <w:rPr>
          <w:rFonts w:eastAsia="Calibri"/>
          <w:lang w:val="de-DE" w:eastAsia="de-DE"/>
        </w:rPr>
        <w:t>9.3.3.26.2</w:t>
      </w:r>
      <w:r w:rsidRPr="00DD2A86">
        <w:rPr>
          <w:rFonts w:eastAsia="Calibri"/>
          <w:lang w:val="de-DE" w:eastAsia="de-DE"/>
        </w:rPr>
        <w:tab/>
        <w:t>Erhält folgenden Wortlaut:</w:t>
      </w:r>
    </w:p>
    <w:p w:rsidR="00073000" w:rsidRPr="00DD2A86" w:rsidRDefault="00896A64" w:rsidP="00C034B7">
      <w:pPr>
        <w:autoSpaceDE w:val="0"/>
        <w:autoSpaceDN w:val="0"/>
        <w:adjustRightInd w:val="0"/>
        <w:spacing w:before="120" w:line="240" w:lineRule="auto"/>
        <w:ind w:left="2268" w:right="1134"/>
        <w:jc w:val="both"/>
        <w:rPr>
          <w:rFonts w:eastAsia="Calibri"/>
          <w:lang w:val="de-DE" w:eastAsia="de-DE"/>
        </w:rPr>
      </w:pPr>
      <w:r w:rsidRPr="00DD2A86">
        <w:rPr>
          <w:rFonts w:eastAsia="Calibri"/>
          <w:lang w:val="de-DE" w:eastAsia="de-DE"/>
        </w:rPr>
        <w:t>„</w:t>
      </w:r>
      <w:r w:rsidR="00073000" w:rsidRPr="00DD2A86">
        <w:rPr>
          <w:rFonts w:eastAsia="Calibri"/>
          <w:lang w:val="de-DE" w:eastAsia="de-DE"/>
        </w:rPr>
        <w:t>Restetanks müssen versehen sein mit:</w:t>
      </w:r>
    </w:p>
    <w:p w:rsidR="00073000" w:rsidRPr="00DD2A86" w:rsidRDefault="00073000" w:rsidP="00C034B7">
      <w:pPr>
        <w:suppressAutoHyphens w:val="0"/>
        <w:autoSpaceDE w:val="0"/>
        <w:autoSpaceDN w:val="0"/>
        <w:adjustRightInd w:val="0"/>
        <w:spacing w:before="60" w:line="240" w:lineRule="auto"/>
        <w:ind w:left="2268" w:right="1134"/>
        <w:jc w:val="both"/>
        <w:rPr>
          <w:rFonts w:eastAsia="Calibri"/>
          <w:lang w:val="de-DE" w:eastAsia="de-DE"/>
        </w:rPr>
      </w:pPr>
      <w:r w:rsidRPr="00DD2A86">
        <w:rPr>
          <w:rFonts w:eastAsia="Calibri"/>
          <w:lang w:val="de-DE" w:eastAsia="de-DE"/>
        </w:rPr>
        <w:t>Bei einem offenen System:</w:t>
      </w:r>
    </w:p>
    <w:p w:rsidR="00073000" w:rsidRPr="00DD2A86" w:rsidRDefault="00073000" w:rsidP="00C034B7">
      <w:pPr>
        <w:suppressAutoHyphens w:val="0"/>
        <w:autoSpaceDE w:val="0"/>
        <w:autoSpaceDN w:val="0"/>
        <w:adjustRightInd w:val="0"/>
        <w:spacing w:before="60"/>
        <w:ind w:left="2552" w:right="1134" w:hanging="284"/>
        <w:jc w:val="both"/>
        <w:rPr>
          <w:rFonts w:eastAsia="Calibri"/>
          <w:lang w:val="de-DE"/>
        </w:rPr>
      </w:pPr>
      <w:r w:rsidRPr="00DD2A86">
        <w:rPr>
          <w:rFonts w:eastAsia="Calibri"/>
          <w:lang w:val="de-DE" w:eastAsia="de-DE"/>
        </w:rPr>
        <w:t>-</w:t>
      </w:r>
      <w:r w:rsidRPr="00DD2A86">
        <w:rPr>
          <w:rFonts w:eastAsia="Calibri"/>
          <w:lang w:val="de-DE"/>
        </w:rPr>
        <w:tab/>
        <w:t>einer Peilöffnung;</w:t>
      </w:r>
    </w:p>
    <w:p w:rsidR="00073000" w:rsidRPr="00DD2A86" w:rsidRDefault="00073000" w:rsidP="00C034B7">
      <w:pPr>
        <w:suppressAutoHyphens w:val="0"/>
        <w:autoSpaceDE w:val="0"/>
        <w:autoSpaceDN w:val="0"/>
        <w:adjustRightInd w:val="0"/>
        <w:spacing w:before="60"/>
        <w:ind w:left="2552" w:right="1134" w:hanging="284"/>
        <w:jc w:val="both"/>
        <w:rPr>
          <w:rFonts w:eastAsia="Calibri"/>
          <w:lang w:val="de-DE"/>
        </w:rPr>
      </w:pPr>
      <w:r w:rsidRPr="00DD2A86">
        <w:rPr>
          <w:rFonts w:eastAsia="Calibri"/>
          <w:lang w:val="de-DE"/>
        </w:rPr>
        <w:t>-</w:t>
      </w:r>
      <w:r w:rsidRPr="00DD2A86">
        <w:rPr>
          <w:rFonts w:eastAsia="Calibri"/>
          <w:lang w:val="de-DE"/>
        </w:rPr>
        <w:tab/>
        <w:t>Anschlüssen mit Absperrarmaturen für Rohrleitungen und Schlauchleitungen;</w:t>
      </w:r>
    </w:p>
    <w:p w:rsidR="00073000" w:rsidRPr="00DD2A86" w:rsidRDefault="00073000" w:rsidP="00C034B7">
      <w:pPr>
        <w:suppressAutoHyphens w:val="0"/>
        <w:autoSpaceDE w:val="0"/>
        <w:autoSpaceDN w:val="0"/>
        <w:adjustRightInd w:val="0"/>
        <w:spacing w:before="60"/>
        <w:ind w:left="2552" w:right="1134" w:hanging="284"/>
        <w:jc w:val="both"/>
        <w:rPr>
          <w:rFonts w:eastAsia="Calibri"/>
          <w:lang w:val="de-DE"/>
        </w:rPr>
      </w:pPr>
      <w:r w:rsidRPr="00DD2A86">
        <w:rPr>
          <w:rFonts w:eastAsia="Calibri"/>
          <w:lang w:val="de-DE"/>
        </w:rPr>
        <w:t>-</w:t>
      </w:r>
      <w:r w:rsidRPr="00DD2A86">
        <w:rPr>
          <w:rFonts w:eastAsia="Calibri"/>
          <w:lang w:val="de-DE"/>
        </w:rPr>
        <w:tab/>
        <w:t>einer Druckausgleichseinrichtung.</w:t>
      </w:r>
    </w:p>
    <w:p w:rsidR="00073000" w:rsidRPr="00DD2A86" w:rsidRDefault="00200F1D" w:rsidP="00C034B7">
      <w:pPr>
        <w:tabs>
          <w:tab w:val="left" w:pos="254"/>
        </w:tabs>
        <w:suppressAutoHyphens w:val="0"/>
        <w:autoSpaceDE w:val="0"/>
        <w:autoSpaceDN w:val="0"/>
        <w:adjustRightInd w:val="0"/>
        <w:spacing w:before="120" w:line="240" w:lineRule="auto"/>
        <w:ind w:left="2268" w:right="1134"/>
        <w:jc w:val="both"/>
        <w:rPr>
          <w:rFonts w:eastAsia="Calibri"/>
          <w:lang w:val="de-DE" w:eastAsia="de-DE"/>
        </w:rPr>
      </w:pPr>
      <w:r w:rsidRPr="00DD2A86">
        <w:rPr>
          <w:rFonts w:eastAsia="Calibri"/>
          <w:lang w:val="de-DE" w:eastAsia="de-DE"/>
        </w:rPr>
        <w:t>Bei einem offenen System mit Flammendurchschlagsicherung</w:t>
      </w:r>
      <w:r w:rsidR="00073000" w:rsidRPr="00DD2A86">
        <w:rPr>
          <w:rFonts w:eastAsia="Calibri"/>
          <w:lang w:val="de-DE" w:eastAsia="de-DE"/>
        </w:rPr>
        <w:t>:</w:t>
      </w:r>
    </w:p>
    <w:p w:rsidR="00073000" w:rsidRPr="00DD2A86" w:rsidRDefault="00073000" w:rsidP="00C034B7">
      <w:pPr>
        <w:suppressAutoHyphens w:val="0"/>
        <w:autoSpaceDE w:val="0"/>
        <w:autoSpaceDN w:val="0"/>
        <w:adjustRightInd w:val="0"/>
        <w:spacing w:before="60"/>
        <w:ind w:left="2552" w:right="1134" w:hanging="284"/>
        <w:jc w:val="both"/>
        <w:rPr>
          <w:rFonts w:eastAsia="Calibri"/>
          <w:lang w:val="de-DE"/>
        </w:rPr>
      </w:pPr>
      <w:r w:rsidRPr="00DD2A86">
        <w:rPr>
          <w:rFonts w:eastAsia="Calibri"/>
          <w:lang w:val="de-DE" w:eastAsia="de-DE"/>
        </w:rPr>
        <w:t>-</w:t>
      </w:r>
      <w:r w:rsidRPr="00DD2A86">
        <w:rPr>
          <w:rFonts w:eastAsia="Calibri"/>
          <w:lang w:val="de-DE" w:eastAsia="de-DE"/>
        </w:rPr>
        <w:tab/>
      </w:r>
      <w:r w:rsidRPr="00DD2A86">
        <w:rPr>
          <w:rFonts w:eastAsia="Calibri"/>
          <w:lang w:val="de-DE"/>
        </w:rPr>
        <w:t>einer Peilöffnung;</w:t>
      </w:r>
    </w:p>
    <w:p w:rsidR="00073000" w:rsidRPr="00DD2A86" w:rsidRDefault="00073000" w:rsidP="00C034B7">
      <w:pPr>
        <w:suppressAutoHyphens w:val="0"/>
        <w:autoSpaceDE w:val="0"/>
        <w:autoSpaceDN w:val="0"/>
        <w:adjustRightInd w:val="0"/>
        <w:spacing w:before="60"/>
        <w:ind w:left="2552" w:right="1134" w:hanging="284"/>
        <w:jc w:val="both"/>
        <w:rPr>
          <w:rFonts w:eastAsia="Calibri"/>
          <w:lang w:val="de-DE"/>
        </w:rPr>
      </w:pPr>
      <w:r w:rsidRPr="00DD2A86">
        <w:rPr>
          <w:rFonts w:eastAsia="Calibri"/>
          <w:lang w:val="de-DE"/>
        </w:rPr>
        <w:t>-</w:t>
      </w:r>
      <w:r w:rsidRPr="00DD2A86">
        <w:rPr>
          <w:rFonts w:eastAsia="Calibri"/>
          <w:lang w:val="de-DE"/>
        </w:rPr>
        <w:tab/>
        <w:t>Anschlüssen mit Absperrarmaturen für Rohrleitungen und  Schlauchleitungen;</w:t>
      </w:r>
    </w:p>
    <w:p w:rsidR="00073000" w:rsidRPr="00DD2A86" w:rsidRDefault="00073000" w:rsidP="00C034B7">
      <w:pPr>
        <w:suppressAutoHyphens w:val="0"/>
        <w:autoSpaceDE w:val="0"/>
        <w:autoSpaceDN w:val="0"/>
        <w:adjustRightInd w:val="0"/>
        <w:spacing w:before="60"/>
        <w:ind w:left="2552" w:right="1134" w:hanging="284"/>
        <w:jc w:val="both"/>
        <w:rPr>
          <w:rFonts w:eastAsia="Calibri"/>
          <w:lang w:val="de-DE" w:eastAsia="de-DE"/>
        </w:rPr>
      </w:pPr>
      <w:r w:rsidRPr="00DD2A86">
        <w:rPr>
          <w:rFonts w:eastAsia="Calibri"/>
          <w:lang w:val="de-DE"/>
        </w:rPr>
        <w:t>-</w:t>
      </w:r>
      <w:r w:rsidRPr="00DD2A86">
        <w:rPr>
          <w:rFonts w:eastAsia="Calibri"/>
          <w:lang w:val="de-DE"/>
        </w:rPr>
        <w:tab/>
        <w:t xml:space="preserve">einer </w:t>
      </w:r>
      <w:r w:rsidR="002A223F" w:rsidRPr="00DD2A86">
        <w:rPr>
          <w:rFonts w:eastAsia="Calibri"/>
          <w:lang w:val="de-DE"/>
        </w:rPr>
        <w:t xml:space="preserve">Druckausgleichseinrichtung mit </w:t>
      </w:r>
      <w:r w:rsidRPr="00DD2A86">
        <w:rPr>
          <w:rFonts w:eastAsia="Calibri"/>
          <w:lang w:val="de-DE"/>
        </w:rPr>
        <w:t>dauerbrandsichere</w:t>
      </w:r>
      <w:r w:rsidR="006125FC" w:rsidRPr="00DD2A86">
        <w:rPr>
          <w:rFonts w:eastAsia="Calibri"/>
          <w:lang w:val="de-DE"/>
        </w:rPr>
        <w:t>r</w:t>
      </w:r>
      <w:r w:rsidRPr="00DD2A86">
        <w:rPr>
          <w:rFonts w:eastAsia="Calibri"/>
          <w:lang w:val="de-DE" w:eastAsia="de-DE"/>
        </w:rPr>
        <w:t xml:space="preserve"> Flammendurchschlagsicherung.</w:t>
      </w:r>
    </w:p>
    <w:p w:rsidR="00073000" w:rsidRPr="00DD2A86" w:rsidRDefault="00073000" w:rsidP="00C034B7">
      <w:pPr>
        <w:suppressAutoHyphens w:val="0"/>
        <w:autoSpaceDE w:val="0"/>
        <w:autoSpaceDN w:val="0"/>
        <w:adjustRightInd w:val="0"/>
        <w:spacing w:before="120" w:line="240" w:lineRule="auto"/>
        <w:ind w:left="2268" w:right="1134"/>
        <w:jc w:val="both"/>
        <w:rPr>
          <w:rFonts w:eastAsia="Calibri"/>
          <w:lang w:val="de-DE" w:eastAsia="de-DE"/>
        </w:rPr>
      </w:pPr>
      <w:r w:rsidRPr="00DD2A86">
        <w:rPr>
          <w:rFonts w:eastAsia="Calibri"/>
          <w:lang w:val="de-DE" w:eastAsia="de-DE"/>
        </w:rPr>
        <w:t>Bei einem geschlossenen System:</w:t>
      </w:r>
    </w:p>
    <w:p w:rsidR="00073000" w:rsidRPr="00DD2A86" w:rsidRDefault="00073000" w:rsidP="00C034B7">
      <w:pPr>
        <w:tabs>
          <w:tab w:val="left" w:pos="2835"/>
        </w:tabs>
        <w:suppressAutoHyphens w:val="0"/>
        <w:autoSpaceDE w:val="0"/>
        <w:autoSpaceDN w:val="0"/>
        <w:adjustRightInd w:val="0"/>
        <w:spacing w:before="60"/>
        <w:ind w:left="2552" w:right="1134" w:hanging="284"/>
        <w:jc w:val="both"/>
        <w:rPr>
          <w:rFonts w:eastAsia="Calibri"/>
          <w:lang w:val="de-DE"/>
        </w:rPr>
      </w:pPr>
      <w:r w:rsidRPr="00DD2A86">
        <w:rPr>
          <w:rFonts w:eastAsia="Calibri"/>
          <w:lang w:val="de-DE"/>
        </w:rPr>
        <w:t>a)</w:t>
      </w:r>
      <w:r w:rsidRPr="00DD2A86">
        <w:rPr>
          <w:rFonts w:eastAsia="Calibri"/>
          <w:lang w:val="de-DE"/>
        </w:rPr>
        <w:tab/>
        <w:t>-</w:t>
      </w:r>
      <w:r w:rsidRPr="00DD2A86">
        <w:rPr>
          <w:rFonts w:eastAsia="Calibri"/>
          <w:lang w:val="de-DE"/>
        </w:rPr>
        <w:tab/>
        <w:t>einem Niveau-Anzeigegerät;</w:t>
      </w:r>
    </w:p>
    <w:p w:rsidR="00073000" w:rsidRPr="00DD2A86" w:rsidRDefault="00073000" w:rsidP="00C034B7">
      <w:pPr>
        <w:suppressAutoHyphens w:val="0"/>
        <w:autoSpaceDE w:val="0"/>
        <w:autoSpaceDN w:val="0"/>
        <w:adjustRightInd w:val="0"/>
        <w:spacing w:before="60"/>
        <w:ind w:left="2835" w:right="1134" w:hanging="284"/>
        <w:jc w:val="both"/>
        <w:rPr>
          <w:rFonts w:eastAsia="Calibri"/>
          <w:lang w:val="de-DE"/>
        </w:rPr>
      </w:pPr>
      <w:r w:rsidRPr="00DD2A86">
        <w:rPr>
          <w:rFonts w:eastAsia="Calibri"/>
          <w:lang w:val="de-DE"/>
        </w:rPr>
        <w:t xml:space="preserve">- </w:t>
      </w:r>
      <w:r w:rsidRPr="00DD2A86">
        <w:rPr>
          <w:rFonts w:eastAsia="Calibri"/>
          <w:lang w:val="de-DE"/>
        </w:rPr>
        <w:tab/>
        <w:t>Anschlüssen mit Absperrarmaturen für Rohrleitungen und Schlauchleitungen;</w:t>
      </w:r>
    </w:p>
    <w:p w:rsidR="00073000" w:rsidRPr="00DD2A86" w:rsidRDefault="00073000" w:rsidP="00C034B7">
      <w:pPr>
        <w:suppressAutoHyphens w:val="0"/>
        <w:autoSpaceDE w:val="0"/>
        <w:autoSpaceDN w:val="0"/>
        <w:adjustRightInd w:val="0"/>
        <w:spacing w:before="60"/>
        <w:ind w:left="2835" w:right="1134" w:hanging="284"/>
        <w:jc w:val="both"/>
        <w:rPr>
          <w:rFonts w:eastAsia="Calibri"/>
          <w:lang w:val="de-DE"/>
        </w:rPr>
      </w:pPr>
      <w:r w:rsidRPr="00DD2A86">
        <w:rPr>
          <w:rFonts w:eastAsia="Calibri"/>
          <w:lang w:val="de-DE"/>
        </w:rPr>
        <w:t xml:space="preserve">- </w:t>
      </w:r>
      <w:r w:rsidRPr="00DD2A86">
        <w:rPr>
          <w:rFonts w:eastAsia="Calibri"/>
          <w:lang w:val="de-DE"/>
        </w:rPr>
        <w:tab/>
        <w:t>einem Unterdruckventil und einem Überdruckventil.</w:t>
      </w:r>
    </w:p>
    <w:p w:rsidR="00073000" w:rsidRPr="00DD2A86" w:rsidRDefault="00073000" w:rsidP="00812599">
      <w:pPr>
        <w:suppressAutoHyphens w:val="0"/>
        <w:autoSpaceDE w:val="0"/>
        <w:autoSpaceDN w:val="0"/>
        <w:adjustRightInd w:val="0"/>
        <w:spacing w:before="240"/>
        <w:ind w:left="2552" w:right="1134"/>
        <w:jc w:val="both"/>
        <w:rPr>
          <w:rFonts w:eastAsia="Calibri"/>
          <w:lang w:val="de-DE"/>
        </w:rPr>
      </w:pPr>
      <w:r w:rsidRPr="00DD2A86">
        <w:rPr>
          <w:rFonts w:eastAsia="Calibri"/>
          <w:lang w:val="de-DE"/>
        </w:rPr>
        <w:t>Das Überdruckventil muss so dimensioniert sein, dass es während der Beförderung normalerweise nicht anspricht. Diese Bedingung ist erfüllt, wenn der Öffnungsdruck des Ventils den Anforderungen des zu befördernden Stoffes nach Unterschnitt 3.2.3.2 Tabelle C Spalte (10) entspricht.</w:t>
      </w:r>
    </w:p>
    <w:p w:rsidR="00073000" w:rsidRPr="00DD2A86" w:rsidRDefault="00073000" w:rsidP="00C034B7">
      <w:pPr>
        <w:suppressAutoHyphens w:val="0"/>
        <w:autoSpaceDE w:val="0"/>
        <w:autoSpaceDN w:val="0"/>
        <w:adjustRightInd w:val="0"/>
        <w:spacing w:before="60"/>
        <w:ind w:left="2552" w:right="1134" w:hanging="284"/>
        <w:jc w:val="both"/>
        <w:rPr>
          <w:rFonts w:eastAsia="Calibri"/>
          <w:lang w:val="de-DE"/>
        </w:rPr>
      </w:pPr>
      <w:r w:rsidRPr="00DD2A86">
        <w:rPr>
          <w:rFonts w:eastAsia="Calibri"/>
          <w:lang w:val="de-DE"/>
        </w:rPr>
        <w:t>b)</w:t>
      </w:r>
      <w:r w:rsidRPr="00DD2A86">
        <w:rPr>
          <w:rFonts w:eastAsia="Calibri"/>
          <w:lang w:val="de-DE"/>
        </w:rPr>
        <w:tab/>
        <w:t>Wenn die Schiffsstoffliste nach Absatz 1.16.1.2.5 Stoffe enthalten soll</w:t>
      </w:r>
      <w:r w:rsidR="00B433BA" w:rsidRPr="00DD2A86">
        <w:rPr>
          <w:rFonts w:eastAsia="Calibri"/>
          <w:lang w:val="de-DE"/>
        </w:rPr>
        <w:t>,</w:t>
      </w:r>
      <w:r w:rsidRPr="00DD2A86">
        <w:rPr>
          <w:rFonts w:eastAsia="Calibri"/>
          <w:lang w:val="de-DE"/>
        </w:rPr>
        <w:t xml:space="preserve"> für die nach Unterabschnitt 3.2.3.2 Tabelle C Spalte (17) Explosionsschutz gefordert ist, muss das Überdruckventil als Hochgeschwindigkeitsventil und das Unterdruckventil deflagrationssicher ausgeführt sein. Die Deflagrationssicherheit kann auch durch eine Flammendurchschlagsicherung gewährleistet werden.</w:t>
      </w:r>
    </w:p>
    <w:p w:rsidR="00073000" w:rsidRPr="00DD2A86" w:rsidRDefault="00073000" w:rsidP="00812599">
      <w:pPr>
        <w:suppressAutoHyphens w:val="0"/>
        <w:autoSpaceDE w:val="0"/>
        <w:autoSpaceDN w:val="0"/>
        <w:adjustRightInd w:val="0"/>
        <w:spacing w:before="120"/>
        <w:ind w:left="2552" w:right="1134"/>
        <w:jc w:val="both"/>
        <w:rPr>
          <w:rFonts w:eastAsia="Calibri"/>
          <w:lang w:val="de-DE"/>
        </w:rPr>
      </w:pPr>
      <w:r w:rsidRPr="00DD2A86">
        <w:rPr>
          <w:rFonts w:eastAsia="Calibri"/>
          <w:lang w:val="de-DE"/>
        </w:rPr>
        <w:t>Hochgeschwindigkeitsventil und deflagrationssicheres Unterdruckventil sind unter Berücksichtigung der für die Schiffsstoffliste vorgesehenen Stoffe entsprechend den dafür erforderlichen Explosionsgruppen/Untergruppen auszuwählen (siehe Unterabschnitt 3.2.3.2 Tabelle C Spalte (16)</w:t>
      </w:r>
      <w:r w:rsidR="008826A2" w:rsidRPr="00DD2A86">
        <w:rPr>
          <w:rFonts w:eastAsia="Calibri"/>
          <w:lang w:val="de-DE"/>
        </w:rPr>
        <w:t>)</w:t>
      </w:r>
      <w:r w:rsidRPr="00DD2A86">
        <w:rPr>
          <w:rFonts w:eastAsia="Calibri"/>
          <w:lang w:val="de-DE"/>
        </w:rPr>
        <w:t>.</w:t>
      </w:r>
    </w:p>
    <w:p w:rsidR="00896A64" w:rsidRPr="00DD2A86" w:rsidRDefault="00073000" w:rsidP="00C034B7">
      <w:pPr>
        <w:pStyle w:val="ListParagraph"/>
        <w:suppressAutoHyphens w:val="0"/>
        <w:autoSpaceDE w:val="0"/>
        <w:autoSpaceDN w:val="0"/>
        <w:adjustRightInd w:val="0"/>
        <w:spacing w:before="60"/>
        <w:ind w:left="2268" w:right="1134"/>
        <w:contextualSpacing w:val="0"/>
        <w:jc w:val="both"/>
        <w:rPr>
          <w:rFonts w:eastAsia="Calibri"/>
          <w:lang w:val="de-DE" w:eastAsia="en-US"/>
        </w:rPr>
      </w:pPr>
      <w:r w:rsidRPr="00DD2A86">
        <w:rPr>
          <w:rFonts w:eastAsia="Calibri"/>
          <w:lang w:val="de-DE" w:eastAsia="en-US"/>
        </w:rPr>
        <w:t>Der höchstzulässige Inhalt beträgt 30 m³.“.</w:t>
      </w:r>
    </w:p>
    <w:p w:rsidR="0097198E" w:rsidRPr="00DD2A86" w:rsidRDefault="006A26A4" w:rsidP="00C034B7">
      <w:pPr>
        <w:pStyle w:val="ListParagraph"/>
        <w:suppressAutoHyphens w:val="0"/>
        <w:autoSpaceDE w:val="0"/>
        <w:autoSpaceDN w:val="0"/>
        <w:adjustRightInd w:val="0"/>
        <w:spacing w:before="240"/>
        <w:ind w:left="1134" w:right="1134"/>
        <w:contextualSpacing w:val="0"/>
        <w:jc w:val="both"/>
        <w:rPr>
          <w:rFonts w:eastAsia="Calibri"/>
          <w:lang w:val="de-DE" w:eastAsia="de-DE"/>
        </w:rPr>
      </w:pPr>
      <w:r w:rsidRPr="00DD2A86">
        <w:rPr>
          <w:rFonts w:eastAsia="Calibri"/>
          <w:lang w:val="de-DE" w:eastAsia="de-DE"/>
        </w:rPr>
        <w:t>9.3.3.26.5</w:t>
      </w:r>
      <w:r w:rsidR="0097198E" w:rsidRPr="00DD2A86">
        <w:rPr>
          <w:rFonts w:eastAsia="Calibri"/>
          <w:lang w:val="de-DE" w:eastAsia="de-DE"/>
        </w:rPr>
        <w:tab/>
        <w:t>Erhält folgenden Wortlaut:</w:t>
      </w:r>
    </w:p>
    <w:p w:rsidR="006A26A4" w:rsidRPr="00DD2A86" w:rsidRDefault="0097198E" w:rsidP="00C034B7">
      <w:pPr>
        <w:pStyle w:val="ListParagraph"/>
        <w:suppressAutoHyphens w:val="0"/>
        <w:autoSpaceDE w:val="0"/>
        <w:autoSpaceDN w:val="0"/>
        <w:adjustRightInd w:val="0"/>
        <w:spacing w:before="120"/>
        <w:ind w:left="2268" w:right="1134"/>
        <w:contextualSpacing w:val="0"/>
        <w:jc w:val="both"/>
        <w:rPr>
          <w:rFonts w:eastAsia="Calibri"/>
          <w:bCs/>
          <w:lang w:val="de-DE"/>
        </w:rPr>
      </w:pPr>
      <w:r w:rsidRPr="00DD2A86">
        <w:rPr>
          <w:rFonts w:eastAsia="Calibri"/>
          <w:lang w:val="de-DE" w:eastAsia="de-DE"/>
        </w:rPr>
        <w:t>„</w:t>
      </w:r>
      <w:r w:rsidR="00812599" w:rsidRPr="00DD2A86">
        <w:rPr>
          <w:rFonts w:eastAsia="Calibri"/>
          <w:lang w:val="de-DE" w:eastAsia="de-DE"/>
        </w:rPr>
        <w:t>9.3.3.26.5</w:t>
      </w:r>
      <w:r w:rsidR="00812599" w:rsidRPr="00DD2A86">
        <w:rPr>
          <w:rFonts w:eastAsia="Calibri"/>
          <w:lang w:val="de-DE" w:eastAsia="de-DE"/>
        </w:rPr>
        <w:tab/>
      </w:r>
      <w:r w:rsidRPr="00DD2A86">
        <w:rPr>
          <w:rFonts w:eastAsia="Calibri"/>
          <w:bCs/>
          <w:lang w:val="de-DE"/>
        </w:rPr>
        <w:t>Die Vorschriften der Absätze 9.3.3.26.1, 9.3.3.26.2 (letzter Satz) und 9.3.3.26.3 gelten nicht für Bilgenentölungsboote.“.</w:t>
      </w:r>
    </w:p>
    <w:p w:rsidR="006D35E3" w:rsidRPr="00DD2A86" w:rsidRDefault="006D35E3" w:rsidP="00C034B7">
      <w:pPr>
        <w:pStyle w:val="ListParagraph"/>
        <w:tabs>
          <w:tab w:val="left" w:pos="2268"/>
          <w:tab w:val="left" w:pos="2552"/>
        </w:tabs>
        <w:suppressAutoHyphens w:val="0"/>
        <w:autoSpaceDE w:val="0"/>
        <w:autoSpaceDN w:val="0"/>
        <w:adjustRightInd w:val="0"/>
        <w:spacing w:before="240"/>
        <w:ind w:left="1134" w:right="1134"/>
        <w:contextualSpacing w:val="0"/>
        <w:jc w:val="both"/>
        <w:rPr>
          <w:rFonts w:eastAsia="Calibri"/>
          <w:lang w:val="de-DE" w:eastAsia="de-DE"/>
        </w:rPr>
      </w:pPr>
      <w:r w:rsidRPr="00DD2A86">
        <w:rPr>
          <w:rFonts w:eastAsia="Calibri"/>
          <w:lang w:val="de-DE" w:eastAsia="de-DE"/>
        </w:rPr>
        <w:t>9.3.3.28</w:t>
      </w:r>
      <w:r w:rsidRPr="00DD2A86">
        <w:rPr>
          <w:rFonts w:eastAsia="Calibri"/>
          <w:lang w:val="de-DE" w:eastAsia="de-DE"/>
        </w:rPr>
        <w:tab/>
        <w:t>-</w:t>
      </w:r>
      <w:r w:rsidRPr="00DD2A86">
        <w:rPr>
          <w:rFonts w:eastAsia="Calibri"/>
          <w:lang w:val="de-DE" w:eastAsia="de-DE"/>
        </w:rPr>
        <w:tab/>
        <w:t>„</w:t>
      </w:r>
      <w:r w:rsidRPr="00DD2A86">
        <w:rPr>
          <w:rFonts w:eastAsia="Calibri"/>
          <w:lang w:val="de-DE" w:eastAsia="en-US"/>
        </w:rPr>
        <w:t xml:space="preserve">in Kapitel 3.2“ ändern in: „in </w:t>
      </w:r>
      <w:r w:rsidRPr="00DD2A86">
        <w:rPr>
          <w:rFonts w:eastAsia="Calibri"/>
          <w:bCs/>
          <w:lang w:val="de-DE" w:eastAsia="en-US"/>
        </w:rPr>
        <w:t>Unterabschnitt 3.2.3.2“.</w:t>
      </w:r>
    </w:p>
    <w:p w:rsidR="006D35E3" w:rsidRPr="00DD2A86" w:rsidRDefault="006D35E3" w:rsidP="00C034B7">
      <w:pPr>
        <w:pStyle w:val="ListParagraph"/>
        <w:tabs>
          <w:tab w:val="left" w:pos="2552"/>
        </w:tabs>
        <w:suppressAutoHyphens w:val="0"/>
        <w:autoSpaceDE w:val="0"/>
        <w:autoSpaceDN w:val="0"/>
        <w:adjustRightInd w:val="0"/>
        <w:ind w:left="2552" w:right="1134" w:hanging="284"/>
        <w:contextualSpacing w:val="0"/>
        <w:jc w:val="both"/>
        <w:rPr>
          <w:rFonts w:eastAsia="Calibri"/>
          <w:lang w:val="de-DE" w:eastAsia="de-DE"/>
        </w:rPr>
      </w:pPr>
      <w:r w:rsidRPr="00DD2A86">
        <w:rPr>
          <w:rFonts w:eastAsia="Calibri"/>
          <w:lang w:val="de-DE" w:eastAsia="de-DE"/>
        </w:rPr>
        <w:t>-</w:t>
      </w:r>
      <w:r w:rsidRPr="00DD2A86">
        <w:rPr>
          <w:rFonts w:eastAsia="Calibri"/>
          <w:lang w:val="de-DE" w:eastAsia="de-DE"/>
        </w:rPr>
        <w:tab/>
        <w:t>„der Hochgeschwindigkeitsventile“ ändern in: „der Überdruck-/ Hochgeschwindigkeitsventile“.</w:t>
      </w:r>
    </w:p>
    <w:p w:rsidR="006D35E3" w:rsidRPr="00DD2A86" w:rsidRDefault="006D35E3" w:rsidP="00C034B7">
      <w:pPr>
        <w:pStyle w:val="ListParagraph"/>
        <w:tabs>
          <w:tab w:val="left" w:pos="2552"/>
        </w:tabs>
        <w:suppressAutoHyphens w:val="0"/>
        <w:autoSpaceDE w:val="0"/>
        <w:autoSpaceDN w:val="0"/>
        <w:adjustRightInd w:val="0"/>
        <w:ind w:left="2552" w:right="1134" w:hanging="284"/>
        <w:contextualSpacing w:val="0"/>
        <w:jc w:val="both"/>
        <w:rPr>
          <w:rFonts w:eastAsia="Calibri"/>
          <w:lang w:val="de-DE" w:eastAsia="de-DE"/>
        </w:rPr>
      </w:pPr>
      <w:r w:rsidRPr="00DD2A86">
        <w:rPr>
          <w:rFonts w:eastAsia="Calibri"/>
          <w:lang w:val="de-DE" w:eastAsia="de-DE"/>
        </w:rPr>
        <w:t>-</w:t>
      </w:r>
      <w:r w:rsidRPr="00DD2A86">
        <w:rPr>
          <w:rFonts w:eastAsia="Calibri"/>
          <w:lang w:val="de-DE" w:eastAsia="de-DE"/>
        </w:rPr>
        <w:tab/>
        <w:t>„Steuerstand“ ändern in: „Steuerhaus“.</w:t>
      </w:r>
    </w:p>
    <w:p w:rsidR="006A26A4" w:rsidRPr="00DD2A86" w:rsidRDefault="006A26A4" w:rsidP="00C034B7">
      <w:pPr>
        <w:pStyle w:val="ListParagraph"/>
        <w:suppressAutoHyphens w:val="0"/>
        <w:autoSpaceDE w:val="0"/>
        <w:autoSpaceDN w:val="0"/>
        <w:adjustRightInd w:val="0"/>
        <w:spacing w:before="240"/>
        <w:ind w:left="1134" w:right="1134"/>
        <w:contextualSpacing w:val="0"/>
        <w:jc w:val="both"/>
        <w:rPr>
          <w:rFonts w:eastAsia="Calibri"/>
          <w:lang w:val="de-DE" w:eastAsia="de-DE"/>
        </w:rPr>
      </w:pPr>
      <w:r w:rsidRPr="00DD2A86">
        <w:rPr>
          <w:rFonts w:eastAsia="Calibri"/>
          <w:lang w:val="de-DE" w:eastAsia="de-DE"/>
        </w:rPr>
        <w:t>9.3.3.51</w:t>
      </w:r>
      <w:r w:rsidR="007266B7" w:rsidRPr="00DD2A86">
        <w:rPr>
          <w:rFonts w:eastAsia="Calibri"/>
          <w:lang w:val="de-DE" w:eastAsia="de-DE"/>
        </w:rPr>
        <w:tab/>
        <w:t>Erhält folgenden Wortlaut:</w:t>
      </w:r>
    </w:p>
    <w:p w:rsidR="007266B7" w:rsidRPr="00DD2A86" w:rsidRDefault="007266B7" w:rsidP="00C034B7">
      <w:pPr>
        <w:spacing w:before="120" w:line="240" w:lineRule="auto"/>
        <w:ind w:left="2268" w:right="1134"/>
        <w:jc w:val="both"/>
        <w:rPr>
          <w:b/>
          <w:bCs/>
          <w:snapToGrid w:val="0"/>
          <w:lang w:val="de-DE" w:eastAsia="de-DE"/>
        </w:rPr>
      </w:pPr>
      <w:r w:rsidRPr="00DD2A86">
        <w:rPr>
          <w:b/>
          <w:bCs/>
          <w:snapToGrid w:val="0"/>
          <w:lang w:val="de-DE" w:eastAsia="de-DE"/>
        </w:rPr>
        <w:t>„</w:t>
      </w:r>
      <w:r w:rsidR="0089789A" w:rsidRPr="00DD2A86">
        <w:rPr>
          <w:b/>
          <w:bCs/>
          <w:snapToGrid w:val="0"/>
          <w:lang w:val="de-DE" w:eastAsia="de-DE"/>
        </w:rPr>
        <w:t>9.3.3.51</w:t>
      </w:r>
      <w:r w:rsidR="0089789A" w:rsidRPr="00DD2A86">
        <w:rPr>
          <w:b/>
          <w:bCs/>
          <w:snapToGrid w:val="0"/>
          <w:lang w:val="de-DE" w:eastAsia="de-DE"/>
        </w:rPr>
        <w:tab/>
      </w:r>
      <w:r w:rsidRPr="00DD2A86">
        <w:rPr>
          <w:b/>
          <w:bCs/>
          <w:snapToGrid w:val="0"/>
          <w:lang w:val="de-DE" w:eastAsia="de-DE"/>
        </w:rPr>
        <w:t>Oberflächentemperaturen von Anlagen und Geräten</w:t>
      </w:r>
    </w:p>
    <w:p w:rsidR="007266B7" w:rsidRPr="00DD2A86" w:rsidRDefault="007266B7" w:rsidP="00C034B7">
      <w:pPr>
        <w:suppressAutoHyphens w:val="0"/>
        <w:autoSpaceDE w:val="0"/>
        <w:autoSpaceDN w:val="0"/>
        <w:adjustRightInd w:val="0"/>
        <w:spacing w:before="60"/>
        <w:ind w:left="2552" w:right="1134" w:hanging="284"/>
        <w:jc w:val="both"/>
        <w:rPr>
          <w:rFonts w:eastAsia="Calibri"/>
          <w:lang w:val="de-DE"/>
        </w:rPr>
      </w:pPr>
      <w:r w:rsidRPr="00DD2A86">
        <w:rPr>
          <w:rFonts w:eastAsia="Calibri"/>
          <w:bCs/>
          <w:lang w:val="de-DE" w:eastAsia="de-DE"/>
        </w:rPr>
        <w:t>a)</w:t>
      </w:r>
      <w:r w:rsidRPr="00DD2A86">
        <w:rPr>
          <w:rFonts w:eastAsia="Calibri"/>
          <w:b/>
          <w:bCs/>
          <w:lang w:val="de-DE" w:eastAsia="de-DE"/>
        </w:rPr>
        <w:tab/>
      </w:r>
      <w:r w:rsidRPr="00DD2A86">
        <w:rPr>
          <w:rFonts w:eastAsia="Calibri"/>
          <w:lang w:val="de-DE"/>
        </w:rPr>
        <w:t>Oberflächentemperaturen von elektrischen und nicht-elektrischen Anlagen und Geräten dürfen 200 °C nicht überschreiten.</w:t>
      </w:r>
    </w:p>
    <w:p w:rsidR="007266B7" w:rsidRPr="00DD2A86" w:rsidRDefault="007266B7" w:rsidP="00C034B7">
      <w:pPr>
        <w:suppressAutoHyphens w:val="0"/>
        <w:autoSpaceDE w:val="0"/>
        <w:autoSpaceDN w:val="0"/>
        <w:adjustRightInd w:val="0"/>
        <w:spacing w:before="60"/>
        <w:ind w:left="2552" w:right="1134" w:hanging="284"/>
        <w:jc w:val="both"/>
        <w:rPr>
          <w:rFonts w:eastAsia="Calibri"/>
          <w:lang w:val="de-DE"/>
        </w:rPr>
      </w:pPr>
      <w:r w:rsidRPr="00DD2A86">
        <w:rPr>
          <w:rFonts w:eastAsia="Calibri"/>
          <w:lang w:val="de-DE"/>
        </w:rPr>
        <w:t>b)</w:t>
      </w:r>
      <w:r w:rsidRPr="00DD2A86">
        <w:rPr>
          <w:rFonts w:eastAsia="Calibri"/>
          <w:lang w:val="de-DE"/>
        </w:rPr>
        <w:tab/>
        <w:t>Oberflächentemperaturen von äußeren Teilen von Motoren und deren Luft- und Abgasschächten dürfen 200 °C nicht überschreiten.</w:t>
      </w:r>
    </w:p>
    <w:p w:rsidR="007266B7" w:rsidRPr="00DD2A86" w:rsidRDefault="007266B7" w:rsidP="00C034B7">
      <w:pPr>
        <w:suppressAutoHyphens w:val="0"/>
        <w:autoSpaceDE w:val="0"/>
        <w:autoSpaceDN w:val="0"/>
        <w:adjustRightInd w:val="0"/>
        <w:spacing w:before="60"/>
        <w:ind w:left="2552" w:right="1134" w:hanging="284"/>
        <w:jc w:val="both"/>
        <w:rPr>
          <w:rFonts w:eastAsia="Calibri"/>
          <w:lang w:val="de-DE"/>
        </w:rPr>
      </w:pPr>
      <w:r w:rsidRPr="00DD2A86">
        <w:rPr>
          <w:rFonts w:eastAsia="Calibri"/>
          <w:lang w:val="de-DE"/>
        </w:rPr>
        <w:t>c)</w:t>
      </w:r>
      <w:r w:rsidRPr="00DD2A86">
        <w:rPr>
          <w:rFonts w:eastAsia="Calibri"/>
          <w:lang w:val="de-DE"/>
        </w:rPr>
        <w:tab/>
        <w:t>Wenn die Schiffsstoffliste nach Absatz 1.16.1.2.5 Stoffe enthalten soll</w:t>
      </w:r>
      <w:r w:rsidR="00B433BA" w:rsidRPr="00DD2A86">
        <w:rPr>
          <w:rFonts w:eastAsia="Calibri"/>
          <w:lang w:val="de-DE"/>
        </w:rPr>
        <w:t>,</w:t>
      </w:r>
      <w:r w:rsidRPr="00DD2A86">
        <w:rPr>
          <w:rFonts w:eastAsia="Calibri"/>
          <w:lang w:val="de-DE"/>
        </w:rPr>
        <w:t xml:space="preserve"> für die nach Unterabschnitt 3.2.3.2 Tabelle C, Spalte (15) eine Temperaturklasse T4, T5 oder T6 eingetragen ist, dürfen in den an Bord ausgewiesenen Zonen die entsprechenden Oberflächentemperaturen 135</w:t>
      </w:r>
      <w:r w:rsidR="00C034B7" w:rsidRPr="00DD2A86">
        <w:rPr>
          <w:rFonts w:eastAsia="Calibri"/>
          <w:lang w:val="de-DE"/>
        </w:rPr>
        <w:t> </w:t>
      </w:r>
      <w:r w:rsidRPr="00DD2A86">
        <w:rPr>
          <w:rFonts w:eastAsia="Calibri"/>
          <w:lang w:val="de-DE"/>
        </w:rPr>
        <w:t>°C (T4), 100</w:t>
      </w:r>
      <w:r w:rsidR="0070614C" w:rsidRPr="00DD2A86">
        <w:rPr>
          <w:rFonts w:eastAsia="Calibri"/>
          <w:lang w:val="de-DE"/>
        </w:rPr>
        <w:t xml:space="preserve"> </w:t>
      </w:r>
      <w:r w:rsidRPr="00DD2A86">
        <w:rPr>
          <w:rFonts w:eastAsia="Calibri"/>
          <w:lang w:val="de-DE"/>
        </w:rPr>
        <w:t xml:space="preserve">°C (T5) </w:t>
      </w:r>
      <w:r w:rsidR="000A592A" w:rsidRPr="00DD2A86">
        <w:rPr>
          <w:rFonts w:eastAsia="Calibri"/>
          <w:lang w:val="de-DE"/>
        </w:rPr>
        <w:t xml:space="preserve">bzw. </w:t>
      </w:r>
      <w:r w:rsidRPr="00DD2A86">
        <w:rPr>
          <w:rFonts w:eastAsia="Calibri"/>
          <w:lang w:val="de-DE"/>
        </w:rPr>
        <w:t>85</w:t>
      </w:r>
      <w:r w:rsidR="0070614C" w:rsidRPr="00DD2A86">
        <w:rPr>
          <w:rFonts w:eastAsia="Calibri"/>
          <w:lang w:val="de-DE"/>
        </w:rPr>
        <w:t xml:space="preserve"> </w:t>
      </w:r>
      <w:r w:rsidRPr="00DD2A86">
        <w:rPr>
          <w:rFonts w:eastAsia="Calibri"/>
          <w:lang w:val="de-DE"/>
        </w:rPr>
        <w:t>°C (T6) nicht überschreiten.</w:t>
      </w:r>
    </w:p>
    <w:p w:rsidR="007266B7" w:rsidRPr="00DD2A86" w:rsidRDefault="007266B7" w:rsidP="00C034B7">
      <w:pPr>
        <w:suppressAutoHyphens w:val="0"/>
        <w:autoSpaceDE w:val="0"/>
        <w:autoSpaceDN w:val="0"/>
        <w:adjustRightInd w:val="0"/>
        <w:spacing w:before="60"/>
        <w:ind w:left="2552" w:right="1134" w:hanging="284"/>
        <w:jc w:val="both"/>
        <w:rPr>
          <w:rFonts w:eastAsia="Calibri"/>
          <w:lang w:val="de-DE"/>
        </w:rPr>
      </w:pPr>
      <w:r w:rsidRPr="00DD2A86">
        <w:rPr>
          <w:rFonts w:eastAsia="Calibri"/>
          <w:lang w:val="de-DE"/>
        </w:rPr>
        <w:t>d)</w:t>
      </w:r>
      <w:r w:rsidRPr="00DD2A86">
        <w:rPr>
          <w:rFonts w:eastAsia="Calibri"/>
          <w:lang w:val="de-DE"/>
        </w:rPr>
        <w:tab/>
        <w:t>Buchstaben a) und b) gelten nicht, wenn folgende Forderungen eingehalten sind (siehe auch 7.2.3.51.4):</w:t>
      </w:r>
    </w:p>
    <w:p w:rsidR="007266B7" w:rsidRPr="00DD2A86" w:rsidRDefault="007266B7" w:rsidP="00C034B7">
      <w:pPr>
        <w:suppressAutoHyphens w:val="0"/>
        <w:autoSpaceDE w:val="0"/>
        <w:autoSpaceDN w:val="0"/>
        <w:adjustRightInd w:val="0"/>
        <w:spacing w:before="60"/>
        <w:ind w:left="2835" w:right="1134" w:hanging="284"/>
        <w:jc w:val="both"/>
        <w:rPr>
          <w:rFonts w:eastAsia="Calibri"/>
          <w:lang w:val="de-DE"/>
        </w:rPr>
      </w:pPr>
      <w:r w:rsidRPr="00DD2A86">
        <w:rPr>
          <w:rFonts w:eastAsia="Calibri"/>
          <w:lang w:val="de-DE"/>
        </w:rPr>
        <w:t>(i)</w:t>
      </w:r>
      <w:r w:rsidRPr="00DD2A86">
        <w:rPr>
          <w:rFonts w:eastAsia="Calibri"/>
          <w:lang w:val="de-DE"/>
        </w:rPr>
        <w:tab/>
        <w:t>Wohnungen, Steuerhaus und Betriebsräume</w:t>
      </w:r>
      <w:r w:rsidR="000A592A" w:rsidRPr="00DD2A86">
        <w:rPr>
          <w:rFonts w:eastAsia="Calibri"/>
          <w:lang w:val="de-DE"/>
        </w:rPr>
        <w:t>,</w:t>
      </w:r>
      <w:r w:rsidRPr="00DD2A86">
        <w:rPr>
          <w:rFonts w:eastAsia="Calibri"/>
          <w:lang w:val="de-DE"/>
        </w:rPr>
        <w:t xml:space="preserve"> in denen höhere Oberflächentemperaturen als unter Buchstaben a) und b) angegeben auftreten, sind mit einen Lüftungssystem nach 9.3.x.12.4 b) ausgestattet,</w:t>
      </w:r>
    </w:p>
    <w:p w:rsidR="007266B7" w:rsidRPr="00DD2A86" w:rsidRDefault="007266B7" w:rsidP="00C034B7">
      <w:pPr>
        <w:suppressAutoHyphens w:val="0"/>
        <w:autoSpaceDE w:val="0"/>
        <w:autoSpaceDN w:val="0"/>
        <w:adjustRightInd w:val="0"/>
        <w:spacing w:before="60"/>
        <w:ind w:left="2835" w:right="1134" w:hanging="284"/>
        <w:jc w:val="both"/>
        <w:rPr>
          <w:rFonts w:eastAsia="Calibri"/>
          <w:lang w:val="de-DE"/>
        </w:rPr>
      </w:pPr>
      <w:r w:rsidRPr="00DD2A86">
        <w:rPr>
          <w:rFonts w:eastAsia="Calibri"/>
          <w:lang w:val="de-DE"/>
        </w:rPr>
        <w:t>oder</w:t>
      </w:r>
    </w:p>
    <w:p w:rsidR="007266B7" w:rsidRPr="00DD2A86" w:rsidRDefault="007266B7" w:rsidP="00C034B7">
      <w:pPr>
        <w:suppressAutoHyphens w:val="0"/>
        <w:autoSpaceDE w:val="0"/>
        <w:autoSpaceDN w:val="0"/>
        <w:adjustRightInd w:val="0"/>
        <w:spacing w:before="60"/>
        <w:ind w:left="2835" w:right="1134" w:hanging="284"/>
        <w:jc w:val="both"/>
        <w:rPr>
          <w:rFonts w:eastAsia="Calibri"/>
          <w:lang w:val="de-DE"/>
        </w:rPr>
      </w:pPr>
      <w:r w:rsidRPr="00DD2A86">
        <w:rPr>
          <w:rFonts w:eastAsia="Calibri"/>
          <w:lang w:val="de-DE"/>
        </w:rPr>
        <w:t>(ii)</w:t>
      </w:r>
      <w:r w:rsidRPr="00DD2A86">
        <w:rPr>
          <w:rFonts w:eastAsia="Calibri"/>
          <w:lang w:val="de-DE"/>
        </w:rPr>
        <w:tab/>
        <w:t>Anlagen und Geräte, die höhere Oberflächentemperaturen als unter Buchstabe a) bzw. b) angegeben erzeugen, sind abschaltbar. Solche Anlagen und Geräte müssen rot gekennzeichnet sein.</w:t>
      </w:r>
    </w:p>
    <w:p w:rsidR="007266B7" w:rsidRPr="00DD2A86" w:rsidRDefault="007266B7" w:rsidP="00C034B7">
      <w:pPr>
        <w:suppressAutoHyphens w:val="0"/>
        <w:autoSpaceDE w:val="0"/>
        <w:autoSpaceDN w:val="0"/>
        <w:adjustRightInd w:val="0"/>
        <w:spacing w:before="60"/>
        <w:ind w:left="2552" w:right="1134" w:hanging="284"/>
        <w:jc w:val="both"/>
        <w:rPr>
          <w:rFonts w:eastAsia="Calibri"/>
          <w:lang w:val="de-DE"/>
        </w:rPr>
      </w:pPr>
      <w:r w:rsidRPr="00DD2A86">
        <w:rPr>
          <w:rFonts w:eastAsia="Calibri"/>
          <w:lang w:val="de-DE"/>
        </w:rPr>
        <w:t>e)</w:t>
      </w:r>
      <w:r w:rsidRPr="00DD2A86">
        <w:rPr>
          <w:rFonts w:eastAsia="Calibri"/>
          <w:lang w:val="de-DE"/>
        </w:rPr>
        <w:tab/>
        <w:t>Schiffe des Typs N offen müssen die Anforderungen der Buchstaben a), b) und d) nur erfüllen, sofern sich das Schiff in einer oder unmittelbar angrenzend an eine landseitig ausgewiesene Zone aufhalten wird.“.</w:t>
      </w:r>
    </w:p>
    <w:p w:rsidR="009714E5" w:rsidRPr="00DD2A86" w:rsidRDefault="009714E5" w:rsidP="009714E5">
      <w:pPr>
        <w:pStyle w:val="ListParagraph"/>
        <w:suppressAutoHyphens w:val="0"/>
        <w:autoSpaceDE w:val="0"/>
        <w:autoSpaceDN w:val="0"/>
        <w:adjustRightInd w:val="0"/>
        <w:spacing w:before="240"/>
        <w:ind w:left="1134"/>
        <w:contextualSpacing w:val="0"/>
        <w:jc w:val="both"/>
        <w:rPr>
          <w:rFonts w:eastAsia="Calibri"/>
          <w:bCs/>
          <w:lang w:val="de-DE" w:eastAsia="de-DE"/>
        </w:rPr>
      </w:pPr>
      <w:r w:rsidRPr="00DD2A86">
        <w:rPr>
          <w:rFonts w:eastAsia="Calibri"/>
          <w:bCs/>
          <w:lang w:val="de-DE" w:eastAsia="de-DE"/>
        </w:rPr>
        <w:t>9.3.3.51.1, 9.3.3.51.2 und 9.3.3.51.3</w:t>
      </w:r>
      <w:r w:rsidRPr="00DD2A86">
        <w:rPr>
          <w:rFonts w:eastAsia="Calibri"/>
          <w:bCs/>
          <w:lang w:val="de-DE" w:eastAsia="de-DE"/>
        </w:rPr>
        <w:tab/>
        <w:t>Absätze streichen</w:t>
      </w:r>
    </w:p>
    <w:p w:rsidR="00C62F5B" w:rsidRPr="00DD2A86" w:rsidRDefault="00C62F5B" w:rsidP="00C034B7">
      <w:pPr>
        <w:pStyle w:val="ListParagraph"/>
        <w:suppressAutoHyphens w:val="0"/>
        <w:autoSpaceDE w:val="0"/>
        <w:autoSpaceDN w:val="0"/>
        <w:adjustRightInd w:val="0"/>
        <w:spacing w:before="240"/>
        <w:ind w:left="1134" w:right="1134"/>
        <w:contextualSpacing w:val="0"/>
        <w:jc w:val="both"/>
        <w:rPr>
          <w:rFonts w:eastAsia="Calibri"/>
          <w:bCs/>
          <w:lang w:val="de-DE"/>
        </w:rPr>
      </w:pPr>
      <w:r w:rsidRPr="00DD2A86">
        <w:rPr>
          <w:rFonts w:eastAsia="Calibri"/>
          <w:lang w:val="de-DE" w:eastAsia="de-DE"/>
        </w:rPr>
        <w:t>9.3.3.52</w:t>
      </w:r>
      <w:r w:rsidRPr="00DD2A86">
        <w:rPr>
          <w:rFonts w:eastAsia="Calibri"/>
          <w:lang w:val="de-DE" w:eastAsia="de-DE"/>
        </w:rPr>
        <w:tab/>
      </w:r>
      <w:r w:rsidRPr="00DD2A86">
        <w:rPr>
          <w:rFonts w:eastAsia="Calibri"/>
          <w:bCs/>
          <w:lang w:val="de-DE"/>
        </w:rPr>
        <w:t>Folgenden neuen Absatz hinzufügen:</w:t>
      </w:r>
    </w:p>
    <w:p w:rsidR="002D5A83" w:rsidRPr="00DD2A86" w:rsidRDefault="00C62F5B" w:rsidP="00C034B7">
      <w:pPr>
        <w:pStyle w:val="ListParagraph"/>
        <w:suppressAutoHyphens w:val="0"/>
        <w:autoSpaceDE w:val="0"/>
        <w:autoSpaceDN w:val="0"/>
        <w:adjustRightInd w:val="0"/>
        <w:spacing w:before="120"/>
        <w:ind w:left="2268" w:right="1134"/>
        <w:contextualSpacing w:val="0"/>
        <w:jc w:val="both"/>
        <w:rPr>
          <w:rFonts w:eastAsia="Calibri"/>
          <w:lang w:val="de-DE" w:eastAsia="en-US"/>
        </w:rPr>
      </w:pPr>
      <w:r w:rsidRPr="00DD2A86">
        <w:rPr>
          <w:rFonts w:eastAsia="Calibri"/>
          <w:bCs/>
          <w:lang w:val="de-DE" w:eastAsia="de-DE"/>
        </w:rPr>
        <w:t>„</w:t>
      </w:r>
      <w:r w:rsidRPr="00DD2A86">
        <w:rPr>
          <w:rFonts w:eastAsia="Calibri"/>
          <w:lang w:val="de-DE" w:eastAsia="de-DE"/>
        </w:rPr>
        <w:t>9.3.3.52.11</w:t>
      </w:r>
      <w:r w:rsidRPr="00DD2A86">
        <w:rPr>
          <w:rFonts w:eastAsia="Calibri"/>
          <w:lang w:val="de-DE" w:eastAsia="de-DE"/>
        </w:rPr>
        <w:tab/>
      </w:r>
      <w:r w:rsidRPr="00DD2A86">
        <w:rPr>
          <w:rFonts w:eastAsia="Calibri"/>
          <w:lang w:val="de-DE" w:eastAsia="en-US"/>
        </w:rPr>
        <w:t xml:space="preserve">Schiffe des Typs N offen müssen die Anforderungen des Absatzes </w:t>
      </w:r>
      <w:r w:rsidRPr="00DD2A86">
        <w:rPr>
          <w:rFonts w:eastAsia="Calibri"/>
          <w:bCs/>
          <w:lang w:val="de-DE" w:eastAsia="de-DE"/>
        </w:rPr>
        <w:t>9.3.3.52.1 und 9.3.3.52.3</w:t>
      </w:r>
      <w:r w:rsidRPr="00DD2A86">
        <w:rPr>
          <w:rFonts w:eastAsia="Calibri"/>
          <w:lang w:val="de-DE" w:eastAsia="en-US"/>
        </w:rPr>
        <w:t xml:space="preserve"> nur erfüllen, sofern sich das Schiff in einer oder unmittelbar angrenzend an eine landseitig ausgewiesene Zone aufhalten wird“.</w:t>
      </w:r>
    </w:p>
    <w:p w:rsidR="00A244AA" w:rsidRPr="00DD2A86" w:rsidRDefault="00A244AA" w:rsidP="00596E04">
      <w:pPr>
        <w:tabs>
          <w:tab w:val="left" w:pos="2268"/>
        </w:tabs>
        <w:kinsoku w:val="0"/>
        <w:overflowPunct w:val="0"/>
        <w:autoSpaceDE w:val="0"/>
        <w:autoSpaceDN w:val="0"/>
        <w:adjustRightInd w:val="0"/>
        <w:snapToGrid w:val="0"/>
        <w:spacing w:before="120" w:after="120"/>
        <w:ind w:left="2268" w:right="1134" w:hanging="1134"/>
        <w:jc w:val="both"/>
        <w:rPr>
          <w:rFonts w:eastAsiaTheme="minorHAnsi"/>
          <w:lang w:val="de-DE"/>
        </w:rPr>
      </w:pPr>
      <w:r w:rsidRPr="00DD2A86">
        <w:rPr>
          <w:rFonts w:eastAsiaTheme="minorHAnsi"/>
          <w:lang w:val="de-DE"/>
        </w:rPr>
        <w:t>9.3.3</w:t>
      </w:r>
      <w:r w:rsidRPr="00DD2A86">
        <w:rPr>
          <w:rFonts w:eastAsiaTheme="minorHAnsi"/>
          <w:lang w:val="de-DE"/>
        </w:rPr>
        <w:tab/>
      </w:r>
      <w:r w:rsidRPr="00DD2A86">
        <w:rPr>
          <w:snapToGrid w:val="0"/>
          <w:lang w:val="de-DE" w:eastAsia="fr-FR"/>
        </w:rPr>
        <w:t>Einen neuen Unterabschnitt 9.3.3.61 mit folgendem Wortlaut einfügen</w:t>
      </w:r>
      <w:r w:rsidRPr="00DD2A86">
        <w:rPr>
          <w:rFonts w:eastAsiaTheme="minorHAnsi"/>
          <w:lang w:val="de-DE"/>
        </w:rPr>
        <w:t>:</w:t>
      </w:r>
    </w:p>
    <w:p w:rsidR="00A244AA" w:rsidRPr="00DD2A86" w:rsidRDefault="00A244AA" w:rsidP="00596E04">
      <w:pPr>
        <w:spacing w:after="120"/>
        <w:ind w:left="2268" w:right="1134"/>
        <w:jc w:val="both"/>
        <w:rPr>
          <w:rFonts w:eastAsia="TimesNewRomanPSMT"/>
          <w:snapToGrid w:val="0"/>
          <w:lang w:val="de-DE" w:eastAsia="fr-FR"/>
        </w:rPr>
      </w:pPr>
      <w:r w:rsidRPr="00DD2A86">
        <w:rPr>
          <w:bCs/>
          <w:snapToGrid w:val="0"/>
          <w:lang w:val="de-DE" w:eastAsia="fr-FR"/>
        </w:rPr>
        <w:t>„9.3.3.61</w:t>
      </w:r>
      <w:r w:rsidRPr="00DD2A86">
        <w:rPr>
          <w:bCs/>
          <w:snapToGrid w:val="0"/>
          <w:lang w:val="de-DE" w:eastAsia="fr-FR"/>
        </w:rPr>
        <w:tab/>
        <w:t xml:space="preserve">Die Vorschrift des Unterabschnitts </w:t>
      </w:r>
      <w:r w:rsidRPr="00DD2A86">
        <w:rPr>
          <w:rFonts w:eastAsia="TimesNewRomanPSMT"/>
          <w:snapToGrid w:val="0"/>
          <w:lang w:val="de-DE" w:eastAsia="fr-FR"/>
        </w:rPr>
        <w:t>9.3.3.60 gilt nicht für Bilgenentölungsboote und Bunkerboote.“.</w:t>
      </w:r>
    </w:p>
    <w:p w:rsidR="002B2155" w:rsidRPr="00E86F07" w:rsidRDefault="002B2155" w:rsidP="00B61A90">
      <w:pPr>
        <w:suppressAutoHyphens w:val="0"/>
        <w:spacing w:before="240" w:after="200" w:line="276" w:lineRule="auto"/>
        <w:ind w:left="1134"/>
        <w:jc w:val="center"/>
        <w:rPr>
          <w:rFonts w:eastAsia="Calibri"/>
          <w:szCs w:val="24"/>
          <w:lang w:val="de-DE"/>
        </w:rPr>
      </w:pPr>
      <w:r w:rsidRPr="00DD2A86">
        <w:rPr>
          <w:rFonts w:eastAsia="Calibri"/>
          <w:szCs w:val="24"/>
          <w:lang w:val="de-DE"/>
        </w:rPr>
        <w:t>***</w:t>
      </w:r>
    </w:p>
    <w:sectPr w:rsidR="002B2155" w:rsidRPr="00E86F07" w:rsidSect="008E78A9">
      <w:footerReference w:type="first" r:id="rId105"/>
      <w:endnotePr>
        <w:numFmt w:val="decimal"/>
      </w:endnotePr>
      <w:pgSz w:w="11907" w:h="16840" w:code="9"/>
      <w:pgMar w:top="1701" w:right="1134" w:bottom="1701"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4416" w:rsidRDefault="00AA4416" w:rsidP="00340EBE">
      <w:pPr>
        <w:spacing w:line="240" w:lineRule="auto"/>
      </w:pPr>
      <w:r>
        <w:separator/>
      </w:r>
    </w:p>
  </w:endnote>
  <w:endnote w:type="continuationSeparator" w:id="0">
    <w:p w:rsidR="00AA4416" w:rsidRDefault="00AA4416" w:rsidP="00340E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Ten">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n-ea">
    <w:panose1 w:val="00000000000000000000"/>
    <w:charset w:val="00"/>
    <w:family w:val="roman"/>
    <w:notTrueType/>
    <w:pitch w:val="default"/>
  </w:font>
  <w:font w:name="TimesNewRomanPSMT">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4416" w:rsidRPr="00AD17CA" w:rsidRDefault="00AA4416" w:rsidP="009F66E5">
    <w:pPr>
      <w:tabs>
        <w:tab w:val="center" w:pos="4536"/>
        <w:tab w:val="right" w:pos="9072"/>
      </w:tabs>
      <w:suppressAutoHyphens w:val="0"/>
      <w:spacing w:line="240" w:lineRule="auto"/>
      <w:jc w:val="right"/>
      <w:rPr>
        <w:lang w:val="de-DE"/>
      </w:rPr>
    </w:pPr>
    <w:r w:rsidRPr="008466F1">
      <w:rPr>
        <w:rFonts w:ascii="Arial" w:eastAsia="Arial" w:hAnsi="Arial"/>
        <w:snapToGrid w:val="0"/>
        <w:sz w:val="12"/>
        <w:lang w:val="es-ES"/>
      </w:rPr>
      <w:t>mm/</w:t>
    </w:r>
    <w:r>
      <w:rPr>
        <w:rFonts w:ascii="Arial" w:eastAsia="Arial" w:hAnsi="Arial"/>
        <w:snapToGrid w:val="0"/>
        <w:sz w:val="12"/>
        <w:lang w:val="es-ES"/>
      </w:rPr>
      <w:t>ccnr_zkr_</w:t>
    </w:r>
    <w:r w:rsidRPr="008466F1">
      <w:rPr>
        <w:rFonts w:ascii="Arial" w:eastAsia="Arial" w:hAnsi="Arial"/>
        <w:snapToGrid w:val="0"/>
        <w:sz w:val="12"/>
        <w:lang w:val="es-ES"/>
      </w:rPr>
      <w:t>adn_</w:t>
    </w:r>
    <w:r>
      <w:rPr>
        <w:rFonts w:ascii="Arial" w:eastAsia="Arial" w:hAnsi="Arial"/>
        <w:snapToGrid w:val="0"/>
        <w:sz w:val="12"/>
        <w:lang w:val="es-ES"/>
      </w:rPr>
      <w:t>45de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4416" w:rsidRPr="00002563" w:rsidRDefault="00AA4416" w:rsidP="00002563">
    <w:pPr>
      <w:tabs>
        <w:tab w:val="center" w:pos="4536"/>
        <w:tab w:val="left" w:pos="7177"/>
        <w:tab w:val="right" w:pos="9070"/>
      </w:tabs>
      <w:suppressAutoHyphens w:val="0"/>
      <w:spacing w:line="240" w:lineRule="auto"/>
      <w:jc w:val="right"/>
    </w:pPr>
    <w:r w:rsidRPr="00E159BE">
      <w:rPr>
        <w:rFonts w:ascii="Arial" w:hAnsi="Arial"/>
        <w:noProof/>
        <w:sz w:val="12"/>
        <w:szCs w:val="24"/>
        <w:lang w:val="fr-FR"/>
      </w:rPr>
      <w:t>mm_</w:t>
    </w:r>
    <w:r>
      <w:rPr>
        <w:rFonts w:ascii="Arial" w:hAnsi="Arial"/>
        <w:noProof/>
        <w:sz w:val="12"/>
        <w:szCs w:val="24"/>
        <w:lang w:val="fr-FR"/>
      </w:rPr>
      <w:t>ccnr_zkr_</w:t>
    </w:r>
    <w:r w:rsidRPr="00E159BE">
      <w:rPr>
        <w:rFonts w:ascii="Arial" w:hAnsi="Arial"/>
        <w:noProof/>
        <w:sz w:val="12"/>
        <w:szCs w:val="24"/>
        <w:lang w:val="fr-FR"/>
      </w:rPr>
      <w:t>adn_</w:t>
    </w:r>
    <w:r>
      <w:rPr>
        <w:rFonts w:ascii="Arial" w:hAnsi="Arial"/>
        <w:noProof/>
        <w:sz w:val="12"/>
        <w:szCs w:val="24"/>
        <w:lang w:val="fr-FR"/>
      </w:rPr>
      <w:t>45</w:t>
    </w:r>
    <w:r w:rsidRPr="00E159BE">
      <w:rPr>
        <w:rFonts w:ascii="Arial" w:hAnsi="Arial"/>
        <w:noProof/>
        <w:sz w:val="12"/>
        <w:szCs w:val="24"/>
        <w:lang w:val="fr-FR"/>
      </w:rPr>
      <w:t>de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4416" w:rsidRPr="00D34B0A" w:rsidRDefault="00AA4416" w:rsidP="00D34B0A">
    <w:pPr>
      <w:tabs>
        <w:tab w:val="center" w:pos="4536"/>
        <w:tab w:val="left" w:pos="7177"/>
        <w:tab w:val="right" w:pos="9070"/>
      </w:tabs>
      <w:suppressAutoHyphens w:val="0"/>
      <w:spacing w:line="240" w:lineRule="auto"/>
      <w:jc w:val="right"/>
    </w:pPr>
    <w:r w:rsidRPr="00E159BE">
      <w:rPr>
        <w:rFonts w:ascii="Arial" w:hAnsi="Arial"/>
        <w:noProof/>
        <w:sz w:val="12"/>
        <w:szCs w:val="24"/>
        <w:lang w:val="fr-FR"/>
      </w:rPr>
      <w:t>mm_</w:t>
    </w:r>
    <w:r>
      <w:rPr>
        <w:rFonts w:ascii="Arial" w:hAnsi="Arial"/>
        <w:noProof/>
        <w:sz w:val="12"/>
        <w:szCs w:val="24"/>
        <w:lang w:val="fr-FR"/>
      </w:rPr>
      <w:t>ccnr_zkr_</w:t>
    </w:r>
    <w:r w:rsidRPr="00E159BE">
      <w:rPr>
        <w:rFonts w:ascii="Arial" w:hAnsi="Arial"/>
        <w:noProof/>
        <w:sz w:val="12"/>
        <w:szCs w:val="24"/>
        <w:lang w:val="fr-FR"/>
      </w:rPr>
      <w:t>adn_</w:t>
    </w:r>
    <w:r>
      <w:rPr>
        <w:rFonts w:ascii="Arial" w:hAnsi="Arial"/>
        <w:noProof/>
        <w:sz w:val="12"/>
        <w:szCs w:val="24"/>
        <w:lang w:val="fr-FR"/>
      </w:rPr>
      <w:t>45</w:t>
    </w:r>
    <w:r w:rsidRPr="00E159BE">
      <w:rPr>
        <w:rFonts w:ascii="Arial" w:hAnsi="Arial"/>
        <w:noProof/>
        <w:sz w:val="12"/>
        <w:szCs w:val="24"/>
        <w:lang w:val="fr-FR"/>
      </w:rPr>
      <w:t>de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4416" w:rsidRPr="00D34B0A" w:rsidRDefault="00AA4416" w:rsidP="00D34B0A">
    <w:pPr>
      <w:tabs>
        <w:tab w:val="center" w:pos="4536"/>
        <w:tab w:val="left" w:pos="7177"/>
        <w:tab w:val="right" w:pos="9070"/>
      </w:tabs>
      <w:suppressAutoHyphens w:val="0"/>
      <w:spacing w:line="240" w:lineRule="auto"/>
      <w:jc w:val="right"/>
    </w:pPr>
    <w:r w:rsidRPr="00E159BE">
      <w:rPr>
        <w:rFonts w:ascii="Arial" w:hAnsi="Arial"/>
        <w:noProof/>
        <w:sz w:val="12"/>
        <w:szCs w:val="24"/>
        <w:lang w:val="fr-FR"/>
      </w:rPr>
      <w:t>mm_</w:t>
    </w:r>
    <w:r>
      <w:rPr>
        <w:rFonts w:ascii="Arial" w:hAnsi="Arial"/>
        <w:noProof/>
        <w:sz w:val="12"/>
        <w:szCs w:val="24"/>
        <w:lang w:val="fr-FR"/>
      </w:rPr>
      <w:t>ccnr_zkr_</w:t>
    </w:r>
    <w:r w:rsidRPr="00E159BE">
      <w:rPr>
        <w:rFonts w:ascii="Arial" w:hAnsi="Arial"/>
        <w:noProof/>
        <w:sz w:val="12"/>
        <w:szCs w:val="24"/>
        <w:lang w:val="fr-FR"/>
      </w:rPr>
      <w:t>adn_</w:t>
    </w:r>
    <w:r>
      <w:rPr>
        <w:rFonts w:ascii="Arial" w:hAnsi="Arial"/>
        <w:noProof/>
        <w:sz w:val="12"/>
        <w:szCs w:val="24"/>
        <w:lang w:val="fr-FR"/>
      </w:rPr>
      <w:t>45</w:t>
    </w:r>
    <w:r w:rsidRPr="00E159BE">
      <w:rPr>
        <w:rFonts w:ascii="Arial" w:hAnsi="Arial"/>
        <w:noProof/>
        <w:sz w:val="12"/>
        <w:szCs w:val="24"/>
        <w:lang w:val="fr-FR"/>
      </w:rPr>
      <w:t>de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4416" w:rsidRPr="007C000A" w:rsidRDefault="00AA4416" w:rsidP="007C000A">
    <w:pPr>
      <w:tabs>
        <w:tab w:val="center" w:pos="4536"/>
        <w:tab w:val="left" w:pos="7177"/>
        <w:tab w:val="right" w:pos="9070"/>
      </w:tabs>
      <w:suppressAutoHyphens w:val="0"/>
      <w:spacing w:line="240" w:lineRule="auto"/>
      <w:jc w:val="right"/>
    </w:pPr>
    <w:r w:rsidRPr="00E159BE">
      <w:rPr>
        <w:rFonts w:ascii="Arial" w:hAnsi="Arial"/>
        <w:noProof/>
        <w:sz w:val="12"/>
        <w:szCs w:val="24"/>
        <w:lang w:val="fr-FR"/>
      </w:rPr>
      <w:t>mm_</w:t>
    </w:r>
    <w:r>
      <w:rPr>
        <w:rFonts w:ascii="Arial" w:hAnsi="Arial"/>
        <w:noProof/>
        <w:sz w:val="12"/>
        <w:szCs w:val="24"/>
        <w:lang w:val="fr-FR"/>
      </w:rPr>
      <w:t>ccnr_zkr_</w:t>
    </w:r>
    <w:r w:rsidRPr="00E159BE">
      <w:rPr>
        <w:rFonts w:ascii="Arial" w:hAnsi="Arial"/>
        <w:noProof/>
        <w:sz w:val="12"/>
        <w:szCs w:val="24"/>
        <w:lang w:val="fr-FR"/>
      </w:rPr>
      <w:t>adn_</w:t>
    </w:r>
    <w:r>
      <w:rPr>
        <w:rFonts w:ascii="Arial" w:hAnsi="Arial"/>
        <w:noProof/>
        <w:sz w:val="12"/>
        <w:szCs w:val="24"/>
        <w:lang w:val="fr-FR"/>
      </w:rPr>
      <w:t>45</w:t>
    </w:r>
    <w:r w:rsidRPr="00E159BE">
      <w:rPr>
        <w:rFonts w:ascii="Arial" w:hAnsi="Arial"/>
        <w:noProof/>
        <w:sz w:val="12"/>
        <w:szCs w:val="24"/>
        <w:lang w:val="fr-FR"/>
      </w:rPr>
      <w:t>de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4416" w:rsidRPr="00AC60CF" w:rsidRDefault="00AA4416" w:rsidP="00BA4A5E">
    <w:pPr>
      <w:tabs>
        <w:tab w:val="center" w:pos="4536"/>
        <w:tab w:val="right" w:pos="9072"/>
      </w:tabs>
      <w:suppressAutoHyphens w:val="0"/>
      <w:spacing w:line="240" w:lineRule="auto"/>
      <w:jc w:val="right"/>
      <w:rPr>
        <w:lang w:val="de-DE"/>
      </w:rPr>
    </w:pPr>
    <w:r w:rsidRPr="008466F1">
      <w:rPr>
        <w:rFonts w:ascii="Arial" w:eastAsia="Arial" w:hAnsi="Arial"/>
        <w:snapToGrid w:val="0"/>
        <w:sz w:val="12"/>
        <w:lang w:val="es-ES"/>
      </w:rPr>
      <w:t>mm/adn_</w:t>
    </w:r>
    <w:r>
      <w:rPr>
        <w:rFonts w:ascii="Arial" w:eastAsia="Arial" w:hAnsi="Arial"/>
        <w:snapToGrid w:val="0"/>
        <w:sz w:val="12"/>
        <w:lang w:val="es-ES"/>
      </w:rPr>
      <w:t>AG_Sprache_2018_7de_rev3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4416" w:rsidRPr="00993052" w:rsidRDefault="00AA4416" w:rsidP="00993052">
    <w:pPr>
      <w:tabs>
        <w:tab w:val="center" w:pos="4536"/>
        <w:tab w:val="right" w:pos="9072"/>
      </w:tabs>
      <w:suppressAutoHyphens w:val="0"/>
      <w:spacing w:line="240" w:lineRule="auto"/>
      <w:jc w:val="right"/>
    </w:pPr>
    <w:r w:rsidRPr="008466F1">
      <w:rPr>
        <w:rFonts w:ascii="Arial" w:eastAsia="Arial" w:hAnsi="Arial"/>
        <w:snapToGrid w:val="0"/>
        <w:sz w:val="12"/>
        <w:lang w:val="es-ES"/>
      </w:rPr>
      <w:t>mm/</w:t>
    </w:r>
    <w:r>
      <w:rPr>
        <w:rFonts w:ascii="Arial" w:eastAsia="Arial" w:hAnsi="Arial"/>
        <w:snapToGrid w:val="0"/>
        <w:sz w:val="12"/>
        <w:lang w:val="es-ES"/>
      </w:rPr>
      <w:t>ccnr_zkr_</w:t>
    </w:r>
    <w:r w:rsidRPr="008466F1">
      <w:rPr>
        <w:rFonts w:ascii="Arial" w:eastAsia="Arial" w:hAnsi="Arial"/>
        <w:snapToGrid w:val="0"/>
        <w:sz w:val="12"/>
        <w:lang w:val="es-ES"/>
      </w:rPr>
      <w:t>adn_</w:t>
    </w:r>
    <w:r>
      <w:rPr>
        <w:rFonts w:ascii="Arial" w:eastAsia="Arial" w:hAnsi="Arial"/>
        <w:snapToGrid w:val="0"/>
        <w:sz w:val="12"/>
        <w:lang w:val="es-ES"/>
      </w:rPr>
      <w:t>45de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4416" w:rsidRPr="009949F9" w:rsidRDefault="00AA4416" w:rsidP="00E941A1">
    <w:pPr>
      <w:tabs>
        <w:tab w:val="center" w:pos="4536"/>
        <w:tab w:val="right" w:pos="9072"/>
      </w:tabs>
      <w:jc w:val="right"/>
    </w:pPr>
    <w:r w:rsidRPr="00F769D6">
      <w:rPr>
        <w:rFonts w:ascii="Arial" w:hAnsi="Arial"/>
        <w:noProof/>
        <w:sz w:val="12"/>
        <w:szCs w:val="24"/>
        <w:lang w:val="fr-FR"/>
      </w:rPr>
      <w:t>mm_adn_</w:t>
    </w:r>
    <w:r>
      <w:rPr>
        <w:rFonts w:ascii="Arial" w:hAnsi="Arial"/>
        <w:noProof/>
        <w:sz w:val="12"/>
        <w:szCs w:val="24"/>
        <w:lang w:val="fr-FR"/>
      </w:rPr>
      <w:t>Sprache_2018_7de_rev4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4416" w:rsidRPr="009949F9" w:rsidRDefault="00AA4416" w:rsidP="00E941A1">
    <w:pPr>
      <w:tabs>
        <w:tab w:val="center" w:pos="4536"/>
        <w:tab w:val="right" w:pos="9072"/>
      </w:tabs>
      <w:jc w:val="right"/>
    </w:pPr>
    <w:r w:rsidRPr="00F769D6">
      <w:rPr>
        <w:rFonts w:ascii="Arial" w:hAnsi="Arial"/>
        <w:noProof/>
        <w:sz w:val="12"/>
        <w:szCs w:val="24"/>
        <w:lang w:val="fr-FR"/>
      </w:rPr>
      <w:t>mm_adn_</w:t>
    </w:r>
    <w:r>
      <w:rPr>
        <w:rFonts w:ascii="Arial" w:hAnsi="Arial"/>
        <w:noProof/>
        <w:sz w:val="12"/>
        <w:szCs w:val="24"/>
        <w:lang w:val="fr-FR"/>
      </w:rPr>
      <w:t>Sprache_2018_7de_rev3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4416" w:rsidRPr="00C24F76" w:rsidRDefault="00AA4416" w:rsidP="0048756D">
    <w:pPr>
      <w:tabs>
        <w:tab w:val="center" w:pos="4536"/>
        <w:tab w:val="left" w:pos="7177"/>
        <w:tab w:val="right" w:pos="9070"/>
      </w:tabs>
      <w:suppressAutoHyphens w:val="0"/>
      <w:spacing w:line="240" w:lineRule="auto"/>
      <w:jc w:val="right"/>
    </w:pPr>
    <w:r w:rsidRPr="00E159BE">
      <w:rPr>
        <w:rFonts w:ascii="Arial" w:hAnsi="Arial"/>
        <w:noProof/>
        <w:sz w:val="12"/>
        <w:szCs w:val="24"/>
        <w:lang w:val="fr-FR"/>
      </w:rPr>
      <w:t>mm_</w:t>
    </w:r>
    <w:r>
      <w:rPr>
        <w:rFonts w:ascii="Arial" w:hAnsi="Arial"/>
        <w:noProof/>
        <w:sz w:val="12"/>
        <w:szCs w:val="24"/>
        <w:lang w:val="fr-FR"/>
      </w:rPr>
      <w:t>ccnr_zkr_</w:t>
    </w:r>
    <w:r w:rsidRPr="00E159BE">
      <w:rPr>
        <w:rFonts w:ascii="Arial" w:hAnsi="Arial"/>
        <w:noProof/>
        <w:sz w:val="12"/>
        <w:szCs w:val="24"/>
        <w:lang w:val="fr-FR"/>
      </w:rPr>
      <w:t>adn_</w:t>
    </w:r>
    <w:r>
      <w:rPr>
        <w:rFonts w:ascii="Arial" w:hAnsi="Arial"/>
        <w:noProof/>
        <w:sz w:val="12"/>
        <w:szCs w:val="24"/>
        <w:lang w:val="fr-FR"/>
      </w:rPr>
      <w:t>45</w:t>
    </w:r>
    <w:r w:rsidRPr="00E159BE">
      <w:rPr>
        <w:rFonts w:ascii="Arial" w:hAnsi="Arial"/>
        <w:noProof/>
        <w:sz w:val="12"/>
        <w:szCs w:val="24"/>
        <w:lang w:val="fr-FR"/>
      </w:rPr>
      <w:t>de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4416" w:rsidRPr="00C24F76" w:rsidRDefault="00AA4416" w:rsidP="00E941A1">
    <w:pPr>
      <w:tabs>
        <w:tab w:val="center" w:pos="4536"/>
        <w:tab w:val="left" w:pos="7177"/>
        <w:tab w:val="right" w:pos="9070"/>
      </w:tabs>
      <w:suppressAutoHyphens w:val="0"/>
      <w:spacing w:line="240" w:lineRule="auto"/>
      <w:jc w:val="right"/>
    </w:pPr>
    <w:r w:rsidRPr="00E159BE">
      <w:rPr>
        <w:rFonts w:ascii="Arial" w:hAnsi="Arial"/>
        <w:noProof/>
        <w:sz w:val="12"/>
        <w:szCs w:val="24"/>
        <w:lang w:val="fr-FR"/>
      </w:rPr>
      <w:t>mm_</w:t>
    </w:r>
    <w:r>
      <w:rPr>
        <w:rFonts w:ascii="Arial" w:hAnsi="Arial"/>
        <w:noProof/>
        <w:sz w:val="12"/>
        <w:szCs w:val="24"/>
        <w:lang w:val="fr-FR"/>
      </w:rPr>
      <w:t>ccnr_zkr_</w:t>
    </w:r>
    <w:r w:rsidRPr="00E159BE">
      <w:rPr>
        <w:rFonts w:ascii="Arial" w:hAnsi="Arial"/>
        <w:noProof/>
        <w:sz w:val="12"/>
        <w:szCs w:val="24"/>
        <w:lang w:val="fr-FR"/>
      </w:rPr>
      <w:t>adn_</w:t>
    </w:r>
    <w:r>
      <w:rPr>
        <w:rFonts w:ascii="Arial" w:hAnsi="Arial"/>
        <w:noProof/>
        <w:sz w:val="12"/>
        <w:szCs w:val="24"/>
        <w:lang w:val="fr-FR"/>
      </w:rPr>
      <w:t>45</w:t>
    </w:r>
    <w:r w:rsidRPr="00E159BE">
      <w:rPr>
        <w:rFonts w:ascii="Arial" w:hAnsi="Arial"/>
        <w:noProof/>
        <w:sz w:val="12"/>
        <w:szCs w:val="24"/>
        <w:lang w:val="fr-FR"/>
      </w:rPr>
      <w:t>de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4416" w:rsidRPr="00002563" w:rsidRDefault="00AA4416" w:rsidP="00002563">
    <w:pPr>
      <w:tabs>
        <w:tab w:val="center" w:pos="4536"/>
        <w:tab w:val="left" w:pos="7177"/>
        <w:tab w:val="right" w:pos="9070"/>
      </w:tabs>
      <w:suppressAutoHyphens w:val="0"/>
      <w:spacing w:line="240" w:lineRule="auto"/>
      <w:jc w:val="right"/>
    </w:pPr>
    <w:r w:rsidRPr="00E159BE">
      <w:rPr>
        <w:rFonts w:ascii="Arial" w:hAnsi="Arial"/>
        <w:noProof/>
        <w:sz w:val="12"/>
        <w:szCs w:val="24"/>
        <w:lang w:val="fr-FR"/>
      </w:rPr>
      <w:t>mm_</w:t>
    </w:r>
    <w:r>
      <w:rPr>
        <w:rFonts w:ascii="Arial" w:hAnsi="Arial"/>
        <w:noProof/>
        <w:sz w:val="12"/>
        <w:szCs w:val="24"/>
        <w:lang w:val="fr-FR"/>
      </w:rPr>
      <w:t>ccnr_zkr_</w:t>
    </w:r>
    <w:r w:rsidRPr="00E159BE">
      <w:rPr>
        <w:rFonts w:ascii="Arial" w:hAnsi="Arial"/>
        <w:noProof/>
        <w:sz w:val="12"/>
        <w:szCs w:val="24"/>
        <w:lang w:val="fr-FR"/>
      </w:rPr>
      <w:t>adn_</w:t>
    </w:r>
    <w:r>
      <w:rPr>
        <w:rFonts w:ascii="Arial" w:hAnsi="Arial"/>
        <w:noProof/>
        <w:sz w:val="12"/>
        <w:szCs w:val="24"/>
        <w:lang w:val="fr-FR"/>
      </w:rPr>
      <w:t>45</w:t>
    </w:r>
    <w:r w:rsidRPr="00E159BE">
      <w:rPr>
        <w:rFonts w:ascii="Arial" w:hAnsi="Arial"/>
        <w:noProof/>
        <w:sz w:val="12"/>
        <w:szCs w:val="24"/>
        <w:lang w:val="fr-FR"/>
      </w:rPr>
      <w:t>de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4416" w:rsidRPr="00002563" w:rsidRDefault="00AA4416" w:rsidP="00002563">
    <w:pPr>
      <w:tabs>
        <w:tab w:val="center" w:pos="4536"/>
        <w:tab w:val="left" w:pos="7177"/>
        <w:tab w:val="right" w:pos="9070"/>
      </w:tabs>
      <w:suppressAutoHyphens w:val="0"/>
      <w:spacing w:line="240" w:lineRule="auto"/>
      <w:jc w:val="right"/>
    </w:pPr>
    <w:r w:rsidRPr="00E159BE">
      <w:rPr>
        <w:rFonts w:ascii="Arial" w:hAnsi="Arial"/>
        <w:noProof/>
        <w:sz w:val="12"/>
        <w:szCs w:val="24"/>
        <w:lang w:val="fr-FR"/>
      </w:rPr>
      <w:t>mm_</w:t>
    </w:r>
    <w:r>
      <w:rPr>
        <w:rFonts w:ascii="Arial" w:hAnsi="Arial"/>
        <w:noProof/>
        <w:sz w:val="12"/>
        <w:szCs w:val="24"/>
        <w:lang w:val="fr-FR"/>
      </w:rPr>
      <w:t>ccnr_zkr_</w:t>
    </w:r>
    <w:r w:rsidRPr="00E159BE">
      <w:rPr>
        <w:rFonts w:ascii="Arial" w:hAnsi="Arial"/>
        <w:noProof/>
        <w:sz w:val="12"/>
        <w:szCs w:val="24"/>
        <w:lang w:val="fr-FR"/>
      </w:rPr>
      <w:t>adn_</w:t>
    </w:r>
    <w:r>
      <w:rPr>
        <w:rFonts w:ascii="Arial" w:hAnsi="Arial"/>
        <w:noProof/>
        <w:sz w:val="12"/>
        <w:szCs w:val="24"/>
        <w:lang w:val="fr-FR"/>
      </w:rPr>
      <w:t>45</w:t>
    </w:r>
    <w:r w:rsidRPr="00E159BE">
      <w:rPr>
        <w:rFonts w:ascii="Arial" w:hAnsi="Arial"/>
        <w:noProof/>
        <w:sz w:val="12"/>
        <w:szCs w:val="24"/>
        <w:lang w:val="fr-FR"/>
      </w:rPr>
      <w:t>de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4416" w:rsidRPr="00002563" w:rsidRDefault="00AA4416" w:rsidP="00002563">
    <w:pPr>
      <w:tabs>
        <w:tab w:val="center" w:pos="4536"/>
        <w:tab w:val="left" w:pos="7177"/>
        <w:tab w:val="right" w:pos="9070"/>
      </w:tabs>
      <w:suppressAutoHyphens w:val="0"/>
      <w:spacing w:line="240" w:lineRule="auto"/>
      <w:jc w:val="right"/>
    </w:pPr>
    <w:r w:rsidRPr="00E159BE">
      <w:rPr>
        <w:rFonts w:ascii="Arial" w:hAnsi="Arial"/>
        <w:noProof/>
        <w:sz w:val="12"/>
        <w:szCs w:val="24"/>
        <w:lang w:val="fr-FR"/>
      </w:rPr>
      <w:t>mm_</w:t>
    </w:r>
    <w:r>
      <w:rPr>
        <w:rFonts w:ascii="Arial" w:hAnsi="Arial"/>
        <w:noProof/>
        <w:sz w:val="12"/>
        <w:szCs w:val="24"/>
        <w:lang w:val="fr-FR"/>
      </w:rPr>
      <w:t>ccnr_zkr_</w:t>
    </w:r>
    <w:r w:rsidRPr="00E159BE">
      <w:rPr>
        <w:rFonts w:ascii="Arial" w:hAnsi="Arial"/>
        <w:noProof/>
        <w:sz w:val="12"/>
        <w:szCs w:val="24"/>
        <w:lang w:val="fr-FR"/>
      </w:rPr>
      <w:t>adn_</w:t>
    </w:r>
    <w:r>
      <w:rPr>
        <w:rFonts w:ascii="Arial" w:hAnsi="Arial"/>
        <w:noProof/>
        <w:sz w:val="12"/>
        <w:szCs w:val="24"/>
        <w:lang w:val="fr-FR"/>
      </w:rPr>
      <w:t>45</w:t>
    </w:r>
    <w:r w:rsidRPr="00E159BE">
      <w:rPr>
        <w:rFonts w:ascii="Arial" w:hAnsi="Arial"/>
        <w:noProof/>
        <w:sz w:val="12"/>
        <w:szCs w:val="24"/>
        <w:lang w:val="fr-FR"/>
      </w:rPr>
      <w:t>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4416" w:rsidRDefault="00AA4416" w:rsidP="00340EBE">
      <w:pPr>
        <w:spacing w:line="240" w:lineRule="auto"/>
      </w:pPr>
      <w:r>
        <w:separator/>
      </w:r>
    </w:p>
  </w:footnote>
  <w:footnote w:type="continuationSeparator" w:id="0">
    <w:p w:rsidR="00AA4416" w:rsidRDefault="00AA4416" w:rsidP="00340EBE">
      <w:pPr>
        <w:spacing w:line="240" w:lineRule="auto"/>
      </w:pPr>
      <w:r>
        <w:continuationSeparator/>
      </w:r>
    </w:p>
  </w:footnote>
  <w:footnote w:id="1">
    <w:p w:rsidR="00AA4416" w:rsidRPr="00850AFD" w:rsidRDefault="00AA4416" w:rsidP="0067573A">
      <w:pPr>
        <w:pStyle w:val="FootnoteText"/>
        <w:widowControl w:val="0"/>
        <w:ind w:left="284" w:right="282" w:hanging="284"/>
        <w:rPr>
          <w:color w:val="000000"/>
          <w:sz w:val="16"/>
          <w:szCs w:val="16"/>
          <w:lang w:val="de-DE"/>
        </w:rPr>
      </w:pPr>
      <w:r w:rsidRPr="00992DF0">
        <w:rPr>
          <w:rStyle w:val="FootnoteReference"/>
          <w:sz w:val="16"/>
          <w:szCs w:val="16"/>
        </w:rPr>
        <w:footnoteRef/>
      </w:r>
      <w:r w:rsidRPr="00992DF0">
        <w:rPr>
          <w:sz w:val="16"/>
          <w:szCs w:val="16"/>
          <w:lang w:val="de-DE"/>
        </w:rPr>
        <w:tab/>
      </w:r>
      <w:r w:rsidRPr="00850AFD">
        <w:rPr>
          <w:color w:val="000000"/>
          <w:sz w:val="16"/>
          <w:szCs w:val="16"/>
          <w:lang w:val="de-DE"/>
        </w:rPr>
        <w:t>Von der UN-ECE in Englisch, Französisch und Russisch unter dem Aktenzeichen ECE/ADN/</w:t>
      </w:r>
      <w:r>
        <w:rPr>
          <w:color w:val="000000"/>
          <w:sz w:val="16"/>
          <w:szCs w:val="16"/>
          <w:lang w:val="de-DE"/>
        </w:rPr>
        <w:t>45</w:t>
      </w:r>
      <w:r w:rsidRPr="00850AFD">
        <w:rPr>
          <w:color w:val="000000"/>
          <w:sz w:val="16"/>
          <w:szCs w:val="16"/>
          <w:lang w:val="de-DE"/>
        </w:rPr>
        <w:t xml:space="preserve"> verteilt.</w:t>
      </w:r>
    </w:p>
  </w:footnote>
  <w:footnote w:id="2">
    <w:p w:rsidR="00AA4416" w:rsidRPr="00D97A1E" w:rsidRDefault="00AA4416" w:rsidP="005210BA">
      <w:pPr>
        <w:pStyle w:val="FootnoteText"/>
        <w:tabs>
          <w:tab w:val="left" w:pos="284"/>
        </w:tabs>
        <w:rPr>
          <w:sz w:val="16"/>
          <w:szCs w:val="16"/>
          <w:lang w:val="de-DE"/>
        </w:rPr>
      </w:pPr>
      <w:r>
        <w:rPr>
          <w:rStyle w:val="FootnoteReference"/>
        </w:rPr>
        <w:footnoteRef/>
      </w:r>
      <w:r w:rsidRPr="00D97A1E">
        <w:rPr>
          <w:sz w:val="16"/>
          <w:szCs w:val="16"/>
          <w:vertAlign w:val="superscript"/>
          <w:lang w:val="de-DE"/>
        </w:rPr>
        <w:t>)</w:t>
      </w:r>
      <w:r w:rsidRPr="00D97A1E">
        <w:rPr>
          <w:lang w:val="de-DE"/>
        </w:rPr>
        <w:t xml:space="preserve"> </w:t>
      </w:r>
      <w:r w:rsidRPr="00D97A1E">
        <w:rPr>
          <w:sz w:val="16"/>
          <w:szCs w:val="16"/>
          <w:lang w:val="de-DE"/>
        </w:rPr>
        <w:tab/>
        <w:t>Identisch mit EN ISO 16852</w:t>
      </w:r>
      <w:r>
        <w:rPr>
          <w:sz w:val="16"/>
          <w:szCs w:val="16"/>
          <w:lang w:val="de-DE"/>
        </w:rPr>
        <w:t>:</w:t>
      </w:r>
      <w:r w:rsidRPr="00E156A4">
        <w:rPr>
          <w:sz w:val="16"/>
          <w:szCs w:val="16"/>
          <w:lang w:val="de-DE"/>
        </w:rPr>
        <w:t>2016</w:t>
      </w:r>
    </w:p>
  </w:footnote>
  <w:footnote w:id="3">
    <w:p w:rsidR="00AA4416" w:rsidRPr="00934BA5" w:rsidRDefault="00AA4416" w:rsidP="004F7853">
      <w:pPr>
        <w:pStyle w:val="FootnoteText"/>
        <w:tabs>
          <w:tab w:val="left" w:pos="284"/>
        </w:tabs>
        <w:rPr>
          <w:sz w:val="16"/>
          <w:szCs w:val="16"/>
          <w:lang w:val="de-DE"/>
        </w:rPr>
      </w:pPr>
      <w:r w:rsidRPr="00934BA5">
        <w:rPr>
          <w:rStyle w:val="FootnoteReference"/>
        </w:rPr>
        <w:footnoteRef/>
      </w:r>
      <w:r w:rsidRPr="00934BA5">
        <w:rPr>
          <w:sz w:val="16"/>
          <w:szCs w:val="16"/>
          <w:vertAlign w:val="superscript"/>
          <w:lang w:val="de-DE"/>
        </w:rPr>
        <w:t xml:space="preserve">) </w:t>
      </w:r>
      <w:r w:rsidRPr="00934BA5">
        <w:rPr>
          <w:sz w:val="16"/>
          <w:szCs w:val="16"/>
          <w:lang w:val="de-DE"/>
        </w:rPr>
        <w:tab/>
        <w:t>Identisch mit EN ISO 16852:201</w:t>
      </w:r>
      <w:r>
        <w:rPr>
          <w:sz w:val="16"/>
          <w:szCs w:val="16"/>
          <w:lang w:val="de-DE"/>
        </w:rPr>
        <w:t>6</w:t>
      </w:r>
    </w:p>
  </w:footnote>
  <w:footnote w:id="4">
    <w:p w:rsidR="00AA4416" w:rsidRPr="00D346D5" w:rsidRDefault="00AA4416" w:rsidP="004F7853">
      <w:pPr>
        <w:pStyle w:val="FootnoteText"/>
        <w:tabs>
          <w:tab w:val="left" w:pos="284"/>
        </w:tabs>
        <w:rPr>
          <w:sz w:val="16"/>
          <w:szCs w:val="16"/>
          <w:lang w:val="en-US"/>
        </w:rPr>
      </w:pPr>
      <w:r w:rsidRPr="00934BA5">
        <w:rPr>
          <w:rStyle w:val="FootnoteReference"/>
          <w:sz w:val="16"/>
          <w:szCs w:val="16"/>
        </w:rPr>
        <w:footnoteRef/>
      </w:r>
      <w:r w:rsidRPr="00934BA5">
        <w:rPr>
          <w:sz w:val="16"/>
          <w:szCs w:val="16"/>
          <w:vertAlign w:val="superscript"/>
          <w:lang w:val="de-DE"/>
        </w:rPr>
        <w:t xml:space="preserve">) </w:t>
      </w:r>
      <w:r w:rsidRPr="00934BA5">
        <w:rPr>
          <w:sz w:val="16"/>
          <w:szCs w:val="16"/>
          <w:vertAlign w:val="superscript"/>
          <w:lang w:val="de-DE"/>
        </w:rPr>
        <w:tab/>
      </w:r>
      <w:r>
        <w:rPr>
          <w:sz w:val="16"/>
          <w:szCs w:val="16"/>
          <w:lang w:val="de-DE"/>
        </w:rPr>
        <w:t xml:space="preserve">Amtsblatt der Europäischen Union Nr. </w:t>
      </w:r>
      <w:r w:rsidRPr="00916F47">
        <w:rPr>
          <w:sz w:val="16"/>
          <w:szCs w:val="16"/>
          <w:lang w:val="en-US"/>
        </w:rPr>
        <w:t>L</w:t>
      </w:r>
      <w:r>
        <w:rPr>
          <w:sz w:val="16"/>
          <w:szCs w:val="16"/>
          <w:lang w:val="en-US"/>
        </w:rPr>
        <w:t xml:space="preserve"> </w:t>
      </w:r>
      <w:r w:rsidRPr="00916F47">
        <w:rPr>
          <w:sz w:val="16"/>
          <w:szCs w:val="16"/>
          <w:lang w:val="en-US"/>
        </w:rPr>
        <w:t xml:space="preserve">96 vom 29. März 2014, S. 309 </w:t>
      </w:r>
    </w:p>
  </w:footnote>
  <w:footnote w:id="5">
    <w:p w:rsidR="00AA4416" w:rsidRPr="00934BA5" w:rsidRDefault="00AA4416" w:rsidP="004F7853">
      <w:pPr>
        <w:pStyle w:val="FootnoteText"/>
        <w:tabs>
          <w:tab w:val="left" w:pos="284"/>
        </w:tabs>
        <w:rPr>
          <w:sz w:val="16"/>
          <w:szCs w:val="16"/>
          <w:lang w:val="en-US"/>
        </w:rPr>
      </w:pPr>
      <w:r w:rsidRPr="00934BA5">
        <w:rPr>
          <w:rStyle w:val="FootnoteReference"/>
          <w:sz w:val="16"/>
          <w:szCs w:val="16"/>
        </w:rPr>
        <w:footnoteRef/>
      </w:r>
      <w:r w:rsidRPr="00934BA5">
        <w:rPr>
          <w:sz w:val="16"/>
          <w:szCs w:val="16"/>
          <w:vertAlign w:val="superscript"/>
          <w:lang w:val="en-US"/>
        </w:rPr>
        <w:t xml:space="preserve">) </w:t>
      </w:r>
      <w:r w:rsidRPr="00934BA5">
        <w:rPr>
          <w:sz w:val="16"/>
          <w:szCs w:val="16"/>
          <w:vertAlign w:val="superscript"/>
          <w:lang w:val="en-US"/>
        </w:rPr>
        <w:tab/>
      </w:r>
      <w:r w:rsidRPr="00934BA5">
        <w:rPr>
          <w:sz w:val="16"/>
          <w:szCs w:val="16"/>
          <w:lang w:val="en-US"/>
        </w:rPr>
        <w:t>A Common Regulatory Framework for Equipment Used in Environments with an Explosive Atmosphere, United Nations 2011</w:t>
      </w:r>
    </w:p>
  </w:footnote>
  <w:footnote w:id="6">
    <w:p w:rsidR="00AA4416" w:rsidRPr="00FA6A72" w:rsidRDefault="00AA4416" w:rsidP="004F7853">
      <w:pPr>
        <w:pStyle w:val="FootnoteText"/>
        <w:tabs>
          <w:tab w:val="left" w:pos="284"/>
        </w:tabs>
        <w:rPr>
          <w:sz w:val="16"/>
          <w:szCs w:val="16"/>
          <w:lang w:val="de-DE"/>
        </w:rPr>
      </w:pPr>
      <w:r w:rsidRPr="00934BA5">
        <w:rPr>
          <w:rStyle w:val="FootnoteReference"/>
        </w:rPr>
        <w:footnoteRef/>
      </w:r>
      <w:r w:rsidRPr="00934BA5">
        <w:rPr>
          <w:vertAlign w:val="superscript"/>
          <w:lang w:val="de-DE"/>
        </w:rPr>
        <w:t>)</w:t>
      </w:r>
      <w:r w:rsidRPr="00934BA5">
        <w:rPr>
          <w:vertAlign w:val="superscript"/>
          <w:lang w:val="de-DE"/>
        </w:rPr>
        <w:tab/>
      </w:r>
      <w:r w:rsidRPr="00FA6A72">
        <w:rPr>
          <w:sz w:val="16"/>
          <w:szCs w:val="16"/>
          <w:lang w:val="de-DE"/>
        </w:rPr>
        <w:t>Die Buchstaben IEC/EN bedeuten: Die Norm ist sowohl als IEC-Norm als auch als EN-Norm verfügbar</w:t>
      </w:r>
    </w:p>
  </w:footnote>
  <w:footnote w:id="7">
    <w:p w:rsidR="00AA4416" w:rsidRPr="00F43476" w:rsidRDefault="00AA4416" w:rsidP="004F7853">
      <w:pPr>
        <w:pStyle w:val="FootnoteText"/>
        <w:tabs>
          <w:tab w:val="left" w:pos="284"/>
        </w:tabs>
        <w:rPr>
          <w:sz w:val="16"/>
          <w:szCs w:val="16"/>
          <w:lang w:val="de-DE"/>
        </w:rPr>
      </w:pPr>
      <w:r w:rsidRPr="00934BA5">
        <w:rPr>
          <w:rStyle w:val="FootnoteReference"/>
          <w:sz w:val="16"/>
          <w:szCs w:val="16"/>
        </w:rPr>
        <w:footnoteRef/>
      </w:r>
      <w:r w:rsidRPr="00934BA5">
        <w:rPr>
          <w:sz w:val="16"/>
          <w:szCs w:val="16"/>
          <w:vertAlign w:val="superscript"/>
          <w:lang w:val="de-DE"/>
        </w:rPr>
        <w:t>)</w:t>
      </w:r>
      <w:r w:rsidRPr="00934BA5">
        <w:rPr>
          <w:sz w:val="16"/>
          <w:szCs w:val="16"/>
          <w:vertAlign w:val="superscript"/>
          <w:lang w:val="de-DE"/>
        </w:rPr>
        <w:tab/>
      </w:r>
      <w:r>
        <w:rPr>
          <w:sz w:val="16"/>
          <w:szCs w:val="16"/>
          <w:lang w:val="de-DE"/>
        </w:rPr>
        <w:t xml:space="preserve">Amtsblatt der Europäischen Union Nr. </w:t>
      </w:r>
      <w:r w:rsidRPr="00F43476">
        <w:rPr>
          <w:sz w:val="16"/>
          <w:szCs w:val="16"/>
          <w:lang w:val="de-DE"/>
        </w:rPr>
        <w:t xml:space="preserve">L 96 vom 29. März 2014, S. 309 </w:t>
      </w:r>
    </w:p>
  </w:footnote>
  <w:footnote w:id="8">
    <w:p w:rsidR="00AA4416" w:rsidRPr="00BA1F0F" w:rsidRDefault="00AA4416" w:rsidP="004F7853">
      <w:pPr>
        <w:pStyle w:val="FootnoteText"/>
        <w:tabs>
          <w:tab w:val="left" w:pos="284"/>
        </w:tabs>
        <w:rPr>
          <w:sz w:val="16"/>
          <w:szCs w:val="16"/>
          <w:lang w:val="de-DE"/>
        </w:rPr>
      </w:pPr>
      <w:r w:rsidRPr="00934BA5">
        <w:rPr>
          <w:rStyle w:val="FootnoteReference"/>
          <w:sz w:val="16"/>
          <w:szCs w:val="16"/>
        </w:rPr>
        <w:footnoteRef/>
      </w:r>
      <w:r w:rsidRPr="00BA1F0F">
        <w:rPr>
          <w:sz w:val="16"/>
          <w:szCs w:val="16"/>
          <w:vertAlign w:val="superscript"/>
          <w:lang w:val="de-DE"/>
        </w:rPr>
        <w:t>)</w:t>
      </w:r>
      <w:r w:rsidRPr="00BA1F0F">
        <w:rPr>
          <w:sz w:val="16"/>
          <w:szCs w:val="16"/>
          <w:vertAlign w:val="superscript"/>
          <w:lang w:val="de-DE"/>
        </w:rPr>
        <w:tab/>
      </w:r>
      <w:r w:rsidRPr="00BA1F0F">
        <w:rPr>
          <w:color w:val="0000FF"/>
          <w:sz w:val="16"/>
          <w:szCs w:val="16"/>
          <w:u w:val="single"/>
          <w:lang w:val="de-DE"/>
        </w:rPr>
        <w:t>http://iecex.com/rules</w:t>
      </w:r>
    </w:p>
  </w:footnote>
  <w:footnote w:id="9">
    <w:p w:rsidR="00AA4416" w:rsidRPr="00934BA5" w:rsidRDefault="00AA4416" w:rsidP="004F7853">
      <w:pPr>
        <w:pStyle w:val="FootnoteText"/>
        <w:tabs>
          <w:tab w:val="left" w:pos="284"/>
        </w:tabs>
        <w:rPr>
          <w:sz w:val="16"/>
          <w:szCs w:val="16"/>
          <w:lang w:val="en-US"/>
        </w:rPr>
      </w:pPr>
      <w:r w:rsidRPr="00934BA5">
        <w:rPr>
          <w:rStyle w:val="FootnoteReference"/>
          <w:sz w:val="16"/>
          <w:szCs w:val="16"/>
        </w:rPr>
        <w:footnoteRef/>
      </w:r>
      <w:r w:rsidRPr="00934BA5">
        <w:rPr>
          <w:sz w:val="16"/>
          <w:szCs w:val="16"/>
          <w:vertAlign w:val="superscript"/>
          <w:lang w:val="en-US"/>
        </w:rPr>
        <w:t>)</w:t>
      </w:r>
      <w:r w:rsidRPr="00934BA5">
        <w:rPr>
          <w:sz w:val="16"/>
          <w:szCs w:val="16"/>
          <w:vertAlign w:val="superscript"/>
          <w:lang w:val="en-US"/>
        </w:rPr>
        <w:tab/>
      </w:r>
      <w:r w:rsidRPr="00934BA5">
        <w:rPr>
          <w:sz w:val="16"/>
          <w:szCs w:val="16"/>
          <w:lang w:val="en-US"/>
        </w:rPr>
        <w:t>A Common Regulatory Framework for Equipment Used in Environments with an Explosive Atmosphere, United Nations 2011</w:t>
      </w:r>
    </w:p>
  </w:footnote>
  <w:footnote w:id="10">
    <w:p w:rsidR="00AA4416" w:rsidRPr="00934BA5" w:rsidRDefault="00AA4416" w:rsidP="004F7853">
      <w:pPr>
        <w:pStyle w:val="FootnoteText"/>
        <w:tabs>
          <w:tab w:val="left" w:pos="284"/>
        </w:tabs>
        <w:rPr>
          <w:sz w:val="16"/>
          <w:szCs w:val="16"/>
          <w:lang w:val="de-DE"/>
        </w:rPr>
      </w:pPr>
      <w:r w:rsidRPr="00934BA5">
        <w:rPr>
          <w:rStyle w:val="FootnoteReference"/>
          <w:sz w:val="16"/>
          <w:szCs w:val="16"/>
        </w:rPr>
        <w:footnoteRef/>
      </w:r>
      <w:r w:rsidRPr="00934BA5">
        <w:rPr>
          <w:sz w:val="16"/>
          <w:szCs w:val="16"/>
          <w:vertAlign w:val="superscript"/>
          <w:lang w:val="de-DE"/>
        </w:rPr>
        <w:t>)</w:t>
      </w:r>
      <w:r w:rsidRPr="00934BA5">
        <w:rPr>
          <w:sz w:val="16"/>
          <w:szCs w:val="16"/>
          <w:vertAlign w:val="superscript"/>
          <w:lang w:val="de-DE"/>
        </w:rPr>
        <w:tab/>
      </w:r>
      <w:r w:rsidRPr="00934BA5">
        <w:rPr>
          <w:sz w:val="16"/>
          <w:szCs w:val="16"/>
          <w:lang w:val="de-DE"/>
        </w:rPr>
        <w:t>Die Buchstaben IEC/EN bedeuten: Die Norm ist sowohl als IEC-Norm als auch als EN-Norm verfügbar</w:t>
      </w:r>
    </w:p>
  </w:footnote>
  <w:footnote w:id="11">
    <w:p w:rsidR="00AA4416" w:rsidRPr="00F43476" w:rsidRDefault="00AA4416" w:rsidP="004F7853">
      <w:pPr>
        <w:pStyle w:val="FootnoteText"/>
        <w:tabs>
          <w:tab w:val="left" w:pos="284"/>
        </w:tabs>
        <w:rPr>
          <w:rFonts w:eastAsiaTheme="minorHAnsi"/>
          <w:sz w:val="16"/>
          <w:szCs w:val="16"/>
          <w:lang w:val="de-DE"/>
        </w:rPr>
      </w:pPr>
      <w:r w:rsidRPr="00934BA5">
        <w:rPr>
          <w:rStyle w:val="FootnoteReference"/>
          <w:sz w:val="16"/>
          <w:szCs w:val="16"/>
        </w:rPr>
        <w:footnoteRef/>
      </w:r>
      <w:r w:rsidRPr="00934BA5">
        <w:rPr>
          <w:rFonts w:eastAsiaTheme="minorHAnsi"/>
          <w:sz w:val="16"/>
          <w:szCs w:val="16"/>
          <w:vertAlign w:val="superscript"/>
          <w:lang w:val="de-DE"/>
        </w:rPr>
        <w:t>)</w:t>
      </w:r>
      <w:r w:rsidRPr="00934BA5">
        <w:rPr>
          <w:rFonts w:eastAsiaTheme="minorHAnsi"/>
          <w:sz w:val="16"/>
          <w:szCs w:val="16"/>
          <w:vertAlign w:val="superscript"/>
          <w:lang w:val="de-DE"/>
        </w:rPr>
        <w:tab/>
      </w:r>
      <w:r>
        <w:rPr>
          <w:rFonts w:eastAsiaTheme="minorHAnsi"/>
          <w:sz w:val="16"/>
          <w:szCs w:val="16"/>
          <w:lang w:val="de-DE"/>
        </w:rPr>
        <w:t xml:space="preserve">Amtsblatt der Europäischen Union Nr. </w:t>
      </w:r>
      <w:r w:rsidRPr="00F43476">
        <w:rPr>
          <w:rFonts w:eastAsiaTheme="minorHAnsi"/>
          <w:sz w:val="16"/>
          <w:szCs w:val="16"/>
          <w:lang w:val="de-DE"/>
        </w:rPr>
        <w:t xml:space="preserve">L 96 vom 29. März 2014, S. 309  </w:t>
      </w:r>
    </w:p>
  </w:footnote>
  <w:footnote w:id="12">
    <w:p w:rsidR="00AA4416" w:rsidRPr="00BA1F0F" w:rsidRDefault="00AA4416" w:rsidP="004F7853">
      <w:pPr>
        <w:pStyle w:val="FootnoteText"/>
        <w:tabs>
          <w:tab w:val="left" w:pos="284"/>
        </w:tabs>
        <w:rPr>
          <w:sz w:val="16"/>
          <w:szCs w:val="16"/>
          <w:lang w:val="de-DE"/>
        </w:rPr>
      </w:pPr>
      <w:r w:rsidRPr="00934BA5">
        <w:rPr>
          <w:rStyle w:val="FootnoteReference"/>
          <w:sz w:val="16"/>
          <w:szCs w:val="16"/>
        </w:rPr>
        <w:footnoteRef/>
      </w:r>
      <w:r w:rsidRPr="00BA1F0F">
        <w:rPr>
          <w:sz w:val="16"/>
          <w:szCs w:val="16"/>
          <w:vertAlign w:val="superscript"/>
          <w:lang w:val="de-DE"/>
        </w:rPr>
        <w:t>)</w:t>
      </w:r>
      <w:r w:rsidRPr="00BA1F0F">
        <w:rPr>
          <w:sz w:val="16"/>
          <w:szCs w:val="16"/>
          <w:vertAlign w:val="superscript"/>
          <w:lang w:val="de-DE"/>
        </w:rPr>
        <w:tab/>
      </w:r>
      <w:r w:rsidRPr="00BA1F0F">
        <w:rPr>
          <w:color w:val="0000FF"/>
          <w:sz w:val="16"/>
          <w:szCs w:val="16"/>
          <w:u w:val="single"/>
          <w:lang w:val="de-DE"/>
        </w:rPr>
        <w:t>http://iecex.com/rules</w:t>
      </w:r>
    </w:p>
  </w:footnote>
  <w:footnote w:id="13">
    <w:p w:rsidR="00AA4416" w:rsidRPr="00934BA5" w:rsidRDefault="00AA4416" w:rsidP="004F7853">
      <w:pPr>
        <w:pStyle w:val="FootnoteText"/>
        <w:tabs>
          <w:tab w:val="left" w:pos="284"/>
        </w:tabs>
        <w:rPr>
          <w:sz w:val="16"/>
          <w:szCs w:val="16"/>
          <w:lang w:val="en-US"/>
        </w:rPr>
      </w:pPr>
      <w:r w:rsidRPr="00934BA5">
        <w:rPr>
          <w:rStyle w:val="FootnoteReference"/>
          <w:sz w:val="16"/>
          <w:szCs w:val="16"/>
        </w:rPr>
        <w:footnoteRef/>
      </w:r>
      <w:r w:rsidRPr="00934BA5">
        <w:rPr>
          <w:sz w:val="16"/>
          <w:szCs w:val="16"/>
          <w:vertAlign w:val="superscript"/>
          <w:lang w:val="en-US"/>
        </w:rPr>
        <w:t>)</w:t>
      </w:r>
      <w:r w:rsidRPr="00934BA5">
        <w:rPr>
          <w:sz w:val="16"/>
          <w:szCs w:val="16"/>
          <w:vertAlign w:val="superscript"/>
          <w:lang w:val="en-US"/>
        </w:rPr>
        <w:tab/>
      </w:r>
      <w:r w:rsidRPr="00934BA5">
        <w:rPr>
          <w:sz w:val="16"/>
          <w:szCs w:val="16"/>
          <w:lang w:val="en-US"/>
        </w:rPr>
        <w:t>A Common Regulatory Framework for Equipment Used in Environments with an Explosive Atmosphere, United Nations 2011</w:t>
      </w:r>
    </w:p>
  </w:footnote>
  <w:footnote w:id="14">
    <w:p w:rsidR="00AA4416" w:rsidRPr="00934BA5" w:rsidRDefault="00AA4416" w:rsidP="004F7853">
      <w:pPr>
        <w:pStyle w:val="FootnoteText"/>
        <w:tabs>
          <w:tab w:val="left" w:pos="284"/>
        </w:tabs>
        <w:rPr>
          <w:sz w:val="16"/>
          <w:szCs w:val="16"/>
          <w:lang w:val="de-DE"/>
        </w:rPr>
      </w:pPr>
      <w:r w:rsidRPr="00934BA5">
        <w:rPr>
          <w:rStyle w:val="FootnoteReference"/>
        </w:rPr>
        <w:footnoteRef/>
      </w:r>
      <w:r w:rsidRPr="00934BA5">
        <w:rPr>
          <w:sz w:val="16"/>
          <w:szCs w:val="16"/>
          <w:vertAlign w:val="superscript"/>
          <w:lang w:val="de-DE"/>
        </w:rPr>
        <w:t xml:space="preserve">) </w:t>
      </w:r>
      <w:r w:rsidRPr="00934BA5">
        <w:rPr>
          <w:sz w:val="16"/>
          <w:szCs w:val="16"/>
          <w:lang w:val="de-DE"/>
        </w:rPr>
        <w:tab/>
        <w:t>Identisch mit EN ISO 16852:201</w:t>
      </w:r>
      <w:r>
        <w:rPr>
          <w:sz w:val="16"/>
          <w:szCs w:val="16"/>
          <w:lang w:val="de-DE"/>
        </w:rPr>
        <w:t>6</w:t>
      </w:r>
    </w:p>
  </w:footnote>
  <w:footnote w:id="15">
    <w:p w:rsidR="00AA4416" w:rsidRPr="00D346D5" w:rsidRDefault="00AA4416" w:rsidP="004F7853">
      <w:pPr>
        <w:pStyle w:val="FootnoteText"/>
        <w:tabs>
          <w:tab w:val="left" w:pos="284"/>
        </w:tabs>
        <w:rPr>
          <w:sz w:val="16"/>
          <w:szCs w:val="16"/>
          <w:lang w:val="en-US"/>
        </w:rPr>
      </w:pPr>
      <w:r w:rsidRPr="00934BA5">
        <w:rPr>
          <w:rStyle w:val="FootnoteReference"/>
          <w:sz w:val="16"/>
          <w:szCs w:val="16"/>
        </w:rPr>
        <w:footnoteRef/>
      </w:r>
      <w:r w:rsidRPr="00934BA5">
        <w:rPr>
          <w:sz w:val="16"/>
          <w:szCs w:val="16"/>
          <w:vertAlign w:val="superscript"/>
          <w:lang w:val="de-DE"/>
        </w:rPr>
        <w:t xml:space="preserve">) </w:t>
      </w:r>
      <w:r w:rsidRPr="00934BA5">
        <w:rPr>
          <w:sz w:val="16"/>
          <w:szCs w:val="16"/>
          <w:vertAlign w:val="superscript"/>
          <w:lang w:val="de-DE"/>
        </w:rPr>
        <w:tab/>
      </w:r>
      <w:r>
        <w:rPr>
          <w:sz w:val="16"/>
          <w:szCs w:val="16"/>
          <w:lang w:val="de-DE"/>
        </w:rPr>
        <w:t xml:space="preserve">Amtsblatt der Europäischen Union Nr. </w:t>
      </w:r>
      <w:r w:rsidRPr="00916F47">
        <w:rPr>
          <w:sz w:val="16"/>
          <w:szCs w:val="16"/>
          <w:lang w:val="en-US"/>
        </w:rPr>
        <w:t>L</w:t>
      </w:r>
      <w:r>
        <w:rPr>
          <w:sz w:val="16"/>
          <w:szCs w:val="16"/>
          <w:lang w:val="en-US"/>
        </w:rPr>
        <w:t xml:space="preserve"> </w:t>
      </w:r>
      <w:r w:rsidRPr="00916F47">
        <w:rPr>
          <w:sz w:val="16"/>
          <w:szCs w:val="16"/>
          <w:lang w:val="en-US"/>
        </w:rPr>
        <w:t xml:space="preserve">96 vom 29. März 2014, S. 309 </w:t>
      </w:r>
    </w:p>
  </w:footnote>
  <w:footnote w:id="16">
    <w:p w:rsidR="00AA4416" w:rsidRPr="00934BA5" w:rsidRDefault="00AA4416" w:rsidP="004F7853">
      <w:pPr>
        <w:pStyle w:val="FootnoteText"/>
        <w:tabs>
          <w:tab w:val="left" w:pos="284"/>
        </w:tabs>
        <w:rPr>
          <w:sz w:val="16"/>
          <w:szCs w:val="16"/>
          <w:lang w:val="en-US"/>
        </w:rPr>
      </w:pPr>
      <w:r w:rsidRPr="00934BA5">
        <w:rPr>
          <w:rStyle w:val="FootnoteReference"/>
          <w:sz w:val="16"/>
          <w:szCs w:val="16"/>
        </w:rPr>
        <w:footnoteRef/>
      </w:r>
      <w:r w:rsidRPr="00934BA5">
        <w:rPr>
          <w:sz w:val="16"/>
          <w:szCs w:val="16"/>
          <w:vertAlign w:val="superscript"/>
          <w:lang w:val="en-US"/>
        </w:rPr>
        <w:t xml:space="preserve">) </w:t>
      </w:r>
      <w:r w:rsidRPr="00934BA5">
        <w:rPr>
          <w:sz w:val="16"/>
          <w:szCs w:val="16"/>
          <w:vertAlign w:val="superscript"/>
          <w:lang w:val="en-US"/>
        </w:rPr>
        <w:tab/>
      </w:r>
      <w:r w:rsidRPr="00934BA5">
        <w:rPr>
          <w:sz w:val="16"/>
          <w:szCs w:val="16"/>
          <w:lang w:val="en-US"/>
        </w:rPr>
        <w:t>A Common Regulatory Framework for Equipment Used in Environments with an Explosive Atmosphere, United Nations 2011</w:t>
      </w:r>
    </w:p>
  </w:footnote>
  <w:footnote w:id="17">
    <w:p w:rsidR="00AA4416" w:rsidRPr="00934BA5" w:rsidRDefault="00AA4416" w:rsidP="004F7853">
      <w:pPr>
        <w:pStyle w:val="FootnoteText"/>
        <w:tabs>
          <w:tab w:val="left" w:pos="284"/>
        </w:tabs>
        <w:rPr>
          <w:sz w:val="16"/>
          <w:szCs w:val="16"/>
          <w:lang w:val="de-DE"/>
        </w:rPr>
      </w:pPr>
      <w:r w:rsidRPr="00934BA5">
        <w:rPr>
          <w:rStyle w:val="FootnoteReference"/>
        </w:rPr>
        <w:footnoteRef/>
      </w:r>
      <w:r w:rsidRPr="00934BA5">
        <w:rPr>
          <w:sz w:val="16"/>
          <w:szCs w:val="16"/>
          <w:vertAlign w:val="superscript"/>
          <w:lang w:val="de-DE"/>
        </w:rPr>
        <w:t xml:space="preserve">) </w:t>
      </w:r>
      <w:r w:rsidRPr="00934BA5">
        <w:rPr>
          <w:sz w:val="16"/>
          <w:szCs w:val="16"/>
          <w:lang w:val="de-DE"/>
        </w:rPr>
        <w:tab/>
        <w:t>Identisch mit EN ISO 16852:201</w:t>
      </w:r>
      <w:r>
        <w:rPr>
          <w:sz w:val="16"/>
          <w:szCs w:val="16"/>
          <w:lang w:val="de-DE"/>
        </w:rPr>
        <w:t>6</w:t>
      </w:r>
    </w:p>
  </w:footnote>
  <w:footnote w:id="18">
    <w:p w:rsidR="00AA4416" w:rsidRPr="00D346D5" w:rsidRDefault="00AA4416" w:rsidP="004F7853">
      <w:pPr>
        <w:pStyle w:val="FootnoteText"/>
        <w:tabs>
          <w:tab w:val="left" w:pos="284"/>
        </w:tabs>
        <w:rPr>
          <w:sz w:val="16"/>
          <w:szCs w:val="16"/>
          <w:lang w:val="en-US"/>
        </w:rPr>
      </w:pPr>
      <w:r w:rsidRPr="00934BA5">
        <w:rPr>
          <w:rStyle w:val="FootnoteReference"/>
          <w:sz w:val="16"/>
          <w:szCs w:val="16"/>
        </w:rPr>
        <w:footnoteRef/>
      </w:r>
      <w:r w:rsidRPr="00934BA5">
        <w:rPr>
          <w:sz w:val="16"/>
          <w:szCs w:val="16"/>
          <w:vertAlign w:val="superscript"/>
          <w:lang w:val="de-DE"/>
        </w:rPr>
        <w:t xml:space="preserve">) </w:t>
      </w:r>
      <w:r w:rsidRPr="00934BA5">
        <w:rPr>
          <w:sz w:val="16"/>
          <w:szCs w:val="16"/>
          <w:vertAlign w:val="superscript"/>
          <w:lang w:val="de-DE"/>
        </w:rPr>
        <w:tab/>
      </w:r>
      <w:r>
        <w:rPr>
          <w:sz w:val="16"/>
          <w:szCs w:val="16"/>
          <w:lang w:val="de-DE"/>
        </w:rPr>
        <w:t xml:space="preserve">Amtsblatt der Europäischen Union Nr. </w:t>
      </w:r>
      <w:r w:rsidRPr="00916F47">
        <w:rPr>
          <w:sz w:val="16"/>
          <w:szCs w:val="16"/>
          <w:lang w:val="en-US"/>
        </w:rPr>
        <w:t>L</w:t>
      </w:r>
      <w:r>
        <w:rPr>
          <w:sz w:val="16"/>
          <w:szCs w:val="16"/>
          <w:lang w:val="en-US"/>
        </w:rPr>
        <w:t xml:space="preserve"> 96 vom 29. März 2014, S. 309</w:t>
      </w:r>
    </w:p>
  </w:footnote>
  <w:footnote w:id="19">
    <w:p w:rsidR="00AA4416" w:rsidRPr="00934BA5" w:rsidRDefault="00AA4416" w:rsidP="004F7853">
      <w:pPr>
        <w:pStyle w:val="FootnoteText"/>
        <w:tabs>
          <w:tab w:val="left" w:pos="284"/>
        </w:tabs>
        <w:rPr>
          <w:sz w:val="16"/>
          <w:szCs w:val="16"/>
          <w:lang w:val="en-US"/>
        </w:rPr>
      </w:pPr>
      <w:r w:rsidRPr="00934BA5">
        <w:rPr>
          <w:rStyle w:val="FootnoteReference"/>
          <w:sz w:val="16"/>
          <w:szCs w:val="16"/>
        </w:rPr>
        <w:footnoteRef/>
      </w:r>
      <w:r w:rsidRPr="00934BA5">
        <w:rPr>
          <w:sz w:val="16"/>
          <w:szCs w:val="16"/>
          <w:vertAlign w:val="superscript"/>
          <w:lang w:val="en-US"/>
        </w:rPr>
        <w:t xml:space="preserve">) </w:t>
      </w:r>
      <w:r w:rsidRPr="00934BA5">
        <w:rPr>
          <w:sz w:val="16"/>
          <w:szCs w:val="16"/>
          <w:vertAlign w:val="superscript"/>
          <w:lang w:val="en-US"/>
        </w:rPr>
        <w:tab/>
      </w:r>
      <w:r w:rsidRPr="00934BA5">
        <w:rPr>
          <w:sz w:val="16"/>
          <w:szCs w:val="16"/>
          <w:lang w:val="en-US"/>
        </w:rPr>
        <w:t>A Common Regulatory Framework for Equipment Used in Environments with an Explosive Atmosphere, United Nations 2011</w:t>
      </w:r>
    </w:p>
  </w:footnote>
  <w:footnote w:id="20">
    <w:p w:rsidR="00AA4416" w:rsidRPr="00934BA5" w:rsidRDefault="00AA4416" w:rsidP="004F7853">
      <w:pPr>
        <w:pStyle w:val="FootnoteText"/>
        <w:tabs>
          <w:tab w:val="left" w:pos="284"/>
        </w:tabs>
        <w:rPr>
          <w:sz w:val="16"/>
          <w:szCs w:val="16"/>
          <w:lang w:val="de-DE"/>
        </w:rPr>
      </w:pPr>
      <w:r w:rsidRPr="00934BA5">
        <w:rPr>
          <w:rStyle w:val="FootnoteReference"/>
          <w:sz w:val="16"/>
          <w:szCs w:val="16"/>
        </w:rPr>
        <w:footnoteRef/>
      </w:r>
      <w:r w:rsidRPr="00934BA5">
        <w:rPr>
          <w:sz w:val="16"/>
          <w:szCs w:val="16"/>
          <w:vertAlign w:val="superscript"/>
          <w:lang w:val="de-DE"/>
        </w:rPr>
        <w:t xml:space="preserve">) </w:t>
      </w:r>
      <w:r w:rsidRPr="00934BA5">
        <w:rPr>
          <w:sz w:val="16"/>
          <w:szCs w:val="16"/>
          <w:vertAlign w:val="superscript"/>
          <w:lang w:val="de-DE"/>
        </w:rPr>
        <w:tab/>
      </w:r>
      <w:r w:rsidRPr="00934BA5">
        <w:rPr>
          <w:sz w:val="16"/>
          <w:szCs w:val="16"/>
          <w:lang w:val="de-DE"/>
        </w:rPr>
        <w:t>Die Buchstaben IEC/EN bedeuten: Die Norm ist sowohl als IEC-Norm als auch als EN-Norm verfügbar</w:t>
      </w:r>
    </w:p>
  </w:footnote>
  <w:footnote w:id="21">
    <w:p w:rsidR="00AA4416" w:rsidRPr="00934BA5" w:rsidRDefault="00AA4416" w:rsidP="004F7853">
      <w:pPr>
        <w:pStyle w:val="FootnoteText"/>
        <w:tabs>
          <w:tab w:val="left" w:pos="284"/>
        </w:tabs>
        <w:rPr>
          <w:sz w:val="16"/>
          <w:szCs w:val="16"/>
          <w:lang w:val="de-DE"/>
        </w:rPr>
      </w:pPr>
      <w:r w:rsidRPr="00934BA5">
        <w:rPr>
          <w:rStyle w:val="FootnoteReference"/>
          <w:sz w:val="16"/>
          <w:szCs w:val="16"/>
        </w:rPr>
        <w:footnoteRef/>
      </w:r>
      <w:r w:rsidRPr="00934BA5">
        <w:rPr>
          <w:sz w:val="16"/>
          <w:szCs w:val="16"/>
          <w:vertAlign w:val="superscript"/>
          <w:lang w:val="de-DE"/>
        </w:rPr>
        <w:t xml:space="preserve">) </w:t>
      </w:r>
      <w:r w:rsidRPr="00934BA5">
        <w:rPr>
          <w:sz w:val="16"/>
          <w:szCs w:val="16"/>
          <w:vertAlign w:val="superscript"/>
          <w:lang w:val="de-DE"/>
        </w:rPr>
        <w:tab/>
      </w:r>
      <w:r>
        <w:rPr>
          <w:sz w:val="16"/>
          <w:szCs w:val="16"/>
          <w:lang w:val="de-DE"/>
        </w:rPr>
        <w:t xml:space="preserve">Amtsblatt der Europäischen Union Nr. L 96 vom 29. März 2014, S. 309 </w:t>
      </w:r>
    </w:p>
  </w:footnote>
  <w:footnote w:id="22">
    <w:p w:rsidR="00AA4416" w:rsidRPr="00BA1F0F" w:rsidRDefault="00AA4416" w:rsidP="004F7853">
      <w:pPr>
        <w:pStyle w:val="FootnoteText"/>
        <w:tabs>
          <w:tab w:val="left" w:pos="284"/>
        </w:tabs>
        <w:rPr>
          <w:sz w:val="16"/>
          <w:szCs w:val="16"/>
          <w:lang w:val="de-DE"/>
        </w:rPr>
      </w:pPr>
      <w:r w:rsidRPr="00934BA5">
        <w:rPr>
          <w:rStyle w:val="FootnoteReference"/>
          <w:sz w:val="16"/>
          <w:szCs w:val="16"/>
        </w:rPr>
        <w:footnoteRef/>
      </w:r>
      <w:r w:rsidRPr="00BA1F0F">
        <w:rPr>
          <w:sz w:val="16"/>
          <w:szCs w:val="16"/>
          <w:vertAlign w:val="superscript"/>
          <w:lang w:val="de-DE"/>
        </w:rPr>
        <w:t xml:space="preserve">) </w:t>
      </w:r>
      <w:r w:rsidRPr="00BA1F0F">
        <w:rPr>
          <w:sz w:val="16"/>
          <w:szCs w:val="16"/>
          <w:vertAlign w:val="superscript"/>
          <w:lang w:val="de-DE"/>
        </w:rPr>
        <w:tab/>
      </w:r>
      <w:r w:rsidRPr="00BA1F0F">
        <w:rPr>
          <w:sz w:val="16"/>
          <w:szCs w:val="16"/>
          <w:u w:val="single"/>
          <w:lang w:val="de-DE"/>
        </w:rPr>
        <w:t>http://iecex.com/rules</w:t>
      </w:r>
    </w:p>
  </w:footnote>
  <w:footnote w:id="23">
    <w:p w:rsidR="00AA4416" w:rsidRPr="00934BA5" w:rsidRDefault="00AA4416" w:rsidP="004F7853">
      <w:pPr>
        <w:pStyle w:val="FootnoteText"/>
        <w:tabs>
          <w:tab w:val="left" w:pos="284"/>
        </w:tabs>
        <w:rPr>
          <w:sz w:val="16"/>
          <w:szCs w:val="16"/>
          <w:lang w:val="en-US"/>
        </w:rPr>
      </w:pPr>
      <w:r w:rsidRPr="00934BA5">
        <w:rPr>
          <w:rStyle w:val="FootnoteReference"/>
          <w:sz w:val="16"/>
          <w:szCs w:val="16"/>
        </w:rPr>
        <w:footnoteRef/>
      </w:r>
      <w:r w:rsidRPr="00934BA5">
        <w:rPr>
          <w:sz w:val="16"/>
          <w:szCs w:val="16"/>
          <w:vertAlign w:val="superscript"/>
          <w:lang w:val="en-US"/>
        </w:rPr>
        <w:t xml:space="preserve">) </w:t>
      </w:r>
      <w:r w:rsidRPr="00934BA5">
        <w:rPr>
          <w:sz w:val="16"/>
          <w:szCs w:val="16"/>
          <w:vertAlign w:val="superscript"/>
          <w:lang w:val="en-US"/>
        </w:rPr>
        <w:tab/>
      </w:r>
      <w:r w:rsidRPr="00934BA5">
        <w:rPr>
          <w:sz w:val="16"/>
          <w:szCs w:val="16"/>
          <w:lang w:val="en-US"/>
        </w:rPr>
        <w:t>A Common Regulatory Framework for Equipment Used in Environments with an Explosive Atmosphere, United Nations 2011</w:t>
      </w:r>
    </w:p>
  </w:footnote>
  <w:footnote w:id="24">
    <w:p w:rsidR="00AA4416" w:rsidRPr="003E14B9" w:rsidRDefault="00AA4416" w:rsidP="00FC5DBE">
      <w:pPr>
        <w:pStyle w:val="FootnoteText"/>
        <w:tabs>
          <w:tab w:val="clear" w:pos="1021"/>
          <w:tab w:val="left" w:pos="284"/>
        </w:tabs>
        <w:rPr>
          <w:sz w:val="16"/>
          <w:szCs w:val="16"/>
          <w:lang w:val="en-US"/>
        </w:rPr>
      </w:pPr>
      <w:r w:rsidRPr="009E4441">
        <w:rPr>
          <w:rStyle w:val="FootnoteReference"/>
        </w:rPr>
        <w:footnoteRef/>
      </w:r>
      <w:r w:rsidRPr="00FC5DBE">
        <w:rPr>
          <w:vertAlign w:val="superscript"/>
          <w:lang w:val="de-DE"/>
        </w:rPr>
        <w:t>)</w:t>
      </w:r>
      <w:r>
        <w:rPr>
          <w:vertAlign w:val="superscript"/>
          <w:lang w:val="de-DE"/>
        </w:rPr>
        <w:tab/>
      </w:r>
      <w:r w:rsidRPr="00FC5DBE">
        <w:rPr>
          <w:sz w:val="16"/>
          <w:szCs w:val="16"/>
          <w:lang w:val="de-DE"/>
        </w:rPr>
        <w:t xml:space="preserve">Amtsblatt der Europäischen Union </w:t>
      </w:r>
      <w:r w:rsidRPr="00A75854">
        <w:rPr>
          <w:sz w:val="16"/>
          <w:szCs w:val="16"/>
          <w:lang w:val="de-DE"/>
        </w:rPr>
        <w:t xml:space="preserve">Nr. </w:t>
      </w:r>
      <w:r w:rsidRPr="00A75854">
        <w:rPr>
          <w:sz w:val="16"/>
          <w:szCs w:val="16"/>
          <w:lang w:val="en-US"/>
        </w:rPr>
        <w:t>L 96 vom 29. März 2014, S. 309</w:t>
      </w:r>
    </w:p>
  </w:footnote>
  <w:footnote w:id="25">
    <w:p w:rsidR="00AA4416" w:rsidRPr="00FC5DBE" w:rsidRDefault="00AA4416" w:rsidP="00FC5DBE">
      <w:pPr>
        <w:pStyle w:val="FootnoteText"/>
        <w:tabs>
          <w:tab w:val="clear" w:pos="1021"/>
          <w:tab w:val="left" w:pos="284"/>
        </w:tabs>
        <w:rPr>
          <w:sz w:val="16"/>
          <w:szCs w:val="16"/>
          <w:lang w:val="en-US"/>
        </w:rPr>
      </w:pPr>
      <w:r w:rsidRPr="00FC5DBE">
        <w:rPr>
          <w:rStyle w:val="FootnoteReference"/>
        </w:rPr>
        <w:footnoteRef/>
      </w:r>
      <w:r w:rsidRPr="00FC5DBE">
        <w:rPr>
          <w:rStyle w:val="FootnoteReference"/>
        </w:rPr>
        <w:t>)</w:t>
      </w:r>
      <w:r w:rsidRPr="00FC5DBE">
        <w:rPr>
          <w:rStyle w:val="FootnoteReference"/>
        </w:rPr>
        <w:tab/>
      </w:r>
      <w:r w:rsidRPr="00FC5DBE">
        <w:rPr>
          <w:sz w:val="16"/>
          <w:szCs w:val="16"/>
          <w:lang w:val="en-US"/>
        </w:rPr>
        <w:t>A Common Regulatory Framework for Equipment Used in Environments with an Explosive Atmosphere, United Nations 2011.</w:t>
      </w:r>
    </w:p>
  </w:footnote>
  <w:footnote w:id="26">
    <w:p w:rsidR="00AA4416" w:rsidRPr="00934BA5" w:rsidRDefault="00AA4416" w:rsidP="004F7853">
      <w:pPr>
        <w:pStyle w:val="FootnoteText"/>
        <w:tabs>
          <w:tab w:val="left" w:pos="284"/>
        </w:tabs>
        <w:rPr>
          <w:sz w:val="16"/>
          <w:szCs w:val="16"/>
          <w:lang w:val="de-DE"/>
        </w:rPr>
      </w:pPr>
      <w:r w:rsidRPr="00934BA5">
        <w:rPr>
          <w:rStyle w:val="FootnoteReference"/>
        </w:rPr>
        <w:footnoteRef/>
      </w:r>
      <w:r w:rsidRPr="00E0195E">
        <w:rPr>
          <w:sz w:val="16"/>
          <w:szCs w:val="16"/>
          <w:vertAlign w:val="superscript"/>
          <w:lang w:val="de-DE"/>
        </w:rPr>
        <w:t xml:space="preserve">) </w:t>
      </w:r>
      <w:r w:rsidRPr="00E0195E">
        <w:rPr>
          <w:sz w:val="16"/>
          <w:szCs w:val="16"/>
          <w:lang w:val="de-DE"/>
        </w:rPr>
        <w:tab/>
        <w:t>I</w:t>
      </w:r>
      <w:r w:rsidRPr="00934BA5">
        <w:rPr>
          <w:sz w:val="16"/>
          <w:szCs w:val="16"/>
          <w:lang w:val="de-DE"/>
        </w:rPr>
        <w:t>dentisch mit EN ISO 16852 :201</w:t>
      </w:r>
      <w:r>
        <w:rPr>
          <w:sz w:val="16"/>
          <w:szCs w:val="16"/>
          <w:lang w:val="de-DE"/>
        </w:rPr>
        <w:t>6</w:t>
      </w:r>
    </w:p>
  </w:footnote>
  <w:footnote w:id="27">
    <w:p w:rsidR="00AA4416" w:rsidRPr="00D346D5" w:rsidRDefault="00AA4416" w:rsidP="004F7853">
      <w:pPr>
        <w:pStyle w:val="FootnoteText"/>
        <w:tabs>
          <w:tab w:val="left" w:pos="284"/>
        </w:tabs>
        <w:rPr>
          <w:sz w:val="16"/>
          <w:szCs w:val="16"/>
          <w:lang w:val="en-US"/>
        </w:rPr>
      </w:pPr>
      <w:r w:rsidRPr="00934BA5">
        <w:rPr>
          <w:rStyle w:val="FootnoteReference"/>
          <w:sz w:val="16"/>
          <w:szCs w:val="16"/>
        </w:rPr>
        <w:footnoteRef/>
      </w:r>
      <w:r w:rsidRPr="00934BA5">
        <w:rPr>
          <w:sz w:val="16"/>
          <w:szCs w:val="16"/>
          <w:vertAlign w:val="superscript"/>
          <w:lang w:val="de-DE"/>
        </w:rPr>
        <w:t xml:space="preserve">) </w:t>
      </w:r>
      <w:r w:rsidRPr="00934BA5">
        <w:rPr>
          <w:sz w:val="16"/>
          <w:szCs w:val="16"/>
          <w:vertAlign w:val="superscript"/>
          <w:lang w:val="de-DE"/>
        </w:rPr>
        <w:tab/>
      </w:r>
      <w:r>
        <w:rPr>
          <w:sz w:val="16"/>
          <w:szCs w:val="16"/>
          <w:lang w:val="de-DE"/>
        </w:rPr>
        <w:t xml:space="preserve">Amtsblatt der Europäischen Union Nr. </w:t>
      </w:r>
      <w:r w:rsidRPr="00916F47">
        <w:rPr>
          <w:sz w:val="16"/>
          <w:szCs w:val="16"/>
          <w:lang w:val="en-US"/>
        </w:rPr>
        <w:t>L</w:t>
      </w:r>
      <w:r>
        <w:rPr>
          <w:sz w:val="16"/>
          <w:szCs w:val="16"/>
          <w:lang w:val="en-US"/>
        </w:rPr>
        <w:t xml:space="preserve"> </w:t>
      </w:r>
      <w:r w:rsidRPr="00916F47">
        <w:rPr>
          <w:sz w:val="16"/>
          <w:szCs w:val="16"/>
          <w:lang w:val="en-US"/>
        </w:rPr>
        <w:t>96 vom 29. März 2014, S. 309</w:t>
      </w:r>
    </w:p>
  </w:footnote>
  <w:footnote w:id="28">
    <w:p w:rsidR="00AA4416" w:rsidRPr="00934BA5" w:rsidRDefault="00AA4416" w:rsidP="004F7853">
      <w:pPr>
        <w:pStyle w:val="FootnoteText"/>
        <w:tabs>
          <w:tab w:val="left" w:pos="284"/>
        </w:tabs>
        <w:rPr>
          <w:sz w:val="16"/>
          <w:szCs w:val="16"/>
          <w:lang w:val="en-US"/>
        </w:rPr>
      </w:pPr>
      <w:r w:rsidRPr="00934BA5">
        <w:rPr>
          <w:rStyle w:val="FootnoteReference"/>
          <w:sz w:val="16"/>
          <w:szCs w:val="16"/>
        </w:rPr>
        <w:footnoteRef/>
      </w:r>
      <w:r w:rsidRPr="00934BA5">
        <w:rPr>
          <w:sz w:val="16"/>
          <w:szCs w:val="16"/>
          <w:vertAlign w:val="superscript"/>
          <w:lang w:val="en-US"/>
        </w:rPr>
        <w:t xml:space="preserve">) </w:t>
      </w:r>
      <w:r w:rsidRPr="00934BA5">
        <w:rPr>
          <w:sz w:val="16"/>
          <w:szCs w:val="16"/>
          <w:vertAlign w:val="superscript"/>
          <w:lang w:val="en-US"/>
        </w:rPr>
        <w:tab/>
      </w:r>
      <w:r w:rsidRPr="00934BA5">
        <w:rPr>
          <w:sz w:val="16"/>
          <w:szCs w:val="16"/>
          <w:lang w:val="en-US"/>
        </w:rPr>
        <w:t>A Common Regulatory Framework for Equipment Used in Environments with an Explosive Atmosphere, United Nations 2011</w:t>
      </w:r>
    </w:p>
  </w:footnote>
  <w:footnote w:id="29">
    <w:p w:rsidR="00AA4416" w:rsidRPr="00934BA5" w:rsidRDefault="00AA4416" w:rsidP="004F7853">
      <w:pPr>
        <w:pStyle w:val="FootnoteText"/>
        <w:tabs>
          <w:tab w:val="left" w:pos="284"/>
        </w:tabs>
        <w:rPr>
          <w:sz w:val="16"/>
          <w:szCs w:val="16"/>
          <w:lang w:val="de-DE"/>
        </w:rPr>
      </w:pPr>
      <w:r w:rsidRPr="00934BA5">
        <w:rPr>
          <w:rStyle w:val="FootnoteReference"/>
          <w:sz w:val="16"/>
          <w:szCs w:val="16"/>
        </w:rPr>
        <w:footnoteRef/>
      </w:r>
      <w:r w:rsidRPr="00934BA5">
        <w:rPr>
          <w:sz w:val="16"/>
          <w:szCs w:val="16"/>
          <w:vertAlign w:val="superscript"/>
          <w:lang w:val="de-DE"/>
        </w:rPr>
        <w:t xml:space="preserve">) </w:t>
      </w:r>
      <w:r w:rsidRPr="00934BA5">
        <w:rPr>
          <w:sz w:val="16"/>
          <w:szCs w:val="16"/>
          <w:vertAlign w:val="superscript"/>
          <w:lang w:val="de-DE"/>
        </w:rPr>
        <w:tab/>
      </w:r>
      <w:r w:rsidRPr="00934BA5">
        <w:rPr>
          <w:sz w:val="16"/>
          <w:szCs w:val="16"/>
          <w:lang w:val="de-DE"/>
        </w:rPr>
        <w:t>Amtsblatt der Europäischen Gemeinschaften Nr. L 23 vom 28. Januar 2000, S. 57</w:t>
      </w:r>
    </w:p>
  </w:footnote>
  <w:footnote w:id="30">
    <w:p w:rsidR="00AA4416" w:rsidRPr="00934BA5" w:rsidRDefault="00AA4416" w:rsidP="004F7853">
      <w:pPr>
        <w:pStyle w:val="FootnoteText"/>
        <w:tabs>
          <w:tab w:val="left" w:pos="284"/>
        </w:tabs>
        <w:rPr>
          <w:sz w:val="16"/>
          <w:szCs w:val="16"/>
          <w:lang w:val="de-DE"/>
        </w:rPr>
      </w:pPr>
      <w:r w:rsidRPr="00934BA5">
        <w:rPr>
          <w:rStyle w:val="FootnoteReference"/>
          <w:sz w:val="16"/>
          <w:szCs w:val="16"/>
        </w:rPr>
        <w:footnoteRef/>
      </w:r>
      <w:r w:rsidRPr="00934BA5">
        <w:rPr>
          <w:sz w:val="16"/>
          <w:szCs w:val="16"/>
          <w:vertAlign w:val="superscript"/>
          <w:lang w:val="de-DE"/>
        </w:rPr>
        <w:t>)</w:t>
      </w:r>
      <w:r w:rsidRPr="00934BA5">
        <w:rPr>
          <w:sz w:val="16"/>
          <w:szCs w:val="16"/>
          <w:vertAlign w:val="superscript"/>
          <w:lang w:val="de-DE"/>
        </w:rPr>
        <w:tab/>
      </w:r>
      <w:r>
        <w:rPr>
          <w:sz w:val="16"/>
          <w:szCs w:val="16"/>
          <w:lang w:val="de-DE"/>
        </w:rPr>
        <w:t xml:space="preserve">Amtsblatt der Europäischen Union Nr. L 96 vom 29. März 2014, S. 309 </w:t>
      </w:r>
    </w:p>
  </w:footnote>
  <w:footnote w:id="31">
    <w:p w:rsidR="00AA4416" w:rsidRPr="00934BA5" w:rsidRDefault="00AA4416" w:rsidP="004F7853">
      <w:pPr>
        <w:pStyle w:val="FootnoteText"/>
        <w:tabs>
          <w:tab w:val="left" w:pos="284"/>
        </w:tabs>
        <w:rPr>
          <w:sz w:val="16"/>
          <w:szCs w:val="16"/>
          <w:lang w:val="de-DE"/>
        </w:rPr>
      </w:pPr>
      <w:r w:rsidRPr="00934BA5">
        <w:rPr>
          <w:rStyle w:val="FootnoteReference"/>
          <w:sz w:val="16"/>
          <w:szCs w:val="16"/>
        </w:rPr>
        <w:footnoteRef/>
      </w:r>
      <w:r w:rsidRPr="00934BA5">
        <w:rPr>
          <w:sz w:val="16"/>
          <w:szCs w:val="16"/>
          <w:vertAlign w:val="superscript"/>
          <w:lang w:val="de-DE"/>
        </w:rPr>
        <w:t>)</w:t>
      </w:r>
      <w:r w:rsidRPr="00934BA5">
        <w:rPr>
          <w:sz w:val="16"/>
          <w:szCs w:val="16"/>
          <w:vertAlign w:val="superscript"/>
          <w:lang w:val="de-DE"/>
        </w:rPr>
        <w:tab/>
      </w:r>
      <w:r>
        <w:rPr>
          <w:sz w:val="16"/>
          <w:szCs w:val="16"/>
          <w:lang w:val="de-DE"/>
        </w:rPr>
        <w:t xml:space="preserve">Amtsblatt der Europäischen Union Nr. L 96 vom 29. März 2014, S. 309 </w:t>
      </w:r>
    </w:p>
  </w:footnote>
  <w:footnote w:id="32">
    <w:p w:rsidR="00AA4416" w:rsidRPr="00BA1F0F" w:rsidRDefault="00AA4416" w:rsidP="004F7853">
      <w:pPr>
        <w:pStyle w:val="FootnoteText"/>
        <w:tabs>
          <w:tab w:val="left" w:pos="284"/>
        </w:tabs>
        <w:rPr>
          <w:sz w:val="16"/>
          <w:szCs w:val="16"/>
          <w:lang w:val="de-DE"/>
        </w:rPr>
      </w:pPr>
      <w:r w:rsidRPr="00934BA5">
        <w:rPr>
          <w:rStyle w:val="FootnoteReference"/>
          <w:sz w:val="16"/>
          <w:szCs w:val="16"/>
        </w:rPr>
        <w:footnoteRef/>
      </w:r>
      <w:r w:rsidRPr="00BA1F0F">
        <w:rPr>
          <w:sz w:val="16"/>
          <w:szCs w:val="16"/>
          <w:vertAlign w:val="superscript"/>
          <w:lang w:val="de-DE"/>
        </w:rPr>
        <w:t xml:space="preserve">) </w:t>
      </w:r>
      <w:r w:rsidRPr="00BA1F0F">
        <w:rPr>
          <w:sz w:val="16"/>
          <w:szCs w:val="16"/>
          <w:vertAlign w:val="superscript"/>
          <w:lang w:val="de-DE"/>
        </w:rPr>
        <w:tab/>
      </w:r>
      <w:r w:rsidRPr="00BA1F0F">
        <w:rPr>
          <w:color w:val="0000FF"/>
          <w:sz w:val="16"/>
          <w:szCs w:val="16"/>
          <w:u w:val="single"/>
          <w:lang w:val="de-DE"/>
        </w:rPr>
        <w:t>http://iecex.com/rules</w:t>
      </w:r>
    </w:p>
  </w:footnote>
  <w:footnote w:id="33">
    <w:p w:rsidR="00AA4416" w:rsidRPr="00934BA5" w:rsidRDefault="00AA4416" w:rsidP="004F7853">
      <w:pPr>
        <w:pStyle w:val="FootnoteText"/>
        <w:tabs>
          <w:tab w:val="left" w:pos="284"/>
        </w:tabs>
        <w:rPr>
          <w:sz w:val="16"/>
          <w:szCs w:val="16"/>
          <w:lang w:val="en-US"/>
        </w:rPr>
      </w:pPr>
      <w:r w:rsidRPr="00934BA5">
        <w:rPr>
          <w:rStyle w:val="FootnoteReference"/>
          <w:sz w:val="16"/>
          <w:szCs w:val="16"/>
        </w:rPr>
        <w:footnoteRef/>
      </w:r>
      <w:r w:rsidRPr="00934BA5">
        <w:rPr>
          <w:sz w:val="16"/>
          <w:szCs w:val="16"/>
          <w:vertAlign w:val="superscript"/>
          <w:lang w:val="en-US"/>
        </w:rPr>
        <w:t xml:space="preserve">) </w:t>
      </w:r>
      <w:r w:rsidRPr="00934BA5">
        <w:rPr>
          <w:sz w:val="16"/>
          <w:szCs w:val="16"/>
          <w:vertAlign w:val="superscript"/>
          <w:lang w:val="en-US"/>
        </w:rPr>
        <w:tab/>
      </w:r>
      <w:r w:rsidRPr="00934BA5">
        <w:rPr>
          <w:sz w:val="16"/>
          <w:szCs w:val="16"/>
          <w:lang w:val="en-US"/>
        </w:rPr>
        <w:t>A Common Regulatory Framework for Equipment Used in Environments with an Explosive Atmosphere, United Nations 2011</w:t>
      </w:r>
    </w:p>
  </w:footnote>
  <w:footnote w:id="34">
    <w:p w:rsidR="00AA4416" w:rsidRPr="00934BA5" w:rsidRDefault="00AA4416" w:rsidP="004F7853">
      <w:pPr>
        <w:pStyle w:val="FootnoteText"/>
        <w:tabs>
          <w:tab w:val="left" w:pos="284"/>
        </w:tabs>
        <w:rPr>
          <w:sz w:val="16"/>
          <w:szCs w:val="16"/>
          <w:lang w:val="de-DE"/>
        </w:rPr>
      </w:pPr>
      <w:r w:rsidRPr="00934BA5">
        <w:rPr>
          <w:rStyle w:val="FootnoteReference"/>
          <w:sz w:val="16"/>
          <w:szCs w:val="16"/>
        </w:rPr>
        <w:footnoteRef/>
      </w:r>
      <w:r w:rsidRPr="00934BA5">
        <w:rPr>
          <w:sz w:val="16"/>
          <w:szCs w:val="16"/>
          <w:vertAlign w:val="superscript"/>
          <w:lang w:val="de-DE"/>
        </w:rPr>
        <w:t xml:space="preserve">) </w:t>
      </w:r>
      <w:r w:rsidRPr="00934BA5">
        <w:rPr>
          <w:sz w:val="16"/>
          <w:szCs w:val="16"/>
          <w:vertAlign w:val="superscript"/>
          <w:lang w:val="de-DE"/>
        </w:rPr>
        <w:tab/>
      </w:r>
      <w:r>
        <w:rPr>
          <w:sz w:val="16"/>
          <w:szCs w:val="16"/>
          <w:lang w:val="de-DE"/>
        </w:rPr>
        <w:t xml:space="preserve">Amtsblatt der Europäischen Union Nr. L 96 vom 29. März 2014, S. 309 </w:t>
      </w:r>
    </w:p>
  </w:footnote>
  <w:footnote w:id="35">
    <w:p w:rsidR="00AA4416" w:rsidRPr="00934BA5" w:rsidRDefault="00AA4416" w:rsidP="004F7853">
      <w:pPr>
        <w:pStyle w:val="FootnoteText"/>
        <w:tabs>
          <w:tab w:val="left" w:pos="284"/>
        </w:tabs>
        <w:rPr>
          <w:sz w:val="16"/>
          <w:szCs w:val="16"/>
          <w:lang w:val="de-DE"/>
        </w:rPr>
      </w:pPr>
      <w:r w:rsidRPr="00934BA5">
        <w:rPr>
          <w:rStyle w:val="FootnoteReference"/>
          <w:sz w:val="16"/>
          <w:szCs w:val="16"/>
        </w:rPr>
        <w:footnoteRef/>
      </w:r>
      <w:r w:rsidRPr="00934BA5">
        <w:rPr>
          <w:sz w:val="16"/>
          <w:szCs w:val="16"/>
          <w:vertAlign w:val="superscript"/>
          <w:lang w:val="de-DE"/>
        </w:rPr>
        <w:t xml:space="preserve">) </w:t>
      </w:r>
      <w:r w:rsidRPr="00934BA5">
        <w:rPr>
          <w:sz w:val="16"/>
          <w:szCs w:val="16"/>
          <w:vertAlign w:val="superscript"/>
          <w:lang w:val="de-DE"/>
        </w:rPr>
        <w:tab/>
      </w:r>
      <w:r>
        <w:rPr>
          <w:sz w:val="16"/>
          <w:szCs w:val="16"/>
          <w:lang w:val="de-DE"/>
        </w:rPr>
        <w:t xml:space="preserve">Amtsblatt der Europäischen Union Nr. L 96 vom 29. März 2014, S. 309 </w:t>
      </w:r>
    </w:p>
  </w:footnote>
  <w:footnote w:id="36">
    <w:p w:rsidR="00AA4416" w:rsidRPr="00934BA5" w:rsidRDefault="00AA4416" w:rsidP="004F7853">
      <w:pPr>
        <w:pStyle w:val="FootnoteText"/>
        <w:tabs>
          <w:tab w:val="left" w:pos="284"/>
        </w:tabs>
        <w:rPr>
          <w:sz w:val="16"/>
          <w:szCs w:val="16"/>
          <w:lang w:val="de-DE"/>
        </w:rPr>
      </w:pPr>
      <w:r w:rsidRPr="00934BA5">
        <w:rPr>
          <w:rStyle w:val="FootnoteReference"/>
          <w:sz w:val="16"/>
          <w:szCs w:val="16"/>
        </w:rPr>
        <w:footnoteRef/>
      </w:r>
      <w:r w:rsidRPr="00934BA5">
        <w:rPr>
          <w:sz w:val="16"/>
          <w:szCs w:val="16"/>
          <w:vertAlign w:val="superscript"/>
          <w:lang w:val="de-DE"/>
        </w:rPr>
        <w:t>)</w:t>
      </w:r>
      <w:r w:rsidRPr="00934BA5">
        <w:rPr>
          <w:sz w:val="16"/>
          <w:szCs w:val="16"/>
          <w:vertAlign w:val="superscript"/>
          <w:lang w:val="de-DE"/>
        </w:rPr>
        <w:tab/>
      </w:r>
      <w:r w:rsidRPr="00934BA5">
        <w:rPr>
          <w:sz w:val="16"/>
          <w:szCs w:val="16"/>
          <w:lang w:val="de-DE"/>
        </w:rPr>
        <w:t>Die Buchstaben EPL bedeuten: Equipment Protection Level</w:t>
      </w:r>
    </w:p>
  </w:footnote>
  <w:footnote w:id="37">
    <w:p w:rsidR="00AA4416" w:rsidRPr="00934BA5" w:rsidRDefault="00AA4416" w:rsidP="004F7853">
      <w:pPr>
        <w:pStyle w:val="FootnoteText"/>
        <w:tabs>
          <w:tab w:val="left" w:pos="284"/>
        </w:tabs>
        <w:rPr>
          <w:sz w:val="16"/>
          <w:szCs w:val="16"/>
          <w:lang w:val="de-DE"/>
        </w:rPr>
      </w:pPr>
      <w:r w:rsidRPr="00934BA5">
        <w:rPr>
          <w:rStyle w:val="FootnoteReference"/>
          <w:sz w:val="16"/>
          <w:szCs w:val="16"/>
        </w:rPr>
        <w:footnoteRef/>
      </w:r>
      <w:r w:rsidRPr="00934BA5">
        <w:rPr>
          <w:sz w:val="16"/>
          <w:szCs w:val="16"/>
          <w:vertAlign w:val="superscript"/>
          <w:lang w:val="de-DE"/>
        </w:rPr>
        <w:t xml:space="preserve">) </w:t>
      </w:r>
      <w:r w:rsidRPr="00934BA5">
        <w:rPr>
          <w:sz w:val="16"/>
          <w:szCs w:val="16"/>
          <w:vertAlign w:val="superscript"/>
          <w:lang w:val="de-DE"/>
        </w:rPr>
        <w:tab/>
      </w:r>
      <w:r>
        <w:rPr>
          <w:sz w:val="16"/>
          <w:szCs w:val="16"/>
          <w:lang w:val="de-DE"/>
        </w:rPr>
        <w:t xml:space="preserve">Amtsblatt der Europäischen Union Nr. L 96 vom 29. März 2014, S. 309 </w:t>
      </w:r>
    </w:p>
  </w:footnote>
  <w:footnote w:id="38">
    <w:p w:rsidR="00AA4416" w:rsidRPr="00934BA5" w:rsidRDefault="00AA4416" w:rsidP="004F7853">
      <w:pPr>
        <w:pStyle w:val="FootnoteText"/>
        <w:tabs>
          <w:tab w:val="left" w:pos="284"/>
        </w:tabs>
        <w:rPr>
          <w:sz w:val="16"/>
          <w:szCs w:val="16"/>
          <w:lang w:val="de-DE"/>
        </w:rPr>
      </w:pPr>
      <w:r w:rsidRPr="00934BA5">
        <w:rPr>
          <w:rStyle w:val="FootnoteReference"/>
          <w:sz w:val="16"/>
          <w:szCs w:val="16"/>
        </w:rPr>
        <w:footnoteRef/>
      </w:r>
      <w:r w:rsidRPr="00934BA5">
        <w:rPr>
          <w:sz w:val="16"/>
          <w:szCs w:val="16"/>
          <w:vertAlign w:val="superscript"/>
          <w:lang w:val="de-DE"/>
        </w:rPr>
        <w:t xml:space="preserve">) </w:t>
      </w:r>
      <w:r w:rsidRPr="00934BA5">
        <w:rPr>
          <w:sz w:val="16"/>
          <w:szCs w:val="16"/>
          <w:vertAlign w:val="superscript"/>
          <w:lang w:val="de-DE"/>
        </w:rPr>
        <w:tab/>
      </w:r>
      <w:r w:rsidRPr="00934BA5">
        <w:rPr>
          <w:sz w:val="16"/>
          <w:szCs w:val="16"/>
          <w:lang w:val="de-DE"/>
        </w:rPr>
        <w:t>Die Buchstaben EPL bedeuten: Equipment Protection Level</w:t>
      </w:r>
    </w:p>
  </w:footnote>
  <w:footnote w:id="39">
    <w:p w:rsidR="00AA4416" w:rsidRPr="00934BA5" w:rsidRDefault="00AA4416" w:rsidP="004F7853">
      <w:pPr>
        <w:pStyle w:val="FootnoteText"/>
        <w:tabs>
          <w:tab w:val="left" w:pos="284"/>
        </w:tabs>
        <w:rPr>
          <w:sz w:val="16"/>
          <w:szCs w:val="16"/>
          <w:lang w:val="de-DE"/>
        </w:rPr>
      </w:pPr>
      <w:r w:rsidRPr="00934BA5">
        <w:rPr>
          <w:rStyle w:val="FootnoteReference"/>
          <w:sz w:val="16"/>
          <w:szCs w:val="16"/>
        </w:rPr>
        <w:footnoteRef/>
      </w:r>
      <w:r w:rsidRPr="00934BA5">
        <w:rPr>
          <w:sz w:val="16"/>
          <w:szCs w:val="16"/>
          <w:vertAlign w:val="superscript"/>
          <w:lang w:val="de-DE"/>
        </w:rPr>
        <w:t xml:space="preserve">) </w:t>
      </w:r>
      <w:r w:rsidRPr="00934BA5">
        <w:rPr>
          <w:sz w:val="16"/>
          <w:szCs w:val="16"/>
          <w:vertAlign w:val="superscript"/>
          <w:lang w:val="de-DE"/>
        </w:rPr>
        <w:tab/>
      </w:r>
      <w:r>
        <w:rPr>
          <w:sz w:val="16"/>
          <w:szCs w:val="16"/>
          <w:lang w:val="de-DE"/>
        </w:rPr>
        <w:t xml:space="preserve">Amtsblatt der Europäischen Union Nr. L 96 vom 29. März 2014, S. 309 </w:t>
      </w:r>
    </w:p>
  </w:footnote>
  <w:footnote w:id="40">
    <w:p w:rsidR="00AA4416" w:rsidRPr="00934BA5" w:rsidRDefault="00AA4416" w:rsidP="004F7853">
      <w:pPr>
        <w:pStyle w:val="FootnoteText"/>
        <w:tabs>
          <w:tab w:val="left" w:pos="284"/>
        </w:tabs>
        <w:rPr>
          <w:sz w:val="16"/>
          <w:szCs w:val="16"/>
          <w:lang w:val="de-DE"/>
        </w:rPr>
      </w:pPr>
      <w:r w:rsidRPr="00934BA5">
        <w:rPr>
          <w:rStyle w:val="FootnoteReference"/>
          <w:sz w:val="16"/>
          <w:szCs w:val="16"/>
        </w:rPr>
        <w:footnoteRef/>
      </w:r>
      <w:r w:rsidRPr="00934BA5">
        <w:rPr>
          <w:sz w:val="16"/>
          <w:szCs w:val="16"/>
          <w:vertAlign w:val="superscript"/>
          <w:lang w:val="de-DE"/>
        </w:rPr>
        <w:t xml:space="preserve">) </w:t>
      </w:r>
      <w:r w:rsidRPr="00934BA5">
        <w:rPr>
          <w:sz w:val="16"/>
          <w:szCs w:val="16"/>
          <w:vertAlign w:val="superscript"/>
          <w:lang w:val="de-DE"/>
        </w:rPr>
        <w:tab/>
      </w:r>
      <w:r w:rsidRPr="00934BA5">
        <w:rPr>
          <w:sz w:val="16"/>
          <w:szCs w:val="16"/>
          <w:lang w:val="de-DE"/>
        </w:rPr>
        <w:t>Die Buchstaben EPL bedeuten: Equipment Protection Level</w:t>
      </w:r>
    </w:p>
  </w:footnote>
  <w:footnote w:id="41">
    <w:p w:rsidR="00AA4416" w:rsidRPr="00934BA5" w:rsidRDefault="00AA4416" w:rsidP="004F7853">
      <w:pPr>
        <w:pStyle w:val="FootnoteText"/>
        <w:tabs>
          <w:tab w:val="left" w:pos="284"/>
        </w:tabs>
        <w:rPr>
          <w:sz w:val="16"/>
          <w:szCs w:val="16"/>
          <w:lang w:val="de-DE"/>
        </w:rPr>
      </w:pPr>
      <w:r w:rsidRPr="00934BA5">
        <w:rPr>
          <w:rStyle w:val="FootnoteReference"/>
          <w:sz w:val="16"/>
          <w:szCs w:val="16"/>
        </w:rPr>
        <w:footnoteRef/>
      </w:r>
      <w:r w:rsidRPr="00934BA5">
        <w:rPr>
          <w:sz w:val="16"/>
          <w:szCs w:val="16"/>
          <w:vertAlign w:val="superscript"/>
          <w:lang w:val="de-DE"/>
        </w:rPr>
        <w:t xml:space="preserve">) </w:t>
      </w:r>
      <w:r w:rsidRPr="00934BA5">
        <w:rPr>
          <w:sz w:val="16"/>
          <w:szCs w:val="16"/>
          <w:vertAlign w:val="superscript"/>
          <w:lang w:val="de-DE"/>
        </w:rPr>
        <w:tab/>
      </w:r>
      <w:r w:rsidRPr="00934BA5">
        <w:rPr>
          <w:sz w:val="16"/>
          <w:szCs w:val="16"/>
          <w:lang w:val="de-DE"/>
        </w:rPr>
        <w:t>Die Buchstaben EPL bedeuten: Equipment Protection Level</w:t>
      </w:r>
    </w:p>
  </w:footnote>
  <w:footnote w:id="42">
    <w:p w:rsidR="00AA4416" w:rsidRPr="00934BA5" w:rsidRDefault="00AA4416" w:rsidP="004F7853">
      <w:pPr>
        <w:pStyle w:val="FootnoteText"/>
        <w:tabs>
          <w:tab w:val="left" w:pos="284"/>
        </w:tabs>
        <w:rPr>
          <w:sz w:val="16"/>
          <w:szCs w:val="16"/>
          <w:lang w:val="de-DE"/>
        </w:rPr>
      </w:pPr>
      <w:r w:rsidRPr="00934BA5">
        <w:rPr>
          <w:rStyle w:val="FootnoteReference"/>
          <w:sz w:val="16"/>
          <w:szCs w:val="16"/>
        </w:rPr>
        <w:footnoteRef/>
      </w:r>
      <w:r w:rsidRPr="00934BA5">
        <w:rPr>
          <w:sz w:val="16"/>
          <w:szCs w:val="16"/>
          <w:vertAlign w:val="superscript"/>
          <w:lang w:val="de-DE"/>
        </w:rPr>
        <w:t xml:space="preserve">) </w:t>
      </w:r>
      <w:r w:rsidRPr="00934BA5">
        <w:rPr>
          <w:sz w:val="16"/>
          <w:szCs w:val="16"/>
          <w:vertAlign w:val="superscript"/>
          <w:lang w:val="de-DE"/>
        </w:rPr>
        <w:tab/>
      </w:r>
      <w:r>
        <w:rPr>
          <w:sz w:val="16"/>
          <w:szCs w:val="16"/>
          <w:lang w:val="de-DE"/>
        </w:rPr>
        <w:t>Amtsblatt der Europäischen Union Nr. L 96 vom 29. März 2014, S. 309</w:t>
      </w:r>
    </w:p>
  </w:footnote>
  <w:footnote w:id="43">
    <w:p w:rsidR="00AA4416" w:rsidRPr="00934BA5" w:rsidRDefault="00AA4416" w:rsidP="004F7853">
      <w:pPr>
        <w:pStyle w:val="FootnoteText"/>
        <w:tabs>
          <w:tab w:val="left" w:pos="284"/>
        </w:tabs>
        <w:rPr>
          <w:sz w:val="16"/>
          <w:szCs w:val="16"/>
          <w:lang w:val="de-DE"/>
        </w:rPr>
      </w:pPr>
      <w:r w:rsidRPr="00934BA5">
        <w:rPr>
          <w:rStyle w:val="FootnoteReference"/>
          <w:sz w:val="16"/>
          <w:szCs w:val="16"/>
        </w:rPr>
        <w:footnoteRef/>
      </w:r>
      <w:r w:rsidRPr="00934BA5">
        <w:rPr>
          <w:sz w:val="16"/>
          <w:szCs w:val="16"/>
          <w:vertAlign w:val="superscript"/>
          <w:lang w:val="de-DE"/>
        </w:rPr>
        <w:t xml:space="preserve">) </w:t>
      </w:r>
      <w:r w:rsidRPr="00934BA5">
        <w:rPr>
          <w:sz w:val="16"/>
          <w:szCs w:val="16"/>
          <w:vertAlign w:val="superscript"/>
          <w:lang w:val="de-DE"/>
        </w:rPr>
        <w:tab/>
      </w:r>
      <w:r>
        <w:rPr>
          <w:sz w:val="16"/>
          <w:szCs w:val="16"/>
          <w:lang w:val="de-DE"/>
        </w:rPr>
        <w:t>Amtsblatt der Europäischen Union Nr. L 96 vom 29. März 2014, S. 309</w:t>
      </w:r>
    </w:p>
  </w:footnote>
  <w:footnote w:id="44">
    <w:p w:rsidR="00AA4416" w:rsidRPr="00934BA5" w:rsidRDefault="00AA4416" w:rsidP="004F7853">
      <w:pPr>
        <w:pStyle w:val="FootnoteText"/>
        <w:tabs>
          <w:tab w:val="left" w:pos="284"/>
        </w:tabs>
        <w:rPr>
          <w:sz w:val="16"/>
          <w:szCs w:val="16"/>
          <w:lang w:val="de-DE"/>
        </w:rPr>
      </w:pPr>
      <w:r w:rsidRPr="00934BA5">
        <w:rPr>
          <w:rStyle w:val="FootnoteReference"/>
          <w:sz w:val="16"/>
          <w:szCs w:val="16"/>
        </w:rPr>
        <w:footnoteRef/>
      </w:r>
      <w:r w:rsidRPr="00934BA5">
        <w:rPr>
          <w:sz w:val="16"/>
          <w:szCs w:val="16"/>
          <w:vertAlign w:val="superscript"/>
          <w:lang w:val="de-DE"/>
        </w:rPr>
        <w:t xml:space="preserve">) </w:t>
      </w:r>
      <w:r w:rsidRPr="00934BA5">
        <w:rPr>
          <w:sz w:val="16"/>
          <w:szCs w:val="16"/>
          <w:vertAlign w:val="superscript"/>
          <w:lang w:val="de-DE"/>
        </w:rPr>
        <w:tab/>
      </w:r>
      <w:r>
        <w:rPr>
          <w:sz w:val="16"/>
          <w:szCs w:val="16"/>
          <w:lang w:val="de-DE"/>
        </w:rPr>
        <w:t>Amtsblatt der Europäischen Union Nr. L 96 vom 29. März 2014, S. 309</w:t>
      </w:r>
    </w:p>
  </w:footnote>
  <w:footnote w:id="45">
    <w:p w:rsidR="00AA4416" w:rsidRPr="00934BA5" w:rsidRDefault="00AA4416" w:rsidP="004F7853">
      <w:pPr>
        <w:pStyle w:val="FootnoteText"/>
        <w:tabs>
          <w:tab w:val="left" w:pos="284"/>
        </w:tabs>
        <w:rPr>
          <w:sz w:val="16"/>
          <w:szCs w:val="16"/>
          <w:lang w:val="de-DE"/>
        </w:rPr>
      </w:pPr>
      <w:r w:rsidRPr="00934BA5">
        <w:rPr>
          <w:rStyle w:val="FootnoteReference"/>
          <w:sz w:val="16"/>
          <w:szCs w:val="16"/>
        </w:rPr>
        <w:footnoteRef/>
      </w:r>
      <w:r w:rsidRPr="00934BA5">
        <w:rPr>
          <w:sz w:val="16"/>
          <w:szCs w:val="16"/>
          <w:vertAlign w:val="superscript"/>
          <w:lang w:val="de-DE"/>
        </w:rPr>
        <w:t xml:space="preserve">) </w:t>
      </w:r>
      <w:r w:rsidRPr="00934BA5">
        <w:rPr>
          <w:sz w:val="16"/>
          <w:szCs w:val="16"/>
          <w:vertAlign w:val="superscript"/>
          <w:lang w:val="de-DE"/>
        </w:rPr>
        <w:tab/>
      </w:r>
      <w:r w:rsidRPr="00934BA5">
        <w:rPr>
          <w:sz w:val="16"/>
          <w:szCs w:val="16"/>
          <w:lang w:val="de-DE"/>
        </w:rPr>
        <w:t>Die Buchstaben IEC/EN bedeuten: Die Norm ist sowohl als IEC-Norm als auch als EN-Norm verfügbar</w:t>
      </w:r>
    </w:p>
  </w:footnote>
  <w:footnote w:id="46">
    <w:p w:rsidR="00AA4416" w:rsidRPr="00934BA5" w:rsidRDefault="00AA4416" w:rsidP="004F7853">
      <w:pPr>
        <w:pStyle w:val="FootnoteText"/>
        <w:tabs>
          <w:tab w:val="left" w:pos="284"/>
        </w:tabs>
        <w:rPr>
          <w:sz w:val="16"/>
          <w:szCs w:val="16"/>
          <w:lang w:val="de-DE"/>
        </w:rPr>
      </w:pPr>
      <w:r w:rsidRPr="00934BA5">
        <w:rPr>
          <w:rStyle w:val="FootnoteReference"/>
          <w:sz w:val="16"/>
          <w:szCs w:val="16"/>
        </w:rPr>
        <w:footnoteRef/>
      </w:r>
      <w:r w:rsidRPr="00934BA5">
        <w:rPr>
          <w:sz w:val="16"/>
          <w:szCs w:val="16"/>
          <w:vertAlign w:val="superscript"/>
          <w:lang w:val="de-DE"/>
        </w:rPr>
        <w:t xml:space="preserve">) </w:t>
      </w:r>
      <w:r w:rsidRPr="00934BA5">
        <w:rPr>
          <w:sz w:val="16"/>
          <w:szCs w:val="16"/>
          <w:vertAlign w:val="superscript"/>
          <w:lang w:val="de-DE"/>
        </w:rPr>
        <w:tab/>
      </w:r>
      <w:r>
        <w:rPr>
          <w:sz w:val="16"/>
          <w:szCs w:val="16"/>
          <w:lang w:val="de-DE"/>
        </w:rPr>
        <w:t>Amtsblatt der Europäischen Union Nr. L 96 vom 29. März 2014, S. 309</w:t>
      </w:r>
    </w:p>
  </w:footnote>
  <w:footnote w:id="47">
    <w:p w:rsidR="00AA4416" w:rsidRPr="00BA1F0F" w:rsidRDefault="00AA4416" w:rsidP="004F7853">
      <w:pPr>
        <w:pStyle w:val="FootnoteText"/>
        <w:tabs>
          <w:tab w:val="left" w:pos="284"/>
        </w:tabs>
        <w:rPr>
          <w:sz w:val="16"/>
          <w:szCs w:val="16"/>
          <w:lang w:val="de-DE"/>
        </w:rPr>
      </w:pPr>
      <w:r w:rsidRPr="00934BA5">
        <w:rPr>
          <w:rStyle w:val="FootnoteReference"/>
          <w:sz w:val="16"/>
          <w:szCs w:val="16"/>
        </w:rPr>
        <w:footnoteRef/>
      </w:r>
      <w:r w:rsidRPr="00BA1F0F">
        <w:rPr>
          <w:sz w:val="16"/>
          <w:szCs w:val="16"/>
          <w:vertAlign w:val="superscript"/>
          <w:lang w:val="de-DE"/>
        </w:rPr>
        <w:t xml:space="preserve">) </w:t>
      </w:r>
      <w:r w:rsidRPr="00BA1F0F">
        <w:rPr>
          <w:sz w:val="16"/>
          <w:szCs w:val="16"/>
          <w:vertAlign w:val="superscript"/>
          <w:lang w:val="de-DE"/>
        </w:rPr>
        <w:tab/>
      </w:r>
      <w:r w:rsidRPr="00BA1F0F">
        <w:rPr>
          <w:sz w:val="16"/>
          <w:szCs w:val="16"/>
          <w:u w:val="single"/>
          <w:lang w:val="de-DE"/>
        </w:rPr>
        <w:t>http://iecex.com/rules</w:t>
      </w:r>
    </w:p>
  </w:footnote>
  <w:footnote w:id="48">
    <w:p w:rsidR="00AA4416" w:rsidRPr="00934BA5" w:rsidRDefault="00AA4416" w:rsidP="004F7853">
      <w:pPr>
        <w:pStyle w:val="FootnoteText"/>
        <w:tabs>
          <w:tab w:val="left" w:pos="284"/>
        </w:tabs>
        <w:rPr>
          <w:sz w:val="16"/>
          <w:szCs w:val="16"/>
          <w:lang w:val="en-US"/>
        </w:rPr>
      </w:pPr>
      <w:r w:rsidRPr="00934BA5">
        <w:rPr>
          <w:rStyle w:val="FootnoteReference"/>
          <w:sz w:val="16"/>
          <w:szCs w:val="16"/>
        </w:rPr>
        <w:footnoteRef/>
      </w:r>
      <w:r w:rsidRPr="00934BA5">
        <w:rPr>
          <w:sz w:val="16"/>
          <w:szCs w:val="16"/>
          <w:vertAlign w:val="superscript"/>
          <w:lang w:val="en-US"/>
        </w:rPr>
        <w:t xml:space="preserve">) </w:t>
      </w:r>
      <w:r w:rsidRPr="00934BA5">
        <w:rPr>
          <w:sz w:val="16"/>
          <w:szCs w:val="16"/>
          <w:vertAlign w:val="superscript"/>
          <w:lang w:val="en-US"/>
        </w:rPr>
        <w:tab/>
      </w:r>
      <w:r w:rsidRPr="00934BA5">
        <w:rPr>
          <w:sz w:val="16"/>
          <w:szCs w:val="16"/>
          <w:lang w:val="en-US"/>
        </w:rPr>
        <w:t>A Common Regulatory Framework for Equipment Used in Environments with an Explosive Atmosphere, United Nations 2011</w:t>
      </w:r>
    </w:p>
  </w:footnote>
  <w:footnote w:id="49">
    <w:p w:rsidR="00AA4416" w:rsidRPr="00934BA5" w:rsidRDefault="00AA4416" w:rsidP="004F7853">
      <w:pPr>
        <w:pStyle w:val="FootnoteText"/>
        <w:tabs>
          <w:tab w:val="left" w:pos="284"/>
        </w:tabs>
        <w:rPr>
          <w:sz w:val="16"/>
          <w:szCs w:val="16"/>
          <w:lang w:val="de-DE"/>
        </w:rPr>
      </w:pPr>
      <w:r w:rsidRPr="00934BA5">
        <w:rPr>
          <w:rStyle w:val="FootnoteReference"/>
        </w:rPr>
        <w:footnoteRef/>
      </w:r>
      <w:r w:rsidRPr="00934BA5">
        <w:rPr>
          <w:sz w:val="16"/>
          <w:szCs w:val="16"/>
          <w:vertAlign w:val="superscript"/>
          <w:lang w:val="de-DE"/>
        </w:rPr>
        <w:t xml:space="preserve">) </w:t>
      </w:r>
      <w:r w:rsidRPr="00934BA5">
        <w:rPr>
          <w:sz w:val="16"/>
          <w:szCs w:val="16"/>
          <w:lang w:val="de-DE"/>
        </w:rPr>
        <w:tab/>
        <w:t>Identisch mit EN ISO 16852:201</w:t>
      </w:r>
      <w:r>
        <w:rPr>
          <w:sz w:val="16"/>
          <w:szCs w:val="16"/>
          <w:lang w:val="de-DE"/>
        </w:rPr>
        <w:t>6</w:t>
      </w:r>
    </w:p>
  </w:footnote>
  <w:footnote w:id="50">
    <w:p w:rsidR="00AA4416" w:rsidRPr="00D346D5" w:rsidRDefault="00AA4416" w:rsidP="004F7853">
      <w:pPr>
        <w:pStyle w:val="FootnoteText"/>
        <w:tabs>
          <w:tab w:val="left" w:pos="284"/>
        </w:tabs>
        <w:rPr>
          <w:sz w:val="16"/>
          <w:szCs w:val="16"/>
          <w:lang w:val="en-US"/>
        </w:rPr>
      </w:pPr>
      <w:r w:rsidRPr="00934BA5">
        <w:rPr>
          <w:rStyle w:val="FootnoteReference"/>
          <w:sz w:val="16"/>
          <w:szCs w:val="16"/>
        </w:rPr>
        <w:footnoteRef/>
      </w:r>
      <w:r w:rsidRPr="00934BA5">
        <w:rPr>
          <w:sz w:val="16"/>
          <w:szCs w:val="16"/>
          <w:vertAlign w:val="superscript"/>
          <w:lang w:val="de-DE"/>
        </w:rPr>
        <w:t xml:space="preserve">) </w:t>
      </w:r>
      <w:r w:rsidRPr="00934BA5">
        <w:rPr>
          <w:sz w:val="16"/>
          <w:szCs w:val="16"/>
          <w:vertAlign w:val="superscript"/>
          <w:lang w:val="de-DE"/>
        </w:rPr>
        <w:tab/>
      </w:r>
      <w:r>
        <w:rPr>
          <w:sz w:val="16"/>
          <w:szCs w:val="16"/>
          <w:lang w:val="de-DE"/>
        </w:rPr>
        <w:t xml:space="preserve">Amtsblatt der Europäischen Union Nr. </w:t>
      </w:r>
      <w:r w:rsidRPr="00916F47">
        <w:rPr>
          <w:sz w:val="16"/>
          <w:szCs w:val="16"/>
          <w:lang w:val="en-US"/>
        </w:rPr>
        <w:t>L</w:t>
      </w:r>
      <w:r>
        <w:rPr>
          <w:sz w:val="16"/>
          <w:szCs w:val="16"/>
          <w:lang w:val="en-US"/>
        </w:rPr>
        <w:t xml:space="preserve"> </w:t>
      </w:r>
      <w:r w:rsidRPr="00916F47">
        <w:rPr>
          <w:sz w:val="16"/>
          <w:szCs w:val="16"/>
          <w:lang w:val="en-US"/>
        </w:rPr>
        <w:t xml:space="preserve">96 vom 29. März 2014, S. 309 </w:t>
      </w:r>
    </w:p>
  </w:footnote>
  <w:footnote w:id="51">
    <w:p w:rsidR="00AA4416" w:rsidRPr="00934BA5" w:rsidRDefault="00AA4416" w:rsidP="004F7853">
      <w:pPr>
        <w:pStyle w:val="FootnoteText"/>
        <w:tabs>
          <w:tab w:val="left" w:pos="284"/>
        </w:tabs>
        <w:rPr>
          <w:sz w:val="16"/>
          <w:szCs w:val="16"/>
          <w:lang w:val="en-US"/>
        </w:rPr>
      </w:pPr>
      <w:r w:rsidRPr="00934BA5">
        <w:rPr>
          <w:rStyle w:val="FootnoteReference"/>
          <w:sz w:val="16"/>
          <w:szCs w:val="16"/>
        </w:rPr>
        <w:footnoteRef/>
      </w:r>
      <w:r w:rsidRPr="00934BA5">
        <w:rPr>
          <w:sz w:val="16"/>
          <w:szCs w:val="16"/>
          <w:vertAlign w:val="superscript"/>
          <w:lang w:val="en-US"/>
        </w:rPr>
        <w:t xml:space="preserve">) </w:t>
      </w:r>
      <w:r w:rsidRPr="00934BA5">
        <w:rPr>
          <w:sz w:val="16"/>
          <w:szCs w:val="16"/>
          <w:vertAlign w:val="superscript"/>
          <w:lang w:val="en-US"/>
        </w:rPr>
        <w:tab/>
      </w:r>
      <w:r w:rsidRPr="00934BA5">
        <w:rPr>
          <w:sz w:val="16"/>
          <w:szCs w:val="16"/>
          <w:lang w:val="en-US"/>
        </w:rPr>
        <w:t>A Common Regulatory Framework for Equipment Used in Environments with an Explosive Atmosphere, United Nations 2011</w:t>
      </w:r>
    </w:p>
  </w:footnote>
  <w:footnote w:id="52">
    <w:p w:rsidR="00AA4416" w:rsidRPr="00B22D6A" w:rsidRDefault="00AA4416" w:rsidP="00B22D6A">
      <w:pPr>
        <w:pStyle w:val="FootnoteText"/>
        <w:tabs>
          <w:tab w:val="clear" w:pos="1021"/>
          <w:tab w:val="left" w:pos="993"/>
        </w:tabs>
        <w:ind w:left="993" w:hanging="426"/>
        <w:jc w:val="both"/>
        <w:rPr>
          <w:szCs w:val="18"/>
          <w:lang w:val="de-DE"/>
        </w:rPr>
      </w:pPr>
      <w:r w:rsidRPr="000A0918">
        <w:rPr>
          <w:rStyle w:val="FootnoteReference"/>
        </w:rPr>
        <w:footnoteRef/>
      </w:r>
      <w:r w:rsidRPr="00BD05A8">
        <w:rPr>
          <w:vertAlign w:val="superscript"/>
          <w:lang w:val="de-DE"/>
        </w:rPr>
        <w:t>)</w:t>
      </w:r>
      <w:r>
        <w:rPr>
          <w:lang w:val="de-DE"/>
        </w:rPr>
        <w:tab/>
      </w:r>
      <w:r w:rsidRPr="00B22D6A">
        <w:rPr>
          <w:szCs w:val="18"/>
          <w:lang w:val="de-DE"/>
        </w:rPr>
        <w:t>OECD Guideline for the testing of chemicals No. 404 „Acute Dermal Irritation/Corrosion“ 2015 (OECD-Richtlinie für die Prüfung von Chemikalien Nr. 404 „Akute Irritation/Verätzung der Haut“ 2015)</w:t>
      </w:r>
    </w:p>
  </w:footnote>
  <w:footnote w:id="53">
    <w:p w:rsidR="00AA4416" w:rsidRPr="000A0918" w:rsidRDefault="00AA4416" w:rsidP="00865914">
      <w:pPr>
        <w:pStyle w:val="FootnoteText"/>
        <w:tabs>
          <w:tab w:val="clear" w:pos="1021"/>
          <w:tab w:val="left" w:pos="993"/>
        </w:tabs>
        <w:ind w:left="993" w:hanging="426"/>
        <w:rPr>
          <w:lang w:val="de-DE"/>
        </w:rPr>
      </w:pPr>
      <w:r w:rsidRPr="000A0918">
        <w:rPr>
          <w:rStyle w:val="FootnoteReference"/>
        </w:rPr>
        <w:footnoteRef/>
      </w:r>
      <w:r w:rsidRPr="00BD05A8">
        <w:rPr>
          <w:vertAlign w:val="superscript"/>
          <w:lang w:val="de-DE"/>
        </w:rPr>
        <w:t>)</w:t>
      </w:r>
      <w:r w:rsidRPr="000A0918">
        <w:rPr>
          <w:lang w:val="de-DE"/>
        </w:rPr>
        <w:tab/>
        <w:t xml:space="preserve">OECD Guideline for the testing of chemicals No. 435 </w:t>
      </w:r>
      <w:r>
        <w:rPr>
          <w:lang w:val="de-DE"/>
        </w:rPr>
        <w:t>„</w:t>
      </w:r>
      <w:r w:rsidRPr="000A0918">
        <w:rPr>
          <w:lang w:val="de-DE"/>
        </w:rPr>
        <w:t>In Vitro Membrane Barrier Test Method for Skin Corrosion</w:t>
      </w:r>
      <w:r>
        <w:rPr>
          <w:lang w:val="de-DE"/>
        </w:rPr>
        <w:t>“</w:t>
      </w:r>
      <w:r w:rsidRPr="000A0918">
        <w:rPr>
          <w:lang w:val="de-DE"/>
        </w:rPr>
        <w:t xml:space="preserve"> 2015 (OECD-Richtlinie für die Prüfung von Chemikalien Nr. 435 </w:t>
      </w:r>
      <w:r>
        <w:rPr>
          <w:lang w:val="de-DE"/>
        </w:rPr>
        <w:t>„</w:t>
      </w:r>
      <w:r w:rsidRPr="000A0918">
        <w:rPr>
          <w:lang w:val="de-DE"/>
        </w:rPr>
        <w:t>In-vitro-Membranbarriere-Prüfmethode für die Verätzung der Haut</w:t>
      </w:r>
      <w:r>
        <w:rPr>
          <w:lang w:val="de-DE"/>
        </w:rPr>
        <w:t>“</w:t>
      </w:r>
      <w:r w:rsidRPr="000A0918">
        <w:rPr>
          <w:lang w:val="de-DE"/>
        </w:rPr>
        <w:t xml:space="preserve"> 2015).</w:t>
      </w:r>
    </w:p>
  </w:footnote>
  <w:footnote w:id="54">
    <w:p w:rsidR="00AA4416" w:rsidRPr="000A0918" w:rsidRDefault="00AA4416" w:rsidP="00865914">
      <w:pPr>
        <w:pStyle w:val="FootnoteText"/>
        <w:tabs>
          <w:tab w:val="clear" w:pos="1021"/>
          <w:tab w:val="left" w:pos="993"/>
        </w:tabs>
        <w:ind w:left="993" w:hanging="426"/>
        <w:rPr>
          <w:lang w:val="de-DE"/>
        </w:rPr>
      </w:pPr>
      <w:r w:rsidRPr="000A0918">
        <w:rPr>
          <w:rStyle w:val="FootnoteReference"/>
        </w:rPr>
        <w:footnoteRef/>
      </w:r>
      <w:r w:rsidRPr="00BD05A8">
        <w:rPr>
          <w:vertAlign w:val="superscript"/>
          <w:lang w:val="de-DE"/>
        </w:rPr>
        <w:t>)</w:t>
      </w:r>
      <w:r w:rsidRPr="000A0918">
        <w:rPr>
          <w:lang w:val="de-DE"/>
        </w:rPr>
        <w:tab/>
        <w:t xml:space="preserve">OECD Guideline for the testing of chemicals No. 430 </w:t>
      </w:r>
      <w:r>
        <w:rPr>
          <w:lang w:val="de-DE"/>
        </w:rPr>
        <w:t>„</w:t>
      </w:r>
      <w:r w:rsidRPr="000A0918">
        <w:rPr>
          <w:lang w:val="de-DE"/>
        </w:rPr>
        <w:t>In Vitro Skin Corrosion: Transcutaneous Electrical Resistance Test (TER)</w:t>
      </w:r>
      <w:r>
        <w:rPr>
          <w:lang w:val="de-DE"/>
        </w:rPr>
        <w:t>“</w:t>
      </w:r>
      <w:r w:rsidRPr="000A0918">
        <w:rPr>
          <w:lang w:val="de-DE"/>
        </w:rPr>
        <w:t xml:space="preserve"> 2015 (OECD-Richtlinie für die Prüfung von Chemikalien Nr. 430 </w:t>
      </w:r>
      <w:r>
        <w:rPr>
          <w:lang w:val="de-DE"/>
        </w:rPr>
        <w:t>„</w:t>
      </w:r>
      <w:r w:rsidRPr="000A0918">
        <w:rPr>
          <w:lang w:val="de-DE"/>
        </w:rPr>
        <w:t>In-vitro-Verätzung der Haut: Tanskutane elektrische Widerstandsprüfung (TER)</w:t>
      </w:r>
      <w:r>
        <w:rPr>
          <w:lang w:val="de-DE"/>
        </w:rPr>
        <w:t>“</w:t>
      </w:r>
      <w:r w:rsidRPr="000A0918">
        <w:rPr>
          <w:lang w:val="de-DE"/>
        </w:rPr>
        <w:t xml:space="preserve"> 2015).</w:t>
      </w:r>
    </w:p>
  </w:footnote>
  <w:footnote w:id="55">
    <w:p w:rsidR="00AA4416" w:rsidRPr="00C31E8B" w:rsidRDefault="00AA4416" w:rsidP="00865914">
      <w:pPr>
        <w:pStyle w:val="FootnoteText"/>
        <w:tabs>
          <w:tab w:val="clear" w:pos="1021"/>
          <w:tab w:val="left" w:pos="993"/>
        </w:tabs>
        <w:ind w:left="993" w:hanging="426"/>
        <w:rPr>
          <w:lang w:val="de-DE"/>
        </w:rPr>
      </w:pPr>
      <w:r w:rsidRPr="000A0918">
        <w:rPr>
          <w:rStyle w:val="FootnoteReference"/>
        </w:rPr>
        <w:footnoteRef/>
      </w:r>
      <w:r w:rsidRPr="00BD05A8">
        <w:rPr>
          <w:vertAlign w:val="superscript"/>
          <w:lang w:val="de-DE"/>
        </w:rPr>
        <w:t>)</w:t>
      </w:r>
      <w:r w:rsidRPr="000A0918">
        <w:rPr>
          <w:lang w:val="de-DE"/>
        </w:rPr>
        <w:tab/>
        <w:t xml:space="preserve">OECD Guideline for the testing of chemicals No. 431 </w:t>
      </w:r>
      <w:r>
        <w:rPr>
          <w:lang w:val="de-DE"/>
        </w:rPr>
        <w:t>„</w:t>
      </w:r>
      <w:r w:rsidRPr="000A0918">
        <w:rPr>
          <w:lang w:val="de-DE"/>
        </w:rPr>
        <w:t>In Vitro Skin Corrosion: Human Skin Model Test</w:t>
      </w:r>
      <w:r>
        <w:rPr>
          <w:lang w:val="de-DE"/>
        </w:rPr>
        <w:t>“</w:t>
      </w:r>
      <w:r w:rsidRPr="000A0918">
        <w:rPr>
          <w:lang w:val="de-DE"/>
        </w:rPr>
        <w:t xml:space="preserve"> 2015 (OECD-Richtlinie für die Prüfung von Chemikalien Nr. 431 </w:t>
      </w:r>
      <w:r>
        <w:rPr>
          <w:lang w:val="de-DE"/>
        </w:rPr>
        <w:t>„</w:t>
      </w:r>
      <w:r w:rsidRPr="000A0918">
        <w:rPr>
          <w:lang w:val="de-DE"/>
        </w:rPr>
        <w:t>In-vitro-Verätzung der Haut: Prüfung an einem Modell menschlicher Haut</w:t>
      </w:r>
      <w:r>
        <w:rPr>
          <w:lang w:val="de-DE"/>
        </w:rPr>
        <w:t>“</w:t>
      </w:r>
      <w:r w:rsidRPr="000A0918">
        <w:rPr>
          <w:lang w:val="de-DE"/>
        </w:rPr>
        <w:t xml:space="preserve"> 2015).</w:t>
      </w:r>
    </w:p>
  </w:footnote>
  <w:footnote w:id="56">
    <w:p w:rsidR="00AA4416" w:rsidRPr="0001227A" w:rsidRDefault="00AA4416" w:rsidP="00584DD1">
      <w:pPr>
        <w:pStyle w:val="FootnoteText"/>
        <w:jc w:val="both"/>
        <w:rPr>
          <w:color w:val="242424"/>
          <w:sz w:val="20"/>
          <w:shd w:val="clear" w:color="auto" w:fill="FFFFFF"/>
          <w:lang w:val="de-DE"/>
        </w:rPr>
      </w:pPr>
      <w:r w:rsidRPr="00865914">
        <w:rPr>
          <w:sz w:val="22"/>
          <w:szCs w:val="22"/>
          <w:lang w:val="de-DE"/>
        </w:rPr>
        <w:tab/>
      </w:r>
      <w:r w:rsidRPr="0001227A">
        <w:rPr>
          <w:rStyle w:val="FootnoteReference"/>
          <w:sz w:val="22"/>
          <w:szCs w:val="22"/>
          <w:lang w:val="de-DE"/>
        </w:rPr>
        <w:t>*</w:t>
      </w:r>
      <w:r w:rsidRPr="0001227A">
        <w:rPr>
          <w:sz w:val="22"/>
          <w:szCs w:val="22"/>
          <w:lang w:val="de-DE"/>
        </w:rPr>
        <w:t xml:space="preserve"> </w:t>
      </w:r>
      <w:r w:rsidRPr="0001227A">
        <w:rPr>
          <w:lang w:val="de-DE"/>
        </w:rPr>
        <w:tab/>
      </w:r>
      <w:r w:rsidRPr="00B33B11">
        <w:rPr>
          <w:szCs w:val="18"/>
          <w:lang w:val="de-DE"/>
        </w:rPr>
        <w:t xml:space="preserve">Erhältlich auf der Website des Europäischen Ausschusses zur Ausarbeitung von Standards in der Binnenschifffahrt (CESNI), </w:t>
      </w:r>
      <w:hyperlink r:id="rId1" w:history="1">
        <w:r w:rsidRPr="00B33B11">
          <w:rPr>
            <w:rStyle w:val="Hyperlink"/>
            <w:szCs w:val="18"/>
            <w:shd w:val="clear" w:color="auto" w:fill="FFFFFF"/>
            <w:lang w:val="de-DE"/>
          </w:rPr>
          <w:t>https://www.cesni.eu/de/documents/es-trin/</w:t>
        </w:r>
      </w:hyperlink>
      <w:r>
        <w:rPr>
          <w:rStyle w:val="Hyperlink"/>
          <w:szCs w:val="18"/>
          <w:shd w:val="clear" w:color="auto" w:fill="FFFFFF"/>
          <w:lang w:val="de-DE"/>
        </w:rPr>
        <w:t>.</w:t>
      </w:r>
      <w:r w:rsidRPr="00B33B11">
        <w:rPr>
          <w:lang w:val="de-DE"/>
        </w:rPr>
        <w:t xml:space="preserve"> </w:t>
      </w:r>
    </w:p>
  </w:footnote>
  <w:footnote w:id="57">
    <w:p w:rsidR="00AA4416" w:rsidRPr="0001227A" w:rsidRDefault="00AA4416" w:rsidP="00C13CC0">
      <w:pPr>
        <w:pStyle w:val="FootnoteText"/>
        <w:jc w:val="both"/>
        <w:rPr>
          <w:color w:val="242424"/>
          <w:sz w:val="20"/>
          <w:shd w:val="clear" w:color="auto" w:fill="FFFFFF"/>
          <w:lang w:val="de-DE"/>
        </w:rPr>
      </w:pPr>
      <w:r w:rsidRPr="0001227A">
        <w:rPr>
          <w:sz w:val="22"/>
          <w:szCs w:val="22"/>
          <w:lang w:val="de-DE"/>
        </w:rPr>
        <w:tab/>
      </w:r>
      <w:r w:rsidRPr="0001227A">
        <w:rPr>
          <w:rStyle w:val="FootnoteReference"/>
          <w:sz w:val="22"/>
          <w:szCs w:val="22"/>
          <w:lang w:val="de-DE"/>
        </w:rPr>
        <w:t>*</w:t>
      </w:r>
      <w:r w:rsidRPr="0001227A">
        <w:rPr>
          <w:sz w:val="22"/>
          <w:szCs w:val="22"/>
          <w:lang w:val="de-DE"/>
        </w:rPr>
        <w:t xml:space="preserve"> </w:t>
      </w:r>
      <w:r w:rsidRPr="0001227A">
        <w:rPr>
          <w:lang w:val="de-DE"/>
        </w:rPr>
        <w:tab/>
      </w:r>
      <w:r w:rsidRPr="00B33B11">
        <w:rPr>
          <w:szCs w:val="18"/>
          <w:lang w:val="de-DE"/>
        </w:rPr>
        <w:t xml:space="preserve">Erhältlich auf der Website des Europäischen Ausschusses zur Ausarbeitung von Standards in der Binnenschifffahrt (CESNI), </w:t>
      </w:r>
      <w:hyperlink r:id="rId2" w:history="1">
        <w:r w:rsidRPr="00B33B11">
          <w:rPr>
            <w:rStyle w:val="Hyperlink"/>
            <w:szCs w:val="18"/>
            <w:shd w:val="clear" w:color="auto" w:fill="FFFFFF"/>
            <w:lang w:val="de-DE"/>
          </w:rPr>
          <w:t>https://www.cesni.eu/de/documents/es-trin/</w:t>
        </w:r>
      </w:hyperlink>
      <w:r>
        <w:rPr>
          <w:rStyle w:val="Hyperlink"/>
          <w:szCs w:val="18"/>
          <w:shd w:val="clear" w:color="auto" w:fill="FFFFFF"/>
          <w:lang w:val="de-DE"/>
        </w:rPr>
        <w:t>.</w:t>
      </w:r>
      <w:r w:rsidRPr="00B33B11">
        <w:rPr>
          <w:lang w:val="de-DE"/>
        </w:rPr>
        <w:t xml:space="preserve"> </w:t>
      </w:r>
    </w:p>
  </w:footnote>
  <w:footnote w:id="58">
    <w:p w:rsidR="00AA4416" w:rsidRPr="0055408C" w:rsidRDefault="00AA4416" w:rsidP="006216C1">
      <w:pPr>
        <w:pStyle w:val="FootnoteText"/>
        <w:tabs>
          <w:tab w:val="left" w:pos="284"/>
        </w:tabs>
        <w:rPr>
          <w:sz w:val="16"/>
          <w:szCs w:val="16"/>
          <w:lang w:val="de-DE"/>
        </w:rPr>
      </w:pPr>
      <w:r w:rsidRPr="0055408C">
        <w:rPr>
          <w:rStyle w:val="FootnoteReference"/>
          <w:sz w:val="16"/>
          <w:szCs w:val="16"/>
        </w:rPr>
        <w:footnoteRef/>
      </w:r>
      <w:r w:rsidRPr="00ED1B26">
        <w:rPr>
          <w:sz w:val="16"/>
          <w:szCs w:val="16"/>
          <w:vertAlign w:val="superscript"/>
          <w:lang w:val="de-DE"/>
        </w:rPr>
        <w:t>)</w:t>
      </w:r>
      <w:r w:rsidRPr="0055408C">
        <w:rPr>
          <w:sz w:val="16"/>
          <w:szCs w:val="16"/>
          <w:lang w:val="de-DE"/>
        </w:rPr>
        <w:t xml:space="preserve"> </w:t>
      </w:r>
      <w:r w:rsidRPr="0055408C">
        <w:rPr>
          <w:sz w:val="16"/>
          <w:szCs w:val="16"/>
          <w:lang w:val="de-DE"/>
        </w:rPr>
        <w:tab/>
      </w:r>
      <w:r>
        <w:rPr>
          <w:rFonts w:eastAsiaTheme="minorHAnsi"/>
          <w:sz w:val="16"/>
          <w:szCs w:val="16"/>
          <w:lang w:val="de-DE"/>
        </w:rPr>
        <w:t xml:space="preserve">Amtsblatt der Europäischen Union Nr. L 96 vom 29. März 2014, S. 309 </w:t>
      </w:r>
    </w:p>
  </w:footnote>
  <w:footnote w:id="59">
    <w:p w:rsidR="00AA4416" w:rsidRPr="0055408C" w:rsidRDefault="00AA4416" w:rsidP="002E3BE2">
      <w:pPr>
        <w:pStyle w:val="FootnoteText"/>
        <w:tabs>
          <w:tab w:val="left" w:pos="284"/>
        </w:tabs>
        <w:rPr>
          <w:sz w:val="16"/>
          <w:szCs w:val="16"/>
          <w:lang w:val="de-DE"/>
        </w:rPr>
      </w:pPr>
      <w:r w:rsidRPr="0055408C">
        <w:rPr>
          <w:rStyle w:val="FootnoteReference"/>
          <w:sz w:val="16"/>
          <w:szCs w:val="16"/>
        </w:rPr>
        <w:footnoteRef/>
      </w:r>
      <w:r w:rsidRPr="00ED1B26">
        <w:rPr>
          <w:sz w:val="16"/>
          <w:szCs w:val="16"/>
          <w:vertAlign w:val="superscript"/>
          <w:lang w:val="de-DE"/>
        </w:rPr>
        <w:t>)</w:t>
      </w:r>
      <w:r w:rsidRPr="0055408C">
        <w:rPr>
          <w:sz w:val="16"/>
          <w:szCs w:val="16"/>
          <w:lang w:val="de-DE"/>
        </w:rPr>
        <w:t xml:space="preserve"> </w:t>
      </w:r>
      <w:r w:rsidRPr="0055408C">
        <w:rPr>
          <w:sz w:val="16"/>
          <w:szCs w:val="16"/>
          <w:lang w:val="de-DE"/>
        </w:rPr>
        <w:tab/>
      </w:r>
      <w:r>
        <w:rPr>
          <w:rFonts w:eastAsiaTheme="minorHAnsi"/>
          <w:sz w:val="16"/>
          <w:szCs w:val="16"/>
          <w:lang w:val="de-DE"/>
        </w:rPr>
        <w:t xml:space="preserve">Amtsblatt der Europäischen Union Nr. L 96 vom 29. März 2014, S. 309 </w:t>
      </w:r>
    </w:p>
  </w:footnote>
  <w:footnote w:id="60">
    <w:p w:rsidR="00AA4416" w:rsidRPr="0055408C" w:rsidRDefault="00AA4416" w:rsidP="006216C1">
      <w:pPr>
        <w:pStyle w:val="FootnoteText"/>
        <w:tabs>
          <w:tab w:val="left" w:pos="284"/>
        </w:tabs>
        <w:rPr>
          <w:sz w:val="16"/>
          <w:szCs w:val="16"/>
          <w:lang w:val="de-DE"/>
        </w:rPr>
      </w:pPr>
      <w:r w:rsidRPr="0055408C">
        <w:rPr>
          <w:rStyle w:val="FootnoteReference"/>
          <w:sz w:val="16"/>
          <w:szCs w:val="16"/>
        </w:rPr>
        <w:footnoteRef/>
      </w:r>
      <w:r w:rsidRPr="00ED1B26">
        <w:rPr>
          <w:sz w:val="16"/>
          <w:szCs w:val="16"/>
          <w:vertAlign w:val="superscript"/>
          <w:lang w:val="de-DE"/>
        </w:rPr>
        <w:t>)</w:t>
      </w:r>
      <w:r w:rsidRPr="0055408C">
        <w:rPr>
          <w:sz w:val="16"/>
          <w:szCs w:val="16"/>
          <w:lang w:val="de-DE"/>
        </w:rPr>
        <w:t xml:space="preserve"> </w:t>
      </w:r>
      <w:r w:rsidRPr="0055408C">
        <w:rPr>
          <w:sz w:val="16"/>
          <w:szCs w:val="16"/>
          <w:lang w:val="de-DE"/>
        </w:rPr>
        <w:tab/>
      </w:r>
      <w:r>
        <w:rPr>
          <w:rFonts w:eastAsiaTheme="minorHAnsi"/>
          <w:sz w:val="16"/>
          <w:szCs w:val="16"/>
          <w:lang w:val="de-DE"/>
        </w:rPr>
        <w:t xml:space="preserve">Amtsblatt der Europäischen Union Nr. L 96 vom 29. März 2014, S. 309 </w:t>
      </w:r>
    </w:p>
  </w:footnote>
  <w:footnote w:id="61">
    <w:p w:rsidR="00AA4416" w:rsidRPr="0055408C" w:rsidRDefault="00AA4416" w:rsidP="002E3BE2">
      <w:pPr>
        <w:pStyle w:val="FootnoteText"/>
        <w:tabs>
          <w:tab w:val="left" w:pos="284"/>
        </w:tabs>
        <w:rPr>
          <w:sz w:val="16"/>
          <w:szCs w:val="16"/>
          <w:lang w:val="de-DE"/>
        </w:rPr>
      </w:pPr>
      <w:r w:rsidRPr="0055408C">
        <w:rPr>
          <w:rStyle w:val="FootnoteReference"/>
          <w:sz w:val="16"/>
          <w:szCs w:val="16"/>
        </w:rPr>
        <w:footnoteRef/>
      </w:r>
      <w:r w:rsidRPr="00ED1B26">
        <w:rPr>
          <w:sz w:val="16"/>
          <w:szCs w:val="16"/>
          <w:vertAlign w:val="superscript"/>
          <w:lang w:val="de-DE"/>
        </w:rPr>
        <w:t>)</w:t>
      </w:r>
      <w:r w:rsidRPr="0055408C">
        <w:rPr>
          <w:sz w:val="16"/>
          <w:szCs w:val="16"/>
          <w:lang w:val="de-DE"/>
        </w:rPr>
        <w:t xml:space="preserve"> </w:t>
      </w:r>
      <w:r w:rsidRPr="0055408C">
        <w:rPr>
          <w:sz w:val="16"/>
          <w:szCs w:val="16"/>
          <w:lang w:val="de-DE"/>
        </w:rPr>
        <w:tab/>
      </w:r>
      <w:r>
        <w:rPr>
          <w:rFonts w:eastAsiaTheme="minorHAnsi"/>
          <w:sz w:val="16"/>
          <w:szCs w:val="16"/>
          <w:lang w:val="de-DE"/>
        </w:rPr>
        <w:t xml:space="preserve">Amtsblatt der Europäischen Union Nr. L 96 vom 29. März 2014, S. 309 </w:t>
      </w:r>
    </w:p>
  </w:footnote>
  <w:footnote w:id="62">
    <w:p w:rsidR="00AA4416" w:rsidRPr="0055408C" w:rsidRDefault="00AA4416" w:rsidP="00145D8C">
      <w:pPr>
        <w:pStyle w:val="FootnoteText"/>
        <w:tabs>
          <w:tab w:val="left" w:pos="284"/>
        </w:tabs>
        <w:rPr>
          <w:sz w:val="16"/>
          <w:szCs w:val="16"/>
          <w:lang w:val="de-DE"/>
        </w:rPr>
      </w:pPr>
      <w:r w:rsidRPr="0055408C">
        <w:rPr>
          <w:rStyle w:val="FootnoteReference"/>
          <w:sz w:val="16"/>
          <w:szCs w:val="16"/>
        </w:rPr>
        <w:footnoteRef/>
      </w:r>
      <w:r w:rsidRPr="00ED1B26">
        <w:rPr>
          <w:sz w:val="16"/>
          <w:szCs w:val="16"/>
          <w:vertAlign w:val="superscript"/>
          <w:lang w:val="de-DE"/>
        </w:rPr>
        <w:t>)</w:t>
      </w:r>
      <w:r w:rsidRPr="0055408C">
        <w:rPr>
          <w:sz w:val="16"/>
          <w:szCs w:val="16"/>
          <w:lang w:val="de-DE"/>
        </w:rPr>
        <w:t xml:space="preserve"> </w:t>
      </w:r>
      <w:r w:rsidRPr="0055408C">
        <w:rPr>
          <w:sz w:val="16"/>
          <w:szCs w:val="16"/>
          <w:lang w:val="de-DE"/>
        </w:rPr>
        <w:tab/>
      </w:r>
      <w:r>
        <w:rPr>
          <w:rFonts w:eastAsiaTheme="minorHAnsi"/>
          <w:sz w:val="16"/>
          <w:szCs w:val="16"/>
          <w:lang w:val="de-DE"/>
        </w:rPr>
        <w:t xml:space="preserve">Amtsblatt der Europäischen Union Nr. L 96 vom 29. März 2014, S. 309 </w:t>
      </w:r>
    </w:p>
  </w:footnote>
  <w:footnote w:id="63">
    <w:p w:rsidR="00AA4416" w:rsidRPr="0055408C" w:rsidRDefault="00AA4416" w:rsidP="00145D8C">
      <w:pPr>
        <w:pStyle w:val="FootnoteText"/>
        <w:tabs>
          <w:tab w:val="left" w:pos="284"/>
        </w:tabs>
        <w:rPr>
          <w:sz w:val="16"/>
          <w:szCs w:val="16"/>
          <w:lang w:val="de-DE"/>
        </w:rPr>
      </w:pPr>
      <w:r w:rsidRPr="0055408C">
        <w:rPr>
          <w:rStyle w:val="FootnoteReference"/>
          <w:sz w:val="16"/>
          <w:szCs w:val="16"/>
        </w:rPr>
        <w:footnoteRef/>
      </w:r>
      <w:r w:rsidRPr="00ED1B26">
        <w:rPr>
          <w:sz w:val="16"/>
          <w:szCs w:val="16"/>
          <w:vertAlign w:val="superscript"/>
          <w:lang w:val="de-DE"/>
        </w:rPr>
        <w:t>)</w:t>
      </w:r>
      <w:r w:rsidRPr="0055408C">
        <w:rPr>
          <w:sz w:val="16"/>
          <w:szCs w:val="16"/>
          <w:lang w:val="de-DE"/>
        </w:rPr>
        <w:t xml:space="preserve"> </w:t>
      </w:r>
      <w:r w:rsidRPr="0055408C">
        <w:rPr>
          <w:sz w:val="16"/>
          <w:szCs w:val="16"/>
          <w:lang w:val="de-DE"/>
        </w:rPr>
        <w:tab/>
      </w:r>
      <w:r>
        <w:rPr>
          <w:rFonts w:eastAsiaTheme="minorHAnsi"/>
          <w:sz w:val="16"/>
          <w:szCs w:val="16"/>
          <w:lang w:val="de-DE"/>
        </w:rPr>
        <w:t xml:space="preserve">Amtsblatt der Europäischen Union Nr. L 96 vom 29. März 2014, S. 309 </w:t>
      </w:r>
    </w:p>
  </w:footnote>
  <w:footnote w:id="64">
    <w:p w:rsidR="00AA4416" w:rsidRPr="0055408C" w:rsidRDefault="00AA4416" w:rsidP="006216C1">
      <w:pPr>
        <w:pStyle w:val="FootnoteText"/>
        <w:tabs>
          <w:tab w:val="left" w:pos="284"/>
        </w:tabs>
        <w:rPr>
          <w:sz w:val="16"/>
          <w:szCs w:val="16"/>
          <w:lang w:val="de-DE"/>
        </w:rPr>
      </w:pPr>
      <w:r w:rsidRPr="0055408C">
        <w:rPr>
          <w:rStyle w:val="FootnoteReference"/>
          <w:sz w:val="16"/>
          <w:szCs w:val="16"/>
        </w:rPr>
        <w:footnoteRef/>
      </w:r>
      <w:r w:rsidRPr="00ED1B26">
        <w:rPr>
          <w:sz w:val="16"/>
          <w:szCs w:val="16"/>
          <w:vertAlign w:val="superscript"/>
          <w:lang w:val="de-DE"/>
        </w:rPr>
        <w:t>)</w:t>
      </w:r>
      <w:r w:rsidRPr="0055408C">
        <w:rPr>
          <w:sz w:val="16"/>
          <w:szCs w:val="16"/>
          <w:lang w:val="de-DE"/>
        </w:rPr>
        <w:t xml:space="preserve"> </w:t>
      </w:r>
      <w:r w:rsidRPr="0055408C">
        <w:rPr>
          <w:sz w:val="16"/>
          <w:szCs w:val="16"/>
          <w:lang w:val="de-DE"/>
        </w:rPr>
        <w:tab/>
      </w:r>
      <w:r>
        <w:rPr>
          <w:rFonts w:eastAsiaTheme="minorHAnsi"/>
          <w:sz w:val="16"/>
          <w:szCs w:val="16"/>
          <w:lang w:val="de-DE"/>
        </w:rPr>
        <w:t>Amtsblatt der Europäischen Union Nr. L 96 vom 29. März 2014, S. 309</w:t>
      </w:r>
    </w:p>
  </w:footnote>
  <w:footnote w:id="65">
    <w:p w:rsidR="00AA4416" w:rsidRPr="0055408C" w:rsidRDefault="00AA4416" w:rsidP="00145D8C">
      <w:pPr>
        <w:pStyle w:val="FootnoteText"/>
        <w:tabs>
          <w:tab w:val="left" w:pos="284"/>
        </w:tabs>
        <w:rPr>
          <w:sz w:val="16"/>
          <w:szCs w:val="16"/>
          <w:lang w:val="de-DE"/>
        </w:rPr>
      </w:pPr>
      <w:r w:rsidRPr="0055408C">
        <w:rPr>
          <w:rStyle w:val="FootnoteReference"/>
          <w:sz w:val="16"/>
          <w:szCs w:val="16"/>
        </w:rPr>
        <w:footnoteRef/>
      </w:r>
      <w:r w:rsidRPr="00ED1B26">
        <w:rPr>
          <w:sz w:val="16"/>
          <w:szCs w:val="16"/>
          <w:vertAlign w:val="superscript"/>
          <w:lang w:val="de-DE"/>
        </w:rPr>
        <w:t>)</w:t>
      </w:r>
      <w:r w:rsidRPr="0055408C">
        <w:rPr>
          <w:sz w:val="16"/>
          <w:szCs w:val="16"/>
          <w:lang w:val="de-DE"/>
        </w:rPr>
        <w:t xml:space="preserve"> </w:t>
      </w:r>
      <w:r w:rsidRPr="0055408C">
        <w:rPr>
          <w:sz w:val="16"/>
          <w:szCs w:val="16"/>
          <w:lang w:val="de-DE"/>
        </w:rPr>
        <w:tab/>
      </w:r>
      <w:r>
        <w:rPr>
          <w:rFonts w:eastAsiaTheme="minorHAnsi"/>
          <w:sz w:val="16"/>
          <w:szCs w:val="16"/>
          <w:lang w:val="de-DE"/>
        </w:rPr>
        <w:t>Amtsblatt der Europäischen Union Nr. L 96 vom 29. März 2014, S. 309</w:t>
      </w:r>
    </w:p>
  </w:footnote>
  <w:footnote w:id="66">
    <w:p w:rsidR="00AA4416" w:rsidRPr="0001227A" w:rsidRDefault="00AA4416" w:rsidP="00C65079">
      <w:pPr>
        <w:pStyle w:val="FootnoteText"/>
        <w:jc w:val="both"/>
        <w:rPr>
          <w:color w:val="242424"/>
          <w:sz w:val="20"/>
          <w:shd w:val="clear" w:color="auto" w:fill="FFFFFF"/>
          <w:lang w:val="de-DE"/>
        </w:rPr>
      </w:pPr>
      <w:r w:rsidRPr="0001227A">
        <w:rPr>
          <w:sz w:val="22"/>
          <w:szCs w:val="22"/>
          <w:lang w:val="de-DE"/>
        </w:rPr>
        <w:tab/>
      </w:r>
      <w:r w:rsidRPr="0001227A">
        <w:rPr>
          <w:rStyle w:val="FootnoteReference"/>
          <w:sz w:val="22"/>
          <w:szCs w:val="22"/>
          <w:lang w:val="de-DE"/>
        </w:rPr>
        <w:t>*</w:t>
      </w:r>
      <w:r w:rsidRPr="0001227A">
        <w:rPr>
          <w:sz w:val="22"/>
          <w:szCs w:val="22"/>
          <w:lang w:val="de-DE"/>
        </w:rPr>
        <w:t xml:space="preserve"> </w:t>
      </w:r>
      <w:r w:rsidRPr="0001227A">
        <w:rPr>
          <w:lang w:val="de-DE"/>
        </w:rPr>
        <w:tab/>
      </w:r>
      <w:r w:rsidRPr="00B33B11">
        <w:rPr>
          <w:szCs w:val="18"/>
          <w:lang w:val="de-DE"/>
        </w:rPr>
        <w:t xml:space="preserve">Erhältlich auf der Website des Europäischen Ausschusses zur Ausarbeitung von Standards in der Binnenschifffahrt (CESNI), </w:t>
      </w:r>
      <w:hyperlink r:id="rId3" w:history="1">
        <w:r w:rsidRPr="00B33B11">
          <w:rPr>
            <w:rStyle w:val="Hyperlink"/>
            <w:szCs w:val="18"/>
            <w:shd w:val="clear" w:color="auto" w:fill="FFFFFF"/>
            <w:lang w:val="de-DE"/>
          </w:rPr>
          <w:t>https://www.cesni.eu/de/documents/es-trin/</w:t>
        </w:r>
      </w:hyperlink>
      <w:r w:rsidRPr="00B33B11">
        <w:rPr>
          <w:lang w:val="de-DE"/>
        </w:rPr>
        <w:t xml:space="preserve"> </w:t>
      </w:r>
    </w:p>
  </w:footnote>
  <w:footnote w:id="67">
    <w:p w:rsidR="00AA4416" w:rsidRPr="007425A5" w:rsidRDefault="00AA4416" w:rsidP="00524441">
      <w:pPr>
        <w:pStyle w:val="FootnoteText"/>
        <w:tabs>
          <w:tab w:val="clear" w:pos="1021"/>
        </w:tabs>
        <w:ind w:left="851" w:hanging="284"/>
        <w:rPr>
          <w:sz w:val="16"/>
          <w:szCs w:val="16"/>
          <w:lang w:val="de-DE"/>
        </w:rPr>
      </w:pPr>
      <w:r>
        <w:rPr>
          <w:rStyle w:val="FootnoteReference"/>
        </w:rPr>
        <w:footnoteRef/>
      </w:r>
      <w:r w:rsidRPr="00BD05A8">
        <w:rPr>
          <w:vertAlign w:val="superscript"/>
          <w:lang w:val="de-DE"/>
        </w:rPr>
        <w:t>)</w:t>
      </w:r>
      <w:r>
        <w:rPr>
          <w:lang w:val="de-DE"/>
        </w:rPr>
        <w:tab/>
      </w:r>
      <w:r w:rsidRPr="007425A5">
        <w:rPr>
          <w:sz w:val="16"/>
          <w:szCs w:val="16"/>
          <w:lang w:val="de-DE"/>
        </w:rPr>
        <w:t>Amtsblatt der Europäischen Union Nr. L 257 vom 28. August 2014, S. 146</w:t>
      </w:r>
    </w:p>
  </w:footnote>
  <w:footnote w:id="68">
    <w:p w:rsidR="00AA4416" w:rsidRPr="00140C38" w:rsidRDefault="00AA4416" w:rsidP="00524441">
      <w:pPr>
        <w:pStyle w:val="FootnoteText"/>
        <w:ind w:left="851" w:hanging="284"/>
        <w:jc w:val="both"/>
        <w:rPr>
          <w:sz w:val="16"/>
          <w:szCs w:val="16"/>
          <w:lang w:val="de-DE"/>
        </w:rPr>
      </w:pPr>
      <w:r w:rsidRPr="006F1AE8">
        <w:rPr>
          <w:rStyle w:val="FootnoteReference"/>
          <w:rFonts w:ascii="Arial" w:hAnsi="Arial" w:cs="Arial"/>
          <w:sz w:val="16"/>
          <w:szCs w:val="16"/>
        </w:rPr>
        <w:footnoteRef/>
      </w:r>
      <w:r w:rsidRPr="00934BA5">
        <w:rPr>
          <w:sz w:val="16"/>
          <w:szCs w:val="16"/>
          <w:vertAlign w:val="superscript"/>
          <w:lang w:val="de-DE"/>
        </w:rPr>
        <w:t>)</w:t>
      </w:r>
      <w:r w:rsidRPr="006F1AE8">
        <w:rPr>
          <w:rFonts w:ascii="Arial" w:hAnsi="Arial" w:cs="Arial"/>
          <w:sz w:val="16"/>
          <w:szCs w:val="16"/>
          <w:lang w:val="de-DE"/>
        </w:rPr>
        <w:tab/>
      </w:r>
      <w:r w:rsidRPr="00D2698A">
        <w:rPr>
          <w:sz w:val="16"/>
          <w:szCs w:val="16"/>
          <w:lang w:val="de-DE"/>
        </w:rPr>
        <w:t xml:space="preserve">Rundschreiben MSC/Circ. 1270 </w:t>
      </w:r>
      <w:r>
        <w:rPr>
          <w:sz w:val="16"/>
          <w:szCs w:val="16"/>
          <w:lang w:val="de-DE"/>
        </w:rPr>
        <w:t xml:space="preserve">einschließlich </w:t>
      </w:r>
      <w:r w:rsidRPr="009E286E">
        <w:rPr>
          <w:sz w:val="16"/>
          <w:szCs w:val="16"/>
          <w:lang w:val="de-DE"/>
        </w:rPr>
        <w:t>Korrigend</w:t>
      </w:r>
      <w:r>
        <w:rPr>
          <w:sz w:val="16"/>
          <w:szCs w:val="16"/>
          <w:lang w:val="de-DE"/>
        </w:rPr>
        <w:t xml:space="preserve">a </w:t>
      </w:r>
      <w:r w:rsidRPr="009E286E">
        <w:rPr>
          <w:sz w:val="16"/>
          <w:szCs w:val="16"/>
          <w:lang w:val="de-DE"/>
        </w:rPr>
        <w:t>der</w:t>
      </w:r>
      <w:r w:rsidRPr="00D2698A">
        <w:rPr>
          <w:sz w:val="16"/>
          <w:szCs w:val="16"/>
          <w:lang w:val="de-DE"/>
        </w:rPr>
        <w:t xml:space="preserve"> Internationalen Seeschifffahrtsorganisation – Überarbeitete Richtlinien für die Zulassung fest eingebauter aerosolbildender Feuerlöscheinrichtungen für Maschinenräume, die fest eingebauten Gasfeuerlöscheinrichtungen gleichwertig sind, auf die das SOLAS-Übereinkommen von 1974 Bezug nimmt – angenommen am 4. </w:t>
      </w:r>
      <w:r w:rsidRPr="00140C38">
        <w:rPr>
          <w:sz w:val="16"/>
          <w:szCs w:val="16"/>
          <w:lang w:val="de-DE"/>
        </w:rPr>
        <w:t>Juni 2008.</w:t>
      </w:r>
    </w:p>
  </w:footnote>
  <w:footnote w:id="69">
    <w:p w:rsidR="00AA4416" w:rsidRPr="007425A5" w:rsidRDefault="00AA4416" w:rsidP="00524441">
      <w:pPr>
        <w:pStyle w:val="FootnoteText"/>
        <w:tabs>
          <w:tab w:val="clear" w:pos="1021"/>
        </w:tabs>
        <w:ind w:left="851" w:hanging="284"/>
        <w:rPr>
          <w:sz w:val="16"/>
          <w:szCs w:val="16"/>
          <w:lang w:val="de-DE"/>
        </w:rPr>
      </w:pPr>
      <w:r>
        <w:rPr>
          <w:rStyle w:val="FootnoteReference"/>
        </w:rPr>
        <w:footnoteRef/>
      </w:r>
      <w:r w:rsidRPr="00BD05A8">
        <w:rPr>
          <w:vertAlign w:val="superscript"/>
          <w:lang w:val="de-DE"/>
        </w:rPr>
        <w:t>)</w:t>
      </w:r>
      <w:r>
        <w:rPr>
          <w:lang w:val="de-DE"/>
        </w:rPr>
        <w:tab/>
      </w:r>
      <w:r w:rsidRPr="007425A5">
        <w:rPr>
          <w:sz w:val="16"/>
          <w:szCs w:val="16"/>
          <w:lang w:val="de-DE"/>
        </w:rPr>
        <w:t>Amtsblatt der Europäischen Union Nr. L 257 vom 28. August 2014, S. 146</w:t>
      </w:r>
    </w:p>
  </w:footnote>
  <w:footnote w:id="70">
    <w:p w:rsidR="00AA4416" w:rsidRPr="00140C38" w:rsidRDefault="00AA4416" w:rsidP="00524441">
      <w:pPr>
        <w:pStyle w:val="FootnoteText"/>
        <w:ind w:left="851" w:hanging="284"/>
        <w:jc w:val="both"/>
        <w:rPr>
          <w:sz w:val="16"/>
          <w:szCs w:val="16"/>
          <w:lang w:val="de-DE"/>
        </w:rPr>
      </w:pPr>
      <w:r w:rsidRPr="006F1AE8">
        <w:rPr>
          <w:rStyle w:val="FootnoteReference"/>
          <w:rFonts w:ascii="Arial" w:hAnsi="Arial" w:cs="Arial"/>
          <w:sz w:val="16"/>
          <w:szCs w:val="16"/>
        </w:rPr>
        <w:footnoteRef/>
      </w:r>
      <w:r w:rsidRPr="00BD05A8">
        <w:rPr>
          <w:rFonts w:ascii="Arial" w:hAnsi="Arial" w:cs="Arial"/>
          <w:sz w:val="16"/>
          <w:szCs w:val="16"/>
          <w:vertAlign w:val="superscript"/>
          <w:lang w:val="de-DE"/>
        </w:rPr>
        <w:t>)</w:t>
      </w:r>
      <w:r w:rsidRPr="006F1AE8">
        <w:rPr>
          <w:rFonts w:ascii="Arial" w:hAnsi="Arial" w:cs="Arial"/>
          <w:sz w:val="16"/>
          <w:szCs w:val="16"/>
          <w:lang w:val="de-DE"/>
        </w:rPr>
        <w:tab/>
      </w:r>
      <w:r w:rsidRPr="00D2698A">
        <w:rPr>
          <w:sz w:val="16"/>
          <w:szCs w:val="16"/>
          <w:lang w:val="de-DE"/>
        </w:rPr>
        <w:t xml:space="preserve">Rundschreiben MSC/Circ. 1270 </w:t>
      </w:r>
      <w:r>
        <w:rPr>
          <w:sz w:val="16"/>
          <w:szCs w:val="16"/>
          <w:lang w:val="de-DE"/>
        </w:rPr>
        <w:t xml:space="preserve">einschließlich Korrigenda </w:t>
      </w:r>
      <w:r w:rsidRPr="00D2698A">
        <w:rPr>
          <w:sz w:val="16"/>
          <w:szCs w:val="16"/>
          <w:lang w:val="de-DE"/>
        </w:rPr>
        <w:t xml:space="preserve">der Internationalen Seeschifffahrtsorganisation – Überarbeitete Richtlinien für die Zulassung fest eingebauter aerosolbildender Feuerlöscheinrichtungen für Maschinenräume, die fest eingebauten Gasfeuerlöscheinrichtungen gleichwertig sind, auf die das SOLAS-Übereinkommen von 1974 Bezug nimmt – angenommen am 4. </w:t>
      </w:r>
      <w:r w:rsidRPr="00140C38">
        <w:rPr>
          <w:sz w:val="16"/>
          <w:szCs w:val="16"/>
          <w:lang w:val="de-DE"/>
        </w:rPr>
        <w:t>Juni 2008.</w:t>
      </w:r>
    </w:p>
  </w:footnote>
  <w:footnote w:id="71">
    <w:p w:rsidR="00AA4416" w:rsidRPr="00E662DD" w:rsidRDefault="00AA4416" w:rsidP="00C275E8">
      <w:pPr>
        <w:pStyle w:val="FootnoteText"/>
        <w:tabs>
          <w:tab w:val="clear" w:pos="1021"/>
          <w:tab w:val="left" w:pos="426"/>
        </w:tabs>
        <w:rPr>
          <w:lang w:val="de-DE"/>
        </w:rPr>
      </w:pPr>
      <w:r w:rsidRPr="00B61A90">
        <w:rPr>
          <w:rStyle w:val="FootnoteReference"/>
        </w:rPr>
        <w:footnoteRef/>
      </w:r>
      <w:r w:rsidRPr="00BD05A8">
        <w:rPr>
          <w:vertAlign w:val="superscript"/>
          <w:lang w:val="de-DE"/>
        </w:rPr>
        <w:t>)</w:t>
      </w:r>
      <w:r w:rsidRPr="00B61A90">
        <w:rPr>
          <w:lang w:val="de-DE"/>
        </w:rPr>
        <w:tab/>
        <w:t>Identisch mit EN 50525-2-21:2011</w:t>
      </w:r>
    </w:p>
  </w:footnote>
  <w:footnote w:id="72">
    <w:p w:rsidR="00AA4416" w:rsidRPr="0001227A" w:rsidRDefault="00AA4416" w:rsidP="00E741E6">
      <w:pPr>
        <w:pStyle w:val="FootnoteText"/>
        <w:jc w:val="both"/>
        <w:rPr>
          <w:color w:val="242424"/>
          <w:sz w:val="20"/>
          <w:shd w:val="clear" w:color="auto" w:fill="FFFFFF"/>
          <w:lang w:val="de-DE"/>
        </w:rPr>
      </w:pPr>
      <w:r w:rsidRPr="0001227A">
        <w:rPr>
          <w:sz w:val="22"/>
          <w:szCs w:val="22"/>
          <w:lang w:val="de-DE"/>
        </w:rPr>
        <w:tab/>
      </w:r>
      <w:r w:rsidRPr="0001227A">
        <w:rPr>
          <w:rStyle w:val="FootnoteReference"/>
          <w:sz w:val="22"/>
          <w:szCs w:val="22"/>
          <w:lang w:val="de-DE"/>
        </w:rPr>
        <w:t>*</w:t>
      </w:r>
      <w:r w:rsidRPr="0001227A">
        <w:rPr>
          <w:sz w:val="22"/>
          <w:szCs w:val="22"/>
          <w:lang w:val="de-DE"/>
        </w:rPr>
        <w:t xml:space="preserve"> </w:t>
      </w:r>
      <w:r w:rsidRPr="0001227A">
        <w:rPr>
          <w:lang w:val="de-DE"/>
        </w:rPr>
        <w:tab/>
      </w:r>
      <w:r w:rsidRPr="00B33B11">
        <w:rPr>
          <w:szCs w:val="18"/>
          <w:lang w:val="de-DE"/>
        </w:rPr>
        <w:t xml:space="preserve">Erhältlich auf der Website des Europäischen Ausschusses zur Ausarbeitung von Standards in der Binnenschifffahrt (CESNI), </w:t>
      </w:r>
      <w:hyperlink r:id="rId4" w:history="1">
        <w:r w:rsidRPr="00B33B11">
          <w:rPr>
            <w:rStyle w:val="Hyperlink"/>
            <w:szCs w:val="18"/>
            <w:shd w:val="clear" w:color="auto" w:fill="FFFFFF"/>
            <w:lang w:val="de-DE"/>
          </w:rPr>
          <w:t>https://www.cesni.eu/de/documents/es-trin/</w:t>
        </w:r>
      </w:hyperlink>
      <w:r w:rsidRPr="00B33B11">
        <w:rPr>
          <w:lang w:val="de-DE"/>
        </w:rPr>
        <w:t xml:space="preserve"> </w:t>
      </w:r>
    </w:p>
  </w:footnote>
  <w:footnote w:id="73">
    <w:p w:rsidR="00AA4416" w:rsidRPr="001B4B49" w:rsidRDefault="00AA4416" w:rsidP="00E741E6">
      <w:pPr>
        <w:pStyle w:val="FootnoteText"/>
        <w:tabs>
          <w:tab w:val="clear" w:pos="1021"/>
        </w:tabs>
        <w:ind w:left="851" w:hanging="284"/>
        <w:rPr>
          <w:sz w:val="16"/>
          <w:szCs w:val="16"/>
          <w:lang w:val="de-DE"/>
        </w:rPr>
      </w:pPr>
      <w:r>
        <w:rPr>
          <w:rStyle w:val="FootnoteReference"/>
        </w:rPr>
        <w:footnoteRef/>
      </w:r>
      <w:r w:rsidRPr="00BD05A8">
        <w:rPr>
          <w:vertAlign w:val="superscript"/>
          <w:lang w:val="de-DE"/>
        </w:rPr>
        <w:t>)</w:t>
      </w:r>
      <w:r>
        <w:rPr>
          <w:lang w:val="de-DE"/>
        </w:rPr>
        <w:tab/>
      </w:r>
      <w:r w:rsidRPr="001B4B49">
        <w:rPr>
          <w:sz w:val="16"/>
          <w:szCs w:val="16"/>
          <w:lang w:val="de-DE"/>
        </w:rPr>
        <w:t>Amtsblatt der Europäischen Union Nr. L 257 vom 28. August 2014, S. 146</w:t>
      </w:r>
    </w:p>
  </w:footnote>
  <w:footnote w:id="74">
    <w:p w:rsidR="00AA4416" w:rsidRPr="001B4B49" w:rsidRDefault="00AA4416" w:rsidP="00E741E6">
      <w:pPr>
        <w:pStyle w:val="FootnoteText"/>
        <w:ind w:left="851" w:hanging="284"/>
        <w:jc w:val="both"/>
        <w:rPr>
          <w:sz w:val="16"/>
          <w:szCs w:val="16"/>
          <w:lang w:val="de-DE"/>
        </w:rPr>
      </w:pPr>
      <w:r w:rsidRPr="001B4B49">
        <w:rPr>
          <w:rStyle w:val="FootnoteReference"/>
          <w:rFonts w:ascii="Arial" w:hAnsi="Arial" w:cs="Arial"/>
          <w:sz w:val="16"/>
          <w:szCs w:val="16"/>
        </w:rPr>
        <w:footnoteRef/>
      </w:r>
      <w:r w:rsidRPr="00BD05A8">
        <w:rPr>
          <w:rFonts w:ascii="Arial" w:hAnsi="Arial" w:cs="Arial"/>
          <w:sz w:val="16"/>
          <w:szCs w:val="16"/>
          <w:vertAlign w:val="superscript"/>
          <w:lang w:val="de-DE"/>
        </w:rPr>
        <w:t>)</w:t>
      </w:r>
      <w:r w:rsidRPr="001B4B49">
        <w:rPr>
          <w:rFonts w:ascii="Arial" w:hAnsi="Arial" w:cs="Arial"/>
          <w:sz w:val="16"/>
          <w:szCs w:val="16"/>
          <w:lang w:val="de-DE"/>
        </w:rPr>
        <w:tab/>
      </w:r>
      <w:r w:rsidRPr="001B4B49">
        <w:rPr>
          <w:sz w:val="16"/>
          <w:szCs w:val="16"/>
          <w:lang w:val="de-DE"/>
        </w:rPr>
        <w:t>Rundschreiben MSC/Circ. 1270 einschließlich Korrigend</w:t>
      </w:r>
      <w:r>
        <w:rPr>
          <w:sz w:val="16"/>
          <w:szCs w:val="16"/>
          <w:lang w:val="de-DE"/>
        </w:rPr>
        <w:t>a</w:t>
      </w:r>
      <w:r w:rsidRPr="001B4B49">
        <w:rPr>
          <w:sz w:val="16"/>
          <w:szCs w:val="16"/>
          <w:lang w:val="de-DE"/>
        </w:rPr>
        <w:t xml:space="preserve"> der Internationalen Seeschifffahrtsorganisation – Überarbeitete Richtlinien für die Zulassung fest eingebauter aerosolbildender Feuerlöscheinrichtungen für Maschinenräume, die fest eingebauten Gasfeuerlöscheinrichtungen gleichwertig sind, auf die das SOLAS-Übereinkommen von 1974 Bezug nimmt – angenommen am 4. Juni 2008.</w:t>
      </w:r>
    </w:p>
  </w:footnote>
  <w:footnote w:id="75">
    <w:p w:rsidR="00AA4416" w:rsidRPr="001B4B49" w:rsidRDefault="00AA4416" w:rsidP="00E741E6">
      <w:pPr>
        <w:pStyle w:val="FootnoteText"/>
        <w:tabs>
          <w:tab w:val="clear" w:pos="1021"/>
        </w:tabs>
        <w:ind w:left="851" w:hanging="284"/>
        <w:rPr>
          <w:sz w:val="16"/>
          <w:szCs w:val="16"/>
          <w:lang w:val="de-DE"/>
        </w:rPr>
      </w:pPr>
      <w:r w:rsidRPr="001B4B49">
        <w:rPr>
          <w:rStyle w:val="FootnoteReference"/>
        </w:rPr>
        <w:footnoteRef/>
      </w:r>
      <w:r w:rsidRPr="00BD05A8">
        <w:rPr>
          <w:vertAlign w:val="superscript"/>
          <w:lang w:val="de-DE"/>
        </w:rPr>
        <w:t>)</w:t>
      </w:r>
      <w:r w:rsidRPr="001B4B49">
        <w:rPr>
          <w:lang w:val="de-DE"/>
        </w:rPr>
        <w:tab/>
      </w:r>
      <w:r w:rsidRPr="001B4B49">
        <w:rPr>
          <w:sz w:val="16"/>
          <w:szCs w:val="16"/>
          <w:lang w:val="de-DE"/>
        </w:rPr>
        <w:t>Amtsblatt der Europäischen Union Nr. L 257 vom 28. August 2014, S. 146</w:t>
      </w:r>
    </w:p>
  </w:footnote>
  <w:footnote w:id="76">
    <w:p w:rsidR="00AA4416" w:rsidRPr="00140C38" w:rsidRDefault="00AA4416" w:rsidP="00E741E6">
      <w:pPr>
        <w:pStyle w:val="FootnoteText"/>
        <w:ind w:left="851" w:hanging="284"/>
        <w:jc w:val="both"/>
        <w:rPr>
          <w:sz w:val="16"/>
          <w:szCs w:val="16"/>
          <w:lang w:val="de-DE"/>
        </w:rPr>
      </w:pPr>
      <w:r w:rsidRPr="001B4B49">
        <w:rPr>
          <w:rStyle w:val="FootnoteReference"/>
          <w:rFonts w:ascii="Arial" w:hAnsi="Arial" w:cs="Arial"/>
          <w:sz w:val="16"/>
          <w:szCs w:val="16"/>
        </w:rPr>
        <w:footnoteRef/>
      </w:r>
      <w:r w:rsidRPr="00BD05A8">
        <w:rPr>
          <w:rFonts w:ascii="Arial" w:hAnsi="Arial" w:cs="Arial"/>
          <w:sz w:val="16"/>
          <w:szCs w:val="16"/>
          <w:vertAlign w:val="superscript"/>
          <w:lang w:val="de-DE"/>
        </w:rPr>
        <w:t>)</w:t>
      </w:r>
      <w:r w:rsidRPr="001B4B49">
        <w:rPr>
          <w:rFonts w:ascii="Arial" w:hAnsi="Arial" w:cs="Arial"/>
          <w:sz w:val="16"/>
          <w:szCs w:val="16"/>
          <w:lang w:val="de-DE"/>
        </w:rPr>
        <w:tab/>
      </w:r>
      <w:r w:rsidRPr="001B4B49">
        <w:rPr>
          <w:sz w:val="16"/>
          <w:szCs w:val="16"/>
          <w:lang w:val="de-DE"/>
        </w:rPr>
        <w:t>Rundschreiben MSC/Circ. 1270 einschließlich Korrigend</w:t>
      </w:r>
      <w:r>
        <w:rPr>
          <w:sz w:val="16"/>
          <w:szCs w:val="16"/>
          <w:lang w:val="de-DE"/>
        </w:rPr>
        <w:t>a</w:t>
      </w:r>
      <w:r w:rsidRPr="001B4B49">
        <w:rPr>
          <w:sz w:val="16"/>
          <w:szCs w:val="16"/>
          <w:lang w:val="de-DE"/>
        </w:rPr>
        <w:t xml:space="preserve"> der Internationalen Seeschifffahrtsorganisation – Überarbeitete Richtlinien für die Zulassung fest eingebauter aerosolbildender Feuerlöscheinrichtungen für Maschinenräume, die fest eingebauten Gasfeuerlöscheinrichtungen gleichwertig sind, auf die das SOLAS-Übereinkommen von 1974 Bezug nimmt – angenommen am 4. Juni 2008.</w:t>
      </w:r>
    </w:p>
  </w:footnote>
  <w:footnote w:id="77">
    <w:p w:rsidR="00AA4416" w:rsidRPr="003B6B2F" w:rsidRDefault="00AA4416" w:rsidP="0040549D">
      <w:pPr>
        <w:pStyle w:val="FootnoteText"/>
        <w:tabs>
          <w:tab w:val="clear" w:pos="1021"/>
        </w:tabs>
        <w:ind w:left="284" w:hanging="284"/>
        <w:rPr>
          <w:lang w:val="de-DE"/>
        </w:rPr>
      </w:pPr>
      <w:r w:rsidRPr="00B61A90">
        <w:rPr>
          <w:rStyle w:val="FootnoteReference"/>
        </w:rPr>
        <w:footnoteRef/>
      </w:r>
      <w:r w:rsidRPr="00BD05A8">
        <w:rPr>
          <w:vertAlign w:val="superscript"/>
          <w:lang w:val="de-DE"/>
        </w:rPr>
        <w:t>)</w:t>
      </w:r>
      <w:r w:rsidRPr="003B6B2F">
        <w:rPr>
          <w:lang w:val="de-DE"/>
        </w:rPr>
        <w:tab/>
      </w:r>
      <w:r w:rsidRPr="00B61A90">
        <w:rPr>
          <w:lang w:val="de-DE"/>
        </w:rPr>
        <w:t>Identisch mit EN 50525-2-21:2011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4416" w:rsidRPr="009F66E5" w:rsidRDefault="00AA4416" w:rsidP="009F66E5">
    <w:pPr>
      <w:spacing w:line="240" w:lineRule="auto"/>
      <w:rPr>
        <w:lang w:val="de-DE"/>
      </w:rPr>
    </w:pPr>
    <w:r w:rsidRPr="009F66E5">
      <w:rPr>
        <w:rFonts w:ascii="Arial" w:hAnsi="Arial"/>
        <w:sz w:val="16"/>
        <w:szCs w:val="16"/>
        <w:lang w:val="de-DE" w:eastAsia="fr-FR"/>
      </w:rPr>
      <w:t>CCNR-ZKR/ADN/</w:t>
    </w:r>
    <w:r>
      <w:rPr>
        <w:rFonts w:ascii="Arial" w:hAnsi="Arial"/>
        <w:sz w:val="16"/>
        <w:szCs w:val="16"/>
        <w:lang w:val="de-DE" w:eastAsia="fr-FR"/>
      </w:rPr>
      <w:t>45</w:t>
    </w:r>
    <w:r w:rsidRPr="009F66E5">
      <w:rPr>
        <w:rFonts w:ascii="Arial" w:hAnsi="Arial"/>
        <w:sz w:val="16"/>
        <w:szCs w:val="16"/>
        <w:lang w:val="de-DE" w:eastAsia="fr-FR"/>
      </w:rPr>
      <w:br/>
      <w:t xml:space="preserve">Seite </w:t>
    </w:r>
    <w:r w:rsidRPr="00A17F1F">
      <w:rPr>
        <w:rFonts w:ascii="Arial" w:hAnsi="Arial"/>
        <w:sz w:val="16"/>
        <w:szCs w:val="16"/>
        <w:lang w:eastAsia="fr-FR"/>
      </w:rPr>
      <w:fldChar w:fldCharType="begin"/>
    </w:r>
    <w:r w:rsidRPr="009F66E5">
      <w:rPr>
        <w:rFonts w:ascii="Arial" w:hAnsi="Arial"/>
        <w:sz w:val="16"/>
        <w:szCs w:val="16"/>
        <w:lang w:val="de-DE" w:eastAsia="fr-FR"/>
      </w:rPr>
      <w:instrText xml:space="preserve"> PAGE  \* MERGEFORMAT </w:instrText>
    </w:r>
    <w:r w:rsidRPr="00A17F1F">
      <w:rPr>
        <w:rFonts w:ascii="Arial" w:hAnsi="Arial"/>
        <w:sz w:val="16"/>
        <w:szCs w:val="16"/>
        <w:lang w:eastAsia="fr-FR"/>
      </w:rPr>
      <w:fldChar w:fldCharType="separate"/>
    </w:r>
    <w:r w:rsidR="00971B7A" w:rsidRPr="00971B7A">
      <w:rPr>
        <w:rFonts w:ascii="Arial" w:hAnsi="Arial"/>
        <w:b/>
        <w:noProof/>
        <w:sz w:val="16"/>
        <w:szCs w:val="16"/>
        <w:lang w:val="de-DE" w:eastAsia="fr-FR"/>
      </w:rPr>
      <w:t>4</w:t>
    </w:r>
    <w:r w:rsidRPr="00A17F1F">
      <w:rPr>
        <w:rFonts w:ascii="Arial" w:hAnsi="Arial"/>
        <w:sz w:val="16"/>
        <w:szCs w:val="16"/>
        <w:lang w:eastAsia="fr-FR"/>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4416" w:rsidRPr="00A95C54" w:rsidRDefault="00AA4416" w:rsidP="00973598">
    <w:pPr>
      <w:spacing w:line="240" w:lineRule="auto"/>
      <w:jc w:val="right"/>
      <w:rPr>
        <w:lang w:val="de-DE"/>
      </w:rPr>
    </w:pPr>
    <w:r w:rsidRPr="00A95C54">
      <w:rPr>
        <w:rFonts w:ascii="Arial" w:hAnsi="Arial"/>
        <w:sz w:val="16"/>
        <w:szCs w:val="16"/>
        <w:lang w:val="de-DE" w:eastAsia="fr-FR"/>
      </w:rPr>
      <w:t>CCNR-ZKR/ADN/</w:t>
    </w:r>
    <w:r>
      <w:rPr>
        <w:rFonts w:ascii="Arial" w:hAnsi="Arial"/>
        <w:sz w:val="16"/>
        <w:szCs w:val="16"/>
        <w:lang w:val="de-DE" w:eastAsia="fr-FR"/>
      </w:rPr>
      <w:t>45</w:t>
    </w:r>
    <w:r w:rsidRPr="00A95C54">
      <w:rPr>
        <w:rFonts w:ascii="Arial" w:hAnsi="Arial"/>
        <w:sz w:val="16"/>
        <w:szCs w:val="16"/>
        <w:lang w:val="de-DE" w:eastAsia="fr-FR"/>
      </w:rPr>
      <w:br/>
      <w:t xml:space="preserve">Seite </w:t>
    </w:r>
    <w:r w:rsidRPr="00A17F1F">
      <w:rPr>
        <w:rFonts w:ascii="Arial" w:hAnsi="Arial"/>
        <w:sz w:val="16"/>
        <w:szCs w:val="16"/>
        <w:lang w:eastAsia="fr-FR"/>
      </w:rPr>
      <w:fldChar w:fldCharType="begin"/>
    </w:r>
    <w:r w:rsidRPr="00A95C54">
      <w:rPr>
        <w:rFonts w:ascii="Arial" w:hAnsi="Arial"/>
        <w:sz w:val="16"/>
        <w:szCs w:val="16"/>
        <w:lang w:val="de-DE" w:eastAsia="fr-FR"/>
      </w:rPr>
      <w:instrText xml:space="preserve"> PAGE  \* MERGEFORMAT </w:instrText>
    </w:r>
    <w:r w:rsidRPr="00A17F1F">
      <w:rPr>
        <w:rFonts w:ascii="Arial" w:hAnsi="Arial"/>
        <w:sz w:val="16"/>
        <w:szCs w:val="16"/>
        <w:lang w:eastAsia="fr-FR"/>
      </w:rPr>
      <w:fldChar w:fldCharType="separate"/>
    </w:r>
    <w:r w:rsidR="00E139A8" w:rsidRPr="00E139A8">
      <w:rPr>
        <w:rFonts w:ascii="Arial" w:hAnsi="Arial"/>
        <w:b/>
        <w:noProof/>
        <w:sz w:val="16"/>
        <w:szCs w:val="16"/>
        <w:lang w:val="de-DE" w:eastAsia="fr-FR"/>
      </w:rPr>
      <w:t>91</w:t>
    </w:r>
    <w:r w:rsidRPr="00A17F1F">
      <w:rPr>
        <w:rFonts w:ascii="Arial" w:hAnsi="Arial"/>
        <w:sz w:val="16"/>
        <w:szCs w:val="16"/>
        <w:lang w:eastAsia="fr-FR"/>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4416" w:rsidRPr="00A95C54" w:rsidRDefault="00AA4416" w:rsidP="00973598">
    <w:pPr>
      <w:spacing w:line="240" w:lineRule="auto"/>
      <w:rPr>
        <w:lang w:val="de-DE"/>
      </w:rPr>
    </w:pPr>
    <w:r w:rsidRPr="00A95C54">
      <w:rPr>
        <w:rFonts w:ascii="Arial" w:hAnsi="Arial"/>
        <w:sz w:val="16"/>
        <w:szCs w:val="16"/>
        <w:lang w:val="de-DE" w:eastAsia="fr-FR"/>
      </w:rPr>
      <w:t>CCNR-ZKR/ADN/</w:t>
    </w:r>
    <w:r>
      <w:rPr>
        <w:rFonts w:ascii="Arial" w:hAnsi="Arial"/>
        <w:sz w:val="16"/>
        <w:szCs w:val="16"/>
        <w:lang w:val="de-DE" w:eastAsia="fr-FR"/>
      </w:rPr>
      <w:t>45</w:t>
    </w:r>
    <w:r w:rsidRPr="00A95C54">
      <w:rPr>
        <w:rFonts w:ascii="Arial" w:hAnsi="Arial"/>
        <w:sz w:val="16"/>
        <w:szCs w:val="16"/>
        <w:lang w:val="de-DE" w:eastAsia="fr-FR"/>
      </w:rPr>
      <w:br/>
      <w:t xml:space="preserve">Seite </w:t>
    </w:r>
    <w:r w:rsidRPr="00A17F1F">
      <w:rPr>
        <w:rFonts w:ascii="Arial" w:hAnsi="Arial"/>
        <w:sz w:val="16"/>
        <w:szCs w:val="16"/>
        <w:lang w:eastAsia="fr-FR"/>
      </w:rPr>
      <w:fldChar w:fldCharType="begin"/>
    </w:r>
    <w:r w:rsidRPr="00A95C54">
      <w:rPr>
        <w:rFonts w:ascii="Arial" w:hAnsi="Arial"/>
        <w:sz w:val="16"/>
        <w:szCs w:val="16"/>
        <w:lang w:val="de-DE" w:eastAsia="fr-FR"/>
      </w:rPr>
      <w:instrText xml:space="preserve"> PAGE  \* MERGEFORMAT </w:instrText>
    </w:r>
    <w:r w:rsidRPr="00A17F1F">
      <w:rPr>
        <w:rFonts w:ascii="Arial" w:hAnsi="Arial"/>
        <w:sz w:val="16"/>
        <w:szCs w:val="16"/>
        <w:lang w:eastAsia="fr-FR"/>
      </w:rPr>
      <w:fldChar w:fldCharType="separate"/>
    </w:r>
    <w:r w:rsidR="00E139A8" w:rsidRPr="00E139A8">
      <w:rPr>
        <w:rFonts w:ascii="Arial" w:hAnsi="Arial"/>
        <w:b/>
        <w:noProof/>
        <w:sz w:val="16"/>
        <w:szCs w:val="16"/>
        <w:lang w:val="de-DE" w:eastAsia="fr-FR"/>
      </w:rPr>
      <w:t>106</w:t>
    </w:r>
    <w:r w:rsidRPr="00A17F1F">
      <w:rPr>
        <w:rFonts w:ascii="Arial" w:hAnsi="Arial"/>
        <w:sz w:val="16"/>
        <w:szCs w:val="16"/>
        <w:lang w:eastAsia="fr-FR"/>
      </w:rPr>
      <w:fldChar w:fldCharType="end"/>
    </w:r>
  </w:p>
  <w:p w:rsidR="00AA4416" w:rsidRPr="00A95C54" w:rsidRDefault="00AA4416" w:rsidP="00973598">
    <w:pPr>
      <w:rPr>
        <w:lang w:val="de-DE"/>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4416" w:rsidRPr="00A95C54" w:rsidRDefault="00AA4416" w:rsidP="00973598">
    <w:pPr>
      <w:spacing w:line="240" w:lineRule="auto"/>
      <w:rPr>
        <w:lang w:val="de-DE"/>
      </w:rPr>
    </w:pPr>
    <w:r>
      <w:rPr>
        <w:rFonts w:ascii="Arial" w:hAnsi="Arial"/>
        <w:sz w:val="16"/>
        <w:szCs w:val="16"/>
        <w:lang w:val="de-DE" w:eastAsia="fr-FR"/>
      </w:rPr>
      <w:t>CCNR-ZKR/ADN/45</w:t>
    </w:r>
    <w:r w:rsidRPr="00A95C54">
      <w:rPr>
        <w:rFonts w:ascii="Arial" w:hAnsi="Arial"/>
        <w:sz w:val="16"/>
        <w:szCs w:val="16"/>
        <w:lang w:val="de-DE" w:eastAsia="fr-FR"/>
      </w:rPr>
      <w:br/>
      <w:t xml:space="preserve">Seite </w:t>
    </w:r>
    <w:r w:rsidRPr="00A17F1F">
      <w:rPr>
        <w:rFonts w:ascii="Arial" w:hAnsi="Arial"/>
        <w:sz w:val="16"/>
        <w:szCs w:val="16"/>
        <w:lang w:eastAsia="fr-FR"/>
      </w:rPr>
      <w:fldChar w:fldCharType="begin"/>
    </w:r>
    <w:r w:rsidRPr="00A95C54">
      <w:rPr>
        <w:rFonts w:ascii="Arial" w:hAnsi="Arial"/>
        <w:sz w:val="16"/>
        <w:szCs w:val="16"/>
        <w:lang w:val="de-DE" w:eastAsia="fr-FR"/>
      </w:rPr>
      <w:instrText xml:space="preserve"> PAGE  \* MERGEFORMAT </w:instrText>
    </w:r>
    <w:r w:rsidRPr="00A17F1F">
      <w:rPr>
        <w:rFonts w:ascii="Arial" w:hAnsi="Arial"/>
        <w:sz w:val="16"/>
        <w:szCs w:val="16"/>
        <w:lang w:eastAsia="fr-FR"/>
      </w:rPr>
      <w:fldChar w:fldCharType="separate"/>
    </w:r>
    <w:r w:rsidR="00E139A8" w:rsidRPr="00E139A8">
      <w:rPr>
        <w:rFonts w:ascii="Arial" w:hAnsi="Arial"/>
        <w:b/>
        <w:noProof/>
        <w:sz w:val="16"/>
        <w:szCs w:val="16"/>
        <w:lang w:val="de-DE" w:eastAsia="fr-FR"/>
      </w:rPr>
      <w:t>107</w:t>
    </w:r>
    <w:r w:rsidRPr="00A17F1F">
      <w:rPr>
        <w:rFonts w:ascii="Arial" w:hAnsi="Arial"/>
        <w:sz w:val="16"/>
        <w:szCs w:val="16"/>
        <w:lang w:eastAsia="fr-FR"/>
      </w:rPr>
      <w:fldChar w:fldCharType="end"/>
    </w:r>
  </w:p>
  <w:p w:rsidR="00AA4416" w:rsidRPr="00A95C54" w:rsidRDefault="00AA4416" w:rsidP="00973598">
    <w:pPr>
      <w:rPr>
        <w:lang w:val="de-DE"/>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4416" w:rsidRDefault="00AA4416" w:rsidP="00973598">
    <w:pPr>
      <w:pStyle w:val="Header"/>
      <w:jc w:val="right"/>
    </w:pPr>
    <w:r>
      <w:t>ST/SG/AC.10/44/Add.1</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4416" w:rsidRPr="0059779F" w:rsidRDefault="00AA4416" w:rsidP="0099605D">
    <w:pPr>
      <w:spacing w:line="240" w:lineRule="auto"/>
      <w:rPr>
        <w:rFonts w:ascii="Arial" w:hAnsi="Arial"/>
        <w:sz w:val="16"/>
        <w:szCs w:val="16"/>
        <w:lang w:val="de-DE" w:eastAsia="fr-FR"/>
      </w:rPr>
    </w:pPr>
    <w:r w:rsidRPr="00A95C54">
      <w:rPr>
        <w:rFonts w:ascii="Arial" w:hAnsi="Arial"/>
        <w:sz w:val="16"/>
        <w:szCs w:val="16"/>
        <w:lang w:val="de-DE" w:eastAsia="fr-FR"/>
      </w:rPr>
      <w:t>CCNR-ZKR/ADN/</w:t>
    </w:r>
    <w:r>
      <w:rPr>
        <w:rFonts w:ascii="Arial" w:hAnsi="Arial"/>
        <w:sz w:val="16"/>
        <w:szCs w:val="16"/>
        <w:lang w:val="de-DE" w:eastAsia="fr-FR"/>
      </w:rPr>
      <w:t>45</w:t>
    </w:r>
  </w:p>
  <w:p w:rsidR="00AA4416" w:rsidRPr="001D6D76" w:rsidRDefault="00AA4416" w:rsidP="0099605D">
    <w:pPr>
      <w:spacing w:line="240" w:lineRule="auto"/>
    </w:pPr>
    <w:r w:rsidRPr="00B807DD">
      <w:rPr>
        <w:rFonts w:ascii="Arial" w:hAnsi="Arial"/>
        <w:sz w:val="16"/>
        <w:szCs w:val="16"/>
        <w:lang w:val="de-DE" w:eastAsia="fr-FR"/>
      </w:rPr>
      <w:t xml:space="preserve">Seite </w:t>
    </w:r>
    <w:r w:rsidRPr="00A17F1F">
      <w:rPr>
        <w:rFonts w:ascii="Arial" w:hAnsi="Arial"/>
        <w:sz w:val="16"/>
        <w:szCs w:val="16"/>
        <w:lang w:eastAsia="fr-FR"/>
      </w:rPr>
      <w:fldChar w:fldCharType="begin"/>
    </w:r>
    <w:r w:rsidRPr="00A17F1F">
      <w:rPr>
        <w:rFonts w:ascii="Arial" w:hAnsi="Arial"/>
        <w:sz w:val="16"/>
        <w:szCs w:val="16"/>
        <w:lang w:eastAsia="fr-FR"/>
      </w:rPr>
      <w:instrText xml:space="preserve"> PAGE  \* MERGEFORMAT </w:instrText>
    </w:r>
    <w:r w:rsidRPr="00A17F1F">
      <w:rPr>
        <w:rFonts w:ascii="Arial" w:hAnsi="Arial"/>
        <w:sz w:val="16"/>
        <w:szCs w:val="16"/>
        <w:lang w:eastAsia="fr-FR"/>
      </w:rPr>
      <w:fldChar w:fldCharType="separate"/>
    </w:r>
    <w:r w:rsidR="00E139A8" w:rsidRPr="00E139A8">
      <w:rPr>
        <w:rFonts w:ascii="Arial" w:hAnsi="Arial"/>
        <w:b/>
        <w:noProof/>
        <w:sz w:val="16"/>
        <w:szCs w:val="16"/>
        <w:lang w:eastAsia="fr-FR"/>
      </w:rPr>
      <w:t>146</w:t>
    </w:r>
    <w:r w:rsidRPr="00A17F1F">
      <w:rPr>
        <w:rFonts w:ascii="Arial" w:hAnsi="Arial"/>
        <w:sz w:val="16"/>
        <w:szCs w:val="16"/>
        <w:lang w:eastAsia="fr-FR"/>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4416" w:rsidRPr="0059779F" w:rsidRDefault="00AA4416" w:rsidP="0099605D">
    <w:pPr>
      <w:spacing w:line="240" w:lineRule="auto"/>
      <w:jc w:val="right"/>
      <w:rPr>
        <w:rFonts w:ascii="Arial" w:eastAsia="Arial" w:hAnsi="Arial" w:cs="Arial"/>
        <w:bCs/>
        <w:sz w:val="16"/>
        <w:szCs w:val="16"/>
        <w:lang w:val="de-DE" w:eastAsia="de-DE"/>
      </w:rPr>
    </w:pPr>
    <w:r w:rsidRPr="0059779F">
      <w:rPr>
        <w:rFonts w:ascii="Arial" w:eastAsia="Arial" w:hAnsi="Arial" w:cs="Arial"/>
        <w:bCs/>
        <w:sz w:val="16"/>
        <w:szCs w:val="16"/>
        <w:lang w:val="de-DE" w:eastAsia="de-DE"/>
      </w:rPr>
      <w:t>CCNR-ZKR/ADN/</w:t>
    </w:r>
    <w:r>
      <w:rPr>
        <w:rFonts w:ascii="Arial" w:eastAsia="Arial" w:hAnsi="Arial" w:cs="Arial"/>
        <w:bCs/>
        <w:sz w:val="16"/>
        <w:szCs w:val="16"/>
        <w:lang w:val="de-DE" w:eastAsia="de-DE"/>
      </w:rPr>
      <w:t>45</w:t>
    </w:r>
  </w:p>
  <w:p w:rsidR="00AA4416" w:rsidRPr="001D6D76" w:rsidRDefault="00AA4416" w:rsidP="0099605D">
    <w:pPr>
      <w:spacing w:line="240" w:lineRule="auto"/>
      <w:jc w:val="right"/>
    </w:pPr>
    <w:r w:rsidRPr="00A17F1F">
      <w:rPr>
        <w:rFonts w:ascii="Arial" w:hAnsi="Arial"/>
        <w:sz w:val="16"/>
        <w:szCs w:val="16"/>
        <w:lang w:eastAsia="fr-FR"/>
      </w:rPr>
      <w:t xml:space="preserve">Seite </w:t>
    </w:r>
    <w:r w:rsidRPr="00A17F1F">
      <w:rPr>
        <w:rFonts w:ascii="Arial" w:hAnsi="Arial"/>
        <w:sz w:val="16"/>
        <w:szCs w:val="16"/>
        <w:lang w:eastAsia="fr-FR"/>
      </w:rPr>
      <w:fldChar w:fldCharType="begin"/>
    </w:r>
    <w:r w:rsidRPr="00A17F1F">
      <w:rPr>
        <w:rFonts w:ascii="Arial" w:hAnsi="Arial"/>
        <w:sz w:val="16"/>
        <w:szCs w:val="16"/>
        <w:lang w:eastAsia="fr-FR"/>
      </w:rPr>
      <w:instrText xml:space="preserve"> PAGE  \* MERGEFORMAT </w:instrText>
    </w:r>
    <w:r w:rsidRPr="00A17F1F">
      <w:rPr>
        <w:rFonts w:ascii="Arial" w:hAnsi="Arial"/>
        <w:sz w:val="16"/>
        <w:szCs w:val="16"/>
        <w:lang w:eastAsia="fr-FR"/>
      </w:rPr>
      <w:fldChar w:fldCharType="separate"/>
    </w:r>
    <w:r w:rsidR="00E139A8" w:rsidRPr="00E139A8">
      <w:rPr>
        <w:rFonts w:ascii="Arial" w:hAnsi="Arial"/>
        <w:b/>
        <w:noProof/>
        <w:sz w:val="16"/>
        <w:szCs w:val="16"/>
        <w:lang w:eastAsia="fr-FR"/>
      </w:rPr>
      <w:t>145</w:t>
    </w:r>
    <w:r w:rsidRPr="00A17F1F">
      <w:rPr>
        <w:rFonts w:ascii="Arial" w:hAnsi="Arial"/>
        <w:sz w:val="16"/>
        <w:szCs w:val="16"/>
        <w:lang w:eastAsia="fr-FR"/>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4416" w:rsidRPr="0059779F" w:rsidRDefault="00AA4416" w:rsidP="002C5E76">
    <w:pPr>
      <w:spacing w:line="240" w:lineRule="auto"/>
      <w:rPr>
        <w:rFonts w:ascii="Arial" w:eastAsia="Arial" w:hAnsi="Arial" w:cs="Arial"/>
        <w:bCs/>
        <w:sz w:val="16"/>
        <w:szCs w:val="16"/>
        <w:lang w:val="de-DE" w:eastAsia="de-DE"/>
      </w:rPr>
    </w:pPr>
    <w:r w:rsidRPr="0059779F">
      <w:rPr>
        <w:rFonts w:ascii="Arial" w:eastAsia="Arial" w:hAnsi="Arial" w:cs="Arial"/>
        <w:bCs/>
        <w:sz w:val="16"/>
        <w:szCs w:val="16"/>
        <w:lang w:val="de-DE" w:eastAsia="de-DE"/>
      </w:rPr>
      <w:t>CCNR-ZKR/ADN/</w:t>
    </w:r>
    <w:r>
      <w:rPr>
        <w:rFonts w:ascii="Arial" w:eastAsia="Arial" w:hAnsi="Arial" w:cs="Arial"/>
        <w:bCs/>
        <w:sz w:val="16"/>
        <w:szCs w:val="16"/>
        <w:lang w:val="de-DE" w:eastAsia="de-DE"/>
      </w:rPr>
      <w:t>45</w:t>
    </w:r>
  </w:p>
  <w:p w:rsidR="00AA4416" w:rsidRPr="009F66E5" w:rsidRDefault="00AA4416" w:rsidP="002C5E76">
    <w:pPr>
      <w:pStyle w:val="Header"/>
      <w:pBdr>
        <w:bottom w:val="none" w:sz="0" w:space="0" w:color="auto"/>
      </w:pBdr>
    </w:pPr>
    <w:r w:rsidRPr="00A17F1F">
      <w:rPr>
        <w:rFonts w:ascii="Arial" w:hAnsi="Arial"/>
        <w:sz w:val="16"/>
        <w:szCs w:val="16"/>
        <w:lang w:eastAsia="fr-FR"/>
      </w:rPr>
      <w:t xml:space="preserve">Seite </w:t>
    </w:r>
    <w:r w:rsidRPr="00A17F1F">
      <w:rPr>
        <w:rFonts w:ascii="Arial" w:hAnsi="Arial"/>
        <w:sz w:val="16"/>
        <w:szCs w:val="16"/>
        <w:lang w:eastAsia="fr-FR"/>
      </w:rPr>
      <w:fldChar w:fldCharType="begin"/>
    </w:r>
    <w:r w:rsidRPr="00A17F1F">
      <w:rPr>
        <w:rFonts w:ascii="Arial" w:hAnsi="Arial"/>
        <w:sz w:val="16"/>
        <w:szCs w:val="16"/>
        <w:lang w:eastAsia="fr-FR"/>
      </w:rPr>
      <w:instrText xml:space="preserve"> PAGE  \* MERGEFORMAT </w:instrText>
    </w:r>
    <w:r w:rsidRPr="00A17F1F">
      <w:rPr>
        <w:rFonts w:ascii="Arial" w:hAnsi="Arial"/>
        <w:sz w:val="16"/>
        <w:szCs w:val="16"/>
        <w:lang w:eastAsia="fr-FR"/>
      </w:rPr>
      <w:fldChar w:fldCharType="separate"/>
    </w:r>
    <w:r w:rsidR="00E139A8">
      <w:rPr>
        <w:rFonts w:ascii="Arial" w:hAnsi="Arial"/>
        <w:noProof/>
        <w:sz w:val="16"/>
        <w:szCs w:val="16"/>
        <w:lang w:eastAsia="fr-FR"/>
      </w:rPr>
      <w:t>154</w:t>
    </w:r>
    <w:r w:rsidRPr="00A17F1F">
      <w:rPr>
        <w:rFonts w:ascii="Arial" w:hAnsi="Arial"/>
        <w:sz w:val="16"/>
        <w:szCs w:val="16"/>
        <w:lang w:eastAsia="fr-F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4416" w:rsidRPr="009F66E5" w:rsidRDefault="00AA4416" w:rsidP="009F66E5">
    <w:pPr>
      <w:spacing w:line="240" w:lineRule="auto"/>
      <w:jc w:val="right"/>
      <w:rPr>
        <w:lang w:val="de-DE"/>
      </w:rPr>
    </w:pPr>
    <w:r w:rsidRPr="009F66E5">
      <w:rPr>
        <w:rFonts w:ascii="Arial" w:hAnsi="Arial"/>
        <w:sz w:val="16"/>
        <w:szCs w:val="16"/>
        <w:lang w:val="de-DE" w:eastAsia="fr-FR"/>
      </w:rPr>
      <w:t>CCNR-ZKR/ADN/</w:t>
    </w:r>
    <w:r>
      <w:rPr>
        <w:rFonts w:ascii="Arial" w:hAnsi="Arial"/>
        <w:sz w:val="16"/>
        <w:szCs w:val="16"/>
        <w:lang w:val="de-DE" w:eastAsia="fr-FR"/>
      </w:rPr>
      <w:t>45</w:t>
    </w:r>
    <w:r w:rsidRPr="009F66E5">
      <w:rPr>
        <w:rFonts w:ascii="Arial" w:hAnsi="Arial"/>
        <w:sz w:val="16"/>
        <w:szCs w:val="16"/>
        <w:lang w:val="de-DE" w:eastAsia="fr-FR"/>
      </w:rPr>
      <w:br/>
      <w:t xml:space="preserve">Seite </w:t>
    </w:r>
    <w:r w:rsidRPr="00A17F1F">
      <w:rPr>
        <w:rFonts w:ascii="Arial" w:hAnsi="Arial"/>
        <w:sz w:val="16"/>
        <w:szCs w:val="16"/>
        <w:lang w:eastAsia="fr-FR"/>
      </w:rPr>
      <w:fldChar w:fldCharType="begin"/>
    </w:r>
    <w:r w:rsidRPr="009F66E5">
      <w:rPr>
        <w:rFonts w:ascii="Arial" w:hAnsi="Arial"/>
        <w:sz w:val="16"/>
        <w:szCs w:val="16"/>
        <w:lang w:val="de-DE" w:eastAsia="fr-FR"/>
      </w:rPr>
      <w:instrText xml:space="preserve"> PAGE  \* MERGEFORMAT </w:instrText>
    </w:r>
    <w:r w:rsidRPr="00A17F1F">
      <w:rPr>
        <w:rFonts w:ascii="Arial" w:hAnsi="Arial"/>
        <w:sz w:val="16"/>
        <w:szCs w:val="16"/>
        <w:lang w:eastAsia="fr-FR"/>
      </w:rPr>
      <w:fldChar w:fldCharType="separate"/>
    </w:r>
    <w:r w:rsidR="00971B7A" w:rsidRPr="00971B7A">
      <w:rPr>
        <w:rFonts w:ascii="Arial" w:hAnsi="Arial"/>
        <w:b/>
        <w:noProof/>
        <w:sz w:val="16"/>
        <w:szCs w:val="16"/>
        <w:lang w:val="de-DE" w:eastAsia="fr-FR"/>
      </w:rPr>
      <w:t>3</w:t>
    </w:r>
    <w:r w:rsidRPr="00A17F1F">
      <w:rPr>
        <w:rFonts w:ascii="Arial" w:hAnsi="Arial"/>
        <w:sz w:val="16"/>
        <w:szCs w:val="16"/>
        <w:lang w:eastAsia="fr-F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4416" w:rsidRPr="00913C98" w:rsidRDefault="00AA4416" w:rsidP="00913C98">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4416" w:rsidRPr="00BA4A5E" w:rsidRDefault="00AA4416" w:rsidP="00BA4A5E">
    <w:pPr>
      <w:spacing w:line="240" w:lineRule="auto"/>
      <w:rPr>
        <w:rFonts w:ascii="Arial" w:hAnsi="Arial"/>
        <w:bCs/>
        <w:sz w:val="16"/>
        <w:szCs w:val="16"/>
        <w:lang w:val="de-DE" w:eastAsia="fr-FR"/>
      </w:rPr>
    </w:pPr>
    <w:r>
      <w:rPr>
        <w:rFonts w:ascii="Arial" w:hAnsi="Arial"/>
        <w:bCs/>
        <w:sz w:val="16"/>
        <w:szCs w:val="16"/>
        <w:lang w:val="de-DE" w:eastAsia="fr-FR"/>
      </w:rPr>
      <w:t>CCNR-ZKR/ADN/45</w:t>
    </w:r>
  </w:p>
  <w:p w:rsidR="00AA4416" w:rsidRDefault="00AA4416" w:rsidP="008E78A9">
    <w:pPr>
      <w:spacing w:line="240" w:lineRule="auto"/>
    </w:pPr>
    <w:r w:rsidRPr="00A17F1F">
      <w:rPr>
        <w:rFonts w:ascii="Arial" w:hAnsi="Arial"/>
        <w:sz w:val="16"/>
        <w:szCs w:val="16"/>
        <w:lang w:eastAsia="fr-FR"/>
      </w:rPr>
      <w:t xml:space="preserve">Seite </w:t>
    </w:r>
    <w:r w:rsidRPr="00A17F1F">
      <w:rPr>
        <w:rFonts w:ascii="Arial" w:hAnsi="Arial"/>
        <w:sz w:val="16"/>
        <w:szCs w:val="16"/>
        <w:lang w:eastAsia="fr-FR"/>
      </w:rPr>
      <w:fldChar w:fldCharType="begin"/>
    </w:r>
    <w:r w:rsidRPr="00A17F1F">
      <w:rPr>
        <w:rFonts w:ascii="Arial" w:hAnsi="Arial"/>
        <w:sz w:val="16"/>
        <w:szCs w:val="16"/>
        <w:lang w:eastAsia="fr-FR"/>
      </w:rPr>
      <w:instrText xml:space="preserve"> PAGE  \* MERGEFORMAT </w:instrText>
    </w:r>
    <w:r w:rsidRPr="00A17F1F">
      <w:rPr>
        <w:rFonts w:ascii="Arial" w:hAnsi="Arial"/>
        <w:sz w:val="16"/>
        <w:szCs w:val="16"/>
        <w:lang w:eastAsia="fr-FR"/>
      </w:rPr>
      <w:fldChar w:fldCharType="separate"/>
    </w:r>
    <w:r w:rsidR="00E139A8" w:rsidRPr="00E139A8">
      <w:rPr>
        <w:rFonts w:ascii="Arial" w:hAnsi="Arial"/>
        <w:b/>
        <w:noProof/>
        <w:sz w:val="16"/>
        <w:szCs w:val="16"/>
        <w:lang w:eastAsia="fr-FR"/>
      </w:rPr>
      <w:t>16</w:t>
    </w:r>
    <w:r w:rsidRPr="00A17F1F">
      <w:rPr>
        <w:rFonts w:ascii="Arial" w:hAnsi="Arial"/>
        <w:sz w:val="16"/>
        <w:szCs w:val="16"/>
        <w:lang w:eastAsia="fr-FR"/>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4416" w:rsidRPr="0012310B" w:rsidRDefault="00AA4416" w:rsidP="00E941A1">
    <w:pPr>
      <w:spacing w:line="240" w:lineRule="auto"/>
      <w:rPr>
        <w:rFonts w:ascii="Arial" w:eastAsia="SimSun" w:hAnsi="Arial"/>
        <w:sz w:val="16"/>
        <w:szCs w:val="16"/>
        <w:lang w:val="de-DE" w:eastAsia="zh-CN"/>
      </w:rPr>
    </w:pPr>
    <w:r>
      <w:rPr>
        <w:rFonts w:ascii="Arial" w:eastAsia="SimSun" w:hAnsi="Arial"/>
        <w:sz w:val="16"/>
        <w:szCs w:val="16"/>
        <w:lang w:val="de-DE" w:eastAsia="zh-CN"/>
      </w:rPr>
      <w:t>CCNR-ZKR/ADN/AG_Sprache/2018/7 rev.3</w:t>
    </w:r>
  </w:p>
  <w:p w:rsidR="00AA4416" w:rsidRPr="00701E41" w:rsidRDefault="00AA4416" w:rsidP="00E941A1">
    <w:pPr>
      <w:pStyle w:val="Header"/>
      <w:pBdr>
        <w:bottom w:val="none" w:sz="0" w:space="0" w:color="auto"/>
      </w:pBdr>
    </w:pPr>
    <w:r w:rsidRPr="0012310B">
      <w:rPr>
        <w:rFonts w:ascii="Arial" w:eastAsia="SimSun" w:hAnsi="Arial"/>
        <w:b w:val="0"/>
        <w:sz w:val="16"/>
        <w:szCs w:val="16"/>
        <w:lang w:val="de-DE" w:eastAsia="zh-CN"/>
      </w:rPr>
      <w:t xml:space="preserve">Seite </w:t>
    </w:r>
    <w:r w:rsidRPr="006457D0">
      <w:rPr>
        <w:rFonts w:ascii="Arial" w:eastAsia="SimSun" w:hAnsi="Arial"/>
        <w:b w:val="0"/>
        <w:sz w:val="16"/>
        <w:szCs w:val="16"/>
        <w:lang w:eastAsia="zh-CN"/>
      </w:rPr>
      <w:fldChar w:fldCharType="begin"/>
    </w:r>
    <w:r w:rsidRPr="006457D0">
      <w:rPr>
        <w:rFonts w:ascii="Arial" w:eastAsia="SimSun" w:hAnsi="Arial"/>
        <w:b w:val="0"/>
        <w:sz w:val="16"/>
        <w:szCs w:val="16"/>
        <w:lang w:eastAsia="zh-CN"/>
      </w:rPr>
      <w:instrText xml:space="preserve"> PAGE  \* MERGEFORMAT </w:instrText>
    </w:r>
    <w:r w:rsidRPr="006457D0">
      <w:rPr>
        <w:rFonts w:ascii="Arial" w:eastAsia="SimSun" w:hAnsi="Arial"/>
        <w:b w:val="0"/>
        <w:sz w:val="16"/>
        <w:szCs w:val="16"/>
        <w:lang w:eastAsia="zh-CN"/>
      </w:rPr>
      <w:fldChar w:fldCharType="separate"/>
    </w:r>
    <w:r w:rsidR="00E139A8">
      <w:rPr>
        <w:rFonts w:ascii="Arial" w:eastAsia="SimSun" w:hAnsi="Arial"/>
        <w:b w:val="0"/>
        <w:noProof/>
        <w:sz w:val="16"/>
        <w:szCs w:val="16"/>
        <w:lang w:eastAsia="zh-CN"/>
      </w:rPr>
      <w:t>64</w:t>
    </w:r>
    <w:r w:rsidRPr="006457D0">
      <w:rPr>
        <w:rFonts w:ascii="Arial" w:eastAsia="SimSun" w:hAnsi="Arial"/>
        <w:b w:val="0"/>
        <w:sz w:val="16"/>
        <w:szCs w:val="16"/>
        <w:lang w:eastAsia="zh-CN"/>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4416" w:rsidRPr="0012310B" w:rsidRDefault="00AA4416" w:rsidP="00E941A1">
    <w:pPr>
      <w:spacing w:line="240" w:lineRule="auto"/>
      <w:jc w:val="right"/>
      <w:rPr>
        <w:rFonts w:ascii="Arial" w:eastAsia="SimSun" w:hAnsi="Arial"/>
        <w:sz w:val="16"/>
        <w:szCs w:val="16"/>
        <w:lang w:val="de-DE" w:eastAsia="zh-CN"/>
      </w:rPr>
    </w:pPr>
    <w:r>
      <w:rPr>
        <w:rFonts w:ascii="Arial" w:eastAsia="SimSun" w:hAnsi="Arial"/>
        <w:sz w:val="16"/>
        <w:szCs w:val="16"/>
        <w:lang w:val="de-DE" w:eastAsia="zh-CN"/>
      </w:rPr>
      <w:t>CCNR-ZKR/ADN/AG_Sprache/2018/7 rev. 4</w:t>
    </w:r>
  </w:p>
  <w:p w:rsidR="00AA4416" w:rsidRPr="00701E41" w:rsidRDefault="00AA4416" w:rsidP="00E941A1">
    <w:pPr>
      <w:pStyle w:val="Header"/>
      <w:pBdr>
        <w:bottom w:val="none" w:sz="0" w:space="0" w:color="auto"/>
      </w:pBdr>
      <w:jc w:val="right"/>
    </w:pPr>
    <w:r w:rsidRPr="0012310B">
      <w:rPr>
        <w:rFonts w:ascii="Arial" w:eastAsia="SimSun" w:hAnsi="Arial"/>
        <w:b w:val="0"/>
        <w:sz w:val="16"/>
        <w:szCs w:val="16"/>
        <w:lang w:val="de-DE" w:eastAsia="zh-CN"/>
      </w:rPr>
      <w:t xml:space="preserve">Seite </w:t>
    </w:r>
    <w:r w:rsidRPr="006457D0">
      <w:rPr>
        <w:rFonts w:ascii="Arial" w:eastAsia="SimSun" w:hAnsi="Arial"/>
        <w:b w:val="0"/>
        <w:sz w:val="16"/>
        <w:szCs w:val="16"/>
        <w:lang w:eastAsia="zh-CN"/>
      </w:rPr>
      <w:fldChar w:fldCharType="begin"/>
    </w:r>
    <w:r w:rsidRPr="006457D0">
      <w:rPr>
        <w:rFonts w:ascii="Arial" w:eastAsia="SimSun" w:hAnsi="Arial"/>
        <w:b w:val="0"/>
        <w:sz w:val="16"/>
        <w:szCs w:val="16"/>
        <w:lang w:eastAsia="zh-CN"/>
      </w:rPr>
      <w:instrText xml:space="preserve"> PAGE  \* MERGEFORMAT </w:instrText>
    </w:r>
    <w:r w:rsidRPr="006457D0">
      <w:rPr>
        <w:rFonts w:ascii="Arial" w:eastAsia="SimSun" w:hAnsi="Arial"/>
        <w:b w:val="0"/>
        <w:sz w:val="16"/>
        <w:szCs w:val="16"/>
        <w:lang w:eastAsia="zh-CN"/>
      </w:rPr>
      <w:fldChar w:fldCharType="separate"/>
    </w:r>
    <w:r w:rsidR="00103305">
      <w:rPr>
        <w:rFonts w:ascii="Arial" w:eastAsia="SimSun" w:hAnsi="Arial"/>
        <w:b w:val="0"/>
        <w:noProof/>
        <w:sz w:val="16"/>
        <w:szCs w:val="16"/>
        <w:lang w:eastAsia="zh-CN"/>
      </w:rPr>
      <w:t>67</w:t>
    </w:r>
    <w:r w:rsidRPr="006457D0">
      <w:rPr>
        <w:rFonts w:ascii="Arial" w:eastAsia="SimSun" w:hAnsi="Arial"/>
        <w:b w:val="0"/>
        <w:sz w:val="16"/>
        <w:szCs w:val="16"/>
        <w:lang w:eastAsia="zh-CN"/>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4416" w:rsidRPr="00E159BE" w:rsidRDefault="00AA4416" w:rsidP="00E941A1">
    <w:pPr>
      <w:spacing w:line="240" w:lineRule="auto"/>
      <w:rPr>
        <w:rFonts w:ascii="Arial" w:hAnsi="Arial"/>
        <w:sz w:val="16"/>
        <w:szCs w:val="16"/>
        <w:lang w:val="de-DE" w:eastAsia="fr-FR"/>
      </w:rPr>
    </w:pPr>
    <w:r>
      <w:rPr>
        <w:rFonts w:ascii="Arial" w:hAnsi="Arial"/>
        <w:sz w:val="16"/>
        <w:szCs w:val="16"/>
        <w:lang w:val="de-DE" w:eastAsia="fr-FR"/>
      </w:rPr>
      <w:t>CCNR-ZKR/ADN/45</w:t>
    </w:r>
  </w:p>
  <w:p w:rsidR="00AA4416" w:rsidRPr="00E159BE" w:rsidRDefault="00AA4416" w:rsidP="00E941A1">
    <w:pPr>
      <w:spacing w:line="240" w:lineRule="auto"/>
      <w:rPr>
        <w:lang w:val="de-DE"/>
      </w:rPr>
    </w:pPr>
    <w:r w:rsidRPr="00E159BE">
      <w:rPr>
        <w:rFonts w:ascii="Arial" w:hAnsi="Arial"/>
        <w:sz w:val="16"/>
        <w:szCs w:val="16"/>
        <w:lang w:val="de-DE" w:eastAsia="fr-FR"/>
      </w:rPr>
      <w:t xml:space="preserve">Seite </w:t>
    </w:r>
    <w:r w:rsidRPr="00A17F1F">
      <w:rPr>
        <w:rFonts w:ascii="Arial" w:hAnsi="Arial"/>
        <w:sz w:val="16"/>
        <w:szCs w:val="16"/>
        <w:lang w:eastAsia="fr-FR"/>
      </w:rPr>
      <w:fldChar w:fldCharType="begin"/>
    </w:r>
    <w:r w:rsidRPr="00E159BE">
      <w:rPr>
        <w:rFonts w:ascii="Arial" w:hAnsi="Arial"/>
        <w:sz w:val="16"/>
        <w:szCs w:val="16"/>
        <w:lang w:val="de-DE" w:eastAsia="fr-FR"/>
      </w:rPr>
      <w:instrText xml:space="preserve"> PAGE  \* MERGEFORMAT </w:instrText>
    </w:r>
    <w:r w:rsidRPr="00A17F1F">
      <w:rPr>
        <w:rFonts w:ascii="Arial" w:hAnsi="Arial"/>
        <w:sz w:val="16"/>
        <w:szCs w:val="16"/>
        <w:lang w:eastAsia="fr-FR"/>
      </w:rPr>
      <w:fldChar w:fldCharType="separate"/>
    </w:r>
    <w:r w:rsidR="00E139A8" w:rsidRPr="00E139A8">
      <w:rPr>
        <w:rFonts w:ascii="Arial" w:hAnsi="Arial"/>
        <w:b/>
        <w:noProof/>
        <w:sz w:val="16"/>
        <w:szCs w:val="16"/>
        <w:lang w:val="de-DE" w:eastAsia="fr-FR"/>
      </w:rPr>
      <w:t>82</w:t>
    </w:r>
    <w:r w:rsidRPr="00A17F1F">
      <w:rPr>
        <w:rFonts w:ascii="Arial" w:hAnsi="Arial"/>
        <w:sz w:val="16"/>
        <w:szCs w:val="16"/>
        <w:lang w:eastAsia="fr-FR"/>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4416" w:rsidRDefault="00AA4416" w:rsidP="00E941A1">
    <w:pPr>
      <w:spacing w:line="240" w:lineRule="auto"/>
      <w:jc w:val="right"/>
      <w:rPr>
        <w:rFonts w:ascii="Arial" w:eastAsia="SimSun" w:hAnsi="Arial"/>
        <w:sz w:val="16"/>
        <w:szCs w:val="16"/>
        <w:lang w:val="de-DE" w:eastAsia="zh-CN"/>
      </w:rPr>
    </w:pPr>
    <w:r w:rsidRPr="0012310B">
      <w:rPr>
        <w:rFonts w:ascii="Arial" w:eastAsia="SimSun" w:hAnsi="Arial"/>
        <w:sz w:val="16"/>
        <w:szCs w:val="16"/>
        <w:lang w:val="de-DE" w:eastAsia="zh-CN"/>
      </w:rPr>
      <w:t>CCNR-ZKR/ADN/</w:t>
    </w:r>
    <w:r>
      <w:rPr>
        <w:rFonts w:ascii="Arial" w:eastAsia="SimSun" w:hAnsi="Arial"/>
        <w:sz w:val="16"/>
        <w:szCs w:val="16"/>
        <w:lang w:val="de-DE" w:eastAsia="zh-CN"/>
      </w:rPr>
      <w:t>45</w:t>
    </w:r>
  </w:p>
  <w:p w:rsidR="00AA4416" w:rsidRPr="00C24F76" w:rsidRDefault="00AA4416" w:rsidP="00E941A1">
    <w:pPr>
      <w:spacing w:line="240" w:lineRule="auto"/>
      <w:jc w:val="right"/>
    </w:pPr>
    <w:r w:rsidRPr="00A17F1F">
      <w:rPr>
        <w:rFonts w:ascii="Arial" w:hAnsi="Arial"/>
        <w:sz w:val="16"/>
        <w:szCs w:val="16"/>
        <w:lang w:eastAsia="fr-FR"/>
      </w:rPr>
      <w:t xml:space="preserve">Seite </w:t>
    </w:r>
    <w:r w:rsidRPr="00A17F1F">
      <w:rPr>
        <w:rFonts w:ascii="Arial" w:hAnsi="Arial"/>
        <w:sz w:val="16"/>
        <w:szCs w:val="16"/>
        <w:lang w:eastAsia="fr-FR"/>
      </w:rPr>
      <w:fldChar w:fldCharType="begin"/>
    </w:r>
    <w:r w:rsidRPr="00A17F1F">
      <w:rPr>
        <w:rFonts w:ascii="Arial" w:hAnsi="Arial"/>
        <w:sz w:val="16"/>
        <w:szCs w:val="16"/>
        <w:lang w:eastAsia="fr-FR"/>
      </w:rPr>
      <w:instrText xml:space="preserve"> PAGE  \* MERGEFORMAT </w:instrText>
    </w:r>
    <w:r w:rsidRPr="00A17F1F">
      <w:rPr>
        <w:rFonts w:ascii="Arial" w:hAnsi="Arial"/>
        <w:sz w:val="16"/>
        <w:szCs w:val="16"/>
        <w:lang w:eastAsia="fr-FR"/>
      </w:rPr>
      <w:fldChar w:fldCharType="separate"/>
    </w:r>
    <w:r w:rsidR="00E139A8" w:rsidRPr="00E139A8">
      <w:rPr>
        <w:rFonts w:ascii="Arial" w:hAnsi="Arial"/>
        <w:b/>
        <w:noProof/>
        <w:sz w:val="16"/>
        <w:szCs w:val="16"/>
        <w:lang w:eastAsia="fr-FR"/>
      </w:rPr>
      <w:t>81</w:t>
    </w:r>
    <w:r w:rsidRPr="00A17F1F">
      <w:rPr>
        <w:rFonts w:ascii="Arial" w:hAnsi="Arial"/>
        <w:sz w:val="16"/>
        <w:szCs w:val="16"/>
        <w:lang w:eastAsia="fr-FR"/>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4416" w:rsidRPr="00A95C54" w:rsidRDefault="00AA4416" w:rsidP="00973598">
    <w:pPr>
      <w:spacing w:line="240" w:lineRule="auto"/>
      <w:rPr>
        <w:lang w:val="de-DE"/>
      </w:rPr>
    </w:pPr>
    <w:r>
      <w:rPr>
        <w:rFonts w:ascii="Arial" w:hAnsi="Arial"/>
        <w:sz w:val="16"/>
        <w:szCs w:val="16"/>
        <w:lang w:val="de-DE" w:eastAsia="fr-FR"/>
      </w:rPr>
      <w:t>CCNR-ZKR/ADN/45</w:t>
    </w:r>
    <w:r w:rsidRPr="00A95C54">
      <w:rPr>
        <w:rFonts w:ascii="Arial" w:hAnsi="Arial"/>
        <w:sz w:val="16"/>
        <w:szCs w:val="16"/>
        <w:lang w:val="de-DE" w:eastAsia="fr-FR"/>
      </w:rPr>
      <w:br/>
      <w:t xml:space="preserve">Seite </w:t>
    </w:r>
    <w:r w:rsidRPr="00A17F1F">
      <w:rPr>
        <w:rFonts w:ascii="Arial" w:hAnsi="Arial"/>
        <w:sz w:val="16"/>
        <w:szCs w:val="16"/>
        <w:lang w:eastAsia="fr-FR"/>
      </w:rPr>
      <w:fldChar w:fldCharType="begin"/>
    </w:r>
    <w:r w:rsidRPr="00A95C54">
      <w:rPr>
        <w:rFonts w:ascii="Arial" w:hAnsi="Arial"/>
        <w:sz w:val="16"/>
        <w:szCs w:val="16"/>
        <w:lang w:val="de-DE" w:eastAsia="fr-FR"/>
      </w:rPr>
      <w:instrText xml:space="preserve"> PAGE  \* MERGEFORMAT </w:instrText>
    </w:r>
    <w:r w:rsidRPr="00A17F1F">
      <w:rPr>
        <w:rFonts w:ascii="Arial" w:hAnsi="Arial"/>
        <w:sz w:val="16"/>
        <w:szCs w:val="16"/>
        <w:lang w:eastAsia="fr-FR"/>
      </w:rPr>
      <w:fldChar w:fldCharType="separate"/>
    </w:r>
    <w:r w:rsidR="00E139A8" w:rsidRPr="00E139A8">
      <w:rPr>
        <w:rFonts w:ascii="Arial" w:hAnsi="Arial"/>
        <w:b/>
        <w:noProof/>
        <w:sz w:val="16"/>
        <w:szCs w:val="16"/>
        <w:lang w:val="de-DE" w:eastAsia="fr-FR"/>
      </w:rPr>
      <w:t>98</w:t>
    </w:r>
    <w:r w:rsidRPr="00A17F1F">
      <w:rPr>
        <w:rFonts w:ascii="Arial" w:hAnsi="Arial"/>
        <w:sz w:val="16"/>
        <w:szCs w:val="16"/>
        <w:lang w:eastAsia="fr-F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Heading9"/>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0A046EF1"/>
    <w:multiLevelType w:val="hybridMultilevel"/>
    <w:tmpl w:val="D5687AD6"/>
    <w:lvl w:ilvl="0" w:tplc="04070001">
      <w:start w:val="1"/>
      <w:numFmt w:val="bullet"/>
      <w:lvlText w:val=""/>
      <w:lvlJc w:val="left"/>
      <w:pPr>
        <w:ind w:left="1211" w:hanging="360"/>
      </w:pPr>
      <w:rPr>
        <w:rFonts w:ascii="Symbol" w:hAnsi="Symbol" w:hint="default"/>
      </w:rPr>
    </w:lvl>
    <w:lvl w:ilvl="1" w:tplc="04070019" w:tentative="1">
      <w:start w:val="1"/>
      <w:numFmt w:val="lowerLetter"/>
      <w:lvlText w:val="%2."/>
      <w:lvlJc w:val="left"/>
      <w:pPr>
        <w:ind w:left="1931" w:hanging="360"/>
      </w:pPr>
    </w:lvl>
    <w:lvl w:ilvl="2" w:tplc="0407001B" w:tentative="1">
      <w:start w:val="1"/>
      <w:numFmt w:val="lowerRoman"/>
      <w:lvlText w:val="%3."/>
      <w:lvlJc w:val="right"/>
      <w:pPr>
        <w:ind w:left="2651" w:hanging="180"/>
      </w:pPr>
    </w:lvl>
    <w:lvl w:ilvl="3" w:tplc="0407000F" w:tentative="1">
      <w:start w:val="1"/>
      <w:numFmt w:val="decimal"/>
      <w:lvlText w:val="%4."/>
      <w:lvlJc w:val="left"/>
      <w:pPr>
        <w:ind w:left="3371" w:hanging="360"/>
      </w:pPr>
    </w:lvl>
    <w:lvl w:ilvl="4" w:tplc="04070019" w:tentative="1">
      <w:start w:val="1"/>
      <w:numFmt w:val="lowerLetter"/>
      <w:lvlText w:val="%5."/>
      <w:lvlJc w:val="left"/>
      <w:pPr>
        <w:ind w:left="4091" w:hanging="360"/>
      </w:pPr>
    </w:lvl>
    <w:lvl w:ilvl="5" w:tplc="0407001B" w:tentative="1">
      <w:start w:val="1"/>
      <w:numFmt w:val="lowerRoman"/>
      <w:lvlText w:val="%6."/>
      <w:lvlJc w:val="right"/>
      <w:pPr>
        <w:ind w:left="4811" w:hanging="180"/>
      </w:pPr>
    </w:lvl>
    <w:lvl w:ilvl="6" w:tplc="0407000F" w:tentative="1">
      <w:start w:val="1"/>
      <w:numFmt w:val="decimal"/>
      <w:lvlText w:val="%7."/>
      <w:lvlJc w:val="left"/>
      <w:pPr>
        <w:ind w:left="5531" w:hanging="360"/>
      </w:pPr>
    </w:lvl>
    <w:lvl w:ilvl="7" w:tplc="04070019" w:tentative="1">
      <w:start w:val="1"/>
      <w:numFmt w:val="lowerLetter"/>
      <w:lvlText w:val="%8."/>
      <w:lvlJc w:val="left"/>
      <w:pPr>
        <w:ind w:left="6251" w:hanging="360"/>
      </w:pPr>
    </w:lvl>
    <w:lvl w:ilvl="8" w:tplc="0407001B" w:tentative="1">
      <w:start w:val="1"/>
      <w:numFmt w:val="lowerRoman"/>
      <w:lvlText w:val="%9."/>
      <w:lvlJc w:val="right"/>
      <w:pPr>
        <w:ind w:left="6971" w:hanging="180"/>
      </w:pPr>
    </w:lvl>
  </w:abstractNum>
  <w:abstractNum w:abstractNumId="12" w15:restartNumberingAfterBreak="0">
    <w:nsid w:val="0AB2782A"/>
    <w:multiLevelType w:val="hybridMultilevel"/>
    <w:tmpl w:val="46E07780"/>
    <w:lvl w:ilvl="0" w:tplc="DB98FACA">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3" w15:restartNumberingAfterBreak="0">
    <w:nsid w:val="0B591904"/>
    <w:multiLevelType w:val="hybridMultilevel"/>
    <w:tmpl w:val="D20EF0BC"/>
    <w:lvl w:ilvl="0" w:tplc="C1683BEE">
      <w:start w:val="14"/>
      <w:numFmt w:val="bullet"/>
      <w:lvlText w:val="-"/>
      <w:lvlJc w:val="left"/>
      <w:pPr>
        <w:ind w:left="720" w:hanging="360"/>
      </w:pPr>
      <w:rPr>
        <w:rFonts w:ascii="Arial" w:eastAsia="Times New Roman" w:hAnsi="Arial" w:cs="Aria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D2900BF"/>
    <w:multiLevelType w:val="hybridMultilevel"/>
    <w:tmpl w:val="2AB6DFA4"/>
    <w:lvl w:ilvl="0" w:tplc="FD24D58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13B35C05"/>
    <w:multiLevelType w:val="hybridMultilevel"/>
    <w:tmpl w:val="F73C58A4"/>
    <w:lvl w:ilvl="0" w:tplc="A02A05BA">
      <w:numFmt w:val="bullet"/>
      <w:lvlText w:val="-"/>
      <w:lvlJc w:val="left"/>
      <w:pPr>
        <w:ind w:left="2838" w:hanging="570"/>
      </w:pPr>
      <w:rPr>
        <w:rFonts w:ascii="Times New Roman" w:eastAsia="Times New Roman" w:hAnsi="Times New Roman" w:cs="Times New Roman"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17"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EE27ECF"/>
    <w:multiLevelType w:val="hybridMultilevel"/>
    <w:tmpl w:val="4866E918"/>
    <w:lvl w:ilvl="0" w:tplc="E3A6D302">
      <w:start w:val="5"/>
      <w:numFmt w:val="bullet"/>
      <w:lvlText w:val="-"/>
      <w:lvlJc w:val="left"/>
      <w:pPr>
        <w:ind w:left="2988" w:hanging="360"/>
      </w:pPr>
      <w:rPr>
        <w:rFonts w:ascii="Times New Roman" w:eastAsia="Times New Roman" w:hAnsi="Times New Roman" w:cs="Times New Roman" w:hint="default"/>
      </w:rPr>
    </w:lvl>
    <w:lvl w:ilvl="1" w:tplc="040C0003">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19" w15:restartNumberingAfterBreak="0">
    <w:nsid w:val="20871BCF"/>
    <w:multiLevelType w:val="hybridMultilevel"/>
    <w:tmpl w:val="275A1682"/>
    <w:lvl w:ilvl="0" w:tplc="41DE5E26">
      <w:start w:val="1"/>
      <w:numFmt w:val="bullet"/>
      <w:pStyle w:val="Bullet"/>
      <w:lvlText w:val=""/>
      <w:lvlJc w:val="left"/>
      <w:pPr>
        <w:tabs>
          <w:tab w:val="num" w:pos="-31680"/>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3A478CA"/>
    <w:multiLevelType w:val="hybridMultilevel"/>
    <w:tmpl w:val="89D40D8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2527143C"/>
    <w:multiLevelType w:val="hybridMultilevel"/>
    <w:tmpl w:val="F0EC56B0"/>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2" w15:restartNumberingAfterBreak="0">
    <w:nsid w:val="2B3F49C6"/>
    <w:multiLevelType w:val="singleLevel"/>
    <w:tmpl w:val="720CB540"/>
    <w:lvl w:ilvl="0">
      <w:start w:val="1"/>
      <w:numFmt w:val="lowerRoman"/>
      <w:pStyle w:val="Rom2"/>
      <w:lvlText w:val="(%1)"/>
      <w:lvlJc w:val="right"/>
      <w:pPr>
        <w:tabs>
          <w:tab w:val="num" w:pos="2160"/>
        </w:tabs>
        <w:ind w:left="2160" w:hanging="516"/>
      </w:pPr>
    </w:lvl>
  </w:abstractNum>
  <w:abstractNum w:abstractNumId="23" w15:restartNumberingAfterBreak="0">
    <w:nsid w:val="2D541F15"/>
    <w:multiLevelType w:val="hybridMultilevel"/>
    <w:tmpl w:val="34983152"/>
    <w:styleLink w:val="ArticleSection1"/>
    <w:lvl w:ilvl="0" w:tplc="023E744E">
      <w:start w:val="1"/>
      <w:numFmt w:val="decimal"/>
      <w:pStyle w:val="Nummerierung1"/>
      <w:lvlText w:val="%1."/>
      <w:lvlJc w:val="left"/>
      <w:pPr>
        <w:tabs>
          <w:tab w:val="num" w:pos="567"/>
        </w:tabs>
        <w:ind w:left="0" w:firstLine="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2F661D7D"/>
    <w:multiLevelType w:val="hybridMultilevel"/>
    <w:tmpl w:val="90B62274"/>
    <w:lvl w:ilvl="0" w:tplc="04070001">
      <w:start w:val="1"/>
      <w:numFmt w:val="bullet"/>
      <w:lvlText w:val=""/>
      <w:lvlJc w:val="left"/>
      <w:pPr>
        <w:ind w:left="1888" w:hanging="360"/>
      </w:pPr>
      <w:rPr>
        <w:rFonts w:ascii="Symbol" w:hAnsi="Symbol" w:hint="default"/>
      </w:rPr>
    </w:lvl>
    <w:lvl w:ilvl="1" w:tplc="04070003" w:tentative="1">
      <w:start w:val="1"/>
      <w:numFmt w:val="bullet"/>
      <w:lvlText w:val="o"/>
      <w:lvlJc w:val="left"/>
      <w:pPr>
        <w:ind w:left="2608" w:hanging="360"/>
      </w:pPr>
      <w:rPr>
        <w:rFonts w:ascii="Courier New" w:hAnsi="Courier New" w:cs="Courier New" w:hint="default"/>
      </w:rPr>
    </w:lvl>
    <w:lvl w:ilvl="2" w:tplc="04070005" w:tentative="1">
      <w:start w:val="1"/>
      <w:numFmt w:val="bullet"/>
      <w:lvlText w:val=""/>
      <w:lvlJc w:val="left"/>
      <w:pPr>
        <w:ind w:left="3328" w:hanging="360"/>
      </w:pPr>
      <w:rPr>
        <w:rFonts w:ascii="Wingdings" w:hAnsi="Wingdings" w:hint="default"/>
      </w:rPr>
    </w:lvl>
    <w:lvl w:ilvl="3" w:tplc="04070001" w:tentative="1">
      <w:start w:val="1"/>
      <w:numFmt w:val="bullet"/>
      <w:lvlText w:val=""/>
      <w:lvlJc w:val="left"/>
      <w:pPr>
        <w:ind w:left="4048" w:hanging="360"/>
      </w:pPr>
      <w:rPr>
        <w:rFonts w:ascii="Symbol" w:hAnsi="Symbol" w:hint="default"/>
      </w:rPr>
    </w:lvl>
    <w:lvl w:ilvl="4" w:tplc="04070003" w:tentative="1">
      <w:start w:val="1"/>
      <w:numFmt w:val="bullet"/>
      <w:lvlText w:val="o"/>
      <w:lvlJc w:val="left"/>
      <w:pPr>
        <w:ind w:left="4768" w:hanging="360"/>
      </w:pPr>
      <w:rPr>
        <w:rFonts w:ascii="Courier New" w:hAnsi="Courier New" w:cs="Courier New" w:hint="default"/>
      </w:rPr>
    </w:lvl>
    <w:lvl w:ilvl="5" w:tplc="04070005" w:tentative="1">
      <w:start w:val="1"/>
      <w:numFmt w:val="bullet"/>
      <w:lvlText w:val=""/>
      <w:lvlJc w:val="left"/>
      <w:pPr>
        <w:ind w:left="5488" w:hanging="360"/>
      </w:pPr>
      <w:rPr>
        <w:rFonts w:ascii="Wingdings" w:hAnsi="Wingdings" w:hint="default"/>
      </w:rPr>
    </w:lvl>
    <w:lvl w:ilvl="6" w:tplc="04070001" w:tentative="1">
      <w:start w:val="1"/>
      <w:numFmt w:val="bullet"/>
      <w:lvlText w:val=""/>
      <w:lvlJc w:val="left"/>
      <w:pPr>
        <w:ind w:left="6208" w:hanging="360"/>
      </w:pPr>
      <w:rPr>
        <w:rFonts w:ascii="Symbol" w:hAnsi="Symbol" w:hint="default"/>
      </w:rPr>
    </w:lvl>
    <w:lvl w:ilvl="7" w:tplc="04070003" w:tentative="1">
      <w:start w:val="1"/>
      <w:numFmt w:val="bullet"/>
      <w:lvlText w:val="o"/>
      <w:lvlJc w:val="left"/>
      <w:pPr>
        <w:ind w:left="6928" w:hanging="360"/>
      </w:pPr>
      <w:rPr>
        <w:rFonts w:ascii="Courier New" w:hAnsi="Courier New" w:cs="Courier New" w:hint="default"/>
      </w:rPr>
    </w:lvl>
    <w:lvl w:ilvl="8" w:tplc="04070005" w:tentative="1">
      <w:start w:val="1"/>
      <w:numFmt w:val="bullet"/>
      <w:lvlText w:val=""/>
      <w:lvlJc w:val="left"/>
      <w:pPr>
        <w:ind w:left="7648" w:hanging="360"/>
      </w:pPr>
      <w:rPr>
        <w:rFonts w:ascii="Wingdings" w:hAnsi="Wingdings" w:hint="default"/>
      </w:rPr>
    </w:lvl>
  </w:abstractNum>
  <w:abstractNum w:abstractNumId="25" w15:restartNumberingAfterBreak="0">
    <w:nsid w:val="311A7890"/>
    <w:multiLevelType w:val="hybridMultilevel"/>
    <w:tmpl w:val="151405B6"/>
    <w:lvl w:ilvl="0" w:tplc="E230D148">
      <w:start w:val="1"/>
      <w:numFmt w:val="bullet"/>
      <w:pStyle w:val="Dash"/>
      <w:lvlText w:val=""/>
      <w:lvlJc w:val="left"/>
      <w:pPr>
        <w:tabs>
          <w:tab w:val="num" w:pos="-31680"/>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4E878E2"/>
    <w:multiLevelType w:val="hybridMultilevel"/>
    <w:tmpl w:val="EBF0DC2E"/>
    <w:lvl w:ilvl="0" w:tplc="151635A2">
      <w:start w:val="1"/>
      <w:numFmt w:val="bullet"/>
      <w:pStyle w:val="Bullet2"/>
      <w:lvlText w:val=""/>
      <w:lvlJc w:val="left"/>
      <w:pPr>
        <w:ind w:left="2447" w:hanging="360"/>
      </w:pPr>
      <w:rPr>
        <w:rFonts w:ascii="Symbol" w:hAnsi="Symbol" w:cs="Symbol" w:hint="default"/>
        <w:sz w:val="14"/>
        <w:szCs w:val="14"/>
      </w:rPr>
    </w:lvl>
    <w:lvl w:ilvl="1" w:tplc="04090003" w:tentative="1">
      <w:start w:val="1"/>
      <w:numFmt w:val="bullet"/>
      <w:lvlText w:val="o"/>
      <w:lvlJc w:val="left"/>
      <w:pPr>
        <w:ind w:left="3527" w:hanging="360"/>
      </w:pPr>
      <w:rPr>
        <w:rFonts w:ascii="Courier New" w:hAnsi="Courier New" w:cs="Courier New" w:hint="default"/>
      </w:rPr>
    </w:lvl>
    <w:lvl w:ilvl="2" w:tplc="04090005" w:tentative="1">
      <w:start w:val="1"/>
      <w:numFmt w:val="bullet"/>
      <w:lvlText w:val=""/>
      <w:lvlJc w:val="left"/>
      <w:pPr>
        <w:ind w:left="4247" w:hanging="360"/>
      </w:pPr>
      <w:rPr>
        <w:rFonts w:ascii="Wingdings" w:hAnsi="Wingdings" w:hint="default"/>
      </w:rPr>
    </w:lvl>
    <w:lvl w:ilvl="3" w:tplc="04090001" w:tentative="1">
      <w:start w:val="1"/>
      <w:numFmt w:val="bullet"/>
      <w:lvlText w:val=""/>
      <w:lvlJc w:val="left"/>
      <w:pPr>
        <w:ind w:left="4967" w:hanging="360"/>
      </w:pPr>
      <w:rPr>
        <w:rFonts w:ascii="Symbol" w:hAnsi="Symbol" w:hint="default"/>
      </w:rPr>
    </w:lvl>
    <w:lvl w:ilvl="4" w:tplc="04090003" w:tentative="1">
      <w:start w:val="1"/>
      <w:numFmt w:val="bullet"/>
      <w:lvlText w:val="o"/>
      <w:lvlJc w:val="left"/>
      <w:pPr>
        <w:ind w:left="5687" w:hanging="360"/>
      </w:pPr>
      <w:rPr>
        <w:rFonts w:ascii="Courier New" w:hAnsi="Courier New" w:cs="Courier New" w:hint="default"/>
      </w:rPr>
    </w:lvl>
    <w:lvl w:ilvl="5" w:tplc="04090005" w:tentative="1">
      <w:start w:val="1"/>
      <w:numFmt w:val="bullet"/>
      <w:lvlText w:val=""/>
      <w:lvlJc w:val="left"/>
      <w:pPr>
        <w:ind w:left="6407" w:hanging="360"/>
      </w:pPr>
      <w:rPr>
        <w:rFonts w:ascii="Wingdings" w:hAnsi="Wingdings" w:hint="default"/>
      </w:rPr>
    </w:lvl>
    <w:lvl w:ilvl="6" w:tplc="04090001" w:tentative="1">
      <w:start w:val="1"/>
      <w:numFmt w:val="bullet"/>
      <w:lvlText w:val=""/>
      <w:lvlJc w:val="left"/>
      <w:pPr>
        <w:ind w:left="7127" w:hanging="360"/>
      </w:pPr>
      <w:rPr>
        <w:rFonts w:ascii="Symbol" w:hAnsi="Symbol" w:hint="default"/>
      </w:rPr>
    </w:lvl>
    <w:lvl w:ilvl="7" w:tplc="04090003" w:tentative="1">
      <w:start w:val="1"/>
      <w:numFmt w:val="bullet"/>
      <w:lvlText w:val="o"/>
      <w:lvlJc w:val="left"/>
      <w:pPr>
        <w:ind w:left="7847" w:hanging="360"/>
      </w:pPr>
      <w:rPr>
        <w:rFonts w:ascii="Courier New" w:hAnsi="Courier New" w:cs="Courier New" w:hint="default"/>
      </w:rPr>
    </w:lvl>
    <w:lvl w:ilvl="8" w:tplc="04090005" w:tentative="1">
      <w:start w:val="1"/>
      <w:numFmt w:val="bullet"/>
      <w:lvlText w:val=""/>
      <w:lvlJc w:val="left"/>
      <w:pPr>
        <w:ind w:left="8567" w:hanging="360"/>
      </w:pPr>
      <w:rPr>
        <w:rFonts w:ascii="Wingdings" w:hAnsi="Wingdings" w:hint="default"/>
      </w:rPr>
    </w:lvl>
  </w:abstractNum>
  <w:abstractNum w:abstractNumId="27" w15:restartNumberingAfterBreak="0">
    <w:nsid w:val="3536096F"/>
    <w:multiLevelType w:val="hybridMultilevel"/>
    <w:tmpl w:val="8CA8AB2A"/>
    <w:lvl w:ilvl="0" w:tplc="C1683BEE">
      <w:start w:val="14"/>
      <w:numFmt w:val="bullet"/>
      <w:lvlText w:val="-"/>
      <w:lvlJc w:val="left"/>
      <w:pPr>
        <w:ind w:left="720" w:hanging="360"/>
      </w:pPr>
      <w:rPr>
        <w:rFonts w:ascii="Arial" w:eastAsia="Times New Roman" w:hAnsi="Arial" w:cs="Arial"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36594109"/>
    <w:multiLevelType w:val="hybridMultilevel"/>
    <w:tmpl w:val="B980D7C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397627B7"/>
    <w:multiLevelType w:val="hybridMultilevel"/>
    <w:tmpl w:val="B19AEB1E"/>
    <w:lvl w:ilvl="0" w:tplc="E3A6D302">
      <w:start w:val="5"/>
      <w:numFmt w:val="bullet"/>
      <w:lvlText w:val="-"/>
      <w:lvlJc w:val="left"/>
      <w:pPr>
        <w:ind w:left="2988" w:hanging="360"/>
      </w:pPr>
      <w:rPr>
        <w:rFonts w:ascii="Times New Roman" w:eastAsia="Times New Roman" w:hAnsi="Times New Roman" w:cs="Times New Roman" w:hint="default"/>
      </w:rPr>
    </w:lvl>
    <w:lvl w:ilvl="1" w:tplc="040C0003">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30" w15:restartNumberingAfterBreak="0">
    <w:nsid w:val="3B48731D"/>
    <w:multiLevelType w:val="hybridMultilevel"/>
    <w:tmpl w:val="B628A660"/>
    <w:lvl w:ilvl="0" w:tplc="865AB9A6">
      <w:start w:val="1"/>
      <w:numFmt w:val="bullet"/>
      <w:lvlText w:val="-"/>
      <w:lvlJc w:val="left"/>
      <w:pPr>
        <w:ind w:left="2628" w:hanging="360"/>
      </w:pPr>
      <w:rPr>
        <w:rFonts w:ascii="Arial" w:eastAsia="Times New Roman" w:hAnsi="Arial" w:cs="Arial" w:hint="default"/>
      </w:rPr>
    </w:lvl>
    <w:lvl w:ilvl="1" w:tplc="04070003">
      <w:start w:val="1"/>
      <w:numFmt w:val="bullet"/>
      <w:lvlText w:val="o"/>
      <w:lvlJc w:val="left"/>
      <w:pPr>
        <w:ind w:left="3348" w:hanging="360"/>
      </w:pPr>
      <w:rPr>
        <w:rFonts w:ascii="Courier New" w:hAnsi="Courier New" w:cs="Courier New" w:hint="default"/>
      </w:rPr>
    </w:lvl>
    <w:lvl w:ilvl="2" w:tplc="04070005" w:tentative="1">
      <w:start w:val="1"/>
      <w:numFmt w:val="bullet"/>
      <w:lvlText w:val=""/>
      <w:lvlJc w:val="left"/>
      <w:pPr>
        <w:ind w:left="4068" w:hanging="360"/>
      </w:pPr>
      <w:rPr>
        <w:rFonts w:ascii="Wingdings" w:hAnsi="Wingdings" w:hint="default"/>
      </w:rPr>
    </w:lvl>
    <w:lvl w:ilvl="3" w:tplc="04070001" w:tentative="1">
      <w:start w:val="1"/>
      <w:numFmt w:val="bullet"/>
      <w:lvlText w:val=""/>
      <w:lvlJc w:val="left"/>
      <w:pPr>
        <w:ind w:left="4788" w:hanging="360"/>
      </w:pPr>
      <w:rPr>
        <w:rFonts w:ascii="Symbol" w:hAnsi="Symbol" w:hint="default"/>
      </w:rPr>
    </w:lvl>
    <w:lvl w:ilvl="4" w:tplc="04070003" w:tentative="1">
      <w:start w:val="1"/>
      <w:numFmt w:val="bullet"/>
      <w:lvlText w:val="o"/>
      <w:lvlJc w:val="left"/>
      <w:pPr>
        <w:ind w:left="5508" w:hanging="360"/>
      </w:pPr>
      <w:rPr>
        <w:rFonts w:ascii="Courier New" w:hAnsi="Courier New" w:cs="Courier New" w:hint="default"/>
      </w:rPr>
    </w:lvl>
    <w:lvl w:ilvl="5" w:tplc="04070005" w:tentative="1">
      <w:start w:val="1"/>
      <w:numFmt w:val="bullet"/>
      <w:lvlText w:val=""/>
      <w:lvlJc w:val="left"/>
      <w:pPr>
        <w:ind w:left="6228" w:hanging="360"/>
      </w:pPr>
      <w:rPr>
        <w:rFonts w:ascii="Wingdings" w:hAnsi="Wingdings" w:hint="default"/>
      </w:rPr>
    </w:lvl>
    <w:lvl w:ilvl="6" w:tplc="04070001" w:tentative="1">
      <w:start w:val="1"/>
      <w:numFmt w:val="bullet"/>
      <w:lvlText w:val=""/>
      <w:lvlJc w:val="left"/>
      <w:pPr>
        <w:ind w:left="6948" w:hanging="360"/>
      </w:pPr>
      <w:rPr>
        <w:rFonts w:ascii="Symbol" w:hAnsi="Symbol" w:hint="default"/>
      </w:rPr>
    </w:lvl>
    <w:lvl w:ilvl="7" w:tplc="04070003" w:tentative="1">
      <w:start w:val="1"/>
      <w:numFmt w:val="bullet"/>
      <w:lvlText w:val="o"/>
      <w:lvlJc w:val="left"/>
      <w:pPr>
        <w:ind w:left="7668" w:hanging="360"/>
      </w:pPr>
      <w:rPr>
        <w:rFonts w:ascii="Courier New" w:hAnsi="Courier New" w:cs="Courier New" w:hint="default"/>
      </w:rPr>
    </w:lvl>
    <w:lvl w:ilvl="8" w:tplc="04070005" w:tentative="1">
      <w:start w:val="1"/>
      <w:numFmt w:val="bullet"/>
      <w:lvlText w:val=""/>
      <w:lvlJc w:val="left"/>
      <w:pPr>
        <w:ind w:left="8388" w:hanging="360"/>
      </w:pPr>
      <w:rPr>
        <w:rFonts w:ascii="Wingdings" w:hAnsi="Wingdings" w:hint="default"/>
      </w:rPr>
    </w:lvl>
  </w:abstractNum>
  <w:abstractNum w:abstractNumId="31" w15:restartNumberingAfterBreak="0">
    <w:nsid w:val="3C456276"/>
    <w:multiLevelType w:val="hybridMultilevel"/>
    <w:tmpl w:val="19149710"/>
    <w:lvl w:ilvl="0" w:tplc="F4AAAF66">
      <w:start w:val="1"/>
      <w:numFmt w:val="bullet"/>
      <w:pStyle w:val="Bullet3"/>
      <w:lvlText w:val=""/>
      <w:lvlJc w:val="left"/>
      <w:pPr>
        <w:ind w:left="3283" w:hanging="360"/>
      </w:pPr>
      <w:rPr>
        <w:rFonts w:ascii="Symbol" w:hAnsi="Symbol" w:cs="Symbol" w:hint="default"/>
        <w:sz w:val="14"/>
        <w:szCs w:val="14"/>
      </w:rPr>
    </w:lvl>
    <w:lvl w:ilvl="1" w:tplc="08090003" w:tentative="1">
      <w:start w:val="1"/>
      <w:numFmt w:val="bullet"/>
      <w:lvlText w:val="o"/>
      <w:lvlJc w:val="left"/>
      <w:pPr>
        <w:ind w:left="4003" w:hanging="360"/>
      </w:pPr>
      <w:rPr>
        <w:rFonts w:ascii="Courier New" w:hAnsi="Courier New" w:cs="Courier New" w:hint="default"/>
      </w:rPr>
    </w:lvl>
    <w:lvl w:ilvl="2" w:tplc="08090005" w:tentative="1">
      <w:start w:val="1"/>
      <w:numFmt w:val="bullet"/>
      <w:lvlText w:val=""/>
      <w:lvlJc w:val="left"/>
      <w:pPr>
        <w:ind w:left="4723" w:hanging="360"/>
      </w:pPr>
      <w:rPr>
        <w:rFonts w:ascii="Wingdings" w:hAnsi="Wingdings" w:hint="default"/>
      </w:rPr>
    </w:lvl>
    <w:lvl w:ilvl="3" w:tplc="08090001" w:tentative="1">
      <w:start w:val="1"/>
      <w:numFmt w:val="bullet"/>
      <w:lvlText w:val=""/>
      <w:lvlJc w:val="left"/>
      <w:pPr>
        <w:ind w:left="5443" w:hanging="360"/>
      </w:pPr>
      <w:rPr>
        <w:rFonts w:ascii="Symbol" w:hAnsi="Symbol" w:hint="default"/>
      </w:rPr>
    </w:lvl>
    <w:lvl w:ilvl="4" w:tplc="08090003" w:tentative="1">
      <w:start w:val="1"/>
      <w:numFmt w:val="bullet"/>
      <w:lvlText w:val="o"/>
      <w:lvlJc w:val="left"/>
      <w:pPr>
        <w:ind w:left="6163" w:hanging="360"/>
      </w:pPr>
      <w:rPr>
        <w:rFonts w:ascii="Courier New" w:hAnsi="Courier New" w:cs="Courier New" w:hint="default"/>
      </w:rPr>
    </w:lvl>
    <w:lvl w:ilvl="5" w:tplc="08090005" w:tentative="1">
      <w:start w:val="1"/>
      <w:numFmt w:val="bullet"/>
      <w:lvlText w:val=""/>
      <w:lvlJc w:val="left"/>
      <w:pPr>
        <w:ind w:left="6883" w:hanging="360"/>
      </w:pPr>
      <w:rPr>
        <w:rFonts w:ascii="Wingdings" w:hAnsi="Wingdings" w:hint="default"/>
      </w:rPr>
    </w:lvl>
    <w:lvl w:ilvl="6" w:tplc="08090001" w:tentative="1">
      <w:start w:val="1"/>
      <w:numFmt w:val="bullet"/>
      <w:lvlText w:val=""/>
      <w:lvlJc w:val="left"/>
      <w:pPr>
        <w:ind w:left="7603" w:hanging="360"/>
      </w:pPr>
      <w:rPr>
        <w:rFonts w:ascii="Symbol" w:hAnsi="Symbol" w:hint="default"/>
      </w:rPr>
    </w:lvl>
    <w:lvl w:ilvl="7" w:tplc="08090003" w:tentative="1">
      <w:start w:val="1"/>
      <w:numFmt w:val="bullet"/>
      <w:lvlText w:val="o"/>
      <w:lvlJc w:val="left"/>
      <w:pPr>
        <w:ind w:left="8323" w:hanging="360"/>
      </w:pPr>
      <w:rPr>
        <w:rFonts w:ascii="Courier New" w:hAnsi="Courier New" w:cs="Courier New" w:hint="default"/>
      </w:rPr>
    </w:lvl>
    <w:lvl w:ilvl="8" w:tplc="08090005" w:tentative="1">
      <w:start w:val="1"/>
      <w:numFmt w:val="bullet"/>
      <w:lvlText w:val=""/>
      <w:lvlJc w:val="left"/>
      <w:pPr>
        <w:ind w:left="9043" w:hanging="360"/>
      </w:pPr>
      <w:rPr>
        <w:rFonts w:ascii="Wingdings" w:hAnsi="Wingdings" w:hint="default"/>
      </w:rPr>
    </w:lvl>
  </w:abstractNum>
  <w:abstractNum w:abstractNumId="32" w15:restartNumberingAfterBreak="0">
    <w:nsid w:val="3CB061AB"/>
    <w:multiLevelType w:val="singleLevel"/>
    <w:tmpl w:val="66CAD4CC"/>
    <w:lvl w:ilvl="0">
      <w:start w:val="1"/>
      <w:numFmt w:val="decimal"/>
      <w:pStyle w:val="ParaNo"/>
      <w:lvlText w:val="%1."/>
      <w:lvlJc w:val="left"/>
      <w:pPr>
        <w:tabs>
          <w:tab w:val="num" w:pos="360"/>
        </w:tabs>
        <w:ind w:left="-1" w:firstLine="1"/>
      </w:pPr>
      <w:rPr>
        <w:rFonts w:hint="default"/>
      </w:rPr>
    </w:lvl>
  </w:abstractNum>
  <w:abstractNum w:abstractNumId="33" w15:restartNumberingAfterBreak="0">
    <w:nsid w:val="40C631C2"/>
    <w:multiLevelType w:val="hybridMultilevel"/>
    <w:tmpl w:val="16D0679E"/>
    <w:lvl w:ilvl="0" w:tplc="040C0001">
      <w:start w:val="1"/>
      <w:numFmt w:val="bullet"/>
      <w:lvlText w:val=""/>
      <w:lvlJc w:val="left"/>
      <w:pPr>
        <w:ind w:left="4897" w:hanging="360"/>
      </w:pPr>
      <w:rPr>
        <w:rFonts w:ascii="Symbol" w:hAnsi="Symbol" w:hint="default"/>
      </w:rPr>
    </w:lvl>
    <w:lvl w:ilvl="1" w:tplc="040C0003" w:tentative="1">
      <w:start w:val="1"/>
      <w:numFmt w:val="bullet"/>
      <w:lvlText w:val="o"/>
      <w:lvlJc w:val="left"/>
      <w:pPr>
        <w:ind w:left="5617" w:hanging="360"/>
      </w:pPr>
      <w:rPr>
        <w:rFonts w:ascii="Courier New" w:hAnsi="Courier New" w:cs="Courier New" w:hint="default"/>
      </w:rPr>
    </w:lvl>
    <w:lvl w:ilvl="2" w:tplc="040C0005" w:tentative="1">
      <w:start w:val="1"/>
      <w:numFmt w:val="bullet"/>
      <w:lvlText w:val=""/>
      <w:lvlJc w:val="left"/>
      <w:pPr>
        <w:ind w:left="6337" w:hanging="360"/>
      </w:pPr>
      <w:rPr>
        <w:rFonts w:ascii="Wingdings" w:hAnsi="Wingdings" w:hint="default"/>
      </w:rPr>
    </w:lvl>
    <w:lvl w:ilvl="3" w:tplc="040C0001" w:tentative="1">
      <w:start w:val="1"/>
      <w:numFmt w:val="bullet"/>
      <w:lvlText w:val=""/>
      <w:lvlJc w:val="left"/>
      <w:pPr>
        <w:ind w:left="7057" w:hanging="360"/>
      </w:pPr>
      <w:rPr>
        <w:rFonts w:ascii="Symbol" w:hAnsi="Symbol" w:hint="default"/>
      </w:rPr>
    </w:lvl>
    <w:lvl w:ilvl="4" w:tplc="040C0003" w:tentative="1">
      <w:start w:val="1"/>
      <w:numFmt w:val="bullet"/>
      <w:lvlText w:val="o"/>
      <w:lvlJc w:val="left"/>
      <w:pPr>
        <w:ind w:left="7777" w:hanging="360"/>
      </w:pPr>
      <w:rPr>
        <w:rFonts w:ascii="Courier New" w:hAnsi="Courier New" w:cs="Courier New" w:hint="default"/>
      </w:rPr>
    </w:lvl>
    <w:lvl w:ilvl="5" w:tplc="040C0005" w:tentative="1">
      <w:start w:val="1"/>
      <w:numFmt w:val="bullet"/>
      <w:lvlText w:val=""/>
      <w:lvlJc w:val="left"/>
      <w:pPr>
        <w:ind w:left="8497" w:hanging="360"/>
      </w:pPr>
      <w:rPr>
        <w:rFonts w:ascii="Wingdings" w:hAnsi="Wingdings" w:hint="default"/>
      </w:rPr>
    </w:lvl>
    <w:lvl w:ilvl="6" w:tplc="040C0001" w:tentative="1">
      <w:start w:val="1"/>
      <w:numFmt w:val="bullet"/>
      <w:lvlText w:val=""/>
      <w:lvlJc w:val="left"/>
      <w:pPr>
        <w:ind w:left="9217" w:hanging="360"/>
      </w:pPr>
      <w:rPr>
        <w:rFonts w:ascii="Symbol" w:hAnsi="Symbol" w:hint="default"/>
      </w:rPr>
    </w:lvl>
    <w:lvl w:ilvl="7" w:tplc="040C0003" w:tentative="1">
      <w:start w:val="1"/>
      <w:numFmt w:val="bullet"/>
      <w:lvlText w:val="o"/>
      <w:lvlJc w:val="left"/>
      <w:pPr>
        <w:ind w:left="9937" w:hanging="360"/>
      </w:pPr>
      <w:rPr>
        <w:rFonts w:ascii="Courier New" w:hAnsi="Courier New" w:cs="Courier New" w:hint="default"/>
      </w:rPr>
    </w:lvl>
    <w:lvl w:ilvl="8" w:tplc="040C0005" w:tentative="1">
      <w:start w:val="1"/>
      <w:numFmt w:val="bullet"/>
      <w:lvlText w:val=""/>
      <w:lvlJc w:val="left"/>
      <w:pPr>
        <w:ind w:left="10657" w:hanging="360"/>
      </w:pPr>
      <w:rPr>
        <w:rFonts w:ascii="Wingdings" w:hAnsi="Wingdings" w:hint="default"/>
      </w:rPr>
    </w:lvl>
  </w:abstractNum>
  <w:abstractNum w:abstractNumId="34" w15:restartNumberingAfterBreak="0">
    <w:nsid w:val="4D2D6B9E"/>
    <w:multiLevelType w:val="hybridMultilevel"/>
    <w:tmpl w:val="EC1EE2C8"/>
    <w:lvl w:ilvl="0" w:tplc="AD8EA302">
      <w:start w:val="1"/>
      <w:numFmt w:val="bullet"/>
      <w:lvlText w:val="-"/>
      <w:lvlJc w:val="left"/>
      <w:pPr>
        <w:ind w:left="394" w:hanging="360"/>
      </w:pPr>
      <w:rPr>
        <w:rFonts w:ascii="Arial" w:eastAsia="Calibri" w:hAnsi="Arial" w:cs="Arial" w:hint="default"/>
      </w:rPr>
    </w:lvl>
    <w:lvl w:ilvl="1" w:tplc="04070003" w:tentative="1">
      <w:start w:val="1"/>
      <w:numFmt w:val="bullet"/>
      <w:lvlText w:val="o"/>
      <w:lvlJc w:val="left"/>
      <w:pPr>
        <w:ind w:left="1256" w:hanging="360"/>
      </w:pPr>
      <w:rPr>
        <w:rFonts w:ascii="Courier New" w:hAnsi="Courier New" w:cs="Courier New" w:hint="default"/>
      </w:rPr>
    </w:lvl>
    <w:lvl w:ilvl="2" w:tplc="04070005" w:tentative="1">
      <w:start w:val="1"/>
      <w:numFmt w:val="bullet"/>
      <w:lvlText w:val=""/>
      <w:lvlJc w:val="left"/>
      <w:pPr>
        <w:ind w:left="1976" w:hanging="360"/>
      </w:pPr>
      <w:rPr>
        <w:rFonts w:ascii="Wingdings" w:hAnsi="Wingdings" w:hint="default"/>
      </w:rPr>
    </w:lvl>
    <w:lvl w:ilvl="3" w:tplc="04070001" w:tentative="1">
      <w:start w:val="1"/>
      <w:numFmt w:val="bullet"/>
      <w:lvlText w:val=""/>
      <w:lvlJc w:val="left"/>
      <w:pPr>
        <w:ind w:left="2696" w:hanging="360"/>
      </w:pPr>
      <w:rPr>
        <w:rFonts w:ascii="Symbol" w:hAnsi="Symbol" w:hint="default"/>
      </w:rPr>
    </w:lvl>
    <w:lvl w:ilvl="4" w:tplc="04070003" w:tentative="1">
      <w:start w:val="1"/>
      <w:numFmt w:val="bullet"/>
      <w:lvlText w:val="o"/>
      <w:lvlJc w:val="left"/>
      <w:pPr>
        <w:ind w:left="3416" w:hanging="360"/>
      </w:pPr>
      <w:rPr>
        <w:rFonts w:ascii="Courier New" w:hAnsi="Courier New" w:cs="Courier New" w:hint="default"/>
      </w:rPr>
    </w:lvl>
    <w:lvl w:ilvl="5" w:tplc="04070005" w:tentative="1">
      <w:start w:val="1"/>
      <w:numFmt w:val="bullet"/>
      <w:lvlText w:val=""/>
      <w:lvlJc w:val="left"/>
      <w:pPr>
        <w:ind w:left="4136" w:hanging="360"/>
      </w:pPr>
      <w:rPr>
        <w:rFonts w:ascii="Wingdings" w:hAnsi="Wingdings" w:hint="default"/>
      </w:rPr>
    </w:lvl>
    <w:lvl w:ilvl="6" w:tplc="04070001" w:tentative="1">
      <w:start w:val="1"/>
      <w:numFmt w:val="bullet"/>
      <w:lvlText w:val=""/>
      <w:lvlJc w:val="left"/>
      <w:pPr>
        <w:ind w:left="4856" w:hanging="360"/>
      </w:pPr>
      <w:rPr>
        <w:rFonts w:ascii="Symbol" w:hAnsi="Symbol" w:hint="default"/>
      </w:rPr>
    </w:lvl>
    <w:lvl w:ilvl="7" w:tplc="04070003" w:tentative="1">
      <w:start w:val="1"/>
      <w:numFmt w:val="bullet"/>
      <w:lvlText w:val="o"/>
      <w:lvlJc w:val="left"/>
      <w:pPr>
        <w:ind w:left="5576" w:hanging="360"/>
      </w:pPr>
      <w:rPr>
        <w:rFonts w:ascii="Courier New" w:hAnsi="Courier New" w:cs="Courier New" w:hint="default"/>
      </w:rPr>
    </w:lvl>
    <w:lvl w:ilvl="8" w:tplc="04070005" w:tentative="1">
      <w:start w:val="1"/>
      <w:numFmt w:val="bullet"/>
      <w:lvlText w:val=""/>
      <w:lvlJc w:val="left"/>
      <w:pPr>
        <w:ind w:left="6296" w:hanging="360"/>
      </w:pPr>
      <w:rPr>
        <w:rFonts w:ascii="Wingdings" w:hAnsi="Wingdings" w:hint="default"/>
      </w:rPr>
    </w:lvl>
  </w:abstractNum>
  <w:abstractNum w:abstractNumId="35" w15:restartNumberingAfterBreak="0">
    <w:nsid w:val="4EC8145E"/>
    <w:multiLevelType w:val="hybridMultilevel"/>
    <w:tmpl w:val="3CBA14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14A3C4D"/>
    <w:multiLevelType w:val="hybridMultilevel"/>
    <w:tmpl w:val="2AC08FE0"/>
    <w:lvl w:ilvl="0" w:tplc="0D524F00">
      <w:start w:val="7"/>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59C478E8"/>
    <w:multiLevelType w:val="hybridMultilevel"/>
    <w:tmpl w:val="6A965984"/>
    <w:lvl w:ilvl="0" w:tplc="0CE89472">
      <w:start w:val="1"/>
      <w:numFmt w:val="lowerLetter"/>
      <w:lvlText w:val="%1)"/>
      <w:lvlJc w:val="left"/>
      <w:pPr>
        <w:ind w:left="536" w:hanging="360"/>
      </w:pPr>
      <w:rPr>
        <w:rFonts w:hint="default"/>
      </w:rPr>
    </w:lvl>
    <w:lvl w:ilvl="1" w:tplc="04070019" w:tentative="1">
      <w:start w:val="1"/>
      <w:numFmt w:val="lowerLetter"/>
      <w:lvlText w:val="%2."/>
      <w:lvlJc w:val="left"/>
      <w:pPr>
        <w:ind w:left="1256" w:hanging="360"/>
      </w:pPr>
    </w:lvl>
    <w:lvl w:ilvl="2" w:tplc="0407001B" w:tentative="1">
      <w:start w:val="1"/>
      <w:numFmt w:val="lowerRoman"/>
      <w:lvlText w:val="%3."/>
      <w:lvlJc w:val="right"/>
      <w:pPr>
        <w:ind w:left="1976" w:hanging="180"/>
      </w:pPr>
    </w:lvl>
    <w:lvl w:ilvl="3" w:tplc="0407000F" w:tentative="1">
      <w:start w:val="1"/>
      <w:numFmt w:val="decimal"/>
      <w:lvlText w:val="%4."/>
      <w:lvlJc w:val="left"/>
      <w:pPr>
        <w:ind w:left="2696" w:hanging="360"/>
      </w:pPr>
    </w:lvl>
    <w:lvl w:ilvl="4" w:tplc="04070019" w:tentative="1">
      <w:start w:val="1"/>
      <w:numFmt w:val="lowerLetter"/>
      <w:lvlText w:val="%5."/>
      <w:lvlJc w:val="left"/>
      <w:pPr>
        <w:ind w:left="3416" w:hanging="360"/>
      </w:pPr>
    </w:lvl>
    <w:lvl w:ilvl="5" w:tplc="0407001B" w:tentative="1">
      <w:start w:val="1"/>
      <w:numFmt w:val="lowerRoman"/>
      <w:lvlText w:val="%6."/>
      <w:lvlJc w:val="right"/>
      <w:pPr>
        <w:ind w:left="4136" w:hanging="180"/>
      </w:pPr>
    </w:lvl>
    <w:lvl w:ilvl="6" w:tplc="0407000F" w:tentative="1">
      <w:start w:val="1"/>
      <w:numFmt w:val="decimal"/>
      <w:lvlText w:val="%7."/>
      <w:lvlJc w:val="left"/>
      <w:pPr>
        <w:ind w:left="4856" w:hanging="360"/>
      </w:pPr>
    </w:lvl>
    <w:lvl w:ilvl="7" w:tplc="04070019" w:tentative="1">
      <w:start w:val="1"/>
      <w:numFmt w:val="lowerLetter"/>
      <w:lvlText w:val="%8."/>
      <w:lvlJc w:val="left"/>
      <w:pPr>
        <w:ind w:left="5576" w:hanging="360"/>
      </w:pPr>
    </w:lvl>
    <w:lvl w:ilvl="8" w:tplc="0407001B" w:tentative="1">
      <w:start w:val="1"/>
      <w:numFmt w:val="lowerRoman"/>
      <w:lvlText w:val="%9."/>
      <w:lvlJc w:val="right"/>
      <w:pPr>
        <w:ind w:left="6296" w:hanging="180"/>
      </w:pPr>
    </w:lvl>
  </w:abstractNum>
  <w:abstractNum w:abstractNumId="38" w15:restartNumberingAfterBreak="0">
    <w:nsid w:val="5C560D70"/>
    <w:multiLevelType w:val="hybridMultilevel"/>
    <w:tmpl w:val="0C100030"/>
    <w:lvl w:ilvl="0" w:tplc="A704CA00">
      <w:start w:val="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0" w15:restartNumberingAfterBreak="0">
    <w:nsid w:val="64210A81"/>
    <w:multiLevelType w:val="hybridMultilevel"/>
    <w:tmpl w:val="60529E28"/>
    <w:lvl w:ilvl="0" w:tplc="04070001">
      <w:start w:val="1"/>
      <w:numFmt w:val="bullet"/>
      <w:lvlText w:val=""/>
      <w:lvlJc w:val="left"/>
      <w:pPr>
        <w:ind w:left="1604" w:hanging="360"/>
      </w:pPr>
      <w:rPr>
        <w:rFonts w:ascii="Symbol" w:hAnsi="Symbol" w:hint="default"/>
      </w:rPr>
    </w:lvl>
    <w:lvl w:ilvl="1" w:tplc="04070003" w:tentative="1">
      <w:start w:val="1"/>
      <w:numFmt w:val="bullet"/>
      <w:lvlText w:val="o"/>
      <w:lvlJc w:val="left"/>
      <w:pPr>
        <w:ind w:left="2324" w:hanging="360"/>
      </w:pPr>
      <w:rPr>
        <w:rFonts w:ascii="Courier New" w:hAnsi="Courier New" w:cs="Courier New" w:hint="default"/>
      </w:rPr>
    </w:lvl>
    <w:lvl w:ilvl="2" w:tplc="04070005" w:tentative="1">
      <w:start w:val="1"/>
      <w:numFmt w:val="bullet"/>
      <w:lvlText w:val=""/>
      <w:lvlJc w:val="left"/>
      <w:pPr>
        <w:ind w:left="3044" w:hanging="360"/>
      </w:pPr>
      <w:rPr>
        <w:rFonts w:ascii="Wingdings" w:hAnsi="Wingdings" w:hint="default"/>
      </w:rPr>
    </w:lvl>
    <w:lvl w:ilvl="3" w:tplc="04070001" w:tentative="1">
      <w:start w:val="1"/>
      <w:numFmt w:val="bullet"/>
      <w:lvlText w:val=""/>
      <w:lvlJc w:val="left"/>
      <w:pPr>
        <w:ind w:left="3764" w:hanging="360"/>
      </w:pPr>
      <w:rPr>
        <w:rFonts w:ascii="Symbol" w:hAnsi="Symbol" w:hint="default"/>
      </w:rPr>
    </w:lvl>
    <w:lvl w:ilvl="4" w:tplc="04070003" w:tentative="1">
      <w:start w:val="1"/>
      <w:numFmt w:val="bullet"/>
      <w:lvlText w:val="o"/>
      <w:lvlJc w:val="left"/>
      <w:pPr>
        <w:ind w:left="4484" w:hanging="360"/>
      </w:pPr>
      <w:rPr>
        <w:rFonts w:ascii="Courier New" w:hAnsi="Courier New" w:cs="Courier New" w:hint="default"/>
      </w:rPr>
    </w:lvl>
    <w:lvl w:ilvl="5" w:tplc="04070005" w:tentative="1">
      <w:start w:val="1"/>
      <w:numFmt w:val="bullet"/>
      <w:lvlText w:val=""/>
      <w:lvlJc w:val="left"/>
      <w:pPr>
        <w:ind w:left="5204" w:hanging="360"/>
      </w:pPr>
      <w:rPr>
        <w:rFonts w:ascii="Wingdings" w:hAnsi="Wingdings" w:hint="default"/>
      </w:rPr>
    </w:lvl>
    <w:lvl w:ilvl="6" w:tplc="04070001" w:tentative="1">
      <w:start w:val="1"/>
      <w:numFmt w:val="bullet"/>
      <w:lvlText w:val=""/>
      <w:lvlJc w:val="left"/>
      <w:pPr>
        <w:ind w:left="5924" w:hanging="360"/>
      </w:pPr>
      <w:rPr>
        <w:rFonts w:ascii="Symbol" w:hAnsi="Symbol" w:hint="default"/>
      </w:rPr>
    </w:lvl>
    <w:lvl w:ilvl="7" w:tplc="04070003" w:tentative="1">
      <w:start w:val="1"/>
      <w:numFmt w:val="bullet"/>
      <w:lvlText w:val="o"/>
      <w:lvlJc w:val="left"/>
      <w:pPr>
        <w:ind w:left="6644" w:hanging="360"/>
      </w:pPr>
      <w:rPr>
        <w:rFonts w:ascii="Courier New" w:hAnsi="Courier New" w:cs="Courier New" w:hint="default"/>
      </w:rPr>
    </w:lvl>
    <w:lvl w:ilvl="8" w:tplc="04070005" w:tentative="1">
      <w:start w:val="1"/>
      <w:numFmt w:val="bullet"/>
      <w:lvlText w:val=""/>
      <w:lvlJc w:val="left"/>
      <w:pPr>
        <w:ind w:left="7364" w:hanging="360"/>
      </w:pPr>
      <w:rPr>
        <w:rFonts w:ascii="Wingdings" w:hAnsi="Wingdings" w:hint="default"/>
      </w:rPr>
    </w:lvl>
  </w:abstractNum>
  <w:abstractNum w:abstractNumId="41" w15:restartNumberingAfterBreak="0">
    <w:nsid w:val="64F14A04"/>
    <w:multiLevelType w:val="hybridMultilevel"/>
    <w:tmpl w:val="0F8E0BF2"/>
    <w:lvl w:ilvl="0" w:tplc="F404D8B4">
      <w:start w:val="1"/>
      <w:numFmt w:val="bullet"/>
      <w:pStyle w:val="Bullet1"/>
      <w:lvlText w:val=""/>
      <w:lvlJc w:val="left"/>
      <w:pPr>
        <w:ind w:left="1976" w:hanging="360"/>
      </w:pPr>
      <w:rPr>
        <w:rFonts w:ascii="Symbol" w:hAnsi="Symbol" w:cs="Symbol" w:hint="default"/>
        <w:sz w:val="14"/>
      </w:rPr>
    </w:lvl>
    <w:lvl w:ilvl="1" w:tplc="04090003" w:tentative="1">
      <w:start w:val="1"/>
      <w:numFmt w:val="bullet"/>
      <w:lvlText w:val="o"/>
      <w:lvlJc w:val="left"/>
      <w:pPr>
        <w:ind w:left="3056" w:hanging="360"/>
      </w:pPr>
      <w:rPr>
        <w:rFonts w:ascii="Courier New" w:hAnsi="Courier New" w:cs="Courier New" w:hint="default"/>
      </w:rPr>
    </w:lvl>
    <w:lvl w:ilvl="2" w:tplc="04090005" w:tentative="1">
      <w:start w:val="1"/>
      <w:numFmt w:val="bullet"/>
      <w:lvlText w:val=""/>
      <w:lvlJc w:val="left"/>
      <w:pPr>
        <w:ind w:left="3776" w:hanging="360"/>
      </w:pPr>
      <w:rPr>
        <w:rFonts w:ascii="Wingdings" w:hAnsi="Wingdings" w:hint="default"/>
      </w:rPr>
    </w:lvl>
    <w:lvl w:ilvl="3" w:tplc="04090001" w:tentative="1">
      <w:start w:val="1"/>
      <w:numFmt w:val="bullet"/>
      <w:lvlText w:val=""/>
      <w:lvlJc w:val="left"/>
      <w:pPr>
        <w:ind w:left="4496" w:hanging="360"/>
      </w:pPr>
      <w:rPr>
        <w:rFonts w:ascii="Symbol" w:hAnsi="Symbol" w:hint="default"/>
      </w:rPr>
    </w:lvl>
    <w:lvl w:ilvl="4" w:tplc="04090003" w:tentative="1">
      <w:start w:val="1"/>
      <w:numFmt w:val="bullet"/>
      <w:lvlText w:val="o"/>
      <w:lvlJc w:val="left"/>
      <w:pPr>
        <w:ind w:left="5216" w:hanging="360"/>
      </w:pPr>
      <w:rPr>
        <w:rFonts w:ascii="Courier New" w:hAnsi="Courier New" w:cs="Courier New" w:hint="default"/>
      </w:rPr>
    </w:lvl>
    <w:lvl w:ilvl="5" w:tplc="04090005" w:tentative="1">
      <w:start w:val="1"/>
      <w:numFmt w:val="bullet"/>
      <w:lvlText w:val=""/>
      <w:lvlJc w:val="left"/>
      <w:pPr>
        <w:ind w:left="5936" w:hanging="360"/>
      </w:pPr>
      <w:rPr>
        <w:rFonts w:ascii="Wingdings" w:hAnsi="Wingdings" w:hint="default"/>
      </w:rPr>
    </w:lvl>
    <w:lvl w:ilvl="6" w:tplc="04090001" w:tentative="1">
      <w:start w:val="1"/>
      <w:numFmt w:val="bullet"/>
      <w:lvlText w:val=""/>
      <w:lvlJc w:val="left"/>
      <w:pPr>
        <w:ind w:left="6656" w:hanging="360"/>
      </w:pPr>
      <w:rPr>
        <w:rFonts w:ascii="Symbol" w:hAnsi="Symbol" w:hint="default"/>
      </w:rPr>
    </w:lvl>
    <w:lvl w:ilvl="7" w:tplc="04090003" w:tentative="1">
      <w:start w:val="1"/>
      <w:numFmt w:val="bullet"/>
      <w:lvlText w:val="o"/>
      <w:lvlJc w:val="left"/>
      <w:pPr>
        <w:ind w:left="7376" w:hanging="360"/>
      </w:pPr>
      <w:rPr>
        <w:rFonts w:ascii="Courier New" w:hAnsi="Courier New" w:cs="Courier New" w:hint="default"/>
      </w:rPr>
    </w:lvl>
    <w:lvl w:ilvl="8" w:tplc="04090005" w:tentative="1">
      <w:start w:val="1"/>
      <w:numFmt w:val="bullet"/>
      <w:lvlText w:val=""/>
      <w:lvlJc w:val="left"/>
      <w:pPr>
        <w:ind w:left="8096" w:hanging="360"/>
      </w:pPr>
      <w:rPr>
        <w:rFonts w:ascii="Wingdings" w:hAnsi="Wingdings" w:hint="default"/>
      </w:rPr>
    </w:lvl>
  </w:abstractNum>
  <w:abstractNum w:abstractNumId="42"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D1B70D1"/>
    <w:multiLevelType w:val="hybridMultilevel"/>
    <w:tmpl w:val="4250695C"/>
    <w:lvl w:ilvl="0" w:tplc="C1683BEE">
      <w:start w:val="14"/>
      <w:numFmt w:val="bullet"/>
      <w:lvlText w:val="-"/>
      <w:lvlJc w:val="left"/>
      <w:pPr>
        <w:ind w:left="1854" w:hanging="360"/>
      </w:pPr>
      <w:rPr>
        <w:rFonts w:ascii="Arial" w:eastAsia="Times New Roman" w:hAnsi="Arial" w:cs="Arial" w:hint="default"/>
        <w:sz w:val="20"/>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44" w15:restartNumberingAfterBreak="0">
    <w:nsid w:val="6ED116C2"/>
    <w:multiLevelType w:val="multilevel"/>
    <w:tmpl w:val="03B48420"/>
    <w:lvl w:ilvl="0">
      <w:start w:val="1"/>
      <w:numFmt w:val="decimal"/>
      <w:pStyle w:val="1Heading"/>
      <w:lvlText w:val="%1."/>
      <w:lvlJc w:val="left"/>
      <w:pPr>
        <w:tabs>
          <w:tab w:val="num" w:pos="720"/>
        </w:tabs>
        <w:ind w:left="720" w:hanging="720"/>
      </w:pPr>
      <w:rPr>
        <w:rFonts w:ascii="Times New Roman" w:hAnsi="Times New Roman" w:cs="Times New Roman"/>
        <w:b w:val="0"/>
        <w:sz w:val="22"/>
      </w:rPr>
    </w:lvl>
    <w:lvl w:ilvl="1">
      <w:start w:val="1"/>
      <w:numFmt w:val="decimal"/>
      <w:pStyle w:val="2Para"/>
      <w:lvlText w:val="%2."/>
      <w:lvlJc w:val="left"/>
      <w:pPr>
        <w:tabs>
          <w:tab w:val="num" w:pos="0"/>
        </w:tabs>
      </w:pPr>
      <w:rPr>
        <w:rFonts w:ascii="Times New Roman" w:eastAsia="Times New Roman" w:hAnsi="Times New Roman" w:cs="Times New Roman"/>
        <w:b w:val="0"/>
        <w:sz w:val="22"/>
      </w:rPr>
    </w:lvl>
    <w:lvl w:ilvl="2">
      <w:start w:val="1"/>
      <w:numFmt w:val="decimal"/>
      <w:pStyle w:val="3Para"/>
      <w:lvlText w:val="%1.%2.%3"/>
      <w:lvlJc w:val="left"/>
      <w:pPr>
        <w:tabs>
          <w:tab w:val="num" w:pos="0"/>
        </w:tabs>
      </w:pPr>
      <w:rPr>
        <w:rFonts w:ascii="Times New Roman" w:hAnsi="Times New Roman" w:cs="Times New Roman"/>
        <w:b w:val="0"/>
        <w:sz w:val="22"/>
      </w:rPr>
    </w:lvl>
    <w:lvl w:ilvl="3">
      <w:start w:val="1"/>
      <w:numFmt w:val="decimal"/>
      <w:pStyle w:val="4Para"/>
      <w:lvlText w:val="%1.%2.%3.%4"/>
      <w:lvlJc w:val="left"/>
      <w:pPr>
        <w:tabs>
          <w:tab w:val="num" w:pos="0"/>
        </w:tabs>
      </w:pPr>
      <w:rPr>
        <w:rFonts w:ascii="Times New Roman" w:hAnsi="Times New Roman" w:cs="Times New Roman"/>
        <w:b w:val="0"/>
        <w:sz w:val="22"/>
      </w:rPr>
    </w:lvl>
    <w:lvl w:ilvl="4">
      <w:start w:val="1"/>
      <w:numFmt w:val="decimal"/>
      <w:pStyle w:val="5Para"/>
      <w:lvlText w:val="%1.%2.%3.%4.%5"/>
      <w:lvlJc w:val="left"/>
      <w:pPr>
        <w:tabs>
          <w:tab w:val="num" w:pos="0"/>
        </w:tabs>
      </w:pPr>
      <w:rPr>
        <w:rFonts w:ascii="Times New Roman" w:hAnsi="Times New Roman" w:cs="Times New Roman"/>
        <w:b w:val="0"/>
        <w:sz w:val="22"/>
      </w:rPr>
    </w:lvl>
    <w:lvl w:ilvl="5">
      <w:start w:val="1"/>
      <w:numFmt w:val="decimal"/>
      <w:pStyle w:val="6Para"/>
      <w:lvlText w:val="%1.%2.%3.%4.%5.%6"/>
      <w:lvlJc w:val="left"/>
      <w:pPr>
        <w:tabs>
          <w:tab w:val="num" w:pos="0"/>
        </w:tabs>
      </w:pPr>
      <w:rPr>
        <w:rFonts w:ascii="Times New Roman" w:hAnsi="Times New Roman" w:cs="Times New Roman"/>
        <w:b w:val="0"/>
        <w:sz w:val="22"/>
      </w:rPr>
    </w:lvl>
    <w:lvl w:ilvl="6">
      <w:start w:val="1"/>
      <w:numFmt w:val="decimal"/>
      <w:pStyle w:val="7Para"/>
      <w:lvlText w:val="%1.%2.%3.%4.%5.%6.%7"/>
      <w:lvlJc w:val="left"/>
      <w:pPr>
        <w:tabs>
          <w:tab w:val="num" w:pos="0"/>
        </w:tabs>
      </w:pPr>
      <w:rPr>
        <w:rFonts w:ascii="Times New Roman" w:hAnsi="Times New Roman" w:cs="Times New Roman"/>
        <w:b w:val="0"/>
        <w:sz w:val="22"/>
      </w:rPr>
    </w:lvl>
    <w:lvl w:ilvl="7">
      <w:start w:val="1"/>
      <w:numFmt w:val="decimal"/>
      <w:pStyle w:val="8Para"/>
      <w:lvlText w:val="%1.%2.%3.%4.%5.%6.%7.%8"/>
      <w:lvlJc w:val="left"/>
      <w:pPr>
        <w:tabs>
          <w:tab w:val="num" w:pos="0"/>
        </w:tabs>
      </w:pPr>
      <w:rPr>
        <w:rFonts w:ascii="Times New Roman" w:hAnsi="Times New Roman" w:cs="Times New Roman"/>
        <w:b w:val="0"/>
        <w:sz w:val="22"/>
      </w:rPr>
    </w:lvl>
    <w:lvl w:ilvl="8">
      <w:start w:val="1"/>
      <w:numFmt w:val="decimal"/>
      <w:lvlText w:val="%1.%2.%3.%4.%5.%6.%7.%8.%9"/>
      <w:lvlJc w:val="left"/>
      <w:pPr>
        <w:ind w:left="1584" w:hanging="1584"/>
      </w:pPr>
      <w:rPr>
        <w:rFonts w:cs="Times New Roman"/>
      </w:rPr>
    </w:lvl>
  </w:abstractNum>
  <w:abstractNum w:abstractNumId="45"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D946AC7"/>
    <w:multiLevelType w:val="hybridMultilevel"/>
    <w:tmpl w:val="0E844220"/>
    <w:lvl w:ilvl="0" w:tplc="059ED9FA">
      <w:start w:val="14"/>
      <w:numFmt w:val="bullet"/>
      <w:lvlText w:val="-"/>
      <w:lvlJc w:val="left"/>
      <w:pPr>
        <w:ind w:left="1494" w:hanging="360"/>
      </w:pPr>
      <w:rPr>
        <w:rFonts w:ascii="Arial" w:eastAsia="Times New Roman" w:hAnsi="Arial" w:cs="Arial" w:hint="default"/>
      </w:rPr>
    </w:lvl>
    <w:lvl w:ilvl="1" w:tplc="04070003" w:tentative="1">
      <w:start w:val="1"/>
      <w:numFmt w:val="bullet"/>
      <w:lvlText w:val="o"/>
      <w:lvlJc w:val="left"/>
      <w:pPr>
        <w:ind w:left="2214" w:hanging="360"/>
      </w:pPr>
      <w:rPr>
        <w:rFonts w:ascii="Courier New" w:hAnsi="Courier New" w:cs="Courier New" w:hint="default"/>
      </w:rPr>
    </w:lvl>
    <w:lvl w:ilvl="2" w:tplc="04070005" w:tentative="1">
      <w:start w:val="1"/>
      <w:numFmt w:val="bullet"/>
      <w:lvlText w:val=""/>
      <w:lvlJc w:val="left"/>
      <w:pPr>
        <w:ind w:left="2934" w:hanging="360"/>
      </w:pPr>
      <w:rPr>
        <w:rFonts w:ascii="Wingdings" w:hAnsi="Wingdings" w:hint="default"/>
      </w:rPr>
    </w:lvl>
    <w:lvl w:ilvl="3" w:tplc="04070001" w:tentative="1">
      <w:start w:val="1"/>
      <w:numFmt w:val="bullet"/>
      <w:lvlText w:val=""/>
      <w:lvlJc w:val="left"/>
      <w:pPr>
        <w:ind w:left="3654" w:hanging="360"/>
      </w:pPr>
      <w:rPr>
        <w:rFonts w:ascii="Symbol" w:hAnsi="Symbol" w:hint="default"/>
      </w:rPr>
    </w:lvl>
    <w:lvl w:ilvl="4" w:tplc="04070003" w:tentative="1">
      <w:start w:val="1"/>
      <w:numFmt w:val="bullet"/>
      <w:lvlText w:val="o"/>
      <w:lvlJc w:val="left"/>
      <w:pPr>
        <w:ind w:left="4374" w:hanging="360"/>
      </w:pPr>
      <w:rPr>
        <w:rFonts w:ascii="Courier New" w:hAnsi="Courier New" w:cs="Courier New" w:hint="default"/>
      </w:rPr>
    </w:lvl>
    <w:lvl w:ilvl="5" w:tplc="04070005" w:tentative="1">
      <w:start w:val="1"/>
      <w:numFmt w:val="bullet"/>
      <w:lvlText w:val=""/>
      <w:lvlJc w:val="left"/>
      <w:pPr>
        <w:ind w:left="5094" w:hanging="360"/>
      </w:pPr>
      <w:rPr>
        <w:rFonts w:ascii="Wingdings" w:hAnsi="Wingdings" w:hint="default"/>
      </w:rPr>
    </w:lvl>
    <w:lvl w:ilvl="6" w:tplc="04070001" w:tentative="1">
      <w:start w:val="1"/>
      <w:numFmt w:val="bullet"/>
      <w:lvlText w:val=""/>
      <w:lvlJc w:val="left"/>
      <w:pPr>
        <w:ind w:left="5814" w:hanging="360"/>
      </w:pPr>
      <w:rPr>
        <w:rFonts w:ascii="Symbol" w:hAnsi="Symbol" w:hint="default"/>
      </w:rPr>
    </w:lvl>
    <w:lvl w:ilvl="7" w:tplc="04070003" w:tentative="1">
      <w:start w:val="1"/>
      <w:numFmt w:val="bullet"/>
      <w:lvlText w:val="o"/>
      <w:lvlJc w:val="left"/>
      <w:pPr>
        <w:ind w:left="6534" w:hanging="360"/>
      </w:pPr>
      <w:rPr>
        <w:rFonts w:ascii="Courier New" w:hAnsi="Courier New" w:cs="Courier New" w:hint="default"/>
      </w:rPr>
    </w:lvl>
    <w:lvl w:ilvl="8" w:tplc="04070005" w:tentative="1">
      <w:start w:val="1"/>
      <w:numFmt w:val="bullet"/>
      <w:lvlText w:val=""/>
      <w:lvlJc w:val="left"/>
      <w:pPr>
        <w:ind w:left="7254" w:hanging="360"/>
      </w:pPr>
      <w:rPr>
        <w:rFonts w:ascii="Wingdings" w:hAnsi="Wingdings" w:hint="default"/>
      </w:rPr>
    </w:lvl>
  </w:abstractNum>
  <w:num w:numId="1">
    <w:abstractNumId w:val="42"/>
  </w:num>
  <w:num w:numId="2">
    <w:abstractNumId w:val="45"/>
  </w:num>
  <w:num w:numId="3">
    <w:abstractNumId w:val="26"/>
  </w:num>
  <w:num w:numId="4">
    <w:abstractNumId w:val="41"/>
  </w:num>
  <w:num w:numId="5">
    <w:abstractNumId w:val="31"/>
  </w:num>
  <w:num w:numId="6">
    <w:abstractNumId w:val="22"/>
  </w:num>
  <w:num w:numId="7">
    <w:abstractNumId w:val="1"/>
  </w:num>
  <w:num w:numId="8">
    <w:abstractNumId w:val="0"/>
  </w:num>
  <w:num w:numId="9">
    <w:abstractNumId w:val="2"/>
  </w:num>
  <w:num w:numId="10">
    <w:abstractNumId w:val="3"/>
  </w:num>
  <w:num w:numId="11">
    <w:abstractNumId w:val="8"/>
  </w:num>
  <w:num w:numId="12">
    <w:abstractNumId w:val="9"/>
  </w:num>
  <w:num w:numId="13">
    <w:abstractNumId w:val="7"/>
  </w:num>
  <w:num w:numId="14">
    <w:abstractNumId w:val="6"/>
  </w:num>
  <w:num w:numId="15">
    <w:abstractNumId w:val="5"/>
  </w:num>
  <w:num w:numId="16">
    <w:abstractNumId w:val="4"/>
  </w:num>
  <w:num w:numId="17">
    <w:abstractNumId w:val="39"/>
  </w:num>
  <w:num w:numId="18">
    <w:abstractNumId w:val="17"/>
  </w:num>
  <w:num w:numId="19">
    <w:abstractNumId w:val="10"/>
  </w:num>
  <w:num w:numId="20">
    <w:abstractNumId w:val="23"/>
  </w:num>
  <w:num w:numId="21">
    <w:abstractNumId w:val="44"/>
  </w:num>
  <w:num w:numId="22">
    <w:abstractNumId w:val="15"/>
  </w:num>
  <w:num w:numId="23">
    <w:abstractNumId w:val="36"/>
  </w:num>
  <w:num w:numId="24">
    <w:abstractNumId w:val="11"/>
  </w:num>
  <w:num w:numId="25">
    <w:abstractNumId w:val="14"/>
  </w:num>
  <w:num w:numId="26">
    <w:abstractNumId w:val="30"/>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33"/>
  </w:num>
  <w:num w:numId="30">
    <w:abstractNumId w:val="40"/>
  </w:num>
  <w:num w:numId="31">
    <w:abstractNumId w:val="34"/>
  </w:num>
  <w:num w:numId="32">
    <w:abstractNumId w:val="20"/>
  </w:num>
  <w:num w:numId="33">
    <w:abstractNumId w:val="37"/>
  </w:num>
  <w:num w:numId="34">
    <w:abstractNumId w:val="13"/>
  </w:num>
  <w:num w:numId="35">
    <w:abstractNumId w:val="27"/>
  </w:num>
  <w:num w:numId="36">
    <w:abstractNumId w:val="46"/>
  </w:num>
  <w:num w:numId="37">
    <w:abstractNumId w:val="43"/>
  </w:num>
  <w:num w:numId="38">
    <w:abstractNumId w:val="35"/>
  </w:num>
  <w:num w:numId="39">
    <w:abstractNumId w:val="38"/>
  </w:num>
  <w:num w:numId="40">
    <w:abstractNumId w:val="32"/>
  </w:num>
  <w:num w:numId="41">
    <w:abstractNumId w:val="19"/>
  </w:num>
  <w:num w:numId="42">
    <w:abstractNumId w:val="25"/>
  </w:num>
  <w:num w:numId="43">
    <w:abstractNumId w:val="16"/>
  </w:num>
  <w:num w:numId="44">
    <w:abstractNumId w:val="18"/>
  </w:num>
  <w:num w:numId="45">
    <w:abstractNumId w:val="29"/>
  </w:num>
  <w:num w:numId="46">
    <w:abstractNumId w:val="12"/>
  </w:num>
  <w:num w:numId="47">
    <w:abstractNumId w:val="2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567"/>
  <w:hyphenationZone w:val="425"/>
  <w:evenAndOddHeaders/>
  <w:characterSpacingControl w:val="doNotCompress"/>
  <w:hdrShapeDefaults>
    <o:shapedefaults v:ext="edit" spidmax="2252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36D"/>
    <w:rsid w:val="00000713"/>
    <w:rsid w:val="00000D61"/>
    <w:rsid w:val="00002563"/>
    <w:rsid w:val="00002D5B"/>
    <w:rsid w:val="0000497E"/>
    <w:rsid w:val="00004EA5"/>
    <w:rsid w:val="00005BFB"/>
    <w:rsid w:val="00006C6F"/>
    <w:rsid w:val="00006EFF"/>
    <w:rsid w:val="00007751"/>
    <w:rsid w:val="00007A6F"/>
    <w:rsid w:val="00007ABA"/>
    <w:rsid w:val="00011469"/>
    <w:rsid w:val="00013CBB"/>
    <w:rsid w:val="000151E9"/>
    <w:rsid w:val="00015396"/>
    <w:rsid w:val="0001607B"/>
    <w:rsid w:val="00016F35"/>
    <w:rsid w:val="00021D09"/>
    <w:rsid w:val="00022423"/>
    <w:rsid w:val="00022EB3"/>
    <w:rsid w:val="00025E98"/>
    <w:rsid w:val="000269CA"/>
    <w:rsid w:val="00027080"/>
    <w:rsid w:val="000271EE"/>
    <w:rsid w:val="00027451"/>
    <w:rsid w:val="00027C9F"/>
    <w:rsid w:val="00030510"/>
    <w:rsid w:val="0003128D"/>
    <w:rsid w:val="0003135D"/>
    <w:rsid w:val="00034A69"/>
    <w:rsid w:val="00035505"/>
    <w:rsid w:val="00035F7E"/>
    <w:rsid w:val="00036B17"/>
    <w:rsid w:val="000374A7"/>
    <w:rsid w:val="0004143F"/>
    <w:rsid w:val="0004296A"/>
    <w:rsid w:val="0004329E"/>
    <w:rsid w:val="0004441E"/>
    <w:rsid w:val="000451B5"/>
    <w:rsid w:val="0004544F"/>
    <w:rsid w:val="00045633"/>
    <w:rsid w:val="00046685"/>
    <w:rsid w:val="00046688"/>
    <w:rsid w:val="00047824"/>
    <w:rsid w:val="00047D24"/>
    <w:rsid w:val="00050DB5"/>
    <w:rsid w:val="00050F76"/>
    <w:rsid w:val="00051A00"/>
    <w:rsid w:val="00051ADB"/>
    <w:rsid w:val="00051B1F"/>
    <w:rsid w:val="000528D8"/>
    <w:rsid w:val="000531A4"/>
    <w:rsid w:val="0005332C"/>
    <w:rsid w:val="00053CAF"/>
    <w:rsid w:val="00055A91"/>
    <w:rsid w:val="00056142"/>
    <w:rsid w:val="00056650"/>
    <w:rsid w:val="00057507"/>
    <w:rsid w:val="00057646"/>
    <w:rsid w:val="00060104"/>
    <w:rsid w:val="00060466"/>
    <w:rsid w:val="00060520"/>
    <w:rsid w:val="00060EB7"/>
    <w:rsid w:val="000610BF"/>
    <w:rsid w:val="0006341E"/>
    <w:rsid w:val="0006357D"/>
    <w:rsid w:val="00065106"/>
    <w:rsid w:val="0006709A"/>
    <w:rsid w:val="0007005D"/>
    <w:rsid w:val="00070B06"/>
    <w:rsid w:val="00071175"/>
    <w:rsid w:val="00071862"/>
    <w:rsid w:val="00071C60"/>
    <w:rsid w:val="00071FFB"/>
    <w:rsid w:val="00072D80"/>
    <w:rsid w:val="00073000"/>
    <w:rsid w:val="000737F3"/>
    <w:rsid w:val="00073963"/>
    <w:rsid w:val="00073A03"/>
    <w:rsid w:val="00075330"/>
    <w:rsid w:val="00075E17"/>
    <w:rsid w:val="00076D72"/>
    <w:rsid w:val="0007773C"/>
    <w:rsid w:val="00077D7B"/>
    <w:rsid w:val="000801D9"/>
    <w:rsid w:val="00080995"/>
    <w:rsid w:val="00080BD3"/>
    <w:rsid w:val="00080D01"/>
    <w:rsid w:val="000810A2"/>
    <w:rsid w:val="00081585"/>
    <w:rsid w:val="000826F0"/>
    <w:rsid w:val="000840D4"/>
    <w:rsid w:val="0008436B"/>
    <w:rsid w:val="0008540F"/>
    <w:rsid w:val="00085DF3"/>
    <w:rsid w:val="00090AF9"/>
    <w:rsid w:val="00090B58"/>
    <w:rsid w:val="000914A9"/>
    <w:rsid w:val="00092588"/>
    <w:rsid w:val="00092A1E"/>
    <w:rsid w:val="0009429B"/>
    <w:rsid w:val="0009764B"/>
    <w:rsid w:val="00097680"/>
    <w:rsid w:val="000A04E1"/>
    <w:rsid w:val="000A0EFB"/>
    <w:rsid w:val="000A107F"/>
    <w:rsid w:val="000A3753"/>
    <w:rsid w:val="000A592A"/>
    <w:rsid w:val="000A7B35"/>
    <w:rsid w:val="000B048C"/>
    <w:rsid w:val="000B0FBD"/>
    <w:rsid w:val="000B2019"/>
    <w:rsid w:val="000B2E75"/>
    <w:rsid w:val="000B365A"/>
    <w:rsid w:val="000B3CEC"/>
    <w:rsid w:val="000B3F2F"/>
    <w:rsid w:val="000B43C5"/>
    <w:rsid w:val="000B4D96"/>
    <w:rsid w:val="000B630F"/>
    <w:rsid w:val="000B6BFA"/>
    <w:rsid w:val="000B7CEB"/>
    <w:rsid w:val="000B7F6C"/>
    <w:rsid w:val="000B7FCB"/>
    <w:rsid w:val="000C126B"/>
    <w:rsid w:val="000C2C93"/>
    <w:rsid w:val="000C3AD6"/>
    <w:rsid w:val="000C49FF"/>
    <w:rsid w:val="000C542C"/>
    <w:rsid w:val="000C6513"/>
    <w:rsid w:val="000C68EC"/>
    <w:rsid w:val="000D0BD7"/>
    <w:rsid w:val="000D0FDF"/>
    <w:rsid w:val="000D17E5"/>
    <w:rsid w:val="000D1AB1"/>
    <w:rsid w:val="000D1B0D"/>
    <w:rsid w:val="000D1BDB"/>
    <w:rsid w:val="000D3105"/>
    <w:rsid w:val="000D39A6"/>
    <w:rsid w:val="000D3D7E"/>
    <w:rsid w:val="000D3F08"/>
    <w:rsid w:val="000D41C5"/>
    <w:rsid w:val="000D42E5"/>
    <w:rsid w:val="000D4833"/>
    <w:rsid w:val="000D4F56"/>
    <w:rsid w:val="000D5AC0"/>
    <w:rsid w:val="000D775C"/>
    <w:rsid w:val="000E006A"/>
    <w:rsid w:val="000E1E4E"/>
    <w:rsid w:val="000E27D8"/>
    <w:rsid w:val="000E4EA6"/>
    <w:rsid w:val="000E6E4B"/>
    <w:rsid w:val="000E7205"/>
    <w:rsid w:val="000E758D"/>
    <w:rsid w:val="000F3924"/>
    <w:rsid w:val="000F4DD4"/>
    <w:rsid w:val="00100712"/>
    <w:rsid w:val="001009E1"/>
    <w:rsid w:val="00103305"/>
    <w:rsid w:val="00106A9F"/>
    <w:rsid w:val="001074B2"/>
    <w:rsid w:val="00107C0C"/>
    <w:rsid w:val="0011130C"/>
    <w:rsid w:val="00111602"/>
    <w:rsid w:val="00117856"/>
    <w:rsid w:val="00120E3D"/>
    <w:rsid w:val="00125036"/>
    <w:rsid w:val="00125F43"/>
    <w:rsid w:val="001326D3"/>
    <w:rsid w:val="00133D98"/>
    <w:rsid w:val="00134E71"/>
    <w:rsid w:val="00135CD2"/>
    <w:rsid w:val="001367EE"/>
    <w:rsid w:val="00140AA3"/>
    <w:rsid w:val="00142262"/>
    <w:rsid w:val="001426FB"/>
    <w:rsid w:val="001432FC"/>
    <w:rsid w:val="0014449A"/>
    <w:rsid w:val="001447D7"/>
    <w:rsid w:val="0014527E"/>
    <w:rsid w:val="00145D8C"/>
    <w:rsid w:val="00145F65"/>
    <w:rsid w:val="00147075"/>
    <w:rsid w:val="001472DE"/>
    <w:rsid w:val="001479FD"/>
    <w:rsid w:val="00150911"/>
    <w:rsid w:val="0015105A"/>
    <w:rsid w:val="001529E8"/>
    <w:rsid w:val="00153CF4"/>
    <w:rsid w:val="001558DC"/>
    <w:rsid w:val="00155B23"/>
    <w:rsid w:val="001563A1"/>
    <w:rsid w:val="00157489"/>
    <w:rsid w:val="00160306"/>
    <w:rsid w:val="00160617"/>
    <w:rsid w:val="00161489"/>
    <w:rsid w:val="00161CE8"/>
    <w:rsid w:val="001631F2"/>
    <w:rsid w:val="001636D5"/>
    <w:rsid w:val="001644F6"/>
    <w:rsid w:val="001655D4"/>
    <w:rsid w:val="00166B33"/>
    <w:rsid w:val="00167059"/>
    <w:rsid w:val="00167D58"/>
    <w:rsid w:val="0017020D"/>
    <w:rsid w:val="001703C3"/>
    <w:rsid w:val="001709B1"/>
    <w:rsid w:val="00171427"/>
    <w:rsid w:val="001734FD"/>
    <w:rsid w:val="0017373E"/>
    <w:rsid w:val="00174DB9"/>
    <w:rsid w:val="00175690"/>
    <w:rsid w:val="00175ECD"/>
    <w:rsid w:val="00176C54"/>
    <w:rsid w:val="00177171"/>
    <w:rsid w:val="00177BFB"/>
    <w:rsid w:val="001801E1"/>
    <w:rsid w:val="00181559"/>
    <w:rsid w:val="001819F6"/>
    <w:rsid w:val="0019145B"/>
    <w:rsid w:val="0019167A"/>
    <w:rsid w:val="00191715"/>
    <w:rsid w:val="0019295D"/>
    <w:rsid w:val="00193E7D"/>
    <w:rsid w:val="001940C1"/>
    <w:rsid w:val="00194F0A"/>
    <w:rsid w:val="001958B3"/>
    <w:rsid w:val="0019643B"/>
    <w:rsid w:val="001966ED"/>
    <w:rsid w:val="00196C26"/>
    <w:rsid w:val="001A03EE"/>
    <w:rsid w:val="001A0721"/>
    <w:rsid w:val="001A0CF6"/>
    <w:rsid w:val="001A1FB9"/>
    <w:rsid w:val="001A2BDB"/>
    <w:rsid w:val="001A3553"/>
    <w:rsid w:val="001A3671"/>
    <w:rsid w:val="001A394E"/>
    <w:rsid w:val="001A3E0F"/>
    <w:rsid w:val="001A4FAC"/>
    <w:rsid w:val="001A52BF"/>
    <w:rsid w:val="001A6B21"/>
    <w:rsid w:val="001B0002"/>
    <w:rsid w:val="001B0036"/>
    <w:rsid w:val="001B0E45"/>
    <w:rsid w:val="001B4438"/>
    <w:rsid w:val="001B4877"/>
    <w:rsid w:val="001B4B49"/>
    <w:rsid w:val="001B4C6E"/>
    <w:rsid w:val="001B58FA"/>
    <w:rsid w:val="001B5947"/>
    <w:rsid w:val="001B6338"/>
    <w:rsid w:val="001C063E"/>
    <w:rsid w:val="001C0954"/>
    <w:rsid w:val="001C09D0"/>
    <w:rsid w:val="001C2612"/>
    <w:rsid w:val="001C2F32"/>
    <w:rsid w:val="001C4C63"/>
    <w:rsid w:val="001C5121"/>
    <w:rsid w:val="001C776F"/>
    <w:rsid w:val="001C7BA0"/>
    <w:rsid w:val="001D01F4"/>
    <w:rsid w:val="001D02A9"/>
    <w:rsid w:val="001D13E2"/>
    <w:rsid w:val="001D15E2"/>
    <w:rsid w:val="001D2391"/>
    <w:rsid w:val="001D24AD"/>
    <w:rsid w:val="001D277A"/>
    <w:rsid w:val="001D3A44"/>
    <w:rsid w:val="001D3AC4"/>
    <w:rsid w:val="001D41AB"/>
    <w:rsid w:val="001D50B9"/>
    <w:rsid w:val="001D53DB"/>
    <w:rsid w:val="001D5B92"/>
    <w:rsid w:val="001D5D8F"/>
    <w:rsid w:val="001D62BA"/>
    <w:rsid w:val="001D6F0B"/>
    <w:rsid w:val="001D7815"/>
    <w:rsid w:val="001D7B9C"/>
    <w:rsid w:val="001E1731"/>
    <w:rsid w:val="001E3657"/>
    <w:rsid w:val="001E3AB0"/>
    <w:rsid w:val="001E47B6"/>
    <w:rsid w:val="001E4C24"/>
    <w:rsid w:val="001E5FEE"/>
    <w:rsid w:val="001E6E97"/>
    <w:rsid w:val="001F115F"/>
    <w:rsid w:val="001F15E8"/>
    <w:rsid w:val="001F31F1"/>
    <w:rsid w:val="001F539F"/>
    <w:rsid w:val="001F6031"/>
    <w:rsid w:val="001F6BA1"/>
    <w:rsid w:val="001F7097"/>
    <w:rsid w:val="001F723B"/>
    <w:rsid w:val="001F7BB5"/>
    <w:rsid w:val="00200F1D"/>
    <w:rsid w:val="0020111D"/>
    <w:rsid w:val="0020325D"/>
    <w:rsid w:val="00203D65"/>
    <w:rsid w:val="002047EC"/>
    <w:rsid w:val="002052A4"/>
    <w:rsid w:val="0020554B"/>
    <w:rsid w:val="002061A2"/>
    <w:rsid w:val="00206C2B"/>
    <w:rsid w:val="0020700F"/>
    <w:rsid w:val="002075BA"/>
    <w:rsid w:val="002076DD"/>
    <w:rsid w:val="002079D0"/>
    <w:rsid w:val="00210646"/>
    <w:rsid w:val="00210ABE"/>
    <w:rsid w:val="00211857"/>
    <w:rsid w:val="0021287D"/>
    <w:rsid w:val="002129C7"/>
    <w:rsid w:val="00213A30"/>
    <w:rsid w:val="002149B9"/>
    <w:rsid w:val="00215B9E"/>
    <w:rsid w:val="002200E8"/>
    <w:rsid w:val="00220862"/>
    <w:rsid w:val="002226E6"/>
    <w:rsid w:val="00224827"/>
    <w:rsid w:val="00224F61"/>
    <w:rsid w:val="00225338"/>
    <w:rsid w:val="002258FB"/>
    <w:rsid w:val="00226A57"/>
    <w:rsid w:val="00227763"/>
    <w:rsid w:val="00232A6B"/>
    <w:rsid w:val="00234527"/>
    <w:rsid w:val="00236CDF"/>
    <w:rsid w:val="00236D78"/>
    <w:rsid w:val="0023725E"/>
    <w:rsid w:val="002374D7"/>
    <w:rsid w:val="00237A20"/>
    <w:rsid w:val="00237ABE"/>
    <w:rsid w:val="002404DE"/>
    <w:rsid w:val="00241BAB"/>
    <w:rsid w:val="002425E1"/>
    <w:rsid w:val="00243D68"/>
    <w:rsid w:val="00244485"/>
    <w:rsid w:val="00245239"/>
    <w:rsid w:val="00247448"/>
    <w:rsid w:val="002503DB"/>
    <w:rsid w:val="00250F54"/>
    <w:rsid w:val="002514E7"/>
    <w:rsid w:val="0025241F"/>
    <w:rsid w:val="0025334C"/>
    <w:rsid w:val="0025406F"/>
    <w:rsid w:val="002563CD"/>
    <w:rsid w:val="002574A1"/>
    <w:rsid w:val="00257DD8"/>
    <w:rsid w:val="002609B5"/>
    <w:rsid w:val="00260B78"/>
    <w:rsid w:val="002619F1"/>
    <w:rsid w:val="0026201D"/>
    <w:rsid w:val="00262A48"/>
    <w:rsid w:val="0026319F"/>
    <w:rsid w:val="00265CBB"/>
    <w:rsid w:val="002669A1"/>
    <w:rsid w:val="00266F13"/>
    <w:rsid w:val="002678D4"/>
    <w:rsid w:val="00267C3B"/>
    <w:rsid w:val="00271E29"/>
    <w:rsid w:val="0027222D"/>
    <w:rsid w:val="00272303"/>
    <w:rsid w:val="002726CA"/>
    <w:rsid w:val="00273715"/>
    <w:rsid w:val="002741EB"/>
    <w:rsid w:val="00274A3B"/>
    <w:rsid w:val="002760C0"/>
    <w:rsid w:val="0027762E"/>
    <w:rsid w:val="002801BC"/>
    <w:rsid w:val="002821FF"/>
    <w:rsid w:val="002825A3"/>
    <w:rsid w:val="002831EC"/>
    <w:rsid w:val="00283E6E"/>
    <w:rsid w:val="00284226"/>
    <w:rsid w:val="00287513"/>
    <w:rsid w:val="00287673"/>
    <w:rsid w:val="00291442"/>
    <w:rsid w:val="00291578"/>
    <w:rsid w:val="00291AB9"/>
    <w:rsid w:val="00292F63"/>
    <w:rsid w:val="0029349D"/>
    <w:rsid w:val="0029465C"/>
    <w:rsid w:val="00296540"/>
    <w:rsid w:val="00297342"/>
    <w:rsid w:val="00297B3C"/>
    <w:rsid w:val="002A1D03"/>
    <w:rsid w:val="002A223F"/>
    <w:rsid w:val="002A4460"/>
    <w:rsid w:val="002A6CF0"/>
    <w:rsid w:val="002B098A"/>
    <w:rsid w:val="002B1674"/>
    <w:rsid w:val="002B1B7D"/>
    <w:rsid w:val="002B2155"/>
    <w:rsid w:val="002B40BD"/>
    <w:rsid w:val="002B425C"/>
    <w:rsid w:val="002B5060"/>
    <w:rsid w:val="002B5F01"/>
    <w:rsid w:val="002B604C"/>
    <w:rsid w:val="002B63EA"/>
    <w:rsid w:val="002B6F2E"/>
    <w:rsid w:val="002B73EB"/>
    <w:rsid w:val="002C0304"/>
    <w:rsid w:val="002C0B79"/>
    <w:rsid w:val="002C1A52"/>
    <w:rsid w:val="002C268D"/>
    <w:rsid w:val="002C37F4"/>
    <w:rsid w:val="002C5429"/>
    <w:rsid w:val="002C5E48"/>
    <w:rsid w:val="002C5E76"/>
    <w:rsid w:val="002C65F3"/>
    <w:rsid w:val="002C76EE"/>
    <w:rsid w:val="002C7853"/>
    <w:rsid w:val="002C78E7"/>
    <w:rsid w:val="002D07D3"/>
    <w:rsid w:val="002D0B1F"/>
    <w:rsid w:val="002D1E78"/>
    <w:rsid w:val="002D4E23"/>
    <w:rsid w:val="002D5A83"/>
    <w:rsid w:val="002D733D"/>
    <w:rsid w:val="002D7D65"/>
    <w:rsid w:val="002E02E0"/>
    <w:rsid w:val="002E06A9"/>
    <w:rsid w:val="002E0806"/>
    <w:rsid w:val="002E3BE2"/>
    <w:rsid w:val="002E403A"/>
    <w:rsid w:val="002E5DAE"/>
    <w:rsid w:val="002E7DAD"/>
    <w:rsid w:val="002F13D0"/>
    <w:rsid w:val="002F19B7"/>
    <w:rsid w:val="002F1B88"/>
    <w:rsid w:val="002F272F"/>
    <w:rsid w:val="002F3220"/>
    <w:rsid w:val="002F50D0"/>
    <w:rsid w:val="002F54A9"/>
    <w:rsid w:val="002F6729"/>
    <w:rsid w:val="00301287"/>
    <w:rsid w:val="00304210"/>
    <w:rsid w:val="003053A8"/>
    <w:rsid w:val="003053C8"/>
    <w:rsid w:val="00305838"/>
    <w:rsid w:val="0030595F"/>
    <w:rsid w:val="00307728"/>
    <w:rsid w:val="003078FC"/>
    <w:rsid w:val="00310AF9"/>
    <w:rsid w:val="0031116B"/>
    <w:rsid w:val="00317BAB"/>
    <w:rsid w:val="00320574"/>
    <w:rsid w:val="00322A76"/>
    <w:rsid w:val="00323692"/>
    <w:rsid w:val="00325B1B"/>
    <w:rsid w:val="00325FA7"/>
    <w:rsid w:val="003267B7"/>
    <w:rsid w:val="0032786C"/>
    <w:rsid w:val="00327C17"/>
    <w:rsid w:val="00330242"/>
    <w:rsid w:val="003309F0"/>
    <w:rsid w:val="003312E0"/>
    <w:rsid w:val="003313A8"/>
    <w:rsid w:val="00331AA9"/>
    <w:rsid w:val="00333C83"/>
    <w:rsid w:val="003343B4"/>
    <w:rsid w:val="00334783"/>
    <w:rsid w:val="00335013"/>
    <w:rsid w:val="00337A64"/>
    <w:rsid w:val="00340CA5"/>
    <w:rsid w:val="00340EBE"/>
    <w:rsid w:val="003415B9"/>
    <w:rsid w:val="003421B9"/>
    <w:rsid w:val="00346D9F"/>
    <w:rsid w:val="00347207"/>
    <w:rsid w:val="00350629"/>
    <w:rsid w:val="00351CDA"/>
    <w:rsid w:val="003532F0"/>
    <w:rsid w:val="00353A93"/>
    <w:rsid w:val="00354076"/>
    <w:rsid w:val="0035587B"/>
    <w:rsid w:val="00355DA7"/>
    <w:rsid w:val="00356E19"/>
    <w:rsid w:val="003577AF"/>
    <w:rsid w:val="003603F6"/>
    <w:rsid w:val="00361186"/>
    <w:rsid w:val="003613B9"/>
    <w:rsid w:val="00363251"/>
    <w:rsid w:val="003650AE"/>
    <w:rsid w:val="003700FE"/>
    <w:rsid w:val="00370717"/>
    <w:rsid w:val="00370DF4"/>
    <w:rsid w:val="00371374"/>
    <w:rsid w:val="0037372C"/>
    <w:rsid w:val="00375305"/>
    <w:rsid w:val="0037566D"/>
    <w:rsid w:val="00380D6D"/>
    <w:rsid w:val="00381681"/>
    <w:rsid w:val="0038186F"/>
    <w:rsid w:val="00381F77"/>
    <w:rsid w:val="0038213C"/>
    <w:rsid w:val="0038326E"/>
    <w:rsid w:val="00384811"/>
    <w:rsid w:val="00384A08"/>
    <w:rsid w:val="00384AC2"/>
    <w:rsid w:val="00386AB7"/>
    <w:rsid w:val="003910E7"/>
    <w:rsid w:val="0039136D"/>
    <w:rsid w:val="0039583D"/>
    <w:rsid w:val="00396368"/>
    <w:rsid w:val="0039660E"/>
    <w:rsid w:val="00396F1D"/>
    <w:rsid w:val="00397EB9"/>
    <w:rsid w:val="003A01B6"/>
    <w:rsid w:val="003A041A"/>
    <w:rsid w:val="003A0F9C"/>
    <w:rsid w:val="003A1E21"/>
    <w:rsid w:val="003A4E91"/>
    <w:rsid w:val="003A5E86"/>
    <w:rsid w:val="003A7559"/>
    <w:rsid w:val="003B1770"/>
    <w:rsid w:val="003B1EA9"/>
    <w:rsid w:val="003B3CB4"/>
    <w:rsid w:val="003B4B1A"/>
    <w:rsid w:val="003B4DF8"/>
    <w:rsid w:val="003B5A4C"/>
    <w:rsid w:val="003B6B2F"/>
    <w:rsid w:val="003B6EF8"/>
    <w:rsid w:val="003B716A"/>
    <w:rsid w:val="003C099A"/>
    <w:rsid w:val="003C10B9"/>
    <w:rsid w:val="003C2A1C"/>
    <w:rsid w:val="003C4B23"/>
    <w:rsid w:val="003C56D6"/>
    <w:rsid w:val="003C5D32"/>
    <w:rsid w:val="003C7ADA"/>
    <w:rsid w:val="003D0361"/>
    <w:rsid w:val="003D04F4"/>
    <w:rsid w:val="003D1638"/>
    <w:rsid w:val="003D1D53"/>
    <w:rsid w:val="003D282A"/>
    <w:rsid w:val="003D3059"/>
    <w:rsid w:val="003D30C8"/>
    <w:rsid w:val="003D4A7B"/>
    <w:rsid w:val="003D57E3"/>
    <w:rsid w:val="003D5953"/>
    <w:rsid w:val="003D7E55"/>
    <w:rsid w:val="003E0A67"/>
    <w:rsid w:val="003E120C"/>
    <w:rsid w:val="003E14B9"/>
    <w:rsid w:val="003E16B1"/>
    <w:rsid w:val="003E1A90"/>
    <w:rsid w:val="003E2035"/>
    <w:rsid w:val="003E4119"/>
    <w:rsid w:val="003E4941"/>
    <w:rsid w:val="003E58FC"/>
    <w:rsid w:val="003E62E3"/>
    <w:rsid w:val="003E64E5"/>
    <w:rsid w:val="003E6F2F"/>
    <w:rsid w:val="003E7FA4"/>
    <w:rsid w:val="003F1756"/>
    <w:rsid w:val="003F242E"/>
    <w:rsid w:val="003F247B"/>
    <w:rsid w:val="003F404E"/>
    <w:rsid w:val="003F47A0"/>
    <w:rsid w:val="003F7AB3"/>
    <w:rsid w:val="003F7D2D"/>
    <w:rsid w:val="00400639"/>
    <w:rsid w:val="0040161F"/>
    <w:rsid w:val="00402363"/>
    <w:rsid w:val="00403484"/>
    <w:rsid w:val="0040549D"/>
    <w:rsid w:val="0040555A"/>
    <w:rsid w:val="0040561F"/>
    <w:rsid w:val="0040762C"/>
    <w:rsid w:val="004103DB"/>
    <w:rsid w:val="00413F50"/>
    <w:rsid w:val="00415F6A"/>
    <w:rsid w:val="00416AE7"/>
    <w:rsid w:val="00416F68"/>
    <w:rsid w:val="00417F39"/>
    <w:rsid w:val="004201BC"/>
    <w:rsid w:val="00420874"/>
    <w:rsid w:val="00421882"/>
    <w:rsid w:val="00421F85"/>
    <w:rsid w:val="00422CB6"/>
    <w:rsid w:val="00427ED7"/>
    <w:rsid w:val="00427F8D"/>
    <w:rsid w:val="00427F9A"/>
    <w:rsid w:val="0043079B"/>
    <w:rsid w:val="004309EA"/>
    <w:rsid w:val="00433C5B"/>
    <w:rsid w:val="004349A8"/>
    <w:rsid w:val="00434EB9"/>
    <w:rsid w:val="004355A2"/>
    <w:rsid w:val="00435E20"/>
    <w:rsid w:val="00436606"/>
    <w:rsid w:val="00440098"/>
    <w:rsid w:val="00440BBE"/>
    <w:rsid w:val="00443309"/>
    <w:rsid w:val="00443BD0"/>
    <w:rsid w:val="004444A3"/>
    <w:rsid w:val="00445BA7"/>
    <w:rsid w:val="00446298"/>
    <w:rsid w:val="00450C08"/>
    <w:rsid w:val="00451137"/>
    <w:rsid w:val="00451E66"/>
    <w:rsid w:val="0045325D"/>
    <w:rsid w:val="00453695"/>
    <w:rsid w:val="00453C13"/>
    <w:rsid w:val="00454963"/>
    <w:rsid w:val="00454F86"/>
    <w:rsid w:val="00455934"/>
    <w:rsid w:val="00455A65"/>
    <w:rsid w:val="00455AEC"/>
    <w:rsid w:val="0045601C"/>
    <w:rsid w:val="0045606C"/>
    <w:rsid w:val="004572CE"/>
    <w:rsid w:val="00460101"/>
    <w:rsid w:val="004607B0"/>
    <w:rsid w:val="00460879"/>
    <w:rsid w:val="00460C87"/>
    <w:rsid w:val="00461BAC"/>
    <w:rsid w:val="00463086"/>
    <w:rsid w:val="004643AE"/>
    <w:rsid w:val="004649CB"/>
    <w:rsid w:val="00464CCC"/>
    <w:rsid w:val="00466667"/>
    <w:rsid w:val="00466D9C"/>
    <w:rsid w:val="00466DD2"/>
    <w:rsid w:val="00467D49"/>
    <w:rsid w:val="004713B8"/>
    <w:rsid w:val="00471C7F"/>
    <w:rsid w:val="004753B7"/>
    <w:rsid w:val="00475E52"/>
    <w:rsid w:val="0047709F"/>
    <w:rsid w:val="004774A0"/>
    <w:rsid w:val="00480599"/>
    <w:rsid w:val="00481745"/>
    <w:rsid w:val="00482560"/>
    <w:rsid w:val="00482AFC"/>
    <w:rsid w:val="004837B4"/>
    <w:rsid w:val="00485FDE"/>
    <w:rsid w:val="0048687D"/>
    <w:rsid w:val="00486DAC"/>
    <w:rsid w:val="0048756D"/>
    <w:rsid w:val="00487E04"/>
    <w:rsid w:val="0049020F"/>
    <w:rsid w:val="004912E9"/>
    <w:rsid w:val="0049144D"/>
    <w:rsid w:val="00492501"/>
    <w:rsid w:val="00494C86"/>
    <w:rsid w:val="004953A8"/>
    <w:rsid w:val="0049631C"/>
    <w:rsid w:val="00496B1B"/>
    <w:rsid w:val="00496BF5"/>
    <w:rsid w:val="0049738D"/>
    <w:rsid w:val="004A03A0"/>
    <w:rsid w:val="004A0512"/>
    <w:rsid w:val="004A0AE2"/>
    <w:rsid w:val="004A0D39"/>
    <w:rsid w:val="004A0ED9"/>
    <w:rsid w:val="004A20F3"/>
    <w:rsid w:val="004A22CC"/>
    <w:rsid w:val="004A4708"/>
    <w:rsid w:val="004A4BFF"/>
    <w:rsid w:val="004A5766"/>
    <w:rsid w:val="004A5B12"/>
    <w:rsid w:val="004A703C"/>
    <w:rsid w:val="004A7DB5"/>
    <w:rsid w:val="004B031D"/>
    <w:rsid w:val="004B0C0B"/>
    <w:rsid w:val="004B108A"/>
    <w:rsid w:val="004B3220"/>
    <w:rsid w:val="004B40E2"/>
    <w:rsid w:val="004B4CEC"/>
    <w:rsid w:val="004B4E5A"/>
    <w:rsid w:val="004B5434"/>
    <w:rsid w:val="004B5A77"/>
    <w:rsid w:val="004B6B76"/>
    <w:rsid w:val="004C03B7"/>
    <w:rsid w:val="004C090F"/>
    <w:rsid w:val="004C093C"/>
    <w:rsid w:val="004C2399"/>
    <w:rsid w:val="004C26B3"/>
    <w:rsid w:val="004C2717"/>
    <w:rsid w:val="004C33EF"/>
    <w:rsid w:val="004C3E22"/>
    <w:rsid w:val="004C4F4B"/>
    <w:rsid w:val="004C5B87"/>
    <w:rsid w:val="004C61EB"/>
    <w:rsid w:val="004C63BB"/>
    <w:rsid w:val="004C657F"/>
    <w:rsid w:val="004C69B5"/>
    <w:rsid w:val="004D1CC8"/>
    <w:rsid w:val="004D21F2"/>
    <w:rsid w:val="004D2816"/>
    <w:rsid w:val="004D31DF"/>
    <w:rsid w:val="004D34AA"/>
    <w:rsid w:val="004D3BE4"/>
    <w:rsid w:val="004D4464"/>
    <w:rsid w:val="004D47B1"/>
    <w:rsid w:val="004D65A4"/>
    <w:rsid w:val="004E0439"/>
    <w:rsid w:val="004E05DE"/>
    <w:rsid w:val="004E0C0C"/>
    <w:rsid w:val="004E602C"/>
    <w:rsid w:val="004E6096"/>
    <w:rsid w:val="004E691C"/>
    <w:rsid w:val="004E69B1"/>
    <w:rsid w:val="004E72E0"/>
    <w:rsid w:val="004E7BBC"/>
    <w:rsid w:val="004E7CD2"/>
    <w:rsid w:val="004F0212"/>
    <w:rsid w:val="004F0577"/>
    <w:rsid w:val="004F075D"/>
    <w:rsid w:val="004F4DFE"/>
    <w:rsid w:val="004F540F"/>
    <w:rsid w:val="004F5A97"/>
    <w:rsid w:val="004F7853"/>
    <w:rsid w:val="00500644"/>
    <w:rsid w:val="00500FA6"/>
    <w:rsid w:val="0050253A"/>
    <w:rsid w:val="00502730"/>
    <w:rsid w:val="0050369C"/>
    <w:rsid w:val="005043F3"/>
    <w:rsid w:val="005045EB"/>
    <w:rsid w:val="0050494E"/>
    <w:rsid w:val="00505279"/>
    <w:rsid w:val="00507294"/>
    <w:rsid w:val="00507CEC"/>
    <w:rsid w:val="00507F79"/>
    <w:rsid w:val="005104C0"/>
    <w:rsid w:val="0051303B"/>
    <w:rsid w:val="005149D7"/>
    <w:rsid w:val="00514C4C"/>
    <w:rsid w:val="005153AC"/>
    <w:rsid w:val="0051662E"/>
    <w:rsid w:val="005179CB"/>
    <w:rsid w:val="00517AC0"/>
    <w:rsid w:val="00520BC3"/>
    <w:rsid w:val="005210BA"/>
    <w:rsid w:val="005216AA"/>
    <w:rsid w:val="00521DBA"/>
    <w:rsid w:val="00524441"/>
    <w:rsid w:val="0052480F"/>
    <w:rsid w:val="00524F37"/>
    <w:rsid w:val="005250EE"/>
    <w:rsid w:val="00525129"/>
    <w:rsid w:val="005255FE"/>
    <w:rsid w:val="00525FEC"/>
    <w:rsid w:val="005261C2"/>
    <w:rsid w:val="00526B95"/>
    <w:rsid w:val="00527FDD"/>
    <w:rsid w:val="0053265A"/>
    <w:rsid w:val="00532CC9"/>
    <w:rsid w:val="0053572B"/>
    <w:rsid w:val="0053642E"/>
    <w:rsid w:val="00536A7B"/>
    <w:rsid w:val="00537308"/>
    <w:rsid w:val="00540555"/>
    <w:rsid w:val="00545FF2"/>
    <w:rsid w:val="0055123B"/>
    <w:rsid w:val="00551DF4"/>
    <w:rsid w:val="00552ABA"/>
    <w:rsid w:val="00553780"/>
    <w:rsid w:val="005537B1"/>
    <w:rsid w:val="00553F61"/>
    <w:rsid w:val="00554662"/>
    <w:rsid w:val="00554B38"/>
    <w:rsid w:val="005555CB"/>
    <w:rsid w:val="00560770"/>
    <w:rsid w:val="005608EE"/>
    <w:rsid w:val="005610F9"/>
    <w:rsid w:val="00561BDB"/>
    <w:rsid w:val="0056208B"/>
    <w:rsid w:val="00562DB3"/>
    <w:rsid w:val="00564098"/>
    <w:rsid w:val="0056489A"/>
    <w:rsid w:val="005655F9"/>
    <w:rsid w:val="005666AB"/>
    <w:rsid w:val="00567ACE"/>
    <w:rsid w:val="00570F26"/>
    <w:rsid w:val="0057103B"/>
    <w:rsid w:val="00573B62"/>
    <w:rsid w:val="00573DE7"/>
    <w:rsid w:val="00577107"/>
    <w:rsid w:val="00577390"/>
    <w:rsid w:val="00580576"/>
    <w:rsid w:val="0058162A"/>
    <w:rsid w:val="0058266A"/>
    <w:rsid w:val="00582B14"/>
    <w:rsid w:val="00582C3C"/>
    <w:rsid w:val="00583ED7"/>
    <w:rsid w:val="00584DD1"/>
    <w:rsid w:val="00584F3E"/>
    <w:rsid w:val="0058530A"/>
    <w:rsid w:val="0058624A"/>
    <w:rsid w:val="005864CF"/>
    <w:rsid w:val="0058726D"/>
    <w:rsid w:val="005906F8"/>
    <w:rsid w:val="00590988"/>
    <w:rsid w:val="00592B7E"/>
    <w:rsid w:val="00593213"/>
    <w:rsid w:val="00593AED"/>
    <w:rsid w:val="00593C0A"/>
    <w:rsid w:val="00594321"/>
    <w:rsid w:val="005956BE"/>
    <w:rsid w:val="0059575F"/>
    <w:rsid w:val="00595B12"/>
    <w:rsid w:val="00595B31"/>
    <w:rsid w:val="00595DEF"/>
    <w:rsid w:val="00596493"/>
    <w:rsid w:val="00596522"/>
    <w:rsid w:val="00596E04"/>
    <w:rsid w:val="00597467"/>
    <w:rsid w:val="00597567"/>
    <w:rsid w:val="005A024B"/>
    <w:rsid w:val="005A12CF"/>
    <w:rsid w:val="005A17F5"/>
    <w:rsid w:val="005A2295"/>
    <w:rsid w:val="005A2416"/>
    <w:rsid w:val="005A2C1D"/>
    <w:rsid w:val="005A33CD"/>
    <w:rsid w:val="005A3933"/>
    <w:rsid w:val="005A39C4"/>
    <w:rsid w:val="005A3CC7"/>
    <w:rsid w:val="005A42FB"/>
    <w:rsid w:val="005A6C2B"/>
    <w:rsid w:val="005A6C81"/>
    <w:rsid w:val="005A7B32"/>
    <w:rsid w:val="005B0414"/>
    <w:rsid w:val="005B1EED"/>
    <w:rsid w:val="005B3AD4"/>
    <w:rsid w:val="005B46BF"/>
    <w:rsid w:val="005B5BEF"/>
    <w:rsid w:val="005B66A8"/>
    <w:rsid w:val="005B66C8"/>
    <w:rsid w:val="005B6BDB"/>
    <w:rsid w:val="005B7402"/>
    <w:rsid w:val="005C0004"/>
    <w:rsid w:val="005C157C"/>
    <w:rsid w:val="005C169B"/>
    <w:rsid w:val="005C328F"/>
    <w:rsid w:val="005C395C"/>
    <w:rsid w:val="005C417F"/>
    <w:rsid w:val="005D088A"/>
    <w:rsid w:val="005D19A7"/>
    <w:rsid w:val="005D1DA9"/>
    <w:rsid w:val="005D3195"/>
    <w:rsid w:val="005D39EF"/>
    <w:rsid w:val="005D3DBA"/>
    <w:rsid w:val="005D3E13"/>
    <w:rsid w:val="005D6358"/>
    <w:rsid w:val="005D68F7"/>
    <w:rsid w:val="005D7657"/>
    <w:rsid w:val="005E0AFF"/>
    <w:rsid w:val="005E3E85"/>
    <w:rsid w:val="005E572D"/>
    <w:rsid w:val="005E5786"/>
    <w:rsid w:val="005E69B2"/>
    <w:rsid w:val="005E7851"/>
    <w:rsid w:val="005F0FBE"/>
    <w:rsid w:val="005F1E34"/>
    <w:rsid w:val="005F3601"/>
    <w:rsid w:val="005F55FE"/>
    <w:rsid w:val="005F6AF6"/>
    <w:rsid w:val="005F6BA2"/>
    <w:rsid w:val="005F6C8E"/>
    <w:rsid w:val="005F6E5B"/>
    <w:rsid w:val="00600415"/>
    <w:rsid w:val="00600D6F"/>
    <w:rsid w:val="00601C38"/>
    <w:rsid w:val="006037C7"/>
    <w:rsid w:val="00603F18"/>
    <w:rsid w:val="00606942"/>
    <w:rsid w:val="00606EEE"/>
    <w:rsid w:val="006113E1"/>
    <w:rsid w:val="00611793"/>
    <w:rsid w:val="006119B5"/>
    <w:rsid w:val="006125FC"/>
    <w:rsid w:val="00614275"/>
    <w:rsid w:val="006143DB"/>
    <w:rsid w:val="006147A5"/>
    <w:rsid w:val="00614EEF"/>
    <w:rsid w:val="006152C0"/>
    <w:rsid w:val="006168C1"/>
    <w:rsid w:val="00617037"/>
    <w:rsid w:val="00617658"/>
    <w:rsid w:val="00617D30"/>
    <w:rsid w:val="0062100D"/>
    <w:rsid w:val="006214B4"/>
    <w:rsid w:val="00621574"/>
    <w:rsid w:val="006216C1"/>
    <w:rsid w:val="0062214D"/>
    <w:rsid w:val="00622239"/>
    <w:rsid w:val="00622A37"/>
    <w:rsid w:val="00622C72"/>
    <w:rsid w:val="00623D76"/>
    <w:rsid w:val="00624B57"/>
    <w:rsid w:val="0062507C"/>
    <w:rsid w:val="0062597D"/>
    <w:rsid w:val="00636127"/>
    <w:rsid w:val="0063617D"/>
    <w:rsid w:val="00636788"/>
    <w:rsid w:val="006419B1"/>
    <w:rsid w:val="00642D6A"/>
    <w:rsid w:val="00643640"/>
    <w:rsid w:val="00643C1C"/>
    <w:rsid w:val="006450B8"/>
    <w:rsid w:val="006457D0"/>
    <w:rsid w:val="00646F4F"/>
    <w:rsid w:val="00652176"/>
    <w:rsid w:val="006524BE"/>
    <w:rsid w:val="0065267F"/>
    <w:rsid w:val="00654F74"/>
    <w:rsid w:val="00655190"/>
    <w:rsid w:val="006561C7"/>
    <w:rsid w:val="00656A2E"/>
    <w:rsid w:val="006574A6"/>
    <w:rsid w:val="006608CB"/>
    <w:rsid w:val="0066244D"/>
    <w:rsid w:val="00662543"/>
    <w:rsid w:val="0066289D"/>
    <w:rsid w:val="006645FF"/>
    <w:rsid w:val="00664B58"/>
    <w:rsid w:val="00667086"/>
    <w:rsid w:val="00667273"/>
    <w:rsid w:val="00671405"/>
    <w:rsid w:val="00671443"/>
    <w:rsid w:val="0067192D"/>
    <w:rsid w:val="00671C0B"/>
    <w:rsid w:val="00672848"/>
    <w:rsid w:val="006728E0"/>
    <w:rsid w:val="0067295C"/>
    <w:rsid w:val="006730F6"/>
    <w:rsid w:val="0067573A"/>
    <w:rsid w:val="00675795"/>
    <w:rsid w:val="00676C7E"/>
    <w:rsid w:val="0067734F"/>
    <w:rsid w:val="006816E3"/>
    <w:rsid w:val="00683905"/>
    <w:rsid w:val="00683B89"/>
    <w:rsid w:val="0068493F"/>
    <w:rsid w:val="006863E0"/>
    <w:rsid w:val="006870AE"/>
    <w:rsid w:val="00687960"/>
    <w:rsid w:val="00687CF0"/>
    <w:rsid w:val="006902B6"/>
    <w:rsid w:val="0069274A"/>
    <w:rsid w:val="006945FC"/>
    <w:rsid w:val="006949A9"/>
    <w:rsid w:val="006A039F"/>
    <w:rsid w:val="006A14CF"/>
    <w:rsid w:val="006A1890"/>
    <w:rsid w:val="006A2280"/>
    <w:rsid w:val="006A26A4"/>
    <w:rsid w:val="006A3DD3"/>
    <w:rsid w:val="006A5951"/>
    <w:rsid w:val="006A6AD4"/>
    <w:rsid w:val="006A6C77"/>
    <w:rsid w:val="006A6F97"/>
    <w:rsid w:val="006B00A4"/>
    <w:rsid w:val="006B0317"/>
    <w:rsid w:val="006B0934"/>
    <w:rsid w:val="006B106F"/>
    <w:rsid w:val="006B2224"/>
    <w:rsid w:val="006B33DF"/>
    <w:rsid w:val="006B636D"/>
    <w:rsid w:val="006B7B2A"/>
    <w:rsid w:val="006C083F"/>
    <w:rsid w:val="006C0ED8"/>
    <w:rsid w:val="006C1643"/>
    <w:rsid w:val="006C5E0D"/>
    <w:rsid w:val="006C73A4"/>
    <w:rsid w:val="006C7A16"/>
    <w:rsid w:val="006D195A"/>
    <w:rsid w:val="006D284C"/>
    <w:rsid w:val="006D2D00"/>
    <w:rsid w:val="006D2D9A"/>
    <w:rsid w:val="006D2E86"/>
    <w:rsid w:val="006D35E3"/>
    <w:rsid w:val="006D4FF2"/>
    <w:rsid w:val="006D68DD"/>
    <w:rsid w:val="006E09A3"/>
    <w:rsid w:val="006E18EB"/>
    <w:rsid w:val="006E2AB9"/>
    <w:rsid w:val="006E381F"/>
    <w:rsid w:val="006E508C"/>
    <w:rsid w:val="006E5999"/>
    <w:rsid w:val="006E5F00"/>
    <w:rsid w:val="006E6CDF"/>
    <w:rsid w:val="006F2E6D"/>
    <w:rsid w:val="006F3B43"/>
    <w:rsid w:val="006F5414"/>
    <w:rsid w:val="006F613A"/>
    <w:rsid w:val="006F64F9"/>
    <w:rsid w:val="006F7448"/>
    <w:rsid w:val="006F7941"/>
    <w:rsid w:val="007017A5"/>
    <w:rsid w:val="00701953"/>
    <w:rsid w:val="00702401"/>
    <w:rsid w:val="00703AF8"/>
    <w:rsid w:val="00703B07"/>
    <w:rsid w:val="00704055"/>
    <w:rsid w:val="007052A2"/>
    <w:rsid w:val="007059C2"/>
    <w:rsid w:val="00705CA9"/>
    <w:rsid w:val="0070614C"/>
    <w:rsid w:val="00706EDE"/>
    <w:rsid w:val="00710BB2"/>
    <w:rsid w:val="00711DEC"/>
    <w:rsid w:val="00713237"/>
    <w:rsid w:val="00713363"/>
    <w:rsid w:val="00713506"/>
    <w:rsid w:val="00714908"/>
    <w:rsid w:val="0071642B"/>
    <w:rsid w:val="00716ACA"/>
    <w:rsid w:val="00716ED1"/>
    <w:rsid w:val="0071717E"/>
    <w:rsid w:val="00722EF1"/>
    <w:rsid w:val="0072410B"/>
    <w:rsid w:val="0072605F"/>
    <w:rsid w:val="007266B7"/>
    <w:rsid w:val="0072718E"/>
    <w:rsid w:val="00727C2F"/>
    <w:rsid w:val="007308FC"/>
    <w:rsid w:val="00730AD5"/>
    <w:rsid w:val="0073248F"/>
    <w:rsid w:val="007369DF"/>
    <w:rsid w:val="00741B34"/>
    <w:rsid w:val="00741C88"/>
    <w:rsid w:val="00741E6B"/>
    <w:rsid w:val="00742D48"/>
    <w:rsid w:val="00742D61"/>
    <w:rsid w:val="00742FB2"/>
    <w:rsid w:val="007447EA"/>
    <w:rsid w:val="0074590F"/>
    <w:rsid w:val="0074634A"/>
    <w:rsid w:val="00747F24"/>
    <w:rsid w:val="00753E0A"/>
    <w:rsid w:val="00753E1E"/>
    <w:rsid w:val="00754B71"/>
    <w:rsid w:val="00755191"/>
    <w:rsid w:val="00755EB2"/>
    <w:rsid w:val="00756A0F"/>
    <w:rsid w:val="00756B09"/>
    <w:rsid w:val="00756B6B"/>
    <w:rsid w:val="0076028B"/>
    <w:rsid w:val="00761D8C"/>
    <w:rsid w:val="00761DDF"/>
    <w:rsid w:val="00761EB1"/>
    <w:rsid w:val="00762C0F"/>
    <w:rsid w:val="00764D08"/>
    <w:rsid w:val="00765FBB"/>
    <w:rsid w:val="00766334"/>
    <w:rsid w:val="0076665F"/>
    <w:rsid w:val="00766BAC"/>
    <w:rsid w:val="00767088"/>
    <w:rsid w:val="00767612"/>
    <w:rsid w:val="0077037F"/>
    <w:rsid w:val="0077047D"/>
    <w:rsid w:val="00770947"/>
    <w:rsid w:val="00770F45"/>
    <w:rsid w:val="00771F2C"/>
    <w:rsid w:val="00774A57"/>
    <w:rsid w:val="00774E0B"/>
    <w:rsid w:val="007757B0"/>
    <w:rsid w:val="00775B62"/>
    <w:rsid w:val="00776DE5"/>
    <w:rsid w:val="0077736F"/>
    <w:rsid w:val="007777BB"/>
    <w:rsid w:val="0078010E"/>
    <w:rsid w:val="007806ED"/>
    <w:rsid w:val="007807C4"/>
    <w:rsid w:val="00780B11"/>
    <w:rsid w:val="00781C82"/>
    <w:rsid w:val="007825DD"/>
    <w:rsid w:val="00782D4D"/>
    <w:rsid w:val="007832CB"/>
    <w:rsid w:val="00784429"/>
    <w:rsid w:val="0078488D"/>
    <w:rsid w:val="00784C6E"/>
    <w:rsid w:val="00786DFA"/>
    <w:rsid w:val="00787FF8"/>
    <w:rsid w:val="00791E20"/>
    <w:rsid w:val="00791E48"/>
    <w:rsid w:val="00791FF1"/>
    <w:rsid w:val="007926A5"/>
    <w:rsid w:val="00792A5F"/>
    <w:rsid w:val="00793F82"/>
    <w:rsid w:val="00796272"/>
    <w:rsid w:val="007969B9"/>
    <w:rsid w:val="007A055E"/>
    <w:rsid w:val="007A0AF9"/>
    <w:rsid w:val="007A1B02"/>
    <w:rsid w:val="007A2E6A"/>
    <w:rsid w:val="007A3534"/>
    <w:rsid w:val="007A3F0B"/>
    <w:rsid w:val="007A45E3"/>
    <w:rsid w:val="007A6E86"/>
    <w:rsid w:val="007B0157"/>
    <w:rsid w:val="007B1F2D"/>
    <w:rsid w:val="007B204F"/>
    <w:rsid w:val="007B2453"/>
    <w:rsid w:val="007B319B"/>
    <w:rsid w:val="007B381F"/>
    <w:rsid w:val="007B414C"/>
    <w:rsid w:val="007B49E1"/>
    <w:rsid w:val="007C000A"/>
    <w:rsid w:val="007C26E1"/>
    <w:rsid w:val="007C2B25"/>
    <w:rsid w:val="007C2E88"/>
    <w:rsid w:val="007C3E86"/>
    <w:rsid w:val="007C4C24"/>
    <w:rsid w:val="007C4CEE"/>
    <w:rsid w:val="007C4D93"/>
    <w:rsid w:val="007C571C"/>
    <w:rsid w:val="007C64F3"/>
    <w:rsid w:val="007C6A83"/>
    <w:rsid w:val="007C74D1"/>
    <w:rsid w:val="007D166F"/>
    <w:rsid w:val="007D2BD4"/>
    <w:rsid w:val="007D3DCE"/>
    <w:rsid w:val="007D443B"/>
    <w:rsid w:val="007D52FA"/>
    <w:rsid w:val="007D57B6"/>
    <w:rsid w:val="007E0522"/>
    <w:rsid w:val="007E0E57"/>
    <w:rsid w:val="007E2314"/>
    <w:rsid w:val="007E37BF"/>
    <w:rsid w:val="007E422E"/>
    <w:rsid w:val="007E42C6"/>
    <w:rsid w:val="007E4B5A"/>
    <w:rsid w:val="007E4FCD"/>
    <w:rsid w:val="007E685A"/>
    <w:rsid w:val="007F04BF"/>
    <w:rsid w:val="007F0D06"/>
    <w:rsid w:val="007F1631"/>
    <w:rsid w:val="007F2015"/>
    <w:rsid w:val="007F325B"/>
    <w:rsid w:val="007F4426"/>
    <w:rsid w:val="007F50DA"/>
    <w:rsid w:val="007F5364"/>
    <w:rsid w:val="007F60DA"/>
    <w:rsid w:val="007F79AD"/>
    <w:rsid w:val="007F7C7A"/>
    <w:rsid w:val="007F7E82"/>
    <w:rsid w:val="00802A24"/>
    <w:rsid w:val="008030B7"/>
    <w:rsid w:val="0080353E"/>
    <w:rsid w:val="00803E8F"/>
    <w:rsid w:val="008043C5"/>
    <w:rsid w:val="00804CE9"/>
    <w:rsid w:val="008063DC"/>
    <w:rsid w:val="00807AA5"/>
    <w:rsid w:val="00807B95"/>
    <w:rsid w:val="00807D77"/>
    <w:rsid w:val="00807F28"/>
    <w:rsid w:val="00811E1A"/>
    <w:rsid w:val="00812599"/>
    <w:rsid w:val="00812F9C"/>
    <w:rsid w:val="00813CB7"/>
    <w:rsid w:val="008141D0"/>
    <w:rsid w:val="0081421F"/>
    <w:rsid w:val="00814B8B"/>
    <w:rsid w:val="008156F9"/>
    <w:rsid w:val="008159AA"/>
    <w:rsid w:val="00816896"/>
    <w:rsid w:val="00817A39"/>
    <w:rsid w:val="00817C87"/>
    <w:rsid w:val="008218B9"/>
    <w:rsid w:val="00821DF0"/>
    <w:rsid w:val="008235B2"/>
    <w:rsid w:val="00823856"/>
    <w:rsid w:val="00823A71"/>
    <w:rsid w:val="00825B30"/>
    <w:rsid w:val="008264EF"/>
    <w:rsid w:val="0082688C"/>
    <w:rsid w:val="00826EA6"/>
    <w:rsid w:val="008312AB"/>
    <w:rsid w:val="008339BD"/>
    <w:rsid w:val="00833E69"/>
    <w:rsid w:val="00833EAB"/>
    <w:rsid w:val="0083426F"/>
    <w:rsid w:val="0083635A"/>
    <w:rsid w:val="00836C3D"/>
    <w:rsid w:val="00836C6E"/>
    <w:rsid w:val="008376EB"/>
    <w:rsid w:val="00837E6A"/>
    <w:rsid w:val="00837EB9"/>
    <w:rsid w:val="00841481"/>
    <w:rsid w:val="00841483"/>
    <w:rsid w:val="00841F39"/>
    <w:rsid w:val="008441CA"/>
    <w:rsid w:val="0085018F"/>
    <w:rsid w:val="008521C1"/>
    <w:rsid w:val="0085363E"/>
    <w:rsid w:val="00854488"/>
    <w:rsid w:val="00854F51"/>
    <w:rsid w:val="00854F7F"/>
    <w:rsid w:val="00856341"/>
    <w:rsid w:val="00856C63"/>
    <w:rsid w:val="00857E46"/>
    <w:rsid w:val="008611BF"/>
    <w:rsid w:val="00861B70"/>
    <w:rsid w:val="00861FEA"/>
    <w:rsid w:val="00862686"/>
    <w:rsid w:val="008627F0"/>
    <w:rsid w:val="00863F56"/>
    <w:rsid w:val="008649B1"/>
    <w:rsid w:val="00864FCA"/>
    <w:rsid w:val="008652D0"/>
    <w:rsid w:val="00865503"/>
    <w:rsid w:val="00865914"/>
    <w:rsid w:val="00865B33"/>
    <w:rsid w:val="00866107"/>
    <w:rsid w:val="0086755B"/>
    <w:rsid w:val="0086758D"/>
    <w:rsid w:val="008679D3"/>
    <w:rsid w:val="0087137A"/>
    <w:rsid w:val="00871C3E"/>
    <w:rsid w:val="00873E4C"/>
    <w:rsid w:val="0087475A"/>
    <w:rsid w:val="00874790"/>
    <w:rsid w:val="00875318"/>
    <w:rsid w:val="00875A26"/>
    <w:rsid w:val="0087636A"/>
    <w:rsid w:val="00876516"/>
    <w:rsid w:val="00876B44"/>
    <w:rsid w:val="00877350"/>
    <w:rsid w:val="00877E40"/>
    <w:rsid w:val="00880157"/>
    <w:rsid w:val="00880FB1"/>
    <w:rsid w:val="00882158"/>
    <w:rsid w:val="0088243B"/>
    <w:rsid w:val="008826A2"/>
    <w:rsid w:val="00883E04"/>
    <w:rsid w:val="008851C9"/>
    <w:rsid w:val="008860C5"/>
    <w:rsid w:val="00887331"/>
    <w:rsid w:val="008875FE"/>
    <w:rsid w:val="00890161"/>
    <w:rsid w:val="008910B2"/>
    <w:rsid w:val="008924BC"/>
    <w:rsid w:val="00892A1B"/>
    <w:rsid w:val="00892D99"/>
    <w:rsid w:val="008958EA"/>
    <w:rsid w:val="0089676A"/>
    <w:rsid w:val="00896A64"/>
    <w:rsid w:val="0089789A"/>
    <w:rsid w:val="008A2940"/>
    <w:rsid w:val="008A2E2B"/>
    <w:rsid w:val="008A3E14"/>
    <w:rsid w:val="008A3E33"/>
    <w:rsid w:val="008A44C8"/>
    <w:rsid w:val="008A4E05"/>
    <w:rsid w:val="008A50DF"/>
    <w:rsid w:val="008A601B"/>
    <w:rsid w:val="008B01DC"/>
    <w:rsid w:val="008B1464"/>
    <w:rsid w:val="008B1B7F"/>
    <w:rsid w:val="008B2242"/>
    <w:rsid w:val="008B5263"/>
    <w:rsid w:val="008B5D1A"/>
    <w:rsid w:val="008B5E21"/>
    <w:rsid w:val="008B6564"/>
    <w:rsid w:val="008B74F3"/>
    <w:rsid w:val="008B7F39"/>
    <w:rsid w:val="008C01DF"/>
    <w:rsid w:val="008C0A68"/>
    <w:rsid w:val="008C101B"/>
    <w:rsid w:val="008C1275"/>
    <w:rsid w:val="008C254A"/>
    <w:rsid w:val="008C2C5A"/>
    <w:rsid w:val="008C3054"/>
    <w:rsid w:val="008C412F"/>
    <w:rsid w:val="008C5B03"/>
    <w:rsid w:val="008C6342"/>
    <w:rsid w:val="008C721F"/>
    <w:rsid w:val="008D07AE"/>
    <w:rsid w:val="008D09CB"/>
    <w:rsid w:val="008D0C8C"/>
    <w:rsid w:val="008D32EE"/>
    <w:rsid w:val="008D424A"/>
    <w:rsid w:val="008D4683"/>
    <w:rsid w:val="008D5BB1"/>
    <w:rsid w:val="008D5C80"/>
    <w:rsid w:val="008D6163"/>
    <w:rsid w:val="008D6D63"/>
    <w:rsid w:val="008E015F"/>
    <w:rsid w:val="008E08E6"/>
    <w:rsid w:val="008E0ACD"/>
    <w:rsid w:val="008E29E0"/>
    <w:rsid w:val="008E3F21"/>
    <w:rsid w:val="008E4DA3"/>
    <w:rsid w:val="008E6F77"/>
    <w:rsid w:val="008E71A6"/>
    <w:rsid w:val="008E78A9"/>
    <w:rsid w:val="008F0EEC"/>
    <w:rsid w:val="008F13AF"/>
    <w:rsid w:val="008F1DDD"/>
    <w:rsid w:val="008F20C1"/>
    <w:rsid w:val="008F34A5"/>
    <w:rsid w:val="008F3877"/>
    <w:rsid w:val="008F3BE2"/>
    <w:rsid w:val="008F3F2C"/>
    <w:rsid w:val="008F579E"/>
    <w:rsid w:val="008F7602"/>
    <w:rsid w:val="008F77DB"/>
    <w:rsid w:val="008F7A3C"/>
    <w:rsid w:val="009021D8"/>
    <w:rsid w:val="0090287A"/>
    <w:rsid w:val="00902EC9"/>
    <w:rsid w:val="00902EEF"/>
    <w:rsid w:val="009042ED"/>
    <w:rsid w:val="00904947"/>
    <w:rsid w:val="009052C0"/>
    <w:rsid w:val="00905BDE"/>
    <w:rsid w:val="0090646A"/>
    <w:rsid w:val="00906B99"/>
    <w:rsid w:val="009078F0"/>
    <w:rsid w:val="009128C0"/>
    <w:rsid w:val="00912B58"/>
    <w:rsid w:val="00912EF9"/>
    <w:rsid w:val="00913B2F"/>
    <w:rsid w:val="00913C98"/>
    <w:rsid w:val="00914376"/>
    <w:rsid w:val="00916F47"/>
    <w:rsid w:val="00917612"/>
    <w:rsid w:val="00917DCD"/>
    <w:rsid w:val="00920AD1"/>
    <w:rsid w:val="009222FC"/>
    <w:rsid w:val="00923676"/>
    <w:rsid w:val="00923B9B"/>
    <w:rsid w:val="00930193"/>
    <w:rsid w:val="00930F93"/>
    <w:rsid w:val="009310AB"/>
    <w:rsid w:val="009321E0"/>
    <w:rsid w:val="00932966"/>
    <w:rsid w:val="0093437E"/>
    <w:rsid w:val="00934A3E"/>
    <w:rsid w:val="009359E7"/>
    <w:rsid w:val="00935A83"/>
    <w:rsid w:val="009360C7"/>
    <w:rsid w:val="00937929"/>
    <w:rsid w:val="00937F53"/>
    <w:rsid w:val="00940D44"/>
    <w:rsid w:val="00941950"/>
    <w:rsid w:val="00942E71"/>
    <w:rsid w:val="009433BF"/>
    <w:rsid w:val="00943ADA"/>
    <w:rsid w:val="009462B2"/>
    <w:rsid w:val="009465D4"/>
    <w:rsid w:val="00947623"/>
    <w:rsid w:val="00950969"/>
    <w:rsid w:val="009510F9"/>
    <w:rsid w:val="00952953"/>
    <w:rsid w:val="009555BF"/>
    <w:rsid w:val="00955C06"/>
    <w:rsid w:val="00956C5A"/>
    <w:rsid w:val="00956F94"/>
    <w:rsid w:val="009575CA"/>
    <w:rsid w:val="00960D95"/>
    <w:rsid w:val="00961DA7"/>
    <w:rsid w:val="00962DB5"/>
    <w:rsid w:val="00964603"/>
    <w:rsid w:val="00964E94"/>
    <w:rsid w:val="00964FE6"/>
    <w:rsid w:val="009650A8"/>
    <w:rsid w:val="00965427"/>
    <w:rsid w:val="00965869"/>
    <w:rsid w:val="00966C6F"/>
    <w:rsid w:val="00967173"/>
    <w:rsid w:val="009674F0"/>
    <w:rsid w:val="009675A6"/>
    <w:rsid w:val="00971259"/>
    <w:rsid w:val="009714E5"/>
    <w:rsid w:val="0097198E"/>
    <w:rsid w:val="00971B7A"/>
    <w:rsid w:val="00973598"/>
    <w:rsid w:val="009736CE"/>
    <w:rsid w:val="00975561"/>
    <w:rsid w:val="00975738"/>
    <w:rsid w:val="00975C26"/>
    <w:rsid w:val="00975E76"/>
    <w:rsid w:val="00977903"/>
    <w:rsid w:val="00980A87"/>
    <w:rsid w:val="00982574"/>
    <w:rsid w:val="00983704"/>
    <w:rsid w:val="009839AF"/>
    <w:rsid w:val="0098590B"/>
    <w:rsid w:val="00987635"/>
    <w:rsid w:val="00987FE7"/>
    <w:rsid w:val="00991F5F"/>
    <w:rsid w:val="009920E9"/>
    <w:rsid w:val="00993052"/>
    <w:rsid w:val="009944BD"/>
    <w:rsid w:val="0099506C"/>
    <w:rsid w:val="00995923"/>
    <w:rsid w:val="0099605D"/>
    <w:rsid w:val="009968F3"/>
    <w:rsid w:val="00996FD5"/>
    <w:rsid w:val="009A0E14"/>
    <w:rsid w:val="009A1289"/>
    <w:rsid w:val="009A1750"/>
    <w:rsid w:val="009A2630"/>
    <w:rsid w:val="009A335B"/>
    <w:rsid w:val="009A5468"/>
    <w:rsid w:val="009A6ED3"/>
    <w:rsid w:val="009A78AB"/>
    <w:rsid w:val="009A7DF5"/>
    <w:rsid w:val="009B039B"/>
    <w:rsid w:val="009B04B4"/>
    <w:rsid w:val="009B0C46"/>
    <w:rsid w:val="009B1394"/>
    <w:rsid w:val="009B508D"/>
    <w:rsid w:val="009B5170"/>
    <w:rsid w:val="009B7327"/>
    <w:rsid w:val="009B738E"/>
    <w:rsid w:val="009B76BC"/>
    <w:rsid w:val="009B7CF9"/>
    <w:rsid w:val="009C0DA7"/>
    <w:rsid w:val="009C0FFE"/>
    <w:rsid w:val="009C27C1"/>
    <w:rsid w:val="009C2ED5"/>
    <w:rsid w:val="009C3490"/>
    <w:rsid w:val="009C55A8"/>
    <w:rsid w:val="009C65C8"/>
    <w:rsid w:val="009C6995"/>
    <w:rsid w:val="009C70F7"/>
    <w:rsid w:val="009C7126"/>
    <w:rsid w:val="009D1D5C"/>
    <w:rsid w:val="009D22B7"/>
    <w:rsid w:val="009D28BD"/>
    <w:rsid w:val="009D3B27"/>
    <w:rsid w:val="009D3C17"/>
    <w:rsid w:val="009D3EF7"/>
    <w:rsid w:val="009D4D1F"/>
    <w:rsid w:val="009D7FA4"/>
    <w:rsid w:val="009E0F3B"/>
    <w:rsid w:val="009E173D"/>
    <w:rsid w:val="009E1C2D"/>
    <w:rsid w:val="009E1C93"/>
    <w:rsid w:val="009E1FDA"/>
    <w:rsid w:val="009E33AD"/>
    <w:rsid w:val="009E3D0D"/>
    <w:rsid w:val="009E3ECA"/>
    <w:rsid w:val="009E4415"/>
    <w:rsid w:val="009E4896"/>
    <w:rsid w:val="009E4ED2"/>
    <w:rsid w:val="009E67AF"/>
    <w:rsid w:val="009E692C"/>
    <w:rsid w:val="009E6FC5"/>
    <w:rsid w:val="009F0041"/>
    <w:rsid w:val="009F05D1"/>
    <w:rsid w:val="009F0F93"/>
    <w:rsid w:val="009F227F"/>
    <w:rsid w:val="009F2515"/>
    <w:rsid w:val="009F2869"/>
    <w:rsid w:val="009F2B9E"/>
    <w:rsid w:val="009F57E2"/>
    <w:rsid w:val="009F5E04"/>
    <w:rsid w:val="009F5E24"/>
    <w:rsid w:val="009F66E5"/>
    <w:rsid w:val="00A00B82"/>
    <w:rsid w:val="00A047EF"/>
    <w:rsid w:val="00A0486B"/>
    <w:rsid w:val="00A04E9F"/>
    <w:rsid w:val="00A07A9E"/>
    <w:rsid w:val="00A07EE1"/>
    <w:rsid w:val="00A105E9"/>
    <w:rsid w:val="00A1147A"/>
    <w:rsid w:val="00A1251C"/>
    <w:rsid w:val="00A126C4"/>
    <w:rsid w:val="00A130DB"/>
    <w:rsid w:val="00A1726F"/>
    <w:rsid w:val="00A20311"/>
    <w:rsid w:val="00A21536"/>
    <w:rsid w:val="00A244AA"/>
    <w:rsid w:val="00A251EE"/>
    <w:rsid w:val="00A258E0"/>
    <w:rsid w:val="00A30123"/>
    <w:rsid w:val="00A3024F"/>
    <w:rsid w:val="00A31C12"/>
    <w:rsid w:val="00A3318F"/>
    <w:rsid w:val="00A33403"/>
    <w:rsid w:val="00A3363C"/>
    <w:rsid w:val="00A338D3"/>
    <w:rsid w:val="00A35D19"/>
    <w:rsid w:val="00A36C62"/>
    <w:rsid w:val="00A36DC1"/>
    <w:rsid w:val="00A41B10"/>
    <w:rsid w:val="00A4281A"/>
    <w:rsid w:val="00A42CC6"/>
    <w:rsid w:val="00A44AC5"/>
    <w:rsid w:val="00A44C51"/>
    <w:rsid w:val="00A44D7E"/>
    <w:rsid w:val="00A4639A"/>
    <w:rsid w:val="00A46782"/>
    <w:rsid w:val="00A4768B"/>
    <w:rsid w:val="00A47F2F"/>
    <w:rsid w:val="00A516B8"/>
    <w:rsid w:val="00A519A3"/>
    <w:rsid w:val="00A56107"/>
    <w:rsid w:val="00A57D7F"/>
    <w:rsid w:val="00A60D70"/>
    <w:rsid w:val="00A60E42"/>
    <w:rsid w:val="00A618AC"/>
    <w:rsid w:val="00A67AAF"/>
    <w:rsid w:val="00A75854"/>
    <w:rsid w:val="00A771A5"/>
    <w:rsid w:val="00A773A4"/>
    <w:rsid w:val="00A7770E"/>
    <w:rsid w:val="00A801B1"/>
    <w:rsid w:val="00A8314E"/>
    <w:rsid w:val="00A85E51"/>
    <w:rsid w:val="00A877D7"/>
    <w:rsid w:val="00A907D9"/>
    <w:rsid w:val="00A90DF4"/>
    <w:rsid w:val="00A92435"/>
    <w:rsid w:val="00A92719"/>
    <w:rsid w:val="00A9276A"/>
    <w:rsid w:val="00A92D24"/>
    <w:rsid w:val="00A93071"/>
    <w:rsid w:val="00A93295"/>
    <w:rsid w:val="00A9481D"/>
    <w:rsid w:val="00A95AB5"/>
    <w:rsid w:val="00AA00B2"/>
    <w:rsid w:val="00AA10A0"/>
    <w:rsid w:val="00AA1494"/>
    <w:rsid w:val="00AA380A"/>
    <w:rsid w:val="00AA38BF"/>
    <w:rsid w:val="00AA3EFB"/>
    <w:rsid w:val="00AA4416"/>
    <w:rsid w:val="00AB06E3"/>
    <w:rsid w:val="00AB16FA"/>
    <w:rsid w:val="00AB1807"/>
    <w:rsid w:val="00AB1A6A"/>
    <w:rsid w:val="00AB2197"/>
    <w:rsid w:val="00AB330F"/>
    <w:rsid w:val="00AB58FB"/>
    <w:rsid w:val="00AB5DEC"/>
    <w:rsid w:val="00AB767C"/>
    <w:rsid w:val="00AB798A"/>
    <w:rsid w:val="00AB7BF6"/>
    <w:rsid w:val="00AC01C3"/>
    <w:rsid w:val="00AC2FD5"/>
    <w:rsid w:val="00AC362E"/>
    <w:rsid w:val="00AC415B"/>
    <w:rsid w:val="00AC5DA0"/>
    <w:rsid w:val="00AC5F5D"/>
    <w:rsid w:val="00AC60CF"/>
    <w:rsid w:val="00AC79EB"/>
    <w:rsid w:val="00AC7BF2"/>
    <w:rsid w:val="00AD0517"/>
    <w:rsid w:val="00AD17CA"/>
    <w:rsid w:val="00AD2ED1"/>
    <w:rsid w:val="00AD4762"/>
    <w:rsid w:val="00AD73E8"/>
    <w:rsid w:val="00AE0F24"/>
    <w:rsid w:val="00AE1133"/>
    <w:rsid w:val="00AE13D2"/>
    <w:rsid w:val="00AE324D"/>
    <w:rsid w:val="00AE3426"/>
    <w:rsid w:val="00AE3993"/>
    <w:rsid w:val="00AE39B1"/>
    <w:rsid w:val="00AE3F31"/>
    <w:rsid w:val="00AE4BA2"/>
    <w:rsid w:val="00AE4EF0"/>
    <w:rsid w:val="00AE5162"/>
    <w:rsid w:val="00AE5502"/>
    <w:rsid w:val="00AF21C5"/>
    <w:rsid w:val="00AF2701"/>
    <w:rsid w:val="00AF3103"/>
    <w:rsid w:val="00AF32A0"/>
    <w:rsid w:val="00AF4D6F"/>
    <w:rsid w:val="00AF50E7"/>
    <w:rsid w:val="00AF55E7"/>
    <w:rsid w:val="00AF57AD"/>
    <w:rsid w:val="00B00411"/>
    <w:rsid w:val="00B00EBE"/>
    <w:rsid w:val="00B020E9"/>
    <w:rsid w:val="00B02DF2"/>
    <w:rsid w:val="00B05EFB"/>
    <w:rsid w:val="00B11231"/>
    <w:rsid w:val="00B11D4D"/>
    <w:rsid w:val="00B126C1"/>
    <w:rsid w:val="00B131D1"/>
    <w:rsid w:val="00B138E6"/>
    <w:rsid w:val="00B13F4E"/>
    <w:rsid w:val="00B1495F"/>
    <w:rsid w:val="00B1565A"/>
    <w:rsid w:val="00B15B16"/>
    <w:rsid w:val="00B15FC8"/>
    <w:rsid w:val="00B16694"/>
    <w:rsid w:val="00B22019"/>
    <w:rsid w:val="00B22D6A"/>
    <w:rsid w:val="00B25B4E"/>
    <w:rsid w:val="00B25B77"/>
    <w:rsid w:val="00B263D2"/>
    <w:rsid w:val="00B268B0"/>
    <w:rsid w:val="00B27FA3"/>
    <w:rsid w:val="00B307A1"/>
    <w:rsid w:val="00B3388D"/>
    <w:rsid w:val="00B33EBD"/>
    <w:rsid w:val="00B34CF3"/>
    <w:rsid w:val="00B35B8B"/>
    <w:rsid w:val="00B35BC9"/>
    <w:rsid w:val="00B35E5C"/>
    <w:rsid w:val="00B41654"/>
    <w:rsid w:val="00B419E2"/>
    <w:rsid w:val="00B433BA"/>
    <w:rsid w:val="00B43F48"/>
    <w:rsid w:val="00B44279"/>
    <w:rsid w:val="00B4476C"/>
    <w:rsid w:val="00B45174"/>
    <w:rsid w:val="00B457AC"/>
    <w:rsid w:val="00B47732"/>
    <w:rsid w:val="00B50391"/>
    <w:rsid w:val="00B51659"/>
    <w:rsid w:val="00B536B7"/>
    <w:rsid w:val="00B53F4D"/>
    <w:rsid w:val="00B54EE4"/>
    <w:rsid w:val="00B61A90"/>
    <w:rsid w:val="00B61CD9"/>
    <w:rsid w:val="00B61D22"/>
    <w:rsid w:val="00B625E0"/>
    <w:rsid w:val="00B64652"/>
    <w:rsid w:val="00B65156"/>
    <w:rsid w:val="00B66C0B"/>
    <w:rsid w:val="00B677B9"/>
    <w:rsid w:val="00B722D7"/>
    <w:rsid w:val="00B72557"/>
    <w:rsid w:val="00B72C59"/>
    <w:rsid w:val="00B73856"/>
    <w:rsid w:val="00B73DBE"/>
    <w:rsid w:val="00B75252"/>
    <w:rsid w:val="00B753EC"/>
    <w:rsid w:val="00B76204"/>
    <w:rsid w:val="00B76205"/>
    <w:rsid w:val="00B805AC"/>
    <w:rsid w:val="00B807DD"/>
    <w:rsid w:val="00B8112B"/>
    <w:rsid w:val="00B81B76"/>
    <w:rsid w:val="00B82AA9"/>
    <w:rsid w:val="00B83204"/>
    <w:rsid w:val="00B8330B"/>
    <w:rsid w:val="00B84D90"/>
    <w:rsid w:val="00B85092"/>
    <w:rsid w:val="00B864E6"/>
    <w:rsid w:val="00B90F66"/>
    <w:rsid w:val="00B90FF1"/>
    <w:rsid w:val="00B943DF"/>
    <w:rsid w:val="00B947D5"/>
    <w:rsid w:val="00B94F49"/>
    <w:rsid w:val="00B95218"/>
    <w:rsid w:val="00B963BC"/>
    <w:rsid w:val="00B96D1B"/>
    <w:rsid w:val="00B97750"/>
    <w:rsid w:val="00BA1D2D"/>
    <w:rsid w:val="00BA1F0F"/>
    <w:rsid w:val="00BA4A5E"/>
    <w:rsid w:val="00BA53E6"/>
    <w:rsid w:val="00BA6439"/>
    <w:rsid w:val="00BA6562"/>
    <w:rsid w:val="00BA67F3"/>
    <w:rsid w:val="00BA6DEE"/>
    <w:rsid w:val="00BA6EE5"/>
    <w:rsid w:val="00BB06E3"/>
    <w:rsid w:val="00BB1E20"/>
    <w:rsid w:val="00BB1FE7"/>
    <w:rsid w:val="00BB3799"/>
    <w:rsid w:val="00BB3CBF"/>
    <w:rsid w:val="00BB4889"/>
    <w:rsid w:val="00BB600A"/>
    <w:rsid w:val="00BB70E7"/>
    <w:rsid w:val="00BC0B1C"/>
    <w:rsid w:val="00BC16FA"/>
    <w:rsid w:val="00BC1F0D"/>
    <w:rsid w:val="00BC24DB"/>
    <w:rsid w:val="00BC2620"/>
    <w:rsid w:val="00BC3A84"/>
    <w:rsid w:val="00BC5C59"/>
    <w:rsid w:val="00BC72E8"/>
    <w:rsid w:val="00BD05A8"/>
    <w:rsid w:val="00BD15A2"/>
    <w:rsid w:val="00BD231F"/>
    <w:rsid w:val="00BD311A"/>
    <w:rsid w:val="00BD5FE6"/>
    <w:rsid w:val="00BD68C1"/>
    <w:rsid w:val="00BD7472"/>
    <w:rsid w:val="00BE065E"/>
    <w:rsid w:val="00BE0AC7"/>
    <w:rsid w:val="00BE39EE"/>
    <w:rsid w:val="00BE4E39"/>
    <w:rsid w:val="00BE5472"/>
    <w:rsid w:val="00BE5B0F"/>
    <w:rsid w:val="00BE6120"/>
    <w:rsid w:val="00BE7DE6"/>
    <w:rsid w:val="00BE7FC7"/>
    <w:rsid w:val="00BF0CC4"/>
    <w:rsid w:val="00BF291C"/>
    <w:rsid w:val="00BF5089"/>
    <w:rsid w:val="00BF590F"/>
    <w:rsid w:val="00BF6526"/>
    <w:rsid w:val="00BF6702"/>
    <w:rsid w:val="00C034B7"/>
    <w:rsid w:val="00C04617"/>
    <w:rsid w:val="00C04CC0"/>
    <w:rsid w:val="00C04F27"/>
    <w:rsid w:val="00C050A4"/>
    <w:rsid w:val="00C06052"/>
    <w:rsid w:val="00C06949"/>
    <w:rsid w:val="00C072FA"/>
    <w:rsid w:val="00C1015C"/>
    <w:rsid w:val="00C11E03"/>
    <w:rsid w:val="00C13CC0"/>
    <w:rsid w:val="00C14606"/>
    <w:rsid w:val="00C14EB2"/>
    <w:rsid w:val="00C151B8"/>
    <w:rsid w:val="00C15429"/>
    <w:rsid w:val="00C15856"/>
    <w:rsid w:val="00C2134E"/>
    <w:rsid w:val="00C2184A"/>
    <w:rsid w:val="00C21ED3"/>
    <w:rsid w:val="00C25E75"/>
    <w:rsid w:val="00C2615D"/>
    <w:rsid w:val="00C267F0"/>
    <w:rsid w:val="00C275E8"/>
    <w:rsid w:val="00C30E39"/>
    <w:rsid w:val="00C31E02"/>
    <w:rsid w:val="00C323D4"/>
    <w:rsid w:val="00C3284B"/>
    <w:rsid w:val="00C331A8"/>
    <w:rsid w:val="00C36AE4"/>
    <w:rsid w:val="00C379BF"/>
    <w:rsid w:val="00C37FF1"/>
    <w:rsid w:val="00C403A9"/>
    <w:rsid w:val="00C42F84"/>
    <w:rsid w:val="00C43E1D"/>
    <w:rsid w:val="00C469FA"/>
    <w:rsid w:val="00C51249"/>
    <w:rsid w:val="00C53260"/>
    <w:rsid w:val="00C534C3"/>
    <w:rsid w:val="00C53884"/>
    <w:rsid w:val="00C55518"/>
    <w:rsid w:val="00C56929"/>
    <w:rsid w:val="00C57070"/>
    <w:rsid w:val="00C57136"/>
    <w:rsid w:val="00C616B4"/>
    <w:rsid w:val="00C61A71"/>
    <w:rsid w:val="00C61E10"/>
    <w:rsid w:val="00C62F5B"/>
    <w:rsid w:val="00C6366B"/>
    <w:rsid w:val="00C64146"/>
    <w:rsid w:val="00C64462"/>
    <w:rsid w:val="00C64EB4"/>
    <w:rsid w:val="00C65079"/>
    <w:rsid w:val="00C65283"/>
    <w:rsid w:val="00C66080"/>
    <w:rsid w:val="00C66CC3"/>
    <w:rsid w:val="00C70D42"/>
    <w:rsid w:val="00C7185C"/>
    <w:rsid w:val="00C72105"/>
    <w:rsid w:val="00C7380B"/>
    <w:rsid w:val="00C73C13"/>
    <w:rsid w:val="00C74A9C"/>
    <w:rsid w:val="00C76E14"/>
    <w:rsid w:val="00C7713C"/>
    <w:rsid w:val="00C804F5"/>
    <w:rsid w:val="00C80EC4"/>
    <w:rsid w:val="00C81804"/>
    <w:rsid w:val="00C8232E"/>
    <w:rsid w:val="00C8363C"/>
    <w:rsid w:val="00C83CC1"/>
    <w:rsid w:val="00C846E3"/>
    <w:rsid w:val="00C8489F"/>
    <w:rsid w:val="00C84E74"/>
    <w:rsid w:val="00C85287"/>
    <w:rsid w:val="00C860AD"/>
    <w:rsid w:val="00C86582"/>
    <w:rsid w:val="00C86BC3"/>
    <w:rsid w:val="00C86EC4"/>
    <w:rsid w:val="00C87D05"/>
    <w:rsid w:val="00C90D1B"/>
    <w:rsid w:val="00C913C8"/>
    <w:rsid w:val="00C9149F"/>
    <w:rsid w:val="00C9471D"/>
    <w:rsid w:val="00C96478"/>
    <w:rsid w:val="00C96A14"/>
    <w:rsid w:val="00C96DBD"/>
    <w:rsid w:val="00CA0ADF"/>
    <w:rsid w:val="00CA0DBD"/>
    <w:rsid w:val="00CA1253"/>
    <w:rsid w:val="00CA274F"/>
    <w:rsid w:val="00CA2C3D"/>
    <w:rsid w:val="00CA37A7"/>
    <w:rsid w:val="00CA5197"/>
    <w:rsid w:val="00CA5C1E"/>
    <w:rsid w:val="00CB0FFA"/>
    <w:rsid w:val="00CB1226"/>
    <w:rsid w:val="00CB1F72"/>
    <w:rsid w:val="00CB268E"/>
    <w:rsid w:val="00CB31AE"/>
    <w:rsid w:val="00CB323F"/>
    <w:rsid w:val="00CB398E"/>
    <w:rsid w:val="00CB46CD"/>
    <w:rsid w:val="00CB53B9"/>
    <w:rsid w:val="00CB54EE"/>
    <w:rsid w:val="00CB6195"/>
    <w:rsid w:val="00CB70F1"/>
    <w:rsid w:val="00CC0B2E"/>
    <w:rsid w:val="00CC30AF"/>
    <w:rsid w:val="00CC38F7"/>
    <w:rsid w:val="00CC3B45"/>
    <w:rsid w:val="00CC42D8"/>
    <w:rsid w:val="00CC4D79"/>
    <w:rsid w:val="00CC585F"/>
    <w:rsid w:val="00CC5A74"/>
    <w:rsid w:val="00CC5A9C"/>
    <w:rsid w:val="00CC5EE7"/>
    <w:rsid w:val="00CC6CB5"/>
    <w:rsid w:val="00CC6E96"/>
    <w:rsid w:val="00CD033C"/>
    <w:rsid w:val="00CD089C"/>
    <w:rsid w:val="00CD1F08"/>
    <w:rsid w:val="00CD5BF1"/>
    <w:rsid w:val="00CD5C1C"/>
    <w:rsid w:val="00CD687C"/>
    <w:rsid w:val="00CE01EF"/>
    <w:rsid w:val="00CE08F7"/>
    <w:rsid w:val="00CE11F9"/>
    <w:rsid w:val="00CE22C2"/>
    <w:rsid w:val="00CE3B2E"/>
    <w:rsid w:val="00CE4996"/>
    <w:rsid w:val="00CE64A7"/>
    <w:rsid w:val="00CF0D63"/>
    <w:rsid w:val="00CF1B52"/>
    <w:rsid w:val="00CF3F98"/>
    <w:rsid w:val="00CF4BEA"/>
    <w:rsid w:val="00CF5B7F"/>
    <w:rsid w:val="00CF622A"/>
    <w:rsid w:val="00CF6CB7"/>
    <w:rsid w:val="00D025A3"/>
    <w:rsid w:val="00D03A80"/>
    <w:rsid w:val="00D07671"/>
    <w:rsid w:val="00D07A08"/>
    <w:rsid w:val="00D07B53"/>
    <w:rsid w:val="00D11161"/>
    <w:rsid w:val="00D1171B"/>
    <w:rsid w:val="00D12082"/>
    <w:rsid w:val="00D12DA5"/>
    <w:rsid w:val="00D15C92"/>
    <w:rsid w:val="00D177D0"/>
    <w:rsid w:val="00D21F62"/>
    <w:rsid w:val="00D26958"/>
    <w:rsid w:val="00D26984"/>
    <w:rsid w:val="00D270BA"/>
    <w:rsid w:val="00D30322"/>
    <w:rsid w:val="00D31015"/>
    <w:rsid w:val="00D320D0"/>
    <w:rsid w:val="00D34B0A"/>
    <w:rsid w:val="00D34BC7"/>
    <w:rsid w:val="00D35A06"/>
    <w:rsid w:val="00D373F8"/>
    <w:rsid w:val="00D37755"/>
    <w:rsid w:val="00D400FE"/>
    <w:rsid w:val="00D42840"/>
    <w:rsid w:val="00D434C9"/>
    <w:rsid w:val="00D437D4"/>
    <w:rsid w:val="00D4449B"/>
    <w:rsid w:val="00D44E0B"/>
    <w:rsid w:val="00D44FF0"/>
    <w:rsid w:val="00D45849"/>
    <w:rsid w:val="00D458ED"/>
    <w:rsid w:val="00D4643C"/>
    <w:rsid w:val="00D46C75"/>
    <w:rsid w:val="00D471DA"/>
    <w:rsid w:val="00D47E4B"/>
    <w:rsid w:val="00D5081F"/>
    <w:rsid w:val="00D508E2"/>
    <w:rsid w:val="00D51225"/>
    <w:rsid w:val="00D52459"/>
    <w:rsid w:val="00D52580"/>
    <w:rsid w:val="00D52AC6"/>
    <w:rsid w:val="00D53B5E"/>
    <w:rsid w:val="00D5500C"/>
    <w:rsid w:val="00D55401"/>
    <w:rsid w:val="00D561AC"/>
    <w:rsid w:val="00D57C97"/>
    <w:rsid w:val="00D57CA8"/>
    <w:rsid w:val="00D57DB7"/>
    <w:rsid w:val="00D6182F"/>
    <w:rsid w:val="00D63E3C"/>
    <w:rsid w:val="00D665EB"/>
    <w:rsid w:val="00D67621"/>
    <w:rsid w:val="00D70676"/>
    <w:rsid w:val="00D70884"/>
    <w:rsid w:val="00D70E0B"/>
    <w:rsid w:val="00D71F60"/>
    <w:rsid w:val="00D732AB"/>
    <w:rsid w:val="00D732FC"/>
    <w:rsid w:val="00D73F83"/>
    <w:rsid w:val="00D76088"/>
    <w:rsid w:val="00D760A5"/>
    <w:rsid w:val="00D76A21"/>
    <w:rsid w:val="00D77087"/>
    <w:rsid w:val="00D77D23"/>
    <w:rsid w:val="00D8013E"/>
    <w:rsid w:val="00D80557"/>
    <w:rsid w:val="00D811E7"/>
    <w:rsid w:val="00D81EB6"/>
    <w:rsid w:val="00D83338"/>
    <w:rsid w:val="00D83954"/>
    <w:rsid w:val="00D84F35"/>
    <w:rsid w:val="00D85394"/>
    <w:rsid w:val="00D8591A"/>
    <w:rsid w:val="00D86293"/>
    <w:rsid w:val="00D87D7C"/>
    <w:rsid w:val="00D906EE"/>
    <w:rsid w:val="00D91082"/>
    <w:rsid w:val="00D91BCC"/>
    <w:rsid w:val="00D921BF"/>
    <w:rsid w:val="00D94D7B"/>
    <w:rsid w:val="00D9533A"/>
    <w:rsid w:val="00D959F6"/>
    <w:rsid w:val="00D95D5D"/>
    <w:rsid w:val="00D96B6F"/>
    <w:rsid w:val="00DA09F0"/>
    <w:rsid w:val="00DA0A93"/>
    <w:rsid w:val="00DA2265"/>
    <w:rsid w:val="00DA2470"/>
    <w:rsid w:val="00DA24F7"/>
    <w:rsid w:val="00DA28C6"/>
    <w:rsid w:val="00DA3952"/>
    <w:rsid w:val="00DA510E"/>
    <w:rsid w:val="00DA5E88"/>
    <w:rsid w:val="00DA6E07"/>
    <w:rsid w:val="00DA720C"/>
    <w:rsid w:val="00DA7E89"/>
    <w:rsid w:val="00DB03BD"/>
    <w:rsid w:val="00DB1381"/>
    <w:rsid w:val="00DB13E6"/>
    <w:rsid w:val="00DB15A3"/>
    <w:rsid w:val="00DB30AC"/>
    <w:rsid w:val="00DB41B9"/>
    <w:rsid w:val="00DB5FA2"/>
    <w:rsid w:val="00DB7315"/>
    <w:rsid w:val="00DB7DFB"/>
    <w:rsid w:val="00DC0121"/>
    <w:rsid w:val="00DC2E65"/>
    <w:rsid w:val="00DC2F9B"/>
    <w:rsid w:val="00DC395C"/>
    <w:rsid w:val="00DC3AB0"/>
    <w:rsid w:val="00DC66C5"/>
    <w:rsid w:val="00DD06F2"/>
    <w:rsid w:val="00DD0D71"/>
    <w:rsid w:val="00DD27F6"/>
    <w:rsid w:val="00DD2A86"/>
    <w:rsid w:val="00DD35DF"/>
    <w:rsid w:val="00DD396E"/>
    <w:rsid w:val="00DD47EB"/>
    <w:rsid w:val="00DD6A22"/>
    <w:rsid w:val="00DD6C7A"/>
    <w:rsid w:val="00DD6CB5"/>
    <w:rsid w:val="00DD71A6"/>
    <w:rsid w:val="00DD7F52"/>
    <w:rsid w:val="00DE078B"/>
    <w:rsid w:val="00DE1050"/>
    <w:rsid w:val="00DE12DA"/>
    <w:rsid w:val="00DE1794"/>
    <w:rsid w:val="00DE1E96"/>
    <w:rsid w:val="00DE2A9D"/>
    <w:rsid w:val="00DE3CD0"/>
    <w:rsid w:val="00DE4D03"/>
    <w:rsid w:val="00DE5B49"/>
    <w:rsid w:val="00DE7748"/>
    <w:rsid w:val="00DE7E28"/>
    <w:rsid w:val="00DF1618"/>
    <w:rsid w:val="00DF1745"/>
    <w:rsid w:val="00DF3AAA"/>
    <w:rsid w:val="00DF3BD1"/>
    <w:rsid w:val="00DF620D"/>
    <w:rsid w:val="00DF6A35"/>
    <w:rsid w:val="00DF6D3C"/>
    <w:rsid w:val="00E01052"/>
    <w:rsid w:val="00E0195E"/>
    <w:rsid w:val="00E0237B"/>
    <w:rsid w:val="00E02A34"/>
    <w:rsid w:val="00E02B7C"/>
    <w:rsid w:val="00E036CF"/>
    <w:rsid w:val="00E03F32"/>
    <w:rsid w:val="00E05FDE"/>
    <w:rsid w:val="00E1145F"/>
    <w:rsid w:val="00E11837"/>
    <w:rsid w:val="00E12B95"/>
    <w:rsid w:val="00E138EC"/>
    <w:rsid w:val="00E139A8"/>
    <w:rsid w:val="00E13C28"/>
    <w:rsid w:val="00E1410B"/>
    <w:rsid w:val="00E14E45"/>
    <w:rsid w:val="00E150C8"/>
    <w:rsid w:val="00E15144"/>
    <w:rsid w:val="00E156A4"/>
    <w:rsid w:val="00E17BF4"/>
    <w:rsid w:val="00E2121D"/>
    <w:rsid w:val="00E214E0"/>
    <w:rsid w:val="00E2323B"/>
    <w:rsid w:val="00E240A7"/>
    <w:rsid w:val="00E301D8"/>
    <w:rsid w:val="00E311B6"/>
    <w:rsid w:val="00E32112"/>
    <w:rsid w:val="00E32CDF"/>
    <w:rsid w:val="00E33A1A"/>
    <w:rsid w:val="00E33D33"/>
    <w:rsid w:val="00E3493D"/>
    <w:rsid w:val="00E34C0D"/>
    <w:rsid w:val="00E3569C"/>
    <w:rsid w:val="00E360DE"/>
    <w:rsid w:val="00E37056"/>
    <w:rsid w:val="00E3708A"/>
    <w:rsid w:val="00E3747A"/>
    <w:rsid w:val="00E37FFC"/>
    <w:rsid w:val="00E40654"/>
    <w:rsid w:val="00E416A3"/>
    <w:rsid w:val="00E418D0"/>
    <w:rsid w:val="00E41CA2"/>
    <w:rsid w:val="00E41CEF"/>
    <w:rsid w:val="00E421B7"/>
    <w:rsid w:val="00E423EC"/>
    <w:rsid w:val="00E42771"/>
    <w:rsid w:val="00E4404B"/>
    <w:rsid w:val="00E44194"/>
    <w:rsid w:val="00E44413"/>
    <w:rsid w:val="00E459EF"/>
    <w:rsid w:val="00E47F39"/>
    <w:rsid w:val="00E5062F"/>
    <w:rsid w:val="00E50EBB"/>
    <w:rsid w:val="00E51432"/>
    <w:rsid w:val="00E51B4C"/>
    <w:rsid w:val="00E5357A"/>
    <w:rsid w:val="00E53A22"/>
    <w:rsid w:val="00E5410C"/>
    <w:rsid w:val="00E54FC0"/>
    <w:rsid w:val="00E556A3"/>
    <w:rsid w:val="00E56F68"/>
    <w:rsid w:val="00E57D05"/>
    <w:rsid w:val="00E57D5C"/>
    <w:rsid w:val="00E60953"/>
    <w:rsid w:val="00E60A28"/>
    <w:rsid w:val="00E6310D"/>
    <w:rsid w:val="00E6374D"/>
    <w:rsid w:val="00E66157"/>
    <w:rsid w:val="00E662DD"/>
    <w:rsid w:val="00E67D9C"/>
    <w:rsid w:val="00E67E24"/>
    <w:rsid w:val="00E67E64"/>
    <w:rsid w:val="00E71523"/>
    <w:rsid w:val="00E7182D"/>
    <w:rsid w:val="00E71D11"/>
    <w:rsid w:val="00E726D0"/>
    <w:rsid w:val="00E7289B"/>
    <w:rsid w:val="00E729B8"/>
    <w:rsid w:val="00E741E6"/>
    <w:rsid w:val="00E75974"/>
    <w:rsid w:val="00E76956"/>
    <w:rsid w:val="00E76D00"/>
    <w:rsid w:val="00E76E23"/>
    <w:rsid w:val="00E80A62"/>
    <w:rsid w:val="00E81BA4"/>
    <w:rsid w:val="00E84029"/>
    <w:rsid w:val="00E84387"/>
    <w:rsid w:val="00E8439F"/>
    <w:rsid w:val="00E86F07"/>
    <w:rsid w:val="00E879FD"/>
    <w:rsid w:val="00E931E2"/>
    <w:rsid w:val="00E93C41"/>
    <w:rsid w:val="00E93F1F"/>
    <w:rsid w:val="00E941A1"/>
    <w:rsid w:val="00E955C5"/>
    <w:rsid w:val="00E96EB4"/>
    <w:rsid w:val="00EA015C"/>
    <w:rsid w:val="00EA2405"/>
    <w:rsid w:val="00EA2FCA"/>
    <w:rsid w:val="00EA3E53"/>
    <w:rsid w:val="00EA483B"/>
    <w:rsid w:val="00EA68D9"/>
    <w:rsid w:val="00EA79C7"/>
    <w:rsid w:val="00EB095B"/>
    <w:rsid w:val="00EB310C"/>
    <w:rsid w:val="00EB353E"/>
    <w:rsid w:val="00EB4B6E"/>
    <w:rsid w:val="00EB4BAA"/>
    <w:rsid w:val="00EB5203"/>
    <w:rsid w:val="00EB6056"/>
    <w:rsid w:val="00EB6288"/>
    <w:rsid w:val="00EB786C"/>
    <w:rsid w:val="00EC1852"/>
    <w:rsid w:val="00EC37B3"/>
    <w:rsid w:val="00EC460D"/>
    <w:rsid w:val="00EC657F"/>
    <w:rsid w:val="00EC6F61"/>
    <w:rsid w:val="00EC7232"/>
    <w:rsid w:val="00EC7272"/>
    <w:rsid w:val="00ED0044"/>
    <w:rsid w:val="00ED0512"/>
    <w:rsid w:val="00ED0F7C"/>
    <w:rsid w:val="00ED0FFC"/>
    <w:rsid w:val="00ED30BC"/>
    <w:rsid w:val="00ED4379"/>
    <w:rsid w:val="00ED465E"/>
    <w:rsid w:val="00ED46B5"/>
    <w:rsid w:val="00ED4727"/>
    <w:rsid w:val="00ED5F67"/>
    <w:rsid w:val="00ED63E4"/>
    <w:rsid w:val="00ED6B5C"/>
    <w:rsid w:val="00ED6C56"/>
    <w:rsid w:val="00ED7ABA"/>
    <w:rsid w:val="00ED7B59"/>
    <w:rsid w:val="00EE0C91"/>
    <w:rsid w:val="00EE1700"/>
    <w:rsid w:val="00EE2230"/>
    <w:rsid w:val="00EE2461"/>
    <w:rsid w:val="00EE3D34"/>
    <w:rsid w:val="00EE5379"/>
    <w:rsid w:val="00EE568D"/>
    <w:rsid w:val="00EE5A1C"/>
    <w:rsid w:val="00EE639D"/>
    <w:rsid w:val="00EF031A"/>
    <w:rsid w:val="00EF0641"/>
    <w:rsid w:val="00EF0FD5"/>
    <w:rsid w:val="00EF24E6"/>
    <w:rsid w:val="00EF27EE"/>
    <w:rsid w:val="00EF3426"/>
    <w:rsid w:val="00EF39C8"/>
    <w:rsid w:val="00EF411A"/>
    <w:rsid w:val="00EF4582"/>
    <w:rsid w:val="00EF45CC"/>
    <w:rsid w:val="00EF4993"/>
    <w:rsid w:val="00EF520B"/>
    <w:rsid w:val="00EF562F"/>
    <w:rsid w:val="00EF5B2B"/>
    <w:rsid w:val="00EF5F02"/>
    <w:rsid w:val="00EF63A1"/>
    <w:rsid w:val="00EF64FA"/>
    <w:rsid w:val="00EF6C7E"/>
    <w:rsid w:val="00EF7C28"/>
    <w:rsid w:val="00EF7CB7"/>
    <w:rsid w:val="00F0019A"/>
    <w:rsid w:val="00F03196"/>
    <w:rsid w:val="00F04560"/>
    <w:rsid w:val="00F04668"/>
    <w:rsid w:val="00F05B68"/>
    <w:rsid w:val="00F05C78"/>
    <w:rsid w:val="00F06398"/>
    <w:rsid w:val="00F10FAC"/>
    <w:rsid w:val="00F113F3"/>
    <w:rsid w:val="00F12E92"/>
    <w:rsid w:val="00F13891"/>
    <w:rsid w:val="00F153DE"/>
    <w:rsid w:val="00F16560"/>
    <w:rsid w:val="00F16BE6"/>
    <w:rsid w:val="00F16EC8"/>
    <w:rsid w:val="00F1716D"/>
    <w:rsid w:val="00F203A1"/>
    <w:rsid w:val="00F20875"/>
    <w:rsid w:val="00F20FCB"/>
    <w:rsid w:val="00F244FF"/>
    <w:rsid w:val="00F24880"/>
    <w:rsid w:val="00F25C8A"/>
    <w:rsid w:val="00F25F38"/>
    <w:rsid w:val="00F26842"/>
    <w:rsid w:val="00F301B7"/>
    <w:rsid w:val="00F30FF1"/>
    <w:rsid w:val="00F32B77"/>
    <w:rsid w:val="00F34ABE"/>
    <w:rsid w:val="00F35914"/>
    <w:rsid w:val="00F3763B"/>
    <w:rsid w:val="00F37EBF"/>
    <w:rsid w:val="00F40511"/>
    <w:rsid w:val="00F40B0A"/>
    <w:rsid w:val="00F4114A"/>
    <w:rsid w:val="00F419D0"/>
    <w:rsid w:val="00F422A5"/>
    <w:rsid w:val="00F43476"/>
    <w:rsid w:val="00F435DA"/>
    <w:rsid w:val="00F44289"/>
    <w:rsid w:val="00F45B34"/>
    <w:rsid w:val="00F4637A"/>
    <w:rsid w:val="00F464BE"/>
    <w:rsid w:val="00F465E9"/>
    <w:rsid w:val="00F50C89"/>
    <w:rsid w:val="00F51102"/>
    <w:rsid w:val="00F51196"/>
    <w:rsid w:val="00F521C1"/>
    <w:rsid w:val="00F53F10"/>
    <w:rsid w:val="00F550F0"/>
    <w:rsid w:val="00F55215"/>
    <w:rsid w:val="00F55382"/>
    <w:rsid w:val="00F55EFC"/>
    <w:rsid w:val="00F56344"/>
    <w:rsid w:val="00F57CFC"/>
    <w:rsid w:val="00F60266"/>
    <w:rsid w:val="00F60599"/>
    <w:rsid w:val="00F60FD9"/>
    <w:rsid w:val="00F61EEA"/>
    <w:rsid w:val="00F6325E"/>
    <w:rsid w:val="00F646B9"/>
    <w:rsid w:val="00F651B3"/>
    <w:rsid w:val="00F65391"/>
    <w:rsid w:val="00F65CE9"/>
    <w:rsid w:val="00F70571"/>
    <w:rsid w:val="00F705B3"/>
    <w:rsid w:val="00F7084C"/>
    <w:rsid w:val="00F7093A"/>
    <w:rsid w:val="00F71681"/>
    <w:rsid w:val="00F73108"/>
    <w:rsid w:val="00F762DB"/>
    <w:rsid w:val="00F763D3"/>
    <w:rsid w:val="00F769D6"/>
    <w:rsid w:val="00F772AF"/>
    <w:rsid w:val="00F8211F"/>
    <w:rsid w:val="00F828C7"/>
    <w:rsid w:val="00F832D9"/>
    <w:rsid w:val="00F834F2"/>
    <w:rsid w:val="00F83818"/>
    <w:rsid w:val="00F84AAA"/>
    <w:rsid w:val="00F84B79"/>
    <w:rsid w:val="00F8655E"/>
    <w:rsid w:val="00F869E3"/>
    <w:rsid w:val="00F86C32"/>
    <w:rsid w:val="00F86DBB"/>
    <w:rsid w:val="00F87283"/>
    <w:rsid w:val="00F91454"/>
    <w:rsid w:val="00F92046"/>
    <w:rsid w:val="00F927DC"/>
    <w:rsid w:val="00F92C22"/>
    <w:rsid w:val="00F93904"/>
    <w:rsid w:val="00F93E23"/>
    <w:rsid w:val="00F93ED9"/>
    <w:rsid w:val="00F95C46"/>
    <w:rsid w:val="00F95C7E"/>
    <w:rsid w:val="00F96170"/>
    <w:rsid w:val="00F96795"/>
    <w:rsid w:val="00FA05B5"/>
    <w:rsid w:val="00FA5EB0"/>
    <w:rsid w:val="00FA6A72"/>
    <w:rsid w:val="00FA6FCC"/>
    <w:rsid w:val="00FB0A1C"/>
    <w:rsid w:val="00FB15D8"/>
    <w:rsid w:val="00FB5176"/>
    <w:rsid w:val="00FB6473"/>
    <w:rsid w:val="00FC0841"/>
    <w:rsid w:val="00FC1BE8"/>
    <w:rsid w:val="00FC1FB6"/>
    <w:rsid w:val="00FC349D"/>
    <w:rsid w:val="00FC35CC"/>
    <w:rsid w:val="00FC3677"/>
    <w:rsid w:val="00FC36B8"/>
    <w:rsid w:val="00FC4A71"/>
    <w:rsid w:val="00FC5364"/>
    <w:rsid w:val="00FC5DBE"/>
    <w:rsid w:val="00FD10A3"/>
    <w:rsid w:val="00FD13AE"/>
    <w:rsid w:val="00FD1E11"/>
    <w:rsid w:val="00FD1EA0"/>
    <w:rsid w:val="00FD3135"/>
    <w:rsid w:val="00FD3B8D"/>
    <w:rsid w:val="00FD4217"/>
    <w:rsid w:val="00FD66F9"/>
    <w:rsid w:val="00FD6D2D"/>
    <w:rsid w:val="00FD6F44"/>
    <w:rsid w:val="00FE3549"/>
    <w:rsid w:val="00FE387E"/>
    <w:rsid w:val="00FE5240"/>
    <w:rsid w:val="00FE6F59"/>
    <w:rsid w:val="00FE76B1"/>
    <w:rsid w:val="00FF0531"/>
    <w:rsid w:val="00FF1228"/>
    <w:rsid w:val="00FF15D8"/>
    <w:rsid w:val="00FF174D"/>
    <w:rsid w:val="00FF18A5"/>
    <w:rsid w:val="00FF3CFB"/>
    <w:rsid w:val="00FF5886"/>
    <w:rsid w:val="00FF5AEE"/>
    <w:rsid w:val="00FF6BE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D70A06E8-D548-491D-A594-97951B085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9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semiHidden="1" w:uiPriority="99" w:unhideWhenUsed="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02563"/>
    <w:pPr>
      <w:suppressAutoHyphens/>
      <w:spacing w:line="240" w:lineRule="atLeast"/>
    </w:pPr>
    <w:rPr>
      <w:lang w:eastAsia="en-US"/>
    </w:rPr>
  </w:style>
  <w:style w:type="paragraph" w:styleId="Heading1">
    <w:name w:val="heading 1"/>
    <w:aliases w:val="Table_G"/>
    <w:basedOn w:val="SingleTxtG"/>
    <w:next w:val="SingleTxtG"/>
    <w:link w:val="Heading1Char"/>
    <w:qFormat/>
    <w:rsid w:val="00C65283"/>
    <w:pPr>
      <w:tabs>
        <w:tab w:val="num" w:pos="926"/>
      </w:tabs>
      <w:spacing w:after="0" w:line="240" w:lineRule="auto"/>
      <w:ind w:left="926" w:right="0" w:hanging="360"/>
      <w:jc w:val="left"/>
      <w:outlineLvl w:val="0"/>
    </w:pPr>
  </w:style>
  <w:style w:type="paragraph" w:styleId="Heading2">
    <w:name w:val="heading 2"/>
    <w:basedOn w:val="Normal"/>
    <w:next w:val="Normal"/>
    <w:link w:val="Heading2Char"/>
    <w:qFormat/>
    <w:rsid w:val="00C65283"/>
    <w:pPr>
      <w:numPr>
        <w:ilvl w:val="1"/>
        <w:numId w:val="9"/>
      </w:numPr>
      <w:spacing w:line="240" w:lineRule="auto"/>
      <w:outlineLvl w:val="1"/>
    </w:pPr>
  </w:style>
  <w:style w:type="paragraph" w:styleId="Heading3">
    <w:name w:val="heading 3"/>
    <w:basedOn w:val="Normal"/>
    <w:next w:val="Normal"/>
    <w:link w:val="Heading3Char"/>
    <w:qFormat/>
    <w:rsid w:val="00C65283"/>
    <w:pPr>
      <w:numPr>
        <w:ilvl w:val="2"/>
        <w:numId w:val="9"/>
      </w:numPr>
      <w:spacing w:line="240" w:lineRule="auto"/>
      <w:outlineLvl w:val="2"/>
    </w:pPr>
  </w:style>
  <w:style w:type="paragraph" w:styleId="Heading4">
    <w:name w:val="heading 4"/>
    <w:basedOn w:val="Normal"/>
    <w:next w:val="Normal"/>
    <w:link w:val="Heading4Char"/>
    <w:qFormat/>
    <w:rsid w:val="00C65283"/>
    <w:pPr>
      <w:numPr>
        <w:ilvl w:val="3"/>
        <w:numId w:val="9"/>
      </w:numPr>
      <w:spacing w:line="240" w:lineRule="auto"/>
      <w:outlineLvl w:val="3"/>
    </w:pPr>
  </w:style>
  <w:style w:type="paragraph" w:styleId="Heading5">
    <w:name w:val="heading 5"/>
    <w:basedOn w:val="Normal"/>
    <w:next w:val="Normal"/>
    <w:link w:val="Heading5Char"/>
    <w:qFormat/>
    <w:rsid w:val="00C65283"/>
    <w:pPr>
      <w:numPr>
        <w:ilvl w:val="4"/>
        <w:numId w:val="9"/>
      </w:numPr>
      <w:spacing w:line="240" w:lineRule="auto"/>
      <w:outlineLvl w:val="4"/>
    </w:pPr>
  </w:style>
  <w:style w:type="paragraph" w:styleId="Heading6">
    <w:name w:val="heading 6"/>
    <w:basedOn w:val="Normal"/>
    <w:next w:val="Normal"/>
    <w:link w:val="Heading6Char"/>
    <w:qFormat/>
    <w:rsid w:val="00C65283"/>
    <w:pPr>
      <w:numPr>
        <w:ilvl w:val="5"/>
        <w:numId w:val="9"/>
      </w:numPr>
      <w:spacing w:line="240" w:lineRule="auto"/>
      <w:outlineLvl w:val="5"/>
    </w:pPr>
  </w:style>
  <w:style w:type="paragraph" w:styleId="Heading7">
    <w:name w:val="heading 7"/>
    <w:basedOn w:val="Normal"/>
    <w:next w:val="Normal"/>
    <w:link w:val="Heading7Char"/>
    <w:qFormat/>
    <w:rsid w:val="00C65283"/>
    <w:pPr>
      <w:numPr>
        <w:ilvl w:val="6"/>
        <w:numId w:val="9"/>
      </w:numPr>
      <w:spacing w:line="240" w:lineRule="auto"/>
      <w:outlineLvl w:val="6"/>
    </w:pPr>
  </w:style>
  <w:style w:type="paragraph" w:styleId="Heading8">
    <w:name w:val="heading 8"/>
    <w:basedOn w:val="Normal"/>
    <w:next w:val="Normal"/>
    <w:link w:val="Heading8Char"/>
    <w:qFormat/>
    <w:rsid w:val="00C65283"/>
    <w:pPr>
      <w:numPr>
        <w:ilvl w:val="7"/>
        <w:numId w:val="9"/>
      </w:numPr>
      <w:spacing w:line="240" w:lineRule="auto"/>
      <w:outlineLvl w:val="7"/>
    </w:pPr>
  </w:style>
  <w:style w:type="paragraph" w:styleId="Heading9">
    <w:name w:val="heading 9"/>
    <w:basedOn w:val="Normal"/>
    <w:next w:val="Normal"/>
    <w:link w:val="Heading9Char"/>
    <w:qFormat/>
    <w:rsid w:val="00C65283"/>
    <w:pPr>
      <w:numPr>
        <w:ilvl w:val="8"/>
        <w:numId w:val="9"/>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930F93"/>
    <w:pPr>
      <w:spacing w:after="120"/>
      <w:ind w:left="1134" w:right="1134"/>
      <w:jc w:val="both"/>
    </w:pPr>
  </w:style>
  <w:style w:type="character" w:customStyle="1" w:styleId="SingleTxtGChar">
    <w:name w:val="_ Single Txt_G Char"/>
    <w:link w:val="SingleTxtG"/>
    <w:qFormat/>
    <w:rsid w:val="00E3708A"/>
    <w:rPr>
      <w:lang w:eastAsia="en-US"/>
    </w:rPr>
  </w:style>
  <w:style w:type="character" w:customStyle="1" w:styleId="Heading1Char">
    <w:name w:val="Heading 1 Char"/>
    <w:aliases w:val="Table_G Char"/>
    <w:basedOn w:val="DefaultParagraphFont"/>
    <w:link w:val="Heading1"/>
    <w:rsid w:val="00C65283"/>
    <w:rPr>
      <w:lang w:eastAsia="en-US"/>
    </w:rPr>
  </w:style>
  <w:style w:type="character" w:customStyle="1" w:styleId="Heading2Char">
    <w:name w:val="Heading 2 Char"/>
    <w:basedOn w:val="DefaultParagraphFont"/>
    <w:link w:val="Heading2"/>
    <w:rsid w:val="00C65283"/>
    <w:rPr>
      <w:lang w:eastAsia="en-US"/>
    </w:rPr>
  </w:style>
  <w:style w:type="character" w:customStyle="1" w:styleId="Heading3Char">
    <w:name w:val="Heading 3 Char"/>
    <w:basedOn w:val="DefaultParagraphFont"/>
    <w:link w:val="Heading3"/>
    <w:rsid w:val="00C65283"/>
    <w:rPr>
      <w:lang w:eastAsia="en-US"/>
    </w:rPr>
  </w:style>
  <w:style w:type="character" w:customStyle="1" w:styleId="Heading4Char">
    <w:name w:val="Heading 4 Char"/>
    <w:basedOn w:val="DefaultParagraphFont"/>
    <w:link w:val="Heading4"/>
    <w:rsid w:val="00C65283"/>
    <w:rPr>
      <w:lang w:eastAsia="en-US"/>
    </w:rPr>
  </w:style>
  <w:style w:type="character" w:customStyle="1" w:styleId="Heading5Char">
    <w:name w:val="Heading 5 Char"/>
    <w:basedOn w:val="DefaultParagraphFont"/>
    <w:link w:val="Heading5"/>
    <w:rsid w:val="00C65283"/>
    <w:rPr>
      <w:lang w:eastAsia="en-US"/>
    </w:rPr>
  </w:style>
  <w:style w:type="character" w:customStyle="1" w:styleId="Heading6Char">
    <w:name w:val="Heading 6 Char"/>
    <w:basedOn w:val="DefaultParagraphFont"/>
    <w:link w:val="Heading6"/>
    <w:rsid w:val="00C65283"/>
    <w:rPr>
      <w:lang w:eastAsia="en-US"/>
    </w:rPr>
  </w:style>
  <w:style w:type="character" w:customStyle="1" w:styleId="Heading7Char">
    <w:name w:val="Heading 7 Char"/>
    <w:basedOn w:val="DefaultParagraphFont"/>
    <w:link w:val="Heading7"/>
    <w:rsid w:val="00C65283"/>
    <w:rPr>
      <w:lang w:eastAsia="en-US"/>
    </w:rPr>
  </w:style>
  <w:style w:type="character" w:customStyle="1" w:styleId="Heading8Char">
    <w:name w:val="Heading 8 Char"/>
    <w:basedOn w:val="DefaultParagraphFont"/>
    <w:link w:val="Heading8"/>
    <w:rsid w:val="00C65283"/>
    <w:rPr>
      <w:lang w:eastAsia="en-US"/>
    </w:rPr>
  </w:style>
  <w:style w:type="character" w:customStyle="1" w:styleId="Heading9Char">
    <w:name w:val="Heading 9 Char"/>
    <w:basedOn w:val="DefaultParagraphFont"/>
    <w:link w:val="Heading9"/>
    <w:rsid w:val="00C65283"/>
    <w:rPr>
      <w:lang w:eastAsia="en-US"/>
    </w:rPr>
  </w:style>
  <w:style w:type="paragraph" w:customStyle="1" w:styleId="HMG">
    <w:name w:val="_ H __M_G"/>
    <w:basedOn w:val="Normal"/>
    <w:next w:val="Normal"/>
    <w:qFormat/>
    <w:rsid w:val="00930F93"/>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930F93"/>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930F93"/>
    <w:pPr>
      <w:keepNext/>
      <w:keepLines/>
      <w:tabs>
        <w:tab w:val="right" w:pos="851"/>
      </w:tabs>
      <w:spacing w:before="360" w:after="240" w:line="270" w:lineRule="exact"/>
      <w:ind w:left="1134" w:right="1134" w:hanging="1134"/>
    </w:pPr>
    <w:rPr>
      <w:b/>
      <w:sz w:val="24"/>
    </w:rPr>
  </w:style>
  <w:style w:type="character" w:customStyle="1" w:styleId="H1GChar">
    <w:name w:val="_ H_1_G Char"/>
    <w:link w:val="H1G"/>
    <w:rsid w:val="002E403A"/>
    <w:rPr>
      <w:b/>
      <w:sz w:val="24"/>
      <w:lang w:eastAsia="en-US"/>
    </w:rPr>
  </w:style>
  <w:style w:type="paragraph" w:customStyle="1" w:styleId="H23G">
    <w:name w:val="_ H_2/3_G"/>
    <w:basedOn w:val="Normal"/>
    <w:next w:val="Normal"/>
    <w:link w:val="H23GChar"/>
    <w:qFormat/>
    <w:rsid w:val="00930F93"/>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930F93"/>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930F93"/>
    <w:pPr>
      <w:keepNext/>
      <w:keepLines/>
      <w:tabs>
        <w:tab w:val="right" w:pos="851"/>
      </w:tabs>
      <w:spacing w:before="240" w:after="120" w:line="240" w:lineRule="exact"/>
      <w:ind w:left="1134" w:right="1134" w:hanging="1134"/>
    </w:pPr>
  </w:style>
  <w:style w:type="paragraph" w:customStyle="1" w:styleId="SLG">
    <w:name w:val="__S_L_G"/>
    <w:basedOn w:val="Normal"/>
    <w:next w:val="Normal"/>
    <w:rsid w:val="00930F93"/>
    <w:pPr>
      <w:keepNext/>
      <w:keepLines/>
      <w:spacing w:before="240" w:after="240" w:line="580" w:lineRule="exact"/>
      <w:ind w:left="1134" w:right="1134"/>
    </w:pPr>
    <w:rPr>
      <w:b/>
      <w:sz w:val="56"/>
    </w:rPr>
  </w:style>
  <w:style w:type="paragraph" w:customStyle="1" w:styleId="SMG">
    <w:name w:val="__S_M_G"/>
    <w:basedOn w:val="Normal"/>
    <w:next w:val="Normal"/>
    <w:rsid w:val="00930F93"/>
    <w:pPr>
      <w:keepNext/>
      <w:keepLines/>
      <w:spacing w:before="240" w:after="240" w:line="420" w:lineRule="exact"/>
      <w:ind w:left="1134" w:right="1134"/>
    </w:pPr>
    <w:rPr>
      <w:b/>
      <w:sz w:val="40"/>
    </w:rPr>
  </w:style>
  <w:style w:type="paragraph" w:customStyle="1" w:styleId="SSG">
    <w:name w:val="__S_S_G"/>
    <w:basedOn w:val="Normal"/>
    <w:next w:val="Normal"/>
    <w:rsid w:val="00930F93"/>
    <w:pPr>
      <w:keepNext/>
      <w:keepLines/>
      <w:spacing w:before="240" w:after="240" w:line="300" w:lineRule="exact"/>
      <w:ind w:left="1134" w:right="1134"/>
    </w:pPr>
    <w:rPr>
      <w:b/>
      <w:sz w:val="28"/>
    </w:rPr>
  </w:style>
  <w:style w:type="paragraph" w:customStyle="1" w:styleId="XLargeG">
    <w:name w:val="__XLarge_G"/>
    <w:basedOn w:val="Normal"/>
    <w:next w:val="Normal"/>
    <w:uiPriority w:val="99"/>
    <w:rsid w:val="00930F93"/>
    <w:pPr>
      <w:keepNext/>
      <w:keepLines/>
      <w:spacing w:before="240" w:after="240" w:line="420" w:lineRule="exact"/>
      <w:ind w:left="1134" w:right="1134"/>
    </w:pPr>
    <w:rPr>
      <w:b/>
      <w:sz w:val="40"/>
    </w:rPr>
  </w:style>
  <w:style w:type="paragraph" w:customStyle="1" w:styleId="Bullet1G">
    <w:name w:val="_Bullet 1_G"/>
    <w:basedOn w:val="Normal"/>
    <w:qFormat/>
    <w:rsid w:val="00930F93"/>
    <w:pPr>
      <w:numPr>
        <w:numId w:val="1"/>
      </w:numPr>
      <w:spacing w:after="120"/>
      <w:ind w:right="1134"/>
      <w:jc w:val="both"/>
    </w:pPr>
  </w:style>
  <w:style w:type="paragraph" w:customStyle="1" w:styleId="Bullet2G">
    <w:name w:val="_Bullet 2_G"/>
    <w:basedOn w:val="Normal"/>
    <w:qFormat/>
    <w:rsid w:val="00930F93"/>
    <w:pPr>
      <w:numPr>
        <w:numId w:val="2"/>
      </w:numPr>
      <w:spacing w:after="120"/>
      <w:ind w:right="1134"/>
      <w:jc w:val="both"/>
    </w:pPr>
  </w:style>
  <w:style w:type="character" w:styleId="EndnoteReference">
    <w:name w:val="endnote reference"/>
    <w:aliases w:val="1_G"/>
    <w:qFormat/>
    <w:rsid w:val="00930F93"/>
    <w:rPr>
      <w:rFonts w:ascii="Times New Roman" w:hAnsi="Times New Roman"/>
      <w:sz w:val="18"/>
      <w:vertAlign w:val="superscript"/>
    </w:rPr>
  </w:style>
  <w:style w:type="character" w:styleId="FootnoteReference">
    <w:name w:val="footnote reference"/>
    <w:aliases w:val="4_G,Footnote Reference/"/>
    <w:qFormat/>
    <w:rsid w:val="00930F93"/>
    <w:rPr>
      <w:rFonts w:ascii="Times New Roman" w:hAnsi="Times New Roman"/>
      <w:sz w:val="18"/>
      <w:vertAlign w:val="superscript"/>
    </w:rPr>
  </w:style>
  <w:style w:type="paragraph" w:styleId="EndnoteText">
    <w:name w:val="endnote text"/>
    <w:aliases w:val="2_G"/>
    <w:basedOn w:val="FootnoteText"/>
    <w:link w:val="EndnoteTextChar"/>
    <w:qFormat/>
    <w:rsid w:val="00930F93"/>
  </w:style>
  <w:style w:type="paragraph" w:styleId="FootnoteText">
    <w:name w:val="footnote text"/>
    <w:aliases w:val="5_G"/>
    <w:basedOn w:val="Normal"/>
    <w:link w:val="FootnoteTextChar"/>
    <w:qFormat/>
    <w:rsid w:val="00930F93"/>
    <w:pPr>
      <w:tabs>
        <w:tab w:val="right" w:pos="1021"/>
      </w:tabs>
      <w:spacing w:line="220" w:lineRule="exact"/>
      <w:ind w:left="1134" w:right="1134" w:hanging="1134"/>
    </w:pPr>
    <w:rPr>
      <w:sz w:val="18"/>
    </w:rPr>
  </w:style>
  <w:style w:type="character" w:customStyle="1" w:styleId="FootnoteTextChar">
    <w:name w:val="Footnote Text Char"/>
    <w:aliases w:val="5_G Char"/>
    <w:link w:val="FootnoteText"/>
    <w:rsid w:val="00930F93"/>
    <w:rPr>
      <w:sz w:val="18"/>
    </w:rPr>
  </w:style>
  <w:style w:type="character" w:customStyle="1" w:styleId="EndnoteTextChar">
    <w:name w:val="Endnote Text Char"/>
    <w:aliases w:val="2_G Char"/>
    <w:link w:val="EndnoteText"/>
    <w:rsid w:val="00930F93"/>
    <w:rPr>
      <w:sz w:val="18"/>
    </w:rPr>
  </w:style>
  <w:style w:type="character" w:styleId="FollowedHyperlink">
    <w:name w:val="FollowedHyperlink"/>
    <w:rsid w:val="00930F93"/>
    <w:rPr>
      <w:color w:val="auto"/>
      <w:u w:val="none"/>
    </w:rPr>
  </w:style>
  <w:style w:type="paragraph" w:styleId="Footer">
    <w:name w:val="footer"/>
    <w:aliases w:val="3_G"/>
    <w:basedOn w:val="Normal"/>
    <w:link w:val="FooterChar"/>
    <w:uiPriority w:val="99"/>
    <w:qFormat/>
    <w:rsid w:val="00930F93"/>
    <w:pPr>
      <w:spacing w:line="240" w:lineRule="auto"/>
    </w:pPr>
    <w:rPr>
      <w:sz w:val="16"/>
    </w:rPr>
  </w:style>
  <w:style w:type="character" w:customStyle="1" w:styleId="FooterChar">
    <w:name w:val="Footer Char"/>
    <w:aliases w:val="3_G Char"/>
    <w:link w:val="Footer"/>
    <w:uiPriority w:val="99"/>
    <w:rsid w:val="00930F93"/>
    <w:rPr>
      <w:sz w:val="16"/>
    </w:rPr>
  </w:style>
  <w:style w:type="paragraph" w:styleId="Header">
    <w:name w:val="header"/>
    <w:aliases w:val="6_G"/>
    <w:basedOn w:val="Normal"/>
    <w:link w:val="HeaderChar"/>
    <w:uiPriority w:val="99"/>
    <w:qFormat/>
    <w:rsid w:val="00930F93"/>
    <w:pPr>
      <w:pBdr>
        <w:bottom w:val="single" w:sz="4" w:space="4" w:color="auto"/>
      </w:pBdr>
      <w:spacing w:line="240" w:lineRule="auto"/>
    </w:pPr>
    <w:rPr>
      <w:b/>
      <w:sz w:val="18"/>
    </w:rPr>
  </w:style>
  <w:style w:type="character" w:customStyle="1" w:styleId="HeaderChar">
    <w:name w:val="Header Char"/>
    <w:aliases w:val="6_G Char"/>
    <w:link w:val="Header"/>
    <w:uiPriority w:val="99"/>
    <w:rsid w:val="00930F93"/>
    <w:rPr>
      <w:b/>
      <w:sz w:val="18"/>
    </w:rPr>
  </w:style>
  <w:style w:type="character" w:styleId="PageNumber">
    <w:name w:val="page number"/>
    <w:aliases w:val="7_G"/>
    <w:qFormat/>
    <w:rsid w:val="00930F93"/>
    <w:rPr>
      <w:rFonts w:ascii="Times New Roman" w:hAnsi="Times New Roman"/>
      <w:b/>
      <w:sz w:val="18"/>
    </w:rPr>
  </w:style>
  <w:style w:type="paragraph" w:styleId="HTMLPreformatted">
    <w:name w:val="HTML Preformatted"/>
    <w:basedOn w:val="Normal"/>
    <w:link w:val="HTMLPreformattedChar"/>
    <w:uiPriority w:val="99"/>
    <w:unhideWhenUsed/>
    <w:rsid w:val="00A924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cs="Courier New"/>
      <w:lang w:eastAsia="en-GB"/>
    </w:rPr>
  </w:style>
  <w:style w:type="character" w:customStyle="1" w:styleId="HTMLPreformattedChar">
    <w:name w:val="HTML Preformatted Char"/>
    <w:basedOn w:val="DefaultParagraphFont"/>
    <w:link w:val="HTMLPreformatted"/>
    <w:uiPriority w:val="99"/>
    <w:rsid w:val="00A92435"/>
    <w:rPr>
      <w:rFonts w:ascii="Courier New" w:hAnsi="Courier New" w:cs="Courier New"/>
    </w:rPr>
  </w:style>
  <w:style w:type="paragraph" w:customStyle="1" w:styleId="H1">
    <w:name w:val="_ H_1"/>
    <w:basedOn w:val="Normal"/>
    <w:next w:val="SingleTxt"/>
    <w:qFormat/>
    <w:rsid w:val="00007A6F"/>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70" w:lineRule="exact"/>
      <w:ind w:left="1267" w:right="1267" w:hanging="1267"/>
      <w:outlineLvl w:val="0"/>
    </w:pPr>
    <w:rPr>
      <w:rFonts w:eastAsiaTheme="minorEastAsia"/>
      <w:b/>
      <w:spacing w:val="4"/>
      <w:w w:val="103"/>
      <w:kern w:val="14"/>
      <w:sz w:val="24"/>
      <w:lang w:eastAsia="zh-CN"/>
    </w:rPr>
  </w:style>
  <w:style w:type="paragraph" w:customStyle="1" w:styleId="SingleTxt">
    <w:name w:val="__Single Txt"/>
    <w:basedOn w:val="Normal"/>
    <w:qFormat/>
    <w:rsid w:val="00007A6F"/>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line="240" w:lineRule="exact"/>
      <w:ind w:left="1267" w:right="1267"/>
      <w:jc w:val="both"/>
    </w:pPr>
    <w:rPr>
      <w:rFonts w:eastAsiaTheme="minorEastAsia"/>
      <w:spacing w:val="4"/>
      <w:w w:val="103"/>
      <w:kern w:val="14"/>
      <w:lang w:eastAsia="zh-CN"/>
    </w:rPr>
  </w:style>
  <w:style w:type="paragraph" w:customStyle="1" w:styleId="HCh">
    <w:name w:val="_ H _Ch"/>
    <w:basedOn w:val="H1"/>
    <w:next w:val="SingleTxt"/>
    <w:rsid w:val="00007A6F"/>
    <w:pPr>
      <w:spacing w:line="300" w:lineRule="exact"/>
      <w:ind w:left="0" w:right="0" w:firstLine="0"/>
    </w:pPr>
    <w:rPr>
      <w:spacing w:val="-2"/>
      <w:sz w:val="28"/>
    </w:rPr>
  </w:style>
  <w:style w:type="paragraph" w:customStyle="1" w:styleId="HM">
    <w:name w:val="_ H __M"/>
    <w:basedOn w:val="HCh"/>
    <w:next w:val="Normal"/>
    <w:rsid w:val="00007A6F"/>
    <w:pPr>
      <w:spacing w:line="360" w:lineRule="exact"/>
    </w:pPr>
    <w:rPr>
      <w:spacing w:val="-3"/>
      <w:w w:val="99"/>
      <w:sz w:val="34"/>
    </w:rPr>
  </w:style>
  <w:style w:type="paragraph" w:customStyle="1" w:styleId="H23">
    <w:name w:val="_ H_2/3"/>
    <w:basedOn w:val="H1"/>
    <w:next w:val="SingleTxt"/>
    <w:qFormat/>
    <w:rsid w:val="00007A6F"/>
    <w:pPr>
      <w:spacing w:line="240" w:lineRule="exact"/>
      <w:outlineLvl w:val="1"/>
    </w:pPr>
    <w:rPr>
      <w:spacing w:val="2"/>
      <w:sz w:val="20"/>
    </w:rPr>
  </w:style>
  <w:style w:type="paragraph" w:customStyle="1" w:styleId="H4">
    <w:name w:val="_ H_4"/>
    <w:basedOn w:val="Normal"/>
    <w:next w:val="Normal"/>
    <w:rsid w:val="00007A6F"/>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exact"/>
      <w:ind w:left="1267" w:right="1267" w:hanging="1267"/>
      <w:outlineLvl w:val="3"/>
    </w:pPr>
    <w:rPr>
      <w:rFonts w:eastAsiaTheme="minorEastAsia"/>
      <w:i/>
      <w:spacing w:val="3"/>
      <w:w w:val="103"/>
      <w:kern w:val="14"/>
      <w:lang w:eastAsia="zh-CN"/>
    </w:rPr>
  </w:style>
  <w:style w:type="paragraph" w:customStyle="1" w:styleId="H56">
    <w:name w:val="_ H_5/6"/>
    <w:basedOn w:val="Normal"/>
    <w:next w:val="Normal"/>
    <w:rsid w:val="00007A6F"/>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exact"/>
      <w:ind w:left="1267" w:right="1267" w:hanging="1267"/>
      <w:outlineLvl w:val="4"/>
    </w:pPr>
    <w:rPr>
      <w:rFonts w:eastAsiaTheme="minorEastAsia"/>
      <w:spacing w:val="4"/>
      <w:w w:val="103"/>
      <w:kern w:val="14"/>
      <w:lang w:eastAsia="zh-CN"/>
    </w:rPr>
  </w:style>
  <w:style w:type="paragraph" w:customStyle="1" w:styleId="DualTxt">
    <w:name w:val="__Dual Txt"/>
    <w:basedOn w:val="Normal"/>
    <w:rsid w:val="00007A6F"/>
    <w:pPr>
      <w:tabs>
        <w:tab w:val="left" w:pos="480"/>
        <w:tab w:val="left" w:pos="960"/>
        <w:tab w:val="left" w:pos="1440"/>
        <w:tab w:val="left" w:pos="1915"/>
        <w:tab w:val="left" w:pos="2405"/>
        <w:tab w:val="left" w:pos="2880"/>
        <w:tab w:val="left" w:pos="3355"/>
      </w:tabs>
      <w:spacing w:after="120" w:line="240" w:lineRule="exact"/>
      <w:jc w:val="both"/>
    </w:pPr>
    <w:rPr>
      <w:rFonts w:eastAsiaTheme="minorEastAsia"/>
      <w:spacing w:val="4"/>
      <w:w w:val="103"/>
      <w:kern w:val="14"/>
      <w:lang w:eastAsia="zh-CN"/>
    </w:rPr>
  </w:style>
  <w:style w:type="paragraph" w:customStyle="1" w:styleId="SM">
    <w:name w:val="__S_M"/>
    <w:basedOn w:val="Normal"/>
    <w:next w:val="Normal"/>
    <w:rsid w:val="00007A6F"/>
    <w:pPr>
      <w:keepNext/>
      <w:keepLines/>
      <w:tabs>
        <w:tab w:val="right" w:leader="dot" w:pos="360"/>
      </w:tabs>
      <w:spacing w:line="390" w:lineRule="exact"/>
      <w:ind w:left="1267" w:right="1267"/>
      <w:outlineLvl w:val="0"/>
    </w:pPr>
    <w:rPr>
      <w:rFonts w:eastAsiaTheme="minorEastAsia"/>
      <w:b/>
      <w:spacing w:val="-4"/>
      <w:w w:val="98"/>
      <w:kern w:val="14"/>
      <w:sz w:val="40"/>
      <w:lang w:eastAsia="zh-CN"/>
    </w:rPr>
  </w:style>
  <w:style w:type="paragraph" w:customStyle="1" w:styleId="SL">
    <w:name w:val="__S_L"/>
    <w:basedOn w:val="SM"/>
    <w:next w:val="Normal"/>
    <w:rsid w:val="00007A6F"/>
    <w:pPr>
      <w:spacing w:line="540" w:lineRule="exact"/>
    </w:pPr>
    <w:rPr>
      <w:spacing w:val="-8"/>
      <w:w w:val="96"/>
      <w:sz w:val="57"/>
    </w:rPr>
  </w:style>
  <w:style w:type="paragraph" w:customStyle="1" w:styleId="SS">
    <w:name w:val="__S_S"/>
    <w:basedOn w:val="HCh"/>
    <w:next w:val="Normal"/>
    <w:rsid w:val="00007A6F"/>
    <w:pPr>
      <w:ind w:left="1267" w:right="1267"/>
    </w:pPr>
  </w:style>
  <w:style w:type="paragraph" w:styleId="BalloonText">
    <w:name w:val="Balloon Text"/>
    <w:basedOn w:val="Normal"/>
    <w:link w:val="BalloonTextChar"/>
    <w:rsid w:val="00007A6F"/>
    <w:pPr>
      <w:spacing w:line="240" w:lineRule="exact"/>
    </w:pPr>
    <w:rPr>
      <w:rFonts w:ascii="Tahoma" w:eastAsiaTheme="minorEastAsia" w:hAnsi="Tahoma" w:cs="Tahoma"/>
      <w:spacing w:val="4"/>
      <w:w w:val="103"/>
      <w:kern w:val="14"/>
      <w:sz w:val="16"/>
      <w:szCs w:val="16"/>
      <w:lang w:eastAsia="zh-CN"/>
    </w:rPr>
  </w:style>
  <w:style w:type="character" w:customStyle="1" w:styleId="BalloonTextChar">
    <w:name w:val="Balloon Text Char"/>
    <w:basedOn w:val="DefaultParagraphFont"/>
    <w:link w:val="BalloonText"/>
    <w:uiPriority w:val="99"/>
    <w:rsid w:val="00007A6F"/>
    <w:rPr>
      <w:rFonts w:ascii="Tahoma" w:eastAsiaTheme="minorEastAsia" w:hAnsi="Tahoma" w:cs="Tahoma"/>
      <w:spacing w:val="4"/>
      <w:w w:val="103"/>
      <w:kern w:val="14"/>
      <w:sz w:val="16"/>
      <w:szCs w:val="16"/>
      <w:lang w:eastAsia="zh-CN"/>
    </w:rPr>
  </w:style>
  <w:style w:type="character" w:styleId="LineNumber">
    <w:name w:val="line number"/>
    <w:rsid w:val="00007A6F"/>
    <w:rPr>
      <w:sz w:val="14"/>
    </w:rPr>
  </w:style>
  <w:style w:type="paragraph" w:customStyle="1" w:styleId="Small">
    <w:name w:val="Small"/>
    <w:basedOn w:val="Normal"/>
    <w:next w:val="Normal"/>
    <w:rsid w:val="00007A6F"/>
    <w:pPr>
      <w:tabs>
        <w:tab w:val="right" w:pos="9965"/>
      </w:tabs>
      <w:spacing w:line="210" w:lineRule="exact"/>
    </w:pPr>
    <w:rPr>
      <w:rFonts w:eastAsiaTheme="minorEastAsia"/>
      <w:spacing w:val="5"/>
      <w:w w:val="104"/>
      <w:kern w:val="14"/>
      <w:sz w:val="17"/>
      <w:lang w:eastAsia="zh-CN"/>
    </w:rPr>
  </w:style>
  <w:style w:type="paragraph" w:customStyle="1" w:styleId="SmallX">
    <w:name w:val="SmallX"/>
    <w:basedOn w:val="Small"/>
    <w:next w:val="Normal"/>
    <w:rsid w:val="00007A6F"/>
    <w:pPr>
      <w:spacing w:line="180" w:lineRule="exact"/>
      <w:jc w:val="right"/>
    </w:pPr>
    <w:rPr>
      <w:spacing w:val="6"/>
      <w:w w:val="106"/>
      <w:sz w:val="14"/>
    </w:rPr>
  </w:style>
  <w:style w:type="paragraph" w:customStyle="1" w:styleId="XLarge">
    <w:name w:val="XLarge"/>
    <w:basedOn w:val="HM"/>
    <w:rsid w:val="00007A6F"/>
    <w:pPr>
      <w:spacing w:line="390" w:lineRule="exact"/>
    </w:pPr>
    <w:rPr>
      <w:spacing w:val="-4"/>
      <w:w w:val="98"/>
      <w:sz w:val="40"/>
    </w:rPr>
  </w:style>
  <w:style w:type="paragraph" w:styleId="PlainText">
    <w:name w:val="Plain Text"/>
    <w:basedOn w:val="Normal"/>
    <w:link w:val="PlainTextChar"/>
    <w:rsid w:val="00007A6F"/>
    <w:pPr>
      <w:suppressAutoHyphens w:val="0"/>
      <w:spacing w:line="240" w:lineRule="auto"/>
    </w:pPr>
    <w:rPr>
      <w:rFonts w:ascii="Courier New" w:hAnsi="Courier New"/>
      <w:lang w:val="en-US" w:eastAsia="en-GB"/>
    </w:rPr>
  </w:style>
  <w:style w:type="character" w:customStyle="1" w:styleId="PlainTextChar">
    <w:name w:val="Plain Text Char"/>
    <w:basedOn w:val="DefaultParagraphFont"/>
    <w:link w:val="PlainText"/>
    <w:rsid w:val="00007A6F"/>
    <w:rPr>
      <w:rFonts w:ascii="Courier New" w:hAnsi="Courier New"/>
      <w:lang w:val="en-US"/>
    </w:rPr>
  </w:style>
  <w:style w:type="table" w:styleId="TableGrid">
    <w:name w:val="Table Grid"/>
    <w:basedOn w:val="TableNormal"/>
    <w:rsid w:val="00007A6F"/>
    <w:pPr>
      <w:suppressAutoHyphens/>
      <w:spacing w:line="240" w:lineRule="exact"/>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endaTitle">
    <w:name w:val="AgendaTitle"/>
    <w:basedOn w:val="Normal"/>
    <w:next w:val="Normal"/>
    <w:rsid w:val="00007A6F"/>
    <w:pPr>
      <w:spacing w:line="240" w:lineRule="exact"/>
    </w:pPr>
    <w:rPr>
      <w:rFonts w:eastAsiaTheme="minorEastAsia"/>
      <w:spacing w:val="4"/>
      <w:w w:val="103"/>
      <w:kern w:val="14"/>
      <w:lang w:eastAsia="zh-CN"/>
    </w:rPr>
  </w:style>
  <w:style w:type="paragraph" w:customStyle="1" w:styleId="Committee">
    <w:name w:val="Committee"/>
    <w:basedOn w:val="H1"/>
    <w:rsid w:val="00007A6F"/>
    <w:pPr>
      <w:ind w:left="0" w:firstLine="0"/>
    </w:pPr>
  </w:style>
  <w:style w:type="paragraph" w:customStyle="1" w:styleId="Session">
    <w:name w:val="Session"/>
    <w:basedOn w:val="H23"/>
    <w:rsid w:val="00007A6F"/>
    <w:pPr>
      <w:ind w:left="0" w:firstLine="0"/>
    </w:pPr>
    <w:rPr>
      <w:spacing w:val="4"/>
    </w:rPr>
  </w:style>
  <w:style w:type="paragraph" w:customStyle="1" w:styleId="Sponsors">
    <w:name w:val="Sponsors"/>
    <w:basedOn w:val="H23"/>
    <w:rsid w:val="00007A6F"/>
  </w:style>
  <w:style w:type="paragraph" w:customStyle="1" w:styleId="Title1">
    <w:name w:val="Title 1"/>
    <w:basedOn w:val="HCh"/>
    <w:rsid w:val="00007A6F"/>
    <w:pPr>
      <w:ind w:left="1267" w:right="1267" w:hanging="1267"/>
    </w:pPr>
  </w:style>
  <w:style w:type="paragraph" w:customStyle="1" w:styleId="Title2">
    <w:name w:val="Title 2"/>
    <w:basedOn w:val="H1"/>
    <w:rsid w:val="00007A6F"/>
    <w:pPr>
      <w:ind w:left="0" w:right="0" w:firstLine="0"/>
    </w:pPr>
  </w:style>
  <w:style w:type="paragraph" w:customStyle="1" w:styleId="Type">
    <w:name w:val="Type"/>
    <w:basedOn w:val="H23"/>
    <w:autoRedefine/>
    <w:rsid w:val="00007A6F"/>
    <w:pPr>
      <w:ind w:left="0" w:right="576" w:firstLine="0"/>
    </w:pPr>
  </w:style>
  <w:style w:type="paragraph" w:customStyle="1" w:styleId="Distribution">
    <w:name w:val="Distribution"/>
    <w:next w:val="Normal"/>
    <w:rsid w:val="00007A6F"/>
    <w:pPr>
      <w:spacing w:before="240"/>
    </w:pPr>
    <w:rPr>
      <w:rFonts w:eastAsiaTheme="minorEastAsia"/>
      <w:spacing w:val="4"/>
      <w:w w:val="103"/>
      <w:kern w:val="14"/>
      <w:lang w:eastAsia="zh-CN"/>
    </w:rPr>
  </w:style>
  <w:style w:type="paragraph" w:customStyle="1" w:styleId="Publication">
    <w:name w:val="Publication"/>
    <w:next w:val="Normal"/>
    <w:rsid w:val="00007A6F"/>
    <w:rPr>
      <w:rFonts w:eastAsiaTheme="minorEastAsia"/>
      <w:spacing w:val="4"/>
      <w:w w:val="103"/>
      <w:kern w:val="14"/>
      <w:lang w:eastAsia="zh-CN"/>
    </w:rPr>
  </w:style>
  <w:style w:type="paragraph" w:customStyle="1" w:styleId="Original">
    <w:name w:val="Original"/>
    <w:next w:val="Normal"/>
    <w:qFormat/>
    <w:rsid w:val="00007A6F"/>
    <w:rPr>
      <w:rFonts w:eastAsiaTheme="minorEastAsia"/>
      <w:spacing w:val="4"/>
      <w:w w:val="103"/>
      <w:kern w:val="14"/>
      <w:lang w:eastAsia="zh-CN"/>
    </w:rPr>
  </w:style>
  <w:style w:type="paragraph" w:customStyle="1" w:styleId="ReleaseDate">
    <w:name w:val="Release Date"/>
    <w:next w:val="Footer"/>
    <w:rsid w:val="00007A6F"/>
    <w:rPr>
      <w:rFonts w:eastAsiaTheme="minorEastAsia"/>
      <w:spacing w:val="4"/>
      <w:w w:val="103"/>
      <w:kern w:val="14"/>
      <w:lang w:eastAsia="zh-CN"/>
    </w:rPr>
  </w:style>
  <w:style w:type="character" w:styleId="Hyperlink">
    <w:name w:val="Hyperlink"/>
    <w:basedOn w:val="DefaultParagraphFont"/>
    <w:rsid w:val="00007A6F"/>
    <w:rPr>
      <w:color w:val="0000FF" w:themeColor="hyperlink"/>
      <w:u w:val="single"/>
    </w:rPr>
  </w:style>
  <w:style w:type="paragraph" w:customStyle="1" w:styleId="Bullet1">
    <w:name w:val="Bullet 1"/>
    <w:basedOn w:val="Normal"/>
    <w:qFormat/>
    <w:rsid w:val="00007A6F"/>
    <w:pPr>
      <w:numPr>
        <w:numId w:val="4"/>
      </w:numPr>
      <w:spacing w:after="120"/>
      <w:ind w:left="1743" w:right="1267" w:hanging="130"/>
      <w:jc w:val="both"/>
    </w:pPr>
    <w:rPr>
      <w:rFonts w:eastAsiaTheme="minorEastAsia"/>
      <w:spacing w:val="4"/>
      <w:w w:val="103"/>
      <w:kern w:val="14"/>
      <w:lang w:eastAsia="zh-CN"/>
    </w:rPr>
  </w:style>
  <w:style w:type="paragraph" w:customStyle="1" w:styleId="Bullet2">
    <w:name w:val="Bullet 2"/>
    <w:basedOn w:val="Normal"/>
    <w:qFormat/>
    <w:rsid w:val="00007A6F"/>
    <w:pPr>
      <w:numPr>
        <w:numId w:val="3"/>
      </w:numPr>
      <w:spacing w:after="120" w:line="240" w:lineRule="exact"/>
      <w:ind w:left="2217" w:right="1264" w:hanging="130"/>
      <w:jc w:val="both"/>
    </w:pPr>
    <w:rPr>
      <w:rFonts w:eastAsiaTheme="minorEastAsia"/>
      <w:spacing w:val="4"/>
      <w:w w:val="103"/>
      <w:kern w:val="14"/>
      <w:lang w:eastAsia="zh-CN"/>
    </w:rPr>
  </w:style>
  <w:style w:type="paragraph" w:customStyle="1" w:styleId="Bullet3">
    <w:name w:val="Bullet 3"/>
    <w:basedOn w:val="SingleTxt"/>
    <w:qFormat/>
    <w:rsid w:val="00007A6F"/>
    <w:pPr>
      <w:numPr>
        <w:numId w:val="5"/>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pPr>
  </w:style>
  <w:style w:type="paragraph" w:styleId="CommentText">
    <w:name w:val="annotation text"/>
    <w:basedOn w:val="Normal"/>
    <w:link w:val="CommentTextChar"/>
    <w:rsid w:val="00007A6F"/>
    <w:pPr>
      <w:spacing w:line="240" w:lineRule="auto"/>
    </w:pPr>
    <w:rPr>
      <w:rFonts w:eastAsiaTheme="minorEastAsia"/>
      <w:spacing w:val="4"/>
      <w:w w:val="103"/>
      <w:kern w:val="14"/>
      <w:lang w:eastAsia="zh-CN"/>
    </w:rPr>
  </w:style>
  <w:style w:type="character" w:customStyle="1" w:styleId="CommentTextChar">
    <w:name w:val="Comment Text Char"/>
    <w:basedOn w:val="DefaultParagraphFont"/>
    <w:link w:val="CommentText"/>
    <w:rsid w:val="00007A6F"/>
    <w:rPr>
      <w:rFonts w:eastAsiaTheme="minorEastAsia"/>
      <w:spacing w:val="4"/>
      <w:w w:val="103"/>
      <w:kern w:val="14"/>
      <w:lang w:eastAsia="zh-CN"/>
    </w:rPr>
  </w:style>
  <w:style w:type="paragraph" w:styleId="CommentSubject">
    <w:name w:val="annotation subject"/>
    <w:basedOn w:val="CommentText"/>
    <w:next w:val="CommentText"/>
    <w:link w:val="CommentSubjectChar1"/>
    <w:rsid w:val="00007A6F"/>
    <w:rPr>
      <w:b/>
      <w:bCs/>
    </w:rPr>
  </w:style>
  <w:style w:type="character" w:customStyle="1" w:styleId="CommentSubjectChar1">
    <w:name w:val="Comment Subject Char1"/>
    <w:basedOn w:val="CommentTextChar"/>
    <w:link w:val="CommentSubject"/>
    <w:rsid w:val="00007A6F"/>
    <w:rPr>
      <w:rFonts w:eastAsiaTheme="minorEastAsia"/>
      <w:b/>
      <w:bCs/>
      <w:spacing w:val="4"/>
      <w:w w:val="103"/>
      <w:kern w:val="14"/>
      <w:lang w:eastAsia="zh-CN"/>
    </w:rPr>
  </w:style>
  <w:style w:type="paragraph" w:customStyle="1" w:styleId="Rom2">
    <w:name w:val="Rom2"/>
    <w:basedOn w:val="SingleTxtG"/>
    <w:rsid w:val="002574A1"/>
    <w:pPr>
      <w:numPr>
        <w:numId w:val="6"/>
      </w:numPr>
      <w:tabs>
        <w:tab w:val="clear" w:pos="2160"/>
      </w:tabs>
      <w:ind w:left="2835" w:hanging="397"/>
    </w:pPr>
    <w:rPr>
      <w:lang w:val="fr-CH"/>
    </w:rPr>
  </w:style>
  <w:style w:type="paragraph" w:customStyle="1" w:styleId="N2">
    <w:name w:val="N2"/>
    <w:basedOn w:val="Normal"/>
    <w:rsid w:val="00AE324D"/>
    <w:pPr>
      <w:widowControl w:val="0"/>
      <w:tabs>
        <w:tab w:val="left" w:pos="-340"/>
        <w:tab w:val="left" w:pos="284"/>
        <w:tab w:val="left" w:pos="454"/>
        <w:tab w:val="left" w:pos="680"/>
        <w:tab w:val="left" w:pos="1418"/>
      </w:tabs>
      <w:suppressAutoHyphens w:val="0"/>
      <w:overflowPunct w:val="0"/>
      <w:autoSpaceDE w:val="0"/>
      <w:autoSpaceDN w:val="0"/>
      <w:adjustRightInd w:val="0"/>
      <w:spacing w:line="240" w:lineRule="auto"/>
      <w:ind w:hanging="1134"/>
      <w:jc w:val="both"/>
      <w:textAlignment w:val="baseline"/>
    </w:pPr>
    <w:rPr>
      <w:sz w:val="22"/>
      <w:lang w:val="nl-NL"/>
    </w:rPr>
  </w:style>
  <w:style w:type="paragraph" w:customStyle="1" w:styleId="N4">
    <w:name w:val="N4"/>
    <w:basedOn w:val="Normal"/>
    <w:rsid w:val="00AE324D"/>
    <w:pPr>
      <w:widowControl w:val="0"/>
      <w:tabs>
        <w:tab w:val="left" w:pos="284"/>
        <w:tab w:val="left" w:pos="454"/>
        <w:tab w:val="left" w:pos="680"/>
        <w:tab w:val="left" w:pos="1418"/>
      </w:tabs>
      <w:suppressAutoHyphens w:val="0"/>
      <w:overflowPunct w:val="0"/>
      <w:autoSpaceDE w:val="0"/>
      <w:autoSpaceDN w:val="0"/>
      <w:adjustRightInd w:val="0"/>
      <w:spacing w:line="240" w:lineRule="auto"/>
      <w:jc w:val="both"/>
      <w:textAlignment w:val="baseline"/>
    </w:pPr>
    <w:rPr>
      <w:sz w:val="22"/>
      <w:lang w:val="nl-NL"/>
    </w:rPr>
  </w:style>
  <w:style w:type="character" w:styleId="CommentReference">
    <w:name w:val="annotation reference"/>
    <w:uiPriority w:val="99"/>
    <w:rsid w:val="009B1394"/>
    <w:rPr>
      <w:sz w:val="16"/>
      <w:szCs w:val="16"/>
    </w:rPr>
  </w:style>
  <w:style w:type="paragraph" w:customStyle="1" w:styleId="Default">
    <w:name w:val="Default"/>
    <w:rsid w:val="003421B9"/>
    <w:pPr>
      <w:autoSpaceDE w:val="0"/>
      <w:autoSpaceDN w:val="0"/>
      <w:adjustRightInd w:val="0"/>
    </w:pPr>
    <w:rPr>
      <w:snapToGrid w:val="0"/>
      <w:color w:val="000000"/>
      <w:sz w:val="24"/>
      <w:szCs w:val="24"/>
      <w:lang w:val="de-DE" w:eastAsia="fr-FR"/>
    </w:rPr>
  </w:style>
  <w:style w:type="table" w:customStyle="1" w:styleId="Grilledutableau1">
    <w:name w:val="Grille du tableau1"/>
    <w:basedOn w:val="TableNormal"/>
    <w:next w:val="TableGrid"/>
    <w:rsid w:val="003421B9"/>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Car">
    <w:name w:val="Car Car"/>
    <w:locked/>
    <w:rsid w:val="003421B9"/>
    <w:rPr>
      <w:rFonts w:ascii="Times New Roman" w:hAnsi="Times New Roman"/>
      <w:sz w:val="16"/>
      <w:lang w:val="fr-CH"/>
    </w:rPr>
  </w:style>
  <w:style w:type="paragraph" w:customStyle="1" w:styleId="Bearbeitung">
    <w:name w:val="Bearbeitung"/>
    <w:hidden/>
    <w:semiHidden/>
    <w:rsid w:val="003421B9"/>
    <w:rPr>
      <w:lang w:val="fr-CH" w:eastAsia="fr-FR"/>
    </w:rPr>
  </w:style>
  <w:style w:type="character" w:customStyle="1" w:styleId="tw4winMark">
    <w:name w:val="tw4winMark"/>
    <w:rsid w:val="003421B9"/>
    <w:rPr>
      <w:rFonts w:ascii="Courier New" w:hAnsi="Courier New"/>
      <w:vanish/>
      <w:color w:val="800080"/>
      <w:sz w:val="24"/>
      <w:vertAlign w:val="subscript"/>
    </w:rPr>
  </w:style>
  <w:style w:type="character" w:customStyle="1" w:styleId="tw4winError">
    <w:name w:val="tw4winError"/>
    <w:rsid w:val="003421B9"/>
    <w:rPr>
      <w:rFonts w:ascii="Courier New" w:hAnsi="Courier New"/>
      <w:color w:val="00FF00"/>
      <w:sz w:val="40"/>
    </w:rPr>
  </w:style>
  <w:style w:type="character" w:customStyle="1" w:styleId="tw4winTerm">
    <w:name w:val="tw4winTerm"/>
    <w:rsid w:val="003421B9"/>
    <w:rPr>
      <w:color w:val="0000FF"/>
    </w:rPr>
  </w:style>
  <w:style w:type="character" w:customStyle="1" w:styleId="tw4winPopup">
    <w:name w:val="tw4winPopup"/>
    <w:rsid w:val="003421B9"/>
    <w:rPr>
      <w:rFonts w:ascii="Courier New" w:hAnsi="Courier New"/>
      <w:noProof/>
      <w:color w:val="008000"/>
    </w:rPr>
  </w:style>
  <w:style w:type="character" w:customStyle="1" w:styleId="tw4winJump">
    <w:name w:val="tw4winJump"/>
    <w:rsid w:val="003421B9"/>
    <w:rPr>
      <w:rFonts w:ascii="Courier New" w:hAnsi="Courier New"/>
      <w:noProof/>
      <w:color w:val="008080"/>
    </w:rPr>
  </w:style>
  <w:style w:type="character" w:customStyle="1" w:styleId="tw4winExternal">
    <w:name w:val="tw4winExternal"/>
    <w:rsid w:val="003421B9"/>
    <w:rPr>
      <w:rFonts w:ascii="Courier New" w:hAnsi="Courier New"/>
      <w:noProof/>
      <w:color w:val="808080"/>
    </w:rPr>
  </w:style>
  <w:style w:type="character" w:customStyle="1" w:styleId="tw4winInternal">
    <w:name w:val="tw4winInternal"/>
    <w:rsid w:val="003421B9"/>
    <w:rPr>
      <w:rFonts w:ascii="Courier New" w:hAnsi="Courier New"/>
      <w:noProof/>
      <w:color w:val="FF0000"/>
    </w:rPr>
  </w:style>
  <w:style w:type="character" w:customStyle="1" w:styleId="DONOTTRANSLATE">
    <w:name w:val="DO_NOT_TRANSLATE"/>
    <w:rsid w:val="003421B9"/>
    <w:rPr>
      <w:rFonts w:ascii="Courier New" w:hAnsi="Courier New"/>
      <w:noProof/>
      <w:color w:val="800000"/>
    </w:rPr>
  </w:style>
  <w:style w:type="paragraph" w:customStyle="1" w:styleId="singletxtg0">
    <w:name w:val="singletxtg"/>
    <w:basedOn w:val="Normal"/>
    <w:rsid w:val="003421B9"/>
    <w:pPr>
      <w:suppressAutoHyphens w:val="0"/>
      <w:spacing w:before="100" w:beforeAutospacing="1" w:after="100" w:afterAutospacing="1" w:line="240" w:lineRule="auto"/>
    </w:pPr>
    <w:rPr>
      <w:sz w:val="24"/>
      <w:szCs w:val="24"/>
      <w:lang w:val="de-DE" w:eastAsia="de-DE"/>
    </w:rPr>
  </w:style>
  <w:style w:type="paragraph" w:customStyle="1" w:styleId="ADN11">
    <w:name w:val="ADN_1_1"/>
    <w:basedOn w:val="Normal"/>
    <w:rsid w:val="003421B9"/>
    <w:pPr>
      <w:widowControl w:val="0"/>
      <w:suppressAutoHyphens w:val="0"/>
      <w:overflowPunct w:val="0"/>
      <w:autoSpaceDE w:val="0"/>
      <w:autoSpaceDN w:val="0"/>
      <w:adjustRightInd w:val="0"/>
      <w:ind w:left="1134" w:hanging="1134"/>
      <w:jc w:val="both"/>
      <w:textAlignment w:val="baseline"/>
    </w:pPr>
    <w:rPr>
      <w:rFonts w:ascii="Arial" w:hAnsi="Arial"/>
      <w:b/>
      <w:sz w:val="18"/>
      <w:szCs w:val="18"/>
      <w:lang w:val="de-DE" w:eastAsia="fr-FR"/>
    </w:rPr>
  </w:style>
  <w:style w:type="paragraph" w:styleId="ListParagraph">
    <w:name w:val="List Paragraph"/>
    <w:basedOn w:val="Normal"/>
    <w:uiPriority w:val="34"/>
    <w:qFormat/>
    <w:rsid w:val="003421B9"/>
    <w:pPr>
      <w:ind w:left="720"/>
      <w:contextualSpacing/>
    </w:pPr>
    <w:rPr>
      <w:lang w:val="fr-CH" w:eastAsia="fr-FR"/>
    </w:rPr>
  </w:style>
  <w:style w:type="paragraph" w:styleId="BodyText">
    <w:name w:val="Body Text"/>
    <w:basedOn w:val="Normal"/>
    <w:next w:val="Normal"/>
    <w:link w:val="BodyTextChar"/>
    <w:rsid w:val="00D921BF"/>
  </w:style>
  <w:style w:type="character" w:customStyle="1" w:styleId="BodyTextChar">
    <w:name w:val="Body Text Char"/>
    <w:basedOn w:val="DefaultParagraphFont"/>
    <w:link w:val="BodyText"/>
    <w:rsid w:val="00D921BF"/>
    <w:rPr>
      <w:lang w:eastAsia="en-US"/>
    </w:rPr>
  </w:style>
  <w:style w:type="paragraph" w:styleId="BodyTextIndent">
    <w:name w:val="Body Text Indent"/>
    <w:basedOn w:val="Normal"/>
    <w:link w:val="BodyTextIndentChar"/>
    <w:rsid w:val="00D921BF"/>
    <w:pPr>
      <w:spacing w:after="120"/>
      <w:ind w:left="283"/>
    </w:pPr>
  </w:style>
  <w:style w:type="character" w:customStyle="1" w:styleId="BodyTextIndentChar">
    <w:name w:val="Body Text Indent Char"/>
    <w:basedOn w:val="DefaultParagraphFont"/>
    <w:link w:val="BodyTextIndent"/>
    <w:rsid w:val="00D921BF"/>
    <w:rPr>
      <w:lang w:eastAsia="en-US"/>
    </w:rPr>
  </w:style>
  <w:style w:type="paragraph" w:styleId="BlockText">
    <w:name w:val="Block Text"/>
    <w:basedOn w:val="Normal"/>
    <w:uiPriority w:val="99"/>
    <w:rsid w:val="00D921BF"/>
    <w:pPr>
      <w:ind w:left="1440" w:right="1440"/>
    </w:pPr>
  </w:style>
  <w:style w:type="numbering" w:styleId="111111">
    <w:name w:val="Outline List 2"/>
    <w:basedOn w:val="NoList"/>
    <w:rsid w:val="00D921BF"/>
    <w:pPr>
      <w:numPr>
        <w:numId w:val="17"/>
      </w:numPr>
    </w:pPr>
  </w:style>
  <w:style w:type="numbering" w:styleId="1ai">
    <w:name w:val="Outline List 1"/>
    <w:basedOn w:val="NoList"/>
    <w:rsid w:val="00D921BF"/>
    <w:pPr>
      <w:numPr>
        <w:numId w:val="18"/>
      </w:numPr>
    </w:pPr>
  </w:style>
  <w:style w:type="numbering" w:styleId="ArticleSection">
    <w:name w:val="Outline List 3"/>
    <w:basedOn w:val="NoList"/>
    <w:rsid w:val="00D921BF"/>
    <w:pPr>
      <w:numPr>
        <w:numId w:val="19"/>
      </w:numPr>
    </w:pPr>
  </w:style>
  <w:style w:type="paragraph" w:styleId="BodyText2">
    <w:name w:val="Body Text 2"/>
    <w:basedOn w:val="Normal"/>
    <w:link w:val="BodyText2Char"/>
    <w:rsid w:val="00D921BF"/>
    <w:pPr>
      <w:spacing w:after="120" w:line="480" w:lineRule="auto"/>
    </w:pPr>
  </w:style>
  <w:style w:type="character" w:customStyle="1" w:styleId="BodyText2Char">
    <w:name w:val="Body Text 2 Char"/>
    <w:basedOn w:val="DefaultParagraphFont"/>
    <w:link w:val="BodyText2"/>
    <w:rsid w:val="00D921BF"/>
    <w:rPr>
      <w:lang w:eastAsia="en-US"/>
    </w:rPr>
  </w:style>
  <w:style w:type="paragraph" w:styleId="BodyText3">
    <w:name w:val="Body Text 3"/>
    <w:basedOn w:val="Normal"/>
    <w:link w:val="BodyText3Char"/>
    <w:rsid w:val="00D921BF"/>
    <w:pPr>
      <w:spacing w:after="120"/>
    </w:pPr>
    <w:rPr>
      <w:sz w:val="16"/>
      <w:szCs w:val="16"/>
    </w:rPr>
  </w:style>
  <w:style w:type="character" w:customStyle="1" w:styleId="BodyText3Char">
    <w:name w:val="Body Text 3 Char"/>
    <w:basedOn w:val="DefaultParagraphFont"/>
    <w:link w:val="BodyText3"/>
    <w:rsid w:val="00D921BF"/>
    <w:rPr>
      <w:sz w:val="16"/>
      <w:szCs w:val="16"/>
      <w:lang w:eastAsia="en-US"/>
    </w:rPr>
  </w:style>
  <w:style w:type="paragraph" w:styleId="BodyTextFirstIndent">
    <w:name w:val="Body Text First Indent"/>
    <w:basedOn w:val="BodyText"/>
    <w:link w:val="BodyTextFirstIndentChar"/>
    <w:uiPriority w:val="99"/>
    <w:rsid w:val="00D921BF"/>
    <w:pPr>
      <w:spacing w:after="120"/>
      <w:ind w:firstLine="210"/>
    </w:pPr>
  </w:style>
  <w:style w:type="character" w:customStyle="1" w:styleId="BodyTextFirstIndentChar">
    <w:name w:val="Body Text First Indent Char"/>
    <w:basedOn w:val="BodyTextChar"/>
    <w:link w:val="BodyTextFirstIndent"/>
    <w:uiPriority w:val="99"/>
    <w:rsid w:val="00D921BF"/>
    <w:rPr>
      <w:lang w:eastAsia="en-US"/>
    </w:rPr>
  </w:style>
  <w:style w:type="paragraph" w:styleId="BodyTextFirstIndent2">
    <w:name w:val="Body Text First Indent 2"/>
    <w:basedOn w:val="BodyTextIndent"/>
    <w:link w:val="BodyTextFirstIndent2Char"/>
    <w:uiPriority w:val="99"/>
    <w:rsid w:val="00D921BF"/>
    <w:pPr>
      <w:ind w:firstLine="210"/>
    </w:pPr>
  </w:style>
  <w:style w:type="character" w:customStyle="1" w:styleId="BodyTextFirstIndent2Char">
    <w:name w:val="Body Text First Indent 2 Char"/>
    <w:basedOn w:val="BodyTextIndentChar"/>
    <w:link w:val="BodyTextFirstIndent2"/>
    <w:uiPriority w:val="99"/>
    <w:rsid w:val="00D921BF"/>
    <w:rPr>
      <w:lang w:eastAsia="en-US"/>
    </w:rPr>
  </w:style>
  <w:style w:type="paragraph" w:styleId="BodyTextIndent2">
    <w:name w:val="Body Text Indent 2"/>
    <w:basedOn w:val="Normal"/>
    <w:link w:val="BodyTextIndent2Char"/>
    <w:rsid w:val="00D921BF"/>
    <w:pPr>
      <w:spacing w:after="120" w:line="480" w:lineRule="auto"/>
      <w:ind w:left="283"/>
    </w:pPr>
  </w:style>
  <w:style w:type="character" w:customStyle="1" w:styleId="BodyTextIndent2Char">
    <w:name w:val="Body Text Indent 2 Char"/>
    <w:basedOn w:val="DefaultParagraphFont"/>
    <w:link w:val="BodyTextIndent2"/>
    <w:rsid w:val="00D921BF"/>
    <w:rPr>
      <w:lang w:eastAsia="en-US"/>
    </w:rPr>
  </w:style>
  <w:style w:type="paragraph" w:styleId="BodyTextIndent3">
    <w:name w:val="Body Text Indent 3"/>
    <w:basedOn w:val="Normal"/>
    <w:link w:val="BodyTextIndent3Char"/>
    <w:rsid w:val="00D921BF"/>
    <w:pPr>
      <w:spacing w:after="120"/>
      <w:ind w:left="283"/>
    </w:pPr>
    <w:rPr>
      <w:sz w:val="16"/>
      <w:szCs w:val="16"/>
    </w:rPr>
  </w:style>
  <w:style w:type="character" w:customStyle="1" w:styleId="BodyTextIndent3Char">
    <w:name w:val="Body Text Indent 3 Char"/>
    <w:basedOn w:val="DefaultParagraphFont"/>
    <w:link w:val="BodyTextIndent3"/>
    <w:rsid w:val="00D921BF"/>
    <w:rPr>
      <w:sz w:val="16"/>
      <w:szCs w:val="16"/>
      <w:lang w:eastAsia="en-US"/>
    </w:rPr>
  </w:style>
  <w:style w:type="paragraph" w:styleId="Closing">
    <w:name w:val="Closing"/>
    <w:basedOn w:val="Normal"/>
    <w:link w:val="ClosingChar"/>
    <w:uiPriority w:val="99"/>
    <w:rsid w:val="00D921BF"/>
    <w:pPr>
      <w:ind w:left="4252"/>
    </w:pPr>
  </w:style>
  <w:style w:type="character" w:customStyle="1" w:styleId="ClosingChar">
    <w:name w:val="Closing Char"/>
    <w:basedOn w:val="DefaultParagraphFont"/>
    <w:link w:val="Closing"/>
    <w:uiPriority w:val="99"/>
    <w:rsid w:val="00D921BF"/>
    <w:rPr>
      <w:lang w:eastAsia="en-US"/>
    </w:rPr>
  </w:style>
  <w:style w:type="paragraph" w:styleId="Date">
    <w:name w:val="Date"/>
    <w:basedOn w:val="Normal"/>
    <w:next w:val="Normal"/>
    <w:link w:val="DateChar"/>
    <w:uiPriority w:val="99"/>
    <w:rsid w:val="00D921BF"/>
  </w:style>
  <w:style w:type="character" w:customStyle="1" w:styleId="DateChar">
    <w:name w:val="Date Char"/>
    <w:basedOn w:val="DefaultParagraphFont"/>
    <w:link w:val="Date"/>
    <w:uiPriority w:val="99"/>
    <w:rsid w:val="00D921BF"/>
    <w:rPr>
      <w:lang w:eastAsia="en-US"/>
    </w:rPr>
  </w:style>
  <w:style w:type="paragraph" w:styleId="E-mailSignature">
    <w:name w:val="E-mail Signature"/>
    <w:basedOn w:val="Normal"/>
    <w:link w:val="E-mailSignatureChar"/>
    <w:uiPriority w:val="99"/>
    <w:rsid w:val="00D921BF"/>
  </w:style>
  <w:style w:type="character" w:customStyle="1" w:styleId="E-mailSignatureChar">
    <w:name w:val="E-mail Signature Char"/>
    <w:basedOn w:val="DefaultParagraphFont"/>
    <w:link w:val="E-mailSignature"/>
    <w:uiPriority w:val="99"/>
    <w:rsid w:val="00D921BF"/>
    <w:rPr>
      <w:lang w:eastAsia="en-US"/>
    </w:rPr>
  </w:style>
  <w:style w:type="character" w:styleId="Emphasis">
    <w:name w:val="Emphasis"/>
    <w:qFormat/>
    <w:rsid w:val="00D921BF"/>
    <w:rPr>
      <w:i/>
      <w:iCs/>
    </w:rPr>
  </w:style>
  <w:style w:type="paragraph" w:styleId="EnvelopeReturn">
    <w:name w:val="envelope return"/>
    <w:basedOn w:val="Normal"/>
    <w:uiPriority w:val="99"/>
    <w:rsid w:val="00D921BF"/>
    <w:rPr>
      <w:rFonts w:ascii="Arial" w:hAnsi="Arial" w:cs="Arial"/>
    </w:rPr>
  </w:style>
  <w:style w:type="character" w:styleId="HTMLAcronym">
    <w:name w:val="HTML Acronym"/>
    <w:basedOn w:val="DefaultParagraphFont"/>
    <w:rsid w:val="00D921BF"/>
  </w:style>
  <w:style w:type="paragraph" w:styleId="HTMLAddress">
    <w:name w:val="HTML Address"/>
    <w:basedOn w:val="Normal"/>
    <w:link w:val="HTMLAddressChar"/>
    <w:rsid w:val="00D921BF"/>
    <w:rPr>
      <w:i/>
      <w:iCs/>
    </w:rPr>
  </w:style>
  <w:style w:type="character" w:customStyle="1" w:styleId="HTMLAddressChar">
    <w:name w:val="HTML Address Char"/>
    <w:basedOn w:val="DefaultParagraphFont"/>
    <w:link w:val="HTMLAddress"/>
    <w:rsid w:val="00D921BF"/>
    <w:rPr>
      <w:i/>
      <w:iCs/>
      <w:lang w:eastAsia="en-US"/>
    </w:rPr>
  </w:style>
  <w:style w:type="character" w:styleId="HTMLCite">
    <w:name w:val="HTML Cite"/>
    <w:rsid w:val="00D921BF"/>
    <w:rPr>
      <w:i/>
      <w:iCs/>
    </w:rPr>
  </w:style>
  <w:style w:type="character" w:styleId="HTMLCode">
    <w:name w:val="HTML Code"/>
    <w:rsid w:val="00D921BF"/>
    <w:rPr>
      <w:rFonts w:ascii="Courier New" w:hAnsi="Courier New" w:cs="Courier New"/>
      <w:sz w:val="20"/>
      <w:szCs w:val="20"/>
    </w:rPr>
  </w:style>
  <w:style w:type="character" w:styleId="HTMLDefinition">
    <w:name w:val="HTML Definition"/>
    <w:rsid w:val="00D921BF"/>
    <w:rPr>
      <w:i/>
      <w:iCs/>
    </w:rPr>
  </w:style>
  <w:style w:type="character" w:styleId="HTMLKeyboard">
    <w:name w:val="HTML Keyboard"/>
    <w:rsid w:val="00D921BF"/>
    <w:rPr>
      <w:rFonts w:ascii="Courier New" w:hAnsi="Courier New" w:cs="Courier New"/>
      <w:sz w:val="20"/>
      <w:szCs w:val="20"/>
    </w:rPr>
  </w:style>
  <w:style w:type="character" w:styleId="HTMLSample">
    <w:name w:val="HTML Sample"/>
    <w:rsid w:val="00D921BF"/>
    <w:rPr>
      <w:rFonts w:ascii="Courier New" w:hAnsi="Courier New" w:cs="Courier New"/>
    </w:rPr>
  </w:style>
  <w:style w:type="character" w:styleId="HTMLTypewriter">
    <w:name w:val="HTML Typewriter"/>
    <w:rsid w:val="00D921BF"/>
    <w:rPr>
      <w:rFonts w:ascii="Courier New" w:hAnsi="Courier New" w:cs="Courier New"/>
      <w:sz w:val="20"/>
      <w:szCs w:val="20"/>
    </w:rPr>
  </w:style>
  <w:style w:type="character" w:styleId="HTMLVariable">
    <w:name w:val="HTML Variable"/>
    <w:rsid w:val="00D921BF"/>
    <w:rPr>
      <w:i/>
      <w:iCs/>
    </w:rPr>
  </w:style>
  <w:style w:type="paragraph" w:styleId="List">
    <w:name w:val="List"/>
    <w:basedOn w:val="Normal"/>
    <w:uiPriority w:val="99"/>
    <w:rsid w:val="00D921BF"/>
    <w:pPr>
      <w:ind w:left="283" w:hanging="283"/>
    </w:pPr>
  </w:style>
  <w:style w:type="paragraph" w:styleId="List2">
    <w:name w:val="List 2"/>
    <w:basedOn w:val="Normal"/>
    <w:uiPriority w:val="99"/>
    <w:rsid w:val="00D921BF"/>
    <w:pPr>
      <w:ind w:left="566" w:hanging="283"/>
    </w:pPr>
  </w:style>
  <w:style w:type="paragraph" w:styleId="List3">
    <w:name w:val="List 3"/>
    <w:basedOn w:val="Normal"/>
    <w:uiPriority w:val="99"/>
    <w:rsid w:val="00D921BF"/>
    <w:pPr>
      <w:ind w:left="849" w:hanging="283"/>
    </w:pPr>
  </w:style>
  <w:style w:type="paragraph" w:styleId="List4">
    <w:name w:val="List 4"/>
    <w:basedOn w:val="Normal"/>
    <w:uiPriority w:val="99"/>
    <w:rsid w:val="00D921BF"/>
    <w:pPr>
      <w:ind w:left="1132" w:hanging="283"/>
    </w:pPr>
  </w:style>
  <w:style w:type="paragraph" w:styleId="List5">
    <w:name w:val="List 5"/>
    <w:basedOn w:val="Normal"/>
    <w:uiPriority w:val="99"/>
    <w:rsid w:val="00D921BF"/>
    <w:pPr>
      <w:ind w:left="1415" w:hanging="283"/>
    </w:pPr>
  </w:style>
  <w:style w:type="paragraph" w:styleId="ListBullet">
    <w:name w:val="List Bullet"/>
    <w:basedOn w:val="Normal"/>
    <w:uiPriority w:val="99"/>
    <w:rsid w:val="00D921BF"/>
    <w:pPr>
      <w:numPr>
        <w:numId w:val="12"/>
      </w:numPr>
    </w:pPr>
  </w:style>
  <w:style w:type="paragraph" w:styleId="ListBullet2">
    <w:name w:val="List Bullet 2"/>
    <w:basedOn w:val="Normal"/>
    <w:uiPriority w:val="99"/>
    <w:rsid w:val="00D921BF"/>
    <w:pPr>
      <w:numPr>
        <w:numId w:val="13"/>
      </w:numPr>
    </w:pPr>
  </w:style>
  <w:style w:type="paragraph" w:styleId="ListBullet3">
    <w:name w:val="List Bullet 3"/>
    <w:basedOn w:val="Normal"/>
    <w:uiPriority w:val="99"/>
    <w:rsid w:val="00D921BF"/>
    <w:pPr>
      <w:numPr>
        <w:numId w:val="14"/>
      </w:numPr>
    </w:pPr>
  </w:style>
  <w:style w:type="paragraph" w:styleId="ListBullet4">
    <w:name w:val="List Bullet 4"/>
    <w:basedOn w:val="Normal"/>
    <w:uiPriority w:val="99"/>
    <w:rsid w:val="00D921BF"/>
    <w:pPr>
      <w:numPr>
        <w:numId w:val="15"/>
      </w:numPr>
    </w:pPr>
  </w:style>
  <w:style w:type="paragraph" w:styleId="ListBullet5">
    <w:name w:val="List Bullet 5"/>
    <w:basedOn w:val="Normal"/>
    <w:uiPriority w:val="99"/>
    <w:rsid w:val="00D921BF"/>
    <w:pPr>
      <w:numPr>
        <w:numId w:val="16"/>
      </w:numPr>
    </w:pPr>
  </w:style>
  <w:style w:type="paragraph" w:styleId="ListContinue">
    <w:name w:val="List Continue"/>
    <w:basedOn w:val="Normal"/>
    <w:uiPriority w:val="99"/>
    <w:rsid w:val="00D921BF"/>
    <w:pPr>
      <w:spacing w:after="120"/>
      <w:ind w:left="283"/>
    </w:pPr>
  </w:style>
  <w:style w:type="paragraph" w:styleId="ListContinue2">
    <w:name w:val="List Continue 2"/>
    <w:basedOn w:val="Normal"/>
    <w:uiPriority w:val="99"/>
    <w:rsid w:val="00D921BF"/>
    <w:pPr>
      <w:spacing w:after="120"/>
      <w:ind w:left="566"/>
    </w:pPr>
  </w:style>
  <w:style w:type="paragraph" w:styleId="ListContinue3">
    <w:name w:val="List Continue 3"/>
    <w:basedOn w:val="Normal"/>
    <w:uiPriority w:val="99"/>
    <w:rsid w:val="00D921BF"/>
    <w:pPr>
      <w:spacing w:after="120"/>
      <w:ind w:left="849"/>
    </w:pPr>
  </w:style>
  <w:style w:type="paragraph" w:styleId="ListContinue4">
    <w:name w:val="List Continue 4"/>
    <w:basedOn w:val="Normal"/>
    <w:uiPriority w:val="99"/>
    <w:rsid w:val="00D921BF"/>
    <w:pPr>
      <w:spacing w:after="120"/>
      <w:ind w:left="1132"/>
    </w:pPr>
  </w:style>
  <w:style w:type="paragraph" w:styleId="ListContinue5">
    <w:name w:val="List Continue 5"/>
    <w:basedOn w:val="Normal"/>
    <w:uiPriority w:val="99"/>
    <w:rsid w:val="00D921BF"/>
    <w:pPr>
      <w:spacing w:after="120"/>
      <w:ind w:left="1415"/>
    </w:pPr>
  </w:style>
  <w:style w:type="paragraph" w:styleId="ListNumber">
    <w:name w:val="List Number"/>
    <w:basedOn w:val="Normal"/>
    <w:uiPriority w:val="99"/>
    <w:rsid w:val="00D921BF"/>
    <w:pPr>
      <w:numPr>
        <w:numId w:val="11"/>
      </w:numPr>
    </w:pPr>
  </w:style>
  <w:style w:type="paragraph" w:styleId="ListNumber2">
    <w:name w:val="List Number 2"/>
    <w:basedOn w:val="Normal"/>
    <w:uiPriority w:val="99"/>
    <w:rsid w:val="00D921BF"/>
    <w:pPr>
      <w:numPr>
        <w:numId w:val="10"/>
      </w:numPr>
    </w:pPr>
  </w:style>
  <w:style w:type="paragraph" w:styleId="ListNumber3">
    <w:name w:val="List Number 3"/>
    <w:basedOn w:val="Normal"/>
    <w:uiPriority w:val="99"/>
    <w:rsid w:val="00D921BF"/>
    <w:pPr>
      <w:tabs>
        <w:tab w:val="num" w:pos="926"/>
      </w:tabs>
      <w:ind w:left="926" w:hanging="360"/>
    </w:pPr>
  </w:style>
  <w:style w:type="paragraph" w:styleId="ListNumber4">
    <w:name w:val="List Number 4"/>
    <w:basedOn w:val="Normal"/>
    <w:uiPriority w:val="99"/>
    <w:rsid w:val="00D921BF"/>
    <w:pPr>
      <w:numPr>
        <w:numId w:val="7"/>
      </w:numPr>
    </w:pPr>
  </w:style>
  <w:style w:type="paragraph" w:styleId="ListNumber5">
    <w:name w:val="List Number 5"/>
    <w:basedOn w:val="Normal"/>
    <w:uiPriority w:val="99"/>
    <w:rsid w:val="00D921BF"/>
    <w:pPr>
      <w:numPr>
        <w:numId w:val="8"/>
      </w:numPr>
    </w:pPr>
  </w:style>
  <w:style w:type="paragraph" w:styleId="MessageHeader">
    <w:name w:val="Message Header"/>
    <w:basedOn w:val="Normal"/>
    <w:link w:val="MessageHeaderChar"/>
    <w:uiPriority w:val="99"/>
    <w:rsid w:val="00D921B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rsid w:val="00D921BF"/>
    <w:rPr>
      <w:rFonts w:ascii="Arial" w:hAnsi="Arial" w:cs="Arial"/>
      <w:sz w:val="24"/>
      <w:szCs w:val="24"/>
      <w:shd w:val="pct20" w:color="auto" w:fill="auto"/>
      <w:lang w:eastAsia="en-US"/>
    </w:rPr>
  </w:style>
  <w:style w:type="paragraph" w:styleId="NormalWeb">
    <w:name w:val="Normal (Web)"/>
    <w:basedOn w:val="Normal"/>
    <w:uiPriority w:val="99"/>
    <w:rsid w:val="00D921BF"/>
    <w:rPr>
      <w:sz w:val="24"/>
      <w:szCs w:val="24"/>
    </w:rPr>
  </w:style>
  <w:style w:type="paragraph" w:styleId="NormalIndent">
    <w:name w:val="Normal Indent"/>
    <w:basedOn w:val="Normal"/>
    <w:uiPriority w:val="99"/>
    <w:rsid w:val="00D921BF"/>
    <w:pPr>
      <w:ind w:left="567"/>
    </w:pPr>
  </w:style>
  <w:style w:type="paragraph" w:styleId="NoteHeading">
    <w:name w:val="Note Heading"/>
    <w:basedOn w:val="Normal"/>
    <w:next w:val="Normal"/>
    <w:link w:val="NoteHeadingChar"/>
    <w:uiPriority w:val="99"/>
    <w:rsid w:val="00D921BF"/>
  </w:style>
  <w:style w:type="character" w:customStyle="1" w:styleId="NoteHeadingChar">
    <w:name w:val="Note Heading Char"/>
    <w:basedOn w:val="DefaultParagraphFont"/>
    <w:link w:val="NoteHeading"/>
    <w:uiPriority w:val="99"/>
    <w:rsid w:val="00D921BF"/>
    <w:rPr>
      <w:lang w:eastAsia="en-US"/>
    </w:rPr>
  </w:style>
  <w:style w:type="paragraph" w:styleId="Salutation">
    <w:name w:val="Salutation"/>
    <w:basedOn w:val="Normal"/>
    <w:next w:val="Normal"/>
    <w:link w:val="SalutationChar"/>
    <w:uiPriority w:val="99"/>
    <w:rsid w:val="00D921BF"/>
  </w:style>
  <w:style w:type="character" w:customStyle="1" w:styleId="SalutationChar">
    <w:name w:val="Salutation Char"/>
    <w:basedOn w:val="DefaultParagraphFont"/>
    <w:link w:val="Salutation"/>
    <w:uiPriority w:val="99"/>
    <w:rsid w:val="00D921BF"/>
    <w:rPr>
      <w:lang w:eastAsia="en-US"/>
    </w:rPr>
  </w:style>
  <w:style w:type="paragraph" w:styleId="Signature">
    <w:name w:val="Signature"/>
    <w:basedOn w:val="Normal"/>
    <w:link w:val="SignatureChar"/>
    <w:uiPriority w:val="99"/>
    <w:rsid w:val="00D921BF"/>
    <w:pPr>
      <w:ind w:left="4252"/>
    </w:pPr>
  </w:style>
  <w:style w:type="character" w:customStyle="1" w:styleId="SignatureChar">
    <w:name w:val="Signature Char"/>
    <w:basedOn w:val="DefaultParagraphFont"/>
    <w:link w:val="Signature"/>
    <w:uiPriority w:val="99"/>
    <w:rsid w:val="00D921BF"/>
    <w:rPr>
      <w:lang w:eastAsia="en-US"/>
    </w:rPr>
  </w:style>
  <w:style w:type="character" w:styleId="Strong">
    <w:name w:val="Strong"/>
    <w:qFormat/>
    <w:rsid w:val="00D921BF"/>
    <w:rPr>
      <w:b/>
      <w:bCs/>
    </w:rPr>
  </w:style>
  <w:style w:type="paragraph" w:styleId="Subtitle">
    <w:name w:val="Subtitle"/>
    <w:basedOn w:val="Normal"/>
    <w:link w:val="SubtitleChar"/>
    <w:uiPriority w:val="99"/>
    <w:qFormat/>
    <w:rsid w:val="00D921BF"/>
    <w:pPr>
      <w:spacing w:after="60"/>
      <w:jc w:val="center"/>
      <w:outlineLvl w:val="1"/>
    </w:pPr>
    <w:rPr>
      <w:rFonts w:ascii="Arial" w:hAnsi="Arial" w:cs="Arial"/>
      <w:sz w:val="24"/>
      <w:szCs w:val="24"/>
    </w:rPr>
  </w:style>
  <w:style w:type="character" w:customStyle="1" w:styleId="SubtitleChar">
    <w:name w:val="Subtitle Char"/>
    <w:basedOn w:val="DefaultParagraphFont"/>
    <w:link w:val="Subtitle"/>
    <w:uiPriority w:val="99"/>
    <w:rsid w:val="00D921BF"/>
    <w:rPr>
      <w:rFonts w:ascii="Arial" w:hAnsi="Arial" w:cs="Arial"/>
      <w:sz w:val="24"/>
      <w:szCs w:val="24"/>
      <w:lang w:eastAsia="en-US"/>
    </w:rPr>
  </w:style>
  <w:style w:type="table" w:styleId="Table3Deffects1">
    <w:name w:val="Table 3D effects 1"/>
    <w:basedOn w:val="TableNormal"/>
    <w:rsid w:val="00D921B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921B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921B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D921B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D921B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D921B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D921B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D921B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D921B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D921B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D921B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D921B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D921B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D921B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D921B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D921B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D921B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utableau2">
    <w:name w:val="Grille du tableau2"/>
    <w:basedOn w:val="TableNormal"/>
    <w:next w:val="TableGrid"/>
    <w:rsid w:val="00D921B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D921B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D921B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D921B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D921B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D921B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D921B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D921B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D921B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D921B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D921B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D921B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D921B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D921B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D921B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D921B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D921B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D921B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D921B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D921B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D921B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D921B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D921B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D921B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D921B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D921B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D921B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99"/>
    <w:qFormat/>
    <w:rsid w:val="00D921BF"/>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rsid w:val="00D921BF"/>
    <w:rPr>
      <w:rFonts w:ascii="Arial" w:hAnsi="Arial" w:cs="Arial"/>
      <w:b/>
      <w:bCs/>
      <w:kern w:val="28"/>
      <w:sz w:val="32"/>
      <w:szCs w:val="32"/>
      <w:lang w:eastAsia="en-US"/>
    </w:rPr>
  </w:style>
  <w:style w:type="paragraph" w:styleId="EnvelopeAddress">
    <w:name w:val="envelope address"/>
    <w:basedOn w:val="Normal"/>
    <w:uiPriority w:val="99"/>
    <w:rsid w:val="00D921BF"/>
    <w:pPr>
      <w:framePr w:w="7920" w:h="1980" w:hRule="exact" w:hSpace="180" w:wrap="auto" w:hAnchor="page" w:xAlign="center" w:yAlign="bottom"/>
      <w:ind w:left="2880"/>
    </w:pPr>
    <w:rPr>
      <w:rFonts w:ascii="Arial" w:hAnsi="Arial" w:cs="Arial"/>
      <w:sz w:val="24"/>
      <w:szCs w:val="24"/>
    </w:rPr>
  </w:style>
  <w:style w:type="character" w:customStyle="1" w:styleId="H23GChar">
    <w:name w:val="_ H_2/3_G Char"/>
    <w:link w:val="H23G"/>
    <w:rsid w:val="00D921BF"/>
    <w:rPr>
      <w:b/>
      <w:lang w:eastAsia="en-US"/>
    </w:rPr>
  </w:style>
  <w:style w:type="paragraph" w:customStyle="1" w:styleId="TabellenformatKlasse2">
    <w:name w:val="Tabellenformat Klasse 2"/>
    <w:basedOn w:val="Normal"/>
    <w:rsid w:val="00D921BF"/>
    <w:pPr>
      <w:tabs>
        <w:tab w:val="left" w:pos="567"/>
      </w:tabs>
      <w:suppressAutoHyphens w:val="0"/>
      <w:spacing w:line="240" w:lineRule="auto"/>
      <w:ind w:left="567" w:hanging="567"/>
    </w:pPr>
    <w:rPr>
      <w:rFonts w:ascii="Arial" w:hAnsi="Arial"/>
      <w:color w:val="000000"/>
      <w:sz w:val="18"/>
      <w:lang w:val="de-DE" w:eastAsia="de-DE"/>
    </w:rPr>
  </w:style>
  <w:style w:type="paragraph" w:customStyle="1" w:styleId="Style1">
    <w:name w:val="Style1"/>
    <w:basedOn w:val="Normal"/>
    <w:rsid w:val="00D921BF"/>
    <w:pPr>
      <w:suppressAutoHyphens w:val="0"/>
      <w:spacing w:line="240" w:lineRule="auto"/>
    </w:pPr>
    <w:rPr>
      <w:sz w:val="22"/>
      <w:szCs w:val="24"/>
    </w:rPr>
  </w:style>
  <w:style w:type="character" w:customStyle="1" w:styleId="SingleTxtGCar">
    <w:name w:val="_ Single Txt_G Car"/>
    <w:uiPriority w:val="99"/>
    <w:rsid w:val="00D921BF"/>
    <w:rPr>
      <w:lang w:val="en-GB" w:eastAsia="en-US" w:bidi="ar-SA"/>
    </w:rPr>
  </w:style>
  <w:style w:type="character" w:customStyle="1" w:styleId="HChGChar">
    <w:name w:val="_ H _Ch_G Char"/>
    <w:link w:val="HChG"/>
    <w:rsid w:val="00D921BF"/>
    <w:rPr>
      <w:b/>
      <w:sz w:val="28"/>
      <w:lang w:eastAsia="en-US"/>
    </w:rPr>
  </w:style>
  <w:style w:type="numbering" w:customStyle="1" w:styleId="1111111">
    <w:name w:val="1 / 1.1 / 1.1.11"/>
    <w:basedOn w:val="NoList"/>
    <w:next w:val="111111"/>
    <w:semiHidden/>
    <w:rsid w:val="00D921BF"/>
  </w:style>
  <w:style w:type="paragraph" w:customStyle="1" w:styleId="Nummerierung1">
    <w:name w:val="Nummerierung 1"/>
    <w:basedOn w:val="Normal"/>
    <w:uiPriority w:val="99"/>
    <w:rsid w:val="00D921BF"/>
    <w:pPr>
      <w:numPr>
        <w:numId w:val="20"/>
      </w:numPr>
      <w:suppressAutoHyphens w:val="0"/>
      <w:spacing w:line="240" w:lineRule="auto"/>
      <w:jc w:val="both"/>
    </w:pPr>
    <w:rPr>
      <w:sz w:val="24"/>
      <w:szCs w:val="24"/>
      <w:lang w:val="en-US"/>
    </w:rPr>
  </w:style>
  <w:style w:type="paragraph" w:customStyle="1" w:styleId="Normalcentr1">
    <w:name w:val="Normal centré1"/>
    <w:basedOn w:val="Normal"/>
    <w:uiPriority w:val="99"/>
    <w:rsid w:val="00D921BF"/>
    <w:pPr>
      <w:spacing w:line="240" w:lineRule="auto"/>
      <w:ind w:left="-567" w:right="282"/>
      <w:jc w:val="both"/>
    </w:pPr>
    <w:rPr>
      <w:bCs/>
      <w:sz w:val="24"/>
      <w:lang w:eastAsia="ar-SA"/>
    </w:rPr>
  </w:style>
  <w:style w:type="character" w:customStyle="1" w:styleId="zzmpTrailerItem">
    <w:name w:val="zzmpTrailerItem"/>
    <w:rsid w:val="00D921BF"/>
    <w:rPr>
      <w:rFonts w:ascii="Times New Roman" w:hAnsi="Times New Roman" w:cs="Times New Roman"/>
      <w:b w:val="0"/>
      <w:i w:val="0"/>
      <w:caps w:val="0"/>
      <w:smallCaps w:val="0"/>
      <w:dstrike w:val="0"/>
      <w:noProof/>
      <w:vanish w:val="0"/>
      <w:color w:val="auto"/>
      <w:spacing w:val="0"/>
      <w:position w:val="0"/>
      <w:sz w:val="16"/>
      <w:u w:val="none"/>
      <w:effect w:val="none"/>
      <w:vertAlign w:val="baseline"/>
    </w:rPr>
  </w:style>
  <w:style w:type="character" w:customStyle="1" w:styleId="CommentSubjectChar">
    <w:name w:val="Comment Subject Char"/>
    <w:rsid w:val="00D921BF"/>
    <w:rPr>
      <w:lang w:val="en-GB" w:eastAsia="en-US"/>
    </w:rPr>
  </w:style>
  <w:style w:type="paragraph" w:customStyle="1" w:styleId="2Para">
    <w:name w:val="2Para"/>
    <w:basedOn w:val="Normal"/>
    <w:uiPriority w:val="99"/>
    <w:rsid w:val="00D921BF"/>
    <w:pPr>
      <w:numPr>
        <w:ilvl w:val="1"/>
        <w:numId w:val="21"/>
      </w:numPr>
      <w:tabs>
        <w:tab w:val="left" w:pos="1440"/>
      </w:tabs>
      <w:suppressAutoHyphens w:val="0"/>
      <w:spacing w:before="260" w:after="260" w:line="240" w:lineRule="auto"/>
      <w:jc w:val="both"/>
    </w:pPr>
    <w:rPr>
      <w:sz w:val="22"/>
      <w:szCs w:val="22"/>
    </w:rPr>
  </w:style>
  <w:style w:type="paragraph" w:customStyle="1" w:styleId="3Para">
    <w:name w:val="3Para"/>
    <w:basedOn w:val="Normal"/>
    <w:uiPriority w:val="99"/>
    <w:rsid w:val="00D921BF"/>
    <w:pPr>
      <w:numPr>
        <w:ilvl w:val="2"/>
        <w:numId w:val="21"/>
      </w:numPr>
      <w:tabs>
        <w:tab w:val="left" w:pos="1440"/>
      </w:tabs>
      <w:suppressAutoHyphens w:val="0"/>
      <w:autoSpaceDE w:val="0"/>
      <w:autoSpaceDN w:val="0"/>
      <w:adjustRightInd w:val="0"/>
      <w:spacing w:before="260" w:after="260" w:line="240" w:lineRule="auto"/>
      <w:jc w:val="both"/>
    </w:pPr>
    <w:rPr>
      <w:sz w:val="22"/>
      <w:szCs w:val="24"/>
    </w:rPr>
  </w:style>
  <w:style w:type="paragraph" w:customStyle="1" w:styleId="4Para">
    <w:name w:val="4Para"/>
    <w:basedOn w:val="Normal"/>
    <w:uiPriority w:val="99"/>
    <w:rsid w:val="00D921BF"/>
    <w:pPr>
      <w:numPr>
        <w:ilvl w:val="3"/>
        <w:numId w:val="21"/>
      </w:numPr>
      <w:tabs>
        <w:tab w:val="left" w:pos="1440"/>
      </w:tabs>
      <w:suppressAutoHyphens w:val="0"/>
      <w:spacing w:before="260" w:after="260" w:line="240" w:lineRule="auto"/>
      <w:jc w:val="both"/>
    </w:pPr>
    <w:rPr>
      <w:sz w:val="22"/>
      <w:szCs w:val="24"/>
    </w:rPr>
  </w:style>
  <w:style w:type="paragraph" w:customStyle="1" w:styleId="5Para">
    <w:name w:val="5Para"/>
    <w:basedOn w:val="Normal"/>
    <w:uiPriority w:val="99"/>
    <w:rsid w:val="00D921BF"/>
    <w:pPr>
      <w:numPr>
        <w:ilvl w:val="4"/>
        <w:numId w:val="21"/>
      </w:numPr>
      <w:tabs>
        <w:tab w:val="left" w:pos="1440"/>
      </w:tabs>
      <w:suppressAutoHyphens w:val="0"/>
      <w:spacing w:before="260" w:after="260" w:line="240" w:lineRule="auto"/>
      <w:jc w:val="both"/>
    </w:pPr>
    <w:rPr>
      <w:sz w:val="22"/>
      <w:szCs w:val="24"/>
    </w:rPr>
  </w:style>
  <w:style w:type="paragraph" w:customStyle="1" w:styleId="6Para">
    <w:name w:val="6Para"/>
    <w:basedOn w:val="Normal"/>
    <w:uiPriority w:val="99"/>
    <w:rsid w:val="00D921BF"/>
    <w:pPr>
      <w:numPr>
        <w:ilvl w:val="5"/>
        <w:numId w:val="21"/>
      </w:numPr>
      <w:tabs>
        <w:tab w:val="left" w:pos="1440"/>
      </w:tabs>
      <w:suppressAutoHyphens w:val="0"/>
      <w:spacing w:before="260" w:after="260" w:line="240" w:lineRule="auto"/>
      <w:jc w:val="both"/>
    </w:pPr>
    <w:rPr>
      <w:sz w:val="22"/>
      <w:szCs w:val="24"/>
    </w:rPr>
  </w:style>
  <w:style w:type="paragraph" w:customStyle="1" w:styleId="7Para">
    <w:name w:val="7Para"/>
    <w:basedOn w:val="Normal"/>
    <w:uiPriority w:val="99"/>
    <w:rsid w:val="00D921BF"/>
    <w:pPr>
      <w:numPr>
        <w:ilvl w:val="6"/>
        <w:numId w:val="21"/>
      </w:numPr>
      <w:tabs>
        <w:tab w:val="left" w:pos="1440"/>
      </w:tabs>
      <w:suppressAutoHyphens w:val="0"/>
      <w:spacing w:before="260" w:after="260" w:line="240" w:lineRule="auto"/>
      <w:jc w:val="both"/>
    </w:pPr>
    <w:rPr>
      <w:sz w:val="22"/>
      <w:szCs w:val="24"/>
    </w:rPr>
  </w:style>
  <w:style w:type="paragraph" w:customStyle="1" w:styleId="8Para">
    <w:name w:val="8Para"/>
    <w:basedOn w:val="Normal"/>
    <w:uiPriority w:val="99"/>
    <w:rsid w:val="00D921BF"/>
    <w:pPr>
      <w:numPr>
        <w:ilvl w:val="7"/>
        <w:numId w:val="21"/>
      </w:numPr>
      <w:tabs>
        <w:tab w:val="left" w:pos="1440"/>
      </w:tabs>
      <w:suppressAutoHyphens w:val="0"/>
      <w:spacing w:before="260" w:after="260" w:line="240" w:lineRule="auto"/>
      <w:jc w:val="both"/>
    </w:pPr>
    <w:rPr>
      <w:sz w:val="22"/>
      <w:szCs w:val="24"/>
    </w:rPr>
  </w:style>
  <w:style w:type="paragraph" w:customStyle="1" w:styleId="1Heading">
    <w:name w:val="1Heading"/>
    <w:basedOn w:val="TOC1"/>
    <w:next w:val="2Para"/>
    <w:uiPriority w:val="99"/>
    <w:rsid w:val="00D921BF"/>
    <w:pPr>
      <w:keepNext/>
      <w:numPr>
        <w:numId w:val="21"/>
      </w:numPr>
      <w:tabs>
        <w:tab w:val="clear" w:pos="720"/>
        <w:tab w:val="num" w:pos="360"/>
      </w:tabs>
      <w:suppressAutoHyphens w:val="0"/>
      <w:spacing w:before="520" w:after="260" w:line="240" w:lineRule="auto"/>
      <w:ind w:left="0" w:right="2880" w:firstLine="0"/>
      <w:jc w:val="both"/>
      <w:outlineLvl w:val="0"/>
    </w:pPr>
    <w:rPr>
      <w:b/>
      <w:caps/>
      <w:sz w:val="22"/>
      <w:szCs w:val="22"/>
    </w:rPr>
  </w:style>
  <w:style w:type="paragraph" w:styleId="TOC1">
    <w:name w:val="toc 1"/>
    <w:basedOn w:val="Normal"/>
    <w:next w:val="Normal"/>
    <w:autoRedefine/>
    <w:uiPriority w:val="99"/>
    <w:rsid w:val="00D921BF"/>
  </w:style>
  <w:style w:type="paragraph" w:customStyle="1" w:styleId="Docs">
    <w:name w:val="Docs"/>
    <w:basedOn w:val="Normal"/>
    <w:uiPriority w:val="99"/>
    <w:rsid w:val="00D921BF"/>
    <w:pPr>
      <w:keepNext/>
      <w:widowControl w:val="0"/>
      <w:autoSpaceDN w:val="0"/>
      <w:spacing w:after="240" w:line="240" w:lineRule="auto"/>
      <w:textAlignment w:val="baseline"/>
    </w:pPr>
    <w:rPr>
      <w:rFonts w:eastAsia="Lucida Sans Unicode"/>
      <w:kern w:val="3"/>
      <w:sz w:val="24"/>
      <w:szCs w:val="24"/>
      <w:lang w:val="en-US"/>
    </w:rPr>
  </w:style>
  <w:style w:type="character" w:customStyle="1" w:styleId="SC3241789">
    <w:name w:val="SC.3.241789"/>
    <w:rsid w:val="00D921BF"/>
    <w:rPr>
      <w:rFonts w:cs="Times Ten"/>
      <w:color w:val="000000"/>
      <w:sz w:val="20"/>
      <w:szCs w:val="20"/>
    </w:rPr>
  </w:style>
  <w:style w:type="paragraph" w:customStyle="1" w:styleId="ParaNoG">
    <w:name w:val="_ParaNo._G"/>
    <w:basedOn w:val="SingleTxtG"/>
    <w:uiPriority w:val="99"/>
    <w:rsid w:val="00D921BF"/>
  </w:style>
  <w:style w:type="numbering" w:customStyle="1" w:styleId="1ai1">
    <w:name w:val="1 / a / i1"/>
    <w:basedOn w:val="NoList"/>
    <w:next w:val="1ai"/>
    <w:semiHidden/>
    <w:rsid w:val="00D921BF"/>
  </w:style>
  <w:style w:type="numbering" w:customStyle="1" w:styleId="ArticleSection1">
    <w:name w:val="Article / Section1"/>
    <w:basedOn w:val="NoList"/>
    <w:next w:val="ArticleSection"/>
    <w:semiHidden/>
    <w:rsid w:val="00D921BF"/>
    <w:pPr>
      <w:numPr>
        <w:numId w:val="20"/>
      </w:numPr>
    </w:pPr>
  </w:style>
  <w:style w:type="table" w:customStyle="1" w:styleId="TableGrid10">
    <w:name w:val="Table Grid1"/>
    <w:basedOn w:val="TableNormal"/>
    <w:next w:val="TableGrid"/>
    <w:rsid w:val="00D921B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gleTxtGZchnZchn">
    <w:name w:val="_ Single Txt_G Zchn Zchn"/>
    <w:rsid w:val="00D921BF"/>
    <w:rPr>
      <w:lang w:val="en-GB" w:eastAsia="en-US" w:bidi="ar-SA"/>
    </w:rPr>
  </w:style>
  <w:style w:type="paragraph" w:styleId="Index1">
    <w:name w:val="index 1"/>
    <w:basedOn w:val="Normal"/>
    <w:next w:val="Normal"/>
    <w:autoRedefine/>
    <w:uiPriority w:val="99"/>
    <w:rsid w:val="00D921BF"/>
    <w:pPr>
      <w:suppressAutoHyphens w:val="0"/>
      <w:spacing w:line="240" w:lineRule="auto"/>
      <w:ind w:left="220" w:hanging="220"/>
    </w:pPr>
    <w:rPr>
      <w:sz w:val="22"/>
    </w:rPr>
  </w:style>
  <w:style w:type="paragraph" w:customStyle="1" w:styleId="Betrifft">
    <w:name w:val="Betrifft"/>
    <w:basedOn w:val="Normal"/>
    <w:uiPriority w:val="99"/>
    <w:rsid w:val="00D921BF"/>
    <w:pPr>
      <w:suppressAutoHyphens w:val="0"/>
      <w:spacing w:before="480" w:line="240" w:lineRule="auto"/>
    </w:pPr>
    <w:rPr>
      <w:rFonts w:ascii="Arial" w:hAnsi="Arial"/>
      <w:sz w:val="24"/>
      <w:lang w:val="de-DE" w:eastAsia="de-DE"/>
    </w:rPr>
  </w:style>
  <w:style w:type="paragraph" w:customStyle="1" w:styleId="NormalList123Spalte">
    <w:name w:val="Normal List 123 Spalte"/>
    <w:basedOn w:val="Normal"/>
    <w:uiPriority w:val="99"/>
    <w:rsid w:val="00D921BF"/>
    <w:pPr>
      <w:tabs>
        <w:tab w:val="left" w:pos="215"/>
        <w:tab w:val="left" w:pos="431"/>
        <w:tab w:val="left" w:pos="851"/>
        <w:tab w:val="left" w:pos="1276"/>
      </w:tabs>
      <w:suppressAutoHyphens w:val="0"/>
      <w:spacing w:before="60" w:line="240" w:lineRule="auto"/>
      <w:ind w:left="431" w:hanging="431"/>
      <w:jc w:val="both"/>
    </w:pPr>
    <w:rPr>
      <w:rFonts w:ascii="Arial" w:hAnsi="Arial"/>
      <w:color w:val="000000"/>
      <w:sz w:val="18"/>
      <w:lang w:val="de-DE" w:eastAsia="de-DE"/>
    </w:rPr>
  </w:style>
  <w:style w:type="paragraph" w:customStyle="1" w:styleId="-Abschnitt">
    <w:name w:val="- Abschnitt"/>
    <w:basedOn w:val="Normal"/>
    <w:uiPriority w:val="99"/>
    <w:rsid w:val="00D921BF"/>
    <w:pPr>
      <w:tabs>
        <w:tab w:val="left" w:pos="425"/>
        <w:tab w:val="left" w:pos="851"/>
        <w:tab w:val="left" w:pos="1276"/>
      </w:tabs>
      <w:suppressAutoHyphens w:val="0"/>
      <w:spacing w:line="240" w:lineRule="auto"/>
      <w:ind w:left="357" w:hanging="357"/>
      <w:jc w:val="both"/>
    </w:pPr>
    <w:rPr>
      <w:rFonts w:ascii="Arial" w:hAnsi="Arial"/>
      <w:sz w:val="22"/>
      <w:lang w:val="fr-FR" w:eastAsia="de-DE"/>
    </w:rPr>
  </w:style>
  <w:style w:type="paragraph" w:styleId="Revision">
    <w:name w:val="Revision"/>
    <w:hidden/>
    <w:uiPriority w:val="99"/>
    <w:semiHidden/>
    <w:rsid w:val="00D921BF"/>
    <w:rPr>
      <w:lang w:eastAsia="en-US"/>
    </w:rPr>
  </w:style>
  <w:style w:type="paragraph" w:customStyle="1" w:styleId="ParNoG">
    <w:name w:val="_ParNo_G"/>
    <w:basedOn w:val="SingleTxtG"/>
    <w:link w:val="ParNoGCar"/>
    <w:qFormat/>
    <w:rsid w:val="00D921BF"/>
    <w:pPr>
      <w:numPr>
        <w:numId w:val="22"/>
      </w:numPr>
    </w:pPr>
    <w:rPr>
      <w:lang w:val="fr-CH"/>
    </w:rPr>
  </w:style>
  <w:style w:type="character" w:customStyle="1" w:styleId="apple-converted-space">
    <w:name w:val="apple-converted-space"/>
    <w:basedOn w:val="DefaultParagraphFont"/>
    <w:rsid w:val="00D921BF"/>
  </w:style>
  <w:style w:type="paragraph" w:customStyle="1" w:styleId="NumPar1">
    <w:name w:val="NumPar 1"/>
    <w:basedOn w:val="Normal"/>
    <w:next w:val="Normal"/>
    <w:link w:val="NumPar1Char"/>
    <w:rsid w:val="00D921BF"/>
    <w:pPr>
      <w:tabs>
        <w:tab w:val="num" w:pos="360"/>
      </w:tabs>
      <w:suppressAutoHyphens w:val="0"/>
      <w:spacing w:before="120" w:after="120" w:line="240" w:lineRule="auto"/>
      <w:ind w:left="360" w:hanging="360"/>
      <w:jc w:val="both"/>
    </w:pPr>
    <w:rPr>
      <w:rFonts w:ascii="Arial" w:eastAsia="SimSun" w:hAnsi="Arial"/>
      <w:sz w:val="24"/>
      <w:szCs w:val="24"/>
      <w:lang w:eastAsia="zh-CN"/>
    </w:rPr>
  </w:style>
  <w:style w:type="character" w:customStyle="1" w:styleId="NumPar1Char">
    <w:name w:val="NumPar 1 Char"/>
    <w:basedOn w:val="DefaultParagraphFont"/>
    <w:link w:val="NumPar1"/>
    <w:rsid w:val="00D921BF"/>
    <w:rPr>
      <w:rFonts w:ascii="Arial" w:eastAsia="SimSun" w:hAnsi="Arial"/>
      <w:sz w:val="24"/>
      <w:szCs w:val="24"/>
      <w:lang w:eastAsia="zh-CN"/>
    </w:rPr>
  </w:style>
  <w:style w:type="table" w:customStyle="1" w:styleId="Grilledutableau11">
    <w:name w:val="Grille du tableau11"/>
    <w:basedOn w:val="TableNormal"/>
    <w:next w:val="TableGrid"/>
    <w:rsid w:val="00D921BF"/>
    <w:pPr>
      <w:suppressAutoHyphens/>
      <w:spacing w:line="240" w:lineRule="exact"/>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
    <w:name w:val="Grille du tableau111"/>
    <w:basedOn w:val="TableNormal"/>
    <w:next w:val="TableGrid"/>
    <w:rsid w:val="00D921BF"/>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Normal"/>
    <w:next w:val="TableGrid"/>
    <w:uiPriority w:val="59"/>
    <w:rsid w:val="00D921BF"/>
    <w:pPr>
      <w:suppressAutoHyphens/>
      <w:spacing w:line="240" w:lineRule="exact"/>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NoGCar">
    <w:name w:val="_ParNo_G Car"/>
    <w:link w:val="ParNoG"/>
    <w:rsid w:val="00D921BF"/>
    <w:rPr>
      <w:lang w:val="fr-CH" w:eastAsia="en-US"/>
    </w:rPr>
  </w:style>
  <w:style w:type="table" w:customStyle="1" w:styleId="Grilledutableau3">
    <w:name w:val="Grille du tableau3"/>
    <w:basedOn w:val="TableNormal"/>
    <w:next w:val="TableGrid"/>
    <w:uiPriority w:val="59"/>
    <w:rsid w:val="00E311B6"/>
    <w:rPr>
      <w:rFonts w:ascii="Arial" w:eastAsia="Calibri" w:hAnsi="Arial"/>
      <w:szCs w:val="24"/>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debasdepageCar1">
    <w:name w:val="Note de bas de page Car1"/>
    <w:aliases w:val="5_G Car1"/>
    <w:basedOn w:val="DefaultParagraphFont"/>
    <w:semiHidden/>
    <w:rsid w:val="001D02A9"/>
    <w:rPr>
      <w:lang w:eastAsia="en-US"/>
    </w:rPr>
  </w:style>
  <w:style w:type="character" w:customStyle="1" w:styleId="En-tteCar1">
    <w:name w:val="En-tête Car1"/>
    <w:aliases w:val="6_G Car1"/>
    <w:basedOn w:val="DefaultParagraphFont"/>
    <w:semiHidden/>
    <w:rsid w:val="001D02A9"/>
    <w:rPr>
      <w:lang w:eastAsia="en-US"/>
    </w:rPr>
  </w:style>
  <w:style w:type="character" w:customStyle="1" w:styleId="PieddepageCar1">
    <w:name w:val="Pied de page Car1"/>
    <w:aliases w:val="3_G Car1"/>
    <w:basedOn w:val="DefaultParagraphFont"/>
    <w:uiPriority w:val="99"/>
    <w:semiHidden/>
    <w:rsid w:val="001D02A9"/>
    <w:rPr>
      <w:lang w:eastAsia="en-US"/>
    </w:rPr>
  </w:style>
  <w:style w:type="character" w:customStyle="1" w:styleId="NotedefinCar1">
    <w:name w:val="Note de fin Car1"/>
    <w:aliases w:val="2_G Car1"/>
    <w:basedOn w:val="DefaultParagraphFont"/>
    <w:semiHidden/>
    <w:rsid w:val="001D02A9"/>
    <w:rPr>
      <w:lang w:eastAsia="en-US"/>
    </w:rPr>
  </w:style>
  <w:style w:type="paragraph" w:styleId="NoSpacing">
    <w:name w:val="No Spacing"/>
    <w:uiPriority w:val="1"/>
    <w:qFormat/>
    <w:rsid w:val="001D02A9"/>
    <w:pPr>
      <w:suppressAutoHyphens/>
      <w:snapToGrid w:val="0"/>
    </w:pPr>
    <w:rPr>
      <w:lang w:val="fr-CH" w:eastAsia="fr-FR"/>
    </w:rPr>
  </w:style>
  <w:style w:type="character" w:customStyle="1" w:styleId="N5Car">
    <w:name w:val="N5 Car"/>
    <w:link w:val="N5"/>
    <w:locked/>
    <w:rsid w:val="001D02A9"/>
    <w:rPr>
      <w:rFonts w:ascii="Arial" w:hAnsi="Arial" w:cs="Arial"/>
      <w:lang w:val="de-DE" w:eastAsia="fr-FR"/>
    </w:rPr>
  </w:style>
  <w:style w:type="paragraph" w:customStyle="1" w:styleId="N5">
    <w:name w:val="N5"/>
    <w:basedOn w:val="Normal"/>
    <w:link w:val="N5Car"/>
    <w:rsid w:val="001D02A9"/>
    <w:pPr>
      <w:widowControl w:val="0"/>
      <w:suppressAutoHyphens w:val="0"/>
      <w:overflowPunct w:val="0"/>
      <w:autoSpaceDE w:val="0"/>
      <w:autoSpaceDN w:val="0"/>
      <w:adjustRightInd w:val="0"/>
      <w:spacing w:line="240" w:lineRule="auto"/>
      <w:ind w:left="1418" w:hanging="284"/>
      <w:jc w:val="both"/>
    </w:pPr>
    <w:rPr>
      <w:rFonts w:ascii="Arial" w:hAnsi="Arial" w:cs="Arial"/>
      <w:lang w:val="de-DE" w:eastAsia="fr-FR"/>
    </w:rPr>
  </w:style>
  <w:style w:type="paragraph" w:customStyle="1" w:styleId="Textkrper21">
    <w:name w:val="Textkörper 21"/>
    <w:basedOn w:val="Normal"/>
    <w:rsid w:val="001D02A9"/>
    <w:pPr>
      <w:widowControl w:val="0"/>
      <w:suppressAutoHyphens w:val="0"/>
      <w:overflowPunct w:val="0"/>
      <w:autoSpaceDE w:val="0"/>
      <w:autoSpaceDN w:val="0"/>
      <w:adjustRightInd w:val="0"/>
      <w:spacing w:line="220" w:lineRule="exact"/>
      <w:ind w:left="1701" w:hanging="566"/>
      <w:jc w:val="both"/>
    </w:pPr>
    <w:rPr>
      <w:rFonts w:ascii="Arial" w:hAnsi="Arial"/>
      <w:lang w:val="de-DE" w:eastAsia="nl-NL"/>
    </w:rPr>
  </w:style>
  <w:style w:type="paragraph" w:customStyle="1" w:styleId="N3">
    <w:name w:val="N3"/>
    <w:basedOn w:val="Normal"/>
    <w:rsid w:val="001D02A9"/>
    <w:pPr>
      <w:widowControl w:val="0"/>
      <w:tabs>
        <w:tab w:val="left" w:pos="170"/>
      </w:tabs>
      <w:suppressAutoHyphens w:val="0"/>
      <w:overflowPunct w:val="0"/>
      <w:autoSpaceDE w:val="0"/>
      <w:autoSpaceDN w:val="0"/>
      <w:adjustRightInd w:val="0"/>
      <w:spacing w:line="240" w:lineRule="exact"/>
    </w:pPr>
    <w:rPr>
      <w:rFonts w:ascii="Tms Rmn" w:hAnsi="Tms Rmn"/>
      <w:sz w:val="22"/>
      <w:lang w:val="de-DE" w:eastAsia="fr-FR"/>
    </w:rPr>
  </w:style>
  <w:style w:type="character" w:customStyle="1" w:styleId="panel-medium">
    <w:name w:val="panel-medium"/>
    <w:basedOn w:val="DefaultParagraphFont"/>
    <w:rsid w:val="001D02A9"/>
  </w:style>
  <w:style w:type="table" w:customStyle="1" w:styleId="Tableausimple11">
    <w:name w:val="Tableau simple 11"/>
    <w:basedOn w:val="TableNormal"/>
    <w:next w:val="TableSimple1"/>
    <w:semiHidden/>
    <w:unhideWhenUsed/>
    <w:rsid w:val="001D02A9"/>
    <w:pPr>
      <w:suppressAutoHyphens/>
      <w:spacing w:line="240" w:lineRule="atLeast"/>
    </w:p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ausimple21">
    <w:name w:val="Tableau simple 21"/>
    <w:basedOn w:val="TableNormal"/>
    <w:next w:val="TableSimple2"/>
    <w:semiHidden/>
    <w:unhideWhenUsed/>
    <w:rsid w:val="001D02A9"/>
    <w:pPr>
      <w:suppressAutoHyphens/>
      <w:spacing w:line="240" w:lineRule="atLeast"/>
    </w:p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next w:val="TableSimple3"/>
    <w:semiHidden/>
    <w:unhideWhenUsed/>
    <w:rsid w:val="001D02A9"/>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classique11">
    <w:name w:val="Tableau classique 11"/>
    <w:basedOn w:val="TableNormal"/>
    <w:next w:val="TableClassic1"/>
    <w:semiHidden/>
    <w:unhideWhenUsed/>
    <w:rsid w:val="001D02A9"/>
    <w:pPr>
      <w:suppressAutoHyphens/>
      <w:spacing w:line="240" w:lineRule="atLeast"/>
    </w:p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next w:val="TableClassic2"/>
    <w:semiHidden/>
    <w:unhideWhenUsed/>
    <w:rsid w:val="001D02A9"/>
    <w:pPr>
      <w:suppressAutoHyphens/>
      <w:spacing w:line="240" w:lineRule="atLeast"/>
    </w:p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next w:val="TableClassic3"/>
    <w:semiHidden/>
    <w:unhideWhenUsed/>
    <w:rsid w:val="001D02A9"/>
    <w:pPr>
      <w:suppressAutoHyphens/>
      <w:spacing w:line="240" w:lineRule="atLeast"/>
    </w:pPr>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next w:val="TableClassic4"/>
    <w:semiHidden/>
    <w:unhideWhenUsed/>
    <w:rsid w:val="001D02A9"/>
    <w:pPr>
      <w:suppressAutoHyphens/>
      <w:spacing w:line="240" w:lineRule="atLeast"/>
    </w:p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next w:val="TableColorful2"/>
    <w:semiHidden/>
    <w:unhideWhenUsed/>
    <w:rsid w:val="001D02A9"/>
    <w:pPr>
      <w:suppressAutoHyphens/>
      <w:spacing w:line="240" w:lineRule="atLeast"/>
    </w:p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next w:val="TableColorful3"/>
    <w:semiHidden/>
    <w:unhideWhenUsed/>
    <w:rsid w:val="001D02A9"/>
    <w:pPr>
      <w:suppressAutoHyphens/>
      <w:spacing w:line="240" w:lineRule="atLeast"/>
    </w:p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next w:val="TableColumns1"/>
    <w:semiHidden/>
    <w:unhideWhenUsed/>
    <w:rsid w:val="001D02A9"/>
    <w:pPr>
      <w:suppressAutoHyphens/>
      <w:spacing w:line="240" w:lineRule="atLeast"/>
    </w:pPr>
    <w:rPr>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next w:val="TableColumns2"/>
    <w:semiHidden/>
    <w:unhideWhenUsed/>
    <w:rsid w:val="001D02A9"/>
    <w:pPr>
      <w:suppressAutoHyphens/>
      <w:spacing w:line="240" w:lineRule="atLeast"/>
    </w:pPr>
    <w:rPr>
      <w:b/>
      <w:bCs/>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next w:val="TableColumns3"/>
    <w:semiHidden/>
    <w:unhideWhenUsed/>
    <w:rsid w:val="001D02A9"/>
    <w:pPr>
      <w:suppressAutoHyphens/>
      <w:spacing w:line="240" w:lineRule="atLeast"/>
    </w:pPr>
    <w:rPr>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next w:val="TableColumns4"/>
    <w:semiHidden/>
    <w:unhideWhenUsed/>
    <w:rsid w:val="001D02A9"/>
    <w:pPr>
      <w:suppressAutoHyphens/>
      <w:spacing w:line="240" w:lineRule="atLeast"/>
    </w:p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next w:val="TableColumns5"/>
    <w:semiHidden/>
    <w:unhideWhenUsed/>
    <w:rsid w:val="001D02A9"/>
    <w:pPr>
      <w:suppressAutoHyphens/>
      <w:spacing w:line="240" w:lineRule="atLeast"/>
    </w:p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Grilledetableau11">
    <w:name w:val="Grille de tableau 11"/>
    <w:basedOn w:val="TableNormal"/>
    <w:next w:val="TableGrid1"/>
    <w:semiHidden/>
    <w:unhideWhenUsed/>
    <w:rsid w:val="001D02A9"/>
    <w:pPr>
      <w:suppressAutoHyphens/>
      <w:spacing w:line="240" w:lineRule="atLeast"/>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Grilledetableau21">
    <w:name w:val="Grille de tableau 21"/>
    <w:basedOn w:val="TableNormal"/>
    <w:next w:val="TableGrid2"/>
    <w:semiHidden/>
    <w:unhideWhenUsed/>
    <w:rsid w:val="001D02A9"/>
    <w:pPr>
      <w:suppressAutoHyphens/>
      <w:spacing w:line="240" w:lineRule="atLeast"/>
    </w:p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Grilledetableau31">
    <w:name w:val="Grille de tableau 31"/>
    <w:basedOn w:val="TableNormal"/>
    <w:next w:val="TableGrid3"/>
    <w:semiHidden/>
    <w:unhideWhenUsed/>
    <w:rsid w:val="001D02A9"/>
    <w:pPr>
      <w:suppressAutoHyphens/>
      <w:spacing w:line="240" w:lineRule="atLeast"/>
    </w:p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Grilledetableau41">
    <w:name w:val="Grille de tableau 41"/>
    <w:basedOn w:val="TableNormal"/>
    <w:next w:val="TableGrid4"/>
    <w:semiHidden/>
    <w:unhideWhenUsed/>
    <w:rsid w:val="001D02A9"/>
    <w:pPr>
      <w:suppressAutoHyphens/>
      <w:spacing w:line="240" w:lineRule="atLeast"/>
    </w:p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51">
    <w:name w:val="Grille de tableau 51"/>
    <w:basedOn w:val="TableNormal"/>
    <w:next w:val="TableGrid5"/>
    <w:semiHidden/>
    <w:unhideWhenUsed/>
    <w:rsid w:val="001D02A9"/>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61">
    <w:name w:val="Grille de tableau 61"/>
    <w:basedOn w:val="TableNormal"/>
    <w:next w:val="TableGrid6"/>
    <w:semiHidden/>
    <w:unhideWhenUsed/>
    <w:rsid w:val="001D02A9"/>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71">
    <w:name w:val="Grille de tableau 71"/>
    <w:basedOn w:val="TableNormal"/>
    <w:next w:val="TableGrid7"/>
    <w:semiHidden/>
    <w:unhideWhenUsed/>
    <w:rsid w:val="001D02A9"/>
    <w:pPr>
      <w:suppressAutoHyphens/>
      <w:spacing w:line="240" w:lineRule="atLeast"/>
    </w:pPr>
    <w:rPr>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next w:val="TableGrid8"/>
    <w:semiHidden/>
    <w:unhideWhenUsed/>
    <w:rsid w:val="001D02A9"/>
    <w:pPr>
      <w:suppressAutoHyphens/>
      <w:spacing w:line="240" w:lineRule="atLeast"/>
    </w:p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next w:val="TableList1"/>
    <w:semiHidden/>
    <w:unhideWhenUsed/>
    <w:rsid w:val="001D02A9"/>
    <w:pPr>
      <w:suppressAutoHyphens/>
      <w:spacing w:line="240" w:lineRule="atLeast"/>
    </w:p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next w:val="TableList2"/>
    <w:semiHidden/>
    <w:unhideWhenUsed/>
    <w:rsid w:val="001D02A9"/>
    <w:pPr>
      <w:suppressAutoHyphens/>
      <w:spacing w:line="240" w:lineRule="atLeast"/>
    </w:p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next w:val="TableList3"/>
    <w:semiHidden/>
    <w:unhideWhenUsed/>
    <w:rsid w:val="001D02A9"/>
    <w:pPr>
      <w:suppressAutoHyphens/>
      <w:spacing w:line="240" w:lineRule="atLeast"/>
    </w:p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next w:val="TableList4"/>
    <w:semiHidden/>
    <w:unhideWhenUsed/>
    <w:rsid w:val="001D02A9"/>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51">
    <w:name w:val="Tableau liste 51"/>
    <w:basedOn w:val="TableNormal"/>
    <w:next w:val="TableList5"/>
    <w:semiHidden/>
    <w:unhideWhenUsed/>
    <w:rsid w:val="001D02A9"/>
    <w:pPr>
      <w:suppressAutoHyphens/>
      <w:spacing w:line="240" w:lineRule="atLeast"/>
    </w:p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auliste71">
    <w:name w:val="Tableau liste 71"/>
    <w:basedOn w:val="TableNormal"/>
    <w:next w:val="TableList7"/>
    <w:semiHidden/>
    <w:unhideWhenUsed/>
    <w:rsid w:val="001D02A9"/>
    <w:pPr>
      <w:suppressAutoHyphens/>
      <w:spacing w:line="240" w:lineRule="atLeast"/>
    </w:p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next w:val="TableList8"/>
    <w:semiHidden/>
    <w:unhideWhenUsed/>
    <w:rsid w:val="001D02A9"/>
    <w:pPr>
      <w:suppressAutoHyphens/>
      <w:spacing w:line="240" w:lineRule="atLeast"/>
    </w:p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Effetsdetableau3D11">
    <w:name w:val="Effets de tableau 3D 11"/>
    <w:basedOn w:val="TableNormal"/>
    <w:next w:val="Table3Deffects1"/>
    <w:semiHidden/>
    <w:unhideWhenUsed/>
    <w:rsid w:val="001D02A9"/>
    <w:pPr>
      <w:suppressAutoHyphens/>
      <w:spacing w:line="240" w:lineRule="atLeast"/>
    </w:p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next w:val="Table3Deffects3"/>
    <w:semiHidden/>
    <w:unhideWhenUsed/>
    <w:rsid w:val="001D02A9"/>
    <w:pPr>
      <w:suppressAutoHyphens/>
      <w:spacing w:line="240" w:lineRule="atLeast"/>
    </w:p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ontemporain1">
    <w:name w:val="Tableau contemporain1"/>
    <w:basedOn w:val="TableNormal"/>
    <w:next w:val="TableContemporary"/>
    <w:semiHidden/>
    <w:unhideWhenUsed/>
    <w:rsid w:val="001D02A9"/>
    <w:pPr>
      <w:suppressAutoHyphens/>
      <w:spacing w:line="240" w:lineRule="atLeast"/>
    </w:p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next w:val="TableElegant"/>
    <w:semiHidden/>
    <w:unhideWhenUsed/>
    <w:rsid w:val="001D02A9"/>
    <w:pPr>
      <w:suppressAutoHyphens/>
      <w:spacing w:line="240" w:lineRule="atLeast"/>
    </w:p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auprofessionnel1">
    <w:name w:val="Tableau professionnel1"/>
    <w:basedOn w:val="TableNormal"/>
    <w:next w:val="TableProfessional"/>
    <w:semiHidden/>
    <w:unhideWhenUsed/>
    <w:rsid w:val="001D02A9"/>
    <w:pPr>
      <w:suppressAutoHyphens/>
      <w:spacing w:line="240" w:lineRule="atLeast"/>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next w:val="TableWeb1"/>
    <w:semiHidden/>
    <w:unhideWhenUsed/>
    <w:rsid w:val="001D02A9"/>
    <w:pPr>
      <w:suppressAutoHyphens/>
      <w:spacing w:line="240" w:lineRule="atLeast"/>
    </w:p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next w:val="TableWeb2"/>
    <w:semiHidden/>
    <w:unhideWhenUsed/>
    <w:rsid w:val="001D02A9"/>
    <w:pPr>
      <w:suppressAutoHyphens/>
      <w:spacing w:line="240" w:lineRule="atLeast"/>
    </w:p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next w:val="TableWeb3"/>
    <w:semiHidden/>
    <w:unhideWhenUsed/>
    <w:rsid w:val="001D02A9"/>
    <w:pPr>
      <w:suppressAutoHyphens/>
      <w:spacing w:line="240" w:lineRule="atLeast"/>
    </w:p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Grilledutableau4">
    <w:name w:val="Grille du tableau4"/>
    <w:basedOn w:val="TableNormal"/>
    <w:uiPriority w:val="59"/>
    <w:rsid w:val="001D02A9"/>
    <w:rPr>
      <w:rFonts w:ascii="Arial" w:eastAsia="Calibri" w:hAnsi="Arial"/>
      <w:szCs w:val="24"/>
      <w:lang w:val="de-D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uiPriority w:val="59"/>
    <w:rsid w:val="001D02A9"/>
    <w:rPr>
      <w:rFonts w:ascii="Arial" w:eastAsia="Calibri" w:hAnsi="Arial"/>
      <w:szCs w:val="24"/>
      <w:lang w:val="de-D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uiPriority w:val="59"/>
    <w:rsid w:val="001D02A9"/>
    <w:rPr>
      <w:rFonts w:ascii="Arial" w:eastAsia="Calibri" w:hAnsi="Arial"/>
      <w:szCs w:val="24"/>
      <w:lang w:val="de-D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2">
    <w:name w:val="Grille du tableau22"/>
    <w:basedOn w:val="TableNormal"/>
    <w:uiPriority w:val="59"/>
    <w:rsid w:val="001D02A9"/>
    <w:rPr>
      <w:rFonts w:ascii="Arial" w:eastAsia="Calibri" w:hAnsi="Arial"/>
      <w:szCs w:val="24"/>
      <w:lang w:val="de-D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59"/>
    <w:rsid w:val="001D02A9"/>
    <w:pPr>
      <w:suppressAutoHyphens/>
      <w:snapToGrid w:val="0"/>
      <w:spacing w:line="240" w:lineRule="atLeas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11">
    <w:name w:val="Article / Section11"/>
    <w:rsid w:val="001D02A9"/>
  </w:style>
  <w:style w:type="numbering" w:customStyle="1" w:styleId="ArticleSection2">
    <w:name w:val="Article / Section2"/>
    <w:basedOn w:val="NoList"/>
    <w:next w:val="ArticleSection"/>
    <w:semiHidden/>
    <w:unhideWhenUsed/>
    <w:rsid w:val="001D02A9"/>
  </w:style>
  <w:style w:type="numbering" w:customStyle="1" w:styleId="1ai2">
    <w:name w:val="1 / a / i2"/>
    <w:basedOn w:val="NoList"/>
    <w:next w:val="1ai"/>
    <w:semiHidden/>
    <w:unhideWhenUsed/>
    <w:rsid w:val="001D02A9"/>
  </w:style>
  <w:style w:type="numbering" w:customStyle="1" w:styleId="1111112">
    <w:name w:val="1 / 1.1 / 1.1.12"/>
    <w:basedOn w:val="NoList"/>
    <w:next w:val="111111"/>
    <w:semiHidden/>
    <w:unhideWhenUsed/>
    <w:rsid w:val="001D02A9"/>
  </w:style>
  <w:style w:type="table" w:customStyle="1" w:styleId="Grilledutableau7">
    <w:name w:val="Grille du tableau7"/>
    <w:basedOn w:val="TableNormal"/>
    <w:next w:val="TableGrid"/>
    <w:uiPriority w:val="59"/>
    <w:rsid w:val="00E80A62"/>
    <w:rPr>
      <w:rFonts w:ascii="Arial" w:eastAsia="Calibri" w:hAnsi="Arial"/>
      <w:szCs w:val="24"/>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Normal"/>
    <w:next w:val="TableGrid"/>
    <w:uiPriority w:val="59"/>
    <w:rsid w:val="00E80A62"/>
    <w:rPr>
      <w:rFonts w:ascii="Arial" w:eastAsia="Calibri" w:hAnsi="Arial"/>
      <w:szCs w:val="24"/>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TableNormal"/>
    <w:next w:val="TableGrid"/>
    <w:uiPriority w:val="59"/>
    <w:rsid w:val="00E80A62"/>
    <w:rPr>
      <w:rFonts w:ascii="Arial" w:eastAsia="Calibri" w:hAnsi="Arial"/>
      <w:szCs w:val="24"/>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0">
    <w:name w:val="Grille du tableau10"/>
    <w:basedOn w:val="TableNormal"/>
    <w:next w:val="TableGrid"/>
    <w:uiPriority w:val="59"/>
    <w:rsid w:val="00E80A62"/>
    <w:rPr>
      <w:rFonts w:ascii="Arial" w:eastAsia="Calibri" w:hAnsi="Arial"/>
      <w:szCs w:val="24"/>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NoList"/>
    <w:uiPriority w:val="99"/>
    <w:semiHidden/>
    <w:unhideWhenUsed/>
    <w:rsid w:val="00866107"/>
  </w:style>
  <w:style w:type="table" w:customStyle="1" w:styleId="Grilledutableau12">
    <w:name w:val="Grille du tableau12"/>
    <w:basedOn w:val="TableNormal"/>
    <w:next w:val="TableGrid"/>
    <w:uiPriority w:val="59"/>
    <w:rsid w:val="00866107"/>
    <w:rPr>
      <w:rFonts w:ascii="Arial" w:eastAsia="Calibri" w:hAnsi="Arial"/>
      <w:szCs w:val="24"/>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3">
    <w:name w:val="Grille du tableau23"/>
    <w:basedOn w:val="TableNormal"/>
    <w:next w:val="TableGrid"/>
    <w:uiPriority w:val="59"/>
    <w:rsid w:val="00866107"/>
    <w:rPr>
      <w:rFonts w:ascii="Arial" w:eastAsia="Calibri" w:hAnsi="Arial"/>
      <w:szCs w:val="24"/>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866107"/>
    <w:pPr>
      <w:suppressAutoHyphens/>
      <w:spacing w:line="240" w:lineRule="atLeast"/>
    </w:pPr>
    <w:rPr>
      <w:snapToGrid w:val="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
    <w:name w:val="Grille du tableau13"/>
    <w:basedOn w:val="TableNormal"/>
    <w:next w:val="TableGrid"/>
    <w:uiPriority w:val="59"/>
    <w:rsid w:val="00E86F07"/>
    <w:rPr>
      <w:rFonts w:ascii="Arial" w:eastAsia="Calibri" w:hAnsi="Arial"/>
      <w:szCs w:val="24"/>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1GCar">
    <w:name w:val="_ H_1_G Car"/>
    <w:rsid w:val="00D37755"/>
    <w:rPr>
      <w:b/>
      <w:sz w:val="24"/>
      <w:lang w:val="fr-CH" w:eastAsia="en-US"/>
    </w:rPr>
  </w:style>
  <w:style w:type="table" w:customStyle="1" w:styleId="Grilledutableau41">
    <w:name w:val="Grille du tableau41"/>
    <w:basedOn w:val="TableNormal"/>
    <w:next w:val="TableGrid"/>
    <w:uiPriority w:val="39"/>
    <w:rsid w:val="001801E1"/>
    <w:pPr>
      <w:suppressAutoHyphens/>
      <w:spacing w:line="240" w:lineRule="atLeast"/>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12">
    <w:name w:val="Grille de tableau 12"/>
    <w:basedOn w:val="TableNormal"/>
    <w:next w:val="TableGrid1"/>
    <w:semiHidden/>
    <w:rsid w:val="00C323D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113"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Grilledutableau14">
    <w:name w:val="Grille du tableau14"/>
    <w:basedOn w:val="TableNormal"/>
    <w:next w:val="TableGrid"/>
    <w:uiPriority w:val="99"/>
    <w:rsid w:val="00C323D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2">
    <w:name w:val="Tabellenraster2"/>
    <w:basedOn w:val="TableNormal"/>
    <w:rsid w:val="00C323D4"/>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323D4"/>
    <w:rPr>
      <w:color w:val="808080"/>
    </w:rPr>
  </w:style>
  <w:style w:type="paragraph" w:customStyle="1" w:styleId="Tabletext9">
    <w:name w:val="Table text (9)"/>
    <w:basedOn w:val="Normal"/>
    <w:uiPriority w:val="99"/>
    <w:rsid w:val="00C323D4"/>
    <w:pPr>
      <w:suppressAutoHyphens w:val="0"/>
      <w:spacing w:before="60" w:after="60" w:line="210" w:lineRule="atLeast"/>
      <w:jc w:val="both"/>
    </w:pPr>
    <w:rPr>
      <w:rFonts w:ascii="Arial" w:eastAsia="MS Mincho" w:hAnsi="Arial"/>
      <w:sz w:val="18"/>
      <w:lang w:eastAsia="fr-FR"/>
    </w:rPr>
  </w:style>
  <w:style w:type="paragraph" w:customStyle="1" w:styleId="Randnummer">
    <w:name w:val="Randnummer"/>
    <w:basedOn w:val="Normal"/>
    <w:rsid w:val="00C323D4"/>
    <w:pPr>
      <w:tabs>
        <w:tab w:val="left" w:pos="425"/>
        <w:tab w:val="left" w:pos="580"/>
        <w:tab w:val="left" w:pos="851"/>
        <w:tab w:val="left" w:pos="1100"/>
        <w:tab w:val="left" w:pos="1276"/>
      </w:tabs>
      <w:suppressAutoHyphens w:val="0"/>
      <w:spacing w:before="180" w:line="240" w:lineRule="auto"/>
      <w:ind w:left="1080" w:hanging="1080"/>
      <w:jc w:val="both"/>
    </w:pPr>
    <w:rPr>
      <w:rFonts w:ascii="Arial" w:hAnsi="Arial"/>
      <w:color w:val="000000"/>
      <w:sz w:val="18"/>
      <w:lang w:val="de-DE" w:eastAsia="de-DE"/>
    </w:rPr>
  </w:style>
  <w:style w:type="table" w:customStyle="1" w:styleId="Grilledutableau15">
    <w:name w:val="Grille du tableau15"/>
    <w:basedOn w:val="TableNormal"/>
    <w:next w:val="TableGrid"/>
    <w:rsid w:val="00C323D4"/>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2">
    <w:name w:val="Grille du tableau42"/>
    <w:basedOn w:val="TableNormal"/>
    <w:next w:val="TableGrid"/>
    <w:uiPriority w:val="39"/>
    <w:rsid w:val="00C323D4"/>
    <w:pPr>
      <w:suppressAutoHyphens/>
      <w:spacing w:line="240" w:lineRule="atLeast"/>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4">
    <w:name w:val="Grille du tableau24"/>
    <w:basedOn w:val="TableNormal"/>
    <w:next w:val="TableGrid"/>
    <w:rsid w:val="00C323D4"/>
    <w:pPr>
      <w:suppressAutoHyphens/>
      <w:spacing w:line="240" w:lineRule="exact"/>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2">
    <w:name w:val="Grille du tableau112"/>
    <w:basedOn w:val="TableNormal"/>
    <w:next w:val="TableGrid"/>
    <w:rsid w:val="00C323D4"/>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1">
    <w:name w:val="Grille du tableau211"/>
    <w:basedOn w:val="TableNormal"/>
    <w:next w:val="TableGrid"/>
    <w:rsid w:val="00C323D4"/>
    <w:pPr>
      <w:suppressAutoHyphens/>
      <w:spacing w:line="240" w:lineRule="atLeast"/>
    </w:pPr>
    <w:rPr>
      <w:rFonts w:eastAsiaTheme="minorHAns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Aucuneliste11">
    <w:name w:val="Aucune liste11"/>
    <w:next w:val="NoList"/>
    <w:uiPriority w:val="99"/>
    <w:semiHidden/>
    <w:unhideWhenUsed/>
    <w:rsid w:val="00C323D4"/>
  </w:style>
  <w:style w:type="table" w:customStyle="1" w:styleId="Grilledutableau1111">
    <w:name w:val="Grille du tableau1111"/>
    <w:basedOn w:val="TableNormal"/>
    <w:next w:val="TableGrid"/>
    <w:rsid w:val="00C323D4"/>
    <w:pPr>
      <w:suppressAutoHyphens/>
      <w:spacing w:line="240" w:lineRule="atLeast"/>
    </w:pPr>
    <w:rPr>
      <w:rFonts w:eastAsiaTheme="minorHAns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Aucuneliste2">
    <w:name w:val="Aucune liste2"/>
    <w:next w:val="NoList"/>
    <w:uiPriority w:val="99"/>
    <w:semiHidden/>
    <w:unhideWhenUsed/>
    <w:rsid w:val="00C323D4"/>
  </w:style>
  <w:style w:type="paragraph" w:customStyle="1" w:styleId="Rom1">
    <w:name w:val="Rom1"/>
    <w:basedOn w:val="Normal"/>
    <w:rsid w:val="00C323D4"/>
    <w:pPr>
      <w:suppressAutoHyphens w:val="0"/>
      <w:spacing w:after="240" w:line="240" w:lineRule="auto"/>
    </w:pPr>
    <w:rPr>
      <w:sz w:val="24"/>
    </w:rPr>
  </w:style>
  <w:style w:type="paragraph" w:customStyle="1" w:styleId="ParaNo">
    <w:name w:val="ParaNo."/>
    <w:basedOn w:val="Normal"/>
    <w:rsid w:val="00C323D4"/>
    <w:pPr>
      <w:numPr>
        <w:numId w:val="40"/>
      </w:numPr>
      <w:tabs>
        <w:tab w:val="clear" w:pos="360"/>
        <w:tab w:val="left" w:pos="737"/>
      </w:tabs>
      <w:suppressAutoHyphens w:val="0"/>
      <w:spacing w:after="240" w:line="240" w:lineRule="auto"/>
    </w:pPr>
    <w:rPr>
      <w:sz w:val="24"/>
      <w:lang w:val="fr-CH"/>
    </w:rPr>
  </w:style>
  <w:style w:type="paragraph" w:customStyle="1" w:styleId="Bullet">
    <w:name w:val="Bullet"/>
    <w:basedOn w:val="Normal"/>
    <w:rsid w:val="00C323D4"/>
    <w:pPr>
      <w:numPr>
        <w:numId w:val="41"/>
      </w:numPr>
      <w:suppressAutoHyphens w:val="0"/>
      <w:spacing w:after="240" w:line="240" w:lineRule="auto"/>
    </w:pPr>
    <w:rPr>
      <w:sz w:val="24"/>
    </w:rPr>
  </w:style>
  <w:style w:type="paragraph" w:customStyle="1" w:styleId="Dash">
    <w:name w:val="Dash"/>
    <w:basedOn w:val="Normal"/>
    <w:rsid w:val="00C323D4"/>
    <w:pPr>
      <w:numPr>
        <w:numId w:val="42"/>
      </w:numPr>
      <w:suppressAutoHyphens w:val="0"/>
      <w:adjustRightInd w:val="0"/>
      <w:snapToGrid w:val="0"/>
      <w:spacing w:after="240" w:line="240" w:lineRule="auto"/>
    </w:pPr>
    <w:rPr>
      <w:sz w:val="24"/>
    </w:rPr>
  </w:style>
  <w:style w:type="paragraph" w:customStyle="1" w:styleId="Index">
    <w:name w:val="Index"/>
    <w:basedOn w:val="Normal"/>
    <w:rsid w:val="00C323D4"/>
    <w:pPr>
      <w:widowControl w:val="0"/>
      <w:suppressLineNumbers/>
      <w:overflowPunct w:val="0"/>
      <w:autoSpaceDE w:val="0"/>
      <w:autoSpaceDN w:val="0"/>
      <w:adjustRightInd w:val="0"/>
      <w:spacing w:line="240" w:lineRule="auto"/>
      <w:jc w:val="both"/>
      <w:textAlignment w:val="baseline"/>
    </w:pPr>
    <w:rPr>
      <w:sz w:val="24"/>
      <w:lang w:val="en-US"/>
    </w:rPr>
  </w:style>
  <w:style w:type="table" w:customStyle="1" w:styleId="Grilledutableau31">
    <w:name w:val="Grille du tableau31"/>
    <w:basedOn w:val="TableNormal"/>
    <w:next w:val="TableGrid"/>
    <w:rsid w:val="00C323D4"/>
    <w:pPr>
      <w:tabs>
        <w:tab w:val="left" w:pos="425"/>
        <w:tab w:val="left" w:pos="851"/>
        <w:tab w:val="left" w:pos="1276"/>
      </w:tabs>
      <w:jc w:val="both"/>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Spalte">
    <w:name w:val="Normaltext Spalte"/>
    <w:basedOn w:val="Normal"/>
    <w:rsid w:val="00C323D4"/>
    <w:pPr>
      <w:tabs>
        <w:tab w:val="left" w:pos="425"/>
        <w:tab w:val="left" w:pos="851"/>
        <w:tab w:val="left" w:pos="1276"/>
      </w:tabs>
      <w:suppressAutoHyphens w:val="0"/>
      <w:spacing w:before="180" w:line="240" w:lineRule="auto"/>
      <w:jc w:val="both"/>
    </w:pPr>
    <w:rPr>
      <w:rFonts w:ascii="Arial" w:hAnsi="Arial"/>
      <w:color w:val="000000"/>
      <w:sz w:val="18"/>
      <w:lang w:val="de-DE" w:eastAsia="de-DE"/>
    </w:rPr>
  </w:style>
  <w:style w:type="paragraph" w:customStyle="1" w:styleId="NormalListSpalte">
    <w:name w:val="Normal List Spalte"/>
    <w:basedOn w:val="Normal"/>
    <w:link w:val="NormalListSpalteChar"/>
    <w:rsid w:val="00C323D4"/>
    <w:pPr>
      <w:tabs>
        <w:tab w:val="left" w:pos="215"/>
        <w:tab w:val="left" w:pos="425"/>
        <w:tab w:val="left" w:pos="851"/>
        <w:tab w:val="left" w:pos="1276"/>
      </w:tabs>
      <w:suppressAutoHyphens w:val="0"/>
      <w:spacing w:before="60" w:line="240" w:lineRule="auto"/>
      <w:ind w:left="215" w:hanging="215"/>
      <w:jc w:val="both"/>
    </w:pPr>
    <w:rPr>
      <w:rFonts w:ascii="Arial" w:hAnsi="Arial"/>
      <w:color w:val="000000"/>
      <w:sz w:val="18"/>
      <w:lang w:val="de-DE" w:eastAsia="de-DE"/>
    </w:rPr>
  </w:style>
  <w:style w:type="character" w:customStyle="1" w:styleId="NormalListSpalteChar">
    <w:name w:val="Normal List Spalte Char"/>
    <w:basedOn w:val="NormalListChar"/>
    <w:link w:val="NormalListSpalte"/>
    <w:rsid w:val="00C323D4"/>
    <w:rPr>
      <w:rFonts w:ascii="Arial" w:hAnsi="Arial"/>
      <w:color w:val="000000"/>
      <w:sz w:val="18"/>
      <w:lang w:val="de-DE" w:eastAsia="de-DE"/>
    </w:rPr>
  </w:style>
  <w:style w:type="character" w:customStyle="1" w:styleId="NormalListChar">
    <w:name w:val="Normal List Char"/>
    <w:link w:val="NormalList"/>
    <w:rsid w:val="00C323D4"/>
    <w:rPr>
      <w:rFonts w:ascii="Arial" w:hAnsi="Arial"/>
      <w:color w:val="000000"/>
      <w:sz w:val="18"/>
      <w:lang w:val="de-DE" w:eastAsia="de-DE"/>
    </w:rPr>
  </w:style>
  <w:style w:type="paragraph" w:customStyle="1" w:styleId="NormalList">
    <w:name w:val="Normal List"/>
    <w:basedOn w:val="Normal"/>
    <w:link w:val="NormalListChar"/>
    <w:rsid w:val="00C323D4"/>
    <w:pPr>
      <w:tabs>
        <w:tab w:val="left" w:pos="1400"/>
      </w:tabs>
      <w:suppressAutoHyphens w:val="0"/>
      <w:spacing w:before="60" w:line="240" w:lineRule="auto"/>
      <w:ind w:left="1380" w:hanging="300"/>
      <w:jc w:val="both"/>
    </w:pPr>
    <w:rPr>
      <w:rFonts w:ascii="Arial" w:hAnsi="Arial"/>
      <w:color w:val="000000"/>
      <w:sz w:val="18"/>
      <w:lang w:val="de-DE" w:eastAsia="de-DE"/>
    </w:rPr>
  </w:style>
  <w:style w:type="paragraph" w:customStyle="1" w:styleId="NormalBemerkung123">
    <w:name w:val="Normal Bemerkung123"/>
    <w:basedOn w:val="Normal"/>
    <w:rsid w:val="00C323D4"/>
    <w:pPr>
      <w:tabs>
        <w:tab w:val="left" w:pos="1700"/>
        <w:tab w:val="left" w:pos="1980"/>
      </w:tabs>
      <w:suppressAutoHyphens w:val="0"/>
      <w:spacing w:before="60" w:line="240" w:lineRule="auto"/>
      <w:ind w:left="1680" w:hanging="600"/>
      <w:jc w:val="both"/>
    </w:pPr>
    <w:rPr>
      <w:rFonts w:ascii="Arial" w:hAnsi="Arial"/>
      <w:color w:val="000000"/>
      <w:sz w:val="18"/>
      <w:lang w:val="de-DE" w:eastAsia="de-DE"/>
    </w:rPr>
  </w:style>
  <w:style w:type="paragraph" w:customStyle="1" w:styleId="NormalBemerkung">
    <w:name w:val="Normal Bemerkung"/>
    <w:basedOn w:val="Normal"/>
    <w:rsid w:val="00C323D4"/>
    <w:pPr>
      <w:tabs>
        <w:tab w:val="left" w:pos="1700"/>
      </w:tabs>
      <w:suppressAutoHyphens w:val="0"/>
      <w:spacing w:before="60" w:line="240" w:lineRule="auto"/>
      <w:ind w:left="1680" w:hanging="600"/>
      <w:jc w:val="both"/>
    </w:pPr>
    <w:rPr>
      <w:rFonts w:ascii="Arial" w:hAnsi="Arial"/>
      <w:color w:val="000000"/>
      <w:sz w:val="18"/>
      <w:lang w:val="de-DE" w:eastAsia="de-DE"/>
    </w:rPr>
  </w:style>
  <w:style w:type="paragraph" w:customStyle="1" w:styleId="TabelleAnhangVI">
    <w:name w:val="Tabelle Anhang VI"/>
    <w:rsid w:val="00C323D4"/>
    <w:pPr>
      <w:keepLines/>
      <w:tabs>
        <w:tab w:val="right" w:pos="1191"/>
      </w:tabs>
      <w:spacing w:before="80" w:after="80" w:line="180" w:lineRule="atLeast"/>
    </w:pPr>
    <w:rPr>
      <w:rFonts w:ascii="Arial" w:hAnsi="Arial"/>
      <w:color w:val="000000"/>
      <w:sz w:val="18"/>
      <w:lang w:val="en-US" w:eastAsia="de-DE"/>
    </w:rPr>
  </w:style>
  <w:style w:type="paragraph" w:customStyle="1" w:styleId="Normaltext">
    <w:name w:val="Normaltext"/>
    <w:basedOn w:val="Normal"/>
    <w:rsid w:val="00C323D4"/>
    <w:pPr>
      <w:suppressAutoHyphens w:val="0"/>
      <w:spacing w:before="180" w:line="240" w:lineRule="auto"/>
      <w:ind w:left="1080"/>
      <w:jc w:val="both"/>
    </w:pPr>
    <w:rPr>
      <w:rFonts w:ascii="Arial" w:hAnsi="Arial"/>
      <w:color w:val="000000"/>
      <w:sz w:val="18"/>
      <w:lang w:val="de-DE" w:eastAsia="de-DE"/>
    </w:rPr>
  </w:style>
  <w:style w:type="paragraph" w:customStyle="1" w:styleId="NormaltextSpalte0">
    <w:name w:val="Normaltext_Spalte"/>
    <w:basedOn w:val="Normal"/>
    <w:rsid w:val="00C323D4"/>
    <w:pPr>
      <w:suppressAutoHyphens w:val="0"/>
      <w:spacing w:before="180" w:line="240" w:lineRule="auto"/>
      <w:jc w:val="both"/>
    </w:pPr>
    <w:rPr>
      <w:rFonts w:ascii="Arial" w:hAnsi="Arial"/>
      <w:sz w:val="18"/>
      <w:lang w:val="de-DE" w:eastAsia="de-DE"/>
    </w:rPr>
  </w:style>
  <w:style w:type="paragraph" w:customStyle="1" w:styleId="Standardowy">
    <w:name w:val="Standardowy"/>
    <w:rsid w:val="00C323D4"/>
    <w:rPr>
      <w:rFonts w:ascii="Arial" w:hAnsi="Arial"/>
      <w:snapToGrid w:val="0"/>
      <w:sz w:val="24"/>
      <w:lang w:eastAsia="en-US"/>
    </w:rPr>
  </w:style>
  <w:style w:type="paragraph" w:customStyle="1" w:styleId="NumDocPara">
    <w:name w:val="Num©Doc Para"/>
    <w:basedOn w:val="Normal"/>
    <w:rsid w:val="00C323D4"/>
    <w:pPr>
      <w:widowControl w:val="0"/>
      <w:tabs>
        <w:tab w:val="left" w:pos="0"/>
        <w:tab w:val="left" w:pos="850"/>
        <w:tab w:val="left" w:pos="1190"/>
        <w:tab w:val="left" w:pos="153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snapToGrid w:val="0"/>
      <w:sz w:val="22"/>
      <w:lang w:val="en-US"/>
    </w:rPr>
  </w:style>
  <w:style w:type="paragraph" w:customStyle="1" w:styleId="TabelleAnhangVII">
    <w:name w:val="Tabelle Anhang VII"/>
    <w:basedOn w:val="Normal"/>
    <w:rsid w:val="00C323D4"/>
    <w:pPr>
      <w:tabs>
        <w:tab w:val="left" w:pos="140"/>
      </w:tabs>
      <w:suppressAutoHyphens w:val="0"/>
      <w:spacing w:line="240" w:lineRule="auto"/>
      <w:ind w:right="23"/>
    </w:pPr>
    <w:rPr>
      <w:rFonts w:ascii="Arial" w:hAnsi="Arial"/>
      <w:color w:val="000000"/>
      <w:sz w:val="18"/>
      <w:lang w:val="de-DE" w:eastAsia="de-DE"/>
    </w:rPr>
  </w:style>
  <w:style w:type="paragraph" w:customStyle="1" w:styleId="TabelleAnhangV">
    <w:name w:val="Tabelle Anhang V"/>
    <w:basedOn w:val="Normal"/>
    <w:rsid w:val="00C323D4"/>
    <w:pPr>
      <w:tabs>
        <w:tab w:val="left" w:pos="140"/>
      </w:tabs>
      <w:suppressAutoHyphens w:val="0"/>
      <w:spacing w:before="60" w:after="60" w:line="240" w:lineRule="auto"/>
      <w:ind w:right="20"/>
    </w:pPr>
    <w:rPr>
      <w:rFonts w:ascii="Arial" w:hAnsi="Arial"/>
      <w:color w:val="000000"/>
      <w:sz w:val="18"/>
      <w:lang w:val="de-DE" w:eastAsia="de-DE"/>
    </w:rPr>
  </w:style>
  <w:style w:type="paragraph" w:customStyle="1" w:styleId="N20">
    <w:name w:val="N20"/>
    <w:basedOn w:val="Normal"/>
    <w:link w:val="N20Car"/>
    <w:rsid w:val="00C323D4"/>
    <w:pPr>
      <w:widowControl w:val="0"/>
      <w:suppressAutoHyphens w:val="0"/>
      <w:spacing w:line="240" w:lineRule="auto"/>
      <w:ind w:left="1134"/>
      <w:jc w:val="both"/>
    </w:pPr>
    <w:rPr>
      <w:rFonts w:ascii="Arial" w:hAnsi="Arial"/>
      <w:color w:val="000000"/>
      <w:szCs w:val="22"/>
      <w:lang w:val="de-DE" w:eastAsia="de-DE"/>
    </w:rPr>
  </w:style>
  <w:style w:type="character" w:customStyle="1" w:styleId="N20Car">
    <w:name w:val="N20 Car"/>
    <w:link w:val="N20"/>
    <w:rsid w:val="00C323D4"/>
    <w:rPr>
      <w:rFonts w:ascii="Arial" w:hAnsi="Arial"/>
      <w:color w:val="000000"/>
      <w:szCs w:val="22"/>
      <w:lang w:val="de-DE" w:eastAsia="de-DE"/>
    </w:rPr>
  </w:style>
  <w:style w:type="paragraph" w:customStyle="1" w:styleId="Corpsdetexte21">
    <w:name w:val="Corps de texte 21"/>
    <w:basedOn w:val="Normal"/>
    <w:rsid w:val="00C323D4"/>
    <w:pPr>
      <w:widowControl w:val="0"/>
      <w:suppressAutoHyphens w:val="0"/>
      <w:overflowPunct w:val="0"/>
      <w:autoSpaceDE w:val="0"/>
      <w:autoSpaceDN w:val="0"/>
      <w:adjustRightInd w:val="0"/>
      <w:spacing w:line="220" w:lineRule="exact"/>
      <w:ind w:left="1701" w:hanging="566"/>
      <w:jc w:val="both"/>
      <w:textAlignment w:val="baseline"/>
    </w:pPr>
    <w:rPr>
      <w:rFonts w:ascii="Arial" w:hAnsi="Arial"/>
      <w:lang w:val="de-DE" w:eastAsia="nl-NL"/>
    </w:rPr>
  </w:style>
  <w:style w:type="paragraph" w:customStyle="1" w:styleId="Retraitcorpsdetexte31">
    <w:name w:val="Retrait corps de texte 31"/>
    <w:basedOn w:val="Normal"/>
    <w:rsid w:val="00C323D4"/>
    <w:pPr>
      <w:widowControl w:val="0"/>
      <w:suppressAutoHyphens w:val="0"/>
      <w:overflowPunct w:val="0"/>
      <w:autoSpaceDE w:val="0"/>
      <w:autoSpaceDN w:val="0"/>
      <w:adjustRightInd w:val="0"/>
      <w:spacing w:after="120" w:line="240" w:lineRule="auto"/>
      <w:ind w:left="283" w:hanging="1134"/>
      <w:jc w:val="both"/>
      <w:textAlignment w:val="baseline"/>
    </w:pPr>
    <w:rPr>
      <w:rFonts w:ascii="Arial" w:hAnsi="Arial"/>
      <w:sz w:val="16"/>
      <w:lang w:val="en-US" w:eastAsia="nl-NL"/>
    </w:rPr>
  </w:style>
  <w:style w:type="table" w:customStyle="1" w:styleId="Grilledutableau16">
    <w:name w:val="Grille du tableau16"/>
    <w:basedOn w:val="TableNormal"/>
    <w:next w:val="TableGrid"/>
    <w:rsid w:val="00EB786C"/>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562514">
      <w:bodyDiv w:val="1"/>
      <w:marLeft w:val="0"/>
      <w:marRight w:val="0"/>
      <w:marTop w:val="0"/>
      <w:marBottom w:val="0"/>
      <w:divBdr>
        <w:top w:val="none" w:sz="0" w:space="0" w:color="auto"/>
        <w:left w:val="none" w:sz="0" w:space="0" w:color="auto"/>
        <w:bottom w:val="none" w:sz="0" w:space="0" w:color="auto"/>
        <w:right w:val="none" w:sz="0" w:space="0" w:color="auto"/>
      </w:divBdr>
    </w:div>
    <w:div w:id="53164375">
      <w:bodyDiv w:val="1"/>
      <w:marLeft w:val="0"/>
      <w:marRight w:val="0"/>
      <w:marTop w:val="0"/>
      <w:marBottom w:val="0"/>
      <w:divBdr>
        <w:top w:val="none" w:sz="0" w:space="0" w:color="auto"/>
        <w:left w:val="none" w:sz="0" w:space="0" w:color="auto"/>
        <w:bottom w:val="none" w:sz="0" w:space="0" w:color="auto"/>
        <w:right w:val="none" w:sz="0" w:space="0" w:color="auto"/>
      </w:divBdr>
      <w:divsChild>
        <w:div w:id="697587547">
          <w:marLeft w:val="1134"/>
          <w:marRight w:val="1134"/>
          <w:marTop w:val="0"/>
          <w:marBottom w:val="120"/>
          <w:divBdr>
            <w:top w:val="none" w:sz="0" w:space="0" w:color="auto"/>
            <w:left w:val="none" w:sz="0" w:space="0" w:color="auto"/>
            <w:bottom w:val="none" w:sz="0" w:space="0" w:color="auto"/>
            <w:right w:val="none" w:sz="0" w:space="0" w:color="auto"/>
          </w:divBdr>
        </w:div>
        <w:div w:id="1735011101">
          <w:marLeft w:val="1134"/>
          <w:marRight w:val="1134"/>
          <w:marTop w:val="0"/>
          <w:marBottom w:val="120"/>
          <w:divBdr>
            <w:top w:val="none" w:sz="0" w:space="0" w:color="auto"/>
            <w:left w:val="none" w:sz="0" w:space="0" w:color="auto"/>
            <w:bottom w:val="none" w:sz="0" w:space="0" w:color="auto"/>
            <w:right w:val="none" w:sz="0" w:space="0" w:color="auto"/>
          </w:divBdr>
        </w:div>
        <w:div w:id="85733352">
          <w:marLeft w:val="1134"/>
          <w:marRight w:val="1134"/>
          <w:marTop w:val="0"/>
          <w:marBottom w:val="120"/>
          <w:divBdr>
            <w:top w:val="none" w:sz="0" w:space="0" w:color="auto"/>
            <w:left w:val="none" w:sz="0" w:space="0" w:color="auto"/>
            <w:bottom w:val="none" w:sz="0" w:space="0" w:color="auto"/>
            <w:right w:val="none" w:sz="0" w:space="0" w:color="auto"/>
          </w:divBdr>
        </w:div>
        <w:div w:id="1838382701">
          <w:marLeft w:val="1134"/>
          <w:marRight w:val="1134"/>
          <w:marTop w:val="0"/>
          <w:marBottom w:val="120"/>
          <w:divBdr>
            <w:top w:val="none" w:sz="0" w:space="0" w:color="auto"/>
            <w:left w:val="none" w:sz="0" w:space="0" w:color="auto"/>
            <w:bottom w:val="none" w:sz="0" w:space="0" w:color="auto"/>
            <w:right w:val="none" w:sz="0" w:space="0" w:color="auto"/>
          </w:divBdr>
        </w:div>
        <w:div w:id="1551958307">
          <w:marLeft w:val="1134"/>
          <w:marRight w:val="1134"/>
          <w:marTop w:val="0"/>
          <w:marBottom w:val="120"/>
          <w:divBdr>
            <w:top w:val="none" w:sz="0" w:space="0" w:color="auto"/>
            <w:left w:val="none" w:sz="0" w:space="0" w:color="auto"/>
            <w:bottom w:val="none" w:sz="0" w:space="0" w:color="auto"/>
            <w:right w:val="none" w:sz="0" w:space="0" w:color="auto"/>
          </w:divBdr>
        </w:div>
        <w:div w:id="318965470">
          <w:marLeft w:val="1134"/>
          <w:marRight w:val="1134"/>
          <w:marTop w:val="0"/>
          <w:marBottom w:val="120"/>
          <w:divBdr>
            <w:top w:val="none" w:sz="0" w:space="0" w:color="auto"/>
            <w:left w:val="none" w:sz="0" w:space="0" w:color="auto"/>
            <w:bottom w:val="none" w:sz="0" w:space="0" w:color="auto"/>
            <w:right w:val="none" w:sz="0" w:space="0" w:color="auto"/>
          </w:divBdr>
        </w:div>
      </w:divsChild>
    </w:div>
    <w:div w:id="379016893">
      <w:bodyDiv w:val="1"/>
      <w:marLeft w:val="0"/>
      <w:marRight w:val="0"/>
      <w:marTop w:val="0"/>
      <w:marBottom w:val="0"/>
      <w:divBdr>
        <w:top w:val="none" w:sz="0" w:space="0" w:color="auto"/>
        <w:left w:val="none" w:sz="0" w:space="0" w:color="auto"/>
        <w:bottom w:val="none" w:sz="0" w:space="0" w:color="auto"/>
        <w:right w:val="none" w:sz="0" w:space="0" w:color="auto"/>
      </w:divBdr>
      <w:divsChild>
        <w:div w:id="809178878">
          <w:marLeft w:val="0"/>
          <w:marRight w:val="0"/>
          <w:marTop w:val="0"/>
          <w:marBottom w:val="0"/>
          <w:divBdr>
            <w:top w:val="none" w:sz="0" w:space="0" w:color="auto"/>
            <w:left w:val="none" w:sz="0" w:space="0" w:color="auto"/>
            <w:bottom w:val="none" w:sz="0" w:space="0" w:color="auto"/>
            <w:right w:val="none" w:sz="0" w:space="0" w:color="auto"/>
          </w:divBdr>
        </w:div>
      </w:divsChild>
    </w:div>
    <w:div w:id="401026979">
      <w:bodyDiv w:val="1"/>
      <w:marLeft w:val="0"/>
      <w:marRight w:val="0"/>
      <w:marTop w:val="0"/>
      <w:marBottom w:val="0"/>
      <w:divBdr>
        <w:top w:val="none" w:sz="0" w:space="0" w:color="auto"/>
        <w:left w:val="none" w:sz="0" w:space="0" w:color="auto"/>
        <w:bottom w:val="none" w:sz="0" w:space="0" w:color="auto"/>
        <w:right w:val="none" w:sz="0" w:space="0" w:color="auto"/>
      </w:divBdr>
    </w:div>
    <w:div w:id="421877342">
      <w:bodyDiv w:val="1"/>
      <w:marLeft w:val="0"/>
      <w:marRight w:val="0"/>
      <w:marTop w:val="0"/>
      <w:marBottom w:val="0"/>
      <w:divBdr>
        <w:top w:val="none" w:sz="0" w:space="0" w:color="auto"/>
        <w:left w:val="none" w:sz="0" w:space="0" w:color="auto"/>
        <w:bottom w:val="none" w:sz="0" w:space="0" w:color="auto"/>
        <w:right w:val="none" w:sz="0" w:space="0" w:color="auto"/>
      </w:divBdr>
    </w:div>
    <w:div w:id="478809493">
      <w:bodyDiv w:val="1"/>
      <w:marLeft w:val="0"/>
      <w:marRight w:val="0"/>
      <w:marTop w:val="0"/>
      <w:marBottom w:val="0"/>
      <w:divBdr>
        <w:top w:val="none" w:sz="0" w:space="0" w:color="auto"/>
        <w:left w:val="none" w:sz="0" w:space="0" w:color="auto"/>
        <w:bottom w:val="none" w:sz="0" w:space="0" w:color="auto"/>
        <w:right w:val="none" w:sz="0" w:space="0" w:color="auto"/>
      </w:divBdr>
      <w:divsChild>
        <w:div w:id="1119179886">
          <w:marLeft w:val="708"/>
          <w:marRight w:val="0"/>
          <w:marTop w:val="0"/>
          <w:marBottom w:val="0"/>
          <w:divBdr>
            <w:top w:val="none" w:sz="0" w:space="0" w:color="auto"/>
            <w:left w:val="none" w:sz="0" w:space="0" w:color="auto"/>
            <w:bottom w:val="none" w:sz="0" w:space="0" w:color="auto"/>
            <w:right w:val="none" w:sz="0" w:space="0" w:color="auto"/>
          </w:divBdr>
        </w:div>
      </w:divsChild>
    </w:div>
    <w:div w:id="568149050">
      <w:bodyDiv w:val="1"/>
      <w:marLeft w:val="0"/>
      <w:marRight w:val="0"/>
      <w:marTop w:val="0"/>
      <w:marBottom w:val="0"/>
      <w:divBdr>
        <w:top w:val="none" w:sz="0" w:space="0" w:color="auto"/>
        <w:left w:val="none" w:sz="0" w:space="0" w:color="auto"/>
        <w:bottom w:val="none" w:sz="0" w:space="0" w:color="auto"/>
        <w:right w:val="none" w:sz="0" w:space="0" w:color="auto"/>
      </w:divBdr>
      <w:divsChild>
        <w:div w:id="197669615">
          <w:marLeft w:val="1285"/>
          <w:marRight w:val="146"/>
          <w:marTop w:val="0"/>
          <w:marBottom w:val="120"/>
          <w:divBdr>
            <w:top w:val="none" w:sz="0" w:space="0" w:color="auto"/>
            <w:left w:val="none" w:sz="0" w:space="0" w:color="auto"/>
            <w:bottom w:val="none" w:sz="0" w:space="0" w:color="auto"/>
            <w:right w:val="none" w:sz="0" w:space="0" w:color="auto"/>
          </w:divBdr>
        </w:div>
      </w:divsChild>
    </w:div>
    <w:div w:id="647172471">
      <w:bodyDiv w:val="1"/>
      <w:marLeft w:val="0"/>
      <w:marRight w:val="0"/>
      <w:marTop w:val="0"/>
      <w:marBottom w:val="0"/>
      <w:divBdr>
        <w:top w:val="none" w:sz="0" w:space="0" w:color="auto"/>
        <w:left w:val="none" w:sz="0" w:space="0" w:color="auto"/>
        <w:bottom w:val="none" w:sz="0" w:space="0" w:color="auto"/>
        <w:right w:val="none" w:sz="0" w:space="0" w:color="auto"/>
      </w:divBdr>
    </w:div>
    <w:div w:id="764807164">
      <w:bodyDiv w:val="1"/>
      <w:marLeft w:val="0"/>
      <w:marRight w:val="0"/>
      <w:marTop w:val="0"/>
      <w:marBottom w:val="0"/>
      <w:divBdr>
        <w:top w:val="none" w:sz="0" w:space="0" w:color="auto"/>
        <w:left w:val="none" w:sz="0" w:space="0" w:color="auto"/>
        <w:bottom w:val="none" w:sz="0" w:space="0" w:color="auto"/>
        <w:right w:val="none" w:sz="0" w:space="0" w:color="auto"/>
      </w:divBdr>
    </w:div>
    <w:div w:id="792208098">
      <w:bodyDiv w:val="1"/>
      <w:marLeft w:val="0"/>
      <w:marRight w:val="0"/>
      <w:marTop w:val="0"/>
      <w:marBottom w:val="0"/>
      <w:divBdr>
        <w:top w:val="none" w:sz="0" w:space="0" w:color="auto"/>
        <w:left w:val="none" w:sz="0" w:space="0" w:color="auto"/>
        <w:bottom w:val="none" w:sz="0" w:space="0" w:color="auto"/>
        <w:right w:val="none" w:sz="0" w:space="0" w:color="auto"/>
      </w:divBdr>
    </w:div>
    <w:div w:id="939334848">
      <w:bodyDiv w:val="1"/>
      <w:marLeft w:val="0"/>
      <w:marRight w:val="0"/>
      <w:marTop w:val="0"/>
      <w:marBottom w:val="0"/>
      <w:divBdr>
        <w:top w:val="none" w:sz="0" w:space="0" w:color="auto"/>
        <w:left w:val="none" w:sz="0" w:space="0" w:color="auto"/>
        <w:bottom w:val="none" w:sz="0" w:space="0" w:color="auto"/>
        <w:right w:val="none" w:sz="0" w:space="0" w:color="auto"/>
      </w:divBdr>
    </w:div>
    <w:div w:id="1155992380">
      <w:bodyDiv w:val="1"/>
      <w:marLeft w:val="0"/>
      <w:marRight w:val="0"/>
      <w:marTop w:val="0"/>
      <w:marBottom w:val="0"/>
      <w:divBdr>
        <w:top w:val="none" w:sz="0" w:space="0" w:color="auto"/>
        <w:left w:val="none" w:sz="0" w:space="0" w:color="auto"/>
        <w:bottom w:val="none" w:sz="0" w:space="0" w:color="auto"/>
        <w:right w:val="none" w:sz="0" w:space="0" w:color="auto"/>
      </w:divBdr>
    </w:div>
    <w:div w:id="1161309323">
      <w:bodyDiv w:val="1"/>
      <w:marLeft w:val="0"/>
      <w:marRight w:val="0"/>
      <w:marTop w:val="0"/>
      <w:marBottom w:val="0"/>
      <w:divBdr>
        <w:top w:val="none" w:sz="0" w:space="0" w:color="auto"/>
        <w:left w:val="none" w:sz="0" w:space="0" w:color="auto"/>
        <w:bottom w:val="none" w:sz="0" w:space="0" w:color="auto"/>
        <w:right w:val="none" w:sz="0" w:space="0" w:color="auto"/>
      </w:divBdr>
    </w:div>
    <w:div w:id="1191459031">
      <w:bodyDiv w:val="1"/>
      <w:marLeft w:val="0"/>
      <w:marRight w:val="0"/>
      <w:marTop w:val="0"/>
      <w:marBottom w:val="0"/>
      <w:divBdr>
        <w:top w:val="none" w:sz="0" w:space="0" w:color="auto"/>
        <w:left w:val="none" w:sz="0" w:space="0" w:color="auto"/>
        <w:bottom w:val="none" w:sz="0" w:space="0" w:color="auto"/>
        <w:right w:val="none" w:sz="0" w:space="0" w:color="auto"/>
      </w:divBdr>
    </w:div>
    <w:div w:id="1201241515">
      <w:bodyDiv w:val="1"/>
      <w:marLeft w:val="0"/>
      <w:marRight w:val="0"/>
      <w:marTop w:val="0"/>
      <w:marBottom w:val="0"/>
      <w:divBdr>
        <w:top w:val="none" w:sz="0" w:space="0" w:color="auto"/>
        <w:left w:val="none" w:sz="0" w:space="0" w:color="auto"/>
        <w:bottom w:val="none" w:sz="0" w:space="0" w:color="auto"/>
        <w:right w:val="none" w:sz="0" w:space="0" w:color="auto"/>
      </w:divBdr>
    </w:div>
    <w:div w:id="1533953151">
      <w:bodyDiv w:val="1"/>
      <w:marLeft w:val="0"/>
      <w:marRight w:val="0"/>
      <w:marTop w:val="0"/>
      <w:marBottom w:val="0"/>
      <w:divBdr>
        <w:top w:val="none" w:sz="0" w:space="0" w:color="auto"/>
        <w:left w:val="none" w:sz="0" w:space="0" w:color="auto"/>
        <w:bottom w:val="none" w:sz="0" w:space="0" w:color="auto"/>
        <w:right w:val="none" w:sz="0" w:space="0" w:color="auto"/>
      </w:divBdr>
    </w:div>
    <w:div w:id="1577975810">
      <w:bodyDiv w:val="1"/>
      <w:marLeft w:val="0"/>
      <w:marRight w:val="0"/>
      <w:marTop w:val="0"/>
      <w:marBottom w:val="0"/>
      <w:divBdr>
        <w:top w:val="none" w:sz="0" w:space="0" w:color="auto"/>
        <w:left w:val="none" w:sz="0" w:space="0" w:color="auto"/>
        <w:bottom w:val="none" w:sz="0" w:space="0" w:color="auto"/>
        <w:right w:val="none" w:sz="0" w:space="0" w:color="auto"/>
      </w:divBdr>
    </w:div>
    <w:div w:id="1746147327">
      <w:bodyDiv w:val="1"/>
      <w:marLeft w:val="0"/>
      <w:marRight w:val="0"/>
      <w:marTop w:val="0"/>
      <w:marBottom w:val="0"/>
      <w:divBdr>
        <w:top w:val="none" w:sz="0" w:space="0" w:color="auto"/>
        <w:left w:val="none" w:sz="0" w:space="0" w:color="auto"/>
        <w:bottom w:val="none" w:sz="0" w:space="0" w:color="auto"/>
        <w:right w:val="none" w:sz="0" w:space="0" w:color="auto"/>
      </w:divBdr>
    </w:div>
    <w:div w:id="1804808763">
      <w:bodyDiv w:val="1"/>
      <w:marLeft w:val="0"/>
      <w:marRight w:val="0"/>
      <w:marTop w:val="0"/>
      <w:marBottom w:val="0"/>
      <w:divBdr>
        <w:top w:val="none" w:sz="0" w:space="0" w:color="auto"/>
        <w:left w:val="none" w:sz="0" w:space="0" w:color="auto"/>
        <w:bottom w:val="none" w:sz="0" w:space="0" w:color="auto"/>
        <w:right w:val="none" w:sz="0" w:space="0" w:color="auto"/>
      </w:divBdr>
    </w:div>
    <w:div w:id="1810171541">
      <w:bodyDiv w:val="1"/>
      <w:marLeft w:val="0"/>
      <w:marRight w:val="0"/>
      <w:marTop w:val="0"/>
      <w:marBottom w:val="0"/>
      <w:divBdr>
        <w:top w:val="none" w:sz="0" w:space="0" w:color="auto"/>
        <w:left w:val="none" w:sz="0" w:space="0" w:color="auto"/>
        <w:bottom w:val="none" w:sz="0" w:space="0" w:color="auto"/>
        <w:right w:val="none" w:sz="0" w:space="0" w:color="auto"/>
      </w:divBdr>
      <w:divsChild>
        <w:div w:id="1217475392">
          <w:marLeft w:val="0"/>
          <w:marRight w:val="0"/>
          <w:marTop w:val="0"/>
          <w:marBottom w:val="0"/>
          <w:divBdr>
            <w:top w:val="none" w:sz="0" w:space="0" w:color="auto"/>
            <w:left w:val="none" w:sz="0" w:space="0" w:color="auto"/>
            <w:bottom w:val="none" w:sz="0" w:space="0" w:color="auto"/>
            <w:right w:val="none" w:sz="0" w:space="0" w:color="auto"/>
          </w:divBdr>
        </w:div>
        <w:div w:id="1185628931">
          <w:marLeft w:val="0"/>
          <w:marRight w:val="0"/>
          <w:marTop w:val="0"/>
          <w:marBottom w:val="0"/>
          <w:divBdr>
            <w:top w:val="none" w:sz="0" w:space="0" w:color="auto"/>
            <w:left w:val="none" w:sz="0" w:space="0" w:color="auto"/>
            <w:bottom w:val="none" w:sz="0" w:space="0" w:color="auto"/>
            <w:right w:val="none" w:sz="0" w:space="0" w:color="auto"/>
          </w:divBdr>
        </w:div>
        <w:div w:id="1677073847">
          <w:marLeft w:val="0"/>
          <w:marRight w:val="0"/>
          <w:marTop w:val="0"/>
          <w:marBottom w:val="0"/>
          <w:divBdr>
            <w:top w:val="none" w:sz="0" w:space="0" w:color="auto"/>
            <w:left w:val="none" w:sz="0" w:space="0" w:color="auto"/>
            <w:bottom w:val="none" w:sz="0" w:space="0" w:color="auto"/>
            <w:right w:val="none" w:sz="0" w:space="0" w:color="auto"/>
          </w:divBdr>
        </w:div>
        <w:div w:id="2042171866">
          <w:marLeft w:val="0"/>
          <w:marRight w:val="0"/>
          <w:marTop w:val="0"/>
          <w:marBottom w:val="0"/>
          <w:divBdr>
            <w:top w:val="none" w:sz="0" w:space="0" w:color="auto"/>
            <w:left w:val="none" w:sz="0" w:space="0" w:color="auto"/>
            <w:bottom w:val="none" w:sz="0" w:space="0" w:color="auto"/>
            <w:right w:val="none" w:sz="0" w:space="0" w:color="auto"/>
          </w:divBdr>
        </w:div>
      </w:divsChild>
    </w:div>
    <w:div w:id="1859199138">
      <w:bodyDiv w:val="1"/>
      <w:marLeft w:val="0"/>
      <w:marRight w:val="0"/>
      <w:marTop w:val="0"/>
      <w:marBottom w:val="0"/>
      <w:divBdr>
        <w:top w:val="none" w:sz="0" w:space="0" w:color="auto"/>
        <w:left w:val="none" w:sz="0" w:space="0" w:color="auto"/>
        <w:bottom w:val="none" w:sz="0" w:space="0" w:color="auto"/>
        <w:right w:val="none" w:sz="0" w:space="0" w:color="auto"/>
      </w:divBdr>
    </w:div>
    <w:div w:id="1896232080">
      <w:bodyDiv w:val="1"/>
      <w:marLeft w:val="0"/>
      <w:marRight w:val="0"/>
      <w:marTop w:val="0"/>
      <w:marBottom w:val="0"/>
      <w:divBdr>
        <w:top w:val="none" w:sz="0" w:space="0" w:color="auto"/>
        <w:left w:val="none" w:sz="0" w:space="0" w:color="auto"/>
        <w:bottom w:val="none" w:sz="0" w:space="0" w:color="auto"/>
        <w:right w:val="none" w:sz="0" w:space="0" w:color="auto"/>
      </w:divBdr>
    </w:div>
    <w:div w:id="2081900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oleObject" Target="embeddings/oleObject3.bin"/><Relationship Id="rId47" Type="http://schemas.openxmlformats.org/officeDocument/2006/relationships/header" Target="header5.xml"/><Relationship Id="rId63" Type="http://schemas.openxmlformats.org/officeDocument/2006/relationships/header" Target="header9.xml"/><Relationship Id="rId68" Type="http://schemas.openxmlformats.org/officeDocument/2006/relationships/image" Target="media/image34.png"/><Relationship Id="rId84" Type="http://schemas.openxmlformats.org/officeDocument/2006/relationships/image" Target="media/image50.png"/><Relationship Id="rId89"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7.png"/><Relationship Id="rId107" Type="http://schemas.openxmlformats.org/officeDocument/2006/relationships/theme" Target="theme/theme1.xml"/><Relationship Id="rId11" Type="http://schemas.openxmlformats.org/officeDocument/2006/relationships/image" Target="media/image4.gi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wmf"/><Relationship Id="rId40" Type="http://schemas.openxmlformats.org/officeDocument/2006/relationships/oleObject" Target="embeddings/oleObject2.bin"/><Relationship Id="rId45" Type="http://schemas.openxmlformats.org/officeDocument/2006/relationships/image" Target="media/image28.wmf"/><Relationship Id="rId53" Type="http://schemas.openxmlformats.org/officeDocument/2006/relationships/footer" Target="footer5.xml"/><Relationship Id="rId58" Type="http://schemas.openxmlformats.org/officeDocument/2006/relationships/oleObject" Target="embeddings/oleObject7.bin"/><Relationship Id="rId66" Type="http://schemas.openxmlformats.org/officeDocument/2006/relationships/footer" Target="footer8.xml"/><Relationship Id="rId74" Type="http://schemas.openxmlformats.org/officeDocument/2006/relationships/image" Target="media/image40.png"/><Relationship Id="rId79" Type="http://schemas.openxmlformats.org/officeDocument/2006/relationships/image" Target="media/image45.png"/><Relationship Id="rId87" Type="http://schemas.openxmlformats.org/officeDocument/2006/relationships/image" Target="media/image53.png"/><Relationship Id="rId102" Type="http://schemas.openxmlformats.org/officeDocument/2006/relationships/footer" Target="footer12.xml"/><Relationship Id="rId5" Type="http://schemas.openxmlformats.org/officeDocument/2006/relationships/webSettings" Target="webSettings.xml"/><Relationship Id="rId61" Type="http://schemas.openxmlformats.org/officeDocument/2006/relationships/image" Target="media/image32.wmf"/><Relationship Id="rId82" Type="http://schemas.openxmlformats.org/officeDocument/2006/relationships/image" Target="media/image48.png"/><Relationship Id="rId90" Type="http://schemas.openxmlformats.org/officeDocument/2006/relationships/image" Target="media/image56.png"/><Relationship Id="rId95" Type="http://schemas.openxmlformats.org/officeDocument/2006/relationships/header" Target="header12.xml"/><Relationship Id="rId19" Type="http://schemas.openxmlformats.org/officeDocument/2006/relationships/image" Target="media/image7.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gif"/><Relationship Id="rId35" Type="http://schemas.openxmlformats.org/officeDocument/2006/relationships/image" Target="media/image23.png"/><Relationship Id="rId43" Type="http://schemas.openxmlformats.org/officeDocument/2006/relationships/image" Target="media/image27.wmf"/><Relationship Id="rId48" Type="http://schemas.openxmlformats.org/officeDocument/2006/relationships/header" Target="header6.xml"/><Relationship Id="rId56" Type="http://schemas.openxmlformats.org/officeDocument/2006/relationships/oleObject" Target="embeddings/oleObject6.bin"/><Relationship Id="rId64" Type="http://schemas.openxmlformats.org/officeDocument/2006/relationships/header" Target="header10.xml"/><Relationship Id="rId69" Type="http://schemas.openxmlformats.org/officeDocument/2006/relationships/image" Target="media/image35.png"/><Relationship Id="rId77" Type="http://schemas.openxmlformats.org/officeDocument/2006/relationships/image" Target="media/image43.png"/><Relationship Id="rId100" Type="http://schemas.openxmlformats.org/officeDocument/2006/relationships/header" Target="header15.xml"/><Relationship Id="rId105" Type="http://schemas.openxmlformats.org/officeDocument/2006/relationships/footer" Target="footer14.xml"/><Relationship Id="rId8" Type="http://schemas.openxmlformats.org/officeDocument/2006/relationships/image" Target="media/image1.jpeg"/><Relationship Id="rId51" Type="http://schemas.openxmlformats.org/officeDocument/2006/relationships/header" Target="header7.xml"/><Relationship Id="rId72" Type="http://schemas.openxmlformats.org/officeDocument/2006/relationships/image" Target="media/image38.png"/><Relationship Id="rId80" Type="http://schemas.openxmlformats.org/officeDocument/2006/relationships/image" Target="media/image46.png"/><Relationship Id="rId85" Type="http://schemas.openxmlformats.org/officeDocument/2006/relationships/image" Target="media/image51.png"/><Relationship Id="rId93" Type="http://schemas.openxmlformats.org/officeDocument/2006/relationships/image" Target="media/image59.jpeg"/><Relationship Id="rId98" Type="http://schemas.openxmlformats.org/officeDocument/2006/relationships/header" Target="header13.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oleObject" Target="embeddings/oleObject1.bin"/><Relationship Id="rId46" Type="http://schemas.openxmlformats.org/officeDocument/2006/relationships/oleObject" Target="embeddings/oleObject5.bin"/><Relationship Id="rId59" Type="http://schemas.openxmlformats.org/officeDocument/2006/relationships/image" Target="media/image31.wmf"/><Relationship Id="rId67" Type="http://schemas.openxmlformats.org/officeDocument/2006/relationships/image" Target="media/image33.png"/><Relationship Id="rId103" Type="http://schemas.openxmlformats.org/officeDocument/2006/relationships/header" Target="header16.xml"/><Relationship Id="rId20" Type="http://schemas.openxmlformats.org/officeDocument/2006/relationships/image" Target="media/image8.png"/><Relationship Id="rId41" Type="http://schemas.openxmlformats.org/officeDocument/2006/relationships/image" Target="media/image26.wmf"/><Relationship Id="rId54" Type="http://schemas.openxmlformats.org/officeDocument/2006/relationships/footer" Target="footer6.xml"/><Relationship Id="rId62" Type="http://schemas.openxmlformats.org/officeDocument/2006/relationships/oleObject" Target="embeddings/oleObject9.bin"/><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image" Target="media/image49.png"/><Relationship Id="rId88" Type="http://schemas.openxmlformats.org/officeDocument/2006/relationships/image" Target="media/image54.png"/><Relationship Id="rId91" Type="http://schemas.openxmlformats.org/officeDocument/2006/relationships/image" Target="media/image57.png"/><Relationship Id="rId96"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4.xml"/><Relationship Id="rId49" Type="http://schemas.openxmlformats.org/officeDocument/2006/relationships/footer" Target="footer3.xml"/><Relationship Id="rId57" Type="http://schemas.openxmlformats.org/officeDocument/2006/relationships/image" Target="media/image30.wmf"/><Relationship Id="rId106" Type="http://schemas.openxmlformats.org/officeDocument/2006/relationships/fontTable" Target="fontTable.xml"/><Relationship Id="rId10" Type="http://schemas.openxmlformats.org/officeDocument/2006/relationships/image" Target="media/image3.gif"/><Relationship Id="rId31" Type="http://schemas.openxmlformats.org/officeDocument/2006/relationships/image" Target="media/image19.png"/><Relationship Id="rId44" Type="http://schemas.openxmlformats.org/officeDocument/2006/relationships/oleObject" Target="embeddings/oleObject4.bin"/><Relationship Id="rId52" Type="http://schemas.openxmlformats.org/officeDocument/2006/relationships/header" Target="header8.xml"/><Relationship Id="rId60" Type="http://schemas.openxmlformats.org/officeDocument/2006/relationships/oleObject" Target="embeddings/oleObject8.bin"/><Relationship Id="rId65" Type="http://schemas.openxmlformats.org/officeDocument/2006/relationships/footer" Target="footer7.xml"/><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image" Target="media/image52.png"/><Relationship Id="rId94" Type="http://schemas.openxmlformats.org/officeDocument/2006/relationships/header" Target="header11.xml"/><Relationship Id="rId99" Type="http://schemas.openxmlformats.org/officeDocument/2006/relationships/header" Target="header14.xml"/><Relationship Id="rId10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header" Target="header2.xml"/><Relationship Id="rId18" Type="http://schemas.openxmlformats.org/officeDocument/2006/relationships/image" Target="media/image6.png"/><Relationship Id="rId39" Type="http://schemas.openxmlformats.org/officeDocument/2006/relationships/image" Target="media/image25.wmf"/><Relationship Id="rId34" Type="http://schemas.openxmlformats.org/officeDocument/2006/relationships/image" Target="media/image22.png"/><Relationship Id="rId50" Type="http://schemas.openxmlformats.org/officeDocument/2006/relationships/footer" Target="footer4.xml"/><Relationship Id="rId55" Type="http://schemas.openxmlformats.org/officeDocument/2006/relationships/image" Target="media/image29.wmf"/><Relationship Id="rId76" Type="http://schemas.openxmlformats.org/officeDocument/2006/relationships/image" Target="media/image42.png"/><Relationship Id="rId97" Type="http://schemas.openxmlformats.org/officeDocument/2006/relationships/footer" Target="footer10.xml"/><Relationship Id="rId104" Type="http://schemas.openxmlformats.org/officeDocument/2006/relationships/footer" Target="footer13.xml"/></Relationships>
</file>

<file path=word/_rels/footnotes.xml.rels><?xml version="1.0" encoding="UTF-8" standalone="yes"?>
<Relationships xmlns="http://schemas.openxmlformats.org/package/2006/relationships"><Relationship Id="rId3" Type="http://schemas.openxmlformats.org/officeDocument/2006/relationships/hyperlink" Target="https://www.cesni.eu/de/documents/es-trin/" TargetMode="External"/><Relationship Id="rId2" Type="http://schemas.openxmlformats.org/officeDocument/2006/relationships/hyperlink" Target="https://www.cesni.eu/de/documents/es-trin/" TargetMode="External"/><Relationship Id="rId1" Type="http://schemas.openxmlformats.org/officeDocument/2006/relationships/hyperlink" Target="https://www.cesni.eu/de/documents/es-trin/" TargetMode="External"/><Relationship Id="rId4" Type="http://schemas.openxmlformats.org/officeDocument/2006/relationships/hyperlink" Target="https://www.cesni.eu/de/documents/es-tr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E7824-BBC0-4F41-8936-BCFA823DF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55865</Words>
  <Characters>318434</Characters>
  <Application>Microsoft Office Word</Application>
  <DocSecurity>4</DocSecurity>
  <Lines>2653</Lines>
  <Paragraphs>747</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ECE-ISU</Company>
  <LinksUpToDate>false</LinksUpToDate>
  <CharactersWithSpaces>373552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Caillot</dc:creator>
  <cp:lastModifiedBy>ECE-ADN-45 eng</cp:lastModifiedBy>
  <cp:revision>2</cp:revision>
  <cp:lastPrinted>2018-06-14T05:45:00Z</cp:lastPrinted>
  <dcterms:created xsi:type="dcterms:W3CDTF">2018-06-29T15:16:00Z</dcterms:created>
  <dcterms:modified xsi:type="dcterms:W3CDTF">2018-06-29T15:16:00Z</dcterms:modified>
</cp:coreProperties>
</file>