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9E3493">
              <w:rPr>
                <w:b/>
                <w:sz w:val="40"/>
                <w:szCs w:val="40"/>
              </w:rPr>
              <w:t>4</w:t>
            </w:r>
            <w:r w:rsidR="006F7D63">
              <w:rPr>
                <w:b/>
                <w:sz w:val="40"/>
                <w:szCs w:val="40"/>
              </w:rPr>
              <w:t>4</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6F7D63">
              <w:rPr>
                <w:b/>
                <w:lang w:val="en-US"/>
              </w:rPr>
              <w:t>6</w:t>
            </w:r>
            <w:r w:rsidR="00165248">
              <w:rPr>
                <w:b/>
                <w:lang w:val="en-US"/>
              </w:rPr>
              <w:t xml:space="preserve">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4E4C5A">
            <w:r w:rsidRPr="006E39A4">
              <w:t xml:space="preserve">Item </w:t>
            </w:r>
            <w:r w:rsidR="006F7D63">
              <w:t>4 (d)</w:t>
            </w:r>
            <w:r>
              <w:t xml:space="preserve"> </w:t>
            </w:r>
            <w:r w:rsidRPr="006E39A4">
              <w:t>of the provisional agenda</w:t>
            </w:r>
          </w:p>
          <w:p w:rsidR="00EF0D81" w:rsidRPr="006F7D63" w:rsidRDefault="006F7D63" w:rsidP="00DD2153">
            <w:pPr>
              <w:ind w:right="4395"/>
              <w:rPr>
                <w:b/>
                <w:bCs/>
              </w:rPr>
            </w:pPr>
            <w:r w:rsidRPr="006F7D63">
              <w:rPr>
                <w:b/>
                <w:bCs/>
              </w:rPr>
              <w:t>Hazard communication: other issues</w:t>
            </w:r>
          </w:p>
          <w:p w:rsidR="00EF0D81" w:rsidRDefault="00EF0D81" w:rsidP="000D5782">
            <w:pPr>
              <w:spacing w:line="240" w:lineRule="exact"/>
            </w:pPr>
          </w:p>
        </w:tc>
      </w:tr>
    </w:tbl>
    <w:p w:rsidR="006F7D63" w:rsidRDefault="006F7D63" w:rsidP="006F7D63">
      <w:pPr>
        <w:pStyle w:val="HChG"/>
      </w:pPr>
      <w:r>
        <w:tab/>
      </w:r>
      <w:r>
        <w:tab/>
        <w:t>Corrections to Annex 4 Section 9 "Physical and chemical properties and safety characteristics"</w:t>
      </w:r>
      <w:r w:rsidR="00E81D62">
        <w:t xml:space="preserve"> – Revision of ST/SG/AC.10/C.4/2018/27</w:t>
      </w:r>
    </w:p>
    <w:p w:rsidR="006F7D63" w:rsidRDefault="006F7D63" w:rsidP="006F7D63">
      <w:pPr>
        <w:pStyle w:val="H1G"/>
      </w:pPr>
      <w:r>
        <w:tab/>
      </w:r>
      <w:r>
        <w:tab/>
        <w:t>Transmitted by the expert from Germany and Sweden</w:t>
      </w:r>
    </w:p>
    <w:p w:rsidR="006F7D63" w:rsidRDefault="006F7D63" w:rsidP="006F7D63">
      <w:pPr>
        <w:pStyle w:val="SingleTxtG"/>
        <w:rPr>
          <w:lang w:val="en-US"/>
        </w:rPr>
      </w:pPr>
      <w:r>
        <w:rPr>
          <w:lang w:val="en-US"/>
        </w:rPr>
        <w:t>1.</w:t>
      </w:r>
      <w:r>
        <w:rPr>
          <w:lang w:val="en-US"/>
        </w:rPr>
        <w:tab/>
        <w:t>Currently, the revised Section 9 for the Safety Data Sheets (SDS) (which was introduced in the GHS with the sixth revised edition from 2015) is implemented in Europe in Annex II to the Regulation (EC) No 1907/2006 of the European parliament and of the Council concerning the Registration, Evaluation, Authorisation and Restriction of Chemicals (REACH). In the course of this work, it was found that the equations in two entries are formally not correct. These mistakes concern proper statement of units only and do not compromise the outcome. However, the equations should also be formally correct. Furthermore, at one place the word energy was used instead of the word temperature and should be corrected.</w:t>
      </w:r>
    </w:p>
    <w:p w:rsidR="006F7D63" w:rsidRDefault="006F7D63" w:rsidP="006F7D63">
      <w:pPr>
        <w:pStyle w:val="SingleTxtG"/>
        <w:rPr>
          <w:lang w:val="en-US"/>
        </w:rPr>
      </w:pPr>
      <w:r>
        <w:rPr>
          <w:lang w:val="en-US"/>
        </w:rPr>
        <w:t>2.</w:t>
      </w:r>
      <w:r>
        <w:rPr>
          <w:lang w:val="en-US"/>
        </w:rPr>
        <w:tab/>
        <w:t xml:space="preserve">The Sub-Committee is requested to consider the proposals as shown in paragraph 3, 4 and 5. Additions are </w:t>
      </w:r>
      <w:r>
        <w:rPr>
          <w:b/>
          <w:bCs/>
          <w:u w:val="single"/>
          <w:lang w:val="en-US"/>
        </w:rPr>
        <w:t>bold underlined</w:t>
      </w:r>
      <w:r>
        <w:rPr>
          <w:lang w:val="en-US"/>
        </w:rPr>
        <w:t xml:space="preserve">, deletions are </w:t>
      </w:r>
      <w:r>
        <w:rPr>
          <w:strike/>
          <w:lang w:val="en-US"/>
        </w:rPr>
        <w:t>striken through</w:t>
      </w:r>
      <w:r>
        <w:rPr>
          <w:lang w:val="en-US"/>
        </w:rPr>
        <w:t>.</w:t>
      </w:r>
    </w:p>
    <w:p w:rsidR="006F7D63" w:rsidRDefault="006F7D63" w:rsidP="006F7D63">
      <w:pPr>
        <w:suppressAutoHyphens w:val="0"/>
        <w:spacing w:line="240" w:lineRule="auto"/>
        <w:rPr>
          <w:lang w:val="en-US"/>
        </w:rPr>
      </w:pPr>
      <w:r>
        <w:rPr>
          <w:lang w:val="en-US"/>
        </w:rPr>
        <w:br w:type="page"/>
      </w:r>
    </w:p>
    <w:p w:rsidR="006F7D63" w:rsidRDefault="006F7D63" w:rsidP="006F7D63">
      <w:pPr>
        <w:pStyle w:val="SingleTxtG"/>
        <w:spacing w:before="240"/>
        <w:rPr>
          <w:lang w:val="en-US"/>
        </w:rPr>
      </w:pPr>
      <w:r>
        <w:rPr>
          <w:lang w:val="en-US"/>
        </w:rPr>
        <w:lastRenderedPageBreak/>
        <w:t>3.</w:t>
      </w:r>
      <w:r>
        <w:rPr>
          <w:lang w:val="en-US"/>
        </w:rPr>
        <w:tab/>
        <w:t>In Table A4.3.9.1 in the entry "Vapour pressure" correct the sixth indent as follows: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7830"/>
      </w:tblGrid>
      <w:tr w:rsidR="006F7D63" w:rsidTr="006F7D63">
        <w:trPr>
          <w:cantSplit/>
          <w:jc w:val="center"/>
        </w:trPr>
        <w:tc>
          <w:tcPr>
            <w:tcW w:w="181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6F7D63" w:rsidRDefault="006F7D63">
            <w:pPr>
              <w:suppressAutoHyphens w:val="0"/>
              <w:autoSpaceDE w:val="0"/>
              <w:autoSpaceDN w:val="0"/>
              <w:adjustRightInd w:val="0"/>
              <w:spacing w:before="40" w:after="20"/>
              <w:rPr>
                <w:lang w:eastAsia="de-DE"/>
              </w:rPr>
            </w:pPr>
            <w:r>
              <w:rPr>
                <w:lang w:eastAsia="de-DE"/>
              </w:rPr>
              <w:t>Vapour pressure</w:t>
            </w:r>
          </w:p>
        </w:tc>
        <w:tc>
          <w:tcPr>
            <w:tcW w:w="782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6F7D63" w:rsidRDefault="006F7D63">
            <w:pPr>
              <w:suppressAutoHyphens w:val="0"/>
              <w:spacing w:before="40" w:after="20"/>
              <w:ind w:left="284" w:hanging="284"/>
              <w:rPr>
                <w:lang w:eastAsia="de-DE"/>
              </w:rPr>
            </w:pPr>
            <w:r>
              <w:rPr>
                <w:lang w:eastAsia="de-DE"/>
              </w:rPr>
              <w:t>…</w:t>
            </w:r>
          </w:p>
          <w:p w:rsidR="006F7D63" w:rsidRDefault="006F7D63">
            <w:pPr>
              <w:suppressAutoHyphens w:val="0"/>
              <w:spacing w:before="40" w:after="40"/>
              <w:ind w:left="284" w:hanging="284"/>
              <w:rPr>
                <w:lang w:eastAsia="de-DE"/>
              </w:rPr>
            </w:pPr>
            <w:r>
              <w:rPr>
                <w:lang w:eastAsia="de-DE"/>
              </w:rPr>
              <w:t>−</w:t>
            </w:r>
            <w:r>
              <w:rPr>
                <w:lang w:eastAsia="de-DE"/>
              </w:rPr>
              <w:tab/>
              <w:t>the saturated vapour concentration (</w:t>
            </w:r>
            <w:r>
              <w:rPr>
                <w:i/>
                <w:lang w:eastAsia="de-DE"/>
              </w:rPr>
              <w:t>SVC</w:t>
            </w:r>
            <w:r>
              <w:rPr>
                <w:lang w:eastAsia="de-DE"/>
              </w:rPr>
              <w:t xml:space="preserve">) </w:t>
            </w:r>
            <w:r>
              <w:rPr>
                <w:b/>
                <w:bCs/>
                <w:u w:val="single"/>
                <w:lang w:eastAsia="en-GB"/>
              </w:rPr>
              <w:t>in ml/m</w:t>
            </w:r>
            <w:r>
              <w:rPr>
                <w:b/>
                <w:bCs/>
                <w:u w:val="single"/>
                <w:vertAlign w:val="superscript"/>
                <w:lang w:eastAsia="en-GB"/>
              </w:rPr>
              <w:t>3</w:t>
            </w:r>
            <w:r>
              <w:rPr>
                <w:b/>
                <w:bCs/>
                <w:u w:val="single"/>
                <w:lang w:eastAsia="en-GB"/>
              </w:rPr>
              <w:t xml:space="preserve"> or in g/m</w:t>
            </w:r>
            <w:r>
              <w:rPr>
                <w:b/>
                <w:bCs/>
                <w:u w:val="single"/>
                <w:vertAlign w:val="superscript"/>
                <w:lang w:eastAsia="en-GB"/>
              </w:rPr>
              <w:t>3</w:t>
            </w:r>
            <w:r>
              <w:rPr>
                <w:b/>
                <w:bCs/>
                <w:u w:val="single"/>
                <w:lang w:eastAsia="en-GB"/>
              </w:rPr>
              <w:t xml:space="preserve"> (=mg/l)</w:t>
            </w:r>
            <w:r>
              <w:rPr>
                <w:sz w:val="24"/>
                <w:szCs w:val="24"/>
                <w:lang w:eastAsia="en-GB"/>
              </w:rPr>
              <w:t xml:space="preserve"> </w:t>
            </w:r>
            <w:r>
              <w:rPr>
                <w:lang w:eastAsia="de-DE"/>
              </w:rPr>
              <w:t>may be indicated in addition. The saturated vapour concentration can be estimated as follows:</w:t>
            </w:r>
          </w:p>
          <w:p w:rsidR="006F7D63" w:rsidRDefault="006F7D63">
            <w:pPr>
              <w:suppressAutoHyphens w:val="0"/>
              <w:spacing w:before="20" w:after="40"/>
              <w:ind w:left="284"/>
              <w:rPr>
                <w:strike/>
                <w:lang w:eastAsia="de-DE"/>
              </w:rPr>
            </w:pPr>
            <m:oMathPara>
              <m:oMathParaPr>
                <m:jc m:val="left"/>
              </m:oMathParaPr>
              <m:oMath>
                <m:r>
                  <m:rPr>
                    <m:sty m:val="p"/>
                  </m:rPr>
                  <w:rPr>
                    <w:rFonts w:ascii="Cambria Math" w:hAnsi="Cambria Math"/>
                    <w:strike/>
                  </w:rPr>
                  <m:t>SVC (in ml/</m:t>
                </m:r>
                <m:sSup>
                  <m:sSupPr>
                    <m:ctrlPr>
                      <w:rPr>
                        <w:rFonts w:ascii="Cambria Math" w:eastAsia="Calibri" w:hAnsi="Cambria Math"/>
                        <w:strike/>
                        <w:lang w:val="de-DE"/>
                      </w:rPr>
                    </m:ctrlPr>
                  </m:sSupPr>
                  <m:e>
                    <m:r>
                      <m:rPr>
                        <m:sty m:val="p"/>
                      </m:rPr>
                      <w:rPr>
                        <w:rFonts w:ascii="Cambria Math" w:hAnsi="Cambria Math"/>
                        <w:strike/>
                      </w:rPr>
                      <m:t>m</m:t>
                    </m:r>
                  </m:e>
                  <m:sup>
                    <m:r>
                      <m:rPr>
                        <m:sty m:val="p"/>
                      </m:rPr>
                      <w:rPr>
                        <w:rFonts w:ascii="Cambria Math" w:hAnsi="Cambria Math"/>
                        <w:strike/>
                      </w:rPr>
                      <m:t>3</m:t>
                    </m:r>
                  </m:sup>
                </m:sSup>
                <m:r>
                  <m:rPr>
                    <m:sty m:val="p"/>
                  </m:rPr>
                  <w:rPr>
                    <w:rFonts w:ascii="Cambria Math" w:hAnsi="Cambria Math"/>
                    <w:strike/>
                  </w:rPr>
                  <m:t>)=VP(in hPa=mbar)∙987.2</m:t>
                </m:r>
              </m:oMath>
            </m:oMathPara>
          </w:p>
          <w:p w:rsidR="006F7D63" w:rsidRDefault="006F7D63">
            <w:pPr>
              <w:suppressAutoHyphens w:val="0"/>
              <w:spacing w:before="20" w:after="40"/>
              <w:ind w:left="284"/>
              <w:rPr>
                <w:strike/>
                <w:lang w:eastAsia="de-DE"/>
              </w:rPr>
            </w:pPr>
            <m:oMathPara>
              <m:oMathParaPr>
                <m:jc m:val="left"/>
              </m:oMathParaPr>
              <m:oMath>
                <m:r>
                  <m:rPr>
                    <m:sty m:val="p"/>
                  </m:rPr>
                  <w:rPr>
                    <w:rFonts w:ascii="Cambria Math" w:hAnsi="Cambria Math"/>
                    <w:strike/>
                  </w:rPr>
                  <m:t>SVC (in mg/l)=VP(in hPa=mbar)∙MW∙0.0412</m:t>
                </m:r>
              </m:oMath>
            </m:oMathPara>
          </w:p>
          <w:p w:rsidR="006F7D63" w:rsidRDefault="006F7D63">
            <w:pPr>
              <w:tabs>
                <w:tab w:val="left" w:pos="1985"/>
              </w:tabs>
              <w:suppressAutoHyphens w:val="0"/>
              <w:spacing w:before="20" w:after="40"/>
              <w:ind w:left="284"/>
              <w:rPr>
                <w:b/>
                <w:bCs/>
                <w:u w:val="single"/>
              </w:rPr>
            </w:pPr>
            <w:r>
              <w:rPr>
                <w:b/>
                <w:bCs/>
                <w:i/>
                <w:u w:val="single"/>
              </w:rPr>
              <w:t>SVC</w:t>
            </w:r>
            <w:r>
              <w:rPr>
                <w:b/>
                <w:bCs/>
                <w:u w:val="single"/>
              </w:rPr>
              <w:t xml:space="preserve"> in ml/m</w:t>
            </w:r>
            <w:r>
              <w:rPr>
                <w:b/>
                <w:bCs/>
                <w:u w:val="single"/>
                <w:vertAlign w:val="superscript"/>
              </w:rPr>
              <w:t>3</w:t>
            </w:r>
            <w:r>
              <w:rPr>
                <w:b/>
                <w:bCs/>
                <w:u w:val="single"/>
              </w:rPr>
              <w:t>:</w:t>
            </w:r>
            <w:r>
              <w:rPr>
                <w:b/>
                <w:bCs/>
                <w:u w:val="single"/>
              </w:rPr>
              <w:tab/>
            </w:r>
            <m:oMath>
              <m:r>
                <m:rPr>
                  <m:sty m:val="bi"/>
                </m:rPr>
                <w:rPr>
                  <w:rFonts w:ascii="Cambria Math" w:hAnsi="Cambria Math"/>
                  <w:u w:val="single"/>
                </w:rPr>
                <m:t>SVC</m:t>
              </m:r>
              <m:r>
                <m:rPr>
                  <m:sty m:val="b"/>
                </m:rPr>
                <w:rPr>
                  <w:rFonts w:ascii="Cambria Math" w:hAnsi="Cambria Math"/>
                  <w:u w:val="single"/>
                </w:rPr>
                <m:t>=</m:t>
              </m:r>
              <m:r>
                <m:rPr>
                  <m:sty m:val="bi"/>
                </m:rPr>
                <w:rPr>
                  <w:rFonts w:ascii="Cambria Math" w:hAnsi="Cambria Math"/>
                  <w:u w:val="single"/>
                </w:rPr>
                <m:t>VP</m:t>
              </m:r>
              <m:r>
                <m:rPr>
                  <m:sty m:val="b"/>
                </m:rPr>
                <w:rPr>
                  <w:rFonts w:ascii="Cambria Math" w:hAnsi="Cambria Math"/>
                  <w:u w:val="single"/>
                </w:rPr>
                <m:t>∙c1</m:t>
              </m:r>
            </m:oMath>
            <w:r>
              <w:rPr>
                <w:b/>
                <w:bCs/>
                <w:u w:val="single"/>
              </w:rPr>
              <w:t xml:space="preserve"> </w:t>
            </w:r>
          </w:p>
          <w:p w:rsidR="006F7D63" w:rsidRDefault="006F7D63">
            <w:pPr>
              <w:tabs>
                <w:tab w:val="left" w:pos="1985"/>
              </w:tabs>
              <w:suppressAutoHyphens w:val="0"/>
              <w:spacing w:before="20" w:after="40"/>
              <w:ind w:left="284"/>
              <w:rPr>
                <w:b/>
                <w:bCs/>
                <w:u w:val="single"/>
              </w:rPr>
            </w:pPr>
            <w:r>
              <w:rPr>
                <w:b/>
                <w:bCs/>
                <w:i/>
                <w:u w:val="single"/>
              </w:rPr>
              <w:t>SVC</w:t>
            </w:r>
            <w:r>
              <w:rPr>
                <w:b/>
                <w:bCs/>
                <w:u w:val="single"/>
              </w:rPr>
              <w:t xml:space="preserve"> in g/m</w:t>
            </w:r>
            <w:r>
              <w:rPr>
                <w:b/>
                <w:bCs/>
                <w:u w:val="single"/>
                <w:vertAlign w:val="superscript"/>
              </w:rPr>
              <w:t>3</w:t>
            </w:r>
            <w:r>
              <w:rPr>
                <w:b/>
                <w:bCs/>
                <w:u w:val="single"/>
              </w:rPr>
              <w:t>:</w:t>
            </w:r>
            <w:r>
              <w:rPr>
                <w:b/>
                <w:bCs/>
                <w:u w:val="single"/>
              </w:rPr>
              <w:tab/>
            </w:r>
            <m:oMath>
              <m:r>
                <m:rPr>
                  <m:sty m:val="bi"/>
                </m:rPr>
                <w:rPr>
                  <w:rFonts w:ascii="Cambria Math" w:hAnsi="Cambria Math"/>
                  <w:u w:val="single"/>
                </w:rPr>
                <m:t>SVC</m:t>
              </m:r>
              <m:r>
                <m:rPr>
                  <m:sty m:val="b"/>
                </m:rPr>
                <w:rPr>
                  <w:rFonts w:ascii="Cambria Math" w:hAnsi="Cambria Math"/>
                  <w:u w:val="single"/>
                </w:rPr>
                <m:t>=</m:t>
              </m:r>
              <m:r>
                <m:rPr>
                  <m:sty m:val="bi"/>
                </m:rPr>
                <w:rPr>
                  <w:rFonts w:ascii="Cambria Math" w:hAnsi="Cambria Math"/>
                  <w:u w:val="single"/>
                </w:rPr>
                <m:t>VP∙MW</m:t>
              </m:r>
              <m:r>
                <m:rPr>
                  <m:sty m:val="b"/>
                </m:rPr>
                <w:rPr>
                  <w:rFonts w:ascii="Cambria Math" w:hAnsi="Cambria Math"/>
                  <w:u w:val="single"/>
                </w:rPr>
                <m:t>∙c2</m:t>
              </m:r>
            </m:oMath>
            <w:r>
              <w:rPr>
                <w:b/>
                <w:bCs/>
                <w:u w:val="single"/>
              </w:rPr>
              <w:t xml:space="preserve"> </w:t>
            </w:r>
          </w:p>
          <w:p w:rsidR="006F7D63" w:rsidRDefault="006F7D63">
            <w:pPr>
              <w:suppressAutoHyphens w:val="0"/>
              <w:spacing w:before="20" w:after="40"/>
              <w:ind w:left="284"/>
              <w:rPr>
                <w:lang w:eastAsia="de-DE"/>
              </w:rPr>
            </w:pPr>
            <w:r>
              <w:rPr>
                <w:lang w:eastAsia="de-DE"/>
              </w:rPr>
              <w:t>where</w:t>
            </w:r>
          </w:p>
          <w:p w:rsidR="006F7D63" w:rsidRDefault="006F7D63">
            <w:pPr>
              <w:suppressAutoHyphens w:val="0"/>
              <w:spacing w:before="20" w:after="40"/>
              <w:ind w:left="568" w:hanging="284"/>
              <w:rPr>
                <w:lang w:eastAsia="de-DE"/>
              </w:rPr>
            </w:pPr>
            <w:r>
              <w:rPr>
                <w:lang w:eastAsia="de-DE"/>
              </w:rPr>
              <w:t>•</w:t>
            </w:r>
            <w:r>
              <w:rPr>
                <w:lang w:eastAsia="de-DE"/>
              </w:rPr>
              <w:tab/>
            </w:r>
            <w:r>
              <w:rPr>
                <w:i/>
                <w:lang w:eastAsia="de-DE"/>
              </w:rPr>
              <w:t>VP</w:t>
            </w:r>
            <w:r>
              <w:rPr>
                <w:lang w:eastAsia="de-DE"/>
              </w:rPr>
              <w:t xml:space="preserve"> is the vapour pressure</w:t>
            </w:r>
            <w:r>
              <w:rPr>
                <w:b/>
                <w:bCs/>
                <w:u w:val="single"/>
                <w:lang w:eastAsia="de-DE"/>
              </w:rPr>
              <w:t xml:space="preserve"> in hPa (=mbar)</w:t>
            </w:r>
          </w:p>
          <w:p w:rsidR="006F7D63" w:rsidRDefault="006F7D63">
            <w:pPr>
              <w:suppressAutoHyphens w:val="0"/>
              <w:spacing w:before="20" w:after="40"/>
              <w:ind w:left="568" w:hanging="284"/>
              <w:rPr>
                <w:b/>
                <w:bCs/>
                <w:u w:val="single"/>
                <w:lang w:eastAsia="de-DE"/>
              </w:rPr>
            </w:pPr>
            <w:r>
              <w:rPr>
                <w:lang w:eastAsia="de-DE"/>
              </w:rPr>
              <w:t>•</w:t>
            </w:r>
            <w:r>
              <w:rPr>
                <w:lang w:eastAsia="de-DE"/>
              </w:rPr>
              <w:tab/>
            </w:r>
            <w:r>
              <w:rPr>
                <w:i/>
                <w:lang w:eastAsia="de-DE"/>
              </w:rPr>
              <w:t>MW</w:t>
            </w:r>
            <w:r>
              <w:rPr>
                <w:lang w:eastAsia="de-DE"/>
              </w:rPr>
              <w:t xml:space="preserve"> is the molecular weight</w:t>
            </w:r>
            <w:r>
              <w:rPr>
                <w:b/>
                <w:bCs/>
                <w:u w:val="single"/>
                <w:lang w:eastAsia="de-DE"/>
              </w:rPr>
              <w:t xml:space="preserve"> in g/mol and</w:t>
            </w:r>
          </w:p>
          <w:p w:rsidR="006F7D63" w:rsidRDefault="006F7D63">
            <w:pPr>
              <w:suppressAutoHyphens w:val="0"/>
              <w:spacing w:before="20" w:after="40"/>
              <w:ind w:left="568" w:hanging="284"/>
              <w:rPr>
                <w:lang w:eastAsia="de-DE"/>
              </w:rPr>
            </w:pPr>
            <w:r>
              <w:rPr>
                <w:lang w:eastAsia="de-DE"/>
              </w:rPr>
              <w:t>•</w:t>
            </w:r>
            <w:r>
              <w:rPr>
                <w:lang w:eastAsia="de-DE"/>
              </w:rPr>
              <w:tab/>
              <w:t xml:space="preserve">c1 and c2 are conversion factors where c1 = </w:t>
            </w:r>
            <m:oMath>
              <m:r>
                <w:rPr>
                  <w:rFonts w:ascii="Cambria Math" w:hAnsi="Cambria Math"/>
                  <w:lang w:eastAsia="de-DE"/>
                </w:rPr>
                <m:t>987.2</m:t>
              </m:r>
              <m:f>
                <m:fPr>
                  <m:ctrlPr>
                    <w:rPr>
                      <w:rFonts w:ascii="Cambria Math" w:hAnsi="Cambria Math"/>
                      <w:lang w:eastAsia="de-DE"/>
                    </w:rPr>
                  </m:ctrlPr>
                </m:fPr>
                <m:num>
                  <m:r>
                    <m:rPr>
                      <m:sty m:val="p"/>
                    </m:rPr>
                    <w:rPr>
                      <w:rFonts w:ascii="Cambria Math" w:hAnsi="Cambria Math"/>
                      <w:lang w:eastAsia="de-DE"/>
                    </w:rPr>
                    <m:t>ml</m:t>
                  </m:r>
                </m:num>
                <m:den>
                  <m:sSup>
                    <m:sSupPr>
                      <m:ctrlPr>
                        <w:rPr>
                          <w:rFonts w:ascii="Cambria Math" w:hAnsi="Cambria Math"/>
                          <w:lang w:eastAsia="de-DE"/>
                        </w:rPr>
                      </m:ctrlPr>
                    </m:sSupPr>
                    <m:e>
                      <m:r>
                        <m:rPr>
                          <m:sty m:val="p"/>
                        </m:rPr>
                        <w:rPr>
                          <w:rFonts w:ascii="Cambria Math" w:hAnsi="Cambria Math"/>
                          <w:lang w:eastAsia="de-DE"/>
                        </w:rPr>
                        <m:t>m</m:t>
                      </m:r>
                    </m:e>
                    <m:sup>
                      <m:r>
                        <m:rPr>
                          <m:sty m:val="p"/>
                        </m:rPr>
                        <w:rPr>
                          <w:rFonts w:ascii="Cambria Math" w:hAnsi="Cambria Math"/>
                          <w:lang w:eastAsia="de-DE"/>
                        </w:rPr>
                        <m:t>3</m:t>
                      </m:r>
                    </m:sup>
                  </m:sSup>
                  <m:r>
                    <m:rPr>
                      <m:sty m:val="p"/>
                    </m:rPr>
                    <w:rPr>
                      <w:rFonts w:ascii="Cambria Math" w:hAnsi="Cambria Math"/>
                      <w:lang w:eastAsia="de-DE"/>
                    </w:rPr>
                    <m:t>∙hPa</m:t>
                  </m:r>
                </m:den>
              </m:f>
            </m:oMath>
            <w:r>
              <w:rPr>
                <w:lang w:eastAsia="de-DE"/>
              </w:rPr>
              <w:t xml:space="preserve"> and c2 = </w:t>
            </w:r>
            <m:oMath>
              <m:r>
                <w:rPr>
                  <w:rFonts w:ascii="Cambria Math" w:hAnsi="Cambria Math"/>
                  <w:lang w:eastAsia="de-DE"/>
                </w:rPr>
                <m:t>0.0412</m:t>
              </m:r>
              <m:f>
                <m:fPr>
                  <m:ctrlPr>
                    <w:rPr>
                      <w:rFonts w:ascii="Cambria Math" w:hAnsi="Cambria Math"/>
                      <w:lang w:eastAsia="de-DE"/>
                    </w:rPr>
                  </m:ctrlPr>
                </m:fPr>
                <m:num>
                  <m:r>
                    <m:rPr>
                      <m:sty m:val="p"/>
                    </m:rPr>
                    <w:rPr>
                      <w:rFonts w:ascii="Cambria Math" w:hAnsi="Cambria Math"/>
                      <w:lang w:eastAsia="de-DE"/>
                    </w:rPr>
                    <m:t>mol</m:t>
                  </m:r>
                </m:num>
                <m:den>
                  <m:sSup>
                    <m:sSupPr>
                      <m:ctrlPr>
                        <w:rPr>
                          <w:rFonts w:ascii="Cambria Math" w:hAnsi="Cambria Math"/>
                          <w:lang w:eastAsia="de-DE"/>
                        </w:rPr>
                      </m:ctrlPr>
                    </m:sSupPr>
                    <m:e>
                      <m:r>
                        <m:rPr>
                          <m:sty m:val="p"/>
                        </m:rPr>
                        <w:rPr>
                          <w:rFonts w:ascii="Cambria Math" w:hAnsi="Cambria Math"/>
                          <w:lang w:eastAsia="de-DE"/>
                        </w:rPr>
                        <m:t>m</m:t>
                      </m:r>
                    </m:e>
                    <m:sup>
                      <m:r>
                        <m:rPr>
                          <m:sty m:val="p"/>
                        </m:rPr>
                        <w:rPr>
                          <w:rFonts w:ascii="Cambria Math" w:hAnsi="Cambria Math"/>
                          <w:lang w:eastAsia="de-DE"/>
                        </w:rPr>
                        <m:t>3</m:t>
                      </m:r>
                    </m:sup>
                  </m:sSup>
                  <m:r>
                    <m:rPr>
                      <m:sty m:val="p"/>
                    </m:rPr>
                    <w:rPr>
                      <w:rFonts w:ascii="Cambria Math" w:hAnsi="Cambria Math"/>
                      <w:lang w:eastAsia="de-DE"/>
                    </w:rPr>
                    <m:t>∙hPa</m:t>
                  </m:r>
                </m:den>
              </m:f>
            </m:oMath>
            <w:r>
              <w:rPr>
                <w:lang w:eastAsia="de-DE"/>
              </w:rPr>
              <w:t xml:space="preserve"> </w:t>
            </w:r>
          </w:p>
        </w:tc>
      </w:tr>
    </w:tbl>
    <w:p w:rsidR="006F7D63" w:rsidRDefault="006F7D63" w:rsidP="006F7D63">
      <w:pPr>
        <w:pStyle w:val="SingleTxtG"/>
        <w:spacing w:before="240"/>
      </w:pPr>
      <w:r>
        <w:t>4.</w:t>
      </w:r>
      <w:r>
        <w:tab/>
        <w:t>In Table A4.3.9.1 in the entry "Relative vapour density" correct the fourth indent as follows: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7830"/>
      </w:tblGrid>
      <w:tr w:rsidR="006F7D63" w:rsidTr="006F7D63">
        <w:trPr>
          <w:cantSplit/>
          <w:jc w:val="center"/>
        </w:trPr>
        <w:tc>
          <w:tcPr>
            <w:tcW w:w="181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6F7D63" w:rsidRDefault="006F7D63">
            <w:pPr>
              <w:suppressAutoHyphens w:val="0"/>
              <w:autoSpaceDE w:val="0"/>
              <w:autoSpaceDN w:val="0"/>
              <w:adjustRightInd w:val="0"/>
              <w:spacing w:before="40" w:after="20"/>
              <w:rPr>
                <w:lang w:eastAsia="de-DE"/>
              </w:rPr>
            </w:pPr>
            <w:r>
              <w:rPr>
                <w:lang w:eastAsia="de-DE"/>
              </w:rPr>
              <w:t>Relative vapour density</w:t>
            </w:r>
          </w:p>
        </w:tc>
        <w:tc>
          <w:tcPr>
            <w:tcW w:w="782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6F7D63" w:rsidRDefault="006F7D63">
            <w:pPr>
              <w:suppressAutoHyphens w:val="0"/>
              <w:spacing w:before="40" w:after="40"/>
              <w:ind w:left="284" w:hanging="284"/>
              <w:rPr>
                <w:lang w:eastAsia="de-DE"/>
              </w:rPr>
            </w:pPr>
            <w:r>
              <w:rPr>
                <w:lang w:eastAsia="de-DE"/>
              </w:rPr>
              <w:t>…</w:t>
            </w:r>
          </w:p>
          <w:p w:rsidR="006F7D63" w:rsidRDefault="006F7D63">
            <w:pPr>
              <w:suppressAutoHyphens w:val="0"/>
              <w:spacing w:before="40" w:after="40"/>
              <w:ind w:left="284" w:hanging="284"/>
              <w:rPr>
                <w:lang w:eastAsia="de-DE"/>
              </w:rPr>
            </w:pPr>
            <w:r>
              <w:rPr>
                <w:lang w:eastAsia="de-DE"/>
              </w:rPr>
              <w:t>−</w:t>
            </w:r>
            <w:r>
              <w:rPr>
                <w:lang w:eastAsia="de-DE"/>
              </w:rPr>
              <w:tab/>
              <w:t xml:space="preserve">for liquids, the relative density </w:t>
            </w:r>
            <w:r>
              <w:rPr>
                <w:b/>
                <w:bCs/>
                <w:i/>
                <w:u w:val="single"/>
                <w:lang w:eastAsia="de-DE"/>
              </w:rPr>
              <w:t>D</w:t>
            </w:r>
            <w:r>
              <w:rPr>
                <w:b/>
                <w:bCs/>
                <w:i/>
                <w:u w:val="single"/>
                <w:vertAlign w:val="subscript"/>
                <w:lang w:eastAsia="de-DE"/>
              </w:rPr>
              <w:t>m</w:t>
            </w:r>
            <w:r>
              <w:rPr>
                <w:color w:val="FF0000"/>
                <w:u w:val="single"/>
                <w:lang w:eastAsia="de-DE"/>
              </w:rPr>
              <w:t xml:space="preserve"> </w:t>
            </w:r>
            <w:r>
              <w:rPr>
                <w:lang w:eastAsia="de-DE"/>
              </w:rPr>
              <w:t>of the vapour/air-mixture at 20 °C (air = 1) may be indicated in addition. It can be calculated as follows:</w:t>
            </w:r>
          </w:p>
          <w:p w:rsidR="006F7D63" w:rsidRDefault="00E81D62">
            <w:pPr>
              <w:suppressAutoHyphens w:val="0"/>
              <w:spacing w:before="20" w:after="40"/>
              <w:ind w:left="284"/>
              <w:rPr>
                <w:strike/>
                <w:lang w:eastAsia="de-DE"/>
              </w:rPr>
            </w:pPr>
            <m:oMathPara>
              <m:oMathParaPr>
                <m:jc m:val="left"/>
              </m:oMathParaPr>
              <m:oMath>
                <m:sSub>
                  <m:sSubPr>
                    <m:ctrlPr>
                      <w:rPr>
                        <w:rFonts w:ascii="Cambria Math" w:hAnsi="Cambria Math"/>
                        <w:strike/>
                      </w:rPr>
                    </m:ctrlPr>
                  </m:sSubPr>
                  <m:e>
                    <m:r>
                      <m:rPr>
                        <m:sty m:val="p"/>
                      </m:rPr>
                      <w:rPr>
                        <w:rFonts w:ascii="Cambria Math" w:hAnsi="Cambria Math"/>
                        <w:strike/>
                      </w:rPr>
                      <m:t>D</m:t>
                    </m:r>
                  </m:e>
                  <m:sub>
                    <m:r>
                      <m:rPr>
                        <m:sty m:val="p"/>
                      </m:rPr>
                      <w:rPr>
                        <w:rFonts w:ascii="Cambria Math" w:hAnsi="Cambria Math"/>
                        <w:strike/>
                      </w:rPr>
                      <m:t>m</m:t>
                    </m:r>
                  </m:sub>
                </m:sSub>
                <m:r>
                  <m:rPr>
                    <m:sty m:val="p"/>
                  </m:rPr>
                  <w:rPr>
                    <w:rFonts w:ascii="Cambria Math" w:hAnsi="Cambria Math"/>
                    <w:strike/>
                  </w:rPr>
                  <m:t>=1+</m:t>
                </m:r>
                <m:d>
                  <m:dPr>
                    <m:ctrlPr>
                      <w:rPr>
                        <w:rFonts w:ascii="Cambria Math" w:hAnsi="Cambria Math"/>
                        <w:strike/>
                      </w:rPr>
                    </m:ctrlPr>
                  </m:dPr>
                  <m:e>
                    <m:r>
                      <m:rPr>
                        <m:sty m:val="p"/>
                      </m:rPr>
                      <w:rPr>
                        <w:rFonts w:ascii="Cambria Math" w:hAnsi="Cambria Math"/>
                        <w:strike/>
                      </w:rPr>
                      <m:t>34∙</m:t>
                    </m:r>
                    <m:sSub>
                      <m:sSubPr>
                        <m:ctrlPr>
                          <w:rPr>
                            <w:rFonts w:ascii="Cambria Math" w:hAnsi="Cambria Math"/>
                            <w:strike/>
                          </w:rPr>
                        </m:ctrlPr>
                      </m:sSubPr>
                      <m:e>
                        <m:r>
                          <m:rPr>
                            <m:sty m:val="p"/>
                          </m:rPr>
                          <w:rPr>
                            <w:rFonts w:ascii="Cambria Math" w:hAnsi="Cambria Math"/>
                            <w:strike/>
                          </w:rPr>
                          <m:t>VP</m:t>
                        </m:r>
                      </m:e>
                      <m:sub>
                        <m:r>
                          <m:rPr>
                            <m:sty m:val="p"/>
                          </m:rPr>
                          <w:rPr>
                            <w:rFonts w:ascii="Cambria Math" w:hAnsi="Cambria Math"/>
                            <w:strike/>
                          </w:rPr>
                          <m:t>20</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-6</m:t>
                        </m:r>
                      </m:sup>
                    </m:sSup>
                    <m:r>
                      <m:rPr>
                        <m:sty m:val="p"/>
                      </m:rPr>
                      <w:rPr>
                        <w:rFonts w:ascii="Cambria Math" w:hAnsi="Cambria Math"/>
                        <w:strike/>
                      </w:rPr>
                      <m:t>∙</m:t>
                    </m:r>
                    <m:d>
                      <m:dPr>
                        <m:ctrlPr>
                          <w:rPr>
                            <w:rFonts w:ascii="Cambria Math" w:hAnsi="Cambria Math"/>
                            <w:strike/>
                          </w:rPr>
                        </m:ctrlPr>
                      </m:dPr>
                      <m:e>
                        <m:r>
                          <m:rPr>
                            <m:sty m:val="p"/>
                          </m:rPr>
                          <w:rPr>
                            <w:rFonts w:ascii="Cambria Math" w:hAnsi="Cambria Math"/>
                            <w:strike/>
                          </w:rPr>
                          <m:t>MW-29</m:t>
                        </m:r>
                      </m:e>
                    </m:d>
                  </m:e>
                </m:d>
              </m:oMath>
            </m:oMathPara>
          </w:p>
          <w:p w:rsidR="006F7D63" w:rsidRDefault="00E81D62">
            <w:pPr>
              <w:pBdr>
                <w:bottom w:val="single" w:sz="4" w:space="1" w:color="auto"/>
              </w:pBdr>
              <w:suppressAutoHyphens w:val="0"/>
              <w:spacing w:before="20" w:after="40"/>
              <w:ind w:left="284"/>
              <w:rPr>
                <w:b/>
                <w:bCs/>
                <w:u w:val="single"/>
                <w:lang w:eastAsia="de-DE"/>
              </w:rPr>
            </w:pPr>
            <m:oMathPara>
              <m:oMathParaPr>
                <m:jc m:val="left"/>
              </m:oMathParaPr>
              <m:oMath>
                <m:sSub>
                  <m:sSubPr>
                    <m:ctrlPr>
                      <w:rPr>
                        <w:rFonts w:ascii="Cambria Math" w:hAnsi="Cambria Math"/>
                        <w:b/>
                        <w:bCs/>
                        <w:i/>
                        <w:lang w:eastAsia="en-GB"/>
                      </w:rPr>
                    </m:ctrlPr>
                  </m:sSubPr>
                  <m:e>
                    <m:r>
                      <m:rPr>
                        <m:sty m:val="bi"/>
                      </m:rPr>
                      <w:rPr>
                        <w:rFonts w:ascii="Cambria Math" w:hAnsi="Cambria Math"/>
                        <w:lang w:eastAsia="en-GB"/>
                      </w:rPr>
                      <m:t>D</m:t>
                    </m:r>
                  </m:e>
                  <m:sub>
                    <m:r>
                      <m:rPr>
                        <m:sty m:val="bi"/>
                      </m:rPr>
                      <w:rPr>
                        <w:rFonts w:ascii="Cambria Math" w:hAnsi="Cambria Math"/>
                        <w:lang w:eastAsia="en-GB"/>
                      </w:rPr>
                      <m:t>m</m:t>
                    </m:r>
                  </m:sub>
                </m:sSub>
                <m:r>
                  <m:rPr>
                    <m:sty m:val="bi"/>
                  </m:rPr>
                  <w:rPr>
                    <w:rFonts w:ascii="Cambria Math" w:hAnsi="Cambria Math"/>
                    <w:lang w:eastAsia="en-GB"/>
                  </w:rPr>
                  <m:t>=1+</m:t>
                </m:r>
                <m:d>
                  <m:dPr>
                    <m:ctrlPr>
                      <w:rPr>
                        <w:rFonts w:ascii="Cambria Math" w:hAnsi="Cambria Math"/>
                        <w:b/>
                        <w:bCs/>
                        <w:i/>
                        <w:lang w:eastAsia="en-GB"/>
                      </w:rPr>
                    </m:ctrlPr>
                  </m:dPr>
                  <m:e>
                    <m:sSub>
                      <m:sSubPr>
                        <m:ctrlPr>
                          <w:rPr>
                            <w:rFonts w:ascii="Cambria Math" w:hAnsi="Cambria Math"/>
                            <w:b/>
                            <w:i/>
                            <w:lang w:eastAsia="en-GB"/>
                          </w:rPr>
                        </m:ctrlPr>
                      </m:sSubPr>
                      <m:e>
                        <m:r>
                          <m:rPr>
                            <m:sty m:val="bi"/>
                          </m:rPr>
                          <w:rPr>
                            <w:rFonts w:ascii="Cambria Math" w:hAnsi="Cambria Math"/>
                            <w:lang w:eastAsia="en-GB"/>
                          </w:rPr>
                          <m:t>VP</m:t>
                        </m:r>
                      </m:e>
                      <m:sub>
                        <m:r>
                          <m:rPr>
                            <m:sty m:val="bi"/>
                          </m:rPr>
                          <w:rPr>
                            <w:rFonts w:ascii="Cambria Math" w:hAnsi="Cambria Math"/>
                            <w:lang w:eastAsia="en-GB"/>
                          </w:rPr>
                          <m:t>20</m:t>
                        </m:r>
                      </m:sub>
                    </m:sSub>
                    <m:r>
                      <m:rPr>
                        <m:sty m:val="bi"/>
                      </m:rPr>
                      <w:rPr>
                        <w:rFonts w:ascii="Cambria Math" w:hAnsi="Cambria Math"/>
                        <w:lang w:eastAsia="en-GB"/>
                      </w:rPr>
                      <m:t>∙</m:t>
                    </m:r>
                    <m:d>
                      <m:dPr>
                        <m:ctrlPr>
                          <w:rPr>
                            <w:rFonts w:ascii="Cambria Math" w:hAnsi="Cambria Math"/>
                            <w:b/>
                            <w:i/>
                            <w:lang w:eastAsia="en-GB"/>
                          </w:rPr>
                        </m:ctrlPr>
                      </m:dPr>
                      <m:e>
                        <m:r>
                          <m:rPr>
                            <m:sty m:val="bi"/>
                          </m:rPr>
                          <w:rPr>
                            <w:rFonts w:ascii="Cambria Math" w:hAnsi="Cambria Math"/>
                            <w:lang w:eastAsia="en-GB"/>
                          </w:rPr>
                          <m:t xml:space="preserve">MW-29 </m:t>
                        </m:r>
                        <m:r>
                          <m:rPr>
                            <m:sty m:val="b"/>
                          </m:rPr>
                          <w:rPr>
                            <w:rFonts w:ascii="Cambria Math" w:hAnsi="Cambria Math"/>
                            <w:lang w:eastAsia="en-GB"/>
                          </w:rPr>
                          <m:t>g/mol</m:t>
                        </m:r>
                      </m:e>
                    </m:d>
                    <m:r>
                      <m:rPr>
                        <m:sty m:val="bi"/>
                      </m:rPr>
                      <w:rPr>
                        <w:rFonts w:ascii="Cambria Math" w:hAnsi="Cambria Math"/>
                        <w:lang w:eastAsia="en-GB"/>
                      </w:rPr>
                      <m:t>∙</m:t>
                    </m:r>
                    <m:r>
                      <m:rPr>
                        <m:sty m:val="b"/>
                      </m:rPr>
                      <w:rPr>
                        <w:rFonts w:ascii="Cambria Math" w:hAnsi="Cambria Math"/>
                        <w:lang w:eastAsia="en-GB"/>
                      </w:rPr>
                      <m:t>c3</m:t>
                    </m:r>
                  </m:e>
                </m:d>
              </m:oMath>
            </m:oMathPara>
          </w:p>
          <w:p w:rsidR="006F7D63" w:rsidRDefault="006F7D63">
            <w:pPr>
              <w:suppressAutoHyphens w:val="0"/>
              <w:spacing w:before="20" w:after="40"/>
              <w:ind w:left="284"/>
              <w:rPr>
                <w:lang w:eastAsia="de-DE"/>
              </w:rPr>
            </w:pPr>
            <w:r>
              <w:rPr>
                <w:lang w:eastAsia="de-DE"/>
              </w:rPr>
              <w:t>where</w:t>
            </w:r>
          </w:p>
          <w:p w:rsidR="006F7D63" w:rsidRDefault="006F7D63">
            <w:pPr>
              <w:suppressAutoHyphens w:val="0"/>
              <w:spacing w:before="20" w:after="40"/>
              <w:ind w:left="568" w:hanging="284"/>
              <w:rPr>
                <w:strike/>
                <w:lang w:eastAsia="de-DE"/>
              </w:rPr>
            </w:pPr>
            <w:r>
              <w:rPr>
                <w:strike/>
                <w:lang w:eastAsia="de-DE"/>
              </w:rPr>
              <w:t>•</w:t>
            </w:r>
            <w:r>
              <w:rPr>
                <w:strike/>
                <w:lang w:eastAsia="de-DE"/>
              </w:rPr>
              <w:tab/>
            </w:r>
            <w:r>
              <w:rPr>
                <w:i/>
                <w:strike/>
                <w:lang w:eastAsia="de-DE"/>
              </w:rPr>
              <w:t>D</w:t>
            </w:r>
            <w:r>
              <w:rPr>
                <w:i/>
                <w:strike/>
                <w:vertAlign w:val="subscript"/>
                <w:lang w:eastAsia="de-DE"/>
              </w:rPr>
              <w:t>m</w:t>
            </w:r>
            <w:r>
              <w:rPr>
                <w:strike/>
                <w:lang w:eastAsia="de-DE"/>
              </w:rPr>
              <w:t xml:space="preserve"> is the relative density of the vapour/air mixture at 20 °C</w:t>
            </w:r>
          </w:p>
          <w:p w:rsidR="006F7D63" w:rsidRDefault="006F7D63">
            <w:pPr>
              <w:suppressAutoHyphens w:val="0"/>
              <w:spacing w:before="20" w:after="40"/>
              <w:ind w:left="568" w:hanging="284"/>
              <w:rPr>
                <w:lang w:eastAsia="de-DE"/>
              </w:rPr>
            </w:pPr>
            <w:r>
              <w:rPr>
                <w:lang w:eastAsia="de-DE"/>
              </w:rPr>
              <w:t>•</w:t>
            </w:r>
            <w:r>
              <w:rPr>
                <w:lang w:eastAsia="de-DE"/>
              </w:rPr>
              <w:tab/>
            </w:r>
            <w:r>
              <w:rPr>
                <w:i/>
                <w:lang w:eastAsia="de-DE"/>
              </w:rPr>
              <w:t>VP</w:t>
            </w:r>
            <w:r>
              <w:rPr>
                <w:vertAlign w:val="subscript"/>
                <w:lang w:eastAsia="de-DE"/>
              </w:rPr>
              <w:t>20</w:t>
            </w:r>
            <w:r>
              <w:rPr>
                <w:lang w:eastAsia="de-DE"/>
              </w:rPr>
              <w:t xml:space="preserve"> is the vapour pressure at 20 °C in </w:t>
            </w:r>
            <w:r>
              <w:rPr>
                <w:b/>
                <w:bCs/>
                <w:u w:val="single"/>
                <w:lang w:eastAsia="de-DE"/>
              </w:rPr>
              <w:t>hPa (=</w:t>
            </w:r>
            <w:r>
              <w:rPr>
                <w:lang w:eastAsia="de-DE"/>
              </w:rPr>
              <w:t>mbar</w:t>
            </w:r>
            <w:r>
              <w:rPr>
                <w:b/>
                <w:bCs/>
                <w:u w:val="single"/>
                <w:lang w:eastAsia="de-DE"/>
              </w:rPr>
              <w:t>)</w:t>
            </w:r>
          </w:p>
          <w:p w:rsidR="006F7D63" w:rsidRDefault="006F7D63">
            <w:pPr>
              <w:suppressAutoHyphens w:val="0"/>
              <w:spacing w:before="20" w:after="40"/>
              <w:ind w:left="568" w:hanging="284"/>
              <w:rPr>
                <w:b/>
                <w:bCs/>
                <w:u w:val="single"/>
                <w:lang w:eastAsia="de-DE"/>
              </w:rPr>
            </w:pPr>
            <w:r>
              <w:rPr>
                <w:lang w:eastAsia="de-DE"/>
              </w:rPr>
              <w:t>•</w:t>
            </w:r>
            <w:r>
              <w:rPr>
                <w:lang w:eastAsia="de-DE"/>
              </w:rPr>
              <w:tab/>
            </w:r>
            <w:r>
              <w:rPr>
                <w:i/>
                <w:lang w:eastAsia="de-DE"/>
              </w:rPr>
              <w:t>MW</w:t>
            </w:r>
            <w:r>
              <w:rPr>
                <w:lang w:eastAsia="de-DE"/>
              </w:rPr>
              <w:t xml:space="preserve"> is the molecular weight </w:t>
            </w:r>
            <w:r>
              <w:rPr>
                <w:b/>
                <w:bCs/>
                <w:u w:val="single"/>
                <w:lang w:eastAsia="de-DE"/>
              </w:rPr>
              <w:t>in g/mol</w:t>
            </w:r>
          </w:p>
          <w:p w:rsidR="006F7D63" w:rsidRDefault="006F7D63">
            <w:pPr>
              <w:suppressAutoHyphens w:val="0"/>
              <w:spacing w:before="20" w:after="40"/>
              <w:ind w:left="568" w:hanging="284"/>
              <w:rPr>
                <w:lang w:eastAsia="de-DE"/>
              </w:rPr>
            </w:pPr>
            <w:r>
              <w:rPr>
                <w:lang w:eastAsia="de-DE"/>
              </w:rPr>
              <w:t>•</w:t>
            </w:r>
            <w:r>
              <w:rPr>
                <w:lang w:eastAsia="de-DE"/>
              </w:rPr>
              <w:tab/>
              <w:t>c3</w:t>
            </w:r>
            <w:r>
              <w:rPr>
                <w:bCs/>
                <w:lang w:eastAsia="de-DE"/>
              </w:rPr>
              <w:t xml:space="preserve"> is a conversion factor, c3 = </w:t>
            </w:r>
            <m:oMath>
              <m:r>
                <w:rPr>
                  <w:rFonts w:ascii="Cambria Math" w:hAnsi="Cambria Math"/>
                  <w:lang w:eastAsia="de-DE"/>
                </w:rPr>
                <m:t>34∙</m:t>
              </m:r>
              <m:sSup>
                <m:sSupPr>
                  <m:ctrlPr>
                    <w:rPr>
                      <w:rFonts w:ascii="Cambria Math" w:hAnsi="Cambria Math"/>
                      <w:bCs/>
                      <w:i/>
                      <w:lang w:eastAsia="de-DE"/>
                    </w:rPr>
                  </m:ctrlPr>
                </m:sSupPr>
                <m:e>
                  <m:r>
                    <w:rPr>
                      <w:rFonts w:ascii="Cambria Math" w:hAnsi="Cambria Math"/>
                      <w:lang w:eastAsia="de-DE"/>
                    </w:rPr>
                    <m:t>10</m:t>
                  </m:r>
                </m:e>
                <m:sup>
                  <m:r>
                    <w:rPr>
                      <w:rFonts w:ascii="Cambria Math" w:hAnsi="Cambria Math"/>
                      <w:lang w:eastAsia="de-DE"/>
                    </w:rPr>
                    <m:t>-6</m:t>
                  </m:r>
                </m:sup>
              </m:sSup>
              <m:f>
                <m:fPr>
                  <m:ctrlPr>
                    <w:rPr>
                      <w:rFonts w:ascii="Cambria Math" w:hAnsi="Cambria Math"/>
                      <w:bCs/>
                      <w:lang w:eastAsia="de-DE"/>
                    </w:rPr>
                  </m:ctrlPr>
                </m:fPr>
                <m:num>
                  <m:r>
                    <m:rPr>
                      <m:sty m:val="p"/>
                    </m:rPr>
                    <w:rPr>
                      <w:rFonts w:ascii="Cambria Math" w:hAnsi="Cambria Math"/>
                      <w:lang w:eastAsia="de-DE"/>
                    </w:rPr>
                    <m:t>mol</m:t>
                  </m:r>
                </m:num>
                <m:den>
                  <m:r>
                    <m:rPr>
                      <m:sty m:val="p"/>
                    </m:rPr>
                    <w:rPr>
                      <w:rFonts w:ascii="Cambria Math" w:hAnsi="Cambria Math"/>
                      <w:lang w:eastAsia="de-DE"/>
                    </w:rPr>
                    <m:t>g∙hPa</m:t>
                  </m:r>
                </m:den>
              </m:f>
            </m:oMath>
          </w:p>
        </w:tc>
      </w:tr>
    </w:tbl>
    <w:p w:rsidR="006F7D63" w:rsidRDefault="006F7D63" w:rsidP="006F7D63">
      <w:pPr>
        <w:pStyle w:val="SingleTxtG"/>
        <w:spacing w:before="240"/>
      </w:pPr>
      <w:r>
        <w:rPr>
          <w:u w:val="single"/>
          <w:lang w:val="en-US"/>
        </w:rPr>
        <w:tab/>
      </w:r>
      <w:r>
        <w:t>5.</w:t>
      </w:r>
      <w:r>
        <w:tab/>
        <w:t>In Table A4.3.9.2 in the entry for chapter 2.8 "Self-reactive substances and mixtures" correct the first indent as follows: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32"/>
        <w:gridCol w:w="7262"/>
      </w:tblGrid>
      <w:tr w:rsidR="006F7D63" w:rsidTr="006F7D63">
        <w:trPr>
          <w:cantSplit/>
          <w:jc w:val="center"/>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6F7D63" w:rsidRDefault="006F7D63">
            <w:pPr>
              <w:spacing w:before="40"/>
              <w:jc w:val="center"/>
            </w:pPr>
            <w:bookmarkStart w:id="0" w:name="_GoBack"/>
            <w:bookmarkEnd w:id="0"/>
            <w:r>
              <w:t>2.8</w:t>
            </w:r>
          </w:p>
        </w:tc>
        <w:tc>
          <w:tcPr>
            <w:tcW w:w="15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6F7D63" w:rsidRDefault="006F7D63">
            <w:pPr>
              <w:spacing w:before="40"/>
            </w:pPr>
            <w:r>
              <w:t>Self-reactive substances and mixtures</w:t>
            </w:r>
          </w:p>
        </w:tc>
        <w:tc>
          <w:tcPr>
            <w:tcW w:w="726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6F7D63" w:rsidRDefault="006F7D63">
            <w:pPr>
              <w:suppressAutoHyphens w:val="0"/>
              <w:spacing w:before="40" w:after="20"/>
              <w:ind w:left="284" w:hanging="284"/>
              <w:rPr>
                <w:lang w:eastAsia="de-DE"/>
              </w:rPr>
            </w:pPr>
            <w:r>
              <w:rPr>
                <w:lang w:eastAsia="de-DE"/>
              </w:rPr>
              <w:t>−</w:t>
            </w:r>
            <w:r>
              <w:rPr>
                <w:lang w:eastAsia="de-DE"/>
              </w:rPr>
              <w:tab/>
              <w:t xml:space="preserve">for the SADT (self-accelerating decomposition temperature), see the entry for the decomposition </w:t>
            </w:r>
            <w:r>
              <w:rPr>
                <w:strike/>
                <w:lang w:eastAsia="de-DE"/>
              </w:rPr>
              <w:t xml:space="preserve">energy </w:t>
            </w:r>
            <w:r>
              <w:rPr>
                <w:b/>
                <w:bCs/>
                <w:u w:val="single"/>
                <w:lang w:eastAsia="de-DE"/>
              </w:rPr>
              <w:t>temperature</w:t>
            </w:r>
            <w:r>
              <w:rPr>
                <w:u w:val="single"/>
                <w:lang w:eastAsia="de-DE"/>
              </w:rPr>
              <w:t xml:space="preserve"> </w:t>
            </w:r>
            <w:r>
              <w:rPr>
                <w:lang w:eastAsia="de-DE"/>
              </w:rPr>
              <w:t>in Table A4.3.9.1</w:t>
            </w:r>
          </w:p>
          <w:p w:rsidR="006F7D63" w:rsidRDefault="006F7D63">
            <w:pPr>
              <w:suppressAutoHyphens w:val="0"/>
              <w:spacing w:before="40" w:after="20"/>
              <w:ind w:left="284" w:hanging="284"/>
              <w:rPr>
                <w:lang w:eastAsia="de-DE"/>
              </w:rPr>
            </w:pPr>
            <w:r>
              <w:rPr>
                <w:lang w:eastAsia="de-DE"/>
              </w:rPr>
              <w:t>…</w:t>
            </w:r>
          </w:p>
        </w:tc>
      </w:tr>
    </w:tbl>
    <w:p w:rsidR="006F7D63" w:rsidRDefault="006F7D63" w:rsidP="006F7D63">
      <w:pPr>
        <w:pStyle w:val="SingleTxtG"/>
        <w:spacing w:before="120"/>
        <w:jc w:val="center"/>
        <w:rPr>
          <w:u w:val="single"/>
          <w:lang w:val="en-US"/>
        </w:rPr>
      </w:pPr>
      <w:r>
        <w:rPr>
          <w:u w:val="single"/>
          <w:lang w:val="en-US"/>
        </w:rPr>
        <w:tab/>
      </w:r>
      <w:r>
        <w:rPr>
          <w:u w:val="single"/>
          <w:lang w:val="en-US"/>
        </w:rPr>
        <w:tab/>
      </w:r>
      <w:r>
        <w:rPr>
          <w:u w:val="single"/>
          <w:lang w:val="en-US"/>
        </w:rPr>
        <w:tab/>
      </w:r>
      <w:r>
        <w:rPr>
          <w:u w:val="single"/>
          <w:lang w:val="en-US"/>
        </w:rPr>
        <w:tab/>
      </w:r>
    </w:p>
    <w:p w:rsidR="006F7D63" w:rsidRPr="006F7D63" w:rsidRDefault="006F7D63" w:rsidP="006F7D63"/>
    <w:sectPr w:rsidR="006F7D63" w:rsidRPr="006F7D63" w:rsidSect="004E4C5A">
      <w:headerReference w:type="even" r:id="rId8"/>
      <w:headerReference w:type="default" r:id="rId9"/>
      <w:footerReference w:type="even" r:id="rId10"/>
      <w:footerReference w:type="default" r:id="rId11"/>
      <w:footnotePr>
        <w:numRestart w:val="eachSect"/>
      </w:footnotePr>
      <w:pgSz w:w="12240" w:h="15840" w:code="1"/>
      <w:pgMar w:top="1701" w:right="20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57353677"/>
      <w:docPartObj>
        <w:docPartGallery w:val="Page Numbers (Bottom of Page)"/>
        <w:docPartUnique/>
      </w:docPartObj>
    </w:sdtPr>
    <w:sdtEndPr>
      <w:rPr>
        <w:noProof/>
      </w:rPr>
    </w:sdtEndPr>
    <w:sdtContent>
      <w:p w:rsidR="00BF0656" w:rsidRPr="00BF0656" w:rsidRDefault="00BF0656">
        <w:pPr>
          <w:pStyle w:val="Footer"/>
          <w:rPr>
            <w:b/>
            <w:bCs/>
            <w:sz w:val="18"/>
            <w:szCs w:val="18"/>
          </w:rPr>
        </w:pPr>
        <w:r w:rsidRPr="00BF0656">
          <w:rPr>
            <w:b/>
            <w:bCs/>
            <w:sz w:val="18"/>
            <w:szCs w:val="18"/>
          </w:rPr>
          <w:fldChar w:fldCharType="begin"/>
        </w:r>
        <w:r w:rsidRPr="00BF0656">
          <w:rPr>
            <w:b/>
            <w:bCs/>
            <w:sz w:val="18"/>
            <w:szCs w:val="18"/>
          </w:rPr>
          <w:instrText xml:space="preserve"> PAGE   \* MERGEFORMAT </w:instrText>
        </w:r>
        <w:r w:rsidRPr="00BF0656">
          <w:rPr>
            <w:b/>
            <w:bCs/>
            <w:sz w:val="18"/>
            <w:szCs w:val="18"/>
          </w:rPr>
          <w:fldChar w:fldCharType="separate"/>
        </w:r>
        <w:r w:rsidRPr="00BF0656">
          <w:rPr>
            <w:b/>
            <w:bCs/>
            <w:noProof/>
            <w:sz w:val="18"/>
            <w:szCs w:val="18"/>
          </w:rPr>
          <w:t>2</w:t>
        </w:r>
        <w:r w:rsidRPr="00BF0656">
          <w:rPr>
            <w:b/>
            <w:bCs/>
            <w:noProof/>
            <w:sz w:val="18"/>
            <w:szCs w:val="18"/>
          </w:rPr>
          <w:fldChar w:fldCharType="end"/>
        </w:r>
      </w:p>
    </w:sdtContent>
  </w:sdt>
  <w:p w:rsidR="00BF0656" w:rsidRDefault="00BF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9" w:rsidRPr="002A7946" w:rsidRDefault="001125FE" w:rsidP="00006D49">
    <w:pPr>
      <w:pStyle w:val="Header"/>
      <w:pBdr>
        <w:bottom w:val="single" w:sz="4" w:space="1" w:color="auto"/>
      </w:pBdr>
      <w:rPr>
        <w:b/>
        <w:bCs/>
        <w:sz w:val="18"/>
        <w:szCs w:val="18"/>
        <w:lang w:val="fr-CH"/>
      </w:rPr>
    </w:pPr>
    <w:r>
      <w:rPr>
        <w:b/>
        <w:bCs/>
        <w:sz w:val="18"/>
        <w:szCs w:val="18"/>
        <w:lang w:val="fr-CH"/>
      </w:rPr>
      <w:t>UN/SCEGHS/36/INF.4</w:t>
    </w:r>
    <w:r w:rsidR="00E81D62">
      <w:rPr>
        <w:b/>
        <w:bCs/>
        <w:sz w:val="18"/>
        <w:szCs w:val="18"/>
        <w:lang w:val="fr-CH"/>
      </w:rPr>
      <w:t>4</w:t>
    </w:r>
  </w:p>
  <w:p w:rsidR="00006D49" w:rsidRDefault="0000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1125FE" w:rsidP="00006D49">
    <w:pPr>
      <w:pStyle w:val="Header"/>
      <w:pBdr>
        <w:bottom w:val="single" w:sz="4" w:space="1" w:color="auto"/>
      </w:pBdr>
      <w:jc w:val="right"/>
      <w:rPr>
        <w:b/>
        <w:bCs/>
        <w:sz w:val="18"/>
        <w:szCs w:val="18"/>
        <w:lang w:val="fr-CH"/>
      </w:rPr>
    </w:pPr>
    <w:r>
      <w:rPr>
        <w:b/>
        <w:bCs/>
        <w:sz w:val="18"/>
        <w:szCs w:val="18"/>
        <w:lang w:val="fr-CH"/>
      </w:rPr>
      <w:t>UN/SCEGHS/36/INF.41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C9A"/>
    <w:multiLevelType w:val="hybridMultilevel"/>
    <w:tmpl w:val="61FC85C2"/>
    <w:lvl w:ilvl="0" w:tplc="62CCBFD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8D57684"/>
    <w:multiLevelType w:val="hybridMultilevel"/>
    <w:tmpl w:val="0922987C"/>
    <w:lvl w:ilvl="0" w:tplc="CF9E8B5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06D49"/>
    <w:rsid w:val="000106B9"/>
    <w:rsid w:val="00015CE8"/>
    <w:rsid w:val="00021E29"/>
    <w:rsid w:val="0004012A"/>
    <w:rsid w:val="0007007F"/>
    <w:rsid w:val="000736C5"/>
    <w:rsid w:val="00086E13"/>
    <w:rsid w:val="00091570"/>
    <w:rsid w:val="0009606F"/>
    <w:rsid w:val="00097ED8"/>
    <w:rsid w:val="000A6520"/>
    <w:rsid w:val="000B405A"/>
    <w:rsid w:val="000C30A7"/>
    <w:rsid w:val="000C55DB"/>
    <w:rsid w:val="000C727E"/>
    <w:rsid w:val="000D5782"/>
    <w:rsid w:val="000F3F3C"/>
    <w:rsid w:val="000F4956"/>
    <w:rsid w:val="000F74D7"/>
    <w:rsid w:val="00104539"/>
    <w:rsid w:val="001125FE"/>
    <w:rsid w:val="001210C7"/>
    <w:rsid w:val="00130F0D"/>
    <w:rsid w:val="00137144"/>
    <w:rsid w:val="0015114B"/>
    <w:rsid w:val="00165248"/>
    <w:rsid w:val="00166903"/>
    <w:rsid w:val="00183C2B"/>
    <w:rsid w:val="00185FDB"/>
    <w:rsid w:val="001931DE"/>
    <w:rsid w:val="001A0A6A"/>
    <w:rsid w:val="001A34A6"/>
    <w:rsid w:val="001B1260"/>
    <w:rsid w:val="001E2247"/>
    <w:rsid w:val="001E4C86"/>
    <w:rsid w:val="001E7040"/>
    <w:rsid w:val="001F0FE4"/>
    <w:rsid w:val="001F4464"/>
    <w:rsid w:val="00203584"/>
    <w:rsid w:val="002132F5"/>
    <w:rsid w:val="0021479B"/>
    <w:rsid w:val="00246ABD"/>
    <w:rsid w:val="00267F3B"/>
    <w:rsid w:val="00291992"/>
    <w:rsid w:val="002921C1"/>
    <w:rsid w:val="00297112"/>
    <w:rsid w:val="002A7946"/>
    <w:rsid w:val="002C2031"/>
    <w:rsid w:val="002D27CF"/>
    <w:rsid w:val="002D3360"/>
    <w:rsid w:val="002D5BDF"/>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1BB7"/>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2401"/>
    <w:rsid w:val="004A3EBD"/>
    <w:rsid w:val="004A59A6"/>
    <w:rsid w:val="004B0F57"/>
    <w:rsid w:val="004B60A0"/>
    <w:rsid w:val="004D0125"/>
    <w:rsid w:val="004E4C5A"/>
    <w:rsid w:val="004F0726"/>
    <w:rsid w:val="00500E46"/>
    <w:rsid w:val="00534287"/>
    <w:rsid w:val="00584FE2"/>
    <w:rsid w:val="0058670B"/>
    <w:rsid w:val="00595167"/>
    <w:rsid w:val="005A28CD"/>
    <w:rsid w:val="005A4A43"/>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371B"/>
    <w:rsid w:val="006B4CF8"/>
    <w:rsid w:val="006D4A31"/>
    <w:rsid w:val="006D73E4"/>
    <w:rsid w:val="006E5B79"/>
    <w:rsid w:val="006F4017"/>
    <w:rsid w:val="006F7D63"/>
    <w:rsid w:val="00700ABE"/>
    <w:rsid w:val="00702906"/>
    <w:rsid w:val="00733342"/>
    <w:rsid w:val="007379C5"/>
    <w:rsid w:val="00760605"/>
    <w:rsid w:val="00797CFD"/>
    <w:rsid w:val="007B4F0C"/>
    <w:rsid w:val="007C7831"/>
    <w:rsid w:val="007D06A0"/>
    <w:rsid w:val="007F283D"/>
    <w:rsid w:val="00800D54"/>
    <w:rsid w:val="00812A81"/>
    <w:rsid w:val="00851A02"/>
    <w:rsid w:val="00856D26"/>
    <w:rsid w:val="00865416"/>
    <w:rsid w:val="008672B8"/>
    <w:rsid w:val="00873A0B"/>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9E3493"/>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C6BFA"/>
    <w:rsid w:val="00AE08EB"/>
    <w:rsid w:val="00AF6D86"/>
    <w:rsid w:val="00B05ACE"/>
    <w:rsid w:val="00B127AA"/>
    <w:rsid w:val="00B25231"/>
    <w:rsid w:val="00B5338E"/>
    <w:rsid w:val="00B72FE5"/>
    <w:rsid w:val="00B84A65"/>
    <w:rsid w:val="00BB4EB0"/>
    <w:rsid w:val="00BF0656"/>
    <w:rsid w:val="00C02473"/>
    <w:rsid w:val="00C0258D"/>
    <w:rsid w:val="00C0330F"/>
    <w:rsid w:val="00C0385B"/>
    <w:rsid w:val="00C1152B"/>
    <w:rsid w:val="00C12E23"/>
    <w:rsid w:val="00C33E77"/>
    <w:rsid w:val="00C43907"/>
    <w:rsid w:val="00C569F4"/>
    <w:rsid w:val="00C65F6D"/>
    <w:rsid w:val="00C751F4"/>
    <w:rsid w:val="00C7713E"/>
    <w:rsid w:val="00C8432F"/>
    <w:rsid w:val="00CA73D0"/>
    <w:rsid w:val="00CD1839"/>
    <w:rsid w:val="00CD42DC"/>
    <w:rsid w:val="00CF3F91"/>
    <w:rsid w:val="00D40462"/>
    <w:rsid w:val="00D4532E"/>
    <w:rsid w:val="00D82B7B"/>
    <w:rsid w:val="00D9436E"/>
    <w:rsid w:val="00DA5A7D"/>
    <w:rsid w:val="00DA7448"/>
    <w:rsid w:val="00DA7467"/>
    <w:rsid w:val="00DD2153"/>
    <w:rsid w:val="00DD3735"/>
    <w:rsid w:val="00DF3705"/>
    <w:rsid w:val="00DF6B2B"/>
    <w:rsid w:val="00E0474E"/>
    <w:rsid w:val="00E054F6"/>
    <w:rsid w:val="00E44FAB"/>
    <w:rsid w:val="00E66943"/>
    <w:rsid w:val="00E76D3E"/>
    <w:rsid w:val="00E81527"/>
    <w:rsid w:val="00E81D62"/>
    <w:rsid w:val="00E911A3"/>
    <w:rsid w:val="00E96C4C"/>
    <w:rsid w:val="00EA0BCA"/>
    <w:rsid w:val="00EB52C7"/>
    <w:rsid w:val="00EF0D81"/>
    <w:rsid w:val="00EF11EF"/>
    <w:rsid w:val="00F0689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D8AA9A"/>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link w:val="H1GChar"/>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qFormat/>
    <w:locked/>
    <w:rsid w:val="00DD2153"/>
    <w:rPr>
      <w:lang w:eastAsia="en-US"/>
    </w:rPr>
  </w:style>
  <w:style w:type="paragraph" w:customStyle="1" w:styleId="H4G">
    <w:name w:val="_ H_4_G"/>
    <w:basedOn w:val="Normal"/>
    <w:next w:val="Normal"/>
    <w:rsid w:val="00183C2B"/>
    <w:pPr>
      <w:keepNext/>
      <w:keepLines/>
      <w:tabs>
        <w:tab w:val="right" w:pos="851"/>
      </w:tabs>
      <w:spacing w:before="240" w:after="120" w:line="240" w:lineRule="exact"/>
      <w:ind w:left="1134" w:right="1134" w:hanging="1134"/>
    </w:pPr>
    <w:rPr>
      <w:i/>
    </w:rPr>
  </w:style>
  <w:style w:type="paragraph" w:customStyle="1" w:styleId="Normalnumber">
    <w:name w:val="Normal_number"/>
    <w:basedOn w:val="Normal"/>
    <w:link w:val="NormalnumberChar"/>
    <w:rsid w:val="004E4C5A"/>
    <w:pPr>
      <w:numPr>
        <w:numId w:val="2"/>
      </w:numPr>
      <w:tabs>
        <w:tab w:val="left" w:pos="1247"/>
        <w:tab w:val="left" w:pos="1814"/>
        <w:tab w:val="left" w:pos="2381"/>
        <w:tab w:val="left" w:pos="2948"/>
        <w:tab w:val="left" w:pos="3515"/>
      </w:tabs>
      <w:suppressAutoHyphens w:val="0"/>
      <w:spacing w:after="120" w:line="240" w:lineRule="auto"/>
    </w:pPr>
  </w:style>
  <w:style w:type="character" w:customStyle="1" w:styleId="NormalnumberChar">
    <w:name w:val="Normal_number Char"/>
    <w:link w:val="Normalnumber"/>
    <w:locked/>
    <w:rsid w:val="004E4C5A"/>
    <w:rPr>
      <w:rFonts w:ascii="Times New Roman" w:eastAsia="Times New Roman" w:hAnsi="Times New Roman" w:cs="Times New Roman"/>
      <w:sz w:val="20"/>
      <w:szCs w:val="20"/>
      <w:lang w:val="en-GB"/>
    </w:rPr>
  </w:style>
  <w:style w:type="numbering" w:customStyle="1" w:styleId="Normallist">
    <w:name w:val="Normal_list"/>
    <w:basedOn w:val="NoList"/>
    <w:rsid w:val="004E4C5A"/>
    <w:pPr>
      <w:numPr>
        <w:numId w:val="2"/>
      </w:numPr>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qFormat/>
    <w:rsid w:val="004E4C5A"/>
    <w:pPr>
      <w:tabs>
        <w:tab w:val="left" w:pos="1247"/>
        <w:tab w:val="left" w:pos="1814"/>
        <w:tab w:val="left" w:pos="2381"/>
        <w:tab w:val="left" w:pos="2948"/>
        <w:tab w:val="left" w:pos="3515"/>
      </w:tabs>
      <w:suppressAutoHyphens w:val="0"/>
      <w:spacing w:before="20" w:after="40" w:line="240" w:lineRule="auto"/>
      <w:ind w:left="1247"/>
    </w:pPr>
    <w:rPr>
      <w:rFonts w:eastAsia="SimSun"/>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rsid w:val="004E4C5A"/>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4_G"/>
    <w:link w:val="BVIfnrCharCharCharChar"/>
    <w:qFormat/>
    <w:rsid w:val="004E4C5A"/>
    <w:rPr>
      <w:szCs w:val="18"/>
      <w:vertAlign w:val="superscript"/>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4E4C5A"/>
    <w:pPr>
      <w:suppressAutoHyphens w:val="0"/>
      <w:spacing w:before="120" w:after="160" w:line="240" w:lineRule="exact"/>
    </w:pPr>
    <w:rPr>
      <w:rFonts w:asciiTheme="minorHAnsi" w:eastAsiaTheme="minorHAnsi" w:hAnsiTheme="minorHAnsi" w:cstheme="minorBidi"/>
      <w:sz w:val="22"/>
      <w:szCs w:val="18"/>
      <w:vertAlign w:val="superscript"/>
      <w:lang w:val="en-US"/>
    </w:rPr>
  </w:style>
  <w:style w:type="paragraph" w:styleId="ListParagraph">
    <w:name w:val="List Paragraph"/>
    <w:basedOn w:val="Normal"/>
    <w:uiPriority w:val="34"/>
    <w:qFormat/>
    <w:rsid w:val="00B5338E"/>
    <w:pPr>
      <w:suppressAutoHyphens w:val="0"/>
      <w:spacing w:after="160" w:line="259" w:lineRule="auto"/>
      <w:ind w:left="720"/>
      <w:contextualSpacing/>
    </w:pPr>
    <w:rPr>
      <w:rFonts w:asciiTheme="minorHAnsi" w:eastAsiaTheme="minorHAnsi" w:hAnsiTheme="minorHAnsi" w:cstheme="minorBidi"/>
      <w:sz w:val="22"/>
      <w:szCs w:val="22"/>
      <w:lang w:val="sv-SE"/>
    </w:rPr>
  </w:style>
  <w:style w:type="table" w:styleId="TableGrid">
    <w:name w:val="Table Grid"/>
    <w:basedOn w:val="TableNormal"/>
    <w:uiPriority w:val="39"/>
    <w:rsid w:val="00B5338E"/>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6F7D63"/>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592">
      <w:bodyDiv w:val="1"/>
      <w:marLeft w:val="0"/>
      <w:marRight w:val="0"/>
      <w:marTop w:val="0"/>
      <w:marBottom w:val="0"/>
      <w:divBdr>
        <w:top w:val="none" w:sz="0" w:space="0" w:color="auto"/>
        <w:left w:val="none" w:sz="0" w:space="0" w:color="auto"/>
        <w:bottom w:val="none" w:sz="0" w:space="0" w:color="auto"/>
        <w:right w:val="none" w:sz="0" w:space="0" w:color="auto"/>
      </w:divBdr>
    </w:div>
    <w:div w:id="668139581">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752921606">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4D51-45F9-43C4-9E73-F7A09189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Sabrina Mansion</cp:lastModifiedBy>
  <cp:revision>4</cp:revision>
  <cp:lastPrinted>2018-12-06T07:49:00Z</cp:lastPrinted>
  <dcterms:created xsi:type="dcterms:W3CDTF">2018-12-06T09:10:00Z</dcterms:created>
  <dcterms:modified xsi:type="dcterms:W3CDTF">2018-12-06T09:18:00Z</dcterms:modified>
</cp:coreProperties>
</file>