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AB239C" w:rsidTr="00AB239C">
        <w:trPr>
          <w:cantSplit/>
          <w:trHeight w:hRule="exact" w:val="851"/>
        </w:trPr>
        <w:tc>
          <w:tcPr>
            <w:tcW w:w="1276" w:type="dxa"/>
            <w:vAlign w:val="bottom"/>
          </w:tcPr>
          <w:p w:rsidR="00AB239C" w:rsidRDefault="00AB239C" w:rsidP="00AB239C"/>
        </w:tc>
        <w:tc>
          <w:tcPr>
            <w:tcW w:w="2268" w:type="dxa"/>
            <w:vAlign w:val="bottom"/>
          </w:tcPr>
          <w:p w:rsidR="00AB239C" w:rsidRPr="00B97172" w:rsidRDefault="00AB239C" w:rsidP="00AB239C">
            <w:pPr>
              <w:rPr>
                <w:b/>
                <w:sz w:val="24"/>
                <w:szCs w:val="24"/>
              </w:rPr>
            </w:pPr>
          </w:p>
        </w:tc>
        <w:tc>
          <w:tcPr>
            <w:tcW w:w="6095" w:type="dxa"/>
            <w:gridSpan w:val="2"/>
            <w:vAlign w:val="bottom"/>
          </w:tcPr>
          <w:p w:rsidR="00AB239C" w:rsidRPr="0099001C" w:rsidRDefault="00AB239C" w:rsidP="00AB239C">
            <w:pPr>
              <w:jc w:val="right"/>
              <w:rPr>
                <w:b/>
                <w:sz w:val="40"/>
                <w:szCs w:val="40"/>
              </w:rPr>
            </w:pPr>
            <w:r w:rsidRPr="0099001C">
              <w:rPr>
                <w:b/>
                <w:sz w:val="40"/>
                <w:szCs w:val="40"/>
              </w:rPr>
              <w:t>UN/SCEGHS/</w:t>
            </w:r>
            <w:r>
              <w:rPr>
                <w:b/>
                <w:sz w:val="40"/>
                <w:szCs w:val="40"/>
              </w:rPr>
              <w:t>36</w:t>
            </w:r>
            <w:r w:rsidRPr="0099001C">
              <w:rPr>
                <w:b/>
                <w:sz w:val="40"/>
                <w:szCs w:val="40"/>
              </w:rPr>
              <w:t>/INF.</w:t>
            </w:r>
            <w:r>
              <w:rPr>
                <w:b/>
                <w:sz w:val="40"/>
                <w:szCs w:val="40"/>
              </w:rPr>
              <w:t>30</w:t>
            </w:r>
          </w:p>
        </w:tc>
      </w:tr>
      <w:tr w:rsidR="00AB239C" w:rsidTr="00AB239C">
        <w:trPr>
          <w:cantSplit/>
          <w:trHeight w:hRule="exact" w:val="3271"/>
        </w:trPr>
        <w:tc>
          <w:tcPr>
            <w:tcW w:w="6804" w:type="dxa"/>
            <w:gridSpan w:val="3"/>
            <w:tcBorders>
              <w:top w:val="single" w:sz="4" w:space="0" w:color="auto"/>
              <w:bottom w:val="nil"/>
            </w:tcBorders>
          </w:tcPr>
          <w:p w:rsidR="00AB239C" w:rsidRPr="001B03EA" w:rsidRDefault="00AB239C" w:rsidP="00AB239C">
            <w:pPr>
              <w:spacing w:before="120"/>
              <w:rPr>
                <w:b/>
                <w:sz w:val="24"/>
                <w:szCs w:val="24"/>
                <w:lang w:val="en-US"/>
              </w:rPr>
            </w:pPr>
            <w:r w:rsidRPr="001B03EA">
              <w:rPr>
                <w:b/>
                <w:sz w:val="24"/>
                <w:szCs w:val="24"/>
                <w:lang w:val="en-US"/>
              </w:rPr>
              <w:t>Committee of Experts on the Transport of Dangerous Goods</w:t>
            </w:r>
            <w:r w:rsidRPr="001B03EA">
              <w:rPr>
                <w:b/>
                <w:sz w:val="24"/>
                <w:szCs w:val="24"/>
                <w:lang w:val="en-US"/>
              </w:rPr>
              <w:br/>
              <w:t>and on the Globally Harmonized System of Classification</w:t>
            </w:r>
            <w:r w:rsidRPr="001B03EA">
              <w:rPr>
                <w:b/>
                <w:sz w:val="24"/>
                <w:szCs w:val="24"/>
                <w:lang w:val="en-US"/>
              </w:rPr>
              <w:br/>
              <w:t>and Labelling of Chemicals</w:t>
            </w:r>
          </w:p>
          <w:p w:rsidR="00AB239C" w:rsidRPr="00765969" w:rsidRDefault="00AB239C" w:rsidP="00AB239C">
            <w:pPr>
              <w:tabs>
                <w:tab w:val="left" w:pos="7230"/>
                <w:tab w:val="right" w:pos="9300"/>
              </w:tabs>
              <w:spacing w:before="120"/>
              <w:rPr>
                <w:b/>
                <w:color w:val="000000"/>
                <w:lang w:val="en-US"/>
              </w:rPr>
            </w:pPr>
            <w:r w:rsidRPr="001B03EA">
              <w:rPr>
                <w:b/>
                <w:lang w:val="en-US"/>
              </w:rPr>
              <w:t>Sub-Committee of Experts on the Globally Harmonized</w:t>
            </w:r>
            <w:r w:rsidRPr="001B03EA">
              <w:rPr>
                <w:b/>
                <w:lang w:val="en-US"/>
              </w:rPr>
              <w:br/>
              <w:t>System of Classification and Labelling of Chemicals</w:t>
            </w:r>
          </w:p>
          <w:p w:rsidR="00AB239C" w:rsidRDefault="00AB239C" w:rsidP="00AB239C">
            <w:pPr>
              <w:jc w:val="both"/>
              <w:rPr>
                <w:b/>
              </w:rPr>
            </w:pPr>
          </w:p>
          <w:p w:rsidR="00AB239C" w:rsidRPr="004845AC" w:rsidRDefault="00AB239C" w:rsidP="00AB239C">
            <w:pPr>
              <w:jc w:val="both"/>
            </w:pPr>
            <w:r w:rsidRPr="004845AC">
              <w:rPr>
                <w:b/>
              </w:rPr>
              <w:t>Thirty-sixth session</w:t>
            </w:r>
            <w:r w:rsidRPr="004845AC">
              <w:t xml:space="preserve"> </w:t>
            </w:r>
          </w:p>
          <w:p w:rsidR="00AB239C" w:rsidRPr="004845AC" w:rsidRDefault="00AB239C" w:rsidP="00AB239C">
            <w:pPr>
              <w:jc w:val="both"/>
            </w:pPr>
            <w:r w:rsidRPr="004845AC">
              <w:t>Geneva, 5-7 December 2018</w:t>
            </w:r>
          </w:p>
          <w:p w:rsidR="00AB239C" w:rsidRPr="00FA63B2" w:rsidRDefault="00AB239C" w:rsidP="00AB239C">
            <w:r w:rsidRPr="004845AC">
              <w:t xml:space="preserve">Item </w:t>
            </w:r>
            <w:r>
              <w:t>4 (a)</w:t>
            </w:r>
            <w:r w:rsidRPr="004845AC">
              <w:t xml:space="preserve"> of the provisional agenda</w:t>
            </w:r>
          </w:p>
          <w:p w:rsidR="00AB239C" w:rsidRPr="00D773DF" w:rsidRDefault="00AB239C" w:rsidP="00AB239C">
            <w:r>
              <w:rPr>
                <w:b/>
              </w:rPr>
              <w:t>Hazard communication: labelling of small packagings</w:t>
            </w:r>
          </w:p>
        </w:tc>
        <w:tc>
          <w:tcPr>
            <w:tcW w:w="2835" w:type="dxa"/>
            <w:tcBorders>
              <w:top w:val="single" w:sz="4" w:space="0" w:color="auto"/>
              <w:bottom w:val="nil"/>
            </w:tcBorders>
          </w:tcPr>
          <w:p w:rsidR="00AB239C" w:rsidRDefault="00AB239C" w:rsidP="00AB239C">
            <w:pPr>
              <w:spacing w:before="240" w:line="240" w:lineRule="exact"/>
            </w:pPr>
          </w:p>
          <w:p w:rsidR="00AB239C" w:rsidRDefault="00AB239C" w:rsidP="00AB239C">
            <w:pPr>
              <w:spacing w:line="240" w:lineRule="exact"/>
            </w:pPr>
          </w:p>
          <w:p w:rsidR="00AB239C" w:rsidRDefault="00AB239C" w:rsidP="00AB239C">
            <w:pPr>
              <w:spacing w:line="240" w:lineRule="exact"/>
            </w:pPr>
          </w:p>
          <w:p w:rsidR="00AB239C" w:rsidRDefault="00AB239C" w:rsidP="00AB239C">
            <w:pPr>
              <w:spacing w:line="240" w:lineRule="exact"/>
            </w:pPr>
          </w:p>
          <w:p w:rsidR="00AB239C" w:rsidRPr="00AB239C" w:rsidRDefault="00AB239C" w:rsidP="00AB239C">
            <w:pPr>
              <w:spacing w:line="240" w:lineRule="exact"/>
              <w:rPr>
                <w:b/>
                <w:bCs/>
              </w:rPr>
            </w:pPr>
            <w:r>
              <w:tab/>
            </w:r>
            <w:r w:rsidRPr="00AB239C">
              <w:rPr>
                <w:b/>
                <w:bCs/>
              </w:rPr>
              <w:t>27 November 2018</w:t>
            </w:r>
          </w:p>
        </w:tc>
      </w:tr>
    </w:tbl>
    <w:p w:rsidR="00D84867" w:rsidRDefault="00D84867" w:rsidP="00D84867">
      <w:pPr>
        <w:pStyle w:val="HChG"/>
      </w:pPr>
      <w:bookmarkStart w:id="0" w:name="_GoBack"/>
      <w:bookmarkEnd w:id="0"/>
      <w:r>
        <w:tab/>
      </w:r>
      <w:r>
        <w:tab/>
        <w:t>Digitalization and GHS hazard communication: utility and benefits in labelling of very small consumer packages</w:t>
      </w:r>
    </w:p>
    <w:p w:rsidR="00D84867" w:rsidRDefault="00D84867" w:rsidP="00D84867">
      <w:pPr>
        <w:pStyle w:val="H1G"/>
      </w:pPr>
      <w:r>
        <w:rPr>
          <w:rFonts w:eastAsia="MS Mincho"/>
        </w:rPr>
        <w:tab/>
      </w:r>
      <w:r>
        <w:rPr>
          <w:rFonts w:eastAsia="MS Mincho"/>
        </w:rPr>
        <w:tab/>
      </w:r>
      <w:r w:rsidRPr="00FE4C89">
        <w:t xml:space="preserve">Submitted by the </w:t>
      </w:r>
      <w:r>
        <w:t xml:space="preserve">International Paint and Printing Ink Council (IPPIC) </w:t>
      </w:r>
    </w:p>
    <w:p w:rsidR="00D84867" w:rsidRDefault="00D84867" w:rsidP="00D84867">
      <w:pPr>
        <w:pStyle w:val="HChG"/>
        <w:rPr>
          <w:rFonts w:eastAsia="MS Mincho"/>
        </w:rPr>
      </w:pPr>
      <w:r>
        <w:rPr>
          <w:rFonts w:eastAsia="MS Mincho"/>
        </w:rPr>
        <w:tab/>
      </w:r>
      <w:r>
        <w:rPr>
          <w:rFonts w:eastAsia="MS Mincho"/>
        </w:rPr>
        <w:tab/>
        <w:t>Introduction</w:t>
      </w:r>
    </w:p>
    <w:p w:rsidR="00D84867" w:rsidRDefault="00D84867" w:rsidP="00D84867">
      <w:pPr>
        <w:pStyle w:val="SingleTxtG"/>
        <w:numPr>
          <w:ilvl w:val="0"/>
          <w:numId w:val="3"/>
        </w:numPr>
        <w:ind w:left="1134" w:firstLine="0"/>
        <w:rPr>
          <w:rFonts w:eastAsia="MS Mincho"/>
        </w:rPr>
      </w:pPr>
      <w:r>
        <w:rPr>
          <w:rFonts w:eastAsia="MS Mincho"/>
        </w:rPr>
        <w:t>IPPIC welcomes and supports the proposal from A.I.S.E. and RPMASA in informal document INF.14 (36</w:t>
      </w:r>
      <w:r w:rsidRPr="00A030D7">
        <w:rPr>
          <w:rFonts w:eastAsia="MS Mincho"/>
          <w:vertAlign w:val="superscript"/>
        </w:rPr>
        <w:t>th</w:t>
      </w:r>
      <w:r>
        <w:rPr>
          <w:rFonts w:eastAsia="MS Mincho"/>
        </w:rPr>
        <w:t xml:space="preserve"> session) for a work item in the biennium 2019-2020 to explore how digital means can be used effectively for GHS hazard communication.</w:t>
      </w:r>
    </w:p>
    <w:p w:rsidR="00D84867" w:rsidRPr="00CB0BB6" w:rsidRDefault="00D84867" w:rsidP="00D84867">
      <w:pPr>
        <w:pStyle w:val="SingleTxtG"/>
        <w:numPr>
          <w:ilvl w:val="0"/>
          <w:numId w:val="3"/>
        </w:numPr>
        <w:ind w:left="1134" w:firstLine="0"/>
        <w:rPr>
          <w:rFonts w:eastAsia="MS Mincho"/>
        </w:rPr>
      </w:pPr>
      <w:r>
        <w:rPr>
          <w:rFonts w:eastAsia="MS Mincho"/>
        </w:rPr>
        <w:t xml:space="preserve">In informal document INF.15 CEFIC proposes to host consideration of this issue within the informal working group on labelling of small packagings, and to extend the scope of the working group accordingly. IPPIC similarly supports this proposal. </w:t>
      </w:r>
    </w:p>
    <w:p w:rsidR="00D84867" w:rsidRPr="00CB0BB6" w:rsidRDefault="00D84867" w:rsidP="00D84867">
      <w:pPr>
        <w:pStyle w:val="SingleTxtG"/>
        <w:numPr>
          <w:ilvl w:val="0"/>
          <w:numId w:val="3"/>
        </w:numPr>
        <w:ind w:left="1134" w:firstLine="0"/>
        <w:rPr>
          <w:rFonts w:eastAsia="MS Mincho"/>
        </w:rPr>
      </w:pPr>
      <w:r>
        <w:rPr>
          <w:rFonts w:eastAsia="MS Mincho"/>
        </w:rPr>
        <w:t xml:space="preserve">The purpose of this informal document from IPPIC is to provide an example illustrating how such digital solutions would assist in the labelling of very small packages placed on the market particularly (but not exclusively) for the </w:t>
      </w:r>
      <w:proofErr w:type="gramStart"/>
      <w:r>
        <w:rPr>
          <w:rFonts w:eastAsia="MS Mincho"/>
        </w:rPr>
        <w:t>general public</w:t>
      </w:r>
      <w:proofErr w:type="gramEnd"/>
      <w:r>
        <w:rPr>
          <w:rFonts w:eastAsia="MS Mincho"/>
        </w:rPr>
        <w:t>, as a contribution to initiating discussion of the applications and benefits.</w:t>
      </w:r>
    </w:p>
    <w:p w:rsidR="00D84867" w:rsidRPr="004845AC" w:rsidRDefault="00D84867" w:rsidP="00D84867">
      <w:pPr>
        <w:pStyle w:val="HChG"/>
        <w:ind w:firstLine="0"/>
        <w:rPr>
          <w:rFonts w:eastAsia="MS Mincho"/>
        </w:rPr>
      </w:pPr>
      <w:r w:rsidRPr="004845AC">
        <w:rPr>
          <w:rFonts w:eastAsia="MS Mincho"/>
        </w:rPr>
        <w:t>Background</w:t>
      </w:r>
    </w:p>
    <w:p w:rsidR="00D84867" w:rsidRPr="00737DE7" w:rsidRDefault="00D84867" w:rsidP="00D84867">
      <w:pPr>
        <w:pStyle w:val="SingleTxtG"/>
        <w:numPr>
          <w:ilvl w:val="0"/>
          <w:numId w:val="3"/>
        </w:numPr>
        <w:ind w:left="1134" w:firstLine="0"/>
        <w:rPr>
          <w:rFonts w:eastAsia="MS Mincho"/>
        </w:rPr>
      </w:pPr>
      <w:r w:rsidRPr="00737DE7">
        <w:rPr>
          <w:rFonts w:eastAsia="MS Mincho"/>
        </w:rPr>
        <w:t xml:space="preserve">Colours for the creative sector are traditionally sold in very small containers to enable the users to arrange their own set of colours. Although the amount is small it could still be sufficient colour for years. </w:t>
      </w:r>
      <w:r>
        <w:rPr>
          <w:rFonts w:eastAsia="MS Mincho"/>
        </w:rPr>
        <w:t xml:space="preserve"> </w:t>
      </w:r>
      <w:r w:rsidRPr="00737DE7">
        <w:rPr>
          <w:rFonts w:eastAsia="MS Mincho"/>
        </w:rPr>
        <w:t>These product</w:t>
      </w:r>
      <w:r>
        <w:rPr>
          <w:rFonts w:eastAsia="MS Mincho"/>
        </w:rPr>
        <w:t>s</w:t>
      </w:r>
      <w:r w:rsidRPr="00737DE7">
        <w:rPr>
          <w:rFonts w:eastAsia="MS Mincho"/>
        </w:rPr>
        <w:t xml:space="preserve"> are formally </w:t>
      </w:r>
      <w:r>
        <w:rPr>
          <w:rFonts w:eastAsia="MS Mincho"/>
        </w:rPr>
        <w:t>mixtures</w:t>
      </w:r>
      <w:r w:rsidRPr="00737DE7">
        <w:rPr>
          <w:rFonts w:eastAsia="MS Mincho"/>
        </w:rPr>
        <w:t xml:space="preserve"> which may fall under the classification and labelling requirement</w:t>
      </w:r>
      <w:r>
        <w:rPr>
          <w:rFonts w:eastAsia="MS Mincho"/>
        </w:rPr>
        <w:t xml:space="preserve">s traced back to the </w:t>
      </w:r>
      <w:r w:rsidRPr="00737DE7">
        <w:rPr>
          <w:rFonts w:eastAsia="MS Mincho"/>
        </w:rPr>
        <w:t xml:space="preserve">GHS. </w:t>
      </w:r>
    </w:p>
    <w:p w:rsidR="00D84867" w:rsidRPr="00737DE7" w:rsidRDefault="00D84867" w:rsidP="00D84867">
      <w:pPr>
        <w:pStyle w:val="SingleTxtG"/>
        <w:numPr>
          <w:ilvl w:val="0"/>
          <w:numId w:val="3"/>
        </w:numPr>
        <w:ind w:left="1134" w:firstLine="0"/>
        <w:rPr>
          <w:rFonts w:eastAsia="MS Mincho"/>
        </w:rPr>
      </w:pPr>
      <w:r>
        <w:rPr>
          <w:rFonts w:eastAsia="MS Mincho"/>
        </w:rPr>
        <w:t>T</w:t>
      </w:r>
      <w:r w:rsidRPr="00737DE7">
        <w:rPr>
          <w:rFonts w:eastAsia="MS Mincho"/>
        </w:rPr>
        <w:t>hese product</w:t>
      </w:r>
      <w:r>
        <w:rPr>
          <w:rFonts w:eastAsia="MS Mincho"/>
        </w:rPr>
        <w:t>s</w:t>
      </w:r>
      <w:r w:rsidRPr="00737DE7">
        <w:rPr>
          <w:rFonts w:eastAsia="MS Mincho"/>
        </w:rPr>
        <w:t xml:space="preserve"> </w:t>
      </w:r>
      <w:r>
        <w:rPr>
          <w:rFonts w:eastAsia="MS Mincho"/>
        </w:rPr>
        <w:t xml:space="preserve">however </w:t>
      </w:r>
      <w:r w:rsidRPr="00737DE7">
        <w:rPr>
          <w:rFonts w:eastAsia="MS Mincho"/>
        </w:rPr>
        <w:t>belong to both the chemical and the consumer world</w:t>
      </w:r>
      <w:r>
        <w:rPr>
          <w:rFonts w:eastAsia="MS Mincho"/>
        </w:rPr>
        <w:t>, and</w:t>
      </w:r>
      <w:r w:rsidRPr="00737DE7">
        <w:rPr>
          <w:rFonts w:eastAsia="MS Mincho"/>
        </w:rPr>
        <w:t xml:space="preserve"> all these products share a limited area to apply labelling. </w:t>
      </w:r>
      <w:proofErr w:type="gramStart"/>
      <w:r w:rsidRPr="00737DE7">
        <w:rPr>
          <w:rFonts w:eastAsia="MS Mincho"/>
        </w:rPr>
        <w:t>Therefore</w:t>
      </w:r>
      <w:proofErr w:type="gramEnd"/>
      <w:r w:rsidRPr="00737DE7">
        <w:rPr>
          <w:rFonts w:eastAsia="MS Mincho"/>
        </w:rPr>
        <w:t xml:space="preserve"> they have to carry commercial product information and hazard</w:t>
      </w:r>
      <w:r>
        <w:rPr>
          <w:rFonts w:eastAsia="MS Mincho"/>
        </w:rPr>
        <w:t>-</w:t>
      </w:r>
      <w:r w:rsidRPr="00737DE7">
        <w:rPr>
          <w:rFonts w:eastAsia="MS Mincho"/>
        </w:rPr>
        <w:t>relat</w:t>
      </w:r>
      <w:r>
        <w:rPr>
          <w:rFonts w:eastAsia="MS Mincho"/>
        </w:rPr>
        <w:t>ed information for chemicals</w:t>
      </w:r>
      <w:r w:rsidRPr="00737DE7">
        <w:rPr>
          <w:rFonts w:eastAsia="MS Mincho"/>
        </w:rPr>
        <w:t>.</w:t>
      </w:r>
    </w:p>
    <w:p w:rsidR="00D84867" w:rsidRPr="003D0CC4" w:rsidRDefault="00D84867" w:rsidP="00D84867">
      <w:pPr>
        <w:pStyle w:val="SingleTxtG"/>
        <w:numPr>
          <w:ilvl w:val="0"/>
          <w:numId w:val="3"/>
        </w:numPr>
        <w:ind w:left="1134" w:firstLine="0"/>
        <w:rPr>
          <w:rFonts w:eastAsia="MS Mincho"/>
        </w:rPr>
      </w:pPr>
      <w:r w:rsidRPr="00737DE7">
        <w:rPr>
          <w:rFonts w:eastAsia="MS Mincho"/>
        </w:rPr>
        <w:t xml:space="preserve">Depending on the intended market region all information </w:t>
      </w:r>
      <w:proofErr w:type="gramStart"/>
      <w:r w:rsidRPr="00737DE7">
        <w:rPr>
          <w:rFonts w:eastAsia="MS Mincho"/>
        </w:rPr>
        <w:t>has to</w:t>
      </w:r>
      <w:proofErr w:type="gramEnd"/>
      <w:r w:rsidRPr="00737DE7">
        <w:rPr>
          <w:rFonts w:eastAsia="MS Mincho"/>
        </w:rPr>
        <w:t xml:space="preserve"> appear in the appropriate languages. </w:t>
      </w:r>
      <w:r>
        <w:rPr>
          <w:rFonts w:eastAsia="MS Mincho"/>
        </w:rPr>
        <w:t xml:space="preserve"> </w:t>
      </w:r>
      <w:r w:rsidRPr="00737DE7">
        <w:rPr>
          <w:rFonts w:eastAsia="MS Mincho"/>
        </w:rPr>
        <w:t xml:space="preserve">Mainly due to the </w:t>
      </w:r>
      <w:r>
        <w:rPr>
          <w:rFonts w:eastAsia="MS Mincho"/>
        </w:rPr>
        <w:t>need for</w:t>
      </w:r>
      <w:r w:rsidRPr="00737DE7">
        <w:rPr>
          <w:rFonts w:eastAsia="MS Mincho"/>
        </w:rPr>
        <w:t xml:space="preserve"> efficient warehousing and logistics this </w:t>
      </w:r>
      <w:r>
        <w:rPr>
          <w:rFonts w:eastAsia="MS Mincho"/>
        </w:rPr>
        <w:t>can encompass</w:t>
      </w:r>
      <w:r w:rsidRPr="00737DE7">
        <w:rPr>
          <w:rFonts w:eastAsia="MS Mincho"/>
        </w:rPr>
        <w:t xml:space="preserve"> more than one country, normally 5-7 different languages.</w:t>
      </w:r>
      <w:r>
        <w:rPr>
          <w:rFonts w:eastAsia="MS Mincho"/>
        </w:rPr>
        <w:t xml:space="preserve"> </w:t>
      </w:r>
      <w:r w:rsidRPr="00737DE7">
        <w:rPr>
          <w:rFonts w:eastAsia="MS Mincho"/>
        </w:rPr>
        <w:t xml:space="preserve"> If one think</w:t>
      </w:r>
      <w:r>
        <w:rPr>
          <w:rFonts w:eastAsia="MS Mincho"/>
        </w:rPr>
        <w:t>s</w:t>
      </w:r>
      <w:r w:rsidRPr="00737DE7">
        <w:rPr>
          <w:rFonts w:eastAsia="MS Mincho"/>
        </w:rPr>
        <w:t xml:space="preserve"> of online sales the system is pushed to its limits by requiring a global language set.</w:t>
      </w:r>
      <w:r>
        <w:rPr>
          <w:rFonts w:eastAsia="MS Mincho"/>
        </w:rPr>
        <w:t xml:space="preserve"> </w:t>
      </w:r>
      <w:r w:rsidRPr="00737DE7">
        <w:rPr>
          <w:rFonts w:eastAsia="MS Mincho"/>
        </w:rPr>
        <w:t xml:space="preserve"> </w:t>
      </w:r>
      <w:r>
        <w:rPr>
          <w:rFonts w:eastAsia="MS Mincho"/>
        </w:rPr>
        <w:t>In d</w:t>
      </w:r>
      <w:r w:rsidRPr="00737DE7">
        <w:rPr>
          <w:rFonts w:eastAsia="MS Mincho"/>
        </w:rPr>
        <w:t>istribut</w:t>
      </w:r>
      <w:r>
        <w:rPr>
          <w:rFonts w:eastAsia="MS Mincho"/>
        </w:rPr>
        <w:t xml:space="preserve">ion </w:t>
      </w:r>
      <w:r w:rsidRPr="00737DE7">
        <w:rPr>
          <w:rFonts w:eastAsia="MS Mincho"/>
        </w:rPr>
        <w:t>via internet the manufacturer has only limited control o</w:t>
      </w:r>
      <w:r>
        <w:rPr>
          <w:rFonts w:eastAsia="MS Mincho"/>
        </w:rPr>
        <w:t>ver</w:t>
      </w:r>
      <w:r w:rsidRPr="00737DE7">
        <w:rPr>
          <w:rFonts w:eastAsia="MS Mincho"/>
        </w:rPr>
        <w:t xml:space="preserve"> the </w:t>
      </w:r>
      <w:proofErr w:type="gramStart"/>
      <w:r w:rsidRPr="00737DE7">
        <w:rPr>
          <w:rFonts w:eastAsia="MS Mincho"/>
        </w:rPr>
        <w:t>final destination</w:t>
      </w:r>
      <w:proofErr w:type="gramEnd"/>
      <w:r w:rsidRPr="00737DE7">
        <w:rPr>
          <w:rFonts w:eastAsia="MS Mincho"/>
        </w:rPr>
        <w:t xml:space="preserve">. This </w:t>
      </w:r>
      <w:r>
        <w:rPr>
          <w:rFonts w:eastAsia="MS Mincho"/>
        </w:rPr>
        <w:t xml:space="preserve">potential </w:t>
      </w:r>
      <w:r w:rsidRPr="00737DE7">
        <w:rPr>
          <w:rFonts w:eastAsia="MS Mincho"/>
        </w:rPr>
        <w:t xml:space="preserve">safety gap cannot </w:t>
      </w:r>
      <w:r>
        <w:rPr>
          <w:rFonts w:eastAsia="MS Mincho"/>
        </w:rPr>
        <w:t xml:space="preserve">be </w:t>
      </w:r>
      <w:r w:rsidRPr="00737DE7">
        <w:rPr>
          <w:rFonts w:eastAsia="MS Mincho"/>
        </w:rPr>
        <w:t xml:space="preserve">resolved by traditional </w:t>
      </w:r>
      <w:r>
        <w:rPr>
          <w:rFonts w:eastAsia="MS Mincho"/>
        </w:rPr>
        <w:t>means</w:t>
      </w:r>
      <w:r w:rsidRPr="00737DE7">
        <w:rPr>
          <w:rFonts w:eastAsia="MS Mincho"/>
        </w:rPr>
        <w:t xml:space="preserve"> of customer information. </w:t>
      </w:r>
    </w:p>
    <w:p w:rsidR="00D84867" w:rsidRPr="004845AC" w:rsidRDefault="00D84867" w:rsidP="00D84867">
      <w:pPr>
        <w:pStyle w:val="HChG"/>
        <w:ind w:firstLine="0"/>
        <w:rPr>
          <w:rFonts w:eastAsia="MS Mincho"/>
        </w:rPr>
      </w:pPr>
      <w:r>
        <w:rPr>
          <w:rFonts w:eastAsia="MS Mincho"/>
        </w:rPr>
        <w:lastRenderedPageBreak/>
        <w:t>Objectives of digital communication</w:t>
      </w:r>
    </w:p>
    <w:p w:rsidR="00D84867" w:rsidRPr="0085013E" w:rsidRDefault="00D84867" w:rsidP="00D84867">
      <w:pPr>
        <w:pStyle w:val="SingleTxtG"/>
        <w:numPr>
          <w:ilvl w:val="0"/>
          <w:numId w:val="3"/>
        </w:numPr>
        <w:ind w:left="1134" w:firstLine="0"/>
        <w:rPr>
          <w:rFonts w:eastAsia="MS Mincho"/>
        </w:rPr>
      </w:pPr>
      <w:r w:rsidRPr="0082667B">
        <w:rPr>
          <w:rFonts w:eastAsia="MS Mincho"/>
          <w:u w:val="single"/>
        </w:rPr>
        <w:t>Effective information for customers</w:t>
      </w:r>
      <w:r w:rsidRPr="0085013E">
        <w:rPr>
          <w:rFonts w:eastAsia="MS Mincho"/>
        </w:rPr>
        <w:t xml:space="preserve">: both an internet link and QR code will guide the user to a unique product page. This page, either revised regularly or connected with the company’s ERP system, will automatically update the information </w:t>
      </w:r>
      <w:r>
        <w:rPr>
          <w:rFonts w:eastAsia="MS Mincho"/>
        </w:rPr>
        <w:t>provided.  This can include hazard and use information for</w:t>
      </w:r>
      <w:r w:rsidRPr="0085013E">
        <w:rPr>
          <w:rFonts w:eastAsia="MS Mincho"/>
        </w:rPr>
        <w:t xml:space="preserve"> consumer</w:t>
      </w:r>
      <w:r>
        <w:rPr>
          <w:rFonts w:eastAsia="MS Mincho"/>
        </w:rPr>
        <w:t>s as well as</w:t>
      </w:r>
      <w:r w:rsidRPr="0085013E">
        <w:rPr>
          <w:rFonts w:eastAsia="MS Mincho"/>
        </w:rPr>
        <w:t xml:space="preserve"> </w:t>
      </w:r>
      <w:r>
        <w:rPr>
          <w:rFonts w:eastAsia="MS Mincho"/>
        </w:rPr>
        <w:t>s</w:t>
      </w:r>
      <w:r w:rsidRPr="0085013E">
        <w:rPr>
          <w:rFonts w:eastAsia="MS Mincho"/>
        </w:rPr>
        <w:t>afety data sheet</w:t>
      </w:r>
      <w:r>
        <w:rPr>
          <w:rFonts w:eastAsia="MS Mincho"/>
        </w:rPr>
        <w:t>s</w:t>
      </w:r>
      <w:r w:rsidRPr="0085013E">
        <w:rPr>
          <w:rFonts w:eastAsia="MS Mincho"/>
        </w:rPr>
        <w:t xml:space="preserve"> </w:t>
      </w:r>
      <w:r>
        <w:rPr>
          <w:rFonts w:eastAsia="MS Mincho"/>
        </w:rPr>
        <w:t xml:space="preserve">for </w:t>
      </w:r>
      <w:proofErr w:type="gramStart"/>
      <w:r>
        <w:rPr>
          <w:rFonts w:eastAsia="MS Mincho"/>
        </w:rPr>
        <w:t>professionals, and</w:t>
      </w:r>
      <w:proofErr w:type="gramEnd"/>
      <w:r>
        <w:rPr>
          <w:rFonts w:eastAsia="MS Mincho"/>
        </w:rPr>
        <w:t xml:space="preserve"> will enable the user always to access the most current version of that information</w:t>
      </w:r>
      <w:r w:rsidRPr="0085013E">
        <w:rPr>
          <w:rFonts w:eastAsia="MS Mincho"/>
        </w:rPr>
        <w:t xml:space="preserve">. </w:t>
      </w:r>
    </w:p>
    <w:p w:rsidR="00D84867" w:rsidRDefault="00D84867" w:rsidP="00D84867">
      <w:pPr>
        <w:pStyle w:val="SingleTxtG"/>
        <w:numPr>
          <w:ilvl w:val="0"/>
          <w:numId w:val="3"/>
        </w:numPr>
        <w:ind w:left="1134" w:firstLine="0"/>
        <w:rPr>
          <w:rFonts w:eastAsia="MS Mincho"/>
        </w:rPr>
      </w:pPr>
      <w:r w:rsidRPr="0075184C">
        <w:rPr>
          <w:rFonts w:eastAsia="MS Mincho"/>
          <w:u w:val="single"/>
        </w:rPr>
        <w:t>Readiness to enter a global market</w:t>
      </w:r>
      <w:r w:rsidRPr="0082667B">
        <w:rPr>
          <w:rFonts w:eastAsia="MS Mincho"/>
        </w:rPr>
        <w:t>:</w:t>
      </w:r>
      <w:r>
        <w:rPr>
          <w:rFonts w:eastAsia="MS Mincho"/>
        </w:rPr>
        <w:t xml:space="preserve"> c</w:t>
      </w:r>
      <w:r w:rsidRPr="0082667B">
        <w:rPr>
          <w:rFonts w:eastAsia="MS Mincho"/>
        </w:rPr>
        <w:t>onsumers need to be informed in their own country</w:t>
      </w:r>
      <w:r>
        <w:rPr>
          <w:rFonts w:eastAsia="MS Mincho"/>
        </w:rPr>
        <w:t>’s</w:t>
      </w:r>
      <w:r w:rsidRPr="0082667B">
        <w:rPr>
          <w:rFonts w:eastAsia="MS Mincho"/>
        </w:rPr>
        <w:t xml:space="preserve"> language. </w:t>
      </w:r>
      <w:r>
        <w:rPr>
          <w:rFonts w:eastAsia="MS Mincho"/>
        </w:rPr>
        <w:t xml:space="preserve"> </w:t>
      </w:r>
      <w:r w:rsidRPr="0082667B">
        <w:rPr>
          <w:rFonts w:eastAsia="MS Mincho"/>
        </w:rPr>
        <w:t xml:space="preserve">In a global internet-based market this is a challenge if companies are bound to communication practices of the last millennium. </w:t>
      </w:r>
      <w:r>
        <w:rPr>
          <w:rFonts w:eastAsia="MS Mincho"/>
        </w:rPr>
        <w:t xml:space="preserve"> </w:t>
      </w:r>
      <w:r w:rsidRPr="0082667B">
        <w:rPr>
          <w:rFonts w:eastAsia="MS Mincho"/>
        </w:rPr>
        <w:t xml:space="preserve">In </w:t>
      </w:r>
      <w:proofErr w:type="gramStart"/>
      <w:r w:rsidRPr="0082667B">
        <w:rPr>
          <w:rFonts w:eastAsia="MS Mincho"/>
        </w:rPr>
        <w:t>fact</w:t>
      </w:r>
      <w:proofErr w:type="gramEnd"/>
      <w:r w:rsidRPr="0082667B">
        <w:rPr>
          <w:rFonts w:eastAsia="MS Mincho"/>
        </w:rPr>
        <w:t xml:space="preserve"> it would be no challenge if </w:t>
      </w:r>
      <w:r>
        <w:rPr>
          <w:rFonts w:eastAsia="MS Mincho"/>
        </w:rPr>
        <w:t xml:space="preserve">the </w:t>
      </w:r>
      <w:r w:rsidRPr="0082667B">
        <w:rPr>
          <w:rFonts w:eastAsia="MS Mincho"/>
        </w:rPr>
        <w:t xml:space="preserve">legal environment would integrate internet based information as part of the information pathways. </w:t>
      </w:r>
    </w:p>
    <w:p w:rsidR="00D84867" w:rsidRPr="0082667B" w:rsidRDefault="00D84867" w:rsidP="00D84867">
      <w:pPr>
        <w:pStyle w:val="SingleTxtG"/>
        <w:numPr>
          <w:ilvl w:val="0"/>
          <w:numId w:val="3"/>
        </w:numPr>
        <w:ind w:left="1134" w:firstLine="0"/>
        <w:rPr>
          <w:rFonts w:eastAsia="MS Mincho"/>
        </w:rPr>
      </w:pPr>
      <w:r w:rsidRPr="0075184C">
        <w:rPr>
          <w:rFonts w:eastAsia="MS Mincho"/>
          <w:u w:val="single"/>
        </w:rPr>
        <w:t>Minimising packaging as far as possible</w:t>
      </w:r>
      <w:r>
        <w:rPr>
          <w:rFonts w:eastAsia="MS Mincho"/>
        </w:rPr>
        <w:t xml:space="preserve">: </w:t>
      </w:r>
      <w:r w:rsidRPr="0075184C">
        <w:rPr>
          <w:rFonts w:eastAsia="MS Mincho"/>
        </w:rPr>
        <w:t xml:space="preserve">There is no use in supplying booklets together with containers of 50 ml or less. </w:t>
      </w:r>
      <w:r>
        <w:rPr>
          <w:rFonts w:eastAsia="MS Mincho"/>
        </w:rPr>
        <w:t xml:space="preserve"> </w:t>
      </w:r>
      <w:proofErr w:type="gramStart"/>
      <w:r w:rsidRPr="0075184C">
        <w:rPr>
          <w:rFonts w:eastAsia="MS Mincho"/>
        </w:rPr>
        <w:t>In light of</w:t>
      </w:r>
      <w:proofErr w:type="gramEnd"/>
      <w:r w:rsidRPr="0075184C">
        <w:rPr>
          <w:rFonts w:eastAsia="MS Mincho"/>
        </w:rPr>
        <w:t xml:space="preserve"> sustainability and increasing calls for reduc</w:t>
      </w:r>
      <w:r>
        <w:rPr>
          <w:rFonts w:eastAsia="MS Mincho"/>
        </w:rPr>
        <w:t xml:space="preserve">tion in </w:t>
      </w:r>
      <w:r w:rsidRPr="0075184C">
        <w:rPr>
          <w:rFonts w:eastAsia="MS Mincho"/>
        </w:rPr>
        <w:t>plastics packaging it is highly recommended to use “waste-free” electronic means of information distribution</w:t>
      </w:r>
      <w:r>
        <w:rPr>
          <w:rFonts w:eastAsia="MS Mincho"/>
        </w:rPr>
        <w:t>.</w:t>
      </w:r>
    </w:p>
    <w:p w:rsidR="00D84867" w:rsidRDefault="00D84867" w:rsidP="00D84867">
      <w:pPr>
        <w:pStyle w:val="HChG"/>
        <w:rPr>
          <w:rFonts w:eastAsia="MS Mincho"/>
        </w:rPr>
      </w:pPr>
      <w:r>
        <w:rPr>
          <w:rFonts w:eastAsia="MS Mincho"/>
        </w:rPr>
        <w:tab/>
      </w:r>
      <w:r>
        <w:rPr>
          <w:rFonts w:eastAsia="MS Mincho"/>
        </w:rPr>
        <w:tab/>
      </w:r>
      <w:r w:rsidRPr="004845AC">
        <w:rPr>
          <w:rFonts w:eastAsia="MS Mincho"/>
        </w:rPr>
        <w:t>P</w:t>
      </w:r>
      <w:r>
        <w:rPr>
          <w:rFonts w:eastAsia="MS Mincho"/>
        </w:rPr>
        <w:t>ossible options to address labelling problems encountered</w:t>
      </w:r>
    </w:p>
    <w:p w:rsidR="00D84867" w:rsidRPr="000176DB" w:rsidRDefault="00D84867" w:rsidP="00D84867">
      <w:pPr>
        <w:pStyle w:val="H1G"/>
        <w:rPr>
          <w:rFonts w:eastAsia="MS Mincho"/>
        </w:rPr>
      </w:pPr>
      <w:r w:rsidRPr="000176DB">
        <w:rPr>
          <w:rFonts w:eastAsia="MS Mincho"/>
        </w:rPr>
        <w:tab/>
      </w:r>
      <w:r w:rsidRPr="000176DB">
        <w:rPr>
          <w:rFonts w:eastAsia="MS Mincho"/>
        </w:rPr>
        <w:tab/>
        <w:t>Justification for innovation</w:t>
      </w:r>
    </w:p>
    <w:p w:rsidR="00D84867" w:rsidRPr="00C04EB6" w:rsidRDefault="00D84867" w:rsidP="00D84867">
      <w:pPr>
        <w:pStyle w:val="SingleTxtG"/>
        <w:rPr>
          <w:rFonts w:eastAsia="MS Mincho"/>
        </w:rPr>
      </w:pPr>
      <w:r>
        <w:rPr>
          <w:rFonts w:eastAsia="MS Mincho"/>
        </w:rPr>
        <w:t>10.</w:t>
      </w:r>
      <w:r>
        <w:rPr>
          <w:rFonts w:eastAsia="MS Mincho"/>
        </w:rPr>
        <w:tab/>
      </w:r>
      <w:r w:rsidRPr="001D44FB">
        <w:rPr>
          <w:rFonts w:eastAsia="MS Mincho"/>
        </w:rPr>
        <w:t>The id</w:t>
      </w:r>
      <w:r>
        <w:rPr>
          <w:rFonts w:eastAsia="MS Mincho"/>
        </w:rPr>
        <w:t>ea to adapt l</w:t>
      </w:r>
      <w:r w:rsidRPr="001D44FB">
        <w:rPr>
          <w:rFonts w:eastAsia="MS Mincho"/>
        </w:rPr>
        <w:t>abelling requirements to the shape of the individual container is not entirely new. At least in Europe the predecessor of the CLP Regulation already included elements which allowed exemptions for very small packaging</w:t>
      </w:r>
      <w:r>
        <w:rPr>
          <w:rFonts w:eastAsia="MS Mincho"/>
        </w:rPr>
        <w:t>,</w:t>
      </w:r>
      <w:r w:rsidRPr="001D44FB">
        <w:rPr>
          <w:rFonts w:eastAsia="MS Mincho"/>
        </w:rPr>
        <w:t xml:space="preserve"> defined as &lt; 125 ml </w:t>
      </w:r>
      <w:r>
        <w:rPr>
          <w:rFonts w:eastAsia="MS Mincho"/>
        </w:rPr>
        <w:t>in</w:t>
      </w:r>
      <w:r w:rsidRPr="001D44FB">
        <w:rPr>
          <w:rFonts w:eastAsia="MS Mincho"/>
        </w:rPr>
        <w:t xml:space="preserve"> volume. </w:t>
      </w:r>
      <w:r>
        <w:rPr>
          <w:rFonts w:eastAsia="MS Mincho"/>
        </w:rPr>
        <w:t>The adoption of GHS, along with other relevant product legislation, has increased the amount of information required on labels.  L</w:t>
      </w:r>
      <w:r w:rsidRPr="001D44FB">
        <w:rPr>
          <w:rFonts w:eastAsia="MS Mincho"/>
        </w:rPr>
        <w:t>arge</w:t>
      </w:r>
      <w:r>
        <w:rPr>
          <w:rFonts w:eastAsia="MS Mincho"/>
        </w:rPr>
        <w:t xml:space="preserve">r </w:t>
      </w:r>
      <w:r w:rsidRPr="001D44FB">
        <w:rPr>
          <w:rFonts w:eastAsia="MS Mincho"/>
        </w:rPr>
        <w:t xml:space="preserve">packagings like </w:t>
      </w:r>
      <w:r>
        <w:rPr>
          <w:rFonts w:eastAsia="MS Mincho"/>
        </w:rPr>
        <w:t xml:space="preserve">drums, cans, </w:t>
      </w:r>
      <w:r w:rsidRPr="001D44FB">
        <w:rPr>
          <w:rFonts w:eastAsia="MS Mincho"/>
        </w:rPr>
        <w:t xml:space="preserve">big bags or barrels have plenty of surface to include all required labelling elements. </w:t>
      </w:r>
      <w:r>
        <w:rPr>
          <w:rFonts w:eastAsia="MS Mincho"/>
        </w:rPr>
        <w:t xml:space="preserve">For </w:t>
      </w:r>
      <w:r w:rsidRPr="001D44FB">
        <w:rPr>
          <w:rFonts w:eastAsia="MS Mincho"/>
        </w:rPr>
        <w:t xml:space="preserve">consumer products </w:t>
      </w:r>
      <w:r>
        <w:rPr>
          <w:rFonts w:eastAsia="MS Mincho"/>
        </w:rPr>
        <w:t xml:space="preserve">with </w:t>
      </w:r>
      <w:r w:rsidRPr="001D44FB">
        <w:rPr>
          <w:rFonts w:eastAsia="MS Mincho"/>
        </w:rPr>
        <w:t>small</w:t>
      </w:r>
      <w:r>
        <w:rPr>
          <w:rFonts w:eastAsia="MS Mincho"/>
        </w:rPr>
        <w:t>er</w:t>
      </w:r>
      <w:r w:rsidRPr="001D44FB">
        <w:rPr>
          <w:rFonts w:eastAsia="MS Mincho"/>
        </w:rPr>
        <w:t xml:space="preserve"> packagings </w:t>
      </w:r>
      <w:r>
        <w:rPr>
          <w:rFonts w:eastAsia="MS Mincho"/>
        </w:rPr>
        <w:t>the available surface area becomes a limiting factor.  This is e</w:t>
      </w:r>
      <w:r w:rsidRPr="001D44FB">
        <w:rPr>
          <w:rFonts w:eastAsia="MS Mincho"/>
        </w:rPr>
        <w:t xml:space="preserve">specially </w:t>
      </w:r>
      <w:r>
        <w:rPr>
          <w:rFonts w:eastAsia="MS Mincho"/>
        </w:rPr>
        <w:t xml:space="preserve">the case for </w:t>
      </w:r>
      <w:r w:rsidRPr="001D44FB">
        <w:rPr>
          <w:rFonts w:eastAsia="MS Mincho"/>
        </w:rPr>
        <w:t>artist</w:t>
      </w:r>
      <w:r>
        <w:rPr>
          <w:rFonts w:eastAsia="MS Mincho"/>
        </w:rPr>
        <w:t>s’</w:t>
      </w:r>
      <w:r w:rsidRPr="001D44FB">
        <w:rPr>
          <w:rFonts w:eastAsia="MS Mincho"/>
        </w:rPr>
        <w:t xml:space="preserve"> colour</w:t>
      </w:r>
      <w:r>
        <w:rPr>
          <w:rFonts w:eastAsia="MS Mincho"/>
        </w:rPr>
        <w:t>s,</w:t>
      </w:r>
      <w:r w:rsidRPr="001D44FB">
        <w:rPr>
          <w:rFonts w:eastAsia="MS Mincho"/>
        </w:rPr>
        <w:t xml:space="preserve"> which traditionally use very small containers to market their products. </w:t>
      </w:r>
      <w:r>
        <w:rPr>
          <w:rFonts w:eastAsia="MS Mincho"/>
        </w:rPr>
        <w:t xml:space="preserve"> The </w:t>
      </w:r>
      <w:r w:rsidRPr="001D44FB">
        <w:rPr>
          <w:rFonts w:eastAsia="MS Mincho"/>
        </w:rPr>
        <w:t xml:space="preserve">inevitable labelling </w:t>
      </w:r>
      <w:r>
        <w:rPr>
          <w:rFonts w:eastAsia="MS Mincho"/>
        </w:rPr>
        <w:t xml:space="preserve">difficulties due to </w:t>
      </w:r>
      <w:r w:rsidRPr="001D44FB">
        <w:rPr>
          <w:rFonts w:eastAsia="MS Mincho"/>
        </w:rPr>
        <w:t xml:space="preserve">surface </w:t>
      </w:r>
      <w:r>
        <w:rPr>
          <w:rFonts w:eastAsia="MS Mincho"/>
        </w:rPr>
        <w:t xml:space="preserve">space </w:t>
      </w:r>
      <w:r w:rsidRPr="001D44FB">
        <w:rPr>
          <w:rFonts w:eastAsia="MS Mincho"/>
        </w:rPr>
        <w:t xml:space="preserve">limitations </w:t>
      </w:r>
      <w:r>
        <w:rPr>
          <w:rFonts w:eastAsia="MS Mincho"/>
        </w:rPr>
        <w:t>have previously been described in INF.5 submitted to the 34</w:t>
      </w:r>
      <w:r w:rsidRPr="000B4E77">
        <w:rPr>
          <w:rFonts w:eastAsia="MS Mincho"/>
          <w:vertAlign w:val="superscript"/>
        </w:rPr>
        <w:t>th</w:t>
      </w:r>
      <w:r>
        <w:rPr>
          <w:rFonts w:eastAsia="MS Mincho"/>
        </w:rPr>
        <w:t xml:space="preserve"> session by </w:t>
      </w:r>
      <w:proofErr w:type="gramStart"/>
      <w:r>
        <w:rPr>
          <w:rFonts w:eastAsia="MS Mincho"/>
        </w:rPr>
        <w:t>A.I.S.E..</w:t>
      </w:r>
      <w:proofErr w:type="gramEnd"/>
      <w:r>
        <w:rPr>
          <w:rFonts w:eastAsia="MS Mincho"/>
        </w:rPr>
        <w:t xml:space="preserve"> </w:t>
      </w:r>
    </w:p>
    <w:p w:rsidR="00D84867" w:rsidRDefault="00D84867" w:rsidP="00D84867">
      <w:pPr>
        <w:pStyle w:val="SingleTxtG"/>
        <w:rPr>
          <w:rFonts w:eastAsia="MS Mincho"/>
        </w:rPr>
      </w:pPr>
      <w:r>
        <w:rPr>
          <w:rFonts w:eastAsia="MS Mincho"/>
        </w:rPr>
        <w:t>11.</w:t>
      </w:r>
      <w:r>
        <w:rPr>
          <w:rFonts w:eastAsia="MS Mincho"/>
        </w:rPr>
        <w:tab/>
      </w:r>
      <w:r w:rsidRPr="001D44FB">
        <w:rPr>
          <w:rFonts w:eastAsia="MS Mincho"/>
        </w:rPr>
        <w:t xml:space="preserve">To </w:t>
      </w:r>
      <w:r>
        <w:rPr>
          <w:rFonts w:eastAsia="MS Mincho"/>
        </w:rPr>
        <w:t>address</w:t>
      </w:r>
      <w:r w:rsidRPr="001D44FB">
        <w:rPr>
          <w:rFonts w:eastAsia="MS Mincho"/>
        </w:rPr>
        <w:t xml:space="preserve"> this </w:t>
      </w:r>
      <w:proofErr w:type="gramStart"/>
      <w:r>
        <w:rPr>
          <w:rFonts w:eastAsia="MS Mincho"/>
        </w:rPr>
        <w:t>issue</w:t>
      </w:r>
      <w:proofErr w:type="gramEnd"/>
      <w:r w:rsidRPr="001D44FB">
        <w:rPr>
          <w:rFonts w:eastAsia="MS Mincho"/>
        </w:rPr>
        <w:t xml:space="preserve"> we propose to use </w:t>
      </w:r>
      <w:r>
        <w:rPr>
          <w:rFonts w:eastAsia="MS Mincho"/>
        </w:rPr>
        <w:t xml:space="preserve">a flexible </w:t>
      </w:r>
      <w:r w:rsidRPr="001D44FB">
        <w:rPr>
          <w:rFonts w:eastAsia="MS Mincho"/>
        </w:rPr>
        <w:t xml:space="preserve">evaluation concept </w:t>
      </w:r>
      <w:r>
        <w:rPr>
          <w:rFonts w:eastAsia="MS Mincho"/>
        </w:rPr>
        <w:t xml:space="preserve">to justify more adapted labelling requirements, as foreseen in Annex 5 to GHS.  As an </w:t>
      </w:r>
      <w:proofErr w:type="gramStart"/>
      <w:r>
        <w:rPr>
          <w:rFonts w:eastAsia="MS Mincho"/>
        </w:rPr>
        <w:t>example</w:t>
      </w:r>
      <w:proofErr w:type="gramEnd"/>
      <w:r>
        <w:rPr>
          <w:rFonts w:eastAsia="MS Mincho"/>
        </w:rPr>
        <w:t xml:space="preserve"> we would like to refer to the predecessor of CLP, the</w:t>
      </w:r>
      <w:r w:rsidRPr="001D44FB">
        <w:rPr>
          <w:rFonts w:eastAsia="MS Mincho"/>
        </w:rPr>
        <w:t xml:space="preserve"> </w:t>
      </w:r>
      <w:r>
        <w:rPr>
          <w:rFonts w:eastAsia="MS Mincho"/>
        </w:rPr>
        <w:t>EU ‘Dangerous Preparations D</w:t>
      </w:r>
      <w:r w:rsidRPr="001D44FB">
        <w:rPr>
          <w:rFonts w:eastAsia="MS Mincho"/>
        </w:rPr>
        <w:t>irective</w:t>
      </w:r>
      <w:r>
        <w:rPr>
          <w:rFonts w:eastAsia="MS Mincho"/>
        </w:rPr>
        <w:t>’</w:t>
      </w:r>
      <w:r w:rsidRPr="001D44FB">
        <w:rPr>
          <w:rFonts w:eastAsia="MS Mincho"/>
        </w:rPr>
        <w:t xml:space="preserve"> 1999/45/EC</w:t>
      </w:r>
      <w:r>
        <w:rPr>
          <w:rStyle w:val="FootnoteReference"/>
          <w:rFonts w:eastAsia="MS Mincho"/>
        </w:rPr>
        <w:footnoteReference w:id="2"/>
      </w:r>
      <w:r>
        <w:rPr>
          <w:rFonts w:eastAsia="MS Mincho"/>
        </w:rPr>
        <w:t>, which provides constructive aspects</w:t>
      </w:r>
      <w:r w:rsidRPr="001D44FB">
        <w:rPr>
          <w:rFonts w:eastAsia="MS Mincho"/>
        </w:rPr>
        <w:t xml:space="preserve"> </w:t>
      </w:r>
      <w:r>
        <w:rPr>
          <w:rFonts w:eastAsia="MS Mincho"/>
        </w:rPr>
        <w:t xml:space="preserve">for </w:t>
      </w:r>
      <w:r w:rsidRPr="001D44FB">
        <w:rPr>
          <w:rFonts w:eastAsia="MS Mincho"/>
        </w:rPr>
        <w:t>the labelling of very small packaging intended for the general public (</w:t>
      </w:r>
      <w:r>
        <w:rPr>
          <w:rFonts w:eastAsia="MS Mincho"/>
        </w:rPr>
        <w:t>hereafter ‘</w:t>
      </w:r>
      <w:proofErr w:type="spellStart"/>
      <w:r w:rsidRPr="001D44FB">
        <w:rPr>
          <w:rFonts w:eastAsia="MS Mincho"/>
        </w:rPr>
        <w:t>pubVSP</w:t>
      </w:r>
      <w:proofErr w:type="spellEnd"/>
      <w:r>
        <w:rPr>
          <w:rFonts w:eastAsia="MS Mincho"/>
        </w:rPr>
        <w:t>’</w:t>
      </w:r>
      <w:r w:rsidRPr="001D44FB">
        <w:rPr>
          <w:rFonts w:eastAsia="MS Mincho"/>
        </w:rPr>
        <w:t>).</w:t>
      </w:r>
      <w:r>
        <w:rPr>
          <w:rFonts w:eastAsia="MS Mincho"/>
        </w:rPr>
        <w:t xml:space="preserve">  </w:t>
      </w:r>
      <w:r w:rsidRPr="001D44FB">
        <w:rPr>
          <w:rFonts w:eastAsia="MS Mincho"/>
        </w:rPr>
        <w:t xml:space="preserve">The main advantage </w:t>
      </w:r>
      <w:r>
        <w:rPr>
          <w:rFonts w:eastAsia="MS Mincho"/>
        </w:rPr>
        <w:t>of D</w:t>
      </w:r>
      <w:r w:rsidRPr="001D44FB">
        <w:rPr>
          <w:rFonts w:eastAsia="MS Mincho"/>
        </w:rPr>
        <w:t xml:space="preserve">irective 1999/45/EC was its flexibility of implementation. </w:t>
      </w:r>
      <w:r>
        <w:rPr>
          <w:rFonts w:eastAsia="MS Mincho"/>
        </w:rPr>
        <w:t xml:space="preserve"> </w:t>
      </w:r>
      <w:r w:rsidRPr="001D44FB">
        <w:rPr>
          <w:rFonts w:eastAsia="MS Mincho"/>
        </w:rPr>
        <w:t xml:space="preserve">It granted deviations that gave companies enough flexibility to choose an appropriate </w:t>
      </w:r>
      <w:r>
        <w:rPr>
          <w:rFonts w:eastAsia="MS Mincho"/>
        </w:rPr>
        <w:t>method</w:t>
      </w:r>
      <w:r w:rsidRPr="001D44FB">
        <w:rPr>
          <w:rFonts w:eastAsia="MS Mincho"/>
        </w:rPr>
        <w:t xml:space="preserve"> for each specific packaging</w:t>
      </w:r>
      <w:r>
        <w:rPr>
          <w:rFonts w:eastAsia="MS Mincho"/>
        </w:rPr>
        <w:t xml:space="preserve"> without permanently creating non-</w:t>
      </w:r>
      <w:r w:rsidRPr="001D44FB">
        <w:rPr>
          <w:rFonts w:eastAsia="MS Mincho"/>
        </w:rPr>
        <w:t>compliances.</w:t>
      </w:r>
      <w:r>
        <w:rPr>
          <w:rFonts w:eastAsia="MS Mincho"/>
        </w:rPr>
        <w:t xml:space="preserve">  In combination with an online information component for hazard communication, consumers’ needs, health protection concerns of legislators and market access for companies could all be satisfied.</w:t>
      </w:r>
    </w:p>
    <w:p w:rsidR="00D84867" w:rsidRPr="001D44FB" w:rsidRDefault="00D84867" w:rsidP="00D84867">
      <w:pPr>
        <w:pStyle w:val="HChG"/>
        <w:rPr>
          <w:rFonts w:eastAsia="MS Mincho"/>
          <w:sz w:val="24"/>
        </w:rPr>
      </w:pPr>
      <w:r w:rsidRPr="001D44FB">
        <w:rPr>
          <w:rFonts w:eastAsia="MS Mincho"/>
          <w:sz w:val="24"/>
        </w:rPr>
        <w:lastRenderedPageBreak/>
        <w:tab/>
      </w:r>
      <w:r w:rsidRPr="001D44FB">
        <w:rPr>
          <w:rFonts w:eastAsia="MS Mincho"/>
          <w:sz w:val="24"/>
        </w:rPr>
        <w:tab/>
      </w:r>
      <w:r>
        <w:rPr>
          <w:rFonts w:eastAsia="MS Mincho"/>
          <w:sz w:val="24"/>
        </w:rPr>
        <w:t>Examples from Directive 1999/45/EC</w:t>
      </w:r>
    </w:p>
    <w:p w:rsidR="00D84867" w:rsidRDefault="00D84867" w:rsidP="00D84867">
      <w:pPr>
        <w:pStyle w:val="SingleTxtG"/>
        <w:rPr>
          <w:rFonts w:eastAsia="MS Mincho"/>
        </w:rPr>
      </w:pPr>
      <w:r>
        <w:rPr>
          <w:rFonts w:eastAsia="MS Mincho"/>
        </w:rPr>
        <w:t>12.</w:t>
      </w:r>
      <w:r>
        <w:rPr>
          <w:rFonts w:eastAsia="MS Mincho"/>
        </w:rPr>
        <w:tab/>
        <w:t xml:space="preserve">Article 12 </w:t>
      </w:r>
      <w:r w:rsidRPr="002601F5">
        <w:rPr>
          <w:rFonts w:eastAsia="MS Mincho"/>
        </w:rPr>
        <w:t>(‘</w:t>
      </w:r>
      <w:r w:rsidRPr="002601F5">
        <w:rPr>
          <w:bCs/>
          <w:lang w:eastAsia="zh-CN"/>
        </w:rPr>
        <w:t>Exemptions from the labelling and packaging requirements’)</w:t>
      </w:r>
      <w:r w:rsidRPr="002601F5">
        <w:rPr>
          <w:rFonts w:eastAsia="MS Mincho"/>
        </w:rPr>
        <w:t>, paragraph</w:t>
      </w:r>
      <w:r>
        <w:rPr>
          <w:rFonts w:eastAsia="MS Mincho"/>
        </w:rPr>
        <w:t xml:space="preserve"> 3 allowed Member States to:</w:t>
      </w:r>
    </w:p>
    <w:p w:rsidR="00D84867" w:rsidRDefault="00D84867" w:rsidP="00D84867">
      <w:pPr>
        <w:pStyle w:val="SingleTxtG"/>
        <w:rPr>
          <w:rFonts w:eastAsia="MS Mincho"/>
          <w:i/>
        </w:rPr>
      </w:pPr>
      <w:r>
        <w:rPr>
          <w:rFonts w:eastAsia="MS Mincho"/>
        </w:rPr>
        <w:t>“</w:t>
      </w:r>
      <w:r w:rsidRPr="002601F5">
        <w:rPr>
          <w:rFonts w:eastAsia="MS Mincho"/>
          <w:i/>
        </w:rPr>
        <w:t xml:space="preserve">permit the labelling </w:t>
      </w:r>
      <w:r>
        <w:rPr>
          <w:rFonts w:eastAsia="MS Mincho"/>
          <w:i/>
        </w:rPr>
        <w:t>…</w:t>
      </w:r>
      <w:r w:rsidRPr="002601F5">
        <w:rPr>
          <w:rFonts w:eastAsia="MS Mincho"/>
          <w:i/>
        </w:rPr>
        <w:t xml:space="preserve"> </w:t>
      </w:r>
      <w:r w:rsidRPr="000B4E77">
        <w:rPr>
          <w:rFonts w:eastAsia="MS Mincho"/>
          <w:b/>
          <w:i/>
          <w:u w:val="single"/>
        </w:rPr>
        <w:t xml:space="preserve">to be applied in some other appropriate manner on packages </w:t>
      </w:r>
      <w:r w:rsidRPr="002601F5">
        <w:rPr>
          <w:rFonts w:eastAsia="MS Mincho"/>
          <w:i/>
        </w:rPr>
        <w:t>which are either too small</w:t>
      </w:r>
      <w:r>
        <w:rPr>
          <w:rFonts w:eastAsia="MS Mincho"/>
          <w:i/>
        </w:rPr>
        <w:t xml:space="preserve"> </w:t>
      </w:r>
      <w:r w:rsidRPr="002601F5">
        <w:rPr>
          <w:rFonts w:eastAsia="MS Mincho"/>
          <w:i/>
        </w:rPr>
        <w:t>or otherwise unsuitable for labelling</w:t>
      </w:r>
      <w:r>
        <w:rPr>
          <w:rFonts w:eastAsia="MS Mincho"/>
          <w:i/>
        </w:rPr>
        <w:t xml:space="preserve"> …”</w:t>
      </w:r>
    </w:p>
    <w:p w:rsidR="00D84867" w:rsidRDefault="00D84867" w:rsidP="00D84867">
      <w:pPr>
        <w:pStyle w:val="SingleTxtG"/>
        <w:rPr>
          <w:rFonts w:eastAsia="MS Mincho"/>
          <w:i/>
        </w:rPr>
      </w:pPr>
      <w:r>
        <w:rPr>
          <w:rFonts w:eastAsia="MS Mincho"/>
          <w:i/>
        </w:rPr>
        <w:t>“</w:t>
      </w:r>
      <w:r w:rsidRPr="00A6450D">
        <w:rPr>
          <w:rFonts w:eastAsia="MS Mincho"/>
          <w:i/>
        </w:rPr>
        <w:t>permit the packaging</w:t>
      </w:r>
      <w:r>
        <w:rPr>
          <w:rFonts w:eastAsia="MS Mincho"/>
          <w:i/>
        </w:rPr>
        <w:t xml:space="preserve"> </w:t>
      </w:r>
      <w:r w:rsidRPr="00A6450D">
        <w:rPr>
          <w:rFonts w:eastAsia="MS Mincho"/>
          <w:i/>
        </w:rPr>
        <w:t>of</w:t>
      </w:r>
      <w:r>
        <w:rPr>
          <w:rFonts w:eastAsia="MS Mincho"/>
          <w:i/>
        </w:rPr>
        <w:t xml:space="preserve"> [certain]</w:t>
      </w:r>
      <w:r w:rsidRPr="00A6450D">
        <w:rPr>
          <w:rFonts w:eastAsia="MS Mincho"/>
          <w:i/>
        </w:rPr>
        <w:t xml:space="preserve"> dangerous preparations </w:t>
      </w:r>
      <w:r>
        <w:rPr>
          <w:rFonts w:eastAsia="MS Mincho"/>
          <w:i/>
        </w:rPr>
        <w:t>…</w:t>
      </w:r>
      <w:r w:rsidRPr="00A6450D">
        <w:rPr>
          <w:rFonts w:eastAsia="MS Mincho"/>
          <w:i/>
        </w:rPr>
        <w:t xml:space="preserve"> </w:t>
      </w:r>
      <w:r w:rsidRPr="000B4E77">
        <w:rPr>
          <w:rFonts w:eastAsia="MS Mincho"/>
          <w:b/>
          <w:i/>
          <w:u w:val="single"/>
        </w:rPr>
        <w:t>to be unlabelled or to be labelled in some other way,</w:t>
      </w:r>
      <w:r w:rsidRPr="00A6450D">
        <w:rPr>
          <w:rFonts w:eastAsia="MS Mincho"/>
          <w:i/>
        </w:rPr>
        <w:t xml:space="preserve"> if they contain such</w:t>
      </w:r>
      <w:r>
        <w:rPr>
          <w:rFonts w:eastAsia="MS Mincho"/>
          <w:i/>
        </w:rPr>
        <w:t xml:space="preserve"> </w:t>
      </w:r>
      <w:r w:rsidRPr="00A6450D">
        <w:rPr>
          <w:rFonts w:eastAsia="MS Mincho"/>
          <w:i/>
        </w:rPr>
        <w:t>small quantities that there is no reason to fear any danger to persons</w:t>
      </w:r>
      <w:r>
        <w:rPr>
          <w:rFonts w:eastAsia="MS Mincho"/>
          <w:i/>
        </w:rPr>
        <w:t xml:space="preserve"> </w:t>
      </w:r>
      <w:r w:rsidRPr="00A6450D">
        <w:rPr>
          <w:rFonts w:eastAsia="MS Mincho"/>
          <w:i/>
        </w:rPr>
        <w:t>handling such preparations or to other persons</w:t>
      </w:r>
      <w:r>
        <w:rPr>
          <w:rFonts w:eastAsia="MS Mincho"/>
          <w:i/>
        </w:rPr>
        <w:t xml:space="preserve"> / no reason to fear any dangers to the environment”.</w:t>
      </w:r>
    </w:p>
    <w:p w:rsidR="00D84867" w:rsidRPr="00A6450D" w:rsidRDefault="00D84867" w:rsidP="00D84867">
      <w:pPr>
        <w:pStyle w:val="HChG"/>
        <w:rPr>
          <w:rFonts w:eastAsia="MS Mincho"/>
          <w:sz w:val="24"/>
        </w:rPr>
      </w:pPr>
      <w:r w:rsidRPr="001D44FB">
        <w:rPr>
          <w:rFonts w:eastAsia="MS Mincho"/>
          <w:sz w:val="24"/>
        </w:rPr>
        <w:tab/>
      </w:r>
      <w:r w:rsidRPr="001D44FB">
        <w:rPr>
          <w:rFonts w:eastAsia="MS Mincho"/>
          <w:sz w:val="24"/>
        </w:rPr>
        <w:tab/>
      </w:r>
      <w:r>
        <w:rPr>
          <w:rFonts w:eastAsia="MS Mincho"/>
          <w:sz w:val="24"/>
        </w:rPr>
        <w:t>Identification of digital information source</w:t>
      </w:r>
    </w:p>
    <w:p w:rsidR="00D84867" w:rsidRDefault="00D84867" w:rsidP="00D84867">
      <w:pPr>
        <w:pStyle w:val="SingleTxtG"/>
        <w:rPr>
          <w:rFonts w:eastAsia="MS Mincho"/>
        </w:rPr>
      </w:pPr>
      <w:r>
        <w:rPr>
          <w:rFonts w:eastAsia="MS Mincho"/>
        </w:rPr>
        <w:t>13.</w:t>
      </w:r>
      <w:r>
        <w:rPr>
          <w:rFonts w:eastAsia="MS Mincho"/>
        </w:rPr>
        <w:tab/>
        <w:t xml:space="preserve">Since </w:t>
      </w:r>
      <w:proofErr w:type="gramStart"/>
      <w:r>
        <w:rPr>
          <w:rFonts w:eastAsia="MS Mincho"/>
        </w:rPr>
        <w:t>some kind of attraction</w:t>
      </w:r>
      <w:proofErr w:type="gramEnd"/>
      <w:r>
        <w:rPr>
          <w:rFonts w:eastAsia="MS Mincho"/>
        </w:rPr>
        <w:t xml:space="preserve"> icon would be useful to indicate electronically available information, this topic is proposed for further discussion.  Example of an attraction icon combined with a product-specific microsite link:</w:t>
      </w:r>
    </w:p>
    <w:p w:rsidR="00D84867" w:rsidRDefault="00D84867" w:rsidP="00D84867">
      <w:pPr>
        <w:pStyle w:val="SingleTxtG"/>
        <w:rPr>
          <w:rFonts w:eastAsia="MS Mincho"/>
        </w:rPr>
      </w:pPr>
      <w:r>
        <w:rPr>
          <w:noProof/>
          <w:lang w:eastAsia="en-GB"/>
        </w:rPr>
        <w:drawing>
          <wp:inline distT="0" distB="0" distL="0" distR="0" wp14:anchorId="24277D88" wp14:editId="1A077FE8">
            <wp:extent cx="1022350" cy="1035696"/>
            <wp:effectExtent l="0" t="0" r="6350" b="0"/>
            <wp:docPr id="1029" name="Grafik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7196" cy="1040605"/>
                    </a:xfrm>
                    <a:prstGeom prst="rect">
                      <a:avLst/>
                    </a:prstGeom>
                    <a:noFill/>
                    <a:ln>
                      <a:noFill/>
                    </a:ln>
                  </pic:spPr>
                </pic:pic>
              </a:graphicData>
            </a:graphic>
          </wp:inline>
        </w:drawing>
      </w:r>
    </w:p>
    <w:p w:rsidR="00D84867" w:rsidRDefault="00D84867" w:rsidP="00D84867">
      <w:pPr>
        <w:pStyle w:val="SingleTxtG"/>
        <w:rPr>
          <w:rFonts w:eastAsia="MS Mincho"/>
        </w:rPr>
      </w:pPr>
      <w:r>
        <w:rPr>
          <w:rFonts w:eastAsia="MS Mincho"/>
        </w:rPr>
        <w:t>In the case of an even surface the inner icon could be replaced by a QR code or, for smaller containers, by an ECC200 code</w:t>
      </w:r>
      <w:r>
        <w:rPr>
          <w:rStyle w:val="FootnoteReference"/>
          <w:rFonts w:eastAsia="MS Mincho"/>
        </w:rPr>
        <w:footnoteReference w:id="3"/>
      </w:r>
      <w:r>
        <w:rPr>
          <w:rFonts w:eastAsia="MS Mincho"/>
        </w:rPr>
        <w:t>.  Example layout for a combined label:</w:t>
      </w:r>
    </w:p>
    <w:p w:rsidR="00D84867" w:rsidRDefault="00D84867" w:rsidP="00D84867">
      <w:pPr>
        <w:pStyle w:val="SingleTxtG"/>
        <w:rPr>
          <w:rFonts w:eastAsia="MS Mincho"/>
        </w:rPr>
      </w:pPr>
      <w:r>
        <w:rPr>
          <w:noProof/>
          <w:lang w:eastAsia="en-GB"/>
        </w:rPr>
        <w:drawing>
          <wp:inline distT="0" distB="0" distL="0" distR="0" wp14:anchorId="2CC2B548" wp14:editId="44B1685E">
            <wp:extent cx="3435350" cy="1153808"/>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341" cy="1155149"/>
                    </a:xfrm>
                    <a:prstGeom prst="rect">
                      <a:avLst/>
                    </a:prstGeom>
                    <a:noFill/>
                    <a:ln>
                      <a:noFill/>
                    </a:ln>
                  </pic:spPr>
                </pic:pic>
              </a:graphicData>
            </a:graphic>
          </wp:inline>
        </w:drawing>
      </w:r>
    </w:p>
    <w:p w:rsidR="00D84867" w:rsidRPr="00A6450D" w:rsidRDefault="00D84867" w:rsidP="00D84867">
      <w:pPr>
        <w:pStyle w:val="SingleTxtG"/>
        <w:rPr>
          <w:rFonts w:eastAsia="MS Mincho"/>
        </w:rPr>
      </w:pPr>
      <w:r>
        <w:rPr>
          <w:rFonts w:eastAsia="MS Mincho"/>
        </w:rPr>
        <w:t>14.</w:t>
      </w:r>
      <w:r>
        <w:rPr>
          <w:rFonts w:eastAsia="MS Mincho"/>
        </w:rPr>
        <w:tab/>
        <w:t>Annex 1 to this document shows a compilation of typical consumer product packages identified as ‘</w:t>
      </w:r>
      <w:proofErr w:type="spellStart"/>
      <w:r>
        <w:rPr>
          <w:rFonts w:eastAsia="MS Mincho"/>
        </w:rPr>
        <w:t>pubVSP</w:t>
      </w:r>
      <w:proofErr w:type="spellEnd"/>
      <w:r>
        <w:rPr>
          <w:rFonts w:eastAsia="MS Mincho"/>
        </w:rPr>
        <w:t>’ which could benefit from the approach described.  Annex 2 lists possible options to address the difficulties of labelling ‘</w:t>
      </w:r>
      <w:proofErr w:type="spellStart"/>
      <w:r>
        <w:rPr>
          <w:rFonts w:eastAsia="MS Mincho"/>
        </w:rPr>
        <w:t>pubVSP</w:t>
      </w:r>
      <w:proofErr w:type="spellEnd"/>
      <w:r>
        <w:rPr>
          <w:rFonts w:eastAsia="MS Mincho"/>
        </w:rPr>
        <w:t>’ with an analysis of their pros and cons.</w:t>
      </w:r>
    </w:p>
    <w:p w:rsidR="00D84867" w:rsidRPr="004845AC" w:rsidRDefault="00D84867" w:rsidP="00D84867">
      <w:pPr>
        <w:pStyle w:val="HChG"/>
        <w:rPr>
          <w:rFonts w:eastAsia="MS Mincho"/>
        </w:rPr>
      </w:pPr>
      <w:r>
        <w:rPr>
          <w:rFonts w:eastAsia="MS Mincho"/>
        </w:rPr>
        <w:tab/>
      </w:r>
      <w:r>
        <w:rPr>
          <w:rFonts w:eastAsia="MS Mincho"/>
        </w:rPr>
        <w:tab/>
      </w:r>
      <w:r w:rsidRPr="004845AC">
        <w:rPr>
          <w:rFonts w:eastAsia="MS Mincho"/>
        </w:rPr>
        <w:t>Propos</w:t>
      </w:r>
      <w:r>
        <w:rPr>
          <w:rFonts w:eastAsia="MS Mincho"/>
        </w:rPr>
        <w:t>al</w:t>
      </w:r>
    </w:p>
    <w:p w:rsidR="00A2668F" w:rsidRDefault="00D84867" w:rsidP="00D84867">
      <w:pPr>
        <w:pStyle w:val="SingleTxtG"/>
      </w:pPr>
      <w:r>
        <w:rPr>
          <w:rFonts w:eastAsia="MS Mincho"/>
        </w:rPr>
        <w:t>15.</w:t>
      </w:r>
      <w:r>
        <w:rPr>
          <w:rFonts w:eastAsia="MS Mincho"/>
        </w:rPr>
        <w:tab/>
      </w:r>
      <w:r>
        <w:t xml:space="preserve">IPPIC proposes that in the 2019-2020 biennium the informal working group on labelling of small packagings/practical labelling issues discuss the development of some specific </w:t>
      </w:r>
      <w:r w:rsidRPr="00CC049E">
        <w:t xml:space="preserve">examples in </w:t>
      </w:r>
      <w:r>
        <w:t>A</w:t>
      </w:r>
      <w:r w:rsidRPr="00CC049E">
        <w:t xml:space="preserve">nnex 7 of the GHS </w:t>
      </w:r>
      <w:r>
        <w:t>to resolve labelling issues observed for products in very small packagings/containers as described above.</w:t>
      </w:r>
      <w:r w:rsidR="00A2668F">
        <w:br w:type="page"/>
      </w:r>
    </w:p>
    <w:p w:rsidR="00D84867" w:rsidRDefault="00D84867" w:rsidP="00A2668F">
      <w:pPr>
        <w:suppressAutoHyphens w:val="0"/>
        <w:spacing w:line="240" w:lineRule="auto"/>
        <w:sectPr w:rsidR="00D84867" w:rsidSect="00A2668F">
          <w:headerReference w:type="even" r:id="rId9"/>
          <w:headerReference w:type="default" r:id="rId10"/>
          <w:footerReference w:type="even" r:id="rId11"/>
          <w:footerReference w:type="default" r:id="rId12"/>
          <w:endnotePr>
            <w:numFmt w:val="decimal"/>
          </w:endnotePr>
          <w:pgSz w:w="11907" w:h="16840" w:code="9"/>
          <w:pgMar w:top="1701" w:right="1134" w:bottom="2268" w:left="1134" w:header="1134" w:footer="1701" w:gutter="0"/>
          <w:cols w:space="720"/>
          <w:titlePg/>
          <w:docGrid w:linePitch="272"/>
        </w:sectPr>
      </w:pPr>
    </w:p>
    <w:p w:rsidR="00D84867" w:rsidRPr="004845AC" w:rsidRDefault="00D84867" w:rsidP="00D84867">
      <w:pPr>
        <w:pStyle w:val="HChG"/>
        <w:rPr>
          <w:rFonts w:eastAsia="MS Mincho"/>
        </w:rPr>
      </w:pPr>
      <w:r w:rsidRPr="004845AC">
        <w:rPr>
          <w:rFonts w:eastAsia="MS Mincho"/>
        </w:rPr>
        <w:lastRenderedPageBreak/>
        <w:t>A</w:t>
      </w:r>
      <w:r>
        <w:rPr>
          <w:rFonts w:eastAsia="MS Mincho"/>
        </w:rPr>
        <w:t>nnex 1</w:t>
      </w:r>
    </w:p>
    <w:tbl>
      <w:tblPr>
        <w:tblW w:w="12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6"/>
        <w:gridCol w:w="2268"/>
        <w:gridCol w:w="1276"/>
        <w:gridCol w:w="3402"/>
        <w:gridCol w:w="4394"/>
      </w:tblGrid>
      <w:tr w:rsidR="00D84867" w:rsidRPr="000B4E77" w:rsidTr="009D1AF4">
        <w:trPr>
          <w:tblHeader/>
          <w:jc w:val="center"/>
        </w:trPr>
        <w:tc>
          <w:tcPr>
            <w:tcW w:w="12596" w:type="dxa"/>
            <w:gridSpan w:val="5"/>
            <w:shd w:val="clear" w:color="auto" w:fill="FFFFCC"/>
          </w:tcPr>
          <w:p w:rsidR="00D84867" w:rsidRPr="000B4E77" w:rsidRDefault="00D84867" w:rsidP="009D1AF4">
            <w:pPr>
              <w:rPr>
                <w:b/>
                <w:lang w:val="en-US"/>
              </w:rPr>
            </w:pPr>
            <w:r w:rsidRPr="000B4E77">
              <w:rPr>
                <w:b/>
                <w:lang w:val="en-US"/>
              </w:rPr>
              <w:t xml:space="preserve">Collection of consumer products </w:t>
            </w:r>
            <w:r>
              <w:rPr>
                <w:b/>
                <w:lang w:val="en-US"/>
              </w:rPr>
              <w:t>which could</w:t>
            </w:r>
            <w:r w:rsidRPr="000B4E77">
              <w:rPr>
                <w:b/>
                <w:lang w:val="en-US"/>
              </w:rPr>
              <w:t xml:space="preserve"> be addressed in labelling examples within the UN GHS</w:t>
            </w:r>
          </w:p>
        </w:tc>
      </w:tr>
      <w:tr w:rsidR="00D84867" w:rsidRPr="000B4E77" w:rsidTr="009D1AF4">
        <w:trPr>
          <w:tblHeader/>
          <w:jc w:val="center"/>
        </w:trPr>
        <w:tc>
          <w:tcPr>
            <w:tcW w:w="1256" w:type="dxa"/>
            <w:shd w:val="clear" w:color="auto" w:fill="FFFFCC"/>
          </w:tcPr>
          <w:p w:rsidR="00D84867" w:rsidRPr="000B4E77" w:rsidRDefault="00D84867" w:rsidP="009D1AF4">
            <w:pPr>
              <w:rPr>
                <w:lang w:val="en-US"/>
              </w:rPr>
            </w:pPr>
            <w:r w:rsidRPr="000B4E77">
              <w:rPr>
                <w:lang w:val="en-US"/>
              </w:rPr>
              <w:t>Example</w:t>
            </w:r>
          </w:p>
        </w:tc>
        <w:tc>
          <w:tcPr>
            <w:tcW w:w="2268" w:type="dxa"/>
            <w:shd w:val="clear" w:color="auto" w:fill="FFFFCC"/>
          </w:tcPr>
          <w:p w:rsidR="00D84867" w:rsidRPr="000B4E77" w:rsidRDefault="00D84867" w:rsidP="009D1AF4">
            <w:pPr>
              <w:rPr>
                <w:lang w:val="en-US"/>
              </w:rPr>
            </w:pPr>
            <w:r w:rsidRPr="000B4E77">
              <w:rPr>
                <w:lang w:val="en-US"/>
              </w:rPr>
              <w:t>Product examples</w:t>
            </w:r>
          </w:p>
        </w:tc>
        <w:tc>
          <w:tcPr>
            <w:tcW w:w="1276" w:type="dxa"/>
            <w:shd w:val="clear" w:color="auto" w:fill="FFFFCC"/>
          </w:tcPr>
          <w:p w:rsidR="00D84867" w:rsidRPr="000B4E77" w:rsidRDefault="00D84867" w:rsidP="009D1AF4">
            <w:pPr>
              <w:rPr>
                <w:lang w:val="en-US"/>
              </w:rPr>
            </w:pPr>
            <w:r w:rsidRPr="000B4E77">
              <w:rPr>
                <w:lang w:val="en-US"/>
              </w:rPr>
              <w:t>Size</w:t>
            </w:r>
          </w:p>
        </w:tc>
        <w:tc>
          <w:tcPr>
            <w:tcW w:w="3402" w:type="dxa"/>
            <w:tcBorders>
              <w:bottom w:val="single" w:sz="4" w:space="0" w:color="auto"/>
            </w:tcBorders>
            <w:shd w:val="clear" w:color="auto" w:fill="FFFFCC"/>
          </w:tcPr>
          <w:p w:rsidR="00D84867" w:rsidRPr="000B4E77" w:rsidRDefault="00D84867" w:rsidP="009D1AF4">
            <w:pPr>
              <w:rPr>
                <w:lang w:val="en-US"/>
              </w:rPr>
            </w:pPr>
            <w:r w:rsidRPr="000B4E77">
              <w:rPr>
                <w:lang w:val="en-US"/>
              </w:rPr>
              <w:t>Labelling problems encountered</w:t>
            </w:r>
          </w:p>
        </w:tc>
        <w:tc>
          <w:tcPr>
            <w:tcW w:w="4394" w:type="dxa"/>
            <w:shd w:val="clear" w:color="auto" w:fill="FFFFCC"/>
          </w:tcPr>
          <w:p w:rsidR="00D84867" w:rsidRPr="000B4E77" w:rsidRDefault="00D84867" w:rsidP="009D1AF4">
            <w:pPr>
              <w:rPr>
                <w:lang w:val="en-US"/>
              </w:rPr>
            </w:pPr>
            <w:r w:rsidRPr="000B4E77">
              <w:rPr>
                <w:lang w:val="en-US"/>
              </w:rPr>
              <w:t>On-market examples</w:t>
            </w: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 xml:space="preserve">Liquid artist </w:t>
            </w:r>
            <w:proofErr w:type="spellStart"/>
            <w:r w:rsidRPr="000B4E77">
              <w:rPr>
                <w:lang w:val="en-US"/>
              </w:rPr>
              <w:t>colours</w:t>
            </w:r>
            <w:proofErr w:type="spellEnd"/>
          </w:p>
        </w:tc>
        <w:tc>
          <w:tcPr>
            <w:tcW w:w="2268" w:type="dxa"/>
            <w:shd w:val="clear" w:color="auto" w:fill="auto"/>
          </w:tcPr>
          <w:p w:rsidR="00D84867" w:rsidRPr="000B4E77" w:rsidRDefault="00D84867" w:rsidP="009D1AF4">
            <w:pPr>
              <w:jc w:val="center"/>
              <w:rPr>
                <w:noProof/>
                <w:lang w:val="en-US" w:eastAsia="de-DE"/>
              </w:rPr>
            </w:pPr>
            <w:r w:rsidRPr="000B4E77">
              <w:rPr>
                <w:noProof/>
                <w:lang w:eastAsia="en-GB"/>
              </w:rPr>
              <w:drawing>
                <wp:inline distT="0" distB="0" distL="0" distR="0" wp14:anchorId="639937E7" wp14:editId="08028CD6">
                  <wp:extent cx="1372164" cy="1535733"/>
                  <wp:effectExtent l="0" t="0" r="0" b="7620"/>
                  <wp:docPr id="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2935" cy="1536596"/>
                          </a:xfrm>
                          <a:prstGeom prst="rect">
                            <a:avLst/>
                          </a:prstGeom>
                          <a:noFill/>
                          <a:ln>
                            <a:noFill/>
                          </a:ln>
                        </pic:spPr>
                      </pic:pic>
                    </a:graphicData>
                  </a:graphic>
                </wp:inline>
              </w:drawing>
            </w:r>
          </w:p>
        </w:tc>
        <w:tc>
          <w:tcPr>
            <w:tcW w:w="1276" w:type="dxa"/>
            <w:tcBorders>
              <w:right w:val="single" w:sz="4" w:space="0" w:color="auto"/>
            </w:tcBorders>
            <w:shd w:val="clear" w:color="auto" w:fill="auto"/>
          </w:tcPr>
          <w:p w:rsidR="00D84867" w:rsidRPr="000B4E77" w:rsidRDefault="00D84867" w:rsidP="009D1AF4">
            <w:pPr>
              <w:rPr>
                <w:lang w:val="en-US"/>
              </w:rPr>
            </w:pPr>
            <w:r w:rsidRPr="000B4E77">
              <w:rPr>
                <w:lang w:val="en-US"/>
              </w:rPr>
              <w:t>50ml</w:t>
            </w:r>
          </w:p>
          <w:p w:rsidR="00D84867" w:rsidRPr="000B4E77" w:rsidRDefault="00D84867" w:rsidP="009D1AF4">
            <w:pPr>
              <w:rPr>
                <w:lang w:val="en-US"/>
              </w:rPr>
            </w:pPr>
          </w:p>
        </w:tc>
        <w:tc>
          <w:tcPr>
            <w:tcW w:w="3402" w:type="dxa"/>
            <w:tcBorders>
              <w:top w:val="single" w:sz="4" w:space="0" w:color="auto"/>
              <w:left w:val="single" w:sz="4" w:space="0" w:color="auto"/>
              <w:bottom w:val="nil"/>
              <w:right w:val="single" w:sz="4" w:space="0" w:color="auto"/>
            </w:tcBorders>
            <w:shd w:val="clear" w:color="auto" w:fill="auto"/>
          </w:tcPr>
          <w:p w:rsidR="00D84867" w:rsidRPr="000B4E77" w:rsidRDefault="00D84867" w:rsidP="009D1AF4">
            <w:pPr>
              <w:spacing w:after="120"/>
              <w:ind w:left="142" w:right="284" w:firstLine="15"/>
              <w:jc w:val="both"/>
              <w:rPr>
                <w:lang w:val="en-US"/>
              </w:rPr>
            </w:pPr>
            <w:r w:rsidRPr="000B4E77">
              <w:rPr>
                <w:lang w:val="en-US"/>
              </w:rPr>
              <w:t>Not possible to put all applicable GHS label elements and instructions for use on the immediate container in all languages due to its size and shape</w:t>
            </w:r>
          </w:p>
        </w:tc>
        <w:tc>
          <w:tcPr>
            <w:tcW w:w="4394" w:type="dxa"/>
            <w:tcBorders>
              <w:left w:val="single" w:sz="4" w:space="0" w:color="auto"/>
            </w:tcBorders>
            <w:shd w:val="clear" w:color="auto" w:fill="auto"/>
          </w:tcPr>
          <w:p w:rsidR="00D84867" w:rsidRPr="000B4E77" w:rsidRDefault="00D84867" w:rsidP="009D1AF4">
            <w:pPr>
              <w:spacing w:after="120"/>
              <w:ind w:left="142" w:right="284" w:hanging="1843"/>
              <w:jc w:val="both"/>
              <w:rPr>
                <w:lang w:val="en-US"/>
              </w:rPr>
            </w:pP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 xml:space="preserve">Liquid artist </w:t>
            </w:r>
            <w:proofErr w:type="spellStart"/>
            <w:r w:rsidRPr="000B4E77">
              <w:rPr>
                <w:lang w:val="en-US"/>
              </w:rPr>
              <w:t>colours</w:t>
            </w:r>
            <w:proofErr w:type="spellEnd"/>
          </w:p>
        </w:tc>
        <w:tc>
          <w:tcPr>
            <w:tcW w:w="2268" w:type="dxa"/>
            <w:shd w:val="clear" w:color="auto" w:fill="auto"/>
          </w:tcPr>
          <w:p w:rsidR="00D84867" w:rsidRPr="000B4E77" w:rsidRDefault="00D84867" w:rsidP="009D1AF4">
            <w:pPr>
              <w:jc w:val="center"/>
              <w:rPr>
                <w:lang w:val="en-US"/>
              </w:rPr>
            </w:pPr>
            <w:r w:rsidRPr="000B4E77">
              <w:rPr>
                <w:noProof/>
                <w:lang w:eastAsia="en-GB"/>
              </w:rPr>
              <w:drawing>
                <wp:inline distT="0" distB="0" distL="0" distR="0" wp14:anchorId="64E1A124" wp14:editId="3EEFD325">
                  <wp:extent cx="615950" cy="1092200"/>
                  <wp:effectExtent l="0" t="0" r="0" b="0"/>
                  <wp:docPr id="1395"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96" cy="1092814"/>
                          </a:xfrm>
                          <a:prstGeom prst="rect">
                            <a:avLst/>
                          </a:prstGeom>
                          <a:noFill/>
                          <a:ln>
                            <a:noFill/>
                          </a:ln>
                        </pic:spPr>
                      </pic:pic>
                    </a:graphicData>
                  </a:graphic>
                </wp:inline>
              </w:drawing>
            </w:r>
          </w:p>
        </w:tc>
        <w:tc>
          <w:tcPr>
            <w:tcW w:w="1276" w:type="dxa"/>
            <w:tcBorders>
              <w:right w:val="single" w:sz="4" w:space="0" w:color="auto"/>
            </w:tcBorders>
            <w:shd w:val="clear" w:color="auto" w:fill="auto"/>
          </w:tcPr>
          <w:p w:rsidR="00D84867" w:rsidRPr="000B4E77" w:rsidRDefault="00D84867" w:rsidP="009D1AF4">
            <w:pPr>
              <w:rPr>
                <w:lang w:val="en-US"/>
              </w:rPr>
            </w:pPr>
            <w:r w:rsidRPr="000B4E77">
              <w:rPr>
                <w:lang w:val="en-US"/>
              </w:rPr>
              <w:t xml:space="preserve">15ml </w:t>
            </w:r>
          </w:p>
          <w:p w:rsidR="00D84867" w:rsidRPr="000B4E77" w:rsidRDefault="00D84867" w:rsidP="009D1AF4">
            <w:pPr>
              <w:rPr>
                <w:lang w:val="en-US"/>
              </w:rPr>
            </w:pPr>
            <w:r w:rsidRPr="000B4E77">
              <w:rPr>
                <w:lang w:val="en-US"/>
              </w:rPr>
              <w:t>LWH (mm):</w:t>
            </w:r>
          </w:p>
          <w:p w:rsidR="00D84867" w:rsidRPr="000B4E77" w:rsidRDefault="00D84867" w:rsidP="009D1AF4">
            <w:pPr>
              <w:rPr>
                <w:lang w:val="en-US"/>
              </w:rPr>
            </w:pPr>
            <w:r w:rsidRPr="000B4E77">
              <w:rPr>
                <w:lang w:val="en-US"/>
              </w:rPr>
              <w:t>29 x 29 mm x 44 mm</w:t>
            </w:r>
          </w:p>
          <w:p w:rsidR="00D84867" w:rsidRPr="000B4E77" w:rsidRDefault="00D84867" w:rsidP="009D1AF4">
            <w:pPr>
              <w:rPr>
                <w:lang w:val="en-US"/>
              </w:rPr>
            </w:pPr>
            <w:r w:rsidRPr="000B4E77">
              <w:rPr>
                <w:lang w:val="en-US"/>
              </w:rPr>
              <w:t>Label (LW(mm): 107x27</w:t>
            </w:r>
          </w:p>
          <w:p w:rsidR="00D84867" w:rsidRPr="000B4E77" w:rsidRDefault="00D84867" w:rsidP="009D1AF4">
            <w:pPr>
              <w:rPr>
                <w:lang w:val="en-US"/>
              </w:rPr>
            </w:pPr>
          </w:p>
        </w:tc>
        <w:tc>
          <w:tcPr>
            <w:tcW w:w="3402" w:type="dxa"/>
            <w:tcBorders>
              <w:top w:val="nil"/>
              <w:left w:val="single" w:sz="4" w:space="0" w:color="auto"/>
              <w:bottom w:val="nil"/>
              <w:right w:val="single" w:sz="4" w:space="0" w:color="auto"/>
            </w:tcBorders>
            <w:shd w:val="clear" w:color="auto" w:fill="auto"/>
          </w:tcPr>
          <w:p w:rsidR="00D84867" w:rsidRPr="000B4E77" w:rsidRDefault="00D84867" w:rsidP="009D1AF4">
            <w:pPr>
              <w:rPr>
                <w:lang w:val="en-US"/>
              </w:rPr>
            </w:pPr>
          </w:p>
        </w:tc>
        <w:tc>
          <w:tcPr>
            <w:tcW w:w="4394" w:type="dxa"/>
            <w:tcBorders>
              <w:left w:val="single" w:sz="4" w:space="0" w:color="auto"/>
            </w:tcBorders>
            <w:shd w:val="clear" w:color="auto" w:fill="auto"/>
          </w:tcPr>
          <w:p w:rsidR="00D84867" w:rsidRPr="000B4E77" w:rsidRDefault="00D84867" w:rsidP="009D1AF4">
            <w:pPr>
              <w:rPr>
                <w:lang w:val="en-US"/>
              </w:rPr>
            </w:pPr>
            <w:r w:rsidRPr="000B4E77">
              <w:rPr>
                <w:noProof/>
                <w:lang w:eastAsia="en-GB"/>
              </w:rPr>
              <w:drawing>
                <wp:inline distT="0" distB="0" distL="0" distR="0" wp14:anchorId="11840FF4" wp14:editId="1264D17F">
                  <wp:extent cx="730250" cy="1288935"/>
                  <wp:effectExtent l="0" t="0" r="0" b="6985"/>
                  <wp:docPr id="1394" name="Grafik 53" descr="C:\Users\v\Desktop\FAKE_15ml_Etikett_Porcelain_gesamt_131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C:\Users\v\Desktop\FAKE_15ml_Etikett_Porcelain_gesamt_131_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0250" cy="1288935"/>
                          </a:xfrm>
                          <a:prstGeom prst="rect">
                            <a:avLst/>
                          </a:prstGeom>
                          <a:noFill/>
                          <a:ln>
                            <a:noFill/>
                          </a:ln>
                        </pic:spPr>
                      </pic:pic>
                    </a:graphicData>
                  </a:graphic>
                </wp:inline>
              </w:drawing>
            </w: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 xml:space="preserve">Liquid artist </w:t>
            </w:r>
            <w:proofErr w:type="spellStart"/>
            <w:r w:rsidRPr="000B4E77">
              <w:rPr>
                <w:lang w:val="en-US"/>
              </w:rPr>
              <w:t>colours</w:t>
            </w:r>
            <w:proofErr w:type="spellEnd"/>
          </w:p>
        </w:tc>
        <w:tc>
          <w:tcPr>
            <w:tcW w:w="2268" w:type="dxa"/>
            <w:shd w:val="clear" w:color="auto" w:fill="auto"/>
          </w:tcPr>
          <w:p w:rsidR="00D84867" w:rsidRPr="000B4E77" w:rsidRDefault="00D84867" w:rsidP="009D1AF4">
            <w:pPr>
              <w:jc w:val="center"/>
              <w:rPr>
                <w:lang w:val="en-US"/>
              </w:rPr>
            </w:pPr>
            <w:r w:rsidRPr="000B4E77">
              <w:rPr>
                <w:noProof/>
                <w:lang w:eastAsia="en-GB"/>
              </w:rPr>
              <w:drawing>
                <wp:inline distT="0" distB="0" distL="0" distR="0" wp14:anchorId="40C59E0C" wp14:editId="784D12F0">
                  <wp:extent cx="1028700" cy="1457756"/>
                  <wp:effectExtent l="0" t="0" r="0" b="9525"/>
                  <wp:docPr id="8"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1457756"/>
                          </a:xfrm>
                          <a:prstGeom prst="rect">
                            <a:avLst/>
                          </a:prstGeom>
                          <a:noFill/>
                          <a:ln>
                            <a:noFill/>
                          </a:ln>
                        </pic:spPr>
                      </pic:pic>
                    </a:graphicData>
                  </a:graphic>
                </wp:inline>
              </w:drawing>
            </w:r>
          </w:p>
        </w:tc>
        <w:tc>
          <w:tcPr>
            <w:tcW w:w="1276" w:type="dxa"/>
            <w:tcBorders>
              <w:right w:val="single" w:sz="4" w:space="0" w:color="auto"/>
            </w:tcBorders>
            <w:shd w:val="clear" w:color="auto" w:fill="auto"/>
          </w:tcPr>
          <w:p w:rsidR="00D84867" w:rsidRPr="000B4E77" w:rsidRDefault="00D84867" w:rsidP="009D1AF4">
            <w:pPr>
              <w:rPr>
                <w:lang w:val="en-US"/>
              </w:rPr>
            </w:pPr>
            <w:r w:rsidRPr="000B4E77">
              <w:rPr>
                <w:lang w:val="en-US"/>
              </w:rPr>
              <w:t>25ml</w:t>
            </w:r>
          </w:p>
          <w:p w:rsidR="00D84867" w:rsidRPr="000B4E77" w:rsidRDefault="00D84867" w:rsidP="009D1AF4">
            <w:pPr>
              <w:rPr>
                <w:lang w:val="en-US"/>
              </w:rPr>
            </w:pPr>
          </w:p>
        </w:tc>
        <w:tc>
          <w:tcPr>
            <w:tcW w:w="3402" w:type="dxa"/>
            <w:tcBorders>
              <w:top w:val="nil"/>
              <w:left w:val="single" w:sz="4" w:space="0" w:color="auto"/>
              <w:bottom w:val="nil"/>
              <w:right w:val="single" w:sz="4" w:space="0" w:color="auto"/>
            </w:tcBorders>
            <w:shd w:val="clear" w:color="auto" w:fill="auto"/>
          </w:tcPr>
          <w:p w:rsidR="00D84867" w:rsidRPr="000B4E77" w:rsidRDefault="00D84867" w:rsidP="009D1AF4">
            <w:pPr>
              <w:spacing w:after="120"/>
              <w:ind w:left="1701" w:right="1134"/>
              <w:jc w:val="both"/>
              <w:rPr>
                <w:lang w:val="en-US"/>
              </w:rPr>
            </w:pPr>
          </w:p>
        </w:tc>
        <w:tc>
          <w:tcPr>
            <w:tcW w:w="4394" w:type="dxa"/>
            <w:tcBorders>
              <w:left w:val="single" w:sz="4" w:space="0" w:color="auto"/>
            </w:tcBorders>
            <w:shd w:val="clear" w:color="auto" w:fill="auto"/>
          </w:tcPr>
          <w:p w:rsidR="00D84867" w:rsidRPr="000B4E77" w:rsidRDefault="00D84867" w:rsidP="009D1AF4">
            <w:pPr>
              <w:rPr>
                <w:lang w:val="en-US"/>
              </w:rPr>
            </w:pP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 xml:space="preserve">Liquid artist </w:t>
            </w:r>
            <w:proofErr w:type="spellStart"/>
            <w:r w:rsidRPr="000B4E77">
              <w:rPr>
                <w:lang w:val="en-US"/>
              </w:rPr>
              <w:t>colours</w:t>
            </w:r>
            <w:proofErr w:type="spellEnd"/>
          </w:p>
        </w:tc>
        <w:tc>
          <w:tcPr>
            <w:tcW w:w="2268" w:type="dxa"/>
            <w:shd w:val="clear" w:color="auto" w:fill="auto"/>
          </w:tcPr>
          <w:p w:rsidR="00D84867" w:rsidRPr="000B4E77" w:rsidRDefault="00D84867" w:rsidP="009D1AF4">
            <w:pPr>
              <w:jc w:val="center"/>
              <w:rPr>
                <w:noProof/>
                <w:lang w:val="de-DE" w:eastAsia="de-DE"/>
              </w:rPr>
            </w:pPr>
            <w:r w:rsidRPr="000B4E77">
              <w:rPr>
                <w:noProof/>
                <w:lang w:eastAsia="en-GB"/>
              </w:rPr>
              <w:drawing>
                <wp:inline distT="0" distB="0" distL="0" distR="0" wp14:anchorId="3FDC868F" wp14:editId="0A230215">
                  <wp:extent cx="165100" cy="869950"/>
                  <wp:effectExtent l="0" t="0" r="6350" b="6350"/>
                  <wp:docPr id="1026" name="Grafik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 cy="869950"/>
                          </a:xfrm>
                          <a:prstGeom prst="rect">
                            <a:avLst/>
                          </a:prstGeom>
                          <a:noFill/>
                          <a:ln>
                            <a:noFill/>
                          </a:ln>
                        </pic:spPr>
                      </pic:pic>
                    </a:graphicData>
                  </a:graphic>
                </wp:inline>
              </w:drawing>
            </w:r>
          </w:p>
        </w:tc>
        <w:tc>
          <w:tcPr>
            <w:tcW w:w="1276" w:type="dxa"/>
            <w:tcBorders>
              <w:right w:val="single" w:sz="4" w:space="0" w:color="auto"/>
            </w:tcBorders>
            <w:shd w:val="clear" w:color="auto" w:fill="auto"/>
          </w:tcPr>
          <w:p w:rsidR="00D84867" w:rsidRPr="000B4E77" w:rsidRDefault="00D84867" w:rsidP="009D1AF4">
            <w:pPr>
              <w:rPr>
                <w:lang w:val="en-US"/>
              </w:rPr>
            </w:pPr>
            <w:r w:rsidRPr="000B4E77">
              <w:rPr>
                <w:lang w:val="en-US"/>
              </w:rPr>
              <w:t>2 ml</w:t>
            </w:r>
          </w:p>
        </w:tc>
        <w:tc>
          <w:tcPr>
            <w:tcW w:w="3402" w:type="dxa"/>
            <w:tcBorders>
              <w:top w:val="nil"/>
              <w:left w:val="single" w:sz="4" w:space="0" w:color="auto"/>
              <w:bottom w:val="nil"/>
              <w:right w:val="single" w:sz="4" w:space="0" w:color="auto"/>
            </w:tcBorders>
            <w:shd w:val="clear" w:color="auto" w:fill="auto"/>
          </w:tcPr>
          <w:p w:rsidR="00D84867" w:rsidRPr="000B4E77" w:rsidRDefault="00D84867" w:rsidP="009D1AF4">
            <w:pPr>
              <w:tabs>
                <w:tab w:val="num" w:pos="1701"/>
              </w:tabs>
              <w:spacing w:after="120"/>
              <w:ind w:left="1701" w:right="1134" w:hanging="170"/>
              <w:jc w:val="both"/>
              <w:rPr>
                <w:lang w:val="en-US"/>
              </w:rPr>
            </w:pPr>
          </w:p>
        </w:tc>
        <w:tc>
          <w:tcPr>
            <w:tcW w:w="4394" w:type="dxa"/>
            <w:tcBorders>
              <w:left w:val="single" w:sz="4" w:space="0" w:color="auto"/>
            </w:tcBorders>
            <w:shd w:val="clear" w:color="auto" w:fill="auto"/>
          </w:tcPr>
          <w:p w:rsidR="00D84867" w:rsidRPr="000B4E77" w:rsidRDefault="00D84867" w:rsidP="009D1AF4">
            <w:pPr>
              <w:rPr>
                <w:lang w:val="en-US"/>
              </w:rPr>
            </w:pP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Opaque paints replacement products</w:t>
            </w:r>
          </w:p>
        </w:tc>
        <w:tc>
          <w:tcPr>
            <w:tcW w:w="2268" w:type="dxa"/>
            <w:shd w:val="clear" w:color="auto" w:fill="auto"/>
            <w:vAlign w:val="center"/>
          </w:tcPr>
          <w:p w:rsidR="00D84867" w:rsidRPr="000B4E77" w:rsidRDefault="00D84867" w:rsidP="009D1AF4">
            <w:pPr>
              <w:jc w:val="center"/>
              <w:rPr>
                <w:lang w:val="en-US"/>
              </w:rPr>
            </w:pPr>
            <w:r w:rsidRPr="000B4E77">
              <w:rPr>
                <w:noProof/>
                <w:lang w:eastAsia="en-GB"/>
              </w:rPr>
              <w:drawing>
                <wp:inline distT="0" distB="0" distL="0" distR="0" wp14:anchorId="7C1382D8" wp14:editId="138F808C">
                  <wp:extent cx="1333500" cy="313765"/>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313765"/>
                          </a:xfrm>
                          <a:prstGeom prst="rect">
                            <a:avLst/>
                          </a:prstGeom>
                          <a:noFill/>
                          <a:ln>
                            <a:noFill/>
                          </a:ln>
                        </pic:spPr>
                      </pic:pic>
                    </a:graphicData>
                  </a:graphic>
                </wp:inline>
              </w:drawing>
            </w:r>
          </w:p>
        </w:tc>
        <w:tc>
          <w:tcPr>
            <w:tcW w:w="1276" w:type="dxa"/>
            <w:tcBorders>
              <w:right w:val="single" w:sz="4" w:space="0" w:color="auto"/>
            </w:tcBorders>
            <w:shd w:val="clear" w:color="auto" w:fill="auto"/>
          </w:tcPr>
          <w:p w:rsidR="00D84867" w:rsidRPr="000B4E77" w:rsidRDefault="00D84867" w:rsidP="009D1AF4">
            <w:pPr>
              <w:rPr>
                <w:lang w:val="en-US"/>
              </w:rPr>
            </w:pPr>
            <w:r w:rsidRPr="000B4E77">
              <w:rPr>
                <w:lang w:val="en-US"/>
              </w:rPr>
              <w:t>7 ml</w:t>
            </w:r>
          </w:p>
        </w:tc>
        <w:tc>
          <w:tcPr>
            <w:tcW w:w="3402" w:type="dxa"/>
            <w:tcBorders>
              <w:top w:val="nil"/>
              <w:left w:val="single" w:sz="4" w:space="0" w:color="auto"/>
              <w:bottom w:val="single" w:sz="4" w:space="0" w:color="auto"/>
              <w:right w:val="single" w:sz="4" w:space="0" w:color="auto"/>
            </w:tcBorders>
            <w:shd w:val="clear" w:color="auto" w:fill="auto"/>
          </w:tcPr>
          <w:p w:rsidR="00D84867" w:rsidRPr="000B4E77" w:rsidRDefault="00D84867" w:rsidP="009D1AF4">
            <w:pPr>
              <w:rPr>
                <w:lang w:val="en-US"/>
              </w:rPr>
            </w:pPr>
          </w:p>
        </w:tc>
        <w:tc>
          <w:tcPr>
            <w:tcW w:w="4394" w:type="dxa"/>
            <w:tcBorders>
              <w:left w:val="single" w:sz="4" w:space="0" w:color="auto"/>
            </w:tcBorders>
            <w:shd w:val="clear" w:color="auto" w:fill="auto"/>
          </w:tcPr>
          <w:p w:rsidR="00D84867" w:rsidRPr="000B4E77" w:rsidRDefault="00D84867" w:rsidP="009D1AF4">
            <w:pPr>
              <w:rPr>
                <w:lang w:val="en-US"/>
              </w:rPr>
            </w:pPr>
            <w:r w:rsidRPr="000B4E77">
              <w:rPr>
                <w:noProof/>
                <w:color w:val="000000"/>
                <w:lang w:eastAsia="en-GB"/>
              </w:rPr>
              <w:drawing>
                <wp:inline distT="0" distB="0" distL="0" distR="0" wp14:anchorId="034339E1" wp14:editId="451016FF">
                  <wp:extent cx="647700" cy="679450"/>
                  <wp:effectExtent l="0" t="0" r="0" b="6350"/>
                  <wp:docPr id="23" name="bigpic" descr="Ersatzfarbe Neu 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Ersatzfarbe Neu schwar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 cy="679450"/>
                          </a:xfrm>
                          <a:prstGeom prst="rect">
                            <a:avLst/>
                          </a:prstGeom>
                          <a:noFill/>
                          <a:ln>
                            <a:noFill/>
                          </a:ln>
                        </pic:spPr>
                      </pic:pic>
                    </a:graphicData>
                  </a:graphic>
                </wp:inline>
              </w:drawing>
            </w:r>
          </w:p>
        </w:tc>
      </w:tr>
      <w:tr w:rsidR="00D84867" w:rsidRPr="000B4E77" w:rsidTr="009D1AF4">
        <w:trPr>
          <w:jc w:val="center"/>
        </w:trPr>
        <w:tc>
          <w:tcPr>
            <w:tcW w:w="1256" w:type="dxa"/>
            <w:shd w:val="clear" w:color="auto" w:fill="auto"/>
          </w:tcPr>
          <w:p w:rsidR="00D84867" w:rsidRPr="000B4E77" w:rsidRDefault="00D84867" w:rsidP="009D1AF4">
            <w:pPr>
              <w:rPr>
                <w:lang w:val="en-US"/>
              </w:rPr>
            </w:pPr>
            <w:r>
              <w:rPr>
                <w:lang w:val="en-US"/>
              </w:rPr>
              <w:t>P</w:t>
            </w:r>
            <w:r w:rsidRPr="000B4E77">
              <w:rPr>
                <w:lang w:val="en-US"/>
              </w:rPr>
              <w:t>astels</w:t>
            </w:r>
          </w:p>
        </w:tc>
        <w:tc>
          <w:tcPr>
            <w:tcW w:w="2268" w:type="dxa"/>
            <w:shd w:val="clear" w:color="auto" w:fill="auto"/>
            <w:vAlign w:val="center"/>
          </w:tcPr>
          <w:p w:rsidR="00D84867" w:rsidRPr="000B4E77" w:rsidRDefault="00D84867" w:rsidP="009D1AF4">
            <w:pPr>
              <w:jc w:val="center"/>
              <w:rPr>
                <w:lang w:val="en-US"/>
              </w:rPr>
            </w:pPr>
            <w:r w:rsidRPr="000B4E77">
              <w:rPr>
                <w:noProof/>
                <w:lang w:eastAsia="en-GB"/>
              </w:rPr>
              <w:drawing>
                <wp:inline distT="0" distB="0" distL="0" distR="0" wp14:anchorId="154F1F91" wp14:editId="177AA983">
                  <wp:extent cx="450850" cy="811530"/>
                  <wp:effectExtent l="0" t="0" r="6350" b="762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97" cy="812695"/>
                          </a:xfrm>
                          <a:prstGeom prst="rect">
                            <a:avLst/>
                          </a:prstGeom>
                          <a:noFill/>
                          <a:ln>
                            <a:noFill/>
                          </a:ln>
                        </pic:spPr>
                      </pic:pic>
                    </a:graphicData>
                  </a:graphic>
                </wp:inline>
              </w:drawing>
            </w:r>
          </w:p>
        </w:tc>
        <w:tc>
          <w:tcPr>
            <w:tcW w:w="1276" w:type="dxa"/>
            <w:shd w:val="clear" w:color="auto" w:fill="auto"/>
          </w:tcPr>
          <w:p w:rsidR="00D84867" w:rsidRPr="000B4E77" w:rsidRDefault="00D84867" w:rsidP="009D1AF4">
            <w:pPr>
              <w:rPr>
                <w:lang w:val="en-US"/>
              </w:rPr>
            </w:pPr>
            <w:r w:rsidRPr="000B4E77">
              <w:rPr>
                <w:lang w:val="en-US"/>
              </w:rPr>
              <w:t xml:space="preserve">Label area = </w:t>
            </w:r>
          </w:p>
          <w:p w:rsidR="00D84867" w:rsidRPr="000B4E77" w:rsidRDefault="00D84867" w:rsidP="009D1AF4">
            <w:pPr>
              <w:rPr>
                <w:lang w:val="en-US"/>
              </w:rPr>
            </w:pPr>
            <w:r w:rsidRPr="000B4E77">
              <w:rPr>
                <w:lang w:val="en-US"/>
              </w:rPr>
              <w:t xml:space="preserve">660mm²  </w:t>
            </w:r>
          </w:p>
          <w:p w:rsidR="00D84867" w:rsidRPr="000B4E77" w:rsidRDefault="00D84867" w:rsidP="009D1AF4">
            <w:pPr>
              <w:rPr>
                <w:lang w:val="en-US"/>
              </w:rPr>
            </w:pPr>
          </w:p>
          <w:p w:rsidR="00D84867" w:rsidRPr="000B4E77" w:rsidRDefault="00D84867" w:rsidP="009D1AF4">
            <w:pPr>
              <w:rPr>
                <w:lang w:val="en-US"/>
              </w:rPr>
            </w:pPr>
          </w:p>
          <w:p w:rsidR="00D84867" w:rsidRPr="000B4E77" w:rsidRDefault="00D84867" w:rsidP="009D1AF4">
            <w:pPr>
              <w:rPr>
                <w:lang w:val="en-US"/>
              </w:rPr>
            </w:pPr>
          </w:p>
        </w:tc>
        <w:tc>
          <w:tcPr>
            <w:tcW w:w="3402" w:type="dxa"/>
            <w:tcBorders>
              <w:top w:val="single" w:sz="4" w:space="0" w:color="auto"/>
            </w:tcBorders>
            <w:shd w:val="clear" w:color="auto" w:fill="auto"/>
          </w:tcPr>
          <w:p w:rsidR="00D84867" w:rsidRPr="000B4E77" w:rsidRDefault="00D84867" w:rsidP="009D1AF4">
            <w:pPr>
              <w:spacing w:after="120"/>
              <w:ind w:left="142" w:right="284" w:firstLine="15"/>
              <w:jc w:val="both"/>
              <w:rPr>
                <w:lang w:val="en-US"/>
              </w:rPr>
            </w:pPr>
            <w:r w:rsidRPr="000B4E77">
              <w:rPr>
                <w:lang w:val="en-US"/>
              </w:rPr>
              <w:t>Very small area. No space for any pictogram, like GHS09, e.g. if pigment has an environmental hazard</w:t>
            </w:r>
          </w:p>
        </w:tc>
        <w:tc>
          <w:tcPr>
            <w:tcW w:w="4394" w:type="dxa"/>
            <w:shd w:val="clear" w:color="auto" w:fill="auto"/>
          </w:tcPr>
          <w:p w:rsidR="00D84867" w:rsidRPr="000B4E77" w:rsidRDefault="00D84867" w:rsidP="009D1AF4">
            <w:pPr>
              <w:rPr>
                <w:lang w:val="en-US"/>
              </w:rPr>
            </w:pPr>
            <w:r w:rsidRPr="000B4E77">
              <w:rPr>
                <w:noProof/>
                <w:lang w:eastAsia="en-GB"/>
              </w:rPr>
              <w:drawing>
                <wp:inline distT="0" distB="0" distL="0" distR="0" wp14:anchorId="57C5C408" wp14:editId="58FE3EA5">
                  <wp:extent cx="1790700" cy="1065894"/>
                  <wp:effectExtent l="0" t="0" r="0" b="1270"/>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1801868" cy="1072542"/>
                          </a:xfrm>
                          <a:prstGeom prst="rect">
                            <a:avLst/>
                          </a:prstGeom>
                          <a:noFill/>
                          <a:ln w="9525">
                            <a:noFill/>
                            <a:miter lim="800000"/>
                            <a:headEnd/>
                            <a:tailEnd/>
                          </a:ln>
                        </pic:spPr>
                      </pic:pic>
                    </a:graphicData>
                  </a:graphic>
                </wp:inline>
              </w:drawing>
            </w:r>
          </w:p>
        </w:tc>
      </w:tr>
      <w:tr w:rsidR="00D84867" w:rsidRPr="000B4E77" w:rsidTr="009D1AF4">
        <w:trPr>
          <w:jc w:val="center"/>
        </w:trPr>
        <w:tc>
          <w:tcPr>
            <w:tcW w:w="1256" w:type="dxa"/>
            <w:shd w:val="clear" w:color="auto" w:fill="auto"/>
          </w:tcPr>
          <w:p w:rsidR="00D84867" w:rsidRPr="000B4E77" w:rsidRDefault="00D84867" w:rsidP="009D1AF4">
            <w:pPr>
              <w:rPr>
                <w:lang w:val="en-US"/>
              </w:rPr>
            </w:pPr>
            <w:proofErr w:type="spellStart"/>
            <w:r w:rsidRPr="000B4E77">
              <w:rPr>
                <w:lang w:val="en-US"/>
              </w:rPr>
              <w:t>Watercolour</w:t>
            </w:r>
            <w:proofErr w:type="spellEnd"/>
            <w:r w:rsidRPr="000B4E77">
              <w:rPr>
                <w:lang w:val="en-US"/>
              </w:rPr>
              <w:t xml:space="preserve"> paints 1/1</w:t>
            </w:r>
          </w:p>
          <w:p w:rsidR="00D84867" w:rsidRPr="000B4E77" w:rsidRDefault="00D84867" w:rsidP="009D1AF4">
            <w:pPr>
              <w:rPr>
                <w:lang w:val="en-US"/>
              </w:rPr>
            </w:pPr>
            <w:r w:rsidRPr="000B4E77">
              <w:rPr>
                <w:lang w:val="en-US"/>
              </w:rPr>
              <w:t>(solid)</w:t>
            </w:r>
          </w:p>
        </w:tc>
        <w:tc>
          <w:tcPr>
            <w:tcW w:w="2268" w:type="dxa"/>
            <w:shd w:val="clear" w:color="auto" w:fill="auto"/>
          </w:tcPr>
          <w:p w:rsidR="00D84867" w:rsidRPr="000B4E77" w:rsidRDefault="00D84867" w:rsidP="009D1AF4">
            <w:pPr>
              <w:rPr>
                <w:lang w:val="en-US"/>
              </w:rPr>
            </w:pPr>
            <w:r w:rsidRPr="000B4E77">
              <w:rPr>
                <w:noProof/>
                <w:lang w:eastAsia="en-GB"/>
              </w:rPr>
              <mc:AlternateContent>
                <mc:Choice Requires="wpg">
                  <w:drawing>
                    <wp:inline distT="0" distB="0" distL="0" distR="0" wp14:anchorId="2CB634AE" wp14:editId="650FD0E6">
                      <wp:extent cx="1346200" cy="1000387"/>
                      <wp:effectExtent l="0" t="0" r="0" b="28575"/>
                      <wp:docPr id="42"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1000387"/>
                                <a:chOff x="0" y="0"/>
                                <a:chExt cx="25106" cy="18288"/>
                              </a:xfrm>
                            </wpg:grpSpPr>
                            <wps:wsp>
                              <wps:cNvPr id="43" name="Line 5"/>
                              <wps:cNvCnPr/>
                              <wps:spPr bwMode="auto">
                                <a:xfrm>
                                  <a:off x="6096" y="0"/>
                                  <a:ext cx="14478" cy="60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
                              <wps:cNvCnPr/>
                              <wps:spPr bwMode="auto">
                                <a:xfrm flipH="1">
                                  <a:off x="0" y="0"/>
                                  <a:ext cx="6096" cy="45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7"/>
                              <wps:cNvCnPr/>
                              <wps:spPr bwMode="auto">
                                <a:xfrm>
                                  <a:off x="0" y="4572"/>
                                  <a:ext cx="15240" cy="6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8"/>
                              <wps:cNvCnPr/>
                              <wps:spPr bwMode="auto">
                                <a:xfrm flipV="1">
                                  <a:off x="15240" y="6096"/>
                                  <a:ext cx="5334"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9"/>
                              <wps:cNvCnPr/>
                              <wps:spPr bwMode="auto">
                                <a:xfrm>
                                  <a:off x="0" y="4572"/>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
                              <wps:cNvCnPr/>
                              <wps:spPr bwMode="auto">
                                <a:xfrm>
                                  <a:off x="15240" y="11430"/>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1"/>
                              <wps:cNvCnPr/>
                              <wps:spPr bwMode="auto">
                                <a:xfrm>
                                  <a:off x="20574" y="6096"/>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2"/>
                              <wps:cNvCnPr/>
                              <wps:spPr bwMode="auto">
                                <a:xfrm flipV="1">
                                  <a:off x="15240" y="9906"/>
                                  <a:ext cx="5334"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3"/>
                              <wps:cNvCnPr/>
                              <wps:spPr bwMode="auto">
                                <a:xfrm>
                                  <a:off x="0" y="8382"/>
                                  <a:ext cx="15240" cy="6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43"/>
                              <wps:cNvCnPr/>
                              <wps:spPr bwMode="auto">
                                <a:xfrm>
                                  <a:off x="20574" y="6096"/>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44"/>
                              <wps:cNvCnPr/>
                              <wps:spPr bwMode="auto">
                                <a:xfrm>
                                  <a:off x="20574" y="6096"/>
                                  <a:ext cx="304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4" name="Line 45"/>
                              <wps:cNvCnPr/>
                              <wps:spPr bwMode="auto">
                                <a:xfrm>
                                  <a:off x="20574" y="9906"/>
                                  <a:ext cx="304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5" name="Line 49"/>
                              <wps:cNvCnPr/>
                              <wps:spPr bwMode="auto">
                                <a:xfrm>
                                  <a:off x="0" y="8382"/>
                                  <a:ext cx="0" cy="3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6" name="Line 51"/>
                              <wps:cNvCnPr/>
                              <wps:spPr bwMode="auto">
                                <a:xfrm>
                                  <a:off x="15240" y="15240"/>
                                  <a:ext cx="0" cy="3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7" name="Line 52"/>
                              <wps:cNvCnPr/>
                              <wps:spPr bwMode="auto">
                                <a:xfrm>
                                  <a:off x="20574" y="9906"/>
                                  <a:ext cx="0" cy="3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58" name="Text Box 53"/>
                              <wps:cNvSpPr txBox="1">
                                <a:spLocks noChangeArrowheads="1"/>
                              </wps:cNvSpPr>
                              <wps:spPr bwMode="auto">
                                <a:xfrm>
                                  <a:off x="17519" y="13716"/>
                                  <a:ext cx="6492" cy="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16</w:t>
                                    </w:r>
                                  </w:p>
                                </w:txbxContent>
                              </wps:txbx>
                              <wps:bodyPr rot="0" vert="horz" wrap="square" lIns="91440" tIns="45720" rIns="91440" bIns="45720" anchor="t" anchorCtr="0" upright="1">
                                <a:noAutofit/>
                              </wps:bodyPr>
                            </wps:wsp>
                            <wps:wsp>
                              <wps:cNvPr id="59" name="Text Box 54"/>
                              <wps:cNvSpPr txBox="1">
                                <a:spLocks noChangeArrowheads="1"/>
                              </wps:cNvSpPr>
                              <wps:spPr bwMode="auto">
                                <a:xfrm>
                                  <a:off x="22089" y="5419"/>
                                  <a:ext cx="3017" cy="4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8</w:t>
                                    </w:r>
                                  </w:p>
                                </w:txbxContent>
                              </wps:txbx>
                              <wps:bodyPr rot="0" vert="horz" wrap="square" lIns="91440" tIns="45720" rIns="91440" bIns="45720" anchor="t" anchorCtr="0" upright="1">
                                <a:noAutofit/>
                              </wps:bodyPr>
                            </wps:wsp>
                            <wps:wsp>
                              <wps:cNvPr id="60" name="Text Box 56"/>
                              <wps:cNvSpPr txBox="1">
                                <a:spLocks noChangeArrowheads="1"/>
                              </wps:cNvSpPr>
                              <wps:spPr bwMode="auto">
                                <a:xfrm>
                                  <a:off x="5331" y="12954"/>
                                  <a:ext cx="6070" cy="4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30</w:t>
                                    </w:r>
                                  </w:p>
                                </w:txbxContent>
                              </wps:txbx>
                              <wps:bodyPr rot="0" vert="horz" wrap="square" lIns="91440" tIns="45720" rIns="91440" bIns="45720" anchor="t" anchorCtr="0" upright="1">
                                <a:noAutofit/>
                              </wps:bodyPr>
                            </wps:wsp>
                            <wps:wsp>
                              <wps:cNvPr id="62" name="Line 65"/>
                              <wps:cNvCnPr/>
                              <wps:spPr bwMode="auto">
                                <a:xfrm flipV="1">
                                  <a:off x="1524" y="762"/>
                                  <a:ext cx="4572"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66"/>
                              <wps:cNvCnPr/>
                              <wps:spPr bwMode="auto">
                                <a:xfrm>
                                  <a:off x="6096" y="762"/>
                                  <a:ext cx="12954"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67"/>
                              <wps:cNvCnPr/>
                              <wps:spPr bwMode="auto">
                                <a:xfrm flipH="1">
                                  <a:off x="14710" y="6096"/>
                                  <a:ext cx="4339"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68"/>
                              <wps:cNvCnPr/>
                              <wps:spPr bwMode="auto">
                                <a:xfrm>
                                  <a:off x="1523" y="4572"/>
                                  <a:ext cx="13251" cy="5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B634AE" id="Gruppieren 7" o:spid="_x0000_s1026" style="width:106pt;height:78.75pt;mso-position-horizontal-relative:char;mso-position-vertical-relative:line" coordsize="2510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">
                      <v:line id="Line 5" o:spid="_x0000_s1027" style="position:absolute;visibility:visible;mso-wrap-style:square" from="6096,0" to="2057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6" o:spid="_x0000_s1028" style="position:absolute;flip:x;visibility:visible;mso-wrap-style:square" from="0,0" to="609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line id="Line 7" o:spid="_x0000_s1029" style="position:absolute;visibility:visible;mso-wrap-style:square" from="0,4572" to="1524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8" o:spid="_x0000_s1030" style="position:absolute;flip:y;visibility:visible;mso-wrap-style:square" from="15240,6096" to="20574,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9" o:spid="_x0000_s1031" style="position:absolute;visibility:visible;mso-wrap-style:square" from="0,4572" to="0,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0" o:spid="_x0000_s1032" style="position:absolute;visibility:visible;mso-wrap-style:square" from="15240,11430" to="1524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11" o:spid="_x0000_s1033" style="position:absolute;visibility:visible;mso-wrap-style:square" from="20574,6096" to="2057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12" o:spid="_x0000_s1034" style="position:absolute;flip:y;visibility:visible;mso-wrap-style:square" from="15240,9906" to="20574,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13" o:spid="_x0000_s1035" style="position:absolute;visibility:visible;mso-wrap-style:square" from="0,8382" to="1524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3" o:spid="_x0000_s1036" style="position:absolute;visibility:visible;mso-wrap-style:square" from="20574,6096" to="20574,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44" o:spid="_x0000_s1037" style="position:absolute;visibility:visible;mso-wrap-style:square" from="20574,6096" to="2362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" strokecolor="blue"/>
                      <v:line id="Line 45" o:spid="_x0000_s1038" style="position:absolute;visibility:visible;mso-wrap-style:square" from="20574,9906" to="2362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" strokecolor="blue"/>
                      <v:line id="Line 49" o:spid="_x0000_s1039" style="position:absolute;visibility:visible;mso-wrap-style:square" from="0,8382" to="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" strokecolor="blue"/>
                      <v:line id="Line 51" o:spid="_x0000_s1040" style="position:absolute;visibility:visible;mso-wrap-style:square" from="15240,15240" to="1524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" strokecolor="blue"/>
                      <v:line id="Line 52" o:spid="_x0000_s1041" style="position:absolute;visibility:visible;mso-wrap-style:square" from="20574,9906" to="2057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" strokecolor="blue"/>
                      <v:shapetype id="_x0000_t202" coordsize="21600,21600" o:spt="202" path="m,l,21600r21600,l21600,xe">
                        <v:stroke joinstyle="miter"/>
                        <v:path gradientshapeok="t" o:connecttype="rect"/>
                      </v:shapetype>
                      <v:shape id="Text Box 53" o:spid="_x0000_s1042" type="#_x0000_t202" style="position:absolute;left:17519;top:13716;width:6492;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D84867" w:rsidRPr="000B4E77" w:rsidRDefault="00D84867" w:rsidP="00D84867">
                              <w:pPr>
                                <w:pStyle w:val="NormalWeb"/>
                                <w:rPr>
                                  <w:sz w:val="20"/>
                                  <w:szCs w:val="20"/>
                                </w:rPr>
                              </w:pPr>
                              <w:r w:rsidRPr="000B4E77">
                                <w:rPr>
                                  <w:sz w:val="20"/>
                                  <w:szCs w:val="20"/>
                                </w:rPr>
                                <w:t>16</w:t>
                              </w:r>
                            </w:p>
                          </w:txbxContent>
                        </v:textbox>
                      </v:shape>
                      <v:shape id="Text Box 54" o:spid="_x0000_s1043" type="#_x0000_t202" style="position:absolute;left:22089;top:5419;width:3017;height:4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D84867" w:rsidRPr="000B4E77" w:rsidRDefault="00D84867" w:rsidP="00D84867">
                              <w:pPr>
                                <w:pStyle w:val="NormalWeb"/>
                                <w:rPr>
                                  <w:sz w:val="20"/>
                                  <w:szCs w:val="20"/>
                                </w:rPr>
                              </w:pPr>
                              <w:r w:rsidRPr="000B4E77">
                                <w:rPr>
                                  <w:sz w:val="20"/>
                                  <w:szCs w:val="20"/>
                                </w:rPr>
                                <w:t>8</w:t>
                              </w:r>
                            </w:p>
                          </w:txbxContent>
                        </v:textbox>
                      </v:shape>
                      <v:shape id="Text Box 56" o:spid="_x0000_s1044" type="#_x0000_t202" style="position:absolute;left:5331;top:12954;width:6070;height:4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84867" w:rsidRPr="000B4E77" w:rsidRDefault="00D84867" w:rsidP="00D84867">
                              <w:pPr>
                                <w:pStyle w:val="NormalWeb"/>
                                <w:rPr>
                                  <w:sz w:val="20"/>
                                  <w:szCs w:val="20"/>
                                </w:rPr>
                              </w:pPr>
                              <w:r w:rsidRPr="000B4E77">
                                <w:rPr>
                                  <w:sz w:val="20"/>
                                  <w:szCs w:val="20"/>
                                </w:rPr>
                                <w:t>30</w:t>
                              </w:r>
                            </w:p>
                          </w:txbxContent>
                        </v:textbox>
                      </v:shape>
                      <v:line id="Line 65" o:spid="_x0000_s1045" style="position:absolute;flip:y;visibility:visible;mso-wrap-style:square" from="1524,762" to="609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66" o:spid="_x0000_s1046" style="position:absolute;visibility:visible;mso-wrap-style:square" from="6096,762" to="1905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ZjxQAAAN0AAAAPAAAAZHJzL2Rvd25yZXYueG1sRE9Na8JA&#10;EL0X/A/LCN7qpkpD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BgbHZjxQAAAN0AAAAP&#10;AAAAAAAAAAAAAAAAAAcCAABkcnMvZG93bnJldi54bWxQSwUGAAAAAAMAAwC3AAAA+QIAAAAA&#10;"/>
                      <v:line id="Line 67" o:spid="_x0000_s1047" style="position:absolute;flip:x;visibility:visible;mso-wrap-style:square" from="14710,6096" to="1904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"/>
                      <v:line id="Line 68" o:spid="_x0000_s1048" style="position:absolute;visibility:visible;mso-wrap-style:square" from="1523,4572" to="14774,1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w10:anchorlock/>
                    </v:group>
                  </w:pict>
                </mc:Fallback>
              </mc:AlternateContent>
            </w:r>
          </w:p>
        </w:tc>
        <w:tc>
          <w:tcPr>
            <w:tcW w:w="1276" w:type="dxa"/>
            <w:shd w:val="clear" w:color="auto" w:fill="auto"/>
          </w:tcPr>
          <w:p w:rsidR="00D84867" w:rsidRPr="000B4E77" w:rsidRDefault="00D84867" w:rsidP="009D1AF4">
            <w:pPr>
              <w:rPr>
                <w:lang w:val="en-US"/>
              </w:rPr>
            </w:pPr>
            <w:r w:rsidRPr="000B4E77">
              <w:rPr>
                <w:lang w:val="en-US"/>
              </w:rPr>
              <w:t xml:space="preserve">3,2ml product volume </w:t>
            </w:r>
          </w:p>
          <w:p w:rsidR="00D84867" w:rsidRPr="000B4E77" w:rsidRDefault="00D84867" w:rsidP="009D1AF4">
            <w:pPr>
              <w:rPr>
                <w:lang w:val="en-US"/>
              </w:rPr>
            </w:pPr>
            <w:r w:rsidRPr="000B4E77">
              <w:rPr>
                <w:lang w:val="en-US"/>
              </w:rPr>
              <w:t xml:space="preserve">Label </w:t>
            </w:r>
            <w:proofErr w:type="gramStart"/>
            <w:r w:rsidRPr="000B4E77">
              <w:rPr>
                <w:lang w:val="en-US"/>
              </w:rPr>
              <w:t>area  =</w:t>
            </w:r>
            <w:proofErr w:type="gramEnd"/>
            <w:r w:rsidRPr="000B4E77">
              <w:rPr>
                <w:lang w:val="en-US"/>
              </w:rPr>
              <w:t xml:space="preserve"> 1479 mm²</w:t>
            </w:r>
          </w:p>
          <w:p w:rsidR="00D84867" w:rsidRPr="000B4E77" w:rsidRDefault="00D84867" w:rsidP="009D1AF4">
            <w:pPr>
              <w:rPr>
                <w:lang w:val="en-US"/>
              </w:rPr>
            </w:pPr>
          </w:p>
        </w:tc>
        <w:tc>
          <w:tcPr>
            <w:tcW w:w="3402" w:type="dxa"/>
            <w:shd w:val="clear" w:color="auto" w:fill="auto"/>
          </w:tcPr>
          <w:p w:rsidR="00D84867" w:rsidRPr="000B4E77" w:rsidRDefault="00D84867" w:rsidP="009D1AF4">
            <w:pPr>
              <w:spacing w:after="120"/>
              <w:ind w:left="142" w:right="284" w:firstLine="15"/>
              <w:jc w:val="both"/>
              <w:rPr>
                <w:lang w:val="en-US"/>
              </w:rPr>
            </w:pPr>
            <w:r w:rsidRPr="000B4E77">
              <w:rPr>
                <w:lang w:val="en-US"/>
              </w:rPr>
              <w:t xml:space="preserve">Very small area. No space for any pictogram, like GHS09, e.g. if pigment has an environmental hazard. Use of additional information may be necessary e.g. related to biocide content. </w:t>
            </w:r>
          </w:p>
        </w:tc>
        <w:tc>
          <w:tcPr>
            <w:tcW w:w="4394" w:type="dxa"/>
            <w:shd w:val="clear" w:color="auto" w:fill="auto"/>
          </w:tcPr>
          <w:p w:rsidR="00D84867" w:rsidRPr="000B4E77" w:rsidRDefault="00D84867" w:rsidP="009D1AF4">
            <w:pPr>
              <w:rPr>
                <w:lang w:val="en-US"/>
              </w:rPr>
            </w:pPr>
            <w:r w:rsidRPr="000B4E77">
              <w:rPr>
                <w:noProof/>
                <w:lang w:eastAsia="en-GB"/>
              </w:rPr>
              <w:drawing>
                <wp:inline distT="0" distB="0" distL="0" distR="0" wp14:anchorId="2ACDF1A8" wp14:editId="39BC754D">
                  <wp:extent cx="1504950" cy="1210010"/>
                  <wp:effectExtent l="0" t="0" r="0" b="9525"/>
                  <wp:docPr id="13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512195" cy="1215835"/>
                          </a:xfrm>
                          <a:prstGeom prst="rect">
                            <a:avLst/>
                          </a:prstGeom>
                          <a:noFill/>
                          <a:ln w="9525">
                            <a:noFill/>
                            <a:miter lim="800000"/>
                            <a:headEnd/>
                            <a:tailEnd/>
                          </a:ln>
                        </pic:spPr>
                      </pic:pic>
                    </a:graphicData>
                  </a:graphic>
                </wp:inline>
              </w:drawing>
            </w:r>
          </w:p>
        </w:tc>
      </w:tr>
      <w:tr w:rsidR="00D84867" w:rsidRPr="000B4E77" w:rsidTr="009D1AF4">
        <w:trPr>
          <w:jc w:val="center"/>
        </w:trPr>
        <w:tc>
          <w:tcPr>
            <w:tcW w:w="1256" w:type="dxa"/>
            <w:shd w:val="clear" w:color="auto" w:fill="auto"/>
          </w:tcPr>
          <w:p w:rsidR="00D84867" w:rsidRPr="00CF1084" w:rsidRDefault="00D84867" w:rsidP="009D1AF4">
            <w:pPr>
              <w:pStyle w:val="Header"/>
              <w:pBdr>
                <w:bottom w:val="none" w:sz="0" w:space="0" w:color="auto"/>
              </w:pBdr>
            </w:pPr>
            <w:proofErr w:type="gramStart"/>
            <w:r w:rsidRPr="00CF1084">
              <w:t>Watercolour  paints</w:t>
            </w:r>
            <w:proofErr w:type="gramEnd"/>
            <w:r w:rsidRPr="00CF1084">
              <w:t xml:space="preserve"> ½ (solid)</w:t>
            </w:r>
          </w:p>
        </w:tc>
        <w:tc>
          <w:tcPr>
            <w:tcW w:w="2268" w:type="dxa"/>
            <w:shd w:val="clear" w:color="auto" w:fill="auto"/>
          </w:tcPr>
          <w:p w:rsidR="00D84867" w:rsidRPr="00CF1084" w:rsidRDefault="00D84867" w:rsidP="009D1AF4">
            <w:pPr>
              <w:pStyle w:val="Header"/>
              <w:pBdr>
                <w:bottom w:val="none" w:sz="0" w:space="0" w:color="auto"/>
              </w:pBdr>
            </w:pPr>
            <w:r w:rsidRPr="000B4E77">
              <w:rPr>
                <w:noProof/>
              </w:rPr>
              <mc:AlternateContent>
                <mc:Choice Requires="wpg">
                  <w:drawing>
                    <wp:inline distT="0" distB="0" distL="0" distR="0" wp14:anchorId="0DECD874" wp14:editId="52388693">
                      <wp:extent cx="1402682" cy="1047015"/>
                      <wp:effectExtent l="0" t="0" r="0" b="20320"/>
                      <wp:docPr id="18"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2682" cy="1047015"/>
                                <a:chOff x="0" y="0"/>
                                <a:chExt cx="17968" cy="14478"/>
                              </a:xfrm>
                            </wpg:grpSpPr>
                            <wps:wsp>
                              <wps:cNvPr id="19" name="Line 28"/>
                              <wps:cNvCnPr/>
                              <wps:spPr bwMode="auto">
                                <a:xfrm>
                                  <a:off x="8382" y="8382"/>
                                  <a:ext cx="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Group 74"/>
                              <wpg:cNvGrpSpPr>
                                <a:grpSpLocks/>
                              </wpg:cNvGrpSpPr>
                              <wpg:grpSpPr bwMode="auto">
                                <a:xfrm>
                                  <a:off x="0" y="0"/>
                                  <a:ext cx="13716" cy="8382"/>
                                  <a:chOff x="0" y="0"/>
                                  <a:chExt cx="864" cy="528"/>
                                </a:xfrm>
                              </wpg:grpSpPr>
                              <wps:wsp>
                                <wps:cNvPr id="21" name="Line 23"/>
                                <wps:cNvCnPr/>
                                <wps:spPr bwMode="auto">
                                  <a:xfrm>
                                    <a:off x="384" y="0"/>
                                    <a:ext cx="48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4"/>
                                <wps:cNvCnPr/>
                                <wps:spPr bwMode="auto">
                                  <a:xfrm flipH="1">
                                    <a:off x="0" y="0"/>
                                    <a:ext cx="38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a:off x="0" y="288"/>
                                    <a:ext cx="528"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wps:spPr bwMode="auto">
                                  <a:xfrm flipV="1">
                                    <a:off x="528" y="192"/>
                                    <a:ext cx="336"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wps:spPr bwMode="auto">
                                  <a:xfrm>
                                    <a:off x="0" y="288"/>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9"/>
                                <wps:cNvCnPr/>
                                <wps:spPr bwMode="auto">
                                  <a:xfrm>
                                    <a:off x="864" y="192"/>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30"/>
                              <wps:cNvCnPr/>
                              <wps:spPr bwMode="auto">
                                <a:xfrm flipV="1">
                                  <a:off x="8382" y="6858"/>
                                  <a:ext cx="5334" cy="53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1"/>
                              <wps:cNvCnPr/>
                              <wps:spPr bwMode="auto">
                                <a:xfrm>
                                  <a:off x="0" y="8382"/>
                                  <a:ext cx="8382"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8"/>
                              <wps:cNvCnPr/>
                              <wps:spPr bwMode="auto">
                                <a:xfrm>
                                  <a:off x="13716" y="3048"/>
                                  <a:ext cx="304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1" name="Line 41"/>
                              <wps:cNvCnPr/>
                              <wps:spPr bwMode="auto">
                                <a:xfrm>
                                  <a:off x="13716" y="6858"/>
                                  <a:ext cx="3048"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2" name="Line 46"/>
                              <wps:cNvCnPr/>
                              <wps:spPr bwMode="auto">
                                <a:xfrm>
                                  <a:off x="0" y="8382"/>
                                  <a:ext cx="0" cy="3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3" name="Line 47"/>
                              <wps:cNvCnPr/>
                              <wps:spPr bwMode="auto">
                                <a:xfrm>
                                  <a:off x="8382" y="12192"/>
                                  <a:ext cx="0" cy="228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4" name="Line 48"/>
                              <wps:cNvCnPr/>
                              <wps:spPr bwMode="auto">
                                <a:xfrm>
                                  <a:off x="13716" y="6858"/>
                                  <a:ext cx="0" cy="3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5" name="Text Box 55"/>
                              <wps:cNvSpPr txBox="1">
                                <a:spLocks noChangeArrowheads="1"/>
                              </wps:cNvSpPr>
                              <wps:spPr bwMode="auto">
                                <a:xfrm>
                                  <a:off x="14031" y="3805"/>
                                  <a:ext cx="3937"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8</w:t>
                                    </w:r>
                                  </w:p>
                                </w:txbxContent>
                              </wps:txbx>
                              <wps:bodyPr rot="0" vert="horz" wrap="square" lIns="91440" tIns="45720" rIns="91440" bIns="45720" anchor="t" anchorCtr="0" upright="1">
                                <a:noAutofit/>
                              </wps:bodyPr>
                            </wps:wsp>
                            <wps:wsp>
                              <wps:cNvPr id="36" name="Text Box 57"/>
                              <wps:cNvSpPr txBox="1">
                                <a:spLocks noChangeArrowheads="1"/>
                              </wps:cNvSpPr>
                              <wps:spPr bwMode="auto">
                                <a:xfrm>
                                  <a:off x="9896" y="9900"/>
                                  <a:ext cx="4636" cy="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16</w:t>
                                    </w:r>
                                  </w:p>
                                </w:txbxContent>
                              </wps:txbx>
                              <wps:bodyPr rot="0" vert="horz" wrap="square" lIns="91440" tIns="45720" rIns="91440" bIns="45720" anchor="t" anchorCtr="0" upright="1">
                                <a:noAutofit/>
                              </wps:bodyPr>
                            </wps:wsp>
                            <wps:wsp>
                              <wps:cNvPr id="37" name="Text Box 58"/>
                              <wps:cNvSpPr txBox="1">
                                <a:spLocks noChangeArrowheads="1"/>
                              </wps:cNvSpPr>
                              <wps:spPr bwMode="auto">
                                <a:xfrm>
                                  <a:off x="1519" y="10537"/>
                                  <a:ext cx="482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4867" w:rsidRPr="000B4E77" w:rsidRDefault="00D84867" w:rsidP="00D84867">
                                    <w:pPr>
                                      <w:pStyle w:val="NormalWeb"/>
                                      <w:rPr>
                                        <w:sz w:val="20"/>
                                        <w:szCs w:val="20"/>
                                      </w:rPr>
                                    </w:pPr>
                                    <w:r w:rsidRPr="000B4E77">
                                      <w:rPr>
                                        <w:sz w:val="20"/>
                                        <w:szCs w:val="20"/>
                                      </w:rPr>
                                      <w:t>19</w:t>
                                    </w:r>
                                  </w:p>
                                </w:txbxContent>
                              </wps:txbx>
                              <wps:bodyPr rot="0" vert="horz" wrap="square" lIns="91440" tIns="45720" rIns="91440" bIns="45720" anchor="t" anchorCtr="0" upright="1">
                                <a:noAutofit/>
                              </wps:bodyPr>
                            </wps:wsp>
                            <wps:wsp>
                              <wps:cNvPr id="38" name="Line 88"/>
                              <wps:cNvCnPr/>
                              <wps:spPr bwMode="auto">
                                <a:xfrm flipV="1">
                                  <a:off x="1524" y="762"/>
                                  <a:ext cx="4572"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9"/>
                              <wps:cNvCnPr/>
                              <wps:spPr bwMode="auto">
                                <a:xfrm>
                                  <a:off x="6096" y="761"/>
                                  <a:ext cx="6709" cy="2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0"/>
                              <wps:cNvCnPr/>
                              <wps:spPr bwMode="auto">
                                <a:xfrm flipH="1">
                                  <a:off x="8382" y="3323"/>
                                  <a:ext cx="4360" cy="4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91"/>
                              <wps:cNvCnPr/>
                              <wps:spPr bwMode="auto">
                                <a:xfrm>
                                  <a:off x="1524" y="4572"/>
                                  <a:ext cx="6858" cy="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ECD874" id="Gruppieren 5" o:spid="_x0000_s1049" style="width:110.45pt;height:82.45pt;mso-position-horizontal-relative:char;mso-position-vertical-relative:line" coordsize="17968,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">
                      <v:line id="Line 28" o:spid="_x0000_s1050" style="position:absolute;visibility:visible;mso-wrap-style:square" from="8382,8382" to="8382,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group id="Group 74" o:spid="_x0000_s1051" style="position:absolute;width:13716;height:8382" coordsize="86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23" o:spid="_x0000_s1052" style="position:absolute;visibility:visible;mso-wrap-style:square" from="384,0" to="86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24" o:spid="_x0000_s1053" style="position:absolute;flip:x;visibility:visible;mso-wrap-style:square" from="0,0" to="38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5" o:spid="_x0000_s1054" style="position:absolute;visibility:visible;mso-wrap-style:square" from="0,288" to="52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6" o:spid="_x0000_s1055" style="position:absolute;flip:y;visibility:visible;mso-wrap-style:square" from="528,192" to="86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7" o:spid="_x0000_s1056" style="position:absolute;visibility:visible;mso-wrap-style:square" from="0,288" to="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9" o:spid="_x0000_s1057" style="position:absolute;visibility:visible;mso-wrap-style:square" from="864,192" to="8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group>
                      <v:line id="Line 30" o:spid="_x0000_s1058" style="position:absolute;flip:y;visibility:visible;mso-wrap-style:square" from="8382,6858" to="1371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31" o:spid="_x0000_s1059" style="position:absolute;visibility:visible;mso-wrap-style:square" from="0,8382" to="8382,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8" o:spid="_x0000_s1060" style="position:absolute;visibility:visible;mso-wrap-style:square" from="13716,3048" to="16764,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" strokecolor="blue"/>
                      <v:line id="Line 41" o:spid="_x0000_s1061" style="position:absolute;visibility:visible;mso-wrap-style:square" from="13716,6858" to="167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" strokecolor="blue"/>
                      <v:line id="Line 46" o:spid="_x0000_s1062" style="position:absolute;visibility:visible;mso-wrap-style:square" from="0,8382" to="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" strokecolor="blue"/>
                      <v:line id="Line 47" o:spid="_x0000_s1063" style="position:absolute;visibility:visible;mso-wrap-style:square" from="8382,12192" to="8382,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" strokecolor="blue"/>
                      <v:line id="Line 48" o:spid="_x0000_s1064" style="position:absolute;visibility:visible;mso-wrap-style:square" from="13716,6858" to="1371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" strokecolor="blue"/>
                      <v:shape id="Text Box 55" o:spid="_x0000_s1065" type="#_x0000_t202" style="position:absolute;left:14031;top:3805;width:3937;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D84867" w:rsidRPr="000B4E77" w:rsidRDefault="00D84867" w:rsidP="00D84867">
                              <w:pPr>
                                <w:pStyle w:val="NormalWeb"/>
                                <w:rPr>
                                  <w:sz w:val="20"/>
                                  <w:szCs w:val="20"/>
                                </w:rPr>
                              </w:pPr>
                              <w:r w:rsidRPr="000B4E77">
                                <w:rPr>
                                  <w:sz w:val="20"/>
                                  <w:szCs w:val="20"/>
                                </w:rPr>
                                <w:t>8</w:t>
                              </w:r>
                            </w:p>
                          </w:txbxContent>
                        </v:textbox>
                      </v:shape>
                      <v:shape id="Text Box 57" o:spid="_x0000_s1066" type="#_x0000_t202" style="position:absolute;left:9896;top:9900;width:4636;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D84867" w:rsidRPr="000B4E77" w:rsidRDefault="00D84867" w:rsidP="00D84867">
                              <w:pPr>
                                <w:pStyle w:val="NormalWeb"/>
                                <w:rPr>
                                  <w:sz w:val="20"/>
                                  <w:szCs w:val="20"/>
                                </w:rPr>
                              </w:pPr>
                              <w:r w:rsidRPr="000B4E77">
                                <w:rPr>
                                  <w:sz w:val="20"/>
                                  <w:szCs w:val="20"/>
                                </w:rPr>
                                <w:t>16</w:t>
                              </w:r>
                            </w:p>
                          </w:txbxContent>
                        </v:textbox>
                      </v:shape>
                      <v:shape id="Text Box 58" o:spid="_x0000_s1067" type="#_x0000_t202" style="position:absolute;left:1519;top:10537;width:4826;height:3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D84867" w:rsidRPr="000B4E77" w:rsidRDefault="00D84867" w:rsidP="00D84867">
                              <w:pPr>
                                <w:pStyle w:val="NormalWeb"/>
                                <w:rPr>
                                  <w:sz w:val="20"/>
                                  <w:szCs w:val="20"/>
                                </w:rPr>
                              </w:pPr>
                              <w:r w:rsidRPr="000B4E77">
                                <w:rPr>
                                  <w:sz w:val="20"/>
                                  <w:szCs w:val="20"/>
                                </w:rPr>
                                <w:t>19</w:t>
                              </w:r>
                            </w:p>
                          </w:txbxContent>
                        </v:textbox>
                      </v:shape>
                      <v:line id="Line 88" o:spid="_x0000_s1068" style="position:absolute;flip:y;visibility:visible;mso-wrap-style:square" from="1524,762" to="609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89" o:spid="_x0000_s1069" style="position:absolute;visibility:visible;mso-wrap-style:square" from="6096,761" to="12805,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90" o:spid="_x0000_s1070" style="position:absolute;flip:x;visibility:visible;mso-wrap-style:square" from="8382,3323" to="12742,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91" o:spid="_x0000_s1071" style="position:absolute;visibility:visible;mso-wrap-style:square" from="1524,4572" to="838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w10:anchorlock/>
                    </v:group>
                  </w:pict>
                </mc:Fallback>
              </mc:AlternateContent>
            </w:r>
          </w:p>
        </w:tc>
        <w:tc>
          <w:tcPr>
            <w:tcW w:w="1276" w:type="dxa"/>
            <w:shd w:val="clear" w:color="auto" w:fill="auto"/>
          </w:tcPr>
          <w:p w:rsidR="00D84867" w:rsidRPr="00CF1084" w:rsidRDefault="00D84867" w:rsidP="009D1AF4">
            <w:pPr>
              <w:pStyle w:val="Header"/>
              <w:pBdr>
                <w:bottom w:val="none" w:sz="0" w:space="0" w:color="auto"/>
              </w:pBdr>
            </w:pPr>
            <w:r w:rsidRPr="00CF1084">
              <w:t xml:space="preserve">1,6ml product volume </w:t>
            </w:r>
          </w:p>
          <w:p w:rsidR="00D84867" w:rsidRPr="00CF1084" w:rsidRDefault="00D84867" w:rsidP="009D1AF4">
            <w:pPr>
              <w:pStyle w:val="Header"/>
              <w:pBdr>
                <w:bottom w:val="none" w:sz="0" w:space="0" w:color="auto"/>
              </w:pBdr>
            </w:pPr>
            <w:r w:rsidRPr="00CF1084">
              <w:t>Label area = 756 mm²</w:t>
            </w:r>
          </w:p>
          <w:p w:rsidR="00D84867" w:rsidRPr="00CF1084" w:rsidRDefault="00D84867" w:rsidP="009D1AF4">
            <w:pPr>
              <w:pStyle w:val="Header"/>
              <w:pBdr>
                <w:bottom w:val="none" w:sz="0" w:space="0" w:color="auto"/>
              </w:pBdr>
            </w:pPr>
          </w:p>
        </w:tc>
        <w:tc>
          <w:tcPr>
            <w:tcW w:w="3402" w:type="dxa"/>
            <w:shd w:val="clear" w:color="auto" w:fill="auto"/>
          </w:tcPr>
          <w:p w:rsidR="00D84867" w:rsidRPr="00CF1084" w:rsidRDefault="00D84867" w:rsidP="009D1AF4">
            <w:pPr>
              <w:pStyle w:val="Header"/>
              <w:pBdr>
                <w:bottom w:val="none" w:sz="0" w:space="0" w:color="auto"/>
              </w:pBdr>
            </w:pPr>
            <w:r w:rsidRPr="00CF1084">
              <w:t>Very small area. No space for any pictogram, like GHS09, e.g. if pigment has an environmental hazard. Use of additional information may be necessary e.g. related to biocide content.</w:t>
            </w:r>
          </w:p>
        </w:tc>
        <w:tc>
          <w:tcPr>
            <w:tcW w:w="4394" w:type="dxa"/>
            <w:shd w:val="clear" w:color="auto" w:fill="auto"/>
          </w:tcPr>
          <w:p w:rsidR="00D84867" w:rsidRPr="00CF1084" w:rsidRDefault="00D84867" w:rsidP="009D1AF4">
            <w:pPr>
              <w:pStyle w:val="Header"/>
              <w:pBdr>
                <w:bottom w:val="none" w:sz="0" w:space="0" w:color="auto"/>
              </w:pBdr>
            </w:pPr>
            <w:r w:rsidRPr="000B4E77">
              <w:rPr>
                <w:noProof/>
              </w:rPr>
              <w:drawing>
                <wp:inline distT="0" distB="0" distL="0" distR="0" wp14:anchorId="5D8F843A" wp14:editId="65D08234">
                  <wp:extent cx="876300" cy="1084945"/>
                  <wp:effectExtent l="0" t="0" r="0" b="127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876872" cy="1085653"/>
                          </a:xfrm>
                          <a:prstGeom prst="rect">
                            <a:avLst/>
                          </a:prstGeom>
                          <a:noFill/>
                          <a:ln w="9525">
                            <a:noFill/>
                            <a:miter lim="800000"/>
                            <a:headEnd/>
                            <a:tailEnd/>
                          </a:ln>
                        </pic:spPr>
                      </pic:pic>
                    </a:graphicData>
                  </a:graphic>
                </wp:inline>
              </w:drawing>
            </w:r>
          </w:p>
        </w:tc>
      </w:tr>
      <w:tr w:rsidR="00D84867" w:rsidRPr="000B4E77" w:rsidTr="009D1AF4">
        <w:trPr>
          <w:jc w:val="center"/>
        </w:trPr>
        <w:tc>
          <w:tcPr>
            <w:tcW w:w="1256" w:type="dxa"/>
            <w:shd w:val="clear" w:color="auto" w:fill="auto"/>
          </w:tcPr>
          <w:p w:rsidR="00D84867" w:rsidRPr="000B4E77" w:rsidRDefault="00D84867" w:rsidP="009D1AF4">
            <w:pPr>
              <w:pStyle w:val="Header"/>
              <w:pBdr>
                <w:bottom w:val="none" w:sz="0" w:space="0" w:color="auto"/>
              </w:pBdr>
              <w:rPr>
                <w:lang w:val="en-US"/>
              </w:rPr>
            </w:pPr>
            <w:r>
              <w:rPr>
                <w:lang w:val="en-US"/>
              </w:rPr>
              <w:t>A</w:t>
            </w:r>
            <w:r w:rsidRPr="000B4E77">
              <w:rPr>
                <w:lang w:val="en-US"/>
              </w:rPr>
              <w:t>quarelle paints (soft)</w:t>
            </w:r>
          </w:p>
        </w:tc>
        <w:tc>
          <w:tcPr>
            <w:tcW w:w="2268" w:type="dxa"/>
            <w:shd w:val="clear" w:color="auto" w:fill="auto"/>
          </w:tcPr>
          <w:p w:rsidR="00D84867" w:rsidRPr="000B4E77" w:rsidRDefault="00D84867" w:rsidP="009D1AF4">
            <w:pPr>
              <w:rPr>
                <w:lang w:val="en-US"/>
              </w:rPr>
            </w:pPr>
            <w:r w:rsidRPr="000B4E77">
              <w:rPr>
                <w:noProof/>
                <w:lang w:eastAsia="en-GB"/>
              </w:rPr>
              <w:drawing>
                <wp:inline distT="0" distB="0" distL="0" distR="0" wp14:anchorId="0B1FFCA1" wp14:editId="652B6A01">
                  <wp:extent cx="1352683" cy="2432050"/>
                  <wp:effectExtent l="0" t="0" r="0" b="635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2683" cy="2432050"/>
                          </a:xfrm>
                          <a:prstGeom prst="rect">
                            <a:avLst/>
                          </a:prstGeom>
                          <a:noFill/>
                          <a:ln>
                            <a:noFill/>
                          </a:ln>
                        </pic:spPr>
                      </pic:pic>
                    </a:graphicData>
                  </a:graphic>
                </wp:inline>
              </w:drawing>
            </w:r>
          </w:p>
        </w:tc>
        <w:tc>
          <w:tcPr>
            <w:tcW w:w="1276" w:type="dxa"/>
            <w:shd w:val="clear" w:color="auto" w:fill="auto"/>
          </w:tcPr>
          <w:p w:rsidR="00D84867" w:rsidRPr="000B4E77" w:rsidRDefault="00D84867" w:rsidP="009D1AF4">
            <w:pPr>
              <w:rPr>
                <w:lang w:val="en-US"/>
              </w:rPr>
            </w:pPr>
          </w:p>
          <w:p w:rsidR="00D84867" w:rsidRPr="000B4E77" w:rsidRDefault="00D84867" w:rsidP="009D1AF4">
            <w:pPr>
              <w:rPr>
                <w:lang w:val="en-US"/>
              </w:rPr>
            </w:pPr>
            <w:r w:rsidRPr="000B4E77">
              <w:rPr>
                <w:lang w:val="en-US"/>
              </w:rPr>
              <w:t>5,0ml</w:t>
            </w:r>
          </w:p>
          <w:p w:rsidR="00D84867" w:rsidRPr="000B4E77" w:rsidRDefault="00D84867" w:rsidP="009D1AF4">
            <w:pPr>
              <w:rPr>
                <w:lang w:val="en-US"/>
              </w:rPr>
            </w:pPr>
            <w:r w:rsidRPr="000B4E77">
              <w:rPr>
                <w:lang w:val="en-US"/>
              </w:rPr>
              <w:t>Label area: 2470 mm²</w:t>
            </w:r>
          </w:p>
          <w:p w:rsidR="00D84867" w:rsidRPr="000B4E77" w:rsidRDefault="00D84867" w:rsidP="009D1AF4">
            <w:pPr>
              <w:rPr>
                <w:lang w:val="en-US"/>
              </w:rPr>
            </w:pPr>
          </w:p>
          <w:p w:rsidR="00D84867" w:rsidRPr="000B4E77" w:rsidRDefault="00D84867" w:rsidP="009D1AF4">
            <w:pPr>
              <w:rPr>
                <w:lang w:val="en-US"/>
              </w:rPr>
            </w:pPr>
            <w:r w:rsidRPr="000B4E77">
              <w:rPr>
                <w:lang w:val="en-US"/>
              </w:rPr>
              <w:t>15 ml</w:t>
            </w:r>
          </w:p>
          <w:p w:rsidR="00D84867" w:rsidRPr="000B4E77" w:rsidRDefault="00D84867" w:rsidP="009D1AF4">
            <w:pPr>
              <w:rPr>
                <w:lang w:val="en-US"/>
              </w:rPr>
            </w:pPr>
            <w:r w:rsidRPr="000B4E77">
              <w:rPr>
                <w:lang w:val="en-US"/>
              </w:rPr>
              <w:t>Label area:  3500 mm²</w:t>
            </w:r>
          </w:p>
          <w:p w:rsidR="00D84867" w:rsidRPr="000B4E77" w:rsidRDefault="00D84867" w:rsidP="009D1AF4">
            <w:pPr>
              <w:rPr>
                <w:lang w:val="en-US"/>
              </w:rPr>
            </w:pPr>
          </w:p>
        </w:tc>
        <w:tc>
          <w:tcPr>
            <w:tcW w:w="3402" w:type="dxa"/>
            <w:shd w:val="clear" w:color="auto" w:fill="auto"/>
          </w:tcPr>
          <w:p w:rsidR="00D84867" w:rsidRPr="000B4E77" w:rsidRDefault="00D84867" w:rsidP="009D1AF4">
            <w:pPr>
              <w:spacing w:after="120"/>
              <w:ind w:left="142" w:right="284" w:firstLine="15"/>
              <w:jc w:val="both"/>
              <w:rPr>
                <w:lang w:val="en-US"/>
              </w:rPr>
            </w:pPr>
            <w:r w:rsidRPr="000B4E77">
              <w:rPr>
                <w:lang w:val="en-US"/>
              </w:rPr>
              <w:t>Very small area. No space for any pictogram, like GHS09, e.g. if pigment has an environmental hazard. Use of additional information may be necessary e.g. related to biocide content.</w:t>
            </w:r>
          </w:p>
        </w:tc>
        <w:tc>
          <w:tcPr>
            <w:tcW w:w="4394" w:type="dxa"/>
            <w:shd w:val="clear" w:color="auto" w:fill="auto"/>
          </w:tcPr>
          <w:p w:rsidR="00D84867" w:rsidRPr="000B4E77" w:rsidRDefault="00D84867" w:rsidP="009D1AF4">
            <w:pPr>
              <w:jc w:val="center"/>
              <w:rPr>
                <w:lang w:val="en-US"/>
              </w:rPr>
            </w:pPr>
            <w:r w:rsidRPr="000B4E77">
              <w:rPr>
                <w:noProof/>
                <w:lang w:eastAsia="en-GB"/>
              </w:rPr>
              <w:drawing>
                <wp:inline distT="0" distB="0" distL="0" distR="0" wp14:anchorId="4D8E8712" wp14:editId="6FE0AE27">
                  <wp:extent cx="882650" cy="1536700"/>
                  <wp:effectExtent l="0" t="0" r="0" b="6350"/>
                  <wp:docPr id="10"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r>
      <w:tr w:rsidR="00D84867" w:rsidRPr="000B4E77" w:rsidTr="009D1AF4">
        <w:trPr>
          <w:jc w:val="center"/>
        </w:trPr>
        <w:tc>
          <w:tcPr>
            <w:tcW w:w="1256" w:type="dxa"/>
            <w:shd w:val="clear" w:color="auto" w:fill="auto"/>
          </w:tcPr>
          <w:p w:rsidR="00D84867" w:rsidRPr="000B4E77" w:rsidRDefault="00D84867" w:rsidP="009D1AF4">
            <w:pPr>
              <w:rPr>
                <w:lang w:val="en-US"/>
              </w:rPr>
            </w:pPr>
            <w:r w:rsidRPr="000B4E77">
              <w:rPr>
                <w:lang w:val="en-US"/>
              </w:rPr>
              <w:t>Marker refill products</w:t>
            </w:r>
          </w:p>
        </w:tc>
        <w:tc>
          <w:tcPr>
            <w:tcW w:w="2268" w:type="dxa"/>
            <w:shd w:val="clear" w:color="auto" w:fill="auto"/>
          </w:tcPr>
          <w:p w:rsidR="00D84867" w:rsidRPr="000B4E77" w:rsidRDefault="00D84867" w:rsidP="009D1AF4">
            <w:pPr>
              <w:jc w:val="center"/>
              <w:rPr>
                <w:noProof/>
                <w:lang w:val="en-US" w:eastAsia="de-DE"/>
              </w:rPr>
            </w:pPr>
            <w:r w:rsidRPr="000B4E77">
              <w:rPr>
                <w:noProof/>
                <w:lang w:eastAsia="en-GB"/>
              </w:rPr>
              <w:drawing>
                <wp:inline distT="0" distB="0" distL="0" distR="0" wp14:anchorId="19860E99" wp14:editId="46EAC3F2">
                  <wp:extent cx="666750" cy="901700"/>
                  <wp:effectExtent l="0" t="0" r="0" b="0"/>
                  <wp:docPr id="1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901700"/>
                          </a:xfrm>
                          <a:prstGeom prst="rect">
                            <a:avLst/>
                          </a:prstGeom>
                          <a:noFill/>
                          <a:ln>
                            <a:noFill/>
                          </a:ln>
                        </pic:spPr>
                      </pic:pic>
                    </a:graphicData>
                  </a:graphic>
                </wp:inline>
              </w:drawing>
            </w:r>
          </w:p>
        </w:tc>
        <w:tc>
          <w:tcPr>
            <w:tcW w:w="1276" w:type="dxa"/>
            <w:shd w:val="clear" w:color="auto" w:fill="auto"/>
          </w:tcPr>
          <w:p w:rsidR="00D84867" w:rsidRPr="000B4E77" w:rsidRDefault="00D84867" w:rsidP="009D1AF4">
            <w:pPr>
              <w:rPr>
                <w:lang w:val="en-US"/>
              </w:rPr>
            </w:pPr>
            <w:r w:rsidRPr="000B4E77">
              <w:rPr>
                <w:lang w:val="en-US"/>
              </w:rPr>
              <w:t>15 ml</w:t>
            </w:r>
          </w:p>
        </w:tc>
        <w:tc>
          <w:tcPr>
            <w:tcW w:w="3402" w:type="dxa"/>
            <w:shd w:val="clear" w:color="auto" w:fill="auto"/>
          </w:tcPr>
          <w:p w:rsidR="00D84867" w:rsidRPr="000B4E77" w:rsidRDefault="00D84867" w:rsidP="009D1AF4">
            <w:pPr>
              <w:rPr>
                <w:noProof/>
                <w:lang w:val="de-DE" w:eastAsia="de-DE"/>
              </w:rPr>
            </w:pPr>
            <w:r w:rsidRPr="000B4E77">
              <w:rPr>
                <w:noProof/>
                <w:lang w:eastAsia="en-GB"/>
              </w:rPr>
              <w:drawing>
                <wp:inline distT="0" distB="0" distL="0" distR="0" wp14:anchorId="376BF5E1" wp14:editId="43C47FD8">
                  <wp:extent cx="1276350" cy="412750"/>
                  <wp:effectExtent l="0" t="0" r="0" b="6350"/>
                  <wp:docPr id="1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0" cy="412750"/>
                          </a:xfrm>
                          <a:prstGeom prst="rect">
                            <a:avLst/>
                          </a:prstGeom>
                          <a:noFill/>
                          <a:ln>
                            <a:noFill/>
                          </a:ln>
                        </pic:spPr>
                      </pic:pic>
                    </a:graphicData>
                  </a:graphic>
                </wp:inline>
              </w:drawing>
            </w:r>
          </w:p>
          <w:p w:rsidR="00D84867" w:rsidRPr="000B4E77" w:rsidRDefault="00D84867" w:rsidP="009D1AF4">
            <w:pPr>
              <w:rPr>
                <w:lang w:val="en-US"/>
              </w:rPr>
            </w:pPr>
            <w:r w:rsidRPr="000B4E77">
              <w:rPr>
                <w:lang w:val="en-US"/>
              </w:rPr>
              <w:t>Required labelling elements lead to very small letters and subsequently reduced readability</w:t>
            </w:r>
          </w:p>
        </w:tc>
        <w:tc>
          <w:tcPr>
            <w:tcW w:w="4394" w:type="dxa"/>
            <w:shd w:val="clear" w:color="auto" w:fill="auto"/>
          </w:tcPr>
          <w:p w:rsidR="00D84867" w:rsidRPr="000B4E77" w:rsidRDefault="00D84867" w:rsidP="009D1AF4">
            <w:pPr>
              <w:jc w:val="center"/>
              <w:rPr>
                <w:lang w:val="en-US"/>
              </w:rPr>
            </w:pPr>
            <w:r w:rsidRPr="000B4E77">
              <w:rPr>
                <w:noProof/>
                <w:lang w:eastAsia="en-GB"/>
              </w:rPr>
              <w:drawing>
                <wp:inline distT="0" distB="0" distL="0" distR="0" wp14:anchorId="646969C4" wp14:editId="3B0B7E69">
                  <wp:extent cx="977900" cy="1035050"/>
                  <wp:effectExtent l="0" t="0" r="0" b="0"/>
                  <wp:docPr id="1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7900" cy="1035050"/>
                          </a:xfrm>
                          <a:prstGeom prst="rect">
                            <a:avLst/>
                          </a:prstGeom>
                          <a:noFill/>
                          <a:ln>
                            <a:noFill/>
                          </a:ln>
                        </pic:spPr>
                      </pic:pic>
                    </a:graphicData>
                  </a:graphic>
                </wp:inline>
              </w:drawing>
            </w:r>
          </w:p>
        </w:tc>
      </w:tr>
    </w:tbl>
    <w:p w:rsidR="00D84867" w:rsidRDefault="00D84867" w:rsidP="00D84867">
      <w:pPr>
        <w:suppressAutoHyphens w:val="0"/>
        <w:spacing w:line="240" w:lineRule="auto"/>
        <w:rPr>
          <w:rFonts w:eastAsia="MS Mincho"/>
          <w:b/>
          <w:sz w:val="28"/>
        </w:rPr>
      </w:pPr>
    </w:p>
    <w:p w:rsidR="00D84867" w:rsidRDefault="00D84867">
      <w:pPr>
        <w:suppressAutoHyphens w:val="0"/>
        <w:spacing w:line="240" w:lineRule="auto"/>
      </w:pPr>
      <w:r>
        <w:br w:type="page"/>
      </w:r>
    </w:p>
    <w:p w:rsidR="00D84867" w:rsidRDefault="00D84867" w:rsidP="00D84867">
      <w:pPr>
        <w:pStyle w:val="HChG"/>
        <w:rPr>
          <w:rFonts w:eastAsia="MS Mincho"/>
        </w:rPr>
      </w:pPr>
      <w:r w:rsidRPr="004845AC">
        <w:rPr>
          <w:rFonts w:eastAsia="MS Mincho"/>
        </w:rPr>
        <w:t>A</w:t>
      </w:r>
      <w:r>
        <w:rPr>
          <w:rFonts w:eastAsia="MS Mincho"/>
        </w:rPr>
        <w:t>nnex 2</w:t>
      </w:r>
    </w:p>
    <w:p w:rsidR="00D84867" w:rsidRDefault="00D84867" w:rsidP="00D84867">
      <w:r>
        <w:rPr>
          <w:rFonts w:eastAsia="MS Mincho"/>
        </w:rPr>
        <w:t xml:space="preserve">Options to address general issue for these products: </w:t>
      </w:r>
      <w:r>
        <w:t>n</w:t>
      </w:r>
      <w:r w:rsidRPr="00744C8A">
        <w:t xml:space="preserve">ot possible to put all applicable GHS label elements and </w:t>
      </w:r>
      <w:r>
        <w:t>instructions</w:t>
      </w:r>
      <w:r w:rsidRPr="00744C8A">
        <w:t xml:space="preserve"> for use on the immediate container in all </w:t>
      </w:r>
      <w:r>
        <w:t xml:space="preserve">required </w:t>
      </w:r>
      <w:r w:rsidRPr="00744C8A">
        <w:t>languages due to its size and shape</w:t>
      </w:r>
      <w:r>
        <w:t>.</w:t>
      </w:r>
    </w:p>
    <w:p w:rsidR="00D84867" w:rsidRDefault="00D84867" w:rsidP="00D84867"/>
    <w:tbl>
      <w:tblPr>
        <w:tblW w:w="12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4537"/>
        <w:gridCol w:w="6946"/>
      </w:tblGrid>
      <w:tr w:rsidR="00D84867" w:rsidRPr="00744C8A" w:rsidTr="009D1AF4">
        <w:trPr>
          <w:tblHeader/>
        </w:trPr>
        <w:tc>
          <w:tcPr>
            <w:tcW w:w="1417" w:type="dxa"/>
            <w:shd w:val="clear" w:color="auto" w:fill="FFFFCC"/>
          </w:tcPr>
          <w:p w:rsidR="00D84867" w:rsidRPr="000B4E77" w:rsidRDefault="00D84867" w:rsidP="009D1AF4">
            <w:pPr>
              <w:rPr>
                <w:b/>
              </w:rPr>
            </w:pPr>
            <w:r w:rsidRPr="000B4E77">
              <w:rPr>
                <w:b/>
              </w:rPr>
              <w:t>Proposal #</w:t>
            </w:r>
          </w:p>
        </w:tc>
        <w:tc>
          <w:tcPr>
            <w:tcW w:w="4537" w:type="dxa"/>
            <w:shd w:val="clear" w:color="auto" w:fill="FFFFCC"/>
          </w:tcPr>
          <w:p w:rsidR="00D84867" w:rsidRPr="000B4E77" w:rsidRDefault="00D84867" w:rsidP="009D1AF4">
            <w:pPr>
              <w:rPr>
                <w:b/>
              </w:rPr>
            </w:pPr>
            <w:r w:rsidRPr="000B4E77">
              <w:rPr>
                <w:b/>
              </w:rPr>
              <w:t>Possible options</w:t>
            </w:r>
          </w:p>
        </w:tc>
        <w:tc>
          <w:tcPr>
            <w:tcW w:w="6946" w:type="dxa"/>
            <w:shd w:val="clear" w:color="auto" w:fill="FFFFCC"/>
          </w:tcPr>
          <w:p w:rsidR="00D84867" w:rsidRPr="000B4E77" w:rsidRDefault="00D84867" w:rsidP="009D1AF4">
            <w:pPr>
              <w:rPr>
                <w:b/>
              </w:rPr>
            </w:pPr>
            <w:r w:rsidRPr="000B4E77">
              <w:rPr>
                <w:b/>
              </w:rPr>
              <w:t>Comments</w:t>
            </w:r>
          </w:p>
        </w:tc>
      </w:tr>
      <w:tr w:rsidR="00D84867" w:rsidRPr="00744C8A" w:rsidTr="009D1AF4">
        <w:tc>
          <w:tcPr>
            <w:tcW w:w="1417" w:type="dxa"/>
            <w:shd w:val="clear" w:color="auto" w:fill="auto"/>
          </w:tcPr>
          <w:p w:rsidR="00D84867" w:rsidRPr="00744C8A" w:rsidRDefault="00D84867" w:rsidP="009D1AF4">
            <w:r>
              <w:t>1</w:t>
            </w:r>
          </w:p>
        </w:tc>
        <w:tc>
          <w:tcPr>
            <w:tcW w:w="4537" w:type="dxa"/>
            <w:shd w:val="clear" w:color="auto" w:fill="auto"/>
          </w:tcPr>
          <w:p w:rsidR="00D84867" w:rsidRPr="00744C8A" w:rsidRDefault="00D84867" w:rsidP="009D1AF4">
            <w:r w:rsidRPr="00744C8A">
              <w:t>Provide label elements in a fold-out label</w:t>
            </w:r>
          </w:p>
        </w:tc>
        <w:tc>
          <w:tcPr>
            <w:tcW w:w="6946" w:type="dxa"/>
            <w:shd w:val="clear" w:color="auto" w:fill="auto"/>
          </w:tcPr>
          <w:p w:rsidR="00D84867" w:rsidRPr="00CF1A1C" w:rsidRDefault="00D84867" w:rsidP="009D1AF4">
            <w:pPr>
              <w:pStyle w:val="ListParagraph"/>
              <w:ind w:left="142"/>
            </w:pPr>
            <w:r w:rsidRPr="00CF1A1C">
              <w:t xml:space="preserve">Not an option – size of the container is too small for a fold-out label where all the information </w:t>
            </w:r>
            <w:proofErr w:type="gramStart"/>
            <w:r w:rsidRPr="00CF1A1C">
              <w:t>are</w:t>
            </w:r>
            <w:proofErr w:type="gramEnd"/>
            <w:r w:rsidRPr="00CF1A1C">
              <w:t xml:space="preserve"> well arranged and easy to read</w:t>
            </w:r>
          </w:p>
          <w:p w:rsidR="00D84867" w:rsidRDefault="00D84867" w:rsidP="009D1AF4">
            <w:pPr>
              <w:ind w:left="142" w:right="142"/>
            </w:pPr>
            <w:r w:rsidRPr="00CF1A1C">
              <w:t>Increasing the fold-out label would lead to the risk that the fold-out label cannot be securely attached to such small packaging/container. Also need to take account of sustainability considerations (e.g. packaging reduction, environmental footprint, etc.) as than the fold-out label would be bigger (more resources) as the original packaging/label</w:t>
            </w:r>
          </w:p>
          <w:p w:rsidR="00D84867" w:rsidRPr="00744C8A" w:rsidRDefault="00D84867" w:rsidP="009D1AF4">
            <w:pPr>
              <w:ind w:left="142" w:right="142"/>
            </w:pPr>
          </w:p>
        </w:tc>
      </w:tr>
      <w:tr w:rsidR="00D84867" w:rsidRPr="00744C8A" w:rsidTr="009D1AF4">
        <w:trPr>
          <w:trHeight w:val="3168"/>
        </w:trPr>
        <w:tc>
          <w:tcPr>
            <w:tcW w:w="1417" w:type="dxa"/>
            <w:shd w:val="clear" w:color="auto" w:fill="auto"/>
          </w:tcPr>
          <w:p w:rsidR="00D84867" w:rsidRPr="00744C8A" w:rsidRDefault="00D84867" w:rsidP="009D1AF4">
            <w:r>
              <w:t>2</w:t>
            </w:r>
          </w:p>
        </w:tc>
        <w:tc>
          <w:tcPr>
            <w:tcW w:w="4537" w:type="dxa"/>
            <w:shd w:val="clear" w:color="auto" w:fill="auto"/>
          </w:tcPr>
          <w:p w:rsidR="00D84867" w:rsidRDefault="00D84867" w:rsidP="009D1AF4">
            <w:r w:rsidRPr="00744C8A">
              <w:t>Provide label elements on a tie-on tag</w:t>
            </w:r>
          </w:p>
          <w:p w:rsidR="00D84867" w:rsidRDefault="00D84867" w:rsidP="009D1AF4"/>
          <w:p w:rsidR="00D84867" w:rsidRPr="00744C8A" w:rsidRDefault="00D84867" w:rsidP="009D1AF4"/>
        </w:tc>
        <w:tc>
          <w:tcPr>
            <w:tcW w:w="6946" w:type="dxa"/>
            <w:shd w:val="clear" w:color="auto" w:fill="auto"/>
          </w:tcPr>
          <w:p w:rsidR="00D84867" w:rsidRPr="00744C8A" w:rsidRDefault="00D84867" w:rsidP="00D84867">
            <w:pPr>
              <w:pStyle w:val="Bullet1G"/>
              <w:numPr>
                <w:ilvl w:val="0"/>
                <w:numId w:val="4"/>
              </w:numPr>
              <w:tabs>
                <w:tab w:val="clear" w:pos="1701"/>
              </w:tabs>
              <w:ind w:left="142" w:right="284" w:hanging="1843"/>
            </w:pPr>
            <w:r w:rsidRPr="00744C8A">
              <w:t>Not practical as tie-on tag would need to be very large to accommodate all required labelling even with printing on both sides of the tag.  Large tag may impede use of the product.</w:t>
            </w:r>
          </w:p>
          <w:p w:rsidR="00D84867" w:rsidRPr="00744C8A" w:rsidRDefault="00D84867" w:rsidP="00D84867">
            <w:pPr>
              <w:pStyle w:val="Bullet1G"/>
              <w:numPr>
                <w:ilvl w:val="0"/>
                <w:numId w:val="4"/>
              </w:numPr>
              <w:tabs>
                <w:tab w:val="clear" w:pos="1701"/>
              </w:tabs>
              <w:ind w:left="142" w:right="284" w:hanging="1843"/>
            </w:pPr>
            <w:r w:rsidRPr="00744C8A">
              <w:t xml:space="preserve">Could possibly attach a fold-out label to the tie-on tag but no guarantee the tag would remain attached to the container – may impede user during application thus could possibly be removed.  </w:t>
            </w:r>
          </w:p>
          <w:p w:rsidR="00D84867" w:rsidRDefault="00D84867" w:rsidP="00D84867">
            <w:pPr>
              <w:pStyle w:val="Bullet1G"/>
              <w:numPr>
                <w:ilvl w:val="0"/>
                <w:numId w:val="4"/>
              </w:numPr>
              <w:tabs>
                <w:tab w:val="clear" w:pos="1701"/>
              </w:tabs>
              <w:ind w:left="142" w:right="284" w:hanging="1843"/>
            </w:pPr>
            <w:r w:rsidRPr="00744C8A">
              <w:t xml:space="preserve">General principles require all applicable label elements to appear on immediate container where possible; </w:t>
            </w:r>
            <w:proofErr w:type="gramStart"/>
            <w:r w:rsidRPr="00744C8A">
              <w:t>also</w:t>
            </w:r>
            <w:proofErr w:type="gramEnd"/>
            <w:r w:rsidRPr="00744C8A">
              <w:t xml:space="preserve"> some label elements on the immediate container may need to be accessible to users throughout life of product.  Would therefore also need to include minimum label elements on immediate container just in case the tie-on tag is removed by the user.</w:t>
            </w:r>
          </w:p>
          <w:p w:rsidR="00D84867" w:rsidRPr="00744C8A" w:rsidRDefault="00D84867" w:rsidP="009D1AF4"/>
        </w:tc>
      </w:tr>
      <w:tr w:rsidR="00D84867" w:rsidRPr="00744C8A" w:rsidTr="009D1AF4">
        <w:tc>
          <w:tcPr>
            <w:tcW w:w="1417" w:type="dxa"/>
            <w:shd w:val="clear" w:color="auto" w:fill="auto"/>
          </w:tcPr>
          <w:p w:rsidR="00D84867" w:rsidRPr="00744C8A" w:rsidRDefault="00D84867" w:rsidP="009D1AF4">
            <w:r>
              <w:t>3</w:t>
            </w:r>
          </w:p>
        </w:tc>
        <w:tc>
          <w:tcPr>
            <w:tcW w:w="4537" w:type="dxa"/>
            <w:shd w:val="clear" w:color="auto" w:fill="auto"/>
          </w:tcPr>
          <w:p w:rsidR="00D84867" w:rsidRPr="00744C8A" w:rsidRDefault="00D84867" w:rsidP="009D1AF4">
            <w:r w:rsidRPr="00744C8A">
              <w:t>Provide label elements on an outer packaging</w:t>
            </w:r>
            <w:r>
              <w:t xml:space="preserve">  </w:t>
            </w:r>
          </w:p>
        </w:tc>
        <w:tc>
          <w:tcPr>
            <w:tcW w:w="6946" w:type="dxa"/>
            <w:shd w:val="clear" w:color="auto" w:fill="auto"/>
          </w:tcPr>
          <w:p w:rsidR="00D84867" w:rsidRPr="00744C8A" w:rsidRDefault="00D84867" w:rsidP="00D84867">
            <w:pPr>
              <w:pStyle w:val="Bullet1G"/>
              <w:numPr>
                <w:ilvl w:val="0"/>
                <w:numId w:val="4"/>
              </w:numPr>
              <w:tabs>
                <w:tab w:val="clear" w:pos="1701"/>
              </w:tabs>
              <w:ind w:left="142" w:right="284" w:hanging="1843"/>
            </w:pPr>
            <w:r w:rsidRPr="00744C8A">
              <w:t xml:space="preserve">Not an option – product is not supplied in outer packaging </w:t>
            </w:r>
          </w:p>
          <w:p w:rsidR="00D84867" w:rsidRPr="00744C8A" w:rsidRDefault="00D84867" w:rsidP="00D84867">
            <w:pPr>
              <w:pStyle w:val="Bullet1G"/>
              <w:numPr>
                <w:ilvl w:val="0"/>
                <w:numId w:val="4"/>
              </w:numPr>
              <w:tabs>
                <w:tab w:val="clear" w:pos="1701"/>
              </w:tabs>
              <w:ind w:left="142" w:right="284" w:hanging="1843"/>
            </w:pPr>
            <w:r w:rsidRPr="00744C8A">
              <w:t>Also need to take account of sustainability considerations (e.g. packaging reduction, environmental footprint, etc.)</w:t>
            </w:r>
          </w:p>
        </w:tc>
      </w:tr>
      <w:tr w:rsidR="00D84867" w:rsidRPr="00744C8A" w:rsidTr="009D1AF4">
        <w:trPr>
          <w:trHeight w:val="719"/>
        </w:trPr>
        <w:tc>
          <w:tcPr>
            <w:tcW w:w="1417" w:type="dxa"/>
            <w:shd w:val="clear" w:color="auto" w:fill="auto"/>
          </w:tcPr>
          <w:p w:rsidR="00D84867" w:rsidRPr="00744C8A" w:rsidRDefault="00D84867" w:rsidP="009D1AF4">
            <w:r>
              <w:t xml:space="preserve">4    </w:t>
            </w:r>
          </w:p>
        </w:tc>
        <w:tc>
          <w:tcPr>
            <w:tcW w:w="4537" w:type="dxa"/>
            <w:shd w:val="clear" w:color="auto" w:fill="auto"/>
          </w:tcPr>
          <w:p w:rsidR="00D84867" w:rsidRPr="00744C8A" w:rsidRDefault="00D84867" w:rsidP="009D1AF4">
            <w:r>
              <w:t xml:space="preserve">Subset of labelling element on the product and comprehensive information on paper at point of sales </w:t>
            </w:r>
          </w:p>
        </w:tc>
        <w:tc>
          <w:tcPr>
            <w:tcW w:w="6946" w:type="dxa"/>
            <w:shd w:val="clear" w:color="auto" w:fill="auto"/>
          </w:tcPr>
          <w:p w:rsidR="00D84867" w:rsidRPr="00744C8A" w:rsidRDefault="00D84867" w:rsidP="00D84867">
            <w:pPr>
              <w:pStyle w:val="Bullet1G"/>
              <w:numPr>
                <w:ilvl w:val="0"/>
                <w:numId w:val="4"/>
              </w:numPr>
              <w:tabs>
                <w:tab w:val="clear" w:pos="1701"/>
              </w:tabs>
              <w:ind w:left="142" w:right="284" w:hanging="1843"/>
            </w:pPr>
            <w:r>
              <w:t xml:space="preserve">This would solve the “limited surface issue”, however it will not work for very small containers. Separate paper work must be updated and distributed. </w:t>
            </w:r>
          </w:p>
        </w:tc>
      </w:tr>
      <w:tr w:rsidR="00D84867" w:rsidRPr="00744C8A" w:rsidTr="009D1AF4">
        <w:tc>
          <w:tcPr>
            <w:tcW w:w="1417" w:type="dxa"/>
            <w:shd w:val="clear" w:color="auto" w:fill="auto"/>
          </w:tcPr>
          <w:p w:rsidR="00D84867" w:rsidRPr="00744C8A" w:rsidRDefault="00D84867" w:rsidP="009D1AF4">
            <w:r>
              <w:t>5</w:t>
            </w:r>
          </w:p>
        </w:tc>
        <w:tc>
          <w:tcPr>
            <w:tcW w:w="4537" w:type="dxa"/>
            <w:shd w:val="clear" w:color="auto" w:fill="auto"/>
          </w:tcPr>
          <w:p w:rsidR="00D84867" w:rsidRPr="00744C8A" w:rsidRDefault="00D84867" w:rsidP="009D1AF4">
            <w:r w:rsidRPr="00744C8A">
              <w:t>Increase the size of the container so that a larger label can be affixed</w:t>
            </w:r>
          </w:p>
        </w:tc>
        <w:tc>
          <w:tcPr>
            <w:tcW w:w="6946" w:type="dxa"/>
            <w:shd w:val="clear" w:color="auto" w:fill="auto"/>
          </w:tcPr>
          <w:p w:rsidR="00D84867" w:rsidRPr="00744C8A" w:rsidRDefault="00D84867" w:rsidP="00D84867">
            <w:pPr>
              <w:pStyle w:val="Bullet1G"/>
              <w:numPr>
                <w:ilvl w:val="0"/>
                <w:numId w:val="4"/>
              </w:numPr>
              <w:tabs>
                <w:tab w:val="clear" w:pos="1701"/>
              </w:tabs>
              <w:ind w:left="142" w:right="284" w:hanging="1843"/>
            </w:pPr>
            <w:r w:rsidRPr="00744C8A">
              <w:t>Increasing the size of the container is not practical from the intended use perspective.</w:t>
            </w:r>
          </w:p>
          <w:p w:rsidR="00D84867" w:rsidRPr="00744C8A" w:rsidRDefault="00D84867" w:rsidP="00D84867">
            <w:pPr>
              <w:pStyle w:val="Bullet1G"/>
              <w:numPr>
                <w:ilvl w:val="0"/>
                <w:numId w:val="4"/>
              </w:numPr>
              <w:tabs>
                <w:tab w:val="clear" w:pos="1701"/>
              </w:tabs>
              <w:ind w:left="142" w:right="284" w:hanging="1843"/>
            </w:pPr>
            <w:r>
              <w:t>Current r</w:t>
            </w:r>
            <w:r w:rsidRPr="00744C8A">
              <w:t xml:space="preserve">etailer displays contain hundreds of colour shades in different product variants. Shop logistics will not be able to present the same </w:t>
            </w:r>
            <w:proofErr w:type="gramStart"/>
            <w:r w:rsidRPr="00744C8A">
              <w:t>amou</w:t>
            </w:r>
            <w:r>
              <w:t>n</w:t>
            </w:r>
            <w:r w:rsidRPr="00744C8A">
              <w:t>t</w:t>
            </w:r>
            <w:proofErr w:type="gramEnd"/>
            <w:r w:rsidRPr="00744C8A">
              <w:t xml:space="preserve"> of brands as they currently do.</w:t>
            </w:r>
          </w:p>
          <w:p w:rsidR="00D84867" w:rsidRPr="00744C8A" w:rsidRDefault="00D84867" w:rsidP="00D84867">
            <w:pPr>
              <w:pStyle w:val="Bullet1G"/>
              <w:numPr>
                <w:ilvl w:val="0"/>
                <w:numId w:val="4"/>
              </w:numPr>
              <w:tabs>
                <w:tab w:val="clear" w:pos="1701"/>
              </w:tabs>
              <w:ind w:left="142" w:right="284" w:hanging="1843"/>
            </w:pPr>
            <w:r w:rsidRPr="00744C8A">
              <w:t>Increasing the size of the container without increasing p</w:t>
            </w:r>
            <w:r>
              <w:t>roduct volume may be misleading to the consumer.</w:t>
            </w:r>
          </w:p>
        </w:tc>
      </w:tr>
      <w:tr w:rsidR="00D84867" w:rsidRPr="00744C8A" w:rsidTr="009D1AF4">
        <w:tc>
          <w:tcPr>
            <w:tcW w:w="1417" w:type="dxa"/>
            <w:shd w:val="clear" w:color="auto" w:fill="auto"/>
          </w:tcPr>
          <w:p w:rsidR="00D84867" w:rsidRPr="00744C8A" w:rsidRDefault="00D84867" w:rsidP="009D1AF4">
            <w:r>
              <w:t>6</w:t>
            </w:r>
          </w:p>
        </w:tc>
        <w:tc>
          <w:tcPr>
            <w:tcW w:w="4537" w:type="dxa"/>
            <w:shd w:val="clear" w:color="auto" w:fill="auto"/>
          </w:tcPr>
          <w:p w:rsidR="00D84867" w:rsidRPr="001E781E" w:rsidRDefault="00D84867" w:rsidP="009D1AF4">
            <w:r w:rsidRPr="001E781E">
              <w:t xml:space="preserve">Implement smaller GHS symbols for </w:t>
            </w:r>
            <w:proofErr w:type="spellStart"/>
            <w:r w:rsidRPr="001E781E">
              <w:t>pubVSP</w:t>
            </w:r>
            <w:proofErr w:type="spellEnd"/>
          </w:p>
        </w:tc>
        <w:tc>
          <w:tcPr>
            <w:tcW w:w="6946" w:type="dxa"/>
            <w:shd w:val="clear" w:color="auto" w:fill="auto"/>
          </w:tcPr>
          <w:p w:rsidR="00D84867" w:rsidRPr="00744C8A" w:rsidRDefault="00D84867" w:rsidP="00D84867">
            <w:pPr>
              <w:pStyle w:val="Bullet1G"/>
              <w:numPr>
                <w:ilvl w:val="0"/>
                <w:numId w:val="4"/>
              </w:numPr>
              <w:tabs>
                <w:tab w:val="clear" w:pos="1701"/>
              </w:tabs>
              <w:ind w:left="142" w:right="284" w:hanging="1843"/>
            </w:pPr>
            <w:r w:rsidRPr="00F84289">
              <w:t>Reason:</w:t>
            </w:r>
            <w:r w:rsidRPr="00744C8A">
              <w:t xml:space="preserve"> The required surface for the current symbols</w:t>
            </w:r>
            <w:r>
              <w:t xml:space="preserve"> </w:t>
            </w:r>
            <w:r w:rsidRPr="00F84289">
              <w:t>(min. 10x10mm)</w:t>
            </w:r>
            <w:r>
              <w:t xml:space="preserve"> </w:t>
            </w:r>
            <w:r w:rsidRPr="00744C8A">
              <w:t>is simply no</w:t>
            </w:r>
            <w:r>
              <w:t>n-</w:t>
            </w:r>
            <w:r w:rsidRPr="00F84289">
              <w:t>existent</w:t>
            </w:r>
            <w:r w:rsidRPr="00744C8A">
              <w:t>.</w:t>
            </w:r>
          </w:p>
          <w:p w:rsidR="00D84867" w:rsidRPr="00744C8A" w:rsidRDefault="00D84867" w:rsidP="00D84867">
            <w:pPr>
              <w:pStyle w:val="Bullet1G"/>
              <w:numPr>
                <w:ilvl w:val="0"/>
                <w:numId w:val="4"/>
              </w:numPr>
              <w:tabs>
                <w:tab w:val="clear" w:pos="1701"/>
              </w:tabs>
              <w:ind w:left="142" w:right="284" w:hanging="1843"/>
            </w:pPr>
            <w:r w:rsidRPr="00F84289">
              <w:t>Justification</w:t>
            </w:r>
            <w:r w:rsidRPr="00744C8A">
              <w:t xml:space="preserve">: Compared to the accepted letter size, the GHS symbols are very large. A reduction of 50 % </w:t>
            </w:r>
            <w:r w:rsidRPr="00F84289">
              <w:t>(min. 5x5mm)</w:t>
            </w:r>
            <w:r>
              <w:t xml:space="preserve"> </w:t>
            </w:r>
            <w:r w:rsidRPr="00744C8A">
              <w:t xml:space="preserve">would still be </w:t>
            </w:r>
            <w:r w:rsidRPr="00F84289">
              <w:t>sufficient</w:t>
            </w:r>
            <w:r w:rsidRPr="00744C8A">
              <w:t xml:space="preserve"> for the intended signal effect</w:t>
            </w:r>
          </w:p>
        </w:tc>
      </w:tr>
      <w:tr w:rsidR="00D84867" w:rsidRPr="006D5025" w:rsidTr="009D1AF4">
        <w:tc>
          <w:tcPr>
            <w:tcW w:w="1417" w:type="dxa"/>
            <w:shd w:val="clear" w:color="auto" w:fill="auto"/>
          </w:tcPr>
          <w:p w:rsidR="00D84867" w:rsidRPr="00744C8A" w:rsidRDefault="00D84867" w:rsidP="009D1AF4">
            <w:r>
              <w:t>7</w:t>
            </w:r>
          </w:p>
        </w:tc>
        <w:tc>
          <w:tcPr>
            <w:tcW w:w="4537" w:type="dxa"/>
            <w:shd w:val="clear" w:color="auto" w:fill="auto"/>
          </w:tcPr>
          <w:p w:rsidR="00D84867" w:rsidRPr="00744C8A" w:rsidRDefault="00D84867" w:rsidP="009D1AF4">
            <w:r w:rsidRPr="00744C8A">
              <w:t>Blister</w:t>
            </w:r>
            <w:r>
              <w:t xml:space="preserve"> packag</w:t>
            </w:r>
            <w:r w:rsidRPr="00744C8A">
              <w:t>ing</w:t>
            </w:r>
            <w:r>
              <w:t xml:space="preserve"> of small objects</w:t>
            </w:r>
          </w:p>
        </w:tc>
        <w:tc>
          <w:tcPr>
            <w:tcW w:w="6946" w:type="dxa"/>
            <w:shd w:val="clear" w:color="auto" w:fill="auto"/>
          </w:tcPr>
          <w:p w:rsidR="00D84867" w:rsidRPr="006D5025" w:rsidRDefault="00D84867" w:rsidP="00D84867">
            <w:pPr>
              <w:pStyle w:val="Bullet1G"/>
              <w:numPr>
                <w:ilvl w:val="0"/>
                <w:numId w:val="4"/>
              </w:numPr>
              <w:tabs>
                <w:tab w:val="clear" w:pos="1701"/>
              </w:tabs>
              <w:ind w:left="142" w:right="284" w:hanging="1843"/>
            </w:pPr>
            <w:r w:rsidRPr="006D5025">
              <w:t>Increase of packaging waste. See example</w:t>
            </w:r>
            <w:r>
              <w:t>s in Appendix to this annex.</w:t>
            </w:r>
            <w:r w:rsidRPr="006D5025">
              <w:t xml:space="preserve"> </w:t>
            </w:r>
          </w:p>
          <w:p w:rsidR="00D84867" w:rsidRPr="006D5025" w:rsidRDefault="00D84867" w:rsidP="00D84867">
            <w:pPr>
              <w:pStyle w:val="Bullet1G"/>
              <w:numPr>
                <w:ilvl w:val="0"/>
                <w:numId w:val="4"/>
              </w:numPr>
              <w:tabs>
                <w:tab w:val="clear" w:pos="1701"/>
              </w:tabs>
              <w:ind w:left="142" w:right="284" w:hanging="1843"/>
            </w:pPr>
            <w:r w:rsidRPr="006D5025">
              <w:t xml:space="preserve">If using a </w:t>
            </w:r>
            <w:proofErr w:type="gramStart"/>
            <w:r w:rsidRPr="006D5025">
              <w:t>blister</w:t>
            </w:r>
            <w:proofErr w:type="gramEnd"/>
            <w:r w:rsidRPr="006D5025">
              <w:t xml:space="preserve"> you need for the same amount of colour 200% of packaging material. Take account of sustainability considerations (e.g. packaging reduction, environmental footprint, etc.)</w:t>
            </w:r>
          </w:p>
        </w:tc>
      </w:tr>
      <w:tr w:rsidR="00D84867" w:rsidRPr="00744C8A" w:rsidTr="009D1AF4">
        <w:tc>
          <w:tcPr>
            <w:tcW w:w="1417" w:type="dxa"/>
            <w:shd w:val="clear" w:color="auto" w:fill="auto"/>
          </w:tcPr>
          <w:p w:rsidR="00D84867" w:rsidRPr="00744C8A" w:rsidRDefault="00D84867" w:rsidP="009D1AF4">
            <w:r>
              <w:t>8</w:t>
            </w:r>
          </w:p>
        </w:tc>
        <w:tc>
          <w:tcPr>
            <w:tcW w:w="4537" w:type="dxa"/>
            <w:shd w:val="clear" w:color="auto" w:fill="auto"/>
          </w:tcPr>
          <w:p w:rsidR="00D84867" w:rsidRPr="00744C8A" w:rsidRDefault="00D84867" w:rsidP="009D1AF4">
            <w:r w:rsidRPr="001C7E0D">
              <w:t>Implement</w:t>
            </w:r>
            <w:r>
              <w:t xml:space="preserve"> QR code / </w:t>
            </w:r>
            <w:r w:rsidRPr="001C7E0D">
              <w:t>ECC200 code into a symbol</w:t>
            </w:r>
            <w:r>
              <w:t xml:space="preserve"> </w:t>
            </w:r>
          </w:p>
        </w:tc>
        <w:tc>
          <w:tcPr>
            <w:tcW w:w="6946" w:type="dxa"/>
            <w:shd w:val="clear" w:color="auto" w:fill="auto"/>
          </w:tcPr>
          <w:p w:rsidR="00D84867" w:rsidRPr="001C7E0D" w:rsidRDefault="00D84867" w:rsidP="00D84867">
            <w:pPr>
              <w:pStyle w:val="Bullet1G"/>
              <w:numPr>
                <w:ilvl w:val="0"/>
                <w:numId w:val="4"/>
              </w:numPr>
              <w:tabs>
                <w:tab w:val="clear" w:pos="1701"/>
              </w:tabs>
              <w:ind w:left="142" w:right="284" w:hanging="1843"/>
            </w:pPr>
            <w:r w:rsidRPr="001C7E0D">
              <w:t xml:space="preserve">2D codes like QR or ECC200 in combination with a symbol </w:t>
            </w:r>
            <w:r>
              <w:t>are</w:t>
            </w:r>
            <w:r w:rsidRPr="001C7E0D">
              <w:t xml:space="preserve"> an easy choice </w:t>
            </w:r>
            <w:r>
              <w:t>to use</w:t>
            </w:r>
            <w:r w:rsidRPr="001C7E0D">
              <w:t xml:space="preserve"> a web address and show all labelling in all languages. For QR code a symbol with min. 10x10mm is necessary, for ECC200 a symbol with 5x5mm </w:t>
            </w:r>
            <w:r>
              <w:t>is</w:t>
            </w:r>
            <w:r w:rsidRPr="001C7E0D">
              <w:t xml:space="preserve"> technica</w:t>
            </w:r>
            <w:r>
              <w:t>l</w:t>
            </w:r>
            <w:r w:rsidRPr="001C7E0D">
              <w:t>l</w:t>
            </w:r>
            <w:r>
              <w:t>y</w:t>
            </w:r>
            <w:r w:rsidRPr="001C7E0D">
              <w:t xml:space="preserve"> </w:t>
            </w:r>
            <w:r>
              <w:t>feasible</w:t>
            </w:r>
            <w:r w:rsidRPr="001C7E0D">
              <w:t xml:space="preserve">.  </w:t>
            </w:r>
          </w:p>
        </w:tc>
      </w:tr>
      <w:tr w:rsidR="00D84867" w:rsidRPr="00744C8A" w:rsidTr="009D1AF4">
        <w:tc>
          <w:tcPr>
            <w:tcW w:w="1417" w:type="dxa"/>
            <w:shd w:val="clear" w:color="auto" w:fill="auto"/>
          </w:tcPr>
          <w:p w:rsidR="00D84867" w:rsidRPr="00744C8A" w:rsidRDefault="00D84867" w:rsidP="009D1AF4">
            <w:r>
              <w:t>9</w:t>
            </w:r>
          </w:p>
        </w:tc>
        <w:tc>
          <w:tcPr>
            <w:tcW w:w="4537" w:type="dxa"/>
            <w:shd w:val="clear" w:color="auto" w:fill="auto"/>
          </w:tcPr>
          <w:p w:rsidR="00D84867" w:rsidRPr="00744C8A" w:rsidRDefault="00D84867" w:rsidP="009D1AF4">
            <w:r w:rsidRPr="00744C8A">
              <w:t>Web link</w:t>
            </w:r>
            <w:r>
              <w:t xml:space="preserve"> </w:t>
            </w:r>
            <w:r w:rsidRPr="00744C8A">
              <w:t>/ microsite</w:t>
            </w:r>
          </w:p>
        </w:tc>
        <w:tc>
          <w:tcPr>
            <w:tcW w:w="6946" w:type="dxa"/>
            <w:shd w:val="clear" w:color="auto" w:fill="auto"/>
          </w:tcPr>
          <w:p w:rsidR="00D84867" w:rsidRPr="001C7E0D" w:rsidRDefault="00D84867" w:rsidP="00D84867">
            <w:pPr>
              <w:pStyle w:val="Bullet1G"/>
              <w:numPr>
                <w:ilvl w:val="0"/>
                <w:numId w:val="4"/>
              </w:numPr>
              <w:tabs>
                <w:tab w:val="clear" w:pos="1701"/>
              </w:tabs>
              <w:ind w:left="142" w:right="284" w:hanging="1843"/>
            </w:pPr>
            <w:r>
              <w:t xml:space="preserve">Together with the previous solution, this is the preferred and most comprehensive option. But it needs online access (by the consumer or provided at point of sale) to get the information. </w:t>
            </w:r>
          </w:p>
        </w:tc>
      </w:tr>
      <w:tr w:rsidR="00D84867" w:rsidRPr="00744C8A" w:rsidTr="009D1AF4">
        <w:tc>
          <w:tcPr>
            <w:tcW w:w="1417" w:type="dxa"/>
            <w:shd w:val="clear" w:color="auto" w:fill="auto"/>
          </w:tcPr>
          <w:p w:rsidR="00D84867" w:rsidRPr="00744C8A" w:rsidRDefault="00D84867" w:rsidP="009D1AF4">
            <w:r>
              <w:t>10</w:t>
            </w:r>
          </w:p>
        </w:tc>
        <w:tc>
          <w:tcPr>
            <w:tcW w:w="4537" w:type="dxa"/>
            <w:shd w:val="clear" w:color="auto" w:fill="auto"/>
          </w:tcPr>
          <w:p w:rsidR="00D84867" w:rsidRDefault="00D84867" w:rsidP="009D1AF4">
            <w:r w:rsidRPr="00C16042">
              <w:t>Us</w:t>
            </w:r>
            <w:r>
              <w:t>e</w:t>
            </w:r>
            <w:r w:rsidRPr="00C16042">
              <w:t xml:space="preserve"> of labelling limit values</w:t>
            </w:r>
            <w:r>
              <w:t xml:space="preserve"> to reduce required labelling elements</w:t>
            </w:r>
          </w:p>
          <w:p w:rsidR="00D84867" w:rsidRDefault="00D84867" w:rsidP="00D84867">
            <w:pPr>
              <w:pStyle w:val="Bullet1G"/>
              <w:numPr>
                <w:ilvl w:val="0"/>
                <w:numId w:val="4"/>
              </w:numPr>
              <w:tabs>
                <w:tab w:val="clear" w:pos="1701"/>
              </w:tabs>
              <w:ind w:left="142" w:right="284" w:hanging="1843"/>
            </w:pPr>
          </w:p>
          <w:p w:rsidR="00D84867" w:rsidRDefault="00D84867" w:rsidP="00D84867">
            <w:pPr>
              <w:pStyle w:val="Bullet1G"/>
              <w:numPr>
                <w:ilvl w:val="0"/>
                <w:numId w:val="4"/>
              </w:numPr>
              <w:tabs>
                <w:tab w:val="clear" w:pos="1701"/>
              </w:tabs>
              <w:ind w:left="142" w:right="284" w:hanging="1843"/>
            </w:pPr>
          </w:p>
          <w:p w:rsidR="00D84867" w:rsidRDefault="00D84867" w:rsidP="00D84867">
            <w:pPr>
              <w:pStyle w:val="Bullet1G"/>
              <w:numPr>
                <w:ilvl w:val="0"/>
                <w:numId w:val="4"/>
              </w:numPr>
              <w:tabs>
                <w:tab w:val="clear" w:pos="1701"/>
              </w:tabs>
              <w:ind w:left="142" w:right="284" w:hanging="1843"/>
            </w:pPr>
          </w:p>
          <w:p w:rsidR="00D84867" w:rsidRDefault="00D84867" w:rsidP="00D84867">
            <w:pPr>
              <w:pStyle w:val="Bullet1G"/>
              <w:numPr>
                <w:ilvl w:val="0"/>
                <w:numId w:val="4"/>
              </w:numPr>
              <w:tabs>
                <w:tab w:val="clear" w:pos="1701"/>
              </w:tabs>
              <w:ind w:left="142" w:right="284" w:hanging="1843"/>
            </w:pPr>
          </w:p>
          <w:p w:rsidR="00D84867" w:rsidRDefault="00D84867" w:rsidP="00D84867">
            <w:pPr>
              <w:pStyle w:val="Bullet1G"/>
              <w:numPr>
                <w:ilvl w:val="0"/>
                <w:numId w:val="4"/>
              </w:numPr>
              <w:tabs>
                <w:tab w:val="clear" w:pos="1701"/>
              </w:tabs>
              <w:ind w:left="142" w:right="284" w:hanging="1843"/>
            </w:pPr>
          </w:p>
          <w:p w:rsidR="00D84867" w:rsidRPr="00C16042" w:rsidRDefault="00D84867" w:rsidP="00D84867">
            <w:pPr>
              <w:pStyle w:val="Bullet1G"/>
              <w:numPr>
                <w:ilvl w:val="0"/>
                <w:numId w:val="4"/>
              </w:numPr>
              <w:tabs>
                <w:tab w:val="clear" w:pos="1701"/>
              </w:tabs>
              <w:ind w:left="142" w:right="284" w:hanging="1843"/>
            </w:pPr>
          </w:p>
        </w:tc>
        <w:tc>
          <w:tcPr>
            <w:tcW w:w="6946" w:type="dxa"/>
            <w:shd w:val="clear" w:color="auto" w:fill="auto"/>
          </w:tcPr>
          <w:p w:rsidR="00D84867" w:rsidRPr="00CC72CE" w:rsidRDefault="00D84867" w:rsidP="00D84867">
            <w:pPr>
              <w:pStyle w:val="Bullet1G"/>
              <w:numPr>
                <w:ilvl w:val="0"/>
                <w:numId w:val="4"/>
              </w:numPr>
              <w:tabs>
                <w:tab w:val="clear" w:pos="1701"/>
              </w:tabs>
              <w:ind w:left="142" w:right="284" w:hanging="1843"/>
            </w:pPr>
            <w:r w:rsidRPr="00CC72CE">
              <w:t>For products sold in amounts with no effects on human health or environment, e</w:t>
            </w:r>
            <w:r>
              <w:t>.</w:t>
            </w:r>
            <w:r w:rsidRPr="00CC72CE">
              <w:t>g</w:t>
            </w:r>
            <w:r>
              <w:t>.</w:t>
            </w:r>
            <w:r w:rsidRPr="00CC72CE">
              <w:t xml:space="preserve"> for a selection of hazard </w:t>
            </w:r>
            <w:r>
              <w:t>statements</w:t>
            </w:r>
            <w:r w:rsidRPr="00CC72CE">
              <w:t xml:space="preserve"> no labelling of this hazard. </w:t>
            </w:r>
          </w:p>
          <w:p w:rsidR="00D84867" w:rsidRPr="00F84289" w:rsidRDefault="00D84867" w:rsidP="00D84867">
            <w:pPr>
              <w:pStyle w:val="Bullet1G"/>
              <w:numPr>
                <w:ilvl w:val="0"/>
                <w:numId w:val="4"/>
              </w:numPr>
              <w:tabs>
                <w:tab w:val="clear" w:pos="1701"/>
              </w:tabs>
              <w:spacing w:after="0" w:line="276" w:lineRule="auto"/>
              <w:ind w:left="142" w:right="284" w:hanging="1843"/>
            </w:pPr>
            <w:proofErr w:type="gramStart"/>
            <w:r w:rsidRPr="00F84289">
              <w:t>Examples :</w:t>
            </w:r>
            <w:proofErr w:type="gramEnd"/>
          </w:p>
          <w:p w:rsidR="00D84867" w:rsidRPr="00F84289" w:rsidRDefault="00D84867" w:rsidP="00D84867">
            <w:pPr>
              <w:pStyle w:val="Bullet1G"/>
              <w:numPr>
                <w:ilvl w:val="0"/>
                <w:numId w:val="4"/>
              </w:numPr>
              <w:tabs>
                <w:tab w:val="clear" w:pos="1701"/>
              </w:tabs>
              <w:spacing w:after="0" w:line="276" w:lineRule="auto"/>
              <w:ind w:left="142" w:right="284" w:hanging="1843"/>
            </w:pPr>
            <w:r w:rsidRPr="00F84289">
              <w:t xml:space="preserve">H225 highly flammable </w:t>
            </w:r>
            <w:proofErr w:type="gramStart"/>
            <w:r w:rsidRPr="00F84289">
              <w:t xml:space="preserve">liquid </w:t>
            </w:r>
            <w:r>
              <w:t>,</w:t>
            </w:r>
            <w:proofErr w:type="gramEnd"/>
            <w:r>
              <w:t xml:space="preserve"> below</w:t>
            </w:r>
            <w:r w:rsidRPr="00F84289">
              <w:t xml:space="preserve">  25 ml  </w:t>
            </w:r>
          </w:p>
          <w:p w:rsidR="00D84867" w:rsidRPr="00F84289" w:rsidRDefault="00D84867" w:rsidP="00D84867">
            <w:pPr>
              <w:pStyle w:val="Bullet1G"/>
              <w:numPr>
                <w:ilvl w:val="0"/>
                <w:numId w:val="4"/>
              </w:numPr>
              <w:tabs>
                <w:tab w:val="clear" w:pos="1701"/>
              </w:tabs>
              <w:spacing w:after="0" w:line="276" w:lineRule="auto"/>
              <w:ind w:left="142" w:right="284" w:hanging="1843"/>
            </w:pPr>
            <w:r w:rsidRPr="00F84289">
              <w:t xml:space="preserve">H226 flammable </w:t>
            </w:r>
            <w:proofErr w:type="gramStart"/>
            <w:r w:rsidRPr="00F84289">
              <w:t xml:space="preserve">liquid </w:t>
            </w:r>
            <w:r>
              <w:t>,</w:t>
            </w:r>
            <w:proofErr w:type="gramEnd"/>
            <w:r>
              <w:t xml:space="preserve"> below</w:t>
            </w:r>
            <w:r w:rsidRPr="00F84289">
              <w:t xml:space="preserve"> 125 ml</w:t>
            </w:r>
          </w:p>
          <w:p w:rsidR="00D84867" w:rsidRPr="00F84289" w:rsidRDefault="00D84867" w:rsidP="00D84867">
            <w:pPr>
              <w:pStyle w:val="Bullet1G"/>
              <w:numPr>
                <w:ilvl w:val="0"/>
                <w:numId w:val="4"/>
              </w:numPr>
              <w:tabs>
                <w:tab w:val="clear" w:pos="1701"/>
              </w:tabs>
              <w:spacing w:after="0" w:line="276" w:lineRule="auto"/>
              <w:ind w:left="142" w:right="284" w:hanging="1843"/>
            </w:pPr>
            <w:r w:rsidRPr="00F84289">
              <w:t>H315</w:t>
            </w:r>
            <w:r>
              <w:t xml:space="preserve"> </w:t>
            </w:r>
            <w:r w:rsidRPr="00F84289">
              <w:t xml:space="preserve">causes skin </w:t>
            </w:r>
            <w:proofErr w:type="gramStart"/>
            <w:r w:rsidRPr="00F84289">
              <w:t xml:space="preserve">irritation </w:t>
            </w:r>
            <w:r>
              <w:t>,</w:t>
            </w:r>
            <w:proofErr w:type="gramEnd"/>
            <w:r>
              <w:t xml:space="preserve"> below </w:t>
            </w:r>
            <w:r w:rsidRPr="00F84289">
              <w:t xml:space="preserve">25 ml   </w:t>
            </w:r>
          </w:p>
          <w:p w:rsidR="00D84867" w:rsidRPr="00F84289" w:rsidRDefault="00D84867" w:rsidP="00D84867">
            <w:pPr>
              <w:pStyle w:val="Bullet1G"/>
              <w:numPr>
                <w:ilvl w:val="0"/>
                <w:numId w:val="4"/>
              </w:numPr>
              <w:tabs>
                <w:tab w:val="clear" w:pos="1701"/>
              </w:tabs>
              <w:spacing w:after="0" w:line="276" w:lineRule="auto"/>
              <w:ind w:left="142" w:right="284" w:hanging="1843"/>
            </w:pPr>
            <w:r w:rsidRPr="00F84289">
              <w:t xml:space="preserve">H411 H412 H413 </w:t>
            </w:r>
            <w:r>
              <w:t>toxic/harmful</w:t>
            </w:r>
            <w:r w:rsidRPr="00F84289">
              <w:t xml:space="preserve"> to aquatic life with long lasting effects; May cause long lasting effects to aquatic life, </w:t>
            </w:r>
            <w:r>
              <w:t xml:space="preserve">below </w:t>
            </w:r>
            <w:r w:rsidRPr="00F84289">
              <w:t xml:space="preserve">50 g </w:t>
            </w:r>
          </w:p>
          <w:p w:rsidR="00D84867" w:rsidRPr="00C16042" w:rsidRDefault="00D84867" w:rsidP="00D84867">
            <w:pPr>
              <w:pStyle w:val="Bullet1G"/>
              <w:numPr>
                <w:ilvl w:val="0"/>
                <w:numId w:val="4"/>
              </w:numPr>
              <w:tabs>
                <w:tab w:val="clear" w:pos="1701"/>
              </w:tabs>
              <w:spacing w:after="0" w:line="276" w:lineRule="auto"/>
              <w:ind w:left="142" w:right="284" w:hanging="1843"/>
            </w:pPr>
            <w:r>
              <w:t>Ex</w:t>
            </w:r>
            <w:r w:rsidRPr="00F84289">
              <w:t xml:space="preserve">empted </w:t>
            </w:r>
            <w:r>
              <w:t>a</w:t>
            </w:r>
            <w:r w:rsidRPr="00F84289">
              <w:t xml:space="preserve"> combination </w:t>
            </w:r>
            <w:r>
              <w:t>of</w:t>
            </w:r>
            <w:r w:rsidRPr="00F84289">
              <w:t xml:space="preserve"> very toxic to aquatic life/long lasting effects </w:t>
            </w:r>
            <w:r w:rsidRPr="00CC72CE">
              <w:t>H400 and</w:t>
            </w:r>
            <w:r w:rsidRPr="00F84289">
              <w:t xml:space="preserve"> H410</w:t>
            </w:r>
          </w:p>
        </w:tc>
      </w:tr>
    </w:tbl>
    <w:p w:rsidR="00D84867" w:rsidRDefault="00D84867" w:rsidP="00D84867"/>
    <w:p w:rsidR="00D84867" w:rsidRDefault="00D84867" w:rsidP="00D84867">
      <w:r>
        <w:br w:type="page"/>
      </w:r>
    </w:p>
    <w:p w:rsidR="00D84867" w:rsidRDefault="00D84867" w:rsidP="00D84867">
      <w:pPr>
        <w:rPr>
          <w:b/>
          <w:noProof/>
          <w:sz w:val="24"/>
          <w:lang w:eastAsia="en-GB"/>
        </w:rPr>
      </w:pPr>
      <w:r w:rsidRPr="00F90BA4">
        <w:rPr>
          <w:b/>
          <w:noProof/>
          <w:sz w:val="24"/>
          <w:lang w:eastAsia="en-GB"/>
        </w:rPr>
        <w:t>Appendix to Annex 2</w:t>
      </w:r>
      <w:r>
        <w:rPr>
          <w:b/>
          <w:noProof/>
          <w:sz w:val="24"/>
          <w:lang w:eastAsia="en-GB"/>
        </w:rPr>
        <w:t xml:space="preserve"> – increased packaging to accommodate labelling</w:t>
      </w:r>
    </w:p>
    <w:p w:rsidR="00D84867" w:rsidRDefault="00D84867" w:rsidP="00D84867">
      <w:pPr>
        <w:rPr>
          <w:b/>
          <w:noProof/>
          <w:sz w:val="24"/>
          <w:lang w:eastAsia="en-GB"/>
        </w:rPr>
      </w:pPr>
    </w:p>
    <w:p w:rsidR="00D84867" w:rsidRDefault="00D84867" w:rsidP="00D84867">
      <w:pPr>
        <w:rPr>
          <w:noProof/>
          <w:sz w:val="24"/>
          <w:lang w:eastAsia="en-GB"/>
        </w:rPr>
      </w:pPr>
      <w:r w:rsidRPr="00F90BA4">
        <w:rPr>
          <w:noProof/>
          <w:sz w:val="24"/>
          <w:lang w:eastAsia="en-GB"/>
        </w:rPr>
        <w:t xml:space="preserve"> </w:t>
      </w:r>
      <w:r w:rsidRPr="006D5025">
        <w:rPr>
          <w:noProof/>
          <w:lang w:eastAsia="en-GB"/>
        </w:rPr>
        <w:drawing>
          <wp:inline distT="0" distB="0" distL="0" distR="0" wp14:anchorId="1AEB3D56" wp14:editId="4D9CCD6E">
            <wp:extent cx="6312090" cy="4749510"/>
            <wp:effectExtent l="0" t="0" r="0" b="1905"/>
            <wp:docPr id="6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32000" contrast="7000"/>
                              </a14:imgEffect>
                            </a14:imgLayer>
                          </a14:imgProps>
                        </a:ext>
                      </a:extLst>
                    </a:blip>
                    <a:srcRect/>
                    <a:stretch>
                      <a:fillRect/>
                    </a:stretch>
                  </pic:blipFill>
                  <pic:spPr bwMode="auto">
                    <a:xfrm>
                      <a:off x="0" y="0"/>
                      <a:ext cx="6312090" cy="4749510"/>
                    </a:xfrm>
                    <a:prstGeom prst="rect">
                      <a:avLst/>
                    </a:prstGeom>
                    <a:noFill/>
                    <a:ln w="9525">
                      <a:noFill/>
                      <a:miter lim="800000"/>
                      <a:headEnd/>
                      <a:tailEnd/>
                    </a:ln>
                  </pic:spPr>
                </pic:pic>
              </a:graphicData>
            </a:graphic>
          </wp:inline>
        </w:drawing>
      </w:r>
    </w:p>
    <w:p w:rsidR="00D84867" w:rsidRPr="00F90BA4" w:rsidRDefault="00D84867" w:rsidP="00D84867">
      <w:pPr>
        <w:jc w:val="center"/>
        <w:rPr>
          <w:rFonts w:eastAsia="MS Mincho"/>
          <w:b/>
          <w:u w:val="single"/>
        </w:rPr>
      </w:pPr>
      <w:r>
        <w:rPr>
          <w:noProof/>
          <w:sz w:val="24"/>
          <w:u w:val="single"/>
          <w:lang w:eastAsia="en-GB"/>
        </w:rPr>
        <w:tab/>
      </w:r>
      <w:r>
        <w:rPr>
          <w:noProof/>
          <w:sz w:val="24"/>
          <w:u w:val="single"/>
          <w:lang w:eastAsia="en-GB"/>
        </w:rPr>
        <w:tab/>
      </w:r>
      <w:r>
        <w:rPr>
          <w:noProof/>
          <w:sz w:val="24"/>
          <w:u w:val="single"/>
          <w:lang w:eastAsia="en-GB"/>
        </w:rPr>
        <w:tab/>
      </w:r>
    </w:p>
    <w:p w:rsidR="002405A7" w:rsidRPr="00A2668F" w:rsidRDefault="002405A7" w:rsidP="00D84867"/>
    <w:sectPr w:rsidR="002405A7" w:rsidRPr="00A2668F" w:rsidSect="00D84867">
      <w:headerReference w:type="even" r:id="rId30"/>
      <w:headerReference w:type="default" r:id="rId31"/>
      <w:footerReference w:type="even" r:id="rId32"/>
      <w:footerReference w:type="default" r:id="rId33"/>
      <w:headerReference w:type="first" r:id="rId34"/>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68F" w:rsidRDefault="00A2668F"/>
  </w:endnote>
  <w:endnote w:type="continuationSeparator" w:id="0">
    <w:p w:rsidR="00A2668F" w:rsidRDefault="00A2668F"/>
  </w:endnote>
  <w:endnote w:type="continuationNotice" w:id="1">
    <w:p w:rsidR="00A2668F" w:rsidRDefault="00A26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8F" w:rsidRPr="00A2668F" w:rsidRDefault="00A2668F" w:rsidP="00A2668F">
    <w:pPr>
      <w:pStyle w:val="Footer"/>
      <w:tabs>
        <w:tab w:val="right" w:pos="9638"/>
      </w:tabs>
      <w:rPr>
        <w:sz w:val="18"/>
      </w:rPr>
    </w:pPr>
    <w:r w:rsidRPr="00A2668F">
      <w:rPr>
        <w:b/>
        <w:sz w:val="18"/>
      </w:rPr>
      <w:fldChar w:fldCharType="begin"/>
    </w:r>
    <w:r w:rsidRPr="00A2668F">
      <w:rPr>
        <w:b/>
        <w:sz w:val="18"/>
      </w:rPr>
      <w:instrText xml:space="preserve"> PAGE  \* MERGEFORMAT </w:instrText>
    </w:r>
    <w:r w:rsidRPr="00A2668F">
      <w:rPr>
        <w:b/>
        <w:sz w:val="18"/>
      </w:rPr>
      <w:fldChar w:fldCharType="separate"/>
    </w:r>
    <w:r w:rsidRPr="00A2668F">
      <w:rPr>
        <w:b/>
        <w:noProof/>
        <w:sz w:val="18"/>
      </w:rPr>
      <w:t>2</w:t>
    </w:r>
    <w:r w:rsidRPr="00A2668F">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8F" w:rsidRPr="00A2668F" w:rsidRDefault="00A2668F" w:rsidP="00A2668F">
    <w:pPr>
      <w:pStyle w:val="Footer"/>
      <w:tabs>
        <w:tab w:val="right" w:pos="9638"/>
      </w:tabs>
      <w:rPr>
        <w:b/>
        <w:sz w:val="18"/>
      </w:rPr>
    </w:pPr>
    <w:r>
      <w:tab/>
    </w:r>
    <w:r w:rsidRPr="00A2668F">
      <w:rPr>
        <w:b/>
        <w:sz w:val="18"/>
      </w:rPr>
      <w:fldChar w:fldCharType="begin"/>
    </w:r>
    <w:r w:rsidRPr="00A2668F">
      <w:rPr>
        <w:b/>
        <w:sz w:val="18"/>
      </w:rPr>
      <w:instrText xml:space="preserve"> PAGE  \* MERGEFORMAT </w:instrText>
    </w:r>
    <w:r w:rsidRPr="00A2668F">
      <w:rPr>
        <w:b/>
        <w:sz w:val="18"/>
      </w:rPr>
      <w:fldChar w:fldCharType="separate"/>
    </w:r>
    <w:r w:rsidRPr="00A2668F">
      <w:rPr>
        <w:b/>
        <w:noProof/>
        <w:sz w:val="18"/>
      </w:rPr>
      <w:t>3</w:t>
    </w:r>
    <w:r w:rsidRPr="00A2668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867" w:rsidRPr="00D84867" w:rsidRDefault="00D84867" w:rsidP="00D84867">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-431800</wp:posOffset>
              </wp:positionH>
              <wp:positionV relativeFrom="margin">
                <wp:posOffset>0</wp:posOffset>
              </wp:positionV>
              <wp:extent cx="222885" cy="6120130"/>
              <wp:effectExtent l="0" t="0" r="5715" b="139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rsidR="00D84867" w:rsidRPr="00A2668F" w:rsidRDefault="00D84867" w:rsidP="00D84867">
                          <w:pPr>
                            <w:pStyle w:val="Footer"/>
                            <w:tabs>
                              <w:tab w:val="right" w:pos="9638"/>
                            </w:tabs>
                            <w:rPr>
                              <w:sz w:val="18"/>
                            </w:rPr>
                          </w:pPr>
                          <w:r w:rsidRPr="00A2668F">
                            <w:rPr>
                              <w:b/>
                              <w:sz w:val="18"/>
                            </w:rPr>
                            <w:fldChar w:fldCharType="begin"/>
                          </w:r>
                          <w:r w:rsidRPr="00A2668F">
                            <w:rPr>
                              <w:b/>
                              <w:sz w:val="18"/>
                            </w:rPr>
                            <w:instrText xml:space="preserve"> PAGE  \* MERGEFORMAT </w:instrText>
                          </w:r>
                          <w:r w:rsidRPr="00A2668F">
                            <w:rPr>
                              <w:b/>
                              <w:sz w:val="18"/>
                            </w:rPr>
                            <w:fldChar w:fldCharType="separate"/>
                          </w:r>
                          <w:r>
                            <w:rPr>
                              <w:b/>
                              <w:sz w:val="18"/>
                            </w:rPr>
                            <w:t>4</w:t>
                          </w:r>
                          <w:r w:rsidRPr="00A2668F">
                            <w:rPr>
                              <w:b/>
                              <w:sz w:val="18"/>
                            </w:rPr>
                            <w:fldChar w:fldCharType="end"/>
                          </w:r>
                          <w:r>
                            <w:rPr>
                              <w:sz w:val="18"/>
                            </w:rPr>
                            <w:tab/>
                          </w:r>
                        </w:p>
                        <w:p w:rsidR="00D84867" w:rsidRDefault="00D84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74" type="#_x0000_t202" style="position:absolute;margin-left:-34pt;margin-top:0;width:17.55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7LgdQIAAPk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" filled="f" stroked="f">
              <v:stroke joinstyle="round"/>
              <v:textbox style="layout-flow:vertical" inset="0,0,0,0">
                <w:txbxContent>
                  <w:p w:rsidR="00D84867" w:rsidRPr="00A2668F" w:rsidRDefault="00D84867" w:rsidP="00D84867">
                    <w:pPr>
                      <w:pStyle w:val="Footer"/>
                      <w:tabs>
                        <w:tab w:val="right" w:pos="9638"/>
                      </w:tabs>
                      <w:rPr>
                        <w:sz w:val="18"/>
                      </w:rPr>
                    </w:pPr>
                    <w:r w:rsidRPr="00A2668F">
                      <w:rPr>
                        <w:b/>
                        <w:sz w:val="18"/>
                      </w:rPr>
                      <w:fldChar w:fldCharType="begin"/>
                    </w:r>
                    <w:r w:rsidRPr="00A2668F">
                      <w:rPr>
                        <w:b/>
                        <w:sz w:val="18"/>
                      </w:rPr>
                      <w:instrText xml:space="preserve"> PAGE  \* MERGEFORMAT </w:instrText>
                    </w:r>
                    <w:r w:rsidRPr="00A2668F">
                      <w:rPr>
                        <w:b/>
                        <w:sz w:val="18"/>
                      </w:rPr>
                      <w:fldChar w:fldCharType="separate"/>
                    </w:r>
                    <w:r>
                      <w:rPr>
                        <w:b/>
                        <w:sz w:val="18"/>
                      </w:rPr>
                      <w:t>4</w:t>
                    </w:r>
                    <w:r w:rsidRPr="00A2668F">
                      <w:rPr>
                        <w:b/>
                        <w:sz w:val="18"/>
                      </w:rPr>
                      <w:fldChar w:fldCharType="end"/>
                    </w:r>
                    <w:bookmarkStart w:id="1" w:name="_GoBack"/>
                    <w:bookmarkEnd w:id="1"/>
                    <w:r>
                      <w:rPr>
                        <w:sz w:val="18"/>
                      </w:rPr>
                      <w:tab/>
                    </w:r>
                  </w:p>
                  <w:p w:rsidR="00D84867" w:rsidRDefault="00D84867"/>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867" w:rsidRPr="00D84867" w:rsidRDefault="00D84867" w:rsidP="00D84867">
    <w:pPr>
      <w:pStyle w:val="Footer"/>
    </w:pPr>
    <w:r>
      <w:rPr>
        <w:noProof/>
      </w:rPr>
      <mc:AlternateContent>
        <mc:Choice Requires="wps">
          <w:drawing>
            <wp:anchor distT="0" distB="0" distL="114300" distR="114300" simplePos="0" relativeHeight="251685888" behindDoc="0" locked="0" layoutInCell="1" allowOverlap="1">
              <wp:simplePos x="0" y="0"/>
              <wp:positionH relativeFrom="margin">
                <wp:posOffset>-431800</wp:posOffset>
              </wp:positionH>
              <wp:positionV relativeFrom="margin">
                <wp:posOffset>0</wp:posOffset>
              </wp:positionV>
              <wp:extent cx="222885" cy="6120130"/>
              <wp:effectExtent l="0" t="0" r="5715"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rsidR="00D84867" w:rsidRPr="00A2668F" w:rsidRDefault="00D84867" w:rsidP="00D84867">
                          <w:pPr>
                            <w:pStyle w:val="Footer"/>
                            <w:tabs>
                              <w:tab w:val="right" w:pos="9638"/>
                            </w:tabs>
                            <w:rPr>
                              <w:b/>
                              <w:sz w:val="18"/>
                            </w:rPr>
                          </w:pPr>
                          <w:r>
                            <w:tab/>
                          </w:r>
                          <w:r w:rsidRPr="00A2668F">
                            <w:rPr>
                              <w:b/>
                              <w:sz w:val="18"/>
                            </w:rPr>
                            <w:fldChar w:fldCharType="begin"/>
                          </w:r>
                          <w:r w:rsidRPr="00A2668F">
                            <w:rPr>
                              <w:b/>
                              <w:sz w:val="18"/>
                            </w:rPr>
                            <w:instrText xml:space="preserve"> PAGE  \* MERGEFORMAT </w:instrText>
                          </w:r>
                          <w:r w:rsidRPr="00A2668F">
                            <w:rPr>
                              <w:b/>
                              <w:sz w:val="18"/>
                            </w:rPr>
                            <w:fldChar w:fldCharType="separate"/>
                          </w:r>
                          <w:r>
                            <w:rPr>
                              <w:b/>
                              <w:sz w:val="18"/>
                            </w:rPr>
                            <w:t>3</w:t>
                          </w:r>
                          <w:r w:rsidRPr="00A2668F">
                            <w:rPr>
                              <w:b/>
                              <w:sz w:val="18"/>
                            </w:rPr>
                            <w:fldChar w:fldCharType="end"/>
                          </w:r>
                        </w:p>
                        <w:p w:rsidR="00D84867" w:rsidRDefault="00D84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75" type="#_x0000_t202" style="position:absolute;margin-left:-34pt;margin-top:0;width:17.55pt;height:481.9pt;z-index:2516858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CbDlT6dgIAAPkEAAAO&#10;AAAAAAAAAAAAAAAAAC4CAABkcnMvZTJvRG9jLnhtbFBLAQItABQABgAIAAAAIQDPbq/G4QAAAAgB&#10;AAAPAAAAAAAAAAAAAAAAANAEAABkcnMvZG93bnJldi54bWxQSwUGAAAAAAQABADzAAAA3gUAAAAA&#10;" filled="f" stroked="f">
              <v:stroke joinstyle="round"/>
              <v:textbox style="layout-flow:vertical" inset="0,0,0,0">
                <w:txbxContent>
                  <w:p w:rsidR="00D84867" w:rsidRPr="00A2668F" w:rsidRDefault="00D84867" w:rsidP="00D84867">
                    <w:pPr>
                      <w:pStyle w:val="Footer"/>
                      <w:tabs>
                        <w:tab w:val="right" w:pos="9638"/>
                      </w:tabs>
                      <w:rPr>
                        <w:b/>
                        <w:sz w:val="18"/>
                      </w:rPr>
                    </w:pPr>
                    <w:r>
                      <w:tab/>
                    </w:r>
                    <w:r w:rsidRPr="00A2668F">
                      <w:rPr>
                        <w:b/>
                        <w:sz w:val="18"/>
                      </w:rPr>
                      <w:fldChar w:fldCharType="begin"/>
                    </w:r>
                    <w:r w:rsidRPr="00A2668F">
                      <w:rPr>
                        <w:b/>
                        <w:sz w:val="18"/>
                      </w:rPr>
                      <w:instrText xml:space="preserve"> PAGE  \* MERGEFORMAT </w:instrText>
                    </w:r>
                    <w:r w:rsidRPr="00A2668F">
                      <w:rPr>
                        <w:b/>
                        <w:sz w:val="18"/>
                      </w:rPr>
                      <w:fldChar w:fldCharType="separate"/>
                    </w:r>
                    <w:r>
                      <w:rPr>
                        <w:b/>
                        <w:sz w:val="18"/>
                      </w:rPr>
                      <w:t>3</w:t>
                    </w:r>
                    <w:r w:rsidRPr="00A2668F">
                      <w:rPr>
                        <w:b/>
                        <w:sz w:val="18"/>
                      </w:rPr>
                      <w:fldChar w:fldCharType="end"/>
                    </w:r>
                  </w:p>
                  <w:p w:rsidR="00D84867" w:rsidRDefault="00D84867"/>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68F" w:rsidRPr="000B175B" w:rsidRDefault="00A2668F" w:rsidP="000B175B">
      <w:pPr>
        <w:tabs>
          <w:tab w:val="right" w:pos="2155"/>
        </w:tabs>
        <w:spacing w:after="80"/>
        <w:ind w:left="680"/>
        <w:rPr>
          <w:u w:val="single"/>
        </w:rPr>
      </w:pPr>
      <w:r>
        <w:rPr>
          <w:u w:val="single"/>
        </w:rPr>
        <w:tab/>
      </w:r>
    </w:p>
  </w:footnote>
  <w:footnote w:type="continuationSeparator" w:id="0">
    <w:p w:rsidR="00A2668F" w:rsidRPr="00FC68B7" w:rsidRDefault="00A2668F" w:rsidP="00FC68B7">
      <w:pPr>
        <w:tabs>
          <w:tab w:val="left" w:pos="2155"/>
        </w:tabs>
        <w:spacing w:after="80"/>
        <w:ind w:left="680"/>
        <w:rPr>
          <w:u w:val="single"/>
        </w:rPr>
      </w:pPr>
      <w:r>
        <w:rPr>
          <w:u w:val="single"/>
        </w:rPr>
        <w:tab/>
      </w:r>
    </w:p>
  </w:footnote>
  <w:footnote w:type="continuationNotice" w:id="1">
    <w:p w:rsidR="00A2668F" w:rsidRDefault="00A2668F"/>
  </w:footnote>
  <w:footnote w:id="2">
    <w:p w:rsidR="00D84867" w:rsidRDefault="00D84867" w:rsidP="00D84867">
      <w:pPr>
        <w:pStyle w:val="FootnoteText"/>
        <w:tabs>
          <w:tab w:val="clear" w:pos="1021"/>
          <w:tab w:val="left" w:pos="1701"/>
        </w:tabs>
        <w:ind w:firstLine="0"/>
      </w:pPr>
      <w:r>
        <w:rPr>
          <w:rStyle w:val="FootnoteReference"/>
        </w:rPr>
        <w:footnoteRef/>
      </w:r>
      <w:r>
        <w:t xml:space="preserve"> </w:t>
      </w:r>
      <w:r>
        <w:tab/>
        <w:t>DIRECTIVE 1999/45/EC OF THE EUROPEAN PARLIAMENT AND OF THE COUNCIL of 31 May 1999 concerning the approximation of the laws, regulations and administrative provisions of the Member States relating to the classification, packaging and labelling of dangerous preparations (OJ L 200, 30.7.1999 p.1)</w:t>
      </w:r>
    </w:p>
  </w:footnote>
  <w:footnote w:id="3">
    <w:p w:rsidR="00D84867" w:rsidRDefault="00D84867" w:rsidP="00D84867">
      <w:pPr>
        <w:pStyle w:val="FootnoteText"/>
        <w:tabs>
          <w:tab w:val="clear" w:pos="1021"/>
          <w:tab w:val="left" w:pos="1701"/>
        </w:tabs>
        <w:ind w:firstLine="0"/>
      </w:pPr>
      <w:r>
        <w:rPr>
          <w:rStyle w:val="FootnoteReference"/>
        </w:rPr>
        <w:footnoteRef/>
      </w:r>
      <w:r>
        <w:t xml:space="preserve"> </w:t>
      </w:r>
      <w:r>
        <w:tab/>
        <w:t xml:space="preserve">ECC 200 is the newest version of Data Matrix, a two-dimensional matrix symbology described in international standard ISO/IEC </w:t>
      </w:r>
      <w:r w:rsidRPr="00587E25">
        <w:t>16022</w:t>
      </w:r>
      <w:r>
        <w:t xml:space="preserve">:2006 </w:t>
      </w:r>
      <w:r w:rsidRPr="000B4E77">
        <w:rPr>
          <w:i/>
        </w:rPr>
        <w:t>inter alia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8F" w:rsidRPr="00A2668F" w:rsidRDefault="00A2668F">
    <w:pPr>
      <w:pStyle w:val="Header"/>
    </w:pPr>
    <w:r>
      <w:t>UN/SCEGHS/36/INF.30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8F" w:rsidRPr="00A2668F" w:rsidRDefault="00A2668F" w:rsidP="00A2668F">
    <w:pPr>
      <w:pStyle w:val="Header"/>
      <w:jc w:val="right"/>
    </w:pPr>
    <w:r>
      <w:t>UN/SCEGHS/36/INF.30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867" w:rsidRPr="00D84867" w:rsidRDefault="00D84867" w:rsidP="00D84867">
    <w:r>
      <w:rPr>
        <w:noProof/>
      </w:rPr>
      <mc:AlternateContent>
        <mc:Choice Requires="wps">
          <w:drawing>
            <wp:anchor distT="0" distB="0" distL="114300" distR="114300" simplePos="0" relativeHeight="251686912" behindDoc="0" locked="0" layoutInCell="1" allowOverlap="1">
              <wp:simplePos x="0" y="0"/>
              <wp:positionH relativeFrom="page">
                <wp:posOffset>9791700</wp:posOffset>
              </wp:positionH>
              <wp:positionV relativeFrom="margin">
                <wp:posOffset>0</wp:posOffset>
              </wp:positionV>
              <wp:extent cx="215900" cy="6120130"/>
              <wp:effectExtent l="0" t="0" r="1270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rsidR="00D84867" w:rsidRPr="00A2668F" w:rsidRDefault="00D84867" w:rsidP="00D84867">
                          <w:pPr>
                            <w:pStyle w:val="Header"/>
                          </w:pPr>
                          <w:r>
                            <w:t>UN/SCEGHS/36/INF.30</w:t>
                          </w:r>
                        </w:p>
                        <w:p w:rsidR="00D84867" w:rsidRDefault="00D84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72" type="#_x0000_t202" style="position:absolute;margin-left:771pt;margin-top:0;width:17pt;height:481.9pt;z-index:2516869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" filled="f" stroked="f">
              <v:stroke joinstyle="round"/>
              <v:textbox style="layout-flow:vertical" inset="0,0,0,0">
                <w:txbxContent>
                  <w:p w:rsidR="00D84867" w:rsidRPr="00A2668F" w:rsidRDefault="00D84867" w:rsidP="00D84867">
                    <w:pPr>
                      <w:pStyle w:val="Header"/>
                    </w:pPr>
                    <w:r>
                      <w:t>UN/SCEGHS/36/INF.30</w:t>
                    </w:r>
                  </w:p>
                  <w:p w:rsidR="00D84867" w:rsidRDefault="00D84867"/>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867" w:rsidRPr="00D84867" w:rsidRDefault="00D84867" w:rsidP="00D84867">
    <w:r>
      <w:rPr>
        <w:noProof/>
      </w:rPr>
      <mc:AlternateContent>
        <mc:Choice Requires="wps">
          <w:drawing>
            <wp:anchor distT="0" distB="0" distL="114300" distR="114300" simplePos="0" relativeHeight="251660288" behindDoc="0" locked="0" layoutInCell="1" allowOverlap="1">
              <wp:simplePos x="0" y="0"/>
              <wp:positionH relativeFrom="page">
                <wp:posOffset>9791700</wp:posOffset>
              </wp:positionH>
              <wp:positionV relativeFrom="margin">
                <wp:posOffset>0</wp:posOffset>
              </wp:positionV>
              <wp:extent cx="215900" cy="6120130"/>
              <wp:effectExtent l="0" t="0" r="1270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noFill/>
                      <a:ln w="9525" cap="flat" cmpd="sng" algn="ctr">
                        <a:noFill/>
                        <a:prstDash val="solid"/>
                        <a:round/>
                        <a:headEnd type="none" w="med" len="med"/>
                        <a:tailEnd type="none" w="med" len="med"/>
                      </a:ln>
                    </wps:spPr>
                    <wps:txbx>
                      <w:txbxContent>
                        <w:p w:rsidR="00D84867" w:rsidRPr="00A2668F" w:rsidRDefault="00D84867" w:rsidP="00D84867">
                          <w:pPr>
                            <w:pStyle w:val="Header"/>
                            <w:jc w:val="right"/>
                          </w:pPr>
                          <w:r>
                            <w:t>UN/SCEGHS/36/INF.30</w:t>
                          </w:r>
                        </w:p>
                        <w:p w:rsidR="00D84867" w:rsidRDefault="00D8486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771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" filled="f" stroked="f">
              <v:stroke joinstyle="round"/>
              <v:textbox style="layout-flow:vertical" inset="0,0,0,0">
                <w:txbxContent>
                  <w:p w:rsidR="00D84867" w:rsidRPr="00A2668F" w:rsidRDefault="00D84867" w:rsidP="00D84867">
                    <w:pPr>
                      <w:pStyle w:val="Header"/>
                      <w:jc w:val="right"/>
                    </w:pPr>
                    <w:r>
                      <w:t>UN/SCEGHS/36/INF.30</w:t>
                    </w:r>
                  </w:p>
                  <w:p w:rsidR="00D84867" w:rsidRDefault="00D84867"/>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4867" w:rsidRDefault="00D848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F1259"/>
    <w:multiLevelType w:val="hybridMultilevel"/>
    <w:tmpl w:val="BC407214"/>
    <w:lvl w:ilvl="0" w:tplc="D87A3BC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8F"/>
    <w:rsid w:val="00050F6B"/>
    <w:rsid w:val="00072C8C"/>
    <w:rsid w:val="000931C0"/>
    <w:rsid w:val="000B175B"/>
    <w:rsid w:val="000B3A0F"/>
    <w:rsid w:val="000E0415"/>
    <w:rsid w:val="001220B8"/>
    <w:rsid w:val="001B4B04"/>
    <w:rsid w:val="001C6663"/>
    <w:rsid w:val="001C7895"/>
    <w:rsid w:val="001D26DF"/>
    <w:rsid w:val="00211E0B"/>
    <w:rsid w:val="002405A7"/>
    <w:rsid w:val="003107FA"/>
    <w:rsid w:val="003229D8"/>
    <w:rsid w:val="0033745A"/>
    <w:rsid w:val="0039277A"/>
    <w:rsid w:val="003972E0"/>
    <w:rsid w:val="003C2CC4"/>
    <w:rsid w:val="003C3936"/>
    <w:rsid w:val="003D4B23"/>
    <w:rsid w:val="003F1ED3"/>
    <w:rsid w:val="004325CB"/>
    <w:rsid w:val="00446DE4"/>
    <w:rsid w:val="004A41CA"/>
    <w:rsid w:val="00503228"/>
    <w:rsid w:val="00505384"/>
    <w:rsid w:val="005420F2"/>
    <w:rsid w:val="005A27E4"/>
    <w:rsid w:val="005B3DB3"/>
    <w:rsid w:val="00611FC4"/>
    <w:rsid w:val="006176FB"/>
    <w:rsid w:val="00627ED0"/>
    <w:rsid w:val="00640B26"/>
    <w:rsid w:val="00665595"/>
    <w:rsid w:val="006A7392"/>
    <w:rsid w:val="006E564B"/>
    <w:rsid w:val="0072632A"/>
    <w:rsid w:val="00743CD6"/>
    <w:rsid w:val="007B6BA5"/>
    <w:rsid w:val="007C3390"/>
    <w:rsid w:val="007C4F4B"/>
    <w:rsid w:val="007F0B83"/>
    <w:rsid w:val="007F6611"/>
    <w:rsid w:val="008175E9"/>
    <w:rsid w:val="008242D7"/>
    <w:rsid w:val="00827E05"/>
    <w:rsid w:val="008311A3"/>
    <w:rsid w:val="00871FD5"/>
    <w:rsid w:val="008979B1"/>
    <w:rsid w:val="008A6B25"/>
    <w:rsid w:val="008A6C4F"/>
    <w:rsid w:val="008E0E46"/>
    <w:rsid w:val="00907AD2"/>
    <w:rsid w:val="00963CBA"/>
    <w:rsid w:val="00974A8D"/>
    <w:rsid w:val="00991261"/>
    <w:rsid w:val="009F3A17"/>
    <w:rsid w:val="00A1427D"/>
    <w:rsid w:val="00A2668F"/>
    <w:rsid w:val="00A72F22"/>
    <w:rsid w:val="00A748A6"/>
    <w:rsid w:val="00A85956"/>
    <w:rsid w:val="00A879A4"/>
    <w:rsid w:val="00AB239C"/>
    <w:rsid w:val="00B30179"/>
    <w:rsid w:val="00B33EC0"/>
    <w:rsid w:val="00B81E12"/>
    <w:rsid w:val="00BC74E9"/>
    <w:rsid w:val="00BD2146"/>
    <w:rsid w:val="00BE4F74"/>
    <w:rsid w:val="00BE618E"/>
    <w:rsid w:val="00C17699"/>
    <w:rsid w:val="00C41A28"/>
    <w:rsid w:val="00C463DD"/>
    <w:rsid w:val="00C745C3"/>
    <w:rsid w:val="00CE4A8F"/>
    <w:rsid w:val="00D2031B"/>
    <w:rsid w:val="00D25FE2"/>
    <w:rsid w:val="00D317BB"/>
    <w:rsid w:val="00D43252"/>
    <w:rsid w:val="00D84867"/>
    <w:rsid w:val="00D978C6"/>
    <w:rsid w:val="00DA67AD"/>
    <w:rsid w:val="00DB5D0F"/>
    <w:rsid w:val="00DF12F7"/>
    <w:rsid w:val="00E02C81"/>
    <w:rsid w:val="00E130AB"/>
    <w:rsid w:val="00E7260F"/>
    <w:rsid w:val="00E87921"/>
    <w:rsid w:val="00E96630"/>
    <w:rsid w:val="00EA264E"/>
    <w:rsid w:val="00ED7A2A"/>
    <w:rsid w:val="00EF1D7F"/>
    <w:rsid w:val="00F53EDA"/>
    <w:rsid w:val="00F7753D"/>
    <w:rsid w:val="00F85F34"/>
    <w:rsid w:val="00FA06F7"/>
    <w:rsid w:val="00FB171A"/>
    <w:rsid w:val="00FC68B7"/>
    <w:rsid w:val="00FD7B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926854"/>
  <w15:docId w15:val="{FA8098FD-31F1-4860-8DA1-3EBCA65D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basedOn w:val="DefaultParagraphFon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503228"/>
    <w:rPr>
      <w:color w:val="auto"/>
      <w:u w:val="none"/>
    </w:rPr>
  </w:style>
  <w:style w:type="character" w:styleId="FollowedHyperlink">
    <w:name w:val="FollowedHyperlink"/>
    <w:basedOn w:val="DefaultParagraphFont"/>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ChGChar">
    <w:name w:val="_ H _Ch_G Char"/>
    <w:link w:val="HChG"/>
    <w:rsid w:val="00D84867"/>
    <w:rPr>
      <w:b/>
      <w:sz w:val="28"/>
      <w:lang w:eastAsia="en-US"/>
    </w:rPr>
  </w:style>
  <w:style w:type="character" w:customStyle="1" w:styleId="SingleTxtGChar">
    <w:name w:val="_ Single Txt_G Char"/>
    <w:link w:val="SingleTxtG"/>
    <w:rsid w:val="00D84867"/>
    <w:rPr>
      <w:lang w:eastAsia="en-US"/>
    </w:rPr>
  </w:style>
  <w:style w:type="character" w:customStyle="1" w:styleId="FootnoteTextChar">
    <w:name w:val="Footnote Text Char"/>
    <w:aliases w:val="5_G Char"/>
    <w:link w:val="FootnoteText"/>
    <w:rsid w:val="00D84867"/>
    <w:rPr>
      <w:sz w:val="18"/>
      <w:lang w:eastAsia="en-US"/>
    </w:rPr>
  </w:style>
  <w:style w:type="paragraph" w:styleId="NormalWeb">
    <w:name w:val="Normal (Web)"/>
    <w:basedOn w:val="Normal"/>
    <w:uiPriority w:val="99"/>
    <w:semiHidden/>
    <w:rsid w:val="00D84867"/>
    <w:rPr>
      <w:rFonts w:ascii="Arial" w:hAnsi="Arial" w:cs="Arial"/>
      <w:sz w:val="24"/>
      <w:szCs w:val="24"/>
      <w:lang w:val="en-US"/>
    </w:rPr>
  </w:style>
  <w:style w:type="character" w:customStyle="1" w:styleId="HeaderChar">
    <w:name w:val="Header Char"/>
    <w:aliases w:val="6_G Char"/>
    <w:link w:val="Header"/>
    <w:uiPriority w:val="99"/>
    <w:rsid w:val="00D84867"/>
    <w:rPr>
      <w:b/>
      <w:sz w:val="18"/>
      <w:lang w:eastAsia="en-US"/>
    </w:rPr>
  </w:style>
  <w:style w:type="paragraph" w:styleId="ListParagraph">
    <w:name w:val="List Paragraph"/>
    <w:basedOn w:val="Normal"/>
    <w:uiPriority w:val="34"/>
    <w:qFormat/>
    <w:rsid w:val="00D848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eader" Target="header5.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header" Target="header3.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sion\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PlainPage_E</Template>
  <TotalTime>11</TotalTime>
  <Pages>9</Pages>
  <Words>1961</Words>
  <Characters>11182</Characters>
  <Application>Microsoft Office Word</Application>
  <DocSecurity>0</DocSecurity>
  <Lines>93</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Mansion</dc:creator>
  <cp:lastModifiedBy>Laurence Berthet</cp:lastModifiedBy>
  <cp:revision>3</cp:revision>
  <cp:lastPrinted>2018-11-27T09:06:00Z</cp:lastPrinted>
  <dcterms:created xsi:type="dcterms:W3CDTF">2018-11-27T08:36:00Z</dcterms:created>
  <dcterms:modified xsi:type="dcterms:W3CDTF">2018-11-27T09:06:00Z</dcterms:modified>
</cp:coreProperties>
</file>