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0A73C3DA" w14:textId="77777777" w:rsidTr="00691F20">
        <w:trPr>
          <w:cantSplit/>
          <w:trHeight w:hRule="exact" w:val="851"/>
        </w:trPr>
        <w:tc>
          <w:tcPr>
            <w:tcW w:w="9639" w:type="dxa"/>
            <w:tcBorders>
              <w:bottom w:val="single" w:sz="4" w:space="0" w:color="auto"/>
            </w:tcBorders>
            <w:vAlign w:val="bottom"/>
          </w:tcPr>
          <w:p w14:paraId="67718E7A" w14:textId="4F0623C1" w:rsidR="0099001C" w:rsidRPr="0099001C" w:rsidRDefault="0099001C" w:rsidP="000564A7">
            <w:pPr>
              <w:jc w:val="right"/>
              <w:rPr>
                <w:b/>
                <w:sz w:val="40"/>
                <w:szCs w:val="40"/>
              </w:rPr>
            </w:pPr>
            <w:r w:rsidRPr="0099001C">
              <w:rPr>
                <w:b/>
                <w:sz w:val="40"/>
                <w:szCs w:val="40"/>
              </w:rPr>
              <w:t>UN/SCEGHS/</w:t>
            </w:r>
            <w:r w:rsidR="000564A7">
              <w:rPr>
                <w:b/>
                <w:sz w:val="40"/>
                <w:szCs w:val="40"/>
              </w:rPr>
              <w:t>3</w:t>
            </w:r>
            <w:r w:rsidR="00440EFE">
              <w:rPr>
                <w:b/>
                <w:sz w:val="40"/>
                <w:szCs w:val="40"/>
              </w:rPr>
              <w:t>6</w:t>
            </w:r>
            <w:r w:rsidRPr="0099001C">
              <w:rPr>
                <w:b/>
                <w:sz w:val="40"/>
                <w:szCs w:val="40"/>
              </w:rPr>
              <w:t>/INF.</w:t>
            </w:r>
            <w:r w:rsidR="00644135">
              <w:rPr>
                <w:b/>
                <w:sz w:val="40"/>
                <w:szCs w:val="40"/>
              </w:rPr>
              <w:t>17</w:t>
            </w:r>
          </w:p>
        </w:tc>
      </w:tr>
      <w:tr w:rsidR="0099001C" w14:paraId="7A1136AB" w14:textId="77777777" w:rsidTr="008B6E26">
        <w:trPr>
          <w:cantSplit/>
          <w:trHeight w:hRule="exact" w:val="3114"/>
        </w:trPr>
        <w:tc>
          <w:tcPr>
            <w:tcW w:w="9639" w:type="dxa"/>
            <w:tcBorders>
              <w:top w:val="single" w:sz="4" w:space="0" w:color="auto"/>
            </w:tcBorders>
          </w:tcPr>
          <w:p w14:paraId="162D3A65"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6025F102" w14:textId="24E75FE6" w:rsidR="00965932" w:rsidRPr="00765969" w:rsidRDefault="00965932" w:rsidP="00965932">
            <w:pPr>
              <w:tabs>
                <w:tab w:val="left" w:pos="7230"/>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8A43E0">
              <w:rPr>
                <w:b/>
                <w:lang w:val="en-US"/>
              </w:rPr>
              <w:t>12</w:t>
            </w:r>
            <w:bookmarkStart w:id="0" w:name="_GoBack"/>
            <w:bookmarkEnd w:id="0"/>
            <w:r w:rsidR="00761358" w:rsidRPr="006C2CEE">
              <w:rPr>
                <w:b/>
                <w:lang w:val="en-US"/>
              </w:rPr>
              <w:t xml:space="preserve"> Novem</w:t>
            </w:r>
            <w:r w:rsidR="00A361BE" w:rsidRPr="006C2CEE">
              <w:rPr>
                <w:b/>
                <w:lang w:val="en-US"/>
              </w:rPr>
              <w:t>ber</w:t>
            </w:r>
            <w:r w:rsidRPr="006C2CEE">
              <w:rPr>
                <w:b/>
                <w:lang w:val="en-US"/>
              </w:rPr>
              <w:t xml:space="preserve"> 201</w:t>
            </w:r>
            <w:r w:rsidR="009435A6" w:rsidRPr="006C2CEE">
              <w:rPr>
                <w:b/>
                <w:lang w:val="en-US"/>
              </w:rPr>
              <w:t>8</w:t>
            </w:r>
          </w:p>
          <w:p w14:paraId="2A9BBC09" w14:textId="77777777" w:rsidR="00965932" w:rsidRPr="001B03EA" w:rsidRDefault="00965932" w:rsidP="00965932">
            <w:pPr>
              <w:jc w:val="both"/>
              <w:rPr>
                <w:b/>
              </w:rPr>
            </w:pPr>
          </w:p>
          <w:p w14:paraId="338964BC" w14:textId="7493DC28" w:rsidR="00965932" w:rsidRPr="004845AC" w:rsidRDefault="00965932" w:rsidP="00965932">
            <w:pPr>
              <w:jc w:val="both"/>
            </w:pPr>
            <w:r w:rsidRPr="004845AC">
              <w:rPr>
                <w:b/>
              </w:rPr>
              <w:t>Thirty-</w:t>
            </w:r>
            <w:r w:rsidR="009435A6" w:rsidRPr="004845AC">
              <w:rPr>
                <w:b/>
              </w:rPr>
              <w:t xml:space="preserve">sixth </w:t>
            </w:r>
            <w:r w:rsidRPr="004845AC">
              <w:rPr>
                <w:b/>
              </w:rPr>
              <w:t>session</w:t>
            </w:r>
            <w:r w:rsidRPr="004845AC">
              <w:t xml:space="preserve"> </w:t>
            </w:r>
          </w:p>
          <w:p w14:paraId="38EA545E" w14:textId="5BD36F70" w:rsidR="001B06A5" w:rsidRPr="004845AC" w:rsidRDefault="001B06A5" w:rsidP="001B06A5">
            <w:pPr>
              <w:jc w:val="both"/>
            </w:pPr>
            <w:r w:rsidRPr="004845AC">
              <w:t xml:space="preserve">Geneva, </w:t>
            </w:r>
            <w:r w:rsidR="009435A6" w:rsidRPr="004845AC">
              <w:t>5-7</w:t>
            </w:r>
            <w:r w:rsidRPr="004845AC">
              <w:t xml:space="preserve"> </w:t>
            </w:r>
            <w:r w:rsidR="00DB5082" w:rsidRPr="004845AC">
              <w:t>D</w:t>
            </w:r>
            <w:r w:rsidR="000564A7" w:rsidRPr="004845AC">
              <w:t>ecember</w:t>
            </w:r>
            <w:r w:rsidR="00DB5082" w:rsidRPr="004845AC">
              <w:t xml:space="preserve"> </w:t>
            </w:r>
            <w:r w:rsidRPr="004845AC">
              <w:t>201</w:t>
            </w:r>
            <w:r w:rsidR="009435A6" w:rsidRPr="004845AC">
              <w:t>8</w:t>
            </w:r>
          </w:p>
          <w:p w14:paraId="10B36C59" w14:textId="608F4F10" w:rsidR="001B06A5" w:rsidRPr="00FA63B2" w:rsidRDefault="001B06A5" w:rsidP="001B06A5">
            <w:pPr>
              <w:spacing w:before="40"/>
            </w:pPr>
            <w:r w:rsidRPr="004845AC">
              <w:t xml:space="preserve">Item </w:t>
            </w:r>
            <w:r w:rsidR="00A361BE" w:rsidRPr="004845AC">
              <w:t>8</w:t>
            </w:r>
            <w:r w:rsidRPr="004845AC">
              <w:t xml:space="preserve"> of the provisional agenda</w:t>
            </w:r>
          </w:p>
          <w:p w14:paraId="4E504FC6" w14:textId="74D906F4" w:rsidR="0099001C" w:rsidRDefault="009435A6" w:rsidP="004845AC">
            <w:pPr>
              <w:spacing w:line="240" w:lineRule="exact"/>
            </w:pPr>
            <w:r w:rsidRPr="009435A6">
              <w:rPr>
                <w:b/>
              </w:rPr>
              <w:t>Programme of work for the biennium 2019-202</w:t>
            </w:r>
            <w:r w:rsidR="00A361BE">
              <w:rPr>
                <w:b/>
              </w:rPr>
              <w:t>0</w:t>
            </w:r>
          </w:p>
        </w:tc>
      </w:tr>
    </w:tbl>
    <w:p w14:paraId="016B32DD" w14:textId="4E273A27" w:rsidR="00765969" w:rsidRDefault="00765969" w:rsidP="00765969">
      <w:pPr>
        <w:pStyle w:val="HChG"/>
      </w:pPr>
      <w:r>
        <w:tab/>
      </w:r>
      <w:r>
        <w:tab/>
      </w:r>
      <w:r w:rsidR="0076297C">
        <w:t xml:space="preserve">Proposal for a work item for biennium 2019-2020: </w:t>
      </w:r>
      <w:r w:rsidR="008055CB">
        <w:t xml:space="preserve">review of the cut off value/concentration limit for mixtures classification as Serious eye damage </w:t>
      </w:r>
    </w:p>
    <w:p w14:paraId="088AFBC4" w14:textId="118BB0C1" w:rsidR="00765969" w:rsidRDefault="00765969" w:rsidP="00FE4C89">
      <w:pPr>
        <w:pStyle w:val="H1G"/>
      </w:pPr>
      <w:r>
        <w:rPr>
          <w:rFonts w:eastAsia="MS Mincho"/>
        </w:rPr>
        <w:tab/>
      </w:r>
      <w:r>
        <w:rPr>
          <w:rFonts w:eastAsia="MS Mincho"/>
        </w:rPr>
        <w:tab/>
      </w:r>
      <w:r w:rsidR="00FE4C89" w:rsidRPr="00FE4C89">
        <w:t xml:space="preserve">Submitted by the </w:t>
      </w:r>
      <w:r w:rsidR="00FE4C89">
        <w:t>International Association for Soaps, Detergents and Maintenance Products (A</w:t>
      </w:r>
      <w:r w:rsidR="00B32386">
        <w:t>.</w:t>
      </w:r>
      <w:r w:rsidR="00FE4C89">
        <w:t>I</w:t>
      </w:r>
      <w:r w:rsidR="00B32386">
        <w:t>.</w:t>
      </w:r>
      <w:r w:rsidR="00FE4C89">
        <w:t>S</w:t>
      </w:r>
      <w:r w:rsidR="00B32386">
        <w:t>.</w:t>
      </w:r>
      <w:r w:rsidR="00FE4C89">
        <w:t>E</w:t>
      </w:r>
      <w:r w:rsidR="00B32386">
        <w:t>.</w:t>
      </w:r>
      <w:r w:rsidR="00FE4C89">
        <w:t>)</w:t>
      </w:r>
      <w:r w:rsidR="001F67DF">
        <w:t xml:space="preserve"> </w:t>
      </w:r>
      <w:r w:rsidR="001F67DF" w:rsidRPr="00193DB5">
        <w:t xml:space="preserve">and </w:t>
      </w:r>
      <w:proofErr w:type="spellStart"/>
      <w:r w:rsidR="001F67DF" w:rsidRPr="00193DB5">
        <w:t>Crop</w:t>
      </w:r>
      <w:r w:rsidR="00A40454" w:rsidRPr="00193DB5">
        <w:t>l</w:t>
      </w:r>
      <w:r w:rsidR="001F67DF" w:rsidRPr="00193DB5">
        <w:t>ife</w:t>
      </w:r>
      <w:proofErr w:type="spellEnd"/>
      <w:r w:rsidR="001F67DF" w:rsidRPr="00193DB5">
        <w:t xml:space="preserve"> International</w:t>
      </w:r>
    </w:p>
    <w:p w14:paraId="22A616A1" w14:textId="3078EC13" w:rsidR="00440EFE" w:rsidRPr="004845AC" w:rsidRDefault="00644135" w:rsidP="00644135">
      <w:pPr>
        <w:pStyle w:val="HChG"/>
        <w:rPr>
          <w:rFonts w:eastAsia="MS Mincho"/>
        </w:rPr>
      </w:pPr>
      <w:r>
        <w:rPr>
          <w:rFonts w:eastAsia="MS Mincho"/>
        </w:rPr>
        <w:tab/>
      </w:r>
      <w:r>
        <w:rPr>
          <w:rFonts w:eastAsia="MS Mincho"/>
        </w:rPr>
        <w:tab/>
      </w:r>
      <w:r w:rsidR="00440EFE" w:rsidRPr="004845AC">
        <w:rPr>
          <w:rFonts w:eastAsia="MS Mincho"/>
        </w:rPr>
        <w:t>Background</w:t>
      </w:r>
    </w:p>
    <w:p w14:paraId="3BA7C570" w14:textId="3E664039" w:rsidR="00510F50" w:rsidRPr="00644135" w:rsidRDefault="00510F50" w:rsidP="00644135">
      <w:pPr>
        <w:pStyle w:val="SingleTxtG"/>
        <w:numPr>
          <w:ilvl w:val="0"/>
          <w:numId w:val="16"/>
        </w:numPr>
        <w:ind w:left="1134" w:firstLine="0"/>
        <w:rPr>
          <w:rFonts w:eastAsia="MS Mincho"/>
        </w:rPr>
      </w:pPr>
      <w:r w:rsidRPr="00644135">
        <w:rPr>
          <w:rFonts w:eastAsia="MS Mincho"/>
        </w:rPr>
        <w:t xml:space="preserve">According to Section 3.3.3.3.2 </w:t>
      </w:r>
      <w:r w:rsidRPr="00644135">
        <w:rPr>
          <w:rFonts w:eastAsia="MS Mincho"/>
          <w:i/>
          <w:iCs/>
        </w:rPr>
        <w:t xml:space="preserve">“The approach to classification of mixtures as seriously damaging to the eye or eye irritant when data </w:t>
      </w:r>
      <w:r w:rsidR="00193DB5" w:rsidRPr="00644135">
        <w:rPr>
          <w:rFonts w:eastAsia="MS Mincho"/>
          <w:i/>
          <w:iCs/>
        </w:rPr>
        <w:t>a</w:t>
      </w:r>
      <w:r w:rsidRPr="00644135">
        <w:rPr>
          <w:rFonts w:eastAsia="MS Mincho"/>
          <w:i/>
          <w:iCs/>
        </w:rPr>
        <w:t>re avai</w:t>
      </w:r>
      <w:r w:rsidR="00193DB5" w:rsidRPr="00644135">
        <w:rPr>
          <w:rFonts w:eastAsia="MS Mincho"/>
          <w:i/>
          <w:iCs/>
        </w:rPr>
        <w:t>la</w:t>
      </w:r>
      <w:r w:rsidRPr="00644135">
        <w:rPr>
          <w:rFonts w:eastAsia="MS Mincho"/>
          <w:i/>
          <w:iCs/>
        </w:rPr>
        <w:t xml:space="preserve">ble </w:t>
      </w:r>
      <w:r w:rsidR="00EC3D3B" w:rsidRPr="00644135">
        <w:rPr>
          <w:rFonts w:eastAsia="MS Mincho"/>
          <w:i/>
          <w:iCs/>
        </w:rPr>
        <w:t>o</w:t>
      </w:r>
      <w:r w:rsidRPr="00644135">
        <w:rPr>
          <w:rFonts w:eastAsia="MS Mincho"/>
          <w:i/>
          <w:iCs/>
        </w:rPr>
        <w:t>n the ingredients, but not on the mixture as a whole, is based on the theory of the additivity, such that each (…) ingredient contributes to the overall serious eye damage/eye irritation properties of the mixture in proportion to its potency and concentration”</w:t>
      </w:r>
      <w:r w:rsidRPr="00644135">
        <w:rPr>
          <w:rFonts w:eastAsia="MS Mincho"/>
        </w:rPr>
        <w:t>.</w:t>
      </w:r>
    </w:p>
    <w:p w14:paraId="7902D565" w14:textId="3DFA50F3" w:rsidR="00510F50" w:rsidRPr="00644135" w:rsidRDefault="00510F50" w:rsidP="00644135">
      <w:pPr>
        <w:pStyle w:val="SingleTxtG"/>
        <w:numPr>
          <w:ilvl w:val="0"/>
          <w:numId w:val="16"/>
        </w:numPr>
        <w:ind w:left="1134" w:firstLine="0"/>
        <w:rPr>
          <w:rFonts w:eastAsia="MS Mincho"/>
        </w:rPr>
      </w:pPr>
      <w:r w:rsidRPr="00644135">
        <w:rPr>
          <w:rFonts w:eastAsia="MS Mincho"/>
        </w:rPr>
        <w:t>Cut off values/concentration limits are therefore provided to determine if the mixture should be classified</w:t>
      </w:r>
      <w:r w:rsidR="005B08F8" w:rsidRPr="00644135">
        <w:rPr>
          <w:rFonts w:eastAsia="MS Mincho"/>
        </w:rPr>
        <w:t xml:space="preserve"> based on its ingredients</w:t>
      </w:r>
      <w:r w:rsidRPr="00644135">
        <w:rPr>
          <w:rFonts w:eastAsia="MS Mincho"/>
        </w:rPr>
        <w:t xml:space="preserve"> (see table 3.3.3.). </w:t>
      </w:r>
    </w:p>
    <w:p w14:paraId="024E591F" w14:textId="0948B4C3" w:rsidR="00510F50" w:rsidRPr="00644135" w:rsidRDefault="00510F50" w:rsidP="00644135">
      <w:pPr>
        <w:pStyle w:val="SingleTxtG"/>
        <w:numPr>
          <w:ilvl w:val="0"/>
          <w:numId w:val="16"/>
        </w:numPr>
        <w:ind w:left="1134" w:firstLine="0"/>
        <w:rPr>
          <w:rFonts w:eastAsia="MS Mincho"/>
        </w:rPr>
      </w:pPr>
      <w:r w:rsidRPr="00644135">
        <w:rPr>
          <w:rFonts w:eastAsia="MS Mincho"/>
        </w:rPr>
        <w:t xml:space="preserve">During the preparation of the first version of GHS, OECD </w:t>
      </w:r>
      <w:r w:rsidR="00C853E3" w:rsidRPr="00644135">
        <w:rPr>
          <w:rFonts w:eastAsia="MS Mincho"/>
        </w:rPr>
        <w:t xml:space="preserve">was tasked to </w:t>
      </w:r>
      <w:r w:rsidR="0073447E" w:rsidRPr="00644135">
        <w:rPr>
          <w:rFonts w:eastAsia="MS Mincho"/>
        </w:rPr>
        <w:t>develop draft cri</w:t>
      </w:r>
      <w:r w:rsidR="00CF701F" w:rsidRPr="00644135">
        <w:rPr>
          <w:rFonts w:eastAsia="MS Mincho"/>
        </w:rPr>
        <w:t xml:space="preserve">teria and it </w:t>
      </w:r>
      <w:r w:rsidRPr="00644135">
        <w:rPr>
          <w:rFonts w:eastAsia="MS Mincho"/>
        </w:rPr>
        <w:t xml:space="preserve">published </w:t>
      </w:r>
      <w:r w:rsidR="005B08F8" w:rsidRPr="00644135">
        <w:rPr>
          <w:rFonts w:eastAsia="MS Mincho"/>
        </w:rPr>
        <w:t xml:space="preserve">in 2001 </w:t>
      </w:r>
      <w:r w:rsidRPr="00644135">
        <w:rPr>
          <w:rFonts w:eastAsia="MS Mincho"/>
        </w:rPr>
        <w:t xml:space="preserve">the </w:t>
      </w:r>
      <w:r w:rsidRPr="00644135">
        <w:rPr>
          <w:rFonts w:eastAsia="MS Mincho"/>
          <w:i/>
          <w:iCs/>
        </w:rPr>
        <w:t>“Detailed Review Document on hazard classification systems for mixtures, ENV/JM/</w:t>
      </w:r>
      <w:proofErr w:type="gramStart"/>
      <w:r w:rsidRPr="00644135">
        <w:rPr>
          <w:rFonts w:eastAsia="MS Mincho"/>
          <w:i/>
          <w:iCs/>
        </w:rPr>
        <w:t>MONO(</w:t>
      </w:r>
      <w:proofErr w:type="gramEnd"/>
      <w:r w:rsidRPr="00644135">
        <w:rPr>
          <w:rFonts w:eastAsia="MS Mincho"/>
          <w:i/>
          <w:iCs/>
        </w:rPr>
        <w:t>2001)10”</w:t>
      </w:r>
      <w:r w:rsidR="005B08F8" w:rsidRPr="00644135">
        <w:rPr>
          <w:rFonts w:eastAsia="MS Mincho"/>
        </w:rPr>
        <w:t xml:space="preserve">. That document highlighted that most used Cut off values/concentration limits in use to perform a mixture classification for </w:t>
      </w:r>
      <w:r w:rsidR="00F44068" w:rsidRPr="00644135">
        <w:rPr>
          <w:rFonts w:eastAsia="MS Mincho"/>
        </w:rPr>
        <w:t>Serious eye damage</w:t>
      </w:r>
      <w:r w:rsidR="00A103F7" w:rsidRPr="00644135">
        <w:rPr>
          <w:rFonts w:eastAsia="MS Mincho"/>
        </w:rPr>
        <w:t xml:space="preserve"> based on additivity</w:t>
      </w:r>
      <w:r w:rsidR="00F44068" w:rsidRPr="00644135">
        <w:rPr>
          <w:rFonts w:eastAsia="MS Mincho"/>
        </w:rPr>
        <w:t xml:space="preserve"> </w:t>
      </w:r>
      <w:r w:rsidR="005B08F8" w:rsidRPr="00644135">
        <w:rPr>
          <w:rFonts w:eastAsia="MS Mincho"/>
        </w:rPr>
        <w:t xml:space="preserve">were 10% (EU) and 1% (US). </w:t>
      </w:r>
    </w:p>
    <w:p w14:paraId="32840D54" w14:textId="7192C38B" w:rsidR="005B08F8" w:rsidRPr="00644135" w:rsidRDefault="005B08F8" w:rsidP="00644135">
      <w:pPr>
        <w:pStyle w:val="SingleTxtG"/>
        <w:numPr>
          <w:ilvl w:val="0"/>
          <w:numId w:val="16"/>
        </w:numPr>
        <w:ind w:left="1134" w:firstLine="0"/>
        <w:rPr>
          <w:rFonts w:eastAsia="MS Mincho"/>
        </w:rPr>
      </w:pPr>
      <w:r w:rsidRPr="00644135">
        <w:rPr>
          <w:rFonts w:eastAsia="MS Mincho"/>
        </w:rPr>
        <w:t xml:space="preserve">The OECD drafting group on “skin and eye irritation/corrosion” </w:t>
      </w:r>
      <w:r w:rsidR="00F44068" w:rsidRPr="00644135">
        <w:rPr>
          <w:rFonts w:eastAsia="MS Mincho"/>
        </w:rPr>
        <w:t xml:space="preserve">reached a compromise to apply the </w:t>
      </w:r>
      <w:bookmarkStart w:id="1" w:name="_Hlk526842232"/>
      <w:r w:rsidR="00F44068" w:rsidRPr="00644135">
        <w:rPr>
          <w:rFonts w:eastAsia="MS Mincho"/>
        </w:rPr>
        <w:t xml:space="preserve">cut off value/concentration limit of ≥ 3% for Serious eye damage </w:t>
      </w:r>
      <w:bookmarkEnd w:id="1"/>
      <w:r w:rsidR="00F44068" w:rsidRPr="00644135">
        <w:rPr>
          <w:rFonts w:eastAsia="MS Mincho"/>
        </w:rPr>
        <w:t xml:space="preserve">cat.1 and </w:t>
      </w:r>
      <w:r w:rsidRPr="00644135">
        <w:rPr>
          <w:rFonts w:eastAsia="MS Mincho"/>
        </w:rPr>
        <w:t>finalized its proposal in March 2001 (see ST/SG/AC.10/C.4/2001/4).</w:t>
      </w:r>
      <w:r w:rsidR="00A361BE" w:rsidRPr="00644135">
        <w:rPr>
          <w:rFonts w:eastAsia="MS Mincho"/>
        </w:rPr>
        <w:t xml:space="preserve"> This value was included in Chapter 3.3 of the </w:t>
      </w:r>
      <w:r w:rsidR="00994453" w:rsidRPr="00644135">
        <w:rPr>
          <w:rFonts w:eastAsia="MS Mincho"/>
        </w:rPr>
        <w:t>GHS</w:t>
      </w:r>
      <w:r w:rsidR="00A361BE" w:rsidRPr="00644135">
        <w:rPr>
          <w:rFonts w:eastAsia="MS Mincho"/>
        </w:rPr>
        <w:t>.</w:t>
      </w:r>
    </w:p>
    <w:p w14:paraId="235193C8" w14:textId="7B3090FB" w:rsidR="00F44068" w:rsidRPr="004845AC" w:rsidRDefault="00644135" w:rsidP="00644135">
      <w:pPr>
        <w:pStyle w:val="HChG"/>
        <w:rPr>
          <w:rFonts w:eastAsia="MS Mincho"/>
        </w:rPr>
      </w:pPr>
      <w:r>
        <w:rPr>
          <w:rFonts w:eastAsia="MS Mincho"/>
        </w:rPr>
        <w:tab/>
      </w:r>
      <w:r>
        <w:rPr>
          <w:rFonts w:eastAsia="MS Mincho"/>
        </w:rPr>
        <w:tab/>
      </w:r>
      <w:r w:rsidR="00F44068" w:rsidRPr="004845AC">
        <w:rPr>
          <w:rFonts w:eastAsia="MS Mincho"/>
        </w:rPr>
        <w:t>Discussion</w:t>
      </w:r>
    </w:p>
    <w:p w14:paraId="3722E3E0" w14:textId="3C72BEA3" w:rsidR="00C80466" w:rsidRPr="00C80466" w:rsidRDefault="00C80466" w:rsidP="00644135">
      <w:pPr>
        <w:pStyle w:val="SingleTxtG"/>
        <w:numPr>
          <w:ilvl w:val="0"/>
          <w:numId w:val="16"/>
        </w:numPr>
        <w:ind w:left="1134" w:firstLine="0"/>
        <w:rPr>
          <w:rFonts w:eastAsia="MS Mincho"/>
        </w:rPr>
      </w:pPr>
      <w:r w:rsidRPr="00C80466">
        <w:rPr>
          <w:rFonts w:eastAsia="MS Mincho"/>
        </w:rPr>
        <w:t xml:space="preserve">At the </w:t>
      </w:r>
      <w:r w:rsidR="00644135">
        <w:rPr>
          <w:rFonts w:eastAsia="MS Mincho"/>
        </w:rPr>
        <w:t>thirty-fifth</w:t>
      </w:r>
      <w:r w:rsidRPr="00C80466">
        <w:rPr>
          <w:rFonts w:eastAsia="MS Mincho"/>
        </w:rPr>
        <w:t xml:space="preserve"> session the Sub-</w:t>
      </w:r>
      <w:r w:rsidRPr="00644135">
        <w:rPr>
          <w:rFonts w:eastAsia="MS Mincho"/>
        </w:rPr>
        <w:t>Committee</w:t>
      </w:r>
      <w:r w:rsidRPr="00C80466">
        <w:rPr>
          <w:rFonts w:eastAsia="MS Mincho"/>
        </w:rPr>
        <w:t xml:space="preserve"> of Experts on the </w:t>
      </w:r>
      <w:r>
        <w:rPr>
          <w:rFonts w:eastAsia="MS Mincho"/>
        </w:rPr>
        <w:t xml:space="preserve">GHS discussed informal paper </w:t>
      </w:r>
      <w:r w:rsidR="00644135">
        <w:rPr>
          <w:rFonts w:eastAsia="MS Mincho"/>
        </w:rPr>
        <w:t>INF.14 (35</w:t>
      </w:r>
      <w:r w:rsidR="00644135" w:rsidRPr="00644135">
        <w:rPr>
          <w:rFonts w:eastAsia="MS Mincho"/>
          <w:vertAlign w:val="superscript"/>
        </w:rPr>
        <w:t>th</w:t>
      </w:r>
      <w:r w:rsidR="00644135">
        <w:rPr>
          <w:rFonts w:eastAsia="MS Mincho"/>
        </w:rPr>
        <w:t xml:space="preserve"> session)</w:t>
      </w:r>
      <w:r>
        <w:rPr>
          <w:rFonts w:eastAsia="MS Mincho"/>
        </w:rPr>
        <w:t xml:space="preserve"> on </w:t>
      </w:r>
      <w:r w:rsidRPr="004845AC">
        <w:rPr>
          <w:rFonts w:eastAsia="MS Mincho"/>
          <w:i/>
        </w:rPr>
        <w:t>“Hands-on experience with GHS Eye hazard classification for consumer products: challenges and opportunities”</w:t>
      </w:r>
      <w:r>
        <w:rPr>
          <w:rFonts w:eastAsia="MS Mincho"/>
        </w:rPr>
        <w:t>.</w:t>
      </w:r>
      <w:r w:rsidR="00F44068">
        <w:rPr>
          <w:rFonts w:eastAsia="MS Mincho"/>
        </w:rPr>
        <w:t xml:space="preserve"> This paper highlighted potential challenges caused by the application of the </w:t>
      </w:r>
      <w:r w:rsidR="00F44068" w:rsidRPr="00F44068">
        <w:rPr>
          <w:rFonts w:eastAsia="MS Mincho"/>
        </w:rPr>
        <w:t>cut off value/concentration limit of ≥ 3%</w:t>
      </w:r>
      <w:r w:rsidR="00A361BE">
        <w:rPr>
          <w:rFonts w:eastAsia="MS Mincho"/>
        </w:rPr>
        <w:t xml:space="preserve"> when using additivity</w:t>
      </w:r>
      <w:r w:rsidR="00F44068" w:rsidRPr="00F44068">
        <w:rPr>
          <w:rFonts w:eastAsia="MS Mincho"/>
        </w:rPr>
        <w:t xml:space="preserve"> for Serious eye damage</w:t>
      </w:r>
      <w:r w:rsidR="00F44068">
        <w:rPr>
          <w:rFonts w:eastAsia="MS Mincho"/>
        </w:rPr>
        <w:t xml:space="preserve"> to mixtures.</w:t>
      </w:r>
    </w:p>
    <w:p w14:paraId="58BED137" w14:textId="7C948C94" w:rsidR="00440EFE" w:rsidRPr="00440EFE" w:rsidRDefault="00440EFE" w:rsidP="00644135">
      <w:pPr>
        <w:pStyle w:val="SingleTxtG"/>
        <w:numPr>
          <w:ilvl w:val="0"/>
          <w:numId w:val="16"/>
        </w:numPr>
        <w:ind w:left="1134" w:firstLine="0"/>
        <w:rPr>
          <w:rFonts w:eastAsia="MS Mincho"/>
        </w:rPr>
      </w:pPr>
      <w:r w:rsidRPr="00440EFE">
        <w:rPr>
          <w:rFonts w:eastAsia="MS Mincho"/>
        </w:rPr>
        <w:t xml:space="preserve">The GHS </w:t>
      </w:r>
      <w:r>
        <w:rPr>
          <w:rFonts w:eastAsia="MS Mincho"/>
        </w:rPr>
        <w:t>additivity</w:t>
      </w:r>
      <w:r w:rsidRPr="00440EFE">
        <w:rPr>
          <w:rFonts w:eastAsia="MS Mincho"/>
        </w:rPr>
        <w:t xml:space="preserve"> method to determine hazard classification is an important tool in assigning hazard classifications for mixtures</w:t>
      </w:r>
      <w:r w:rsidR="00F44068">
        <w:rPr>
          <w:rFonts w:eastAsia="MS Mincho"/>
        </w:rPr>
        <w:t xml:space="preserve"> when data are avai</w:t>
      </w:r>
      <w:r w:rsidR="007B2C90">
        <w:rPr>
          <w:rFonts w:eastAsia="MS Mincho"/>
        </w:rPr>
        <w:t>la</w:t>
      </w:r>
      <w:r w:rsidR="00F44068">
        <w:rPr>
          <w:rFonts w:eastAsia="MS Mincho"/>
        </w:rPr>
        <w:t xml:space="preserve">ble on ingredients but not </w:t>
      </w:r>
      <w:r w:rsidR="00F44068">
        <w:rPr>
          <w:rFonts w:eastAsia="MS Mincho"/>
        </w:rPr>
        <w:lastRenderedPageBreak/>
        <w:t>on the mixture</w:t>
      </w:r>
      <w:r w:rsidRPr="00440EFE">
        <w:rPr>
          <w:rFonts w:eastAsia="MS Mincho"/>
        </w:rPr>
        <w:t>.  In the classification hierarchy</w:t>
      </w:r>
      <w:r w:rsidR="00F44068">
        <w:rPr>
          <w:rFonts w:eastAsia="MS Mincho"/>
        </w:rPr>
        <w:t>,</w:t>
      </w:r>
      <w:r w:rsidRPr="00440EFE">
        <w:rPr>
          <w:rFonts w:eastAsia="MS Mincho"/>
        </w:rPr>
        <w:t xml:space="preserve"> it offers a method of last resort in cases where there is an absence of appropriate in vivo or in vitro data.</w:t>
      </w:r>
    </w:p>
    <w:p w14:paraId="0B51DE5F" w14:textId="009408EE" w:rsidR="00A361BE" w:rsidRPr="00644135" w:rsidRDefault="00795203" w:rsidP="00644135">
      <w:pPr>
        <w:pStyle w:val="SingleTxtG"/>
        <w:numPr>
          <w:ilvl w:val="0"/>
          <w:numId w:val="16"/>
        </w:numPr>
        <w:ind w:left="1134" w:firstLine="0"/>
        <w:rPr>
          <w:rFonts w:eastAsia="MS Mincho"/>
        </w:rPr>
      </w:pPr>
      <w:r w:rsidRPr="00644135">
        <w:rPr>
          <w:rFonts w:eastAsia="MS Mincho"/>
        </w:rPr>
        <w:t xml:space="preserve">The </w:t>
      </w:r>
      <w:r w:rsidR="00440EFE" w:rsidRPr="00644135">
        <w:rPr>
          <w:rFonts w:eastAsia="MS Mincho"/>
        </w:rPr>
        <w:t xml:space="preserve">global move away from animal testing </w:t>
      </w:r>
      <w:r w:rsidRPr="00644135">
        <w:rPr>
          <w:rFonts w:eastAsia="MS Mincho"/>
        </w:rPr>
        <w:t xml:space="preserve">discourages </w:t>
      </w:r>
      <w:r w:rsidR="00440EFE" w:rsidRPr="00644135">
        <w:rPr>
          <w:rFonts w:eastAsia="MS Mincho"/>
        </w:rPr>
        <w:t xml:space="preserve">the generation of new in vivo studies for eye effects.  </w:t>
      </w:r>
    </w:p>
    <w:p w14:paraId="61493B34" w14:textId="0F6A5FE2" w:rsidR="00440EFE" w:rsidRPr="00644135" w:rsidRDefault="00440EFE" w:rsidP="00644135">
      <w:pPr>
        <w:pStyle w:val="SingleTxtG"/>
        <w:numPr>
          <w:ilvl w:val="0"/>
          <w:numId w:val="16"/>
        </w:numPr>
        <w:ind w:left="1134" w:firstLine="0"/>
        <w:rPr>
          <w:rFonts w:eastAsia="MS Mincho"/>
        </w:rPr>
      </w:pPr>
      <w:r w:rsidRPr="00644135">
        <w:rPr>
          <w:rFonts w:eastAsia="MS Mincho"/>
        </w:rPr>
        <w:t>Alternative in vitro methodologies for eye effects</w:t>
      </w:r>
      <w:r w:rsidR="00AE046A" w:rsidRPr="00644135">
        <w:t xml:space="preserve"> </w:t>
      </w:r>
      <w:r w:rsidR="00AE046A" w:rsidRPr="00644135">
        <w:rPr>
          <w:rFonts w:eastAsia="MS Mincho"/>
        </w:rPr>
        <w:t>have been validated according to OECD criteria. However, predictivity of irritancy potential compared to existing animal or human data is not yet satisfactory</w:t>
      </w:r>
      <w:r w:rsidRPr="00644135">
        <w:rPr>
          <w:rFonts w:eastAsia="MS Mincho"/>
        </w:rPr>
        <w:t xml:space="preserve"> to provide reliable hazard classification. Despite recent progresses (i.e. revision of OECD TG 438), these methods are </w:t>
      </w:r>
      <w:r w:rsidR="00F44068" w:rsidRPr="00644135">
        <w:rPr>
          <w:rFonts w:eastAsia="MS Mincho"/>
        </w:rPr>
        <w:t xml:space="preserve">frequently </w:t>
      </w:r>
      <w:r w:rsidRPr="00644135">
        <w:rPr>
          <w:rFonts w:eastAsia="MS Mincho"/>
        </w:rPr>
        <w:t xml:space="preserve">not yet accepted by competent authorities.  Similarly, </w:t>
      </w:r>
      <w:r w:rsidR="00A361BE" w:rsidRPr="00644135">
        <w:rPr>
          <w:rFonts w:eastAsia="MS Mincho"/>
        </w:rPr>
        <w:t xml:space="preserve">use of bridging principles and </w:t>
      </w:r>
      <w:r w:rsidRPr="00644135">
        <w:rPr>
          <w:rFonts w:eastAsia="MS Mincho"/>
        </w:rPr>
        <w:t xml:space="preserve">weight-of-evidence/expert judgement is hindered by a limited availability of suitable data.  </w:t>
      </w:r>
    </w:p>
    <w:p w14:paraId="10339FE7" w14:textId="094683DC" w:rsidR="00440EFE" w:rsidRPr="00644135" w:rsidRDefault="00440EFE" w:rsidP="00644135">
      <w:pPr>
        <w:pStyle w:val="SingleTxtG"/>
        <w:numPr>
          <w:ilvl w:val="0"/>
          <w:numId w:val="16"/>
        </w:numPr>
        <w:ind w:left="1134" w:firstLine="0"/>
        <w:rPr>
          <w:rFonts w:eastAsia="MS Mincho"/>
        </w:rPr>
      </w:pPr>
      <w:r w:rsidRPr="00644135">
        <w:rPr>
          <w:rFonts w:eastAsia="MS Mincho"/>
        </w:rPr>
        <w:t>Therefore, the additivity method is a highly practical</w:t>
      </w:r>
      <w:r w:rsidR="00A361BE" w:rsidRPr="00644135">
        <w:rPr>
          <w:rFonts w:eastAsia="MS Mincho"/>
        </w:rPr>
        <w:t xml:space="preserve"> and </w:t>
      </w:r>
      <w:r w:rsidRPr="00644135">
        <w:rPr>
          <w:rFonts w:eastAsia="MS Mincho"/>
        </w:rPr>
        <w:t xml:space="preserve">widely accepted method to derive a classification for the eye irritation/serious eye damage hazard class for products. </w:t>
      </w:r>
      <w:r w:rsidR="004845AC" w:rsidRPr="00644135">
        <w:rPr>
          <w:rFonts w:eastAsia="MS Mincho"/>
        </w:rPr>
        <w:t>Additivity</w:t>
      </w:r>
      <w:r w:rsidRPr="00644135">
        <w:rPr>
          <w:rFonts w:eastAsia="MS Mincho"/>
        </w:rPr>
        <w:t xml:space="preserve"> should be used as a last resort in the tiered approach (Section 1.3.2.3.1), </w:t>
      </w:r>
      <w:r w:rsidR="004845AC" w:rsidRPr="00644135">
        <w:rPr>
          <w:rFonts w:eastAsia="MS Mincho"/>
        </w:rPr>
        <w:t xml:space="preserve">however, </w:t>
      </w:r>
      <w:r w:rsidRPr="00644135">
        <w:rPr>
          <w:rFonts w:eastAsia="MS Mincho"/>
        </w:rPr>
        <w:t xml:space="preserve">due to the above </w:t>
      </w:r>
      <w:r w:rsidR="004845AC" w:rsidRPr="00644135">
        <w:rPr>
          <w:rFonts w:eastAsia="MS Mincho"/>
        </w:rPr>
        <w:t>challenges</w:t>
      </w:r>
      <w:r w:rsidR="0076297C" w:rsidRPr="00644135">
        <w:rPr>
          <w:rFonts w:eastAsia="MS Mincho"/>
        </w:rPr>
        <w:t>,</w:t>
      </w:r>
      <w:r w:rsidRPr="00644135">
        <w:rPr>
          <w:rFonts w:eastAsia="MS Mincho"/>
        </w:rPr>
        <w:t xml:space="preserve"> </w:t>
      </w:r>
      <w:r w:rsidR="004845AC" w:rsidRPr="00644135">
        <w:rPr>
          <w:rFonts w:eastAsia="MS Mincho"/>
        </w:rPr>
        <w:t>it</w:t>
      </w:r>
      <w:r w:rsidRPr="00644135">
        <w:rPr>
          <w:rFonts w:eastAsia="MS Mincho"/>
        </w:rPr>
        <w:t xml:space="preserve"> has become mainstream.</w:t>
      </w:r>
    </w:p>
    <w:p w14:paraId="450053F9" w14:textId="649DCB2F" w:rsidR="00A361BE" w:rsidRPr="00644135" w:rsidRDefault="00440EFE" w:rsidP="00644135">
      <w:pPr>
        <w:pStyle w:val="SingleTxtG"/>
        <w:numPr>
          <w:ilvl w:val="0"/>
          <w:numId w:val="16"/>
        </w:numPr>
        <w:ind w:left="1134" w:firstLine="0"/>
        <w:rPr>
          <w:rFonts w:eastAsia="MS Mincho"/>
        </w:rPr>
      </w:pPr>
      <w:r w:rsidRPr="00644135">
        <w:rPr>
          <w:rFonts w:eastAsia="MS Mincho"/>
        </w:rPr>
        <w:t xml:space="preserve">In recent years, a body of evidence has emerged </w:t>
      </w:r>
      <w:r w:rsidR="00A361BE" w:rsidRPr="00644135">
        <w:rPr>
          <w:rFonts w:eastAsia="MS Mincho"/>
        </w:rPr>
        <w:t xml:space="preserve">pointing at a potential over-classification for serious eye damage Cat.1 when using the additivity approach </w:t>
      </w:r>
      <w:r w:rsidR="0004156C" w:rsidRPr="00644135">
        <w:rPr>
          <w:rFonts w:eastAsia="MS Mincho"/>
        </w:rPr>
        <w:t>for</w:t>
      </w:r>
      <w:r w:rsidR="00A361BE" w:rsidRPr="00644135">
        <w:rPr>
          <w:rFonts w:eastAsia="MS Mincho"/>
        </w:rPr>
        <w:t xml:space="preserve"> mixtures</w:t>
      </w:r>
      <w:r w:rsidR="008B161A" w:rsidRPr="00644135">
        <w:rPr>
          <w:rFonts w:eastAsia="MS Mincho"/>
        </w:rPr>
        <w:t>; this conservatism seems to be mainly driven by the low cut off value/concentration limit applied for ingredients classified for Category 1 Eye Damage (see Annex I for further details)</w:t>
      </w:r>
      <w:r w:rsidR="00A361BE" w:rsidRPr="00644135">
        <w:rPr>
          <w:rFonts w:eastAsia="MS Mincho"/>
        </w:rPr>
        <w:t>:</w:t>
      </w:r>
    </w:p>
    <w:p w14:paraId="3C63B1D6" w14:textId="3C9CB7DF" w:rsidR="008B161A" w:rsidRPr="004845AC" w:rsidRDefault="00440EFE" w:rsidP="00644135">
      <w:pPr>
        <w:pStyle w:val="Bullet1G"/>
        <w:rPr>
          <w:rFonts w:eastAsia="MS Mincho"/>
        </w:rPr>
      </w:pPr>
      <w:r w:rsidRPr="004845AC">
        <w:rPr>
          <w:rFonts w:eastAsia="MS Mincho"/>
          <w:u w:val="single"/>
        </w:rPr>
        <w:t>from scientific literature</w:t>
      </w:r>
      <w:r w:rsidRPr="004845AC">
        <w:rPr>
          <w:rFonts w:eastAsia="MS Mincho"/>
        </w:rPr>
        <w:t xml:space="preserve"> </w:t>
      </w:r>
      <w:r w:rsidR="008B161A" w:rsidRPr="004845AC">
        <w:rPr>
          <w:rFonts w:eastAsia="MS Mincho"/>
        </w:rPr>
        <w:t xml:space="preserve">- </w:t>
      </w:r>
      <w:r w:rsidRPr="004845AC">
        <w:rPr>
          <w:rFonts w:eastAsia="MS Mincho"/>
        </w:rPr>
        <w:t>Corvaro et Al</w:t>
      </w:r>
      <w:r w:rsidR="00A361BE" w:rsidRPr="004845AC">
        <w:rPr>
          <w:rFonts w:eastAsia="MS Mincho"/>
        </w:rPr>
        <w:t>.</w:t>
      </w:r>
      <w:r w:rsidRPr="004845AC">
        <w:rPr>
          <w:rFonts w:eastAsia="MS Mincho"/>
        </w:rPr>
        <w:t>, 2017</w:t>
      </w:r>
      <w:r w:rsidR="00A361BE" w:rsidRPr="004845AC">
        <w:rPr>
          <w:rFonts w:eastAsia="MS Mincho"/>
        </w:rPr>
        <w:t xml:space="preserve"> </w:t>
      </w:r>
      <w:r w:rsidR="008B161A" w:rsidRPr="004845AC">
        <w:rPr>
          <w:rFonts w:eastAsia="MS Mincho"/>
        </w:rPr>
        <w:t>compared</w:t>
      </w:r>
      <w:r w:rsidR="008B161A">
        <w:rPr>
          <w:rFonts w:eastAsia="MS Mincho"/>
        </w:rPr>
        <w:t xml:space="preserve"> for </w:t>
      </w:r>
      <w:r w:rsidR="008B161A" w:rsidRPr="002A7DD0">
        <w:rPr>
          <w:rFonts w:eastAsia="MS Mincho"/>
        </w:rPr>
        <w:t>over 200 agrochemical mixtures</w:t>
      </w:r>
      <w:r w:rsidR="008B161A" w:rsidRPr="004845AC">
        <w:rPr>
          <w:rFonts w:eastAsia="MS Mincho"/>
        </w:rPr>
        <w:t xml:space="preserve"> the GHS classification based on animal</w:t>
      </w:r>
      <w:r w:rsidR="008B161A">
        <w:rPr>
          <w:rFonts w:eastAsia="MS Mincho"/>
        </w:rPr>
        <w:t xml:space="preserve"> test </w:t>
      </w:r>
      <w:r w:rsidR="008B161A" w:rsidRPr="004845AC">
        <w:rPr>
          <w:rFonts w:eastAsia="MS Mincho"/>
        </w:rPr>
        <w:t>and tha</w:t>
      </w:r>
      <w:r w:rsidR="00107CCC">
        <w:rPr>
          <w:rFonts w:eastAsia="MS Mincho"/>
        </w:rPr>
        <w:t xml:space="preserve">t </w:t>
      </w:r>
      <w:r w:rsidR="008B161A" w:rsidRPr="004845AC">
        <w:rPr>
          <w:rFonts w:eastAsia="MS Mincho"/>
        </w:rPr>
        <w:t>obtained with the GHS additivity test</w:t>
      </w:r>
      <w:r w:rsidR="008B161A">
        <w:rPr>
          <w:rFonts w:eastAsia="MS Mincho"/>
        </w:rPr>
        <w:t xml:space="preserve">. In the case of eye effects, additivity </w:t>
      </w:r>
      <w:r w:rsidR="00107CCC">
        <w:rPr>
          <w:rFonts w:eastAsia="MS Mincho"/>
        </w:rPr>
        <w:t xml:space="preserve">method </w:t>
      </w:r>
      <w:r w:rsidR="008B161A">
        <w:rPr>
          <w:rFonts w:eastAsia="MS Mincho"/>
        </w:rPr>
        <w:t xml:space="preserve">overestimated classification </w:t>
      </w:r>
      <w:r w:rsidR="00107CCC">
        <w:rPr>
          <w:rFonts w:eastAsia="MS Mincho"/>
        </w:rPr>
        <w:t xml:space="preserve">with respect animal data </w:t>
      </w:r>
      <w:r w:rsidR="008B161A">
        <w:rPr>
          <w:rFonts w:eastAsia="MS Mincho"/>
        </w:rPr>
        <w:t xml:space="preserve">(i.e. yielding a more severe GHS category) in 41.4% of cases. </w:t>
      </w:r>
      <w:r w:rsidR="00AE046A">
        <w:rPr>
          <w:rFonts w:eastAsia="MS Mincho"/>
        </w:rPr>
        <w:t>Similar results were also found by Cazelle et al. 2014 in the domain of cleaning products and detergents.</w:t>
      </w:r>
    </w:p>
    <w:p w14:paraId="0DA62C47" w14:textId="1DEEC188" w:rsidR="008B161A" w:rsidRDefault="008B161A" w:rsidP="00644135">
      <w:pPr>
        <w:pStyle w:val="Bullet1G"/>
        <w:rPr>
          <w:rFonts w:eastAsia="MS Mincho"/>
        </w:rPr>
      </w:pPr>
      <w:r>
        <w:rPr>
          <w:rFonts w:eastAsia="MS Mincho"/>
          <w:u w:val="single"/>
        </w:rPr>
        <w:t>f</w:t>
      </w:r>
      <w:r w:rsidRPr="004845AC">
        <w:rPr>
          <w:rFonts w:eastAsia="MS Mincho"/>
          <w:u w:val="single"/>
        </w:rPr>
        <w:t xml:space="preserve">rom </w:t>
      </w:r>
      <w:r>
        <w:rPr>
          <w:rFonts w:eastAsia="MS Mincho"/>
          <w:u w:val="single"/>
        </w:rPr>
        <w:t xml:space="preserve">accidental </w:t>
      </w:r>
      <w:r w:rsidRPr="004845AC">
        <w:rPr>
          <w:rFonts w:eastAsia="MS Mincho"/>
          <w:u w:val="single"/>
        </w:rPr>
        <w:t>human exposure</w:t>
      </w:r>
      <w:r>
        <w:rPr>
          <w:rFonts w:eastAsia="MS Mincho"/>
        </w:rPr>
        <w:t xml:space="preserve"> – </w:t>
      </w:r>
      <w:r w:rsidR="00644135">
        <w:rPr>
          <w:rFonts w:eastAsia="MS Mincho"/>
        </w:rPr>
        <w:t xml:space="preserve">Two </w:t>
      </w:r>
      <w:r w:rsidRPr="008B161A">
        <w:rPr>
          <w:rFonts w:eastAsia="MS Mincho"/>
        </w:rPr>
        <w:t xml:space="preserve">large Poison Control </w:t>
      </w:r>
      <w:r w:rsidR="00880562" w:rsidRPr="008B161A">
        <w:rPr>
          <w:rFonts w:eastAsia="MS Mincho"/>
        </w:rPr>
        <w:t>Centre</w:t>
      </w:r>
      <w:r w:rsidRPr="008B161A">
        <w:rPr>
          <w:rFonts w:eastAsia="MS Mincho"/>
        </w:rPr>
        <w:t xml:space="preserve"> studies across Europe on accidental human exposures to detergents and cleaning products (</w:t>
      </w:r>
      <w:proofErr w:type="spellStart"/>
      <w:r w:rsidRPr="008B161A">
        <w:rPr>
          <w:rFonts w:eastAsia="MS Mincho"/>
        </w:rPr>
        <w:t>Hermanns</w:t>
      </w:r>
      <w:proofErr w:type="spellEnd"/>
      <w:r w:rsidRPr="008B161A">
        <w:rPr>
          <w:rFonts w:eastAsia="MS Mincho"/>
        </w:rPr>
        <w:t xml:space="preserve">-Clausen et al, 2015; </w:t>
      </w:r>
      <w:proofErr w:type="spellStart"/>
      <w:r w:rsidRPr="008B161A">
        <w:rPr>
          <w:rFonts w:eastAsia="MS Mincho"/>
        </w:rPr>
        <w:t>Färber</w:t>
      </w:r>
      <w:proofErr w:type="spellEnd"/>
      <w:r w:rsidRPr="008B161A">
        <w:rPr>
          <w:rFonts w:eastAsia="MS Mincho"/>
        </w:rPr>
        <w:t xml:space="preserve"> et al, 2016), reported that out of a total of 1,235 exposures, only two (2) cases of residual eye damage after 21 days had been recorded. In a further assessment of the cases </w:t>
      </w:r>
      <w:r>
        <w:rPr>
          <w:rFonts w:eastAsia="MS Mincho"/>
        </w:rPr>
        <w:t>above</w:t>
      </w:r>
      <w:r w:rsidRPr="008B161A">
        <w:rPr>
          <w:rFonts w:eastAsia="MS Mincho"/>
        </w:rPr>
        <w:t xml:space="preserve"> (</w:t>
      </w:r>
      <w:r>
        <w:rPr>
          <w:rFonts w:eastAsia="MS Mincho"/>
        </w:rPr>
        <w:t>see also</w:t>
      </w:r>
      <w:r w:rsidRPr="00C80466">
        <w:t xml:space="preserve"> </w:t>
      </w:r>
      <w:r w:rsidR="00644135">
        <w:t>informal document INF.14 (35</w:t>
      </w:r>
      <w:r w:rsidR="00644135" w:rsidRPr="00644135">
        <w:rPr>
          <w:vertAlign w:val="superscript"/>
        </w:rPr>
        <w:t>th</w:t>
      </w:r>
      <w:r w:rsidR="00644135">
        <w:t xml:space="preserve"> session)</w:t>
      </w:r>
      <w:r w:rsidRPr="008B161A">
        <w:rPr>
          <w:rFonts w:eastAsia="MS Mincho"/>
        </w:rPr>
        <w:t xml:space="preserve">) it was found that of the 82% of all products that would be classified as Category 1 by the </w:t>
      </w:r>
      <w:r>
        <w:rPr>
          <w:rFonts w:eastAsia="MS Mincho"/>
        </w:rPr>
        <w:t>additivity</w:t>
      </w:r>
      <w:r w:rsidRPr="008B161A">
        <w:rPr>
          <w:rFonts w:eastAsia="MS Mincho"/>
        </w:rPr>
        <w:t xml:space="preserve"> method, nearly 90% resulted in no or minor symptoms following accidental human exposure.</w:t>
      </w:r>
    </w:p>
    <w:p w14:paraId="5A57BD14" w14:textId="746788B9" w:rsidR="0004629E" w:rsidRPr="004845AC" w:rsidRDefault="0004629E" w:rsidP="00644135">
      <w:pPr>
        <w:pStyle w:val="SingleTxtG"/>
        <w:numPr>
          <w:ilvl w:val="0"/>
          <w:numId w:val="16"/>
        </w:numPr>
        <w:ind w:left="1134" w:firstLine="0"/>
        <w:rPr>
          <w:rFonts w:eastAsia="MS Mincho"/>
        </w:rPr>
      </w:pPr>
      <w:r w:rsidRPr="004845AC">
        <w:rPr>
          <w:rFonts w:eastAsia="MS Mincho"/>
        </w:rPr>
        <w:t xml:space="preserve">When it is proportionate, classification information helps to clearly and effectively communicate the nature of hazard to product users and inform medical decision making in the event of accidental exposure.  There is now evidence that over classification </w:t>
      </w:r>
      <w:r w:rsidR="00107CCC">
        <w:rPr>
          <w:rFonts w:eastAsia="MS Mincho"/>
        </w:rPr>
        <w:t>might</w:t>
      </w:r>
      <w:r w:rsidRPr="004845AC">
        <w:rPr>
          <w:rFonts w:eastAsia="MS Mincho"/>
        </w:rPr>
        <w:t xml:space="preserve"> </w:t>
      </w:r>
      <w:r w:rsidR="00107CCC" w:rsidRPr="004845AC">
        <w:rPr>
          <w:rFonts w:eastAsia="MS Mincho"/>
        </w:rPr>
        <w:t>occur</w:t>
      </w:r>
      <w:r w:rsidR="00107CCC">
        <w:rPr>
          <w:rFonts w:eastAsia="MS Mincho"/>
        </w:rPr>
        <w:t>,</w:t>
      </w:r>
      <w:r w:rsidRPr="004845AC">
        <w:rPr>
          <w:rFonts w:eastAsia="MS Mincho"/>
        </w:rPr>
        <w:t xml:space="preserve"> causing confusion amongst the </w:t>
      </w:r>
      <w:r w:rsidR="00AE5240">
        <w:rPr>
          <w:rFonts w:eastAsia="MS Mincho"/>
        </w:rPr>
        <w:t>target audience</w:t>
      </w:r>
      <w:r w:rsidRPr="004845AC">
        <w:rPr>
          <w:rFonts w:eastAsia="MS Mincho"/>
        </w:rPr>
        <w:t xml:space="preserve"> and potentially diluting the effectiveness of GHS.</w:t>
      </w:r>
    </w:p>
    <w:p w14:paraId="7B91B7D2" w14:textId="20CE60E2" w:rsidR="00440EFE" w:rsidRPr="00440EFE" w:rsidRDefault="00440EFE" w:rsidP="00644135">
      <w:pPr>
        <w:pStyle w:val="SingleTxtG"/>
        <w:numPr>
          <w:ilvl w:val="0"/>
          <w:numId w:val="16"/>
        </w:numPr>
        <w:ind w:left="1134" w:firstLine="0"/>
        <w:rPr>
          <w:rFonts w:eastAsia="MS Mincho"/>
        </w:rPr>
      </w:pPr>
      <w:r w:rsidRPr="00440EFE">
        <w:rPr>
          <w:rFonts w:eastAsia="MS Mincho"/>
        </w:rPr>
        <w:t xml:space="preserve">Whilst a conservative approach is of merit in an absence of </w:t>
      </w:r>
      <w:r w:rsidR="004845AC" w:rsidRPr="00440EFE">
        <w:rPr>
          <w:rFonts w:eastAsia="MS Mincho"/>
        </w:rPr>
        <w:t>data</w:t>
      </w:r>
      <w:r w:rsidR="004845AC">
        <w:rPr>
          <w:rFonts w:eastAsia="MS Mincho"/>
        </w:rPr>
        <w:t>;</w:t>
      </w:r>
      <w:r w:rsidR="004845AC" w:rsidRPr="00440EFE">
        <w:rPr>
          <w:rFonts w:eastAsia="MS Mincho"/>
        </w:rPr>
        <w:t xml:space="preserve"> the</w:t>
      </w:r>
      <w:r w:rsidRPr="00440EFE">
        <w:rPr>
          <w:rFonts w:eastAsia="MS Mincho"/>
        </w:rPr>
        <w:t xml:space="preserve"> unintended consequences of </w:t>
      </w:r>
      <w:r w:rsidR="00C80466">
        <w:rPr>
          <w:rFonts w:eastAsia="MS Mincho"/>
        </w:rPr>
        <w:t xml:space="preserve">an overconservative classification and labelling </w:t>
      </w:r>
      <w:r w:rsidRPr="00440EFE">
        <w:rPr>
          <w:rFonts w:eastAsia="MS Mincho"/>
        </w:rPr>
        <w:t xml:space="preserve">approach are </w:t>
      </w:r>
      <w:r w:rsidR="00C80466">
        <w:rPr>
          <w:rFonts w:eastAsia="MS Mincho"/>
        </w:rPr>
        <w:t>the following</w:t>
      </w:r>
      <w:r>
        <w:rPr>
          <w:rFonts w:eastAsia="MS Mincho"/>
        </w:rPr>
        <w:t>:</w:t>
      </w:r>
    </w:p>
    <w:p w14:paraId="2045DE70" w14:textId="169805CA" w:rsidR="00440EFE" w:rsidRPr="00440EFE" w:rsidRDefault="00AD3AAD" w:rsidP="00644135">
      <w:pPr>
        <w:pStyle w:val="Bullet1G"/>
        <w:rPr>
          <w:rFonts w:eastAsia="MS Mincho"/>
        </w:rPr>
      </w:pPr>
      <w:r>
        <w:rPr>
          <w:rFonts w:eastAsia="MS Mincho"/>
          <w:u w:val="single"/>
        </w:rPr>
        <w:t>Lack of differentiation in</w:t>
      </w:r>
      <w:r w:rsidR="00440EFE" w:rsidRPr="004845AC">
        <w:rPr>
          <w:rFonts w:eastAsia="MS Mincho"/>
          <w:u w:val="single"/>
        </w:rPr>
        <w:t xml:space="preserve"> hazard communication</w:t>
      </w:r>
      <w:r w:rsidR="00440EFE">
        <w:rPr>
          <w:rFonts w:eastAsia="MS Mincho"/>
        </w:rPr>
        <w:t xml:space="preserve"> - </w:t>
      </w:r>
      <w:r w:rsidR="004845AC">
        <w:rPr>
          <w:rFonts w:eastAsia="MS Mincho"/>
        </w:rPr>
        <w:t>A</w:t>
      </w:r>
      <w:r w:rsidR="00440EFE" w:rsidRPr="00440EFE">
        <w:rPr>
          <w:rFonts w:eastAsia="MS Mincho"/>
        </w:rPr>
        <w:t xml:space="preserve">pplication of the </w:t>
      </w:r>
      <w:r w:rsidR="00C80466">
        <w:rPr>
          <w:rFonts w:eastAsia="MS Mincho"/>
        </w:rPr>
        <w:t>additivity</w:t>
      </w:r>
      <w:r w:rsidR="00C80466" w:rsidRPr="00440EFE">
        <w:rPr>
          <w:rFonts w:eastAsia="MS Mincho"/>
        </w:rPr>
        <w:t xml:space="preserve"> </w:t>
      </w:r>
      <w:r w:rsidR="00440EFE" w:rsidRPr="00440EFE">
        <w:rPr>
          <w:rFonts w:eastAsia="MS Mincho"/>
        </w:rPr>
        <w:t xml:space="preserve">method has resulted in </w:t>
      </w:r>
      <w:r w:rsidR="00440EFE">
        <w:rPr>
          <w:rFonts w:eastAsia="MS Mincho"/>
        </w:rPr>
        <w:t xml:space="preserve">mild </w:t>
      </w:r>
      <w:r w:rsidR="00440EFE" w:rsidRPr="00440EFE">
        <w:rPr>
          <w:rFonts w:eastAsia="MS Mincho"/>
        </w:rPr>
        <w:t>products such hand dishwash detergent</w:t>
      </w:r>
      <w:r w:rsidR="00C80466">
        <w:rPr>
          <w:rFonts w:eastAsia="MS Mincho"/>
        </w:rPr>
        <w:t>s</w:t>
      </w:r>
      <w:r w:rsidR="00440EFE" w:rsidRPr="00440EFE">
        <w:rPr>
          <w:rFonts w:eastAsia="MS Mincho"/>
        </w:rPr>
        <w:t xml:space="preserve"> (designed for frequent household use</w:t>
      </w:r>
      <w:r w:rsidR="00440EFE">
        <w:rPr>
          <w:rFonts w:eastAsia="MS Mincho"/>
        </w:rPr>
        <w:t xml:space="preserve"> without any special precaution</w:t>
      </w:r>
      <w:r w:rsidR="00440EFE" w:rsidRPr="00440EFE">
        <w:rPr>
          <w:rFonts w:eastAsia="MS Mincho"/>
        </w:rPr>
        <w:t xml:space="preserve">) </w:t>
      </w:r>
      <w:r w:rsidR="00107CCC">
        <w:rPr>
          <w:rFonts w:eastAsia="MS Mincho"/>
        </w:rPr>
        <w:t>to</w:t>
      </w:r>
      <w:r w:rsidR="00440EFE" w:rsidRPr="00440EFE">
        <w:rPr>
          <w:rFonts w:eastAsia="MS Mincho"/>
        </w:rPr>
        <w:t xml:space="preserve"> carry the same hazard </w:t>
      </w:r>
      <w:r w:rsidR="00107CCC">
        <w:rPr>
          <w:rFonts w:eastAsia="MS Mincho"/>
        </w:rPr>
        <w:t xml:space="preserve">classification and </w:t>
      </w:r>
      <w:r w:rsidR="0004629E">
        <w:rPr>
          <w:rFonts w:eastAsia="MS Mincho"/>
        </w:rPr>
        <w:t>pictogram</w:t>
      </w:r>
      <w:r w:rsidR="0004629E" w:rsidRPr="00440EFE">
        <w:rPr>
          <w:rFonts w:eastAsia="MS Mincho"/>
        </w:rPr>
        <w:t xml:space="preserve"> </w:t>
      </w:r>
      <w:r w:rsidR="00440EFE" w:rsidRPr="00440EFE">
        <w:rPr>
          <w:rFonts w:eastAsia="MS Mincho"/>
        </w:rPr>
        <w:t xml:space="preserve">as a </w:t>
      </w:r>
      <w:r w:rsidR="00C80466">
        <w:rPr>
          <w:rFonts w:eastAsia="MS Mincho"/>
        </w:rPr>
        <w:t>truly corrosive to skin</w:t>
      </w:r>
      <w:r w:rsidR="00C80466" w:rsidRPr="00440EFE">
        <w:rPr>
          <w:rFonts w:eastAsia="MS Mincho"/>
        </w:rPr>
        <w:t xml:space="preserve"> </w:t>
      </w:r>
      <w:r w:rsidR="00107CCC">
        <w:rPr>
          <w:rFonts w:eastAsia="MS Mincho"/>
        </w:rPr>
        <w:t xml:space="preserve">and eyes </w:t>
      </w:r>
      <w:r w:rsidR="00440EFE" w:rsidRPr="00440EFE">
        <w:rPr>
          <w:rFonts w:eastAsia="MS Mincho"/>
        </w:rPr>
        <w:t>drain cleaner (designed for occasional use</w:t>
      </w:r>
      <w:r w:rsidR="00C80466">
        <w:rPr>
          <w:rFonts w:eastAsia="MS Mincho"/>
        </w:rPr>
        <w:t xml:space="preserve"> with several precautions</w:t>
      </w:r>
      <w:r w:rsidR="00440EFE" w:rsidRPr="00440EFE">
        <w:rPr>
          <w:rFonts w:eastAsia="MS Mincho"/>
        </w:rPr>
        <w:t xml:space="preserve">).  </w:t>
      </w:r>
    </w:p>
    <w:p w14:paraId="33733EF0" w14:textId="7D2F8E56" w:rsidR="00440EFE" w:rsidRPr="00440EFE" w:rsidRDefault="00B912A2" w:rsidP="00644135">
      <w:pPr>
        <w:pStyle w:val="Bullet1G"/>
        <w:rPr>
          <w:rFonts w:eastAsia="MS Mincho"/>
        </w:rPr>
      </w:pPr>
      <w:r>
        <w:rPr>
          <w:rFonts w:eastAsia="MS Mincho"/>
          <w:u w:val="single"/>
        </w:rPr>
        <w:t>GHS users</w:t>
      </w:r>
      <w:r w:rsidR="00C80466" w:rsidRPr="004845AC">
        <w:rPr>
          <w:rFonts w:eastAsia="MS Mincho"/>
          <w:u w:val="single"/>
        </w:rPr>
        <w:t xml:space="preserve"> confusion</w:t>
      </w:r>
      <w:r w:rsidR="00C80466">
        <w:rPr>
          <w:rFonts w:eastAsia="MS Mincho"/>
        </w:rPr>
        <w:t xml:space="preserve"> - C</w:t>
      </w:r>
      <w:r w:rsidR="00440EFE" w:rsidRPr="00440EFE">
        <w:rPr>
          <w:rFonts w:eastAsia="MS Mincho"/>
        </w:rPr>
        <w:t>onsumer feedback (</w:t>
      </w:r>
      <w:r w:rsidR="00C80466">
        <w:rPr>
          <w:rFonts w:eastAsia="MS Mincho"/>
        </w:rPr>
        <w:t xml:space="preserve">see </w:t>
      </w:r>
      <w:r w:rsidR="00644135">
        <w:rPr>
          <w:rFonts w:eastAsia="MS Mincho"/>
        </w:rPr>
        <w:t>informal document INF.5 (34</w:t>
      </w:r>
      <w:r w:rsidR="00644135" w:rsidRPr="00644135">
        <w:rPr>
          <w:rFonts w:eastAsia="MS Mincho"/>
          <w:vertAlign w:val="superscript"/>
        </w:rPr>
        <w:t>th</w:t>
      </w:r>
      <w:r w:rsidR="00644135">
        <w:rPr>
          <w:rFonts w:eastAsia="MS Mincho"/>
        </w:rPr>
        <w:t xml:space="preserve"> session)</w:t>
      </w:r>
      <w:r w:rsidR="00C80466" w:rsidRPr="004845AC">
        <w:rPr>
          <w:rFonts w:eastAsia="MS Mincho"/>
          <w:color w:val="17365D" w:themeColor="text2" w:themeShade="BF"/>
          <w:u w:val="single"/>
        </w:rPr>
        <w:t xml:space="preserve"> </w:t>
      </w:r>
      <w:proofErr w:type="gramStart"/>
      <w:r w:rsidR="00C80466">
        <w:rPr>
          <w:rFonts w:eastAsia="MS Mincho"/>
        </w:rPr>
        <w:t>and also</w:t>
      </w:r>
      <w:proofErr w:type="gramEnd"/>
      <w:r w:rsidR="00C80466">
        <w:rPr>
          <w:rFonts w:eastAsia="MS Mincho"/>
        </w:rPr>
        <w:t xml:space="preserve"> </w:t>
      </w:r>
      <w:proofErr w:type="spellStart"/>
      <w:r w:rsidR="00440EFE" w:rsidRPr="00440EFE">
        <w:rPr>
          <w:rFonts w:eastAsia="MS Mincho"/>
        </w:rPr>
        <w:t>Baert</w:t>
      </w:r>
      <w:proofErr w:type="spellEnd"/>
      <w:r w:rsidR="00440EFE" w:rsidRPr="00440EFE">
        <w:rPr>
          <w:rFonts w:eastAsia="MS Mincho"/>
        </w:rPr>
        <w:t xml:space="preserve">, W., et Al, 2017) suggests that the wider public struggle to </w:t>
      </w:r>
      <w:r w:rsidR="00440EFE" w:rsidRPr="00440EFE">
        <w:rPr>
          <w:rFonts w:eastAsia="MS Mincho"/>
        </w:rPr>
        <w:lastRenderedPageBreak/>
        <w:t xml:space="preserve">differentiate the actual hazard posed by the product they are using based on the GHS pictogram. </w:t>
      </w:r>
    </w:p>
    <w:p w14:paraId="67424544" w14:textId="40DCE2EC" w:rsidR="00440EFE" w:rsidRPr="00440EFE" w:rsidRDefault="00C80466" w:rsidP="00644135">
      <w:pPr>
        <w:pStyle w:val="Bullet1G"/>
        <w:rPr>
          <w:rFonts w:eastAsia="MS Mincho"/>
        </w:rPr>
      </w:pPr>
      <w:r w:rsidRPr="004845AC">
        <w:rPr>
          <w:rFonts w:eastAsia="MS Mincho"/>
          <w:u w:val="single"/>
        </w:rPr>
        <w:t>Emergency</w:t>
      </w:r>
      <w:r w:rsidR="0004629E" w:rsidRPr="004845AC">
        <w:rPr>
          <w:rFonts w:eastAsia="MS Mincho"/>
          <w:u w:val="single"/>
        </w:rPr>
        <w:t xml:space="preserve"> services difficulties</w:t>
      </w:r>
      <w:r w:rsidR="0004629E">
        <w:rPr>
          <w:rFonts w:eastAsia="MS Mincho"/>
        </w:rPr>
        <w:t xml:space="preserve"> -</w:t>
      </w:r>
      <w:r>
        <w:rPr>
          <w:rFonts w:eastAsia="MS Mincho"/>
        </w:rPr>
        <w:t xml:space="preserve"> </w:t>
      </w:r>
      <w:r w:rsidR="0004629E">
        <w:rPr>
          <w:rFonts w:eastAsia="MS Mincho"/>
        </w:rPr>
        <w:t>O</w:t>
      </w:r>
      <w:r w:rsidR="00440EFE" w:rsidRPr="00440EFE">
        <w:rPr>
          <w:rFonts w:eastAsia="MS Mincho"/>
        </w:rPr>
        <w:t xml:space="preserve">ver classification </w:t>
      </w:r>
      <w:r w:rsidR="0004629E">
        <w:rPr>
          <w:rFonts w:eastAsia="MS Mincho"/>
        </w:rPr>
        <w:t xml:space="preserve">might </w:t>
      </w:r>
      <w:r w:rsidR="00440EFE" w:rsidRPr="00440EFE">
        <w:rPr>
          <w:rFonts w:eastAsia="MS Mincho"/>
        </w:rPr>
        <w:t>interfere</w:t>
      </w:r>
      <w:r w:rsidR="0004629E">
        <w:rPr>
          <w:rFonts w:eastAsia="MS Mincho"/>
        </w:rPr>
        <w:t xml:space="preserve"> </w:t>
      </w:r>
      <w:r w:rsidR="00440EFE" w:rsidRPr="00440EFE">
        <w:rPr>
          <w:rFonts w:eastAsia="MS Mincho"/>
        </w:rPr>
        <w:t>with effective medical intervention when accidental exposure occurs</w:t>
      </w:r>
      <w:r w:rsidR="00107CCC">
        <w:rPr>
          <w:rFonts w:eastAsia="MS Mincho"/>
        </w:rPr>
        <w:t>:</w:t>
      </w:r>
      <w:r w:rsidR="00440EFE" w:rsidRPr="00440EFE">
        <w:rPr>
          <w:rFonts w:eastAsia="MS Mincho"/>
        </w:rPr>
        <w:t xml:space="preserve">  </w:t>
      </w:r>
      <w:r w:rsidR="0004629E">
        <w:rPr>
          <w:rFonts w:eastAsia="MS Mincho"/>
        </w:rPr>
        <w:t>m</w:t>
      </w:r>
      <w:r w:rsidR="00440EFE" w:rsidRPr="00440EFE">
        <w:rPr>
          <w:rFonts w:eastAsia="MS Mincho"/>
        </w:rPr>
        <w:t>isinforming medical practitioners</w:t>
      </w:r>
      <w:r w:rsidR="00107CCC">
        <w:rPr>
          <w:rFonts w:eastAsia="MS Mincho"/>
        </w:rPr>
        <w:t xml:space="preserve"> can lead </w:t>
      </w:r>
      <w:r w:rsidR="00440EFE" w:rsidRPr="00440EFE">
        <w:rPr>
          <w:rFonts w:eastAsia="MS Mincho"/>
        </w:rPr>
        <w:t xml:space="preserve">to over-prescription of curative measures, consuming resources and subjecting the patient to unnecessary treatment.    </w:t>
      </w:r>
    </w:p>
    <w:p w14:paraId="2F9526AF" w14:textId="2549A63B" w:rsidR="00440EFE" w:rsidRPr="004845AC" w:rsidRDefault="00644135" w:rsidP="00644135">
      <w:pPr>
        <w:pStyle w:val="HChG"/>
        <w:rPr>
          <w:rFonts w:eastAsia="MS Mincho"/>
        </w:rPr>
      </w:pPr>
      <w:r>
        <w:rPr>
          <w:rFonts w:eastAsia="MS Mincho"/>
        </w:rPr>
        <w:tab/>
      </w:r>
      <w:r>
        <w:rPr>
          <w:rFonts w:eastAsia="MS Mincho"/>
        </w:rPr>
        <w:tab/>
      </w:r>
      <w:r w:rsidR="0004629E" w:rsidRPr="004845AC">
        <w:rPr>
          <w:rFonts w:eastAsia="MS Mincho"/>
        </w:rPr>
        <w:t>Propos</w:t>
      </w:r>
      <w:r w:rsidR="00D4140A">
        <w:rPr>
          <w:rFonts w:eastAsia="MS Mincho"/>
        </w:rPr>
        <w:t>al</w:t>
      </w:r>
    </w:p>
    <w:p w14:paraId="774CB753" w14:textId="0ECC5E7C" w:rsidR="00766856" w:rsidRPr="00644135" w:rsidRDefault="00766856" w:rsidP="00644135">
      <w:pPr>
        <w:pStyle w:val="SingleTxtG"/>
        <w:numPr>
          <w:ilvl w:val="0"/>
          <w:numId w:val="16"/>
        </w:numPr>
        <w:ind w:left="1134" w:firstLine="0"/>
        <w:rPr>
          <w:rFonts w:eastAsia="MS Mincho"/>
        </w:rPr>
      </w:pPr>
      <w:proofErr w:type="gramStart"/>
      <w:r w:rsidRPr="00644135">
        <w:rPr>
          <w:rFonts w:eastAsia="MS Mincho"/>
        </w:rPr>
        <w:t>In order to</w:t>
      </w:r>
      <w:proofErr w:type="gramEnd"/>
      <w:r w:rsidRPr="00644135">
        <w:rPr>
          <w:rFonts w:eastAsia="MS Mincho"/>
        </w:rPr>
        <w:t xml:space="preserve"> tackle the issues described above, it is proposed to insert a new work item for biennium 2019-2020</w:t>
      </w:r>
      <w:r w:rsidR="00D4140A" w:rsidRPr="00644135">
        <w:rPr>
          <w:rFonts w:eastAsia="MS Mincho"/>
        </w:rPr>
        <w:t xml:space="preserve"> consisting of a p</w:t>
      </w:r>
      <w:r w:rsidRPr="00644135">
        <w:rPr>
          <w:rFonts w:eastAsia="MS Mincho"/>
        </w:rPr>
        <w:t>otential review of cut off value/concentration limit of 3% for mixtures classification as Serious Eye Damage Cat.1</w:t>
      </w:r>
      <w:r w:rsidR="00D4140A" w:rsidRPr="00644135">
        <w:rPr>
          <w:rFonts w:eastAsia="MS Mincho"/>
        </w:rPr>
        <w:t xml:space="preserve"> based on the latest scientific evidence</w:t>
      </w:r>
      <w:r w:rsidR="005576A6" w:rsidRPr="00644135">
        <w:rPr>
          <w:rFonts w:eastAsia="MS Mincho"/>
        </w:rPr>
        <w:t>.</w:t>
      </w:r>
    </w:p>
    <w:p w14:paraId="24AC28A2" w14:textId="5A87542F" w:rsidR="00766856" w:rsidRPr="00644135" w:rsidRDefault="00766856" w:rsidP="00644135">
      <w:pPr>
        <w:pStyle w:val="SingleTxtG"/>
        <w:numPr>
          <w:ilvl w:val="0"/>
          <w:numId w:val="16"/>
        </w:numPr>
        <w:ind w:left="1134" w:firstLine="0"/>
        <w:rPr>
          <w:rFonts w:eastAsia="MS Mincho"/>
        </w:rPr>
      </w:pPr>
      <w:r w:rsidRPr="00644135">
        <w:rPr>
          <w:rFonts w:eastAsia="MS Mincho"/>
        </w:rPr>
        <w:t>This activity could be carried out by a</w:t>
      </w:r>
      <w:r w:rsidR="00EE5440" w:rsidRPr="00644135">
        <w:rPr>
          <w:rFonts w:eastAsia="MS Mincho"/>
        </w:rPr>
        <w:t>n existing informal</w:t>
      </w:r>
      <w:r w:rsidRPr="00644135">
        <w:rPr>
          <w:rFonts w:eastAsia="MS Mincho"/>
        </w:rPr>
        <w:t xml:space="preserve"> working group </w:t>
      </w:r>
      <w:r w:rsidR="00706FD1" w:rsidRPr="00644135">
        <w:rPr>
          <w:rFonts w:eastAsia="MS Mincho"/>
        </w:rPr>
        <w:t>or, alternatively</w:t>
      </w:r>
      <w:r w:rsidR="00A30AAE" w:rsidRPr="00644135">
        <w:rPr>
          <w:rFonts w:eastAsia="MS Mincho"/>
        </w:rPr>
        <w:t>,</w:t>
      </w:r>
      <w:r w:rsidR="00706FD1" w:rsidRPr="00644135">
        <w:rPr>
          <w:rFonts w:eastAsia="MS Mincho"/>
        </w:rPr>
        <w:t xml:space="preserve"> </w:t>
      </w:r>
      <w:r w:rsidR="00A30AAE" w:rsidRPr="00644135">
        <w:rPr>
          <w:rFonts w:eastAsia="MS Mincho"/>
        </w:rPr>
        <w:t xml:space="preserve">by a newly established </w:t>
      </w:r>
      <w:r w:rsidR="004E0788" w:rsidRPr="00644135">
        <w:rPr>
          <w:rFonts w:eastAsia="MS Mincho"/>
        </w:rPr>
        <w:t xml:space="preserve">informal </w:t>
      </w:r>
      <w:r w:rsidR="00A30AAE" w:rsidRPr="00644135">
        <w:rPr>
          <w:rFonts w:eastAsia="MS Mincho"/>
        </w:rPr>
        <w:t xml:space="preserve">working group </w:t>
      </w:r>
      <w:r w:rsidRPr="00644135">
        <w:rPr>
          <w:rFonts w:eastAsia="MS Mincho"/>
        </w:rPr>
        <w:t>with the necessary expertise</w:t>
      </w:r>
      <w:r w:rsidR="004E0788" w:rsidRPr="00644135">
        <w:rPr>
          <w:rFonts w:eastAsia="MS Mincho"/>
        </w:rPr>
        <w:t>; this working group</w:t>
      </w:r>
      <w:r w:rsidRPr="00644135">
        <w:rPr>
          <w:rFonts w:eastAsia="MS Mincho"/>
        </w:rPr>
        <w:t xml:space="preserve"> </w:t>
      </w:r>
      <w:r w:rsidR="005576A6" w:rsidRPr="00644135">
        <w:rPr>
          <w:rFonts w:eastAsia="MS Mincho"/>
        </w:rPr>
        <w:t xml:space="preserve">should </w:t>
      </w:r>
      <w:r w:rsidRPr="00644135">
        <w:rPr>
          <w:rFonts w:eastAsia="MS Mincho"/>
        </w:rPr>
        <w:t xml:space="preserve">report back to the </w:t>
      </w:r>
      <w:r w:rsidR="00D4140A" w:rsidRPr="00644135">
        <w:rPr>
          <w:rFonts w:eastAsia="MS Mincho"/>
        </w:rPr>
        <w:t>Sub-Committee. Following, draft Terms of reference are proposed:</w:t>
      </w:r>
    </w:p>
    <w:p w14:paraId="4E7CF0DB" w14:textId="008E58E4" w:rsidR="0004629E" w:rsidRDefault="0076297C" w:rsidP="00644135">
      <w:pPr>
        <w:pStyle w:val="Bullet1G"/>
        <w:rPr>
          <w:rFonts w:eastAsia="MS Mincho"/>
        </w:rPr>
      </w:pPr>
      <w:r>
        <w:rPr>
          <w:rFonts w:eastAsia="MS Mincho"/>
        </w:rPr>
        <w:t>B</w:t>
      </w:r>
      <w:r w:rsidR="00440EFE" w:rsidRPr="00440EFE">
        <w:rPr>
          <w:rFonts w:eastAsia="MS Mincho"/>
        </w:rPr>
        <w:t xml:space="preserve">ased on new </w:t>
      </w:r>
      <w:r w:rsidR="0004629E">
        <w:rPr>
          <w:rFonts w:eastAsia="MS Mincho"/>
        </w:rPr>
        <w:t xml:space="preserve">available </w:t>
      </w:r>
      <w:r w:rsidR="00440EFE" w:rsidRPr="00440EFE">
        <w:rPr>
          <w:rFonts w:eastAsia="MS Mincho"/>
        </w:rPr>
        <w:t xml:space="preserve">scientific </w:t>
      </w:r>
      <w:r w:rsidR="0004629E">
        <w:rPr>
          <w:rFonts w:eastAsia="MS Mincho"/>
        </w:rPr>
        <w:t>evidence,</w:t>
      </w:r>
      <w:r w:rsidR="00440EFE" w:rsidRPr="00440EFE">
        <w:rPr>
          <w:rFonts w:eastAsia="MS Mincho"/>
        </w:rPr>
        <w:t xml:space="preserve"> it is </w:t>
      </w:r>
      <w:r w:rsidR="00107CCC">
        <w:rPr>
          <w:rFonts w:eastAsia="MS Mincho"/>
        </w:rPr>
        <w:t xml:space="preserve">considered appropriate </w:t>
      </w:r>
      <w:r w:rsidR="0004629E">
        <w:rPr>
          <w:rFonts w:eastAsia="MS Mincho"/>
        </w:rPr>
        <w:t xml:space="preserve">to </w:t>
      </w:r>
      <w:r w:rsidR="00440EFE" w:rsidRPr="00440EFE">
        <w:rPr>
          <w:rFonts w:eastAsia="MS Mincho"/>
        </w:rPr>
        <w:t xml:space="preserve">conduct a review of the GHS cut off value/concentration limit of 3% for </w:t>
      </w:r>
      <w:r w:rsidR="00107CCC">
        <w:rPr>
          <w:rFonts w:eastAsia="MS Mincho"/>
        </w:rPr>
        <w:t xml:space="preserve">mixtures classification as </w:t>
      </w:r>
      <w:r w:rsidR="00440EFE" w:rsidRPr="00440EFE">
        <w:rPr>
          <w:rFonts w:eastAsia="MS Mincho"/>
        </w:rPr>
        <w:t>serious eye damage category 1</w:t>
      </w:r>
      <w:r w:rsidR="00085475">
        <w:rPr>
          <w:rFonts w:eastAsia="MS Mincho"/>
        </w:rPr>
        <w:t xml:space="preserve"> (review of science)</w:t>
      </w:r>
      <w:r w:rsidR="00107CCC">
        <w:rPr>
          <w:rFonts w:eastAsia="MS Mincho"/>
        </w:rPr>
        <w:t>.</w:t>
      </w:r>
    </w:p>
    <w:p w14:paraId="085FE82D" w14:textId="05E63ED7" w:rsidR="0004629E" w:rsidRDefault="00440EFE" w:rsidP="00644135">
      <w:pPr>
        <w:pStyle w:val="Bullet1G"/>
        <w:rPr>
          <w:rFonts w:eastAsia="MS Mincho"/>
        </w:rPr>
      </w:pPr>
      <w:r w:rsidRPr="0004629E">
        <w:rPr>
          <w:rFonts w:eastAsia="MS Mincho"/>
        </w:rPr>
        <w:t xml:space="preserve">Such a review </w:t>
      </w:r>
      <w:r w:rsidR="0004629E" w:rsidRPr="0004629E">
        <w:rPr>
          <w:rFonts w:eastAsia="MS Mincho"/>
        </w:rPr>
        <w:t>should be based on the latest scientific evidence and assess whether the cut off value/concentration limit of 3% for serious eye damage category 1 hazard is still fit for purpose</w:t>
      </w:r>
      <w:r w:rsidR="0076297C">
        <w:rPr>
          <w:rFonts w:eastAsia="MS Mincho"/>
        </w:rPr>
        <w:t xml:space="preserve">; if appropriate, the review </w:t>
      </w:r>
      <w:r w:rsidR="00107CCC">
        <w:rPr>
          <w:rFonts w:eastAsia="MS Mincho"/>
        </w:rPr>
        <w:t>could also</w:t>
      </w:r>
      <w:r w:rsidR="0076297C">
        <w:rPr>
          <w:rFonts w:eastAsia="MS Mincho"/>
        </w:rPr>
        <w:t xml:space="preserve"> recommend a new </w:t>
      </w:r>
      <w:r w:rsidR="0076297C" w:rsidRPr="0004629E">
        <w:rPr>
          <w:rFonts w:eastAsia="MS Mincho"/>
        </w:rPr>
        <w:t>cut off value/concentration limit for serious eye damage category</w:t>
      </w:r>
      <w:r w:rsidR="00107CCC">
        <w:rPr>
          <w:rFonts w:eastAsia="MS Mincho"/>
        </w:rPr>
        <w:t xml:space="preserve"> 1</w:t>
      </w:r>
      <w:r w:rsidR="0076297C">
        <w:rPr>
          <w:rFonts w:eastAsia="MS Mincho"/>
        </w:rPr>
        <w:t>.</w:t>
      </w:r>
    </w:p>
    <w:p w14:paraId="0B3C4113" w14:textId="01444472" w:rsidR="009435A6" w:rsidRPr="00644135" w:rsidRDefault="0004629E" w:rsidP="00644135">
      <w:pPr>
        <w:pStyle w:val="SingleTxtG"/>
        <w:numPr>
          <w:ilvl w:val="0"/>
          <w:numId w:val="16"/>
        </w:numPr>
        <w:ind w:left="1134" w:firstLine="0"/>
        <w:rPr>
          <w:rFonts w:eastAsia="MS Mincho"/>
        </w:rPr>
      </w:pPr>
      <w:r w:rsidRPr="00644135">
        <w:rPr>
          <w:rFonts w:eastAsia="MS Mincho"/>
        </w:rPr>
        <w:t>The outcome</w:t>
      </w:r>
      <w:r w:rsidR="005576A6" w:rsidRPr="00644135">
        <w:rPr>
          <w:rFonts w:eastAsia="MS Mincho"/>
        </w:rPr>
        <w:t xml:space="preserve"> of this new work item</w:t>
      </w:r>
      <w:r w:rsidRPr="00644135">
        <w:rPr>
          <w:rFonts w:eastAsia="MS Mincho"/>
        </w:rPr>
        <w:t xml:space="preserve"> </w:t>
      </w:r>
      <w:r w:rsidR="00440EFE" w:rsidRPr="00644135">
        <w:rPr>
          <w:rFonts w:eastAsia="MS Mincho"/>
        </w:rPr>
        <w:t xml:space="preserve">will help ensure that the </w:t>
      </w:r>
      <w:r w:rsidR="006C2CEE" w:rsidRPr="00644135">
        <w:rPr>
          <w:rFonts w:eastAsia="MS Mincho"/>
        </w:rPr>
        <w:t xml:space="preserve">additivity </w:t>
      </w:r>
      <w:r w:rsidR="00440EFE" w:rsidRPr="00644135">
        <w:rPr>
          <w:rFonts w:eastAsia="MS Mincho"/>
        </w:rPr>
        <w:t xml:space="preserve">method for eye effects remains a robust, effective and cost-efficient tool to produce proportionate hazard classifications that support hazard communication and safe use of chemicals within </w:t>
      </w:r>
      <w:r w:rsidR="0043517E" w:rsidRPr="00644135">
        <w:rPr>
          <w:rFonts w:eastAsia="MS Mincho"/>
        </w:rPr>
        <w:t>all target audience of the GHS</w:t>
      </w:r>
      <w:r w:rsidR="00440EFE" w:rsidRPr="00644135">
        <w:rPr>
          <w:rFonts w:eastAsia="MS Mincho"/>
        </w:rPr>
        <w:t xml:space="preserve">.  </w:t>
      </w:r>
    </w:p>
    <w:p w14:paraId="63809217" w14:textId="104E7396" w:rsidR="005576A6" w:rsidRPr="00644135" w:rsidRDefault="005576A6" w:rsidP="00644135">
      <w:pPr>
        <w:pStyle w:val="SingleTxtG"/>
        <w:numPr>
          <w:ilvl w:val="0"/>
          <w:numId w:val="16"/>
        </w:numPr>
        <w:ind w:left="1134" w:firstLine="0"/>
        <w:rPr>
          <w:rFonts w:eastAsia="MS Mincho"/>
        </w:rPr>
      </w:pPr>
      <w:proofErr w:type="gramStart"/>
      <w:r w:rsidRPr="00644135">
        <w:rPr>
          <w:rFonts w:eastAsia="MS Mincho"/>
        </w:rPr>
        <w:t>A number of</w:t>
      </w:r>
      <w:proofErr w:type="gramEnd"/>
      <w:r w:rsidRPr="00644135">
        <w:rPr>
          <w:rFonts w:eastAsia="MS Mincho"/>
        </w:rPr>
        <w:t xml:space="preserve"> Sub</w:t>
      </w:r>
      <w:r w:rsidR="001F67DF" w:rsidRPr="00644135">
        <w:rPr>
          <w:rFonts w:eastAsia="MS Mincho"/>
        </w:rPr>
        <w:t>-</w:t>
      </w:r>
      <w:r w:rsidRPr="00644135">
        <w:rPr>
          <w:rFonts w:eastAsia="MS Mincho"/>
        </w:rPr>
        <w:t>Committee members and Non-Governmental Organizations expressed a general support in principle of setting up a working group</w:t>
      </w:r>
      <w:r w:rsidR="00761358" w:rsidRPr="00644135">
        <w:rPr>
          <w:rFonts w:eastAsia="MS Mincho"/>
        </w:rPr>
        <w:t xml:space="preserve"> and participating in its activities.</w:t>
      </w:r>
    </w:p>
    <w:p w14:paraId="07F9C9F7" w14:textId="3DFD9F04" w:rsidR="00440EFE" w:rsidRPr="00644135" w:rsidRDefault="005576A6" w:rsidP="00644135">
      <w:pPr>
        <w:pStyle w:val="SingleTxtG"/>
        <w:numPr>
          <w:ilvl w:val="0"/>
          <w:numId w:val="16"/>
        </w:numPr>
        <w:ind w:left="1134" w:firstLine="0"/>
        <w:rPr>
          <w:rFonts w:eastAsia="MS Mincho"/>
        </w:rPr>
      </w:pPr>
      <w:r w:rsidRPr="00644135">
        <w:rPr>
          <w:rFonts w:eastAsia="MS Mincho"/>
        </w:rPr>
        <w:t>T</w:t>
      </w:r>
      <w:r w:rsidR="00B14DA4" w:rsidRPr="00644135">
        <w:rPr>
          <w:rFonts w:eastAsia="MS Mincho"/>
        </w:rPr>
        <w:t xml:space="preserve">he Sub-Committee </w:t>
      </w:r>
      <w:r w:rsidRPr="00644135">
        <w:rPr>
          <w:rFonts w:eastAsia="MS Mincho"/>
        </w:rPr>
        <w:t xml:space="preserve">is invited </w:t>
      </w:r>
      <w:r w:rsidR="00B14DA4" w:rsidRPr="00644135">
        <w:rPr>
          <w:rFonts w:eastAsia="MS Mincho"/>
        </w:rPr>
        <w:t xml:space="preserve">to consider the insertion of the above action item </w:t>
      </w:r>
      <w:r w:rsidR="00107CCC" w:rsidRPr="00644135">
        <w:rPr>
          <w:rFonts w:eastAsia="MS Mincho"/>
        </w:rPr>
        <w:t xml:space="preserve">in the next </w:t>
      </w:r>
      <w:r w:rsidR="001F67DF" w:rsidRPr="00644135">
        <w:rPr>
          <w:rFonts w:eastAsia="MS Mincho"/>
        </w:rPr>
        <w:t>biennium program</w:t>
      </w:r>
      <w:r w:rsidR="009435A6" w:rsidRPr="00644135">
        <w:rPr>
          <w:rFonts w:eastAsia="MS Mincho"/>
        </w:rPr>
        <w:t xml:space="preserve"> of work</w:t>
      </w:r>
      <w:r w:rsidR="00B14DA4" w:rsidRPr="00644135">
        <w:rPr>
          <w:rFonts w:eastAsia="MS Mincho"/>
        </w:rPr>
        <w:t>.</w:t>
      </w:r>
    </w:p>
    <w:p w14:paraId="034E87AA" w14:textId="2110EBB5" w:rsidR="0076297C" w:rsidRDefault="0076297C">
      <w:pPr>
        <w:suppressAutoHyphens w:val="0"/>
        <w:spacing w:line="240" w:lineRule="auto"/>
        <w:rPr>
          <w:rFonts w:eastAsia="MS Mincho"/>
        </w:rPr>
      </w:pPr>
      <w:r>
        <w:rPr>
          <w:rFonts w:eastAsia="MS Mincho"/>
        </w:rPr>
        <w:br w:type="page"/>
      </w:r>
    </w:p>
    <w:p w14:paraId="14C5B9A9" w14:textId="379CEF29" w:rsidR="00440EFE" w:rsidRPr="004845AC" w:rsidRDefault="00440EFE" w:rsidP="00644135">
      <w:pPr>
        <w:pStyle w:val="HChG"/>
        <w:rPr>
          <w:rFonts w:eastAsia="MS Mincho"/>
        </w:rPr>
      </w:pPr>
      <w:r w:rsidRPr="004845AC">
        <w:rPr>
          <w:rFonts w:eastAsia="MS Mincho"/>
        </w:rPr>
        <w:lastRenderedPageBreak/>
        <w:t>A</w:t>
      </w:r>
      <w:r w:rsidR="00644135">
        <w:rPr>
          <w:rFonts w:eastAsia="MS Mincho"/>
        </w:rPr>
        <w:t>nnex</w:t>
      </w:r>
    </w:p>
    <w:p w14:paraId="460D1A9F" w14:textId="188DE092" w:rsidR="0076297C" w:rsidRPr="004845AC" w:rsidRDefault="00644135" w:rsidP="00644135">
      <w:pPr>
        <w:pStyle w:val="H1G"/>
        <w:rPr>
          <w:rFonts w:eastAsia="MS Mincho"/>
        </w:rPr>
      </w:pPr>
      <w:r>
        <w:rPr>
          <w:rFonts w:eastAsia="MS Mincho"/>
        </w:rPr>
        <w:tab/>
      </w:r>
      <w:r>
        <w:rPr>
          <w:rFonts w:eastAsia="MS Mincho"/>
        </w:rPr>
        <w:tab/>
      </w:r>
      <w:r w:rsidR="00B445B2">
        <w:rPr>
          <w:rFonts w:eastAsia="MS Mincho"/>
        </w:rPr>
        <w:t>Scientific evidence on a p</w:t>
      </w:r>
      <w:r w:rsidR="00B14DA4" w:rsidRPr="004845AC">
        <w:rPr>
          <w:rFonts w:eastAsia="MS Mincho"/>
        </w:rPr>
        <w:t>otential c</w:t>
      </w:r>
      <w:r w:rsidR="0076297C" w:rsidRPr="004845AC">
        <w:rPr>
          <w:rFonts w:eastAsia="MS Mincho"/>
        </w:rPr>
        <w:t xml:space="preserve">onservatism of the GHS </w:t>
      </w:r>
      <w:r w:rsidR="00B14DA4" w:rsidRPr="004845AC">
        <w:rPr>
          <w:rFonts w:eastAsia="MS Mincho"/>
        </w:rPr>
        <w:t>additivity</w:t>
      </w:r>
      <w:r w:rsidR="0076297C" w:rsidRPr="004845AC">
        <w:rPr>
          <w:rFonts w:eastAsia="MS Mincho"/>
        </w:rPr>
        <w:t xml:space="preserve"> method</w:t>
      </w:r>
    </w:p>
    <w:p w14:paraId="794483C6" w14:textId="778AAB78" w:rsidR="0076297C" w:rsidRPr="00440EFE" w:rsidRDefault="0076297C" w:rsidP="0076297C">
      <w:pPr>
        <w:pStyle w:val="SingleTxtG"/>
        <w:spacing w:before="120"/>
        <w:rPr>
          <w:rFonts w:eastAsia="MS Mincho"/>
        </w:rPr>
      </w:pPr>
      <w:r w:rsidRPr="00440EFE">
        <w:rPr>
          <w:rFonts w:eastAsia="MS Mincho"/>
        </w:rPr>
        <w:t xml:space="preserve">In the EU, prior to the introduction of the CLP Regulation, the classification of chemical mixtures was governed by the Dangerous Preparations Directive (DPD). The conventional calculation method was the primary determinant for classification - unless overruled by data. This was largely equivalent to the GHS calculation method, with the significant difference that the generic concentration limit of ingredients classified for serious eye damage (R41 - equivalent to Category 1) was 10%, while under GHS this was lowered to 3%. As the GHS threshold for Category 1 is more than 3 times lower than in the prior EU legislation, significant numbers of mixtures on the market before the transition to GHS have been reclassified as Category 1 for eye effects. </w:t>
      </w:r>
    </w:p>
    <w:p w14:paraId="55015F1A" w14:textId="23A3F0B1" w:rsidR="0076297C" w:rsidRPr="00440EFE" w:rsidRDefault="00B14DA4" w:rsidP="0076297C">
      <w:pPr>
        <w:pStyle w:val="SingleTxtG"/>
        <w:spacing w:before="120"/>
        <w:rPr>
          <w:rFonts w:eastAsia="MS Mincho"/>
        </w:rPr>
      </w:pPr>
      <w:r w:rsidRPr="00440EFE">
        <w:rPr>
          <w:rFonts w:eastAsia="MS Mincho"/>
        </w:rPr>
        <w:t xml:space="preserve">Corvaro et al. (2017), </w:t>
      </w:r>
      <w:r w:rsidRPr="002A7DD0">
        <w:rPr>
          <w:rFonts w:eastAsia="MS Mincho"/>
        </w:rPr>
        <w:t>compared</w:t>
      </w:r>
      <w:r>
        <w:rPr>
          <w:rFonts w:eastAsia="MS Mincho"/>
        </w:rPr>
        <w:t xml:space="preserve"> for </w:t>
      </w:r>
      <w:r w:rsidRPr="002A7DD0">
        <w:rPr>
          <w:rFonts w:eastAsia="MS Mincho"/>
        </w:rPr>
        <w:t>over 200 agrochemical mixtures</w:t>
      </w:r>
      <w:r>
        <w:rPr>
          <w:rFonts w:eastAsia="MS Mincho"/>
        </w:rPr>
        <w:t>,</w:t>
      </w:r>
      <w:r w:rsidRPr="002A7DD0">
        <w:rPr>
          <w:rFonts w:eastAsia="MS Mincho"/>
        </w:rPr>
        <w:t xml:space="preserve"> the GHS classification based on animal</w:t>
      </w:r>
      <w:r>
        <w:rPr>
          <w:rFonts w:eastAsia="MS Mincho"/>
        </w:rPr>
        <w:t xml:space="preserve"> test </w:t>
      </w:r>
      <w:r w:rsidRPr="002A7DD0">
        <w:rPr>
          <w:rFonts w:eastAsia="MS Mincho"/>
        </w:rPr>
        <w:t>and tha</w:t>
      </w:r>
      <w:r>
        <w:rPr>
          <w:rFonts w:eastAsia="MS Mincho"/>
        </w:rPr>
        <w:t xml:space="preserve">t </w:t>
      </w:r>
      <w:r w:rsidRPr="002A7DD0">
        <w:rPr>
          <w:rFonts w:eastAsia="MS Mincho"/>
        </w:rPr>
        <w:t>obtained with the GHS additivity test</w:t>
      </w:r>
      <w:r>
        <w:rPr>
          <w:rFonts w:eastAsia="MS Mincho"/>
        </w:rPr>
        <w:t xml:space="preserve">. In the case of eye effects, additivity method overestimated classification with respect animal data (i.e. yielding a more severe GHS category) in 41.4% of cases. In addition, it was </w:t>
      </w:r>
      <w:r w:rsidR="0076297C" w:rsidRPr="00440EFE">
        <w:rPr>
          <w:rFonts w:eastAsia="MS Mincho"/>
        </w:rPr>
        <w:t xml:space="preserve">found that among 85 preparations that would be classified as Category 1 for eye hazard using the GHS calculation method, only 27% were </w:t>
      </w:r>
      <w:proofErr w:type="gramStart"/>
      <w:r w:rsidR="0076297C" w:rsidRPr="00440EFE">
        <w:rPr>
          <w:rFonts w:eastAsia="MS Mincho"/>
        </w:rPr>
        <w:t>actually classified</w:t>
      </w:r>
      <w:proofErr w:type="gramEnd"/>
      <w:r w:rsidR="0076297C" w:rsidRPr="00440EFE">
        <w:rPr>
          <w:rFonts w:eastAsia="MS Mincho"/>
        </w:rPr>
        <w:t xml:space="preserve"> for serious eye damage based on the standard in vivo test data. This highlights not only a high level of conservatism but also significant over-prediction of hazard when using the GHS calculation method versus in vivo data. </w:t>
      </w:r>
    </w:p>
    <w:p w14:paraId="0F44D61E" w14:textId="6355887F" w:rsidR="0076297C" w:rsidRPr="00440EFE" w:rsidRDefault="0076297C" w:rsidP="0076297C">
      <w:pPr>
        <w:pStyle w:val="SingleTxtG"/>
        <w:spacing w:before="120"/>
        <w:rPr>
          <w:rFonts w:eastAsia="MS Mincho"/>
        </w:rPr>
      </w:pPr>
      <w:r w:rsidRPr="00440EFE">
        <w:rPr>
          <w:rFonts w:eastAsia="MS Mincho"/>
        </w:rPr>
        <w:t xml:space="preserve">Two large Poison Control </w:t>
      </w:r>
      <w:proofErr w:type="spellStart"/>
      <w:r w:rsidRPr="00440EFE">
        <w:rPr>
          <w:rFonts w:eastAsia="MS Mincho"/>
        </w:rPr>
        <w:t>Center</w:t>
      </w:r>
      <w:proofErr w:type="spellEnd"/>
      <w:r w:rsidRPr="00440EFE">
        <w:rPr>
          <w:rFonts w:eastAsia="MS Mincho"/>
        </w:rPr>
        <w:t xml:space="preserve"> studies across Europe on accidental human exposures to detergents and cleaning products (</w:t>
      </w:r>
      <w:proofErr w:type="spellStart"/>
      <w:r w:rsidRPr="00440EFE">
        <w:rPr>
          <w:rFonts w:eastAsia="MS Mincho"/>
        </w:rPr>
        <w:t>Hermanns</w:t>
      </w:r>
      <w:proofErr w:type="spellEnd"/>
      <w:r w:rsidRPr="00440EFE">
        <w:rPr>
          <w:rFonts w:eastAsia="MS Mincho"/>
        </w:rPr>
        <w:t xml:space="preserve">-Clausen et al, 2015; </w:t>
      </w:r>
      <w:proofErr w:type="spellStart"/>
      <w:r w:rsidRPr="00440EFE">
        <w:rPr>
          <w:rFonts w:eastAsia="MS Mincho"/>
        </w:rPr>
        <w:t>Färber</w:t>
      </w:r>
      <w:proofErr w:type="spellEnd"/>
      <w:r w:rsidRPr="00440EFE">
        <w:rPr>
          <w:rFonts w:eastAsia="MS Mincho"/>
        </w:rPr>
        <w:t xml:space="preserve"> et al, 2016), reported that out of a total of 1,235 exposures, only two (2) cases of residual eye damage after 21 days had been recorded. This data demonstrates that severe eye damage occurs infrequently within this product category. In a further assessment of the cases with products where the regulatory classification could be retrieved (Scazzola et al., manuscript in preparation) it was found that of the 82% of all detergent and </w:t>
      </w:r>
      <w:proofErr w:type="gramStart"/>
      <w:r w:rsidRPr="00440EFE">
        <w:rPr>
          <w:rFonts w:eastAsia="MS Mincho"/>
        </w:rPr>
        <w:t>cleaning  products</w:t>
      </w:r>
      <w:proofErr w:type="gramEnd"/>
      <w:r w:rsidRPr="00440EFE">
        <w:rPr>
          <w:rFonts w:eastAsia="MS Mincho"/>
        </w:rPr>
        <w:t xml:space="preserve"> that would be classified as Category 1 by the calculation method, nearly 90% resulted in no or minor symptoms following accidental human exposure. The calculation method was shown to be a poorer predictor of medically relevant effects (moderate severity or worse) than classification based on all available information (weight-of-evidence and expert judgment). Thus, symptoms observed following accidental human exposures to detergents and cleaning products indicate that Category 1 type effects (serious eye damage) occur extremely rarely, and that the calculation method is a poor predictor for moderate or severe effects.</w:t>
      </w:r>
    </w:p>
    <w:p w14:paraId="70396334" w14:textId="3E02E269" w:rsidR="00440EFE" w:rsidRPr="004845AC" w:rsidRDefault="00644135" w:rsidP="00644135">
      <w:pPr>
        <w:pStyle w:val="H1G"/>
        <w:rPr>
          <w:rFonts w:eastAsia="MS Mincho"/>
        </w:rPr>
      </w:pPr>
      <w:r>
        <w:rPr>
          <w:rFonts w:eastAsia="MS Mincho"/>
        </w:rPr>
        <w:tab/>
      </w:r>
      <w:r>
        <w:rPr>
          <w:rFonts w:eastAsia="MS Mincho"/>
        </w:rPr>
        <w:tab/>
      </w:r>
      <w:r w:rsidR="00B14DA4" w:rsidRPr="004845AC">
        <w:rPr>
          <w:rFonts w:eastAsia="MS Mincho"/>
        </w:rPr>
        <w:t>On availability of non-animal tests</w:t>
      </w:r>
    </w:p>
    <w:p w14:paraId="6F0AE374" w14:textId="48CAA108" w:rsidR="00440EFE" w:rsidRPr="00440EFE" w:rsidRDefault="00440EFE" w:rsidP="004845AC">
      <w:pPr>
        <w:pStyle w:val="SingleTxtG"/>
        <w:spacing w:before="120"/>
        <w:rPr>
          <w:rFonts w:eastAsia="MS Mincho"/>
        </w:rPr>
      </w:pPr>
      <w:r w:rsidRPr="00440EFE">
        <w:rPr>
          <w:rFonts w:eastAsia="MS Mincho"/>
        </w:rPr>
        <w:t xml:space="preserve">Several non-animal methods to assess eye irritation have been developed and validated over the past decade: OECD TG 438 (Isolated Chicken Eye - ICE test), OECD TG 437 (Bovine Corneal Opacity and Permeability - BCOP test), OECD TG 491 (Short time exposure - STE test), OECD TG 460 (Fluorescein Leakage - FL test), OECD TG 492 (Reconstructed human Cornea-like Epithelium - </w:t>
      </w:r>
      <w:proofErr w:type="spellStart"/>
      <w:r w:rsidRPr="00440EFE">
        <w:rPr>
          <w:rFonts w:eastAsia="MS Mincho"/>
        </w:rPr>
        <w:t>RhCE</w:t>
      </w:r>
      <w:proofErr w:type="spellEnd"/>
      <w:r w:rsidRPr="00440EFE">
        <w:rPr>
          <w:rFonts w:eastAsia="MS Mincho"/>
        </w:rPr>
        <w:t xml:space="preserve"> test). BCOP, ICE, STE and </w:t>
      </w:r>
      <w:proofErr w:type="spellStart"/>
      <w:r w:rsidRPr="00440EFE">
        <w:rPr>
          <w:rFonts w:eastAsia="MS Mincho"/>
        </w:rPr>
        <w:t>RhCE</w:t>
      </w:r>
      <w:proofErr w:type="spellEnd"/>
      <w:r w:rsidRPr="00440EFE">
        <w:rPr>
          <w:rFonts w:eastAsia="MS Mincho"/>
        </w:rPr>
        <w:t xml:space="preserve"> are validated to identify mixtures as “not classified”. However, currently none of the available animal alternative methods are accepted to conclusively support a Category 2 classification. Thus, for </w:t>
      </w:r>
      <w:proofErr w:type="gramStart"/>
      <w:r w:rsidRPr="00440EFE">
        <w:rPr>
          <w:rFonts w:eastAsia="MS Mincho"/>
        </w:rPr>
        <w:t>a majority of</w:t>
      </w:r>
      <w:proofErr w:type="gramEnd"/>
      <w:r w:rsidRPr="00440EFE">
        <w:rPr>
          <w:rFonts w:eastAsia="MS Mincho"/>
        </w:rPr>
        <w:t xml:space="preserve"> </w:t>
      </w:r>
      <w:r w:rsidR="00B14DA4">
        <w:rPr>
          <w:rFonts w:eastAsia="MS Mincho"/>
        </w:rPr>
        <w:t xml:space="preserve">mixtures for consumer use (including </w:t>
      </w:r>
      <w:r w:rsidR="001419AA">
        <w:rPr>
          <w:rFonts w:eastAsia="MS Mincho"/>
        </w:rPr>
        <w:t>detergents</w:t>
      </w:r>
      <w:r w:rsidR="00B14DA4">
        <w:rPr>
          <w:rFonts w:eastAsia="MS Mincho"/>
        </w:rPr>
        <w:t>)</w:t>
      </w:r>
      <w:r w:rsidRPr="00440EFE">
        <w:rPr>
          <w:rFonts w:eastAsia="MS Mincho"/>
        </w:rPr>
        <w:t xml:space="preserve">, for which the non-animal methods indicate eye irritation but no serious eye damage, the Category 2 classification cannot be determined based on the non-animal test data without a broader weight-of-evidence justification. </w:t>
      </w:r>
    </w:p>
    <w:p w14:paraId="0A10C157" w14:textId="21998AAE" w:rsidR="00440EFE" w:rsidRPr="004845AC" w:rsidRDefault="00644135" w:rsidP="00644135">
      <w:pPr>
        <w:pStyle w:val="H1G"/>
        <w:spacing w:before="240" w:after="120"/>
        <w:rPr>
          <w:rFonts w:eastAsia="MS Mincho"/>
        </w:rPr>
      </w:pPr>
      <w:r>
        <w:rPr>
          <w:rFonts w:eastAsia="MS Mincho"/>
        </w:rPr>
        <w:lastRenderedPageBreak/>
        <w:tab/>
      </w:r>
      <w:r>
        <w:rPr>
          <w:rFonts w:eastAsia="MS Mincho"/>
        </w:rPr>
        <w:tab/>
      </w:r>
      <w:r w:rsidR="00440EFE" w:rsidRPr="004845AC">
        <w:rPr>
          <w:rFonts w:eastAsia="MS Mincho"/>
        </w:rPr>
        <w:t>Negative implications of over-classification</w:t>
      </w:r>
    </w:p>
    <w:p w14:paraId="0AC8A18B" w14:textId="7051D871" w:rsidR="00440EFE" w:rsidRPr="00440EFE" w:rsidRDefault="00440EFE" w:rsidP="004845AC">
      <w:pPr>
        <w:pStyle w:val="SingleTxtG"/>
        <w:spacing w:before="120"/>
        <w:rPr>
          <w:rFonts w:eastAsia="MS Mincho"/>
        </w:rPr>
      </w:pPr>
      <w:r w:rsidRPr="00440EFE">
        <w:rPr>
          <w:rFonts w:eastAsia="MS Mincho"/>
        </w:rPr>
        <w:t xml:space="preserve">In a consultation with Poison Control </w:t>
      </w:r>
      <w:proofErr w:type="spellStart"/>
      <w:r w:rsidRPr="00440EFE">
        <w:rPr>
          <w:rFonts w:eastAsia="MS Mincho"/>
        </w:rPr>
        <w:t>Centers</w:t>
      </w:r>
      <w:proofErr w:type="spellEnd"/>
      <w:r w:rsidRPr="00440EFE">
        <w:rPr>
          <w:rFonts w:eastAsia="MS Mincho"/>
        </w:rPr>
        <w:t xml:space="preserve"> (May 2016, during the annual EAPCCT conference), representatives reported that they have observed confusion among patients about the meaning of the various on-pack pictograms – especially the corrosive pictogram. Indeed, the use of this pictogram has been extended to Category 1 eye irritants under GHS, and this impact is increased because a higher proportion of products is classified as Category 1 under GHS. This change prevents PCCs from determining whether a product is corrosive based only on presence of the pictogram. This hinders communication to the PCC and decision making within the PCC, delay treatment and could lead to over-treatment if no further information about the involved product is readily available. </w:t>
      </w:r>
    </w:p>
    <w:p w14:paraId="0AAC6D91" w14:textId="216CA436" w:rsidR="00440EFE" w:rsidRPr="00440EFE" w:rsidRDefault="00440EFE" w:rsidP="00644135">
      <w:pPr>
        <w:pStyle w:val="SingleTxtG"/>
        <w:spacing w:before="120"/>
        <w:rPr>
          <w:rFonts w:eastAsia="MS Mincho"/>
        </w:rPr>
      </w:pPr>
      <w:r w:rsidRPr="00440EFE">
        <w:rPr>
          <w:rFonts w:eastAsia="MS Mincho"/>
        </w:rPr>
        <w:t>Consumer research (</w:t>
      </w:r>
      <w:proofErr w:type="spellStart"/>
      <w:r w:rsidRPr="00440EFE">
        <w:rPr>
          <w:rFonts w:eastAsia="MS Mincho"/>
        </w:rPr>
        <w:t>SynapsesQuali</w:t>
      </w:r>
      <w:proofErr w:type="spellEnd"/>
      <w:r w:rsidRPr="00440EFE">
        <w:rPr>
          <w:rFonts w:eastAsia="MS Mincho"/>
        </w:rPr>
        <w:t xml:space="preserve">, 2016, </w:t>
      </w:r>
      <w:proofErr w:type="spellStart"/>
      <w:r w:rsidRPr="00440EFE">
        <w:rPr>
          <w:rFonts w:eastAsia="MS Mincho"/>
        </w:rPr>
        <w:t>Baert</w:t>
      </w:r>
      <w:proofErr w:type="spellEnd"/>
      <w:r w:rsidRPr="00440EFE">
        <w:rPr>
          <w:rFonts w:eastAsia="MS Mincho"/>
        </w:rPr>
        <w:t xml:space="preserve"> et al., 2017</w:t>
      </w:r>
      <w:r w:rsidR="001419AA">
        <w:rPr>
          <w:rFonts w:eastAsia="MS Mincho"/>
        </w:rPr>
        <w:t xml:space="preserve"> see also </w:t>
      </w:r>
      <w:hyperlink r:id="rId8" w:history="1">
        <w:r w:rsidR="001419AA" w:rsidRPr="002A7DD0">
          <w:rPr>
            <w:rStyle w:val="Hyperlink"/>
            <w:rFonts w:eastAsia="MS Mincho"/>
            <w:color w:val="17365D" w:themeColor="text2" w:themeShade="BF"/>
            <w:u w:val="single"/>
          </w:rPr>
          <w:t>UN/SCEGHS/34/INF.5</w:t>
        </w:r>
      </w:hyperlink>
      <w:r w:rsidRPr="00440EFE">
        <w:rPr>
          <w:rFonts w:eastAsia="MS Mincho"/>
        </w:rPr>
        <w:t xml:space="preserve">) confirms that the general public is not able to differentiate between products that are corrosive to skin versus Category 1 eye irritants (based on the pictogram, but also not when reading the </w:t>
      </w:r>
      <w:r w:rsidR="00AE5240">
        <w:rPr>
          <w:rFonts w:eastAsia="MS Mincho"/>
        </w:rPr>
        <w:t>other label elements</w:t>
      </w:r>
      <w:r w:rsidRPr="00440EFE">
        <w:rPr>
          <w:rFonts w:eastAsia="MS Mincho"/>
        </w:rPr>
        <w:t>). After studying the GHS content, consumers found the label information to be quite similar for different product classifications.  Contrary to their intuition, consumers believe the labels tell them that all products are equally hazardous. They feel misled due to this discrepanc</w:t>
      </w:r>
      <w:r w:rsidR="00644135">
        <w:rPr>
          <w:rFonts w:eastAsia="MS Mincho"/>
        </w:rPr>
        <w:t xml:space="preserve">y between their experience and </w:t>
      </w:r>
      <w:r w:rsidRPr="00440EFE">
        <w:rPr>
          <w:rFonts w:eastAsia="MS Mincho"/>
        </w:rPr>
        <w:t>label</w:t>
      </w:r>
      <w:r w:rsidR="007B5461">
        <w:rPr>
          <w:rFonts w:eastAsia="MS Mincho"/>
        </w:rPr>
        <w:t xml:space="preserve"> information</w:t>
      </w:r>
      <w:r w:rsidRPr="00440EFE">
        <w:rPr>
          <w:rFonts w:eastAsia="MS Mincho"/>
        </w:rPr>
        <w:t xml:space="preserve">. </w:t>
      </w:r>
    </w:p>
    <w:p w14:paraId="13F41385" w14:textId="6C3B97AB" w:rsidR="00440EFE" w:rsidRPr="004845AC" w:rsidRDefault="00644135" w:rsidP="00644135">
      <w:pPr>
        <w:pStyle w:val="H1G"/>
        <w:spacing w:before="240" w:after="120"/>
        <w:rPr>
          <w:rFonts w:eastAsia="MS Mincho"/>
        </w:rPr>
      </w:pPr>
      <w:r>
        <w:rPr>
          <w:rFonts w:eastAsia="MS Mincho"/>
        </w:rPr>
        <w:tab/>
      </w:r>
      <w:r>
        <w:rPr>
          <w:rFonts w:eastAsia="MS Mincho"/>
        </w:rPr>
        <w:tab/>
      </w:r>
      <w:r w:rsidR="00440EFE" w:rsidRPr="004845AC">
        <w:rPr>
          <w:rFonts w:eastAsia="MS Mincho"/>
        </w:rPr>
        <w:t>References</w:t>
      </w:r>
    </w:p>
    <w:p w14:paraId="56313574" w14:textId="447CDFF8" w:rsidR="00440EFE" w:rsidRPr="004845AC" w:rsidRDefault="00440EFE" w:rsidP="004845AC">
      <w:pPr>
        <w:pStyle w:val="SingleTxtG"/>
        <w:spacing w:before="120"/>
        <w:rPr>
          <w:rFonts w:eastAsia="MS Mincho"/>
          <w:i/>
        </w:rPr>
      </w:pPr>
      <w:proofErr w:type="spellStart"/>
      <w:r w:rsidRPr="004845AC">
        <w:rPr>
          <w:rFonts w:eastAsia="MS Mincho"/>
          <w:i/>
        </w:rPr>
        <w:t>Baert</w:t>
      </w:r>
      <w:proofErr w:type="spellEnd"/>
      <w:r w:rsidRPr="004845AC">
        <w:rPr>
          <w:rFonts w:eastAsia="MS Mincho"/>
          <w:i/>
        </w:rPr>
        <w:t xml:space="preserve">, W., Boeije, G., </w:t>
      </w:r>
      <w:proofErr w:type="spellStart"/>
      <w:r w:rsidRPr="004845AC">
        <w:rPr>
          <w:rFonts w:eastAsia="MS Mincho"/>
          <w:i/>
        </w:rPr>
        <w:t>Peeters</w:t>
      </w:r>
      <w:proofErr w:type="spellEnd"/>
      <w:r w:rsidRPr="004845AC">
        <w:rPr>
          <w:rFonts w:eastAsia="MS Mincho"/>
          <w:i/>
        </w:rPr>
        <w:t xml:space="preserve">, V., Scazzola, R., </w:t>
      </w:r>
      <w:proofErr w:type="spellStart"/>
      <w:r w:rsidRPr="004845AC">
        <w:rPr>
          <w:rFonts w:eastAsia="MS Mincho"/>
          <w:i/>
        </w:rPr>
        <w:t>Séjourné</w:t>
      </w:r>
      <w:proofErr w:type="spellEnd"/>
      <w:r w:rsidRPr="004845AC">
        <w:rPr>
          <w:rFonts w:eastAsia="MS Mincho"/>
          <w:i/>
        </w:rPr>
        <w:t xml:space="preserve">, V., </w:t>
      </w:r>
      <w:proofErr w:type="spellStart"/>
      <w:r w:rsidRPr="004845AC">
        <w:rPr>
          <w:rFonts w:eastAsia="MS Mincho"/>
          <w:i/>
        </w:rPr>
        <w:t>Vandecasteele</w:t>
      </w:r>
      <w:proofErr w:type="spellEnd"/>
      <w:r w:rsidRPr="004845AC">
        <w:rPr>
          <w:rFonts w:eastAsia="MS Mincho"/>
          <w:i/>
        </w:rPr>
        <w:t xml:space="preserve">, B. (2017). Consumer understanding of the safety label and pictograms on household detergent </w:t>
      </w:r>
      <w:r w:rsidR="001419AA">
        <w:rPr>
          <w:rFonts w:eastAsia="MS Mincho"/>
          <w:i/>
        </w:rPr>
        <w:t>p</w:t>
      </w:r>
      <w:r w:rsidRPr="004845AC">
        <w:rPr>
          <w:rFonts w:eastAsia="MS Mincho"/>
          <w:i/>
        </w:rPr>
        <w:t>roducts. Consumer Research Report. 5 October 2017.</w:t>
      </w:r>
    </w:p>
    <w:p w14:paraId="7F79A66B" w14:textId="7A7AACDE" w:rsidR="00440EFE" w:rsidRDefault="00440EFE" w:rsidP="004845AC">
      <w:pPr>
        <w:pStyle w:val="SingleTxtG"/>
        <w:spacing w:before="120"/>
        <w:rPr>
          <w:rFonts w:eastAsia="MS Mincho"/>
          <w:i/>
        </w:rPr>
      </w:pPr>
      <w:r w:rsidRPr="004845AC">
        <w:rPr>
          <w:rFonts w:eastAsia="MS Mincho"/>
          <w:i/>
        </w:rPr>
        <w:t>Bruner, L.H., Parker, R.D., Bruce, R.D., 1992. Reducing the number of rabbits in the low-volume eye test Fundamental and Applied Toxicology, 19(3), 330-333.</w:t>
      </w:r>
    </w:p>
    <w:p w14:paraId="4F46B0D1" w14:textId="79AF3511" w:rsidR="00AE046A" w:rsidRPr="004845AC" w:rsidRDefault="00AE046A" w:rsidP="00AE046A">
      <w:pPr>
        <w:pStyle w:val="SingleTxtG"/>
        <w:spacing w:before="120"/>
        <w:rPr>
          <w:rFonts w:eastAsia="MS Mincho"/>
          <w:i/>
        </w:rPr>
      </w:pPr>
      <w:r w:rsidRPr="00AE046A">
        <w:rPr>
          <w:rFonts w:eastAsia="MS Mincho"/>
          <w:i/>
        </w:rPr>
        <w:t xml:space="preserve">Elodie Cazelle, </w:t>
      </w:r>
      <w:r w:rsidR="001F67DF">
        <w:rPr>
          <w:rFonts w:eastAsia="MS Mincho"/>
          <w:i/>
        </w:rPr>
        <w:t>et al.</w:t>
      </w:r>
      <w:r w:rsidRPr="00AE046A">
        <w:rPr>
          <w:rFonts w:eastAsia="MS Mincho"/>
          <w:i/>
        </w:rPr>
        <w:t xml:space="preserve"> </w:t>
      </w:r>
      <w:r>
        <w:rPr>
          <w:rFonts w:eastAsia="MS Mincho"/>
          <w:i/>
        </w:rPr>
        <w:t xml:space="preserve">(2014) </w:t>
      </w:r>
      <w:r w:rsidRPr="00AE046A">
        <w:rPr>
          <w:rFonts w:eastAsia="MS Mincho"/>
          <w:i/>
        </w:rPr>
        <w:t>Suitability of histopathology as an additional endpoint to the Isolated Chicken Eye Test for classification of non-extreme pH detergent and cleaning products</w:t>
      </w:r>
      <w:r>
        <w:rPr>
          <w:rFonts w:eastAsia="MS Mincho"/>
          <w:i/>
        </w:rPr>
        <w:t xml:space="preserve">. </w:t>
      </w:r>
      <w:r w:rsidRPr="00AE046A">
        <w:rPr>
          <w:rFonts w:eastAsia="MS Mincho"/>
          <w:i/>
        </w:rPr>
        <w:t>Toxicology in Vitro</w:t>
      </w:r>
      <w:r>
        <w:rPr>
          <w:rFonts w:eastAsia="MS Mincho"/>
          <w:i/>
        </w:rPr>
        <w:t xml:space="preserve"> </w:t>
      </w:r>
      <w:r w:rsidRPr="00AE046A">
        <w:rPr>
          <w:rFonts w:eastAsia="MS Mincho"/>
          <w:i/>
        </w:rPr>
        <w:t>Volume 28, Issue 4, June 2014, Pages 657-666</w:t>
      </w:r>
    </w:p>
    <w:p w14:paraId="041A449E" w14:textId="77777777" w:rsidR="00440EFE" w:rsidRPr="004845AC" w:rsidRDefault="00440EFE" w:rsidP="004845AC">
      <w:pPr>
        <w:pStyle w:val="SingleTxtG"/>
        <w:spacing w:before="120"/>
        <w:rPr>
          <w:rFonts w:eastAsia="MS Mincho"/>
          <w:i/>
        </w:rPr>
      </w:pPr>
      <w:r w:rsidRPr="004845AC">
        <w:rPr>
          <w:rFonts w:eastAsia="MS Mincho"/>
          <w:i/>
        </w:rPr>
        <w:t xml:space="preserve">Corvaro, M., </w:t>
      </w:r>
      <w:proofErr w:type="spellStart"/>
      <w:r w:rsidRPr="004845AC">
        <w:rPr>
          <w:rFonts w:eastAsia="MS Mincho"/>
          <w:i/>
        </w:rPr>
        <w:t>Gehen</w:t>
      </w:r>
      <w:proofErr w:type="spellEnd"/>
      <w:r w:rsidRPr="004845AC">
        <w:rPr>
          <w:rFonts w:eastAsia="MS Mincho"/>
          <w:i/>
        </w:rPr>
        <w:t>, S., Andrews, K., Chatfield, R., Macleod, F., Mehta, J., 2017. A retrospective analysis of in vivo eye irritation, skin irritation and skin sensitisation studies with agrochemical formulations: Setting the scene for development of alternative strategies. Regulatory Toxicology and Pharmacology 89 (2017), 131-147.</w:t>
      </w:r>
    </w:p>
    <w:p w14:paraId="3844925B" w14:textId="77777777" w:rsidR="00440EFE" w:rsidRPr="004845AC" w:rsidRDefault="00440EFE" w:rsidP="004845AC">
      <w:pPr>
        <w:pStyle w:val="SingleTxtG"/>
        <w:spacing w:before="120"/>
        <w:rPr>
          <w:rFonts w:eastAsia="MS Mincho"/>
          <w:i/>
        </w:rPr>
      </w:pPr>
      <w:r w:rsidRPr="004845AC">
        <w:rPr>
          <w:rFonts w:eastAsia="MS Mincho"/>
          <w:i/>
        </w:rPr>
        <w:t xml:space="preserve">ECHA (2017). Guidance on the Application of the CLP Criteria 330 Version 5.0 – July 2017. </w:t>
      </w:r>
    </w:p>
    <w:p w14:paraId="1CB78429" w14:textId="77777777" w:rsidR="00440EFE" w:rsidRPr="003E686D" w:rsidRDefault="00440EFE" w:rsidP="004845AC">
      <w:pPr>
        <w:pStyle w:val="SingleTxtG"/>
        <w:spacing w:before="120"/>
        <w:rPr>
          <w:rFonts w:eastAsia="MS Mincho"/>
          <w:i/>
          <w:lang w:val="fr-BE"/>
        </w:rPr>
      </w:pPr>
      <w:r w:rsidRPr="004845AC">
        <w:rPr>
          <w:rFonts w:eastAsia="MS Mincho"/>
          <w:i/>
        </w:rPr>
        <w:t xml:space="preserve">ECVAM/ESAC (2009) Statement on the use of existing low volume eye test (LVET) data for weight of evidence decisions on classification and labelling of cleaning products and their main ingredients. </w:t>
      </w:r>
      <w:proofErr w:type="gramStart"/>
      <w:r w:rsidRPr="003E686D">
        <w:rPr>
          <w:rFonts w:eastAsia="MS Mincho"/>
          <w:i/>
          <w:lang w:val="fr-BE"/>
        </w:rPr>
        <w:t>Online:</w:t>
      </w:r>
      <w:proofErr w:type="gramEnd"/>
      <w:r w:rsidRPr="003E686D">
        <w:rPr>
          <w:rFonts w:eastAsia="MS Mincho"/>
          <w:i/>
          <w:lang w:val="fr-BE"/>
        </w:rPr>
        <w:t xml:space="preserve"> http://ecvam.jrc.it/ </w:t>
      </w:r>
    </w:p>
    <w:p w14:paraId="45C139D1" w14:textId="5B3B63F1" w:rsidR="00440EFE" w:rsidRPr="004845AC" w:rsidRDefault="00440EFE" w:rsidP="004845AC">
      <w:pPr>
        <w:pStyle w:val="SingleTxtG"/>
        <w:spacing w:before="120"/>
        <w:rPr>
          <w:rFonts w:eastAsia="MS Mincho"/>
          <w:i/>
        </w:rPr>
      </w:pPr>
      <w:proofErr w:type="spellStart"/>
      <w:r w:rsidRPr="001F67DF">
        <w:rPr>
          <w:rFonts w:eastAsia="MS Mincho"/>
          <w:i/>
          <w:lang w:val="fr-BE"/>
        </w:rPr>
        <w:t>Färber</w:t>
      </w:r>
      <w:proofErr w:type="spellEnd"/>
      <w:r w:rsidRPr="001F67DF">
        <w:rPr>
          <w:rFonts w:eastAsia="MS Mincho"/>
          <w:i/>
          <w:lang w:val="fr-BE"/>
        </w:rPr>
        <w:t xml:space="preserve"> E., </w:t>
      </w:r>
      <w:r w:rsidR="001F67DF" w:rsidRPr="001F67DF">
        <w:rPr>
          <w:rFonts w:eastAsia="MS Mincho"/>
          <w:i/>
          <w:lang w:val="fr-BE"/>
        </w:rPr>
        <w:t>et al</w:t>
      </w:r>
      <w:r w:rsidR="001F67DF">
        <w:rPr>
          <w:rFonts w:eastAsia="MS Mincho"/>
          <w:i/>
          <w:lang w:val="fr-BE"/>
        </w:rPr>
        <w:t>.</w:t>
      </w:r>
      <w:r w:rsidRPr="001F67DF">
        <w:rPr>
          <w:rFonts w:eastAsia="MS Mincho"/>
          <w:i/>
          <w:lang w:val="fr-BE"/>
        </w:rPr>
        <w:t xml:space="preserve"> H., 2016. </w:t>
      </w:r>
      <w:r w:rsidRPr="004845AC">
        <w:rPr>
          <w:rFonts w:eastAsia="MS Mincho"/>
          <w:i/>
        </w:rPr>
        <w:t xml:space="preserve">MAGAM II DISC: eye exposures caused by cleaning products in Denmark, Italy, Slovakia and Czech Republic. Clin. </w:t>
      </w:r>
      <w:proofErr w:type="spellStart"/>
      <w:r w:rsidRPr="004845AC">
        <w:rPr>
          <w:rFonts w:eastAsia="MS Mincho"/>
          <w:i/>
        </w:rPr>
        <w:t>Toxicol</w:t>
      </w:r>
      <w:proofErr w:type="spellEnd"/>
      <w:r w:rsidRPr="004845AC">
        <w:rPr>
          <w:rFonts w:eastAsia="MS Mincho"/>
          <w:i/>
        </w:rPr>
        <w:t>. 54(4), p.372.</w:t>
      </w:r>
    </w:p>
    <w:p w14:paraId="7A4E9D49" w14:textId="77777777" w:rsidR="00440EFE" w:rsidRPr="004845AC" w:rsidRDefault="00440EFE" w:rsidP="004845AC">
      <w:pPr>
        <w:pStyle w:val="SingleTxtG"/>
        <w:spacing w:before="120"/>
        <w:rPr>
          <w:rFonts w:eastAsia="MS Mincho"/>
          <w:i/>
        </w:rPr>
      </w:pPr>
      <w:r w:rsidRPr="004845AC">
        <w:rPr>
          <w:rFonts w:eastAsia="MS Mincho"/>
          <w:i/>
        </w:rPr>
        <w:t xml:space="preserve">Griffith J.F., Nixon G.A., Bruce R.D., </w:t>
      </w:r>
      <w:proofErr w:type="spellStart"/>
      <w:r w:rsidRPr="004845AC">
        <w:rPr>
          <w:rFonts w:eastAsia="MS Mincho"/>
          <w:i/>
        </w:rPr>
        <w:t>Reer</w:t>
      </w:r>
      <w:proofErr w:type="spellEnd"/>
      <w:r w:rsidRPr="004845AC">
        <w:rPr>
          <w:rFonts w:eastAsia="MS Mincho"/>
          <w:i/>
        </w:rPr>
        <w:t xml:space="preserve"> P.J., </w:t>
      </w:r>
      <w:proofErr w:type="spellStart"/>
      <w:r w:rsidRPr="004845AC">
        <w:rPr>
          <w:rFonts w:eastAsia="MS Mincho"/>
          <w:i/>
        </w:rPr>
        <w:t>Bannan</w:t>
      </w:r>
      <w:proofErr w:type="spellEnd"/>
      <w:r w:rsidRPr="004845AC">
        <w:rPr>
          <w:rFonts w:eastAsia="MS Mincho"/>
          <w:i/>
        </w:rPr>
        <w:t xml:space="preserve"> E.A., 1980. Dose-response studies with chemical irritants in the albino rabbit eye as a basis for selecting optimum testing conditions for predicting hazard to the human eye. </w:t>
      </w:r>
      <w:proofErr w:type="spellStart"/>
      <w:r w:rsidRPr="004845AC">
        <w:rPr>
          <w:rFonts w:eastAsia="MS Mincho"/>
          <w:i/>
        </w:rPr>
        <w:t>Toxicol</w:t>
      </w:r>
      <w:proofErr w:type="spellEnd"/>
      <w:r w:rsidRPr="004845AC">
        <w:rPr>
          <w:rFonts w:eastAsia="MS Mincho"/>
          <w:i/>
        </w:rPr>
        <w:t xml:space="preserve">. Appl. </w:t>
      </w:r>
      <w:proofErr w:type="spellStart"/>
      <w:r w:rsidRPr="004845AC">
        <w:rPr>
          <w:rFonts w:eastAsia="MS Mincho"/>
          <w:i/>
        </w:rPr>
        <w:t>Pharmacol</w:t>
      </w:r>
      <w:proofErr w:type="spellEnd"/>
      <w:r w:rsidRPr="004845AC">
        <w:rPr>
          <w:rFonts w:eastAsia="MS Mincho"/>
          <w:i/>
        </w:rPr>
        <w:t xml:space="preserve">. 55, 501-513. </w:t>
      </w:r>
    </w:p>
    <w:p w14:paraId="36D7AC0A" w14:textId="77777777" w:rsidR="00440EFE" w:rsidRPr="004845AC" w:rsidRDefault="00440EFE" w:rsidP="004845AC">
      <w:pPr>
        <w:pStyle w:val="SingleTxtG"/>
        <w:spacing w:before="120"/>
        <w:rPr>
          <w:rFonts w:eastAsia="MS Mincho"/>
          <w:i/>
        </w:rPr>
      </w:pPr>
      <w:proofErr w:type="spellStart"/>
      <w:r w:rsidRPr="004845AC">
        <w:rPr>
          <w:rFonts w:eastAsia="MS Mincho"/>
          <w:i/>
        </w:rPr>
        <w:t>Hermanns</w:t>
      </w:r>
      <w:proofErr w:type="spellEnd"/>
      <w:r w:rsidRPr="004845AC">
        <w:rPr>
          <w:rFonts w:eastAsia="MS Mincho"/>
          <w:i/>
        </w:rPr>
        <w:t xml:space="preserve">-Clausen M., </w:t>
      </w:r>
      <w:proofErr w:type="spellStart"/>
      <w:r w:rsidRPr="004845AC">
        <w:rPr>
          <w:rFonts w:eastAsia="MS Mincho"/>
          <w:i/>
        </w:rPr>
        <w:t>Desel</w:t>
      </w:r>
      <w:proofErr w:type="spellEnd"/>
      <w:r w:rsidRPr="004845AC">
        <w:rPr>
          <w:rFonts w:eastAsia="MS Mincho"/>
          <w:i/>
        </w:rPr>
        <w:t xml:space="preserve"> H., </w:t>
      </w:r>
      <w:proofErr w:type="spellStart"/>
      <w:r w:rsidRPr="004845AC">
        <w:rPr>
          <w:rFonts w:eastAsia="MS Mincho"/>
          <w:i/>
        </w:rPr>
        <w:t>Färber</w:t>
      </w:r>
      <w:proofErr w:type="spellEnd"/>
      <w:r w:rsidRPr="004845AC">
        <w:rPr>
          <w:rFonts w:eastAsia="MS Mincho"/>
          <w:i/>
        </w:rPr>
        <w:t xml:space="preserve"> E., Seidel C., Holzer A., </w:t>
      </w:r>
      <w:proofErr w:type="spellStart"/>
      <w:r w:rsidRPr="004845AC">
        <w:rPr>
          <w:rFonts w:eastAsia="MS Mincho"/>
          <w:i/>
        </w:rPr>
        <w:t>Eyer</w:t>
      </w:r>
      <w:proofErr w:type="spellEnd"/>
      <w:r w:rsidRPr="004845AC">
        <w:rPr>
          <w:rFonts w:eastAsia="MS Mincho"/>
          <w:i/>
        </w:rPr>
        <w:t xml:space="preserve"> F., Engel A., </w:t>
      </w:r>
      <w:proofErr w:type="spellStart"/>
      <w:r w:rsidRPr="004845AC">
        <w:rPr>
          <w:rFonts w:eastAsia="MS Mincho"/>
          <w:i/>
        </w:rPr>
        <w:t>Prasa</w:t>
      </w:r>
      <w:proofErr w:type="spellEnd"/>
      <w:r w:rsidRPr="004845AC">
        <w:rPr>
          <w:rFonts w:eastAsia="MS Mincho"/>
          <w:i/>
        </w:rPr>
        <w:t xml:space="preserve"> D., </w:t>
      </w:r>
      <w:proofErr w:type="spellStart"/>
      <w:r w:rsidRPr="004845AC">
        <w:rPr>
          <w:rFonts w:eastAsia="MS Mincho"/>
          <w:i/>
        </w:rPr>
        <w:t>Tutdibi</w:t>
      </w:r>
      <w:proofErr w:type="spellEnd"/>
      <w:r w:rsidRPr="004845AC">
        <w:rPr>
          <w:rFonts w:eastAsia="MS Mincho"/>
          <w:i/>
        </w:rPr>
        <w:t xml:space="preserve"> E. &amp; </w:t>
      </w:r>
      <w:proofErr w:type="spellStart"/>
      <w:r w:rsidRPr="004845AC">
        <w:rPr>
          <w:rFonts w:eastAsia="MS Mincho"/>
          <w:i/>
        </w:rPr>
        <w:t>Stürer</w:t>
      </w:r>
      <w:proofErr w:type="spellEnd"/>
      <w:r w:rsidRPr="004845AC">
        <w:rPr>
          <w:rFonts w:eastAsia="MS Mincho"/>
          <w:i/>
        </w:rPr>
        <w:t xml:space="preserve"> A., 2015. MAGAM II: Prospective observational multicentre poisons centre study on eye exposures caused by cleaning products. Clin. </w:t>
      </w:r>
      <w:proofErr w:type="spellStart"/>
      <w:r w:rsidRPr="004845AC">
        <w:rPr>
          <w:rFonts w:eastAsia="MS Mincho"/>
          <w:i/>
        </w:rPr>
        <w:t>Toxicol</w:t>
      </w:r>
      <w:proofErr w:type="spellEnd"/>
      <w:r w:rsidRPr="004845AC">
        <w:rPr>
          <w:rFonts w:eastAsia="MS Mincho"/>
          <w:i/>
        </w:rPr>
        <w:t>. 53, 315-316.</w:t>
      </w:r>
    </w:p>
    <w:p w14:paraId="2159B5B1" w14:textId="1E45ECAD" w:rsidR="00644135" w:rsidRDefault="00440EFE" w:rsidP="00644135">
      <w:pPr>
        <w:pStyle w:val="SingleTxtG"/>
        <w:spacing w:before="120"/>
        <w:rPr>
          <w:rFonts w:eastAsia="MS Mincho"/>
          <w:i/>
        </w:rPr>
      </w:pPr>
      <w:proofErr w:type="spellStart"/>
      <w:r w:rsidRPr="004845AC">
        <w:rPr>
          <w:rFonts w:eastAsia="MS Mincho"/>
          <w:i/>
        </w:rPr>
        <w:t>SynapsesQuali</w:t>
      </w:r>
      <w:proofErr w:type="spellEnd"/>
      <w:r w:rsidRPr="004845AC">
        <w:rPr>
          <w:rFonts w:eastAsia="MS Mincho"/>
          <w:i/>
        </w:rPr>
        <w:t xml:space="preserve"> (2016). Safety information on household products. Report for A.I.S.E.</w:t>
      </w:r>
    </w:p>
    <w:p w14:paraId="7B955D85" w14:textId="2C31ABC2" w:rsidR="00644135" w:rsidRPr="00644135" w:rsidRDefault="00644135" w:rsidP="00644135">
      <w:pPr>
        <w:pStyle w:val="SingleTxtG"/>
        <w:spacing w:before="240" w:after="0"/>
        <w:jc w:val="center"/>
        <w:rPr>
          <w:rFonts w:eastAsia="MS Mincho"/>
          <w:i/>
          <w:u w:val="single"/>
        </w:rPr>
      </w:pPr>
      <w:r>
        <w:rPr>
          <w:rFonts w:eastAsia="MS Mincho"/>
          <w:i/>
          <w:u w:val="single"/>
        </w:rPr>
        <w:tab/>
      </w:r>
      <w:r>
        <w:rPr>
          <w:rFonts w:eastAsia="MS Mincho"/>
          <w:i/>
          <w:u w:val="single"/>
        </w:rPr>
        <w:tab/>
      </w:r>
      <w:r>
        <w:rPr>
          <w:rFonts w:eastAsia="MS Mincho"/>
          <w:i/>
          <w:u w:val="single"/>
        </w:rPr>
        <w:tab/>
      </w:r>
    </w:p>
    <w:sectPr w:rsidR="00644135" w:rsidRPr="00644135"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0016" w14:textId="77777777" w:rsidR="003042A5" w:rsidRDefault="003042A5"/>
  </w:endnote>
  <w:endnote w:type="continuationSeparator" w:id="0">
    <w:p w14:paraId="6666A218" w14:textId="77777777" w:rsidR="003042A5" w:rsidRDefault="003042A5"/>
  </w:endnote>
  <w:endnote w:type="continuationNotice" w:id="1">
    <w:p w14:paraId="6EE2D154" w14:textId="77777777" w:rsidR="003042A5" w:rsidRDefault="00304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5249"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C7299">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813D"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C7299">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1A48" w14:textId="77777777" w:rsidR="003042A5" w:rsidRPr="000B175B" w:rsidRDefault="003042A5" w:rsidP="000B175B">
      <w:pPr>
        <w:tabs>
          <w:tab w:val="right" w:pos="2155"/>
        </w:tabs>
        <w:spacing w:after="80"/>
        <w:ind w:left="680"/>
        <w:rPr>
          <w:u w:val="single"/>
        </w:rPr>
      </w:pPr>
      <w:r>
        <w:rPr>
          <w:u w:val="single"/>
        </w:rPr>
        <w:tab/>
      </w:r>
    </w:p>
  </w:footnote>
  <w:footnote w:type="continuationSeparator" w:id="0">
    <w:p w14:paraId="05DFCA5D" w14:textId="77777777" w:rsidR="003042A5" w:rsidRPr="00FC68B7" w:rsidRDefault="003042A5" w:rsidP="00FC68B7">
      <w:pPr>
        <w:tabs>
          <w:tab w:val="left" w:pos="2155"/>
        </w:tabs>
        <w:spacing w:after="80"/>
        <w:ind w:left="680"/>
        <w:rPr>
          <w:u w:val="single"/>
        </w:rPr>
      </w:pPr>
      <w:r>
        <w:rPr>
          <w:u w:val="single"/>
        </w:rPr>
        <w:tab/>
      </w:r>
    </w:p>
  </w:footnote>
  <w:footnote w:type="continuationNotice" w:id="1">
    <w:p w14:paraId="72ED4B96" w14:textId="77777777" w:rsidR="003042A5" w:rsidRDefault="00304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9539" w14:textId="004E3A58" w:rsidR="006A7757" w:rsidRPr="0099001C" w:rsidRDefault="006A7757" w:rsidP="00366CA7">
    <w:pPr>
      <w:pStyle w:val="Header"/>
    </w:pPr>
    <w:r w:rsidRPr="00CC65B7">
      <w:t>UN/SCEGHS/</w:t>
    </w:r>
    <w:r w:rsidR="00934EE8">
      <w:t>3</w:t>
    </w:r>
    <w:r w:rsidR="009435A6">
      <w:t>6</w:t>
    </w:r>
    <w:r w:rsidRPr="00CC65B7">
      <w:t>/INF.</w:t>
    </w:r>
    <w:r w:rsidR="00644135">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DF49" w14:textId="4598C4EC" w:rsidR="006A7757" w:rsidRPr="0099001C" w:rsidRDefault="006A7757" w:rsidP="0099001C">
    <w:pPr>
      <w:pStyle w:val="Header"/>
      <w:jc w:val="right"/>
    </w:pPr>
    <w:r>
      <w:t>UN/SCEGHS/</w:t>
    </w:r>
    <w:r w:rsidR="00644135">
      <w:t>36</w:t>
    </w:r>
    <w:r>
      <w:t>/INF.</w:t>
    </w:r>
    <w:r w:rsidR="00644135">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328722D3"/>
    <w:multiLevelType w:val="hybridMultilevel"/>
    <w:tmpl w:val="37566890"/>
    <w:lvl w:ilvl="0" w:tplc="657EF0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73B95B4F"/>
    <w:multiLevelType w:val="hybridMultilevel"/>
    <w:tmpl w:val="E8605AEA"/>
    <w:lvl w:ilvl="0" w:tplc="D38400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1"/>
  </w:num>
  <w:num w:numId="3">
    <w:abstractNumId w:val="10"/>
  </w:num>
  <w:num w:numId="4">
    <w:abstractNumId w:val="2"/>
  </w:num>
  <w:num w:numId="5">
    <w:abstractNumId w:val="4"/>
  </w:num>
  <w:num w:numId="6">
    <w:abstractNumId w:val="5"/>
  </w:num>
  <w:num w:numId="7">
    <w:abstractNumId w:val="12"/>
  </w:num>
  <w:num w:numId="8">
    <w:abstractNumId w:val="0"/>
  </w:num>
  <w:num w:numId="9">
    <w:abstractNumId w:val="2"/>
  </w:num>
  <w:num w:numId="10">
    <w:abstractNumId w:val="1"/>
  </w:num>
  <w:num w:numId="11">
    <w:abstractNumId w:val="8"/>
  </w:num>
  <w:num w:numId="12">
    <w:abstractNumId w:val="6"/>
  </w:num>
  <w:num w:numId="13">
    <w:abstractNumId w:val="7"/>
  </w:num>
  <w:num w:numId="14">
    <w:abstractNumId w:val="9"/>
  </w:num>
  <w:num w:numId="15">
    <w:abstractNumId w:val="3"/>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33B3D"/>
    <w:rsid w:val="0004156C"/>
    <w:rsid w:val="0004629E"/>
    <w:rsid w:val="00050F6B"/>
    <w:rsid w:val="000564A7"/>
    <w:rsid w:val="00072C8C"/>
    <w:rsid w:val="00081647"/>
    <w:rsid w:val="00085475"/>
    <w:rsid w:val="000931C0"/>
    <w:rsid w:val="000B175B"/>
    <w:rsid w:val="000B3A0F"/>
    <w:rsid w:val="000C6544"/>
    <w:rsid w:val="000C7164"/>
    <w:rsid w:val="000D10AA"/>
    <w:rsid w:val="000E0415"/>
    <w:rsid w:val="000F52A9"/>
    <w:rsid w:val="00107CCC"/>
    <w:rsid w:val="001220B8"/>
    <w:rsid w:val="00123536"/>
    <w:rsid w:val="001419AA"/>
    <w:rsid w:val="00156F3C"/>
    <w:rsid w:val="00161AFB"/>
    <w:rsid w:val="00162BF7"/>
    <w:rsid w:val="00190AEA"/>
    <w:rsid w:val="00193DB5"/>
    <w:rsid w:val="001B06A5"/>
    <w:rsid w:val="001B4B04"/>
    <w:rsid w:val="001C6663"/>
    <w:rsid w:val="001C7895"/>
    <w:rsid w:val="001D26DF"/>
    <w:rsid w:val="001E47FD"/>
    <w:rsid w:val="001F67DF"/>
    <w:rsid w:val="00211E0B"/>
    <w:rsid w:val="002379F5"/>
    <w:rsid w:val="002405A7"/>
    <w:rsid w:val="0025322D"/>
    <w:rsid w:val="00257E45"/>
    <w:rsid w:val="00262488"/>
    <w:rsid w:val="0027183E"/>
    <w:rsid w:val="00277A2E"/>
    <w:rsid w:val="002D59D3"/>
    <w:rsid w:val="003042A5"/>
    <w:rsid w:val="003107FA"/>
    <w:rsid w:val="003127A2"/>
    <w:rsid w:val="00312C2A"/>
    <w:rsid w:val="003229D8"/>
    <w:rsid w:val="0032550E"/>
    <w:rsid w:val="0033745A"/>
    <w:rsid w:val="0034280C"/>
    <w:rsid w:val="003642AF"/>
    <w:rsid w:val="00366CA7"/>
    <w:rsid w:val="0039277A"/>
    <w:rsid w:val="003971BF"/>
    <w:rsid w:val="003972E0"/>
    <w:rsid w:val="003B3A99"/>
    <w:rsid w:val="003C2CC4"/>
    <w:rsid w:val="003C3936"/>
    <w:rsid w:val="003D4B23"/>
    <w:rsid w:val="003E686D"/>
    <w:rsid w:val="003F1ED3"/>
    <w:rsid w:val="00421612"/>
    <w:rsid w:val="004325CB"/>
    <w:rsid w:val="0043517E"/>
    <w:rsid w:val="00440EFE"/>
    <w:rsid w:val="00446DE4"/>
    <w:rsid w:val="00460DD9"/>
    <w:rsid w:val="00465864"/>
    <w:rsid w:val="00467F71"/>
    <w:rsid w:val="0047652A"/>
    <w:rsid w:val="004845AC"/>
    <w:rsid w:val="004A41CA"/>
    <w:rsid w:val="004C534F"/>
    <w:rsid w:val="004C7299"/>
    <w:rsid w:val="004E0788"/>
    <w:rsid w:val="004E7ED6"/>
    <w:rsid w:val="00503228"/>
    <w:rsid w:val="00505384"/>
    <w:rsid w:val="00510F50"/>
    <w:rsid w:val="00516EB8"/>
    <w:rsid w:val="00532EF8"/>
    <w:rsid w:val="00536FB7"/>
    <w:rsid w:val="005420F2"/>
    <w:rsid w:val="005576A6"/>
    <w:rsid w:val="00567C13"/>
    <w:rsid w:val="005B08F8"/>
    <w:rsid w:val="005B2C89"/>
    <w:rsid w:val="005B3DB3"/>
    <w:rsid w:val="005C6113"/>
    <w:rsid w:val="005E22FE"/>
    <w:rsid w:val="00606569"/>
    <w:rsid w:val="00611FC4"/>
    <w:rsid w:val="006176FB"/>
    <w:rsid w:val="00627ED0"/>
    <w:rsid w:val="00640B26"/>
    <w:rsid w:val="00644135"/>
    <w:rsid w:val="00651BC5"/>
    <w:rsid w:val="00665595"/>
    <w:rsid w:val="00691F20"/>
    <w:rsid w:val="00693543"/>
    <w:rsid w:val="006A7392"/>
    <w:rsid w:val="006A7757"/>
    <w:rsid w:val="006C2CEE"/>
    <w:rsid w:val="006E564B"/>
    <w:rsid w:val="00706FD1"/>
    <w:rsid w:val="0071349F"/>
    <w:rsid w:val="00720DEB"/>
    <w:rsid w:val="0072632A"/>
    <w:rsid w:val="00733AAE"/>
    <w:rsid w:val="0073447E"/>
    <w:rsid w:val="00761358"/>
    <w:rsid w:val="0076297C"/>
    <w:rsid w:val="00765969"/>
    <w:rsid w:val="00766856"/>
    <w:rsid w:val="00781A60"/>
    <w:rsid w:val="00792D6F"/>
    <w:rsid w:val="00795203"/>
    <w:rsid w:val="007A0B22"/>
    <w:rsid w:val="007A7259"/>
    <w:rsid w:val="007B2C90"/>
    <w:rsid w:val="007B5461"/>
    <w:rsid w:val="007B6BA5"/>
    <w:rsid w:val="007C3390"/>
    <w:rsid w:val="007C4F4B"/>
    <w:rsid w:val="007F0B83"/>
    <w:rsid w:val="007F28E8"/>
    <w:rsid w:val="007F48EF"/>
    <w:rsid w:val="007F4FCD"/>
    <w:rsid w:val="007F6611"/>
    <w:rsid w:val="008055CB"/>
    <w:rsid w:val="00811DA1"/>
    <w:rsid w:val="0081732C"/>
    <w:rsid w:val="008175E9"/>
    <w:rsid w:val="008242D7"/>
    <w:rsid w:val="00827E05"/>
    <w:rsid w:val="008311A3"/>
    <w:rsid w:val="00836AF7"/>
    <w:rsid w:val="00871FD5"/>
    <w:rsid w:val="00876F95"/>
    <w:rsid w:val="00880562"/>
    <w:rsid w:val="008979B1"/>
    <w:rsid w:val="008A43E0"/>
    <w:rsid w:val="008A6B25"/>
    <w:rsid w:val="008A6C4F"/>
    <w:rsid w:val="008B161A"/>
    <w:rsid w:val="008B523B"/>
    <w:rsid w:val="008B6E26"/>
    <w:rsid w:val="008C6FCF"/>
    <w:rsid w:val="008E0E46"/>
    <w:rsid w:val="008E4C4C"/>
    <w:rsid w:val="00905DFB"/>
    <w:rsid w:val="00907AD2"/>
    <w:rsid w:val="00911047"/>
    <w:rsid w:val="00933602"/>
    <w:rsid w:val="00934EE8"/>
    <w:rsid w:val="009435A6"/>
    <w:rsid w:val="009455BD"/>
    <w:rsid w:val="00963CBA"/>
    <w:rsid w:val="009650E6"/>
    <w:rsid w:val="00965932"/>
    <w:rsid w:val="0097053D"/>
    <w:rsid w:val="00974A8D"/>
    <w:rsid w:val="0099001C"/>
    <w:rsid w:val="00991261"/>
    <w:rsid w:val="00994453"/>
    <w:rsid w:val="009C5E02"/>
    <w:rsid w:val="009E181E"/>
    <w:rsid w:val="009F3A17"/>
    <w:rsid w:val="009F3D53"/>
    <w:rsid w:val="00A103F7"/>
    <w:rsid w:val="00A1427D"/>
    <w:rsid w:val="00A30AAE"/>
    <w:rsid w:val="00A361BE"/>
    <w:rsid w:val="00A40454"/>
    <w:rsid w:val="00A426FB"/>
    <w:rsid w:val="00A55FB2"/>
    <w:rsid w:val="00A72F22"/>
    <w:rsid w:val="00A748A6"/>
    <w:rsid w:val="00A80459"/>
    <w:rsid w:val="00A805EB"/>
    <w:rsid w:val="00A8760B"/>
    <w:rsid w:val="00A879A4"/>
    <w:rsid w:val="00A954BE"/>
    <w:rsid w:val="00AA496B"/>
    <w:rsid w:val="00AD3AAD"/>
    <w:rsid w:val="00AE046A"/>
    <w:rsid w:val="00AE5240"/>
    <w:rsid w:val="00AE71F3"/>
    <w:rsid w:val="00B070C3"/>
    <w:rsid w:val="00B14DA4"/>
    <w:rsid w:val="00B30179"/>
    <w:rsid w:val="00B30E8F"/>
    <w:rsid w:val="00B32386"/>
    <w:rsid w:val="00B33EC0"/>
    <w:rsid w:val="00B445B2"/>
    <w:rsid w:val="00B81E12"/>
    <w:rsid w:val="00B912A2"/>
    <w:rsid w:val="00B97D28"/>
    <w:rsid w:val="00BC74E9"/>
    <w:rsid w:val="00BD2146"/>
    <w:rsid w:val="00BE4F74"/>
    <w:rsid w:val="00BE618E"/>
    <w:rsid w:val="00C17699"/>
    <w:rsid w:val="00C1778D"/>
    <w:rsid w:val="00C37434"/>
    <w:rsid w:val="00C41A28"/>
    <w:rsid w:val="00C463DD"/>
    <w:rsid w:val="00C6210B"/>
    <w:rsid w:val="00C745C3"/>
    <w:rsid w:val="00C80466"/>
    <w:rsid w:val="00C817E9"/>
    <w:rsid w:val="00C853E3"/>
    <w:rsid w:val="00C945EB"/>
    <w:rsid w:val="00CC65B7"/>
    <w:rsid w:val="00CE4A8F"/>
    <w:rsid w:val="00CF701F"/>
    <w:rsid w:val="00D055EB"/>
    <w:rsid w:val="00D2031B"/>
    <w:rsid w:val="00D25272"/>
    <w:rsid w:val="00D25FE2"/>
    <w:rsid w:val="00D317BB"/>
    <w:rsid w:val="00D35D8F"/>
    <w:rsid w:val="00D4140A"/>
    <w:rsid w:val="00D43252"/>
    <w:rsid w:val="00D506B1"/>
    <w:rsid w:val="00D50BD6"/>
    <w:rsid w:val="00D63881"/>
    <w:rsid w:val="00D7387D"/>
    <w:rsid w:val="00D978C6"/>
    <w:rsid w:val="00DA67AD"/>
    <w:rsid w:val="00DB5082"/>
    <w:rsid w:val="00DB5D0F"/>
    <w:rsid w:val="00DC058D"/>
    <w:rsid w:val="00DC3242"/>
    <w:rsid w:val="00DE7F20"/>
    <w:rsid w:val="00DF12F7"/>
    <w:rsid w:val="00DF2C64"/>
    <w:rsid w:val="00E02C81"/>
    <w:rsid w:val="00E04A75"/>
    <w:rsid w:val="00E06EAB"/>
    <w:rsid w:val="00E130AB"/>
    <w:rsid w:val="00E31C87"/>
    <w:rsid w:val="00E5709E"/>
    <w:rsid w:val="00E677EC"/>
    <w:rsid w:val="00E70DF5"/>
    <w:rsid w:val="00E7260F"/>
    <w:rsid w:val="00E80F5F"/>
    <w:rsid w:val="00E87921"/>
    <w:rsid w:val="00E96630"/>
    <w:rsid w:val="00EA264E"/>
    <w:rsid w:val="00EA3A41"/>
    <w:rsid w:val="00EC3D3B"/>
    <w:rsid w:val="00ED1541"/>
    <w:rsid w:val="00ED71D9"/>
    <w:rsid w:val="00ED7A2A"/>
    <w:rsid w:val="00EE5440"/>
    <w:rsid w:val="00EF1D7F"/>
    <w:rsid w:val="00EF358F"/>
    <w:rsid w:val="00F124A0"/>
    <w:rsid w:val="00F44068"/>
    <w:rsid w:val="00F53EDA"/>
    <w:rsid w:val="00F73015"/>
    <w:rsid w:val="00F7753D"/>
    <w:rsid w:val="00F85F34"/>
    <w:rsid w:val="00FA06F7"/>
    <w:rsid w:val="00FB171A"/>
    <w:rsid w:val="00FC09B8"/>
    <w:rsid w:val="00FC68B7"/>
    <w:rsid w:val="00FD4F7E"/>
    <w:rsid w:val="00FD7BF6"/>
    <w:rsid w:val="00FE4C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8E9B7"/>
  <w15:docId w15:val="{F6832B51-45F6-49D7-B870-1600BEF7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0E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0EF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07CCC"/>
    <w:rPr>
      <w:color w:val="605E5C"/>
      <w:shd w:val="clear" w:color="auto" w:fill="E1DFDD"/>
    </w:rPr>
  </w:style>
  <w:style w:type="character" w:styleId="CommentReference">
    <w:name w:val="annotation reference"/>
    <w:basedOn w:val="DefaultParagraphFont"/>
    <w:semiHidden/>
    <w:unhideWhenUsed/>
    <w:rsid w:val="004C534F"/>
    <w:rPr>
      <w:sz w:val="16"/>
      <w:szCs w:val="16"/>
    </w:rPr>
  </w:style>
  <w:style w:type="paragraph" w:styleId="CommentText">
    <w:name w:val="annotation text"/>
    <w:basedOn w:val="Normal"/>
    <w:link w:val="CommentTextChar"/>
    <w:unhideWhenUsed/>
    <w:rsid w:val="004C534F"/>
    <w:pPr>
      <w:spacing w:line="240" w:lineRule="auto"/>
    </w:pPr>
  </w:style>
  <w:style w:type="character" w:customStyle="1" w:styleId="CommentTextChar">
    <w:name w:val="Comment Text Char"/>
    <w:basedOn w:val="DefaultParagraphFont"/>
    <w:link w:val="CommentText"/>
    <w:rsid w:val="004C534F"/>
    <w:rPr>
      <w:lang w:eastAsia="en-US"/>
    </w:rPr>
  </w:style>
  <w:style w:type="paragraph" w:styleId="CommentSubject">
    <w:name w:val="annotation subject"/>
    <w:basedOn w:val="CommentText"/>
    <w:next w:val="CommentText"/>
    <w:link w:val="CommentSubjectChar"/>
    <w:semiHidden/>
    <w:unhideWhenUsed/>
    <w:rsid w:val="004C534F"/>
    <w:rPr>
      <w:b/>
      <w:bCs/>
    </w:rPr>
  </w:style>
  <w:style w:type="character" w:customStyle="1" w:styleId="CommentSubjectChar">
    <w:name w:val="Comment Subject Char"/>
    <w:basedOn w:val="CommentTextChar"/>
    <w:link w:val="CommentSubject"/>
    <w:semiHidden/>
    <w:rsid w:val="004C534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547451891">
      <w:bodyDiv w:val="1"/>
      <w:marLeft w:val="0"/>
      <w:marRight w:val="0"/>
      <w:marTop w:val="0"/>
      <w:marBottom w:val="0"/>
      <w:divBdr>
        <w:top w:val="none" w:sz="0" w:space="0" w:color="auto"/>
        <w:left w:val="none" w:sz="0" w:space="0" w:color="auto"/>
        <w:bottom w:val="none" w:sz="0" w:space="0" w:color="auto"/>
        <w:right w:val="none" w:sz="0" w:space="0" w:color="auto"/>
      </w:divBdr>
    </w:div>
    <w:div w:id="632293440">
      <w:bodyDiv w:val="1"/>
      <w:marLeft w:val="0"/>
      <w:marRight w:val="0"/>
      <w:marTop w:val="0"/>
      <w:marBottom w:val="0"/>
      <w:divBdr>
        <w:top w:val="none" w:sz="0" w:space="0" w:color="auto"/>
        <w:left w:val="none" w:sz="0" w:space="0" w:color="auto"/>
        <w:bottom w:val="none" w:sz="0" w:space="0" w:color="auto"/>
        <w:right w:val="none" w:sz="0" w:space="0" w:color="auto"/>
      </w:divBdr>
      <w:divsChild>
        <w:div w:id="231814197">
          <w:marLeft w:val="0"/>
          <w:marRight w:val="0"/>
          <w:marTop w:val="0"/>
          <w:marBottom w:val="0"/>
          <w:divBdr>
            <w:top w:val="none" w:sz="0" w:space="0" w:color="auto"/>
            <w:left w:val="none" w:sz="0" w:space="0" w:color="auto"/>
            <w:bottom w:val="none" w:sz="0" w:space="0" w:color="auto"/>
            <w:right w:val="none" w:sz="0" w:space="0" w:color="auto"/>
          </w:divBdr>
        </w:div>
        <w:div w:id="2113820002">
          <w:marLeft w:val="0"/>
          <w:marRight w:val="0"/>
          <w:marTop w:val="0"/>
          <w:marBottom w:val="0"/>
          <w:divBdr>
            <w:top w:val="none" w:sz="0" w:space="0" w:color="auto"/>
            <w:left w:val="none" w:sz="0" w:space="0" w:color="auto"/>
            <w:bottom w:val="none" w:sz="0" w:space="0" w:color="auto"/>
            <w:right w:val="none" w:sz="0" w:space="0" w:color="auto"/>
          </w:divBdr>
        </w:div>
        <w:div w:id="682973097">
          <w:marLeft w:val="0"/>
          <w:marRight w:val="0"/>
          <w:marTop w:val="0"/>
          <w:marBottom w:val="0"/>
          <w:divBdr>
            <w:top w:val="none" w:sz="0" w:space="0" w:color="auto"/>
            <w:left w:val="none" w:sz="0" w:space="0" w:color="auto"/>
            <w:bottom w:val="none" w:sz="0" w:space="0" w:color="auto"/>
            <w:right w:val="none" w:sz="0" w:space="0" w:color="auto"/>
          </w:divBdr>
        </w:div>
        <w:div w:id="45877517">
          <w:marLeft w:val="0"/>
          <w:marRight w:val="0"/>
          <w:marTop w:val="0"/>
          <w:marBottom w:val="0"/>
          <w:divBdr>
            <w:top w:val="none" w:sz="0" w:space="0" w:color="auto"/>
            <w:left w:val="none" w:sz="0" w:space="0" w:color="auto"/>
            <w:bottom w:val="none" w:sz="0" w:space="0" w:color="auto"/>
            <w:right w:val="none" w:sz="0" w:space="0" w:color="auto"/>
          </w:divBdr>
        </w:div>
        <w:div w:id="1405565914">
          <w:marLeft w:val="0"/>
          <w:marRight w:val="0"/>
          <w:marTop w:val="0"/>
          <w:marBottom w:val="0"/>
          <w:divBdr>
            <w:top w:val="none" w:sz="0" w:space="0" w:color="auto"/>
            <w:left w:val="none" w:sz="0" w:space="0" w:color="auto"/>
            <w:bottom w:val="none" w:sz="0" w:space="0" w:color="auto"/>
            <w:right w:val="none" w:sz="0" w:space="0" w:color="auto"/>
          </w:divBdr>
        </w:div>
      </w:divsChild>
    </w:div>
    <w:div w:id="1664429878">
      <w:bodyDiv w:val="1"/>
      <w:marLeft w:val="0"/>
      <w:marRight w:val="0"/>
      <w:marTop w:val="0"/>
      <w:marBottom w:val="0"/>
      <w:divBdr>
        <w:top w:val="none" w:sz="0" w:space="0" w:color="auto"/>
        <w:left w:val="none" w:sz="0" w:space="0" w:color="auto"/>
        <w:bottom w:val="none" w:sz="0" w:space="0" w:color="auto"/>
        <w:right w:val="none" w:sz="0" w:space="0" w:color="auto"/>
      </w:divBdr>
      <w:divsChild>
        <w:div w:id="994144693">
          <w:marLeft w:val="0"/>
          <w:marRight w:val="0"/>
          <w:marTop w:val="0"/>
          <w:marBottom w:val="0"/>
          <w:divBdr>
            <w:top w:val="none" w:sz="0" w:space="0" w:color="auto"/>
            <w:left w:val="none" w:sz="0" w:space="0" w:color="auto"/>
            <w:bottom w:val="none" w:sz="0" w:space="0" w:color="auto"/>
            <w:right w:val="none" w:sz="0" w:space="0" w:color="auto"/>
          </w:divBdr>
        </w:div>
        <w:div w:id="1169442019">
          <w:marLeft w:val="0"/>
          <w:marRight w:val="0"/>
          <w:marTop w:val="0"/>
          <w:marBottom w:val="0"/>
          <w:divBdr>
            <w:top w:val="none" w:sz="0" w:space="0" w:color="auto"/>
            <w:left w:val="none" w:sz="0" w:space="0" w:color="auto"/>
            <w:bottom w:val="none" w:sz="0" w:space="0" w:color="auto"/>
            <w:right w:val="none" w:sz="0" w:space="0" w:color="auto"/>
          </w:divBdr>
        </w:div>
      </w:divsChild>
    </w:div>
    <w:div w:id="2052342487">
      <w:bodyDiv w:val="1"/>
      <w:marLeft w:val="0"/>
      <w:marRight w:val="0"/>
      <w:marTop w:val="0"/>
      <w:marBottom w:val="0"/>
      <w:divBdr>
        <w:top w:val="none" w:sz="0" w:space="0" w:color="auto"/>
        <w:left w:val="none" w:sz="0" w:space="0" w:color="auto"/>
        <w:bottom w:val="none" w:sz="0" w:space="0" w:color="auto"/>
        <w:right w:val="none" w:sz="0" w:space="0" w:color="auto"/>
      </w:divBdr>
      <w:divsChild>
        <w:div w:id="316082300">
          <w:marLeft w:val="0"/>
          <w:marRight w:val="0"/>
          <w:marTop w:val="0"/>
          <w:marBottom w:val="0"/>
          <w:divBdr>
            <w:top w:val="none" w:sz="0" w:space="0" w:color="auto"/>
            <w:left w:val="none" w:sz="0" w:space="0" w:color="auto"/>
            <w:bottom w:val="none" w:sz="0" w:space="0" w:color="auto"/>
            <w:right w:val="none" w:sz="0" w:space="0" w:color="auto"/>
          </w:divBdr>
        </w:div>
        <w:div w:id="412122739">
          <w:marLeft w:val="0"/>
          <w:marRight w:val="0"/>
          <w:marTop w:val="0"/>
          <w:marBottom w:val="0"/>
          <w:divBdr>
            <w:top w:val="none" w:sz="0" w:space="0" w:color="auto"/>
            <w:left w:val="none" w:sz="0" w:space="0" w:color="auto"/>
            <w:bottom w:val="none" w:sz="0" w:space="0" w:color="auto"/>
            <w:right w:val="none" w:sz="0" w:space="0" w:color="auto"/>
          </w:divBdr>
        </w:div>
        <w:div w:id="84131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7/dgac10c4/UN-SCEGHS-34-INF05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60A0-8A20-43CD-AD62-855FB9A9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8</TotalTime>
  <Pages>5</Pages>
  <Words>2338</Words>
  <Characters>13329</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2018-11-09T15:43:00Z</cp:lastPrinted>
  <dcterms:created xsi:type="dcterms:W3CDTF">2018-11-09T15:48:00Z</dcterms:created>
  <dcterms:modified xsi:type="dcterms:W3CDTF">2018-11-12T10:04:00Z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7f76a36a-e94f-4d4b-bdd5-210902cd990e</vt:lpwstr>
  </property>
  <property fmtid="{D5CDD505-2E9C-101B-9397-08002B2CF9AE}" pid="3" name="Content_Steward">
    <vt:lpwstr>Corvaro M u584849</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2018-09-10T10:49:59Z</vt:filetime>
  </property>
  <property fmtid="{D5CDD505-2E9C-101B-9397-08002B2CF9AE}" pid="9" name="Retention_Period_Start_Date">
    <vt:filetime>2018-12-10T13:25:36Z</vt:filetime>
  </property>
  <property fmtid="{D5CDD505-2E9C-101B-9397-08002B2CF9AE}" pid="10" name="Last_Reviewed_Date">
    <vt:lpwstr/>
  </property>
  <property fmtid="{D5CDD505-2E9C-101B-9397-08002B2CF9AE}" pid="11" name="Retention_Review_Frequency">
    <vt:lpwstr/>
  </property>
</Properties>
</file>