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99001C" w14:paraId="3EEA5169" w14:textId="77777777" w:rsidTr="00EE7E6D">
        <w:trPr>
          <w:cantSplit/>
          <w:trHeight w:hRule="exact" w:val="913"/>
        </w:trPr>
        <w:tc>
          <w:tcPr>
            <w:tcW w:w="9735" w:type="dxa"/>
            <w:tcBorders>
              <w:bottom w:val="single" w:sz="4" w:space="0" w:color="auto"/>
            </w:tcBorders>
            <w:vAlign w:val="bottom"/>
          </w:tcPr>
          <w:p w14:paraId="737A8918" w14:textId="4E53F0F1" w:rsidR="0099001C" w:rsidRPr="0099001C" w:rsidRDefault="0099001C" w:rsidP="00C30BD4">
            <w:pPr>
              <w:jc w:val="right"/>
              <w:rPr>
                <w:b/>
                <w:sz w:val="40"/>
                <w:szCs w:val="40"/>
              </w:rPr>
            </w:pPr>
            <w:r w:rsidRPr="0099001C">
              <w:rPr>
                <w:b/>
                <w:sz w:val="40"/>
                <w:szCs w:val="40"/>
              </w:rPr>
              <w:t>UN/SCEGHS/</w:t>
            </w:r>
            <w:r w:rsidR="00E22E6E">
              <w:rPr>
                <w:b/>
                <w:sz w:val="40"/>
                <w:szCs w:val="40"/>
              </w:rPr>
              <w:t>3</w:t>
            </w:r>
            <w:r w:rsidR="00EE7E6D">
              <w:rPr>
                <w:b/>
                <w:sz w:val="40"/>
                <w:szCs w:val="40"/>
              </w:rPr>
              <w:t>5</w:t>
            </w:r>
            <w:r w:rsidRPr="0099001C">
              <w:rPr>
                <w:b/>
                <w:sz w:val="40"/>
                <w:szCs w:val="40"/>
              </w:rPr>
              <w:t>/INF.</w:t>
            </w:r>
            <w:r w:rsidR="00D94553">
              <w:rPr>
                <w:b/>
                <w:sz w:val="40"/>
                <w:szCs w:val="40"/>
              </w:rPr>
              <w:t>2</w:t>
            </w:r>
            <w:r w:rsidR="007B4521">
              <w:rPr>
                <w:b/>
                <w:sz w:val="40"/>
                <w:szCs w:val="40"/>
              </w:rPr>
              <w:t>1</w:t>
            </w:r>
          </w:p>
        </w:tc>
      </w:tr>
      <w:tr w:rsidR="0099001C" w14:paraId="0CF18C10" w14:textId="77777777" w:rsidTr="00EE7E6D">
        <w:trPr>
          <w:cantSplit/>
          <w:trHeight w:hRule="exact" w:val="3341"/>
        </w:trPr>
        <w:tc>
          <w:tcPr>
            <w:tcW w:w="9735"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15E257C7" w:rsidR="00965932" w:rsidRPr="001B03EA" w:rsidRDefault="00965932" w:rsidP="00D94553">
            <w:pPr>
              <w:tabs>
                <w:tab w:val="left" w:pos="7797"/>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971BB4">
              <w:rPr>
                <w:b/>
                <w:lang w:val="en-US"/>
              </w:rPr>
              <w:t>2</w:t>
            </w:r>
            <w:r w:rsidR="00C30BD4">
              <w:rPr>
                <w:b/>
                <w:lang w:val="en-US"/>
              </w:rPr>
              <w:t>2</w:t>
            </w:r>
            <w:r w:rsidR="00DB4CDB" w:rsidRPr="00DB4CDB">
              <w:rPr>
                <w:b/>
                <w:lang w:val="en-US"/>
              </w:rPr>
              <w:t xml:space="preserve"> June</w:t>
            </w:r>
            <w:r w:rsidRPr="00DB4CDB">
              <w:rPr>
                <w:b/>
                <w:lang w:val="en-US"/>
              </w:rPr>
              <w:t xml:space="preserve"> </w:t>
            </w:r>
            <w:r w:rsidR="00AD67E3">
              <w:rPr>
                <w:b/>
                <w:lang w:val="en-US"/>
              </w:rPr>
              <w:t>201</w:t>
            </w:r>
            <w:r w:rsidR="00EE7E6D">
              <w:rPr>
                <w:b/>
                <w:lang w:val="en-US"/>
              </w:rPr>
              <w:t>8</w:t>
            </w:r>
          </w:p>
          <w:p w14:paraId="7CDD1F58" w14:textId="77777777" w:rsidR="00965932" w:rsidRPr="001B03EA" w:rsidRDefault="00965932" w:rsidP="00965932">
            <w:pPr>
              <w:jc w:val="both"/>
              <w:rPr>
                <w:b/>
              </w:rPr>
            </w:pPr>
          </w:p>
          <w:p w14:paraId="4A0871C0" w14:textId="0934F9AE" w:rsidR="00965932" w:rsidRPr="001B03EA" w:rsidRDefault="00965932" w:rsidP="00965932">
            <w:pPr>
              <w:jc w:val="both"/>
            </w:pPr>
            <w:r w:rsidRPr="001B03EA">
              <w:rPr>
                <w:b/>
              </w:rPr>
              <w:t>Thirty-</w:t>
            </w:r>
            <w:r w:rsidR="00EE7E6D">
              <w:rPr>
                <w:b/>
              </w:rPr>
              <w:t>fifth</w:t>
            </w:r>
            <w:r w:rsidRPr="001B03EA">
              <w:rPr>
                <w:b/>
              </w:rPr>
              <w:t xml:space="preserve"> session</w:t>
            </w:r>
            <w:r w:rsidRPr="001B03EA">
              <w:t xml:space="preserve"> </w:t>
            </w:r>
          </w:p>
          <w:p w14:paraId="160A9450" w14:textId="77777777" w:rsidR="00EE7E6D" w:rsidRPr="00283442" w:rsidRDefault="00EE7E6D" w:rsidP="00EE7E6D">
            <w:pPr>
              <w:spacing w:before="40"/>
            </w:pPr>
            <w:r w:rsidRPr="00283442">
              <w:t xml:space="preserve">Geneva, </w:t>
            </w:r>
            <w:r>
              <w:t>4-6 July 2018</w:t>
            </w:r>
          </w:p>
          <w:p w14:paraId="2EE88CE4" w14:textId="45A1B071" w:rsidR="00EE7E6D" w:rsidRPr="00C6210B" w:rsidRDefault="00EE7E6D" w:rsidP="00EE7E6D">
            <w:pPr>
              <w:spacing w:before="40"/>
              <w:rPr>
                <w:highlight w:val="yellow"/>
              </w:rPr>
            </w:pPr>
            <w:r w:rsidRPr="006F47DE">
              <w:t xml:space="preserve">Item </w:t>
            </w:r>
            <w:r w:rsidR="007B4521">
              <w:t>3 (e</w:t>
            </w:r>
            <w:r>
              <w:t>)</w:t>
            </w:r>
            <w:r w:rsidRPr="006F47DE">
              <w:t xml:space="preserve"> of the provisional agenda</w:t>
            </w:r>
          </w:p>
          <w:p w14:paraId="4DA34DEE" w14:textId="3B839E1B" w:rsidR="00EE7E6D" w:rsidRPr="007B4521" w:rsidRDefault="007B4521" w:rsidP="00C30BD4">
            <w:pPr>
              <w:spacing w:line="240" w:lineRule="exact"/>
              <w:rPr>
                <w:b/>
                <w:bCs/>
              </w:rPr>
            </w:pPr>
            <w:r w:rsidRPr="007B4521">
              <w:rPr>
                <w:b/>
                <w:bCs/>
              </w:rPr>
              <w:t>Classification criteria and related hazard communication:</w:t>
            </w:r>
            <w:r w:rsidRPr="007B4521">
              <w:rPr>
                <w:b/>
                <w:bCs/>
              </w:rPr>
              <w:br/>
            </w:r>
            <w:r w:rsidRPr="007B4521">
              <w:rPr>
                <w:rFonts w:eastAsia="MS Mincho"/>
                <w:b/>
                <w:bCs/>
                <w:lang w:val="en-US" w:eastAsia="ja-JP"/>
              </w:rPr>
              <w:t>practical classification issues</w:t>
            </w:r>
          </w:p>
        </w:tc>
      </w:tr>
    </w:tbl>
    <w:p w14:paraId="1A6A6605" w14:textId="6AFD2BFA" w:rsidR="007B4521" w:rsidRPr="00172646" w:rsidRDefault="007B4521" w:rsidP="007B4521">
      <w:pPr>
        <w:pStyle w:val="HChG"/>
        <w:rPr>
          <w:rFonts w:eastAsia="MS Mincho"/>
        </w:rPr>
      </w:pPr>
      <w:r>
        <w:rPr>
          <w:rFonts w:eastAsia="MS Mincho"/>
        </w:rPr>
        <w:tab/>
      </w:r>
      <w:r>
        <w:rPr>
          <w:rFonts w:eastAsia="MS Mincho"/>
        </w:rPr>
        <w:tab/>
      </w:r>
      <w:r w:rsidRPr="00172646">
        <w:rPr>
          <w:rFonts w:eastAsia="MS Mincho"/>
        </w:rPr>
        <w:t>Update on the work of the informal correspondence group on Practical Classification Issues</w:t>
      </w:r>
    </w:p>
    <w:p w14:paraId="7ED88616" w14:textId="783F59C0" w:rsidR="007B4521" w:rsidRPr="00172646" w:rsidRDefault="007B4521" w:rsidP="007B4521">
      <w:pPr>
        <w:pStyle w:val="H1G"/>
        <w:rPr>
          <w:rFonts w:eastAsia="MS Mincho"/>
        </w:rPr>
      </w:pPr>
      <w:r>
        <w:rPr>
          <w:rFonts w:eastAsia="MS Mincho"/>
        </w:rPr>
        <w:tab/>
      </w:r>
      <w:r>
        <w:rPr>
          <w:rFonts w:eastAsia="MS Mincho"/>
        </w:rPr>
        <w:tab/>
      </w:r>
      <w:r w:rsidRPr="00172646">
        <w:rPr>
          <w:rFonts w:eastAsia="MS Mincho"/>
        </w:rPr>
        <w:t>Transmitted by the expert from the United States of America on behalf of the informal correspondence group on Practical Classification Issues</w:t>
      </w:r>
    </w:p>
    <w:p w14:paraId="539CE3A4" w14:textId="3FDCB16C" w:rsidR="007B4521" w:rsidRPr="00172646" w:rsidRDefault="007B4521" w:rsidP="007B4521">
      <w:pPr>
        <w:pStyle w:val="HChG"/>
        <w:tabs>
          <w:tab w:val="clear" w:pos="851"/>
        </w:tabs>
      </w:pPr>
      <w:r>
        <w:tab/>
      </w:r>
      <w:r w:rsidRPr="00172646">
        <w:t>Purpose</w:t>
      </w:r>
    </w:p>
    <w:p w14:paraId="44D5E8EA" w14:textId="35208365" w:rsidR="007B4521" w:rsidRPr="00172646" w:rsidRDefault="007B4521" w:rsidP="007B4521">
      <w:pPr>
        <w:pStyle w:val="SingleTxtG"/>
      </w:pPr>
      <w:r>
        <w:t>1.</w:t>
      </w:r>
      <w:r>
        <w:tab/>
      </w:r>
      <w:r w:rsidRPr="00172646">
        <w:t>The purpose of this document is to provide an update on the work undertaken by the Informal Correspondence Group on Practical Classification Issues (PCI).</w:t>
      </w:r>
    </w:p>
    <w:p w14:paraId="5D5526C8" w14:textId="469467F6" w:rsidR="007B4521" w:rsidRPr="00172646" w:rsidRDefault="007B4521" w:rsidP="007B4521">
      <w:pPr>
        <w:pStyle w:val="HChG"/>
        <w:ind w:left="0" w:firstLine="0"/>
      </w:pPr>
      <w:r>
        <w:tab/>
      </w:r>
      <w:r>
        <w:tab/>
      </w:r>
      <w:r w:rsidRPr="007B4521">
        <w:t>Background</w:t>
      </w:r>
    </w:p>
    <w:p w14:paraId="26BDB554" w14:textId="0A1F9D49" w:rsidR="007B4521" w:rsidRPr="00172646" w:rsidRDefault="007B4521" w:rsidP="007B4521">
      <w:pPr>
        <w:pStyle w:val="SingleTxtG"/>
      </w:pPr>
      <w:r>
        <w:t>2.</w:t>
      </w:r>
      <w:r>
        <w:tab/>
      </w:r>
      <w:r w:rsidRPr="00172646">
        <w:t xml:space="preserve">At its 32nd session, the Sub-Committee approved the program of work to be undertaken by the practical classification issues informal correspondence group for the current biennium (UN/SCEGHS/32/INF.39). </w:t>
      </w:r>
    </w:p>
    <w:p w14:paraId="56E215DB" w14:textId="0F14F7AF" w:rsidR="007B4521" w:rsidRPr="00172646" w:rsidRDefault="007B4521" w:rsidP="007B4521">
      <w:pPr>
        <w:pStyle w:val="SingleTxtG"/>
      </w:pPr>
      <w:r>
        <w:t>3.</w:t>
      </w:r>
      <w:r>
        <w:tab/>
      </w:r>
      <w:r w:rsidRPr="00172646">
        <w:t>This document presents a proposal that was the basis of discussions by the PCI working group during the 33</w:t>
      </w:r>
      <w:r w:rsidRPr="00172646">
        <w:rPr>
          <w:vertAlign w:val="superscript"/>
        </w:rPr>
        <w:t>rd</w:t>
      </w:r>
      <w:r w:rsidRPr="00172646">
        <w:t xml:space="preserve"> and 34</w:t>
      </w:r>
      <w:r w:rsidRPr="00172646">
        <w:rPr>
          <w:vertAlign w:val="superscript"/>
        </w:rPr>
        <w:t>th</w:t>
      </w:r>
      <w:r w:rsidRPr="00172646">
        <w:t xml:space="preserve"> Sessions.  The group has reached agreement on following issue and the proposed editorial amendments </w:t>
      </w:r>
      <w:r>
        <w:t xml:space="preserve">to the GHS </w:t>
      </w:r>
      <w:r w:rsidRPr="00172646">
        <w:t xml:space="preserve">are provided in the Annex below.   </w:t>
      </w:r>
    </w:p>
    <w:p w14:paraId="3A6D5132" w14:textId="7D4A6283" w:rsidR="007B4521" w:rsidRPr="00172646" w:rsidRDefault="007B4521" w:rsidP="007B4521">
      <w:pPr>
        <w:pStyle w:val="HChG"/>
      </w:pPr>
      <w:r>
        <w:tab/>
      </w:r>
      <w:r>
        <w:tab/>
      </w:r>
      <w:r w:rsidRPr="00172646">
        <w:t>Next steps</w:t>
      </w:r>
    </w:p>
    <w:p w14:paraId="0ED0AE74" w14:textId="08A787AA" w:rsidR="007B4521" w:rsidRPr="00172646" w:rsidRDefault="007B4521" w:rsidP="007B4521">
      <w:pPr>
        <w:pStyle w:val="SingleTxtG"/>
      </w:pPr>
      <w:r>
        <w:t>4.</w:t>
      </w:r>
      <w:r>
        <w:tab/>
      </w:r>
      <w:r w:rsidRPr="00172646">
        <w:t>Pending feedback from this document, the PCI group plans to submit a working paper for the 36</w:t>
      </w:r>
      <w:r w:rsidRPr="00172646">
        <w:rPr>
          <w:vertAlign w:val="superscript"/>
        </w:rPr>
        <w:t>th</w:t>
      </w:r>
      <w:r w:rsidRPr="00172646">
        <w:t xml:space="preserve"> Session.</w:t>
      </w:r>
    </w:p>
    <w:p w14:paraId="76C14FF6" w14:textId="77777777" w:rsidR="007B4521" w:rsidRPr="00172646" w:rsidRDefault="007B4521" w:rsidP="007B4521">
      <w:pPr>
        <w:spacing w:after="120"/>
        <w:ind w:left="1134" w:right="1134"/>
        <w:jc w:val="both"/>
        <w:rPr>
          <w:sz w:val="22"/>
          <w:szCs w:val="22"/>
        </w:rPr>
      </w:pPr>
    </w:p>
    <w:p w14:paraId="21ABF774" w14:textId="77777777" w:rsidR="007B4521" w:rsidRDefault="007B4521">
      <w:pPr>
        <w:suppressAutoHyphens w:val="0"/>
        <w:spacing w:line="240" w:lineRule="auto"/>
        <w:rPr>
          <w:b/>
          <w:sz w:val="28"/>
        </w:rPr>
      </w:pPr>
      <w:r>
        <w:br w:type="page"/>
      </w:r>
    </w:p>
    <w:p w14:paraId="258B5186" w14:textId="45CE980D" w:rsidR="007B4521" w:rsidRDefault="007B4521" w:rsidP="007B4521">
      <w:pPr>
        <w:pStyle w:val="HChG"/>
      </w:pPr>
      <w:r>
        <w:lastRenderedPageBreak/>
        <w:t>Annex</w:t>
      </w:r>
    </w:p>
    <w:p w14:paraId="1AAC90BF" w14:textId="049E6170" w:rsidR="007B4521" w:rsidRPr="00F30BF0" w:rsidRDefault="007B4521" w:rsidP="007B4521">
      <w:pPr>
        <w:pStyle w:val="HChG"/>
      </w:pPr>
      <w:r>
        <w:tab/>
      </w:r>
      <w:r>
        <w:tab/>
      </w:r>
      <w:r w:rsidRPr="00F30BF0">
        <w:t>PCI Item (b):</w:t>
      </w:r>
    </w:p>
    <w:p w14:paraId="63520825" w14:textId="77777777" w:rsidR="007B4521" w:rsidRPr="007B4521" w:rsidRDefault="007B4521" w:rsidP="007B4521">
      <w:pPr>
        <w:pStyle w:val="SingleTxtG"/>
        <w:rPr>
          <w:b/>
          <w:bCs/>
          <w:sz w:val="36"/>
        </w:rPr>
      </w:pPr>
      <w:r w:rsidRPr="007B4521">
        <w:rPr>
          <w:b/>
          <w:bCs/>
        </w:rPr>
        <w:t>Consider developing an example(s) to illustrate how to interpret both single exposure and repeated exposure data when interpreting the statements in Chapter 3.8 Specific Target Organ Toxicity – Single Exposure (GHS paragraph 3.8.1.6) and Chapter 3.9 Specific Target Organ Toxicity – Repeated Exposure (GHS paragraph 3.9.1.6) that effects covered in other health hazard chapters are not included in Chapters 3.8 and 3.9. In addition, the PCI will consider if further editorial updates to the GHS text are appropriate.</w:t>
      </w:r>
    </w:p>
    <w:p w14:paraId="31DD74C2" w14:textId="712BD615" w:rsidR="007B4521" w:rsidRDefault="007B4521" w:rsidP="007B4521">
      <w:pPr>
        <w:pStyle w:val="HChG"/>
      </w:pPr>
      <w:r>
        <w:rPr>
          <w:sz w:val="36"/>
        </w:rPr>
        <w:t xml:space="preserve"> </w:t>
      </w:r>
      <w:r>
        <w:tab/>
      </w:r>
      <w:r>
        <w:tab/>
      </w:r>
      <w:r w:rsidRPr="003B7400">
        <w:t>Chapter 3.8 STOT- Single Exposure</w:t>
      </w:r>
    </w:p>
    <w:p w14:paraId="601FB04A" w14:textId="1EFCB120" w:rsidR="007B4521" w:rsidRDefault="007B4521" w:rsidP="007B4521">
      <w:pPr>
        <w:pStyle w:val="H1G"/>
      </w:pPr>
      <w:r>
        <w:tab/>
      </w:r>
      <w:r>
        <w:tab/>
      </w:r>
      <w:r w:rsidRPr="002A3D80">
        <w:t>3.8.1</w:t>
      </w:r>
      <w:r w:rsidRPr="002A3D80">
        <w:tab/>
        <w:t>Definitions and general considerations</w:t>
      </w:r>
    </w:p>
    <w:p w14:paraId="33483176" w14:textId="079270C8" w:rsidR="007B4521" w:rsidRDefault="007B4521" w:rsidP="007B4521">
      <w:pPr>
        <w:pStyle w:val="SingleTxtG"/>
      </w:pPr>
      <w:r w:rsidRPr="002A3D80">
        <w:rPr>
          <w:snapToGrid w:val="0"/>
        </w:rPr>
        <w:t>3.8.1.1</w:t>
      </w:r>
      <w:r w:rsidRPr="002A3D80">
        <w:rPr>
          <w:snapToGrid w:val="0"/>
        </w:rPr>
        <w:tab/>
      </w:r>
      <w:r>
        <w:rPr>
          <w:snapToGrid w:val="0"/>
        </w:rPr>
        <w:tab/>
      </w:r>
      <w:r w:rsidRPr="002A3D80">
        <w:rPr>
          <w:i/>
          <w:snapToGrid w:val="0"/>
        </w:rPr>
        <w:t>Specific target organ toxicity</w:t>
      </w:r>
      <w:r w:rsidRPr="002A3D80">
        <w:rPr>
          <w:snapToGrid w:val="0"/>
        </w:rPr>
        <w:t xml:space="preserve"> – </w:t>
      </w:r>
      <w:r w:rsidRPr="002A3D80">
        <w:rPr>
          <w:i/>
          <w:snapToGrid w:val="0"/>
        </w:rPr>
        <w:t>single exposure</w:t>
      </w:r>
      <w:r>
        <w:rPr>
          <w:snapToGrid w:val="0"/>
        </w:rPr>
        <w:t xml:space="preserve"> </w:t>
      </w:r>
      <w:r w:rsidRPr="002A3D80">
        <w:rPr>
          <w:snapToGrid w:val="0"/>
        </w:rPr>
        <w:t xml:space="preserve">refers to specific, non-lethal toxic effects on target organs occurring after a single exposure to a substance or mixture. All significant health effects that can impair function, both reversible and irreversible, immediate and/or delayed </w:t>
      </w:r>
      <w:r w:rsidRPr="002A3D80">
        <w:t xml:space="preserve">and not specifically addressed in chapters 3.1 to 3.7 and 3.10 </w:t>
      </w:r>
      <w:r w:rsidRPr="002A3D80">
        <w:rPr>
          <w:snapToGrid w:val="0"/>
        </w:rPr>
        <w:t>are included</w:t>
      </w:r>
      <w:r w:rsidRPr="002A3D80">
        <w:t xml:space="preserve"> (see also para. 3.8.1.6).</w:t>
      </w:r>
    </w:p>
    <w:p w14:paraId="183A413F" w14:textId="227A6533" w:rsidR="007B4521" w:rsidRPr="00A734E5" w:rsidRDefault="007B4521" w:rsidP="007B4521">
      <w:pPr>
        <w:pStyle w:val="SingleTxtG"/>
        <w:rPr>
          <w:bCs/>
          <w:snapToGrid w:val="0"/>
          <w:color w:val="000000"/>
          <w:lang w:eastAsia="fr-FR"/>
        </w:rPr>
      </w:pPr>
      <w:r w:rsidRPr="00A734E5">
        <w:rPr>
          <w:bCs/>
          <w:snapToGrid w:val="0"/>
          <w:color w:val="000000"/>
          <w:lang w:eastAsia="fr-FR"/>
        </w:rPr>
        <w:t>3.8.1.6</w:t>
      </w:r>
      <w:r w:rsidRPr="00A734E5">
        <w:rPr>
          <w:bCs/>
          <w:snapToGrid w:val="0"/>
          <w:color w:val="000000"/>
          <w:lang w:eastAsia="fr-FR"/>
        </w:rPr>
        <w:tab/>
      </w:r>
      <w:r>
        <w:rPr>
          <w:bCs/>
          <w:snapToGrid w:val="0"/>
          <w:color w:val="000000"/>
          <w:lang w:eastAsia="fr-FR"/>
        </w:rPr>
        <w:tab/>
      </w:r>
      <w:r w:rsidRPr="00A734E5">
        <w:rPr>
          <w:bCs/>
          <w:snapToGrid w:val="0"/>
          <w:color w:val="000000"/>
          <w:lang w:eastAsia="fr-FR"/>
        </w:rPr>
        <w:t xml:space="preserve">Specific target organ toxicity following a repeated exposure is classified in the GHS as described in Specific target organ toxicity – Repeated exposure (Chapter 3.9) and is therefore excluded from the present chapter. </w:t>
      </w:r>
      <w:r w:rsidRPr="00114E37">
        <w:rPr>
          <w:snapToGrid w:val="0"/>
          <w:u w:val="single"/>
        </w:rPr>
        <w:t xml:space="preserve">Substances and mixtures should be classified for single and repeated </w:t>
      </w:r>
      <w:r>
        <w:rPr>
          <w:snapToGrid w:val="0"/>
          <w:u w:val="single"/>
        </w:rPr>
        <w:t>dose</w:t>
      </w:r>
      <w:r w:rsidRPr="00114E37">
        <w:rPr>
          <w:snapToGrid w:val="0"/>
          <w:u w:val="single"/>
        </w:rPr>
        <w:t xml:space="preserve"> toxicity independently. </w:t>
      </w:r>
      <w:r>
        <w:rPr>
          <w:bCs/>
          <w:snapToGrid w:val="0"/>
          <w:color w:val="000000"/>
          <w:lang w:eastAsia="fr-FR"/>
        </w:rPr>
        <w:t xml:space="preserve"> </w:t>
      </w:r>
      <w:r w:rsidRPr="00640035">
        <w:rPr>
          <w:bCs/>
          <w:strike/>
          <w:snapToGrid w:val="0"/>
          <w:color w:val="000000"/>
          <w:lang w:eastAsia="fr-FR"/>
        </w:rPr>
        <w:t>Other specific toxic effects, listed below are assessed separately in the GHS and consequently are not included here:</w:t>
      </w:r>
    </w:p>
    <w:p w14:paraId="0DE5BC92" w14:textId="77777777" w:rsidR="007B4521" w:rsidRPr="007B4521" w:rsidRDefault="007B4521" w:rsidP="007B4521">
      <w:pPr>
        <w:pStyle w:val="SingleTxtG"/>
        <w:ind w:left="2268"/>
        <w:rPr>
          <w:strike/>
          <w:snapToGrid w:val="0"/>
          <w:lang w:eastAsia="fr-FR"/>
        </w:rPr>
      </w:pPr>
      <w:r w:rsidRPr="007B4521">
        <w:rPr>
          <w:strike/>
          <w:snapToGrid w:val="0"/>
          <w:lang w:eastAsia="fr-FR"/>
        </w:rPr>
        <w:t>(a)</w:t>
      </w:r>
      <w:r w:rsidRPr="007B4521">
        <w:rPr>
          <w:strike/>
          <w:snapToGrid w:val="0"/>
          <w:lang w:eastAsia="fr-FR"/>
        </w:rPr>
        <w:tab/>
        <w:t>acute toxicity (Chapter 3.1);</w:t>
      </w:r>
    </w:p>
    <w:p w14:paraId="417FE6BC" w14:textId="77777777" w:rsidR="007B4521" w:rsidRPr="007B4521" w:rsidRDefault="007B4521" w:rsidP="007B4521">
      <w:pPr>
        <w:pStyle w:val="SingleTxtG"/>
        <w:ind w:left="2268"/>
        <w:rPr>
          <w:strike/>
          <w:snapToGrid w:val="0"/>
          <w:lang w:eastAsia="fr-FR"/>
        </w:rPr>
      </w:pPr>
      <w:r w:rsidRPr="007B4521">
        <w:rPr>
          <w:strike/>
          <w:snapToGrid w:val="0"/>
          <w:lang w:eastAsia="fr-FR"/>
        </w:rPr>
        <w:t>(b)</w:t>
      </w:r>
      <w:r w:rsidRPr="007B4521">
        <w:rPr>
          <w:strike/>
          <w:snapToGrid w:val="0"/>
          <w:lang w:eastAsia="fr-FR"/>
        </w:rPr>
        <w:tab/>
        <w:t xml:space="preserve">skin corrosion/irritation (Chapter 3.2); </w:t>
      </w:r>
    </w:p>
    <w:p w14:paraId="62C38EE4" w14:textId="77777777" w:rsidR="007B4521" w:rsidRPr="007B4521" w:rsidRDefault="007B4521" w:rsidP="007B4521">
      <w:pPr>
        <w:pStyle w:val="SingleTxtG"/>
        <w:ind w:left="2268"/>
        <w:rPr>
          <w:strike/>
          <w:snapToGrid w:val="0"/>
          <w:lang w:eastAsia="fr-FR"/>
        </w:rPr>
      </w:pPr>
      <w:r w:rsidRPr="007B4521">
        <w:rPr>
          <w:strike/>
          <w:snapToGrid w:val="0"/>
          <w:lang w:eastAsia="fr-FR"/>
        </w:rPr>
        <w:t>(c)</w:t>
      </w:r>
      <w:r w:rsidRPr="007B4521">
        <w:rPr>
          <w:strike/>
          <w:snapToGrid w:val="0"/>
          <w:lang w:eastAsia="fr-FR"/>
        </w:rPr>
        <w:tab/>
        <w:t xml:space="preserve">serious eye damage/eye irritation (Chapter 3.3); </w:t>
      </w:r>
    </w:p>
    <w:p w14:paraId="034D9D72" w14:textId="77777777" w:rsidR="007B4521" w:rsidRPr="007B4521" w:rsidRDefault="007B4521" w:rsidP="007B4521">
      <w:pPr>
        <w:pStyle w:val="SingleTxtG"/>
        <w:ind w:left="2268"/>
        <w:rPr>
          <w:strike/>
          <w:snapToGrid w:val="0"/>
          <w:lang w:eastAsia="fr-FR"/>
        </w:rPr>
      </w:pPr>
      <w:r w:rsidRPr="007B4521">
        <w:rPr>
          <w:strike/>
          <w:snapToGrid w:val="0"/>
          <w:lang w:eastAsia="fr-FR"/>
        </w:rPr>
        <w:t>(d)</w:t>
      </w:r>
      <w:r w:rsidRPr="007B4521">
        <w:rPr>
          <w:strike/>
          <w:snapToGrid w:val="0"/>
          <w:lang w:eastAsia="fr-FR"/>
        </w:rPr>
        <w:tab/>
        <w:t xml:space="preserve">respiratory or skin sensitization (Chapter 3.4); </w:t>
      </w:r>
    </w:p>
    <w:p w14:paraId="539DBF02" w14:textId="77777777" w:rsidR="007B4521" w:rsidRPr="007B4521" w:rsidRDefault="007B4521" w:rsidP="007B4521">
      <w:pPr>
        <w:pStyle w:val="SingleTxtG"/>
        <w:ind w:left="2268"/>
        <w:rPr>
          <w:strike/>
          <w:snapToGrid w:val="0"/>
          <w:lang w:eastAsia="fr-FR"/>
        </w:rPr>
      </w:pPr>
      <w:r w:rsidRPr="007B4521">
        <w:rPr>
          <w:strike/>
          <w:snapToGrid w:val="0"/>
          <w:lang w:eastAsia="fr-FR"/>
        </w:rPr>
        <w:t>(e)</w:t>
      </w:r>
      <w:r w:rsidRPr="007B4521">
        <w:rPr>
          <w:strike/>
          <w:snapToGrid w:val="0"/>
          <w:lang w:eastAsia="fr-FR"/>
        </w:rPr>
        <w:tab/>
        <w:t>germ cell mutagenicity (Chapter 3.5);</w:t>
      </w:r>
    </w:p>
    <w:p w14:paraId="65B58A17" w14:textId="77777777" w:rsidR="007B4521" w:rsidRPr="007B4521" w:rsidRDefault="007B4521" w:rsidP="007B4521">
      <w:pPr>
        <w:pStyle w:val="SingleTxtG"/>
        <w:ind w:left="2268"/>
        <w:rPr>
          <w:strike/>
          <w:snapToGrid w:val="0"/>
          <w:lang w:eastAsia="fr-FR"/>
        </w:rPr>
      </w:pPr>
      <w:r w:rsidRPr="007B4521">
        <w:rPr>
          <w:strike/>
          <w:snapToGrid w:val="0"/>
          <w:lang w:eastAsia="fr-FR"/>
        </w:rPr>
        <w:t>(f)</w:t>
      </w:r>
      <w:r w:rsidRPr="007B4521">
        <w:rPr>
          <w:strike/>
          <w:snapToGrid w:val="0"/>
          <w:lang w:eastAsia="fr-FR"/>
        </w:rPr>
        <w:tab/>
        <w:t xml:space="preserve">carcinogenicity (Chapter 3.6); </w:t>
      </w:r>
    </w:p>
    <w:p w14:paraId="007F8773" w14:textId="77777777" w:rsidR="007B4521" w:rsidRPr="007B4521" w:rsidRDefault="007B4521" w:rsidP="007B4521">
      <w:pPr>
        <w:pStyle w:val="SingleTxtG"/>
        <w:ind w:left="2268"/>
        <w:rPr>
          <w:strike/>
          <w:snapToGrid w:val="0"/>
          <w:lang w:eastAsia="fr-FR"/>
        </w:rPr>
      </w:pPr>
      <w:r w:rsidRPr="007B4521">
        <w:rPr>
          <w:strike/>
          <w:snapToGrid w:val="0"/>
          <w:lang w:eastAsia="fr-FR"/>
        </w:rPr>
        <w:t>(g)</w:t>
      </w:r>
      <w:r w:rsidRPr="007B4521">
        <w:rPr>
          <w:strike/>
          <w:snapToGrid w:val="0"/>
          <w:lang w:eastAsia="fr-FR"/>
        </w:rPr>
        <w:tab/>
        <w:t>reproductive toxicity (Chapter 3.7); and</w:t>
      </w:r>
    </w:p>
    <w:p w14:paraId="377BFA41" w14:textId="77777777" w:rsidR="007B4521" w:rsidRPr="007B4521" w:rsidRDefault="007B4521" w:rsidP="007B4521">
      <w:pPr>
        <w:pStyle w:val="SingleTxtG"/>
        <w:ind w:left="2268"/>
        <w:rPr>
          <w:strike/>
          <w:snapToGrid w:val="0"/>
          <w:lang w:eastAsia="fr-FR"/>
        </w:rPr>
      </w:pPr>
      <w:r w:rsidRPr="007B4521">
        <w:rPr>
          <w:strike/>
          <w:snapToGrid w:val="0"/>
          <w:lang w:eastAsia="fr-FR"/>
        </w:rPr>
        <w:t>(h)</w:t>
      </w:r>
      <w:r w:rsidRPr="007B4521">
        <w:rPr>
          <w:strike/>
          <w:snapToGrid w:val="0"/>
          <w:lang w:eastAsia="fr-FR"/>
        </w:rPr>
        <w:tab/>
        <w:t>aspiration toxicity (Chapter 3.10).</w:t>
      </w:r>
    </w:p>
    <w:p w14:paraId="2A3C614A" w14:textId="77777777" w:rsidR="007B4521" w:rsidRPr="007B4521" w:rsidRDefault="007B4521" w:rsidP="007B4521">
      <w:pPr>
        <w:pStyle w:val="SingleTxtG"/>
        <w:rPr>
          <w:snapToGrid w:val="0"/>
          <w:u w:val="single"/>
        </w:rPr>
      </w:pPr>
      <w:r w:rsidRPr="007B4521">
        <w:rPr>
          <w:snapToGrid w:val="0"/>
          <w:u w:val="single"/>
        </w:rPr>
        <w:t>Other specific toxic effects, such as acute toxicity, serious eye damage/eye irritation, skin corrosion/irritation, respiratory or skin sensitization, carcinogenicity, germ cell mutagenicity, reproductive toxicity and aspiration toxicity are assessed separately in the GHS and consequently are not included here.</w:t>
      </w:r>
    </w:p>
    <w:p w14:paraId="1866B316" w14:textId="426D1BC0" w:rsidR="007B4521" w:rsidRDefault="007B4521" w:rsidP="007B4521">
      <w:pPr>
        <w:pStyle w:val="H1G"/>
      </w:pPr>
      <w:r>
        <w:tab/>
      </w:r>
      <w:r>
        <w:tab/>
      </w:r>
      <w:r w:rsidRPr="00114E37">
        <w:t>3.8.3</w:t>
      </w:r>
      <w:r w:rsidRPr="00114E37">
        <w:tab/>
      </w:r>
      <w:r>
        <w:tab/>
      </w:r>
      <w:r w:rsidRPr="00114E37">
        <w:t>Classification criteria for mixtures</w:t>
      </w:r>
    </w:p>
    <w:p w14:paraId="58B44E34" w14:textId="29B7E9E7" w:rsidR="007B4521" w:rsidRPr="00821ED3" w:rsidRDefault="007B4521" w:rsidP="007B4521">
      <w:pPr>
        <w:pStyle w:val="SingleTxtG"/>
        <w:rPr>
          <w:snapToGrid w:val="0"/>
          <w:u w:val="single"/>
        </w:rPr>
      </w:pPr>
      <w:r w:rsidRPr="00114E37">
        <w:rPr>
          <w:snapToGrid w:val="0"/>
        </w:rPr>
        <w:t>3.8.3.1</w:t>
      </w:r>
      <w:r w:rsidRPr="00114E37">
        <w:rPr>
          <w:snapToGrid w:val="0"/>
        </w:rPr>
        <w:tab/>
      </w:r>
      <w:r>
        <w:rPr>
          <w:snapToGrid w:val="0"/>
        </w:rPr>
        <w:tab/>
      </w:r>
      <w:r w:rsidRPr="00114E37">
        <w:rPr>
          <w:snapToGrid w:val="0"/>
        </w:rPr>
        <w:t xml:space="preserve">Mixtures are classified using the same criteria as for substances, or alternatively as described below. As with substances, </w:t>
      </w:r>
      <w:r w:rsidRPr="00821ED3">
        <w:rPr>
          <w:strike/>
          <w:snapToGrid w:val="0"/>
        </w:rPr>
        <w:t>mixtures may be classified for specific target organ toxicity following single exposure, repeated exposure, or both.</w:t>
      </w:r>
      <w:r>
        <w:rPr>
          <w:strike/>
          <w:snapToGrid w:val="0"/>
        </w:rPr>
        <w:t xml:space="preserve">  </w:t>
      </w:r>
      <w:r>
        <w:rPr>
          <w:snapToGrid w:val="0"/>
          <w:u w:val="single"/>
        </w:rPr>
        <w:t>m</w:t>
      </w:r>
      <w:r w:rsidRPr="00821ED3">
        <w:rPr>
          <w:snapToGrid w:val="0"/>
          <w:u w:val="single"/>
        </w:rPr>
        <w:t>ixtures should be classified for single and repeated dose toxicity</w:t>
      </w:r>
      <w:r>
        <w:rPr>
          <w:snapToGrid w:val="0"/>
          <w:u w:val="single"/>
        </w:rPr>
        <w:t xml:space="preserve"> (Chapter 3.9)</w:t>
      </w:r>
      <w:r w:rsidRPr="00821ED3">
        <w:rPr>
          <w:snapToGrid w:val="0"/>
          <w:u w:val="single"/>
        </w:rPr>
        <w:t xml:space="preserve"> independently.</w:t>
      </w:r>
    </w:p>
    <w:p w14:paraId="1829000D" w14:textId="77777777" w:rsidR="007B4521" w:rsidRPr="00114E37" w:rsidRDefault="007B4521" w:rsidP="007B4521">
      <w:pPr>
        <w:pStyle w:val="SingleTxtG"/>
        <w:rPr>
          <w:snapToGrid w:val="0"/>
        </w:rPr>
      </w:pPr>
      <w:r w:rsidRPr="00114E37">
        <w:rPr>
          <w:snapToGrid w:val="0"/>
        </w:rPr>
        <w:lastRenderedPageBreak/>
        <w:t>3.8.3.4.1</w:t>
      </w:r>
      <w:r w:rsidRPr="00114E37">
        <w:rPr>
          <w:snapToGrid w:val="0"/>
        </w:rPr>
        <w:tab/>
        <w:t>Where there is no reliable evidence or test data for the specific mixture itself, and the bridging principles cannot be used to enable classification, then classification of the mixture is based on the classification of the ingredient substances. In this case, the mixture will be classified as a specific target organ toxicant (specific organ specified), following single exposure</w:t>
      </w:r>
      <w:r w:rsidRPr="00114E37">
        <w:rPr>
          <w:strike/>
          <w:snapToGrid w:val="0"/>
        </w:rPr>
        <w:t>, repeated exposure, or both</w:t>
      </w:r>
      <w:r w:rsidRPr="00114E37">
        <w:rPr>
          <w:snapToGrid w:val="0"/>
        </w:rPr>
        <w:t xml:space="preserve"> when at least one ingredient has been classified as a Category 1 or Category 2 specific target organ toxicant</w:t>
      </w:r>
      <w:r w:rsidRPr="005D00B3">
        <w:rPr>
          <w:snapToGrid w:val="0"/>
          <w:u w:val="single"/>
        </w:rPr>
        <w:t>- single exposure</w:t>
      </w:r>
      <w:r w:rsidRPr="00114E37">
        <w:rPr>
          <w:snapToGrid w:val="0"/>
        </w:rPr>
        <w:t xml:space="preserve"> and is present at or above the appropriate cut-off value/concentration limit as mentioned in Table 3.8.2 below for Category 1 and 2 respectively.</w:t>
      </w:r>
    </w:p>
    <w:p w14:paraId="77F3C06C" w14:textId="77777777" w:rsidR="007B4521" w:rsidRPr="007B4521" w:rsidRDefault="007B4521" w:rsidP="007B4521">
      <w:pPr>
        <w:pStyle w:val="SingleTxtG"/>
        <w:rPr>
          <w:strike/>
          <w:snapToGrid w:val="0"/>
        </w:rPr>
      </w:pPr>
      <w:r w:rsidRPr="007B4521">
        <w:rPr>
          <w:strike/>
          <w:snapToGrid w:val="0"/>
        </w:rPr>
        <w:t>3.8.3.4.2</w:t>
      </w:r>
      <w:r w:rsidRPr="007B4521">
        <w:rPr>
          <w:strike/>
          <w:snapToGrid w:val="0"/>
        </w:rPr>
        <w:tab/>
        <w:t xml:space="preserve">These cut-off values and consequent classifications should be applied equally and appropriately </w:t>
      </w:r>
      <w:r w:rsidRPr="007B4521">
        <w:rPr>
          <w:strike/>
          <w:snapToGrid w:val="0"/>
          <w:u w:val="single"/>
        </w:rPr>
        <w:t>independently</w:t>
      </w:r>
      <w:r w:rsidRPr="007B4521">
        <w:rPr>
          <w:strike/>
          <w:snapToGrid w:val="0"/>
        </w:rPr>
        <w:t xml:space="preserve"> to both single- and repeated-dose target organ toxicants.</w:t>
      </w:r>
    </w:p>
    <w:p w14:paraId="292777A7" w14:textId="77777777" w:rsidR="007B4521" w:rsidRPr="007B4521" w:rsidRDefault="007B4521" w:rsidP="007B4521">
      <w:pPr>
        <w:pStyle w:val="SingleTxtG"/>
        <w:rPr>
          <w:strike/>
          <w:snapToGrid w:val="0"/>
        </w:rPr>
      </w:pPr>
      <w:r w:rsidRPr="007B4521">
        <w:rPr>
          <w:strike/>
          <w:snapToGrid w:val="0"/>
        </w:rPr>
        <w:t>3.8.3.4.3</w:t>
      </w:r>
      <w:r w:rsidRPr="007B4521">
        <w:rPr>
          <w:strike/>
          <w:snapToGrid w:val="0"/>
        </w:rPr>
        <w:tab/>
        <w:t>Mixtures should be classified for either or both single and repeated dose toxicity independently.</w:t>
      </w:r>
    </w:p>
    <w:p w14:paraId="6A25F990" w14:textId="77777777" w:rsidR="007B4521" w:rsidRDefault="007B4521" w:rsidP="007B4521">
      <w:pPr>
        <w:pStyle w:val="SingleTxtG"/>
        <w:rPr>
          <w:snapToGrid w:val="0"/>
        </w:rPr>
      </w:pPr>
      <w:r>
        <w:rPr>
          <w:snapToGrid w:val="0"/>
        </w:rPr>
        <w:t>[Note:  The numbering of subsequent paragraphs will need to be adjusted appropriately]</w:t>
      </w:r>
    </w:p>
    <w:p w14:paraId="4524F7AD" w14:textId="1D57D55C" w:rsidR="007B4521" w:rsidRPr="00F30BF0" w:rsidRDefault="007B4521" w:rsidP="007B4521">
      <w:pPr>
        <w:pStyle w:val="HChG"/>
        <w:spacing w:before="240" w:after="120"/>
      </w:pPr>
      <w:r>
        <w:tab/>
      </w:r>
      <w:r>
        <w:tab/>
      </w:r>
      <w:r w:rsidRPr="00F30BF0">
        <w:t>Chapter 3.9 STOT</w:t>
      </w:r>
      <w:r>
        <w:t xml:space="preserve"> </w:t>
      </w:r>
      <w:r w:rsidRPr="00F30BF0">
        <w:t>- Repeated Exposure</w:t>
      </w:r>
    </w:p>
    <w:p w14:paraId="16B751FA" w14:textId="57D6215F" w:rsidR="007B4521" w:rsidRPr="00172646" w:rsidRDefault="007B4521" w:rsidP="007B4521">
      <w:pPr>
        <w:pStyle w:val="H1G"/>
        <w:spacing w:before="240" w:after="120"/>
      </w:pPr>
      <w:r>
        <w:tab/>
      </w:r>
      <w:r>
        <w:tab/>
      </w:r>
      <w:r w:rsidRPr="00172646">
        <w:t>3.9.1</w:t>
      </w:r>
      <w:r w:rsidRPr="00172646">
        <w:tab/>
      </w:r>
      <w:r>
        <w:tab/>
      </w:r>
      <w:r w:rsidRPr="00172646">
        <w:t>Definitions and general considerations</w:t>
      </w:r>
    </w:p>
    <w:p w14:paraId="09071EC5" w14:textId="18BE9C5A" w:rsidR="007B4521" w:rsidRDefault="007B4521" w:rsidP="007B4521">
      <w:pPr>
        <w:pStyle w:val="SingleTxtG"/>
        <w:rPr>
          <w:snapToGrid w:val="0"/>
          <w:u w:val="single"/>
        </w:rPr>
      </w:pPr>
      <w:r w:rsidRPr="002A3D80">
        <w:rPr>
          <w:snapToGrid w:val="0"/>
        </w:rPr>
        <w:t>3.9.1.1</w:t>
      </w:r>
      <w:r w:rsidRPr="002A3D80">
        <w:rPr>
          <w:snapToGrid w:val="0"/>
        </w:rPr>
        <w:tab/>
      </w:r>
      <w:r>
        <w:rPr>
          <w:snapToGrid w:val="0"/>
        </w:rPr>
        <w:tab/>
      </w:r>
      <w:r w:rsidRPr="00F30BF0">
        <w:rPr>
          <w:i/>
          <w:snapToGrid w:val="0"/>
        </w:rPr>
        <w:t>Specific target organ toxicity-repeated exposure</w:t>
      </w:r>
      <w:r>
        <w:rPr>
          <w:snapToGrid w:val="0"/>
        </w:rPr>
        <w:t xml:space="preserve"> </w:t>
      </w:r>
      <w:r w:rsidRPr="002A3D80">
        <w:rPr>
          <w:snapToGrid w:val="0"/>
        </w:rPr>
        <w:t xml:space="preserve">refers to specific toxic effects on target organs occurring after repeated exposure to a substance or mixture. All significant health effects that can impair function, both reversible and irreversible, immediate and/or delayed </w:t>
      </w:r>
      <w:r w:rsidRPr="002A3D80">
        <w:rPr>
          <w:snapToGrid w:val="0"/>
          <w:u w:val="single"/>
        </w:rPr>
        <w:t>and not specifically addressed in chapters 3.1 to 3.7 and 3.10 are included (see also para. 3.9</w:t>
      </w:r>
      <w:r>
        <w:rPr>
          <w:snapToGrid w:val="0"/>
          <w:u w:val="single"/>
        </w:rPr>
        <w:t>.1.6)</w:t>
      </w:r>
      <w:r w:rsidRPr="002A3D80">
        <w:rPr>
          <w:snapToGrid w:val="0"/>
          <w:u w:val="single"/>
        </w:rPr>
        <w:t>.</w:t>
      </w:r>
    </w:p>
    <w:p w14:paraId="77B4795F" w14:textId="0684C053" w:rsidR="007B4521" w:rsidRPr="00F30BF0" w:rsidRDefault="007B4521" w:rsidP="007B4521">
      <w:pPr>
        <w:pStyle w:val="SingleTxtG"/>
        <w:rPr>
          <w:snapToGrid w:val="0"/>
        </w:rPr>
      </w:pPr>
      <w:r w:rsidRPr="00F30BF0">
        <w:rPr>
          <w:snapToGrid w:val="0"/>
        </w:rPr>
        <w:t>3.9.1.6</w:t>
      </w:r>
      <w:r w:rsidRPr="00F30BF0">
        <w:rPr>
          <w:snapToGrid w:val="0"/>
        </w:rPr>
        <w:tab/>
      </w:r>
      <w:r>
        <w:rPr>
          <w:snapToGrid w:val="0"/>
        </w:rPr>
        <w:tab/>
      </w:r>
      <w:r w:rsidRPr="00F30BF0">
        <w:rPr>
          <w:snapToGrid w:val="0"/>
        </w:rPr>
        <w:t xml:space="preserve">Non-lethal toxic effects observed after a single-event exposure are classified in the GHS as described in Specific target organ toxicity – Single exposure (Chapter 3.8) and are therefore excluded from the present chapter. </w:t>
      </w:r>
      <w:r w:rsidRPr="00F30BF0">
        <w:rPr>
          <w:snapToGrid w:val="0"/>
          <w:u w:val="single"/>
        </w:rPr>
        <w:t xml:space="preserve">Substances and mixtures should be classified for single and repeated dose toxicity independently. </w:t>
      </w:r>
      <w:r w:rsidRPr="00F30BF0">
        <w:rPr>
          <w:snapToGrid w:val="0"/>
        </w:rPr>
        <w:t xml:space="preserve"> Other specific toxic effects, such as acute toxicity, serious eye damage/eye irritation, skin corrosion/irritation, respiratory or skin sensitization, carcinogenicity, germ cell mutagenicity, reproductive toxicity and aspiration toxicity are assessed separately in the GHS and consequently are not included here.</w:t>
      </w:r>
    </w:p>
    <w:p w14:paraId="7F7E90EA" w14:textId="1AA0F445" w:rsidR="007B4521" w:rsidRDefault="007B4521" w:rsidP="007B4521">
      <w:pPr>
        <w:pStyle w:val="H1G"/>
        <w:spacing w:before="240" w:after="120"/>
      </w:pPr>
      <w:r>
        <w:tab/>
      </w:r>
      <w:r>
        <w:tab/>
        <w:t>3.9</w:t>
      </w:r>
      <w:r w:rsidRPr="00114E37">
        <w:t>.3</w:t>
      </w:r>
      <w:r w:rsidRPr="00114E37">
        <w:tab/>
      </w:r>
      <w:r>
        <w:tab/>
      </w:r>
      <w:r w:rsidRPr="00114E37">
        <w:t>Classification criteria for mixtures</w:t>
      </w:r>
    </w:p>
    <w:p w14:paraId="1827CD4C" w14:textId="24E3778B" w:rsidR="007B4521" w:rsidRPr="00821ED3" w:rsidRDefault="007B4521" w:rsidP="007B4521">
      <w:pPr>
        <w:pStyle w:val="SingleTxtG"/>
        <w:rPr>
          <w:snapToGrid w:val="0"/>
          <w:u w:val="single"/>
        </w:rPr>
      </w:pPr>
      <w:r>
        <w:rPr>
          <w:snapToGrid w:val="0"/>
        </w:rPr>
        <w:t>3.9</w:t>
      </w:r>
      <w:r w:rsidRPr="00114E37">
        <w:rPr>
          <w:snapToGrid w:val="0"/>
        </w:rPr>
        <w:t>.3.1</w:t>
      </w:r>
      <w:r w:rsidRPr="00114E37">
        <w:rPr>
          <w:snapToGrid w:val="0"/>
        </w:rPr>
        <w:tab/>
      </w:r>
      <w:r>
        <w:rPr>
          <w:snapToGrid w:val="0"/>
        </w:rPr>
        <w:tab/>
      </w:r>
      <w:r w:rsidRPr="00114E37">
        <w:rPr>
          <w:snapToGrid w:val="0"/>
        </w:rPr>
        <w:t xml:space="preserve">Mixtures are classified using the same criteria as for substances, or alternatively as described below. As with substances, </w:t>
      </w:r>
      <w:r w:rsidRPr="00821ED3">
        <w:rPr>
          <w:strike/>
          <w:snapToGrid w:val="0"/>
        </w:rPr>
        <w:t>mixtures may be classified for specific target organ toxicity following single exposure, repeated exposure, or both.</w:t>
      </w:r>
      <w:r>
        <w:rPr>
          <w:strike/>
          <w:snapToGrid w:val="0"/>
        </w:rPr>
        <w:t xml:space="preserve">  </w:t>
      </w:r>
      <w:r>
        <w:rPr>
          <w:snapToGrid w:val="0"/>
          <w:u w:val="single"/>
        </w:rPr>
        <w:t>m</w:t>
      </w:r>
      <w:r w:rsidRPr="00821ED3">
        <w:rPr>
          <w:snapToGrid w:val="0"/>
          <w:u w:val="single"/>
        </w:rPr>
        <w:t xml:space="preserve">ixtures should be classified for single </w:t>
      </w:r>
      <w:r>
        <w:rPr>
          <w:snapToGrid w:val="0"/>
          <w:u w:val="single"/>
        </w:rPr>
        <w:t xml:space="preserve">(Chapter 3.8) </w:t>
      </w:r>
      <w:r w:rsidRPr="00821ED3">
        <w:rPr>
          <w:snapToGrid w:val="0"/>
          <w:u w:val="single"/>
        </w:rPr>
        <w:t>and repeated dose toxicity independently.</w:t>
      </w:r>
    </w:p>
    <w:p w14:paraId="49FB91CF" w14:textId="77777777" w:rsidR="007B4521" w:rsidRPr="00114E37" w:rsidRDefault="007B4521" w:rsidP="007B4521">
      <w:pPr>
        <w:pStyle w:val="SingleTxtG"/>
        <w:rPr>
          <w:snapToGrid w:val="0"/>
        </w:rPr>
      </w:pPr>
      <w:r>
        <w:rPr>
          <w:snapToGrid w:val="0"/>
        </w:rPr>
        <w:t>3.9</w:t>
      </w:r>
      <w:r w:rsidRPr="00114E37">
        <w:rPr>
          <w:snapToGrid w:val="0"/>
        </w:rPr>
        <w:t>.3.4.1</w:t>
      </w:r>
      <w:r w:rsidRPr="00114E37">
        <w:rPr>
          <w:snapToGrid w:val="0"/>
        </w:rPr>
        <w:tab/>
        <w:t>Where there is no reliable evidence or test data for the specific mixture itself, and the bridging principles cannot be used to enable classification, then classification of the mixture is based on t</w:t>
      </w:r>
      <w:bookmarkStart w:id="0" w:name="_GoBack"/>
      <w:bookmarkEnd w:id="0"/>
      <w:r w:rsidRPr="00114E37">
        <w:rPr>
          <w:snapToGrid w:val="0"/>
        </w:rPr>
        <w:t xml:space="preserve">he classification of the ingredient substances. In this case, the mixture will be classified as a specific target organ toxicant (specific organ specified), following </w:t>
      </w:r>
      <w:r w:rsidRPr="0024226C">
        <w:rPr>
          <w:strike/>
          <w:snapToGrid w:val="0"/>
        </w:rPr>
        <w:t xml:space="preserve">single exposure, </w:t>
      </w:r>
      <w:r w:rsidRPr="0024226C">
        <w:rPr>
          <w:snapToGrid w:val="0"/>
        </w:rPr>
        <w:t>repeated exposure,</w:t>
      </w:r>
      <w:r w:rsidRPr="00114E37">
        <w:rPr>
          <w:strike/>
          <w:snapToGrid w:val="0"/>
        </w:rPr>
        <w:t xml:space="preserve"> or both</w:t>
      </w:r>
      <w:r w:rsidRPr="00114E37">
        <w:rPr>
          <w:snapToGrid w:val="0"/>
        </w:rPr>
        <w:t xml:space="preserve"> when at least one ingredient has been classified as a Category 1 or Category 2 specific target organ toxicant</w:t>
      </w:r>
      <w:r>
        <w:rPr>
          <w:snapToGrid w:val="0"/>
        </w:rPr>
        <w:t xml:space="preserve"> </w:t>
      </w:r>
      <w:r w:rsidRPr="005D00B3">
        <w:rPr>
          <w:snapToGrid w:val="0"/>
          <w:u w:val="single"/>
        </w:rPr>
        <w:t xml:space="preserve">–repeated exposure </w:t>
      </w:r>
      <w:r w:rsidRPr="00114E37">
        <w:rPr>
          <w:snapToGrid w:val="0"/>
        </w:rPr>
        <w:t>and is present at or above the appropriate cut-off value/concentration</w:t>
      </w:r>
      <w:r>
        <w:rPr>
          <w:snapToGrid w:val="0"/>
        </w:rPr>
        <w:t xml:space="preserve"> limit as mentioned in Table 3.9</w:t>
      </w:r>
      <w:r w:rsidRPr="00114E37">
        <w:rPr>
          <w:snapToGrid w:val="0"/>
        </w:rPr>
        <w:t>.2 below for Category 1 and 2 respectively.</w:t>
      </w:r>
    </w:p>
    <w:p w14:paraId="53158AB0" w14:textId="77777777" w:rsidR="007B4521" w:rsidRPr="007B4521" w:rsidRDefault="007B4521" w:rsidP="007B4521">
      <w:pPr>
        <w:pStyle w:val="SingleTxtG"/>
        <w:rPr>
          <w:strike/>
          <w:snapToGrid w:val="0"/>
        </w:rPr>
      </w:pPr>
      <w:r w:rsidRPr="007B4521">
        <w:rPr>
          <w:strike/>
          <w:snapToGrid w:val="0"/>
        </w:rPr>
        <w:t>3.9.3.4.2</w:t>
      </w:r>
      <w:r w:rsidRPr="007B4521">
        <w:rPr>
          <w:strike/>
          <w:snapToGrid w:val="0"/>
        </w:rPr>
        <w:tab/>
        <w:t xml:space="preserve">These cut-off values and consequent classifications should be applied equally and appropriately </w:t>
      </w:r>
      <w:r w:rsidRPr="007B4521">
        <w:rPr>
          <w:strike/>
          <w:snapToGrid w:val="0"/>
          <w:u w:val="single"/>
        </w:rPr>
        <w:t>independently</w:t>
      </w:r>
      <w:r w:rsidRPr="007B4521">
        <w:rPr>
          <w:strike/>
          <w:snapToGrid w:val="0"/>
        </w:rPr>
        <w:t xml:space="preserve"> to both single- and repeated-dose target organ toxicants.</w:t>
      </w:r>
    </w:p>
    <w:p w14:paraId="7C766FA1" w14:textId="10110B92" w:rsidR="007B4521" w:rsidRPr="007B4521" w:rsidRDefault="007B4521" w:rsidP="007B4521">
      <w:pPr>
        <w:pStyle w:val="SingleTxtG"/>
        <w:rPr>
          <w:strike/>
          <w:snapToGrid w:val="0"/>
        </w:rPr>
      </w:pPr>
      <w:r w:rsidRPr="007B4521">
        <w:rPr>
          <w:strike/>
          <w:snapToGrid w:val="0"/>
        </w:rPr>
        <w:t>3.9.3.4.3</w:t>
      </w:r>
      <w:r w:rsidRPr="007B4521">
        <w:rPr>
          <w:strike/>
          <w:snapToGrid w:val="0"/>
        </w:rPr>
        <w:tab/>
        <w:t>Mixtures should be classified for either or both single and repeated dose toxicity independently.</w:t>
      </w:r>
    </w:p>
    <w:p w14:paraId="0C8A49D5" w14:textId="5B5CA024" w:rsidR="005B0D34" w:rsidRPr="007B4521" w:rsidRDefault="005B0D34" w:rsidP="005B0D34">
      <w:pPr>
        <w:pStyle w:val="SingleTxtG"/>
        <w:rPr>
          <w:rFonts w:eastAsia="MS Mincho"/>
        </w:rPr>
      </w:pPr>
      <w:r w:rsidRPr="005B0D34">
        <w:rPr>
          <w:noProof/>
          <w:snapToGrid w:val="0"/>
        </w:rPr>
        <mc:AlternateContent>
          <mc:Choice Requires="wps">
            <w:drawing>
              <wp:anchor distT="45720" distB="45720" distL="114300" distR="114300" simplePos="0" relativeHeight="251659264" behindDoc="0" locked="0" layoutInCell="1" allowOverlap="1" wp14:anchorId="2BC0F985" wp14:editId="77E4F84C">
                <wp:simplePos x="0" y="0"/>
                <wp:positionH relativeFrom="column">
                  <wp:posOffset>2620010</wp:posOffset>
                </wp:positionH>
                <wp:positionV relativeFrom="page">
                  <wp:posOffset>9499600</wp:posOffset>
                </wp:positionV>
                <wp:extent cx="1638300" cy="2527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2730"/>
                        </a:xfrm>
                        <a:prstGeom prst="rect">
                          <a:avLst/>
                        </a:prstGeom>
                        <a:solidFill>
                          <a:srgbClr val="FFFFFF"/>
                        </a:solidFill>
                        <a:ln w="9525">
                          <a:solidFill>
                            <a:schemeClr val="bg1"/>
                          </a:solidFill>
                          <a:miter lim="800000"/>
                          <a:headEnd/>
                          <a:tailEnd/>
                        </a:ln>
                      </wps:spPr>
                      <wps:txbx>
                        <w:txbxContent>
                          <w:p w14:paraId="3D380BA4" w14:textId="3729AE97" w:rsidR="005B0D34" w:rsidRDefault="005B0D34">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0F985" id="_x0000_t202" coordsize="21600,21600" o:spt="202" path="m,l,21600r21600,l21600,xe">
                <v:stroke joinstyle="miter"/>
                <v:path gradientshapeok="t" o:connecttype="rect"/>
              </v:shapetype>
              <v:shape id="Text Box 2" o:spid="_x0000_s1026" type="#_x0000_t202" style="position:absolute;left:0;text-align:left;margin-left:206.3pt;margin-top:748pt;width:129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NKQIAAEUEAAAOAAAAZHJzL2Uyb0RvYy54bWysU9uO2yAQfa/Uf0C8N3acZJO14qy22aaq&#10;tL1Iu/0AjLGNihkKJHb69TvgbJqmb1V5QAwzHGbOmVnfDZ0iB2GdBF3Q6SSlRGgOldRNQb8/796t&#10;KHGe6Yop0KKgR+Ho3ebtm3VvcpFBC6oSliCIdnlvCtp6b/IkcbwVHXMTMEKjswbbMY+mbZLKsh7R&#10;O5VkaXqT9GArY4EL5/D2YXTSTcSva8H917p2whNVUMzNx93GvQx7slmzvLHMtJKf0mD/kEXHpMZP&#10;z1APzDOyt/IvqE5yCw5qP+HQJVDXkotYA1YzTa+qeWqZEbEWJMeZM03u/8HyL4dvlsiqoNl0SYlm&#10;HYr0LAZP3sNAssBPb1yOYU8GA/2A16hzrNWZR+A/HNGwbZluxL210LeCVZjfNLxMLp6OOC6AlP1n&#10;qPAbtvcQgYbadoE8pIMgOup0PGsTUuHhy5vZapaii6MvW2TLWRQvYfnra2Od/yigI+FQUIvaR3R2&#10;eHQ+ZMPy15DwmQMlq51UKhq2KbfKkgPDPtnFFQu4ClOa9AW9XWSLkYA/IELLijNI2YwUXCF00mO/&#10;K9kVdJWGNXZgYO2DrmI3eibVeMaMlT7RGJgbOfRDOZxkKaE6IqEWxr7GOcRDC/YXJT32dEHdzz2z&#10;ghL1SaMot9P5PAxBNOaLZYaGvfSUlx6mOUIV1FMyHrc+Dk7ky9yjeDsZeQ0qj5mccsVejXSf5ioM&#10;w6Udo35P/+YFAAD//wMAUEsDBBQABgAIAAAAIQBXRkio4QAAAA0BAAAPAAAAZHJzL2Rvd25yZXYu&#10;eG1sTI/NTsMwEITvSLyDtUjcqNPShhLiVIAEBw6tGhBcnWTzI+x1FDtpeHu2JzjuzKfZmXQ3WyMm&#10;HHznSMFyEYFAKl3VUaPg4/3lZgvCB02VNo5QwQ962GWXF6lOKneiI055aASHkE+0gjaEPpHSly1a&#10;7ReuR2KvdoPVgc+hkdWgTxxujVxFUSyt7og/tLrH5xbL73y0Cl6fZLE/5oei/qrN9GY+7bg/WKWu&#10;r+bHBxAB5/AHw7k+V4eMOxVupMoLo2C9XMWMsrG+j3kVI/FdxFLB0uZ2swWZpfL/iuwXAAD//wMA&#10;UEsBAi0AFAAGAAgAAAAhALaDOJL+AAAA4QEAABMAAAAAAAAAAAAAAAAAAAAAAFtDb250ZW50X1R5&#10;cGVzXS54bWxQSwECLQAUAAYACAAAACEAOP0h/9YAAACUAQAACwAAAAAAAAAAAAAAAAAvAQAAX3Jl&#10;bHMvLnJlbHNQSwECLQAUAAYACAAAACEAqP4aDSkCAABFBAAADgAAAAAAAAAAAAAAAAAuAgAAZHJz&#10;L2Uyb0RvYy54bWxQSwECLQAUAAYACAAAACEAV0ZIqOEAAAANAQAADwAAAAAAAAAAAAAAAACDBAAA&#10;ZHJzL2Rvd25yZXYueG1sUEsFBgAAAAAEAAQA8wAAAJEFAAAAAA==&#10;" strokecolor="white [3212]">
                <v:textbox style="mso-fit-shape-to-text:t">
                  <w:txbxContent>
                    <w:p w14:paraId="3D380BA4" w14:textId="3729AE97" w:rsidR="005B0D34" w:rsidRDefault="005B0D34">
                      <w:r>
                        <w:t>________________</w:t>
                      </w:r>
                    </w:p>
                  </w:txbxContent>
                </v:textbox>
                <w10:wrap type="square" anchory="page"/>
              </v:shape>
            </w:pict>
          </mc:Fallback>
        </mc:AlternateContent>
      </w:r>
      <w:r w:rsidR="007B4521" w:rsidRPr="005D00B3">
        <w:rPr>
          <w:snapToGrid w:val="0"/>
        </w:rPr>
        <w:t>[Note:  The numbering of the subsequent paragraph</w:t>
      </w:r>
      <w:r w:rsidR="007B4521">
        <w:rPr>
          <w:snapToGrid w:val="0"/>
        </w:rPr>
        <w:t>s</w:t>
      </w:r>
      <w:r w:rsidR="007B4521" w:rsidRPr="005D00B3">
        <w:rPr>
          <w:snapToGrid w:val="0"/>
        </w:rPr>
        <w:t xml:space="preserve"> will need to be adjusted appropriately]</w:t>
      </w:r>
    </w:p>
    <w:sectPr w:rsidR="005B0D34" w:rsidRPr="007B4521" w:rsidSect="00C51B20">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CE038" w14:textId="77777777" w:rsidR="005B2F98" w:rsidRDefault="005B2F98"/>
  </w:endnote>
  <w:endnote w:type="continuationSeparator" w:id="0">
    <w:p w14:paraId="04167BC4" w14:textId="77777777" w:rsidR="005B2F98" w:rsidRDefault="005B2F98"/>
  </w:endnote>
  <w:endnote w:type="continuationNotice" w:id="1">
    <w:p w14:paraId="4CA4F578" w14:textId="77777777" w:rsidR="005B2F98" w:rsidRDefault="005B2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1E8C" w14:textId="0C13A69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94591C">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F98B" w14:textId="2D2862B1"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94591C">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DCF1A" w14:textId="77777777" w:rsidR="005B2F98" w:rsidRPr="000B175B" w:rsidRDefault="005B2F98" w:rsidP="000B175B">
      <w:pPr>
        <w:tabs>
          <w:tab w:val="right" w:pos="2155"/>
        </w:tabs>
        <w:spacing w:after="80"/>
        <w:ind w:left="680"/>
        <w:rPr>
          <w:u w:val="single"/>
        </w:rPr>
      </w:pPr>
      <w:r>
        <w:rPr>
          <w:u w:val="single"/>
        </w:rPr>
        <w:tab/>
      </w:r>
    </w:p>
  </w:footnote>
  <w:footnote w:type="continuationSeparator" w:id="0">
    <w:p w14:paraId="54E6FBDB" w14:textId="77777777" w:rsidR="005B2F98" w:rsidRPr="00FC68B7" w:rsidRDefault="005B2F98" w:rsidP="00FC68B7">
      <w:pPr>
        <w:tabs>
          <w:tab w:val="left" w:pos="2155"/>
        </w:tabs>
        <w:spacing w:after="80"/>
        <w:ind w:left="680"/>
        <w:rPr>
          <w:u w:val="single"/>
        </w:rPr>
      </w:pPr>
      <w:r>
        <w:rPr>
          <w:u w:val="single"/>
        </w:rPr>
        <w:tab/>
      </w:r>
    </w:p>
  </w:footnote>
  <w:footnote w:type="continuationNotice" w:id="1">
    <w:p w14:paraId="38AB021F" w14:textId="77777777" w:rsidR="005B2F98" w:rsidRDefault="005B2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FE2" w14:textId="1F9F9145" w:rsidR="006A7757" w:rsidRPr="0099001C" w:rsidRDefault="006A7757" w:rsidP="00366CA7">
    <w:pPr>
      <w:pStyle w:val="Header"/>
    </w:pPr>
    <w:r w:rsidRPr="00CC65B7">
      <w:t>UN/SCEGHS/</w:t>
    </w:r>
    <w:r w:rsidR="00370421">
      <w:t>3</w:t>
    </w:r>
    <w:r w:rsidR="00EF17EB">
      <w:t>5</w:t>
    </w:r>
    <w:r w:rsidRPr="00CC65B7">
      <w:t>/INF.</w:t>
    </w:r>
    <w:r w:rsidR="007B4521">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8B9" w14:textId="080B70B5" w:rsidR="006A7757" w:rsidRPr="0099001C" w:rsidRDefault="006A7757" w:rsidP="0099001C">
    <w:pPr>
      <w:pStyle w:val="Header"/>
      <w:jc w:val="right"/>
    </w:pPr>
    <w:r>
      <w:t>UN/SCEGHS/</w:t>
    </w:r>
    <w:r w:rsidR="00CC65B7">
      <w:t>3</w:t>
    </w:r>
    <w:r w:rsidR="00EF17EB">
      <w:t>5</w:t>
    </w:r>
    <w:r>
      <w:t>/</w:t>
    </w:r>
    <w:r w:rsidR="0094591C">
      <w:t>INF.21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93DA" w14:textId="77777777" w:rsidR="00D42D25" w:rsidRDefault="00D42D25" w:rsidP="00D945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962EA"/>
    <w:multiLevelType w:val="hybridMultilevel"/>
    <w:tmpl w:val="FAECF878"/>
    <w:lvl w:ilvl="0" w:tplc="9572B2A6">
      <w:start w:val="1"/>
      <w:numFmt w:val="upperLetter"/>
      <w:lvlText w:val="%1."/>
      <w:lvlJc w:val="left"/>
      <w:pPr>
        <w:ind w:left="1836" w:hanging="855"/>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2" w15:restartNumberingAfterBreak="0">
    <w:nsid w:val="0B0606E4"/>
    <w:multiLevelType w:val="hybridMultilevel"/>
    <w:tmpl w:val="11D69B98"/>
    <w:lvl w:ilvl="0" w:tplc="8A9E4B32">
      <w:start w:val="1"/>
      <w:numFmt w:val="decimal"/>
      <w:lvlText w:val="%1."/>
      <w:lvlJc w:val="left"/>
      <w:pPr>
        <w:tabs>
          <w:tab w:val="num" w:pos="930"/>
        </w:tabs>
        <w:ind w:left="930" w:hanging="57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64C4B"/>
    <w:multiLevelType w:val="hybridMultilevel"/>
    <w:tmpl w:val="879CFBB8"/>
    <w:lvl w:ilvl="0" w:tplc="08090013">
      <w:start w:val="1"/>
      <w:numFmt w:val="upperRoman"/>
      <w:lvlText w:val="%1."/>
      <w:lvlJc w:val="right"/>
      <w:pPr>
        <w:ind w:left="360" w:hanging="360"/>
      </w:pPr>
      <w:rPr>
        <w:rFonts w:hint="default"/>
      </w:rPr>
    </w:lvl>
    <w:lvl w:ilvl="1" w:tplc="2348FC00">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98469AF"/>
    <w:multiLevelType w:val="hybridMultilevel"/>
    <w:tmpl w:val="5732AC3E"/>
    <w:lvl w:ilvl="0" w:tplc="8FB81808">
      <w:start w:val="1"/>
      <w:numFmt w:val="upperRoman"/>
      <w:lvlText w:val="%1."/>
      <w:lvlJc w:val="left"/>
      <w:pPr>
        <w:ind w:left="1854" w:hanging="720"/>
      </w:pPr>
      <w:rPr>
        <w:rFonts w:hint="default"/>
        <w:b/>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3C84FF5"/>
    <w:multiLevelType w:val="hybridMultilevel"/>
    <w:tmpl w:val="AAC273B8"/>
    <w:lvl w:ilvl="0" w:tplc="F9E8CFE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9227A2E"/>
    <w:multiLevelType w:val="hybridMultilevel"/>
    <w:tmpl w:val="215C0838"/>
    <w:lvl w:ilvl="0" w:tplc="3376B0D0">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14"/>
  </w:num>
  <w:num w:numId="3">
    <w:abstractNumId w:val="12"/>
  </w:num>
  <w:num w:numId="4">
    <w:abstractNumId w:val="6"/>
  </w:num>
  <w:num w:numId="5">
    <w:abstractNumId w:val="8"/>
  </w:num>
  <w:num w:numId="6">
    <w:abstractNumId w:val="9"/>
  </w:num>
  <w:num w:numId="7">
    <w:abstractNumId w:val="15"/>
  </w:num>
  <w:num w:numId="8">
    <w:abstractNumId w:val="0"/>
  </w:num>
  <w:num w:numId="9">
    <w:abstractNumId w:val="3"/>
  </w:num>
  <w:num w:numId="10">
    <w:abstractNumId w:val="13"/>
  </w:num>
  <w:num w:numId="11">
    <w:abstractNumId w:val="4"/>
  </w:num>
  <w:num w:numId="12">
    <w:abstractNumId w:val="5"/>
  </w:num>
  <w:num w:numId="13">
    <w:abstractNumId w:val="11"/>
  </w:num>
  <w:num w:numId="14">
    <w:abstractNumId w:val="7"/>
  </w:num>
  <w:num w:numId="15">
    <w:abstractNumId w:val="10"/>
  </w:num>
  <w:num w:numId="16">
    <w:abstractNumId w:val="2"/>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12269"/>
    <w:rsid w:val="00016322"/>
    <w:rsid w:val="00016F90"/>
    <w:rsid w:val="00033B3D"/>
    <w:rsid w:val="00050F6B"/>
    <w:rsid w:val="00056ADD"/>
    <w:rsid w:val="00065DE6"/>
    <w:rsid w:val="00072C8C"/>
    <w:rsid w:val="00073D8C"/>
    <w:rsid w:val="00081647"/>
    <w:rsid w:val="000931C0"/>
    <w:rsid w:val="00093AA0"/>
    <w:rsid w:val="000A6544"/>
    <w:rsid w:val="000B0443"/>
    <w:rsid w:val="000B175B"/>
    <w:rsid w:val="000B3A0F"/>
    <w:rsid w:val="000C6544"/>
    <w:rsid w:val="000D10AA"/>
    <w:rsid w:val="000E0415"/>
    <w:rsid w:val="000F599C"/>
    <w:rsid w:val="00111760"/>
    <w:rsid w:val="001220B8"/>
    <w:rsid w:val="00130FCE"/>
    <w:rsid w:val="00135B50"/>
    <w:rsid w:val="00140DE6"/>
    <w:rsid w:val="0015005D"/>
    <w:rsid w:val="00156F3C"/>
    <w:rsid w:val="00162BF7"/>
    <w:rsid w:val="001748C5"/>
    <w:rsid w:val="00181192"/>
    <w:rsid w:val="00190AEA"/>
    <w:rsid w:val="001B4B04"/>
    <w:rsid w:val="001C6663"/>
    <w:rsid w:val="001C7895"/>
    <w:rsid w:val="001D26DF"/>
    <w:rsid w:val="001E47FD"/>
    <w:rsid w:val="002115B7"/>
    <w:rsid w:val="00211E0B"/>
    <w:rsid w:val="00215479"/>
    <w:rsid w:val="00231C90"/>
    <w:rsid w:val="002405A7"/>
    <w:rsid w:val="0025322D"/>
    <w:rsid w:val="00257E45"/>
    <w:rsid w:val="00262488"/>
    <w:rsid w:val="00271E2A"/>
    <w:rsid w:val="002D59D3"/>
    <w:rsid w:val="002E3F71"/>
    <w:rsid w:val="003107FA"/>
    <w:rsid w:val="003127A2"/>
    <w:rsid w:val="003229D8"/>
    <w:rsid w:val="00322FAA"/>
    <w:rsid w:val="0032550E"/>
    <w:rsid w:val="00327615"/>
    <w:rsid w:val="00335925"/>
    <w:rsid w:val="0033745A"/>
    <w:rsid w:val="00337A81"/>
    <w:rsid w:val="003642AF"/>
    <w:rsid w:val="00366CA7"/>
    <w:rsid w:val="0037026E"/>
    <w:rsid w:val="00370421"/>
    <w:rsid w:val="0039277A"/>
    <w:rsid w:val="003972E0"/>
    <w:rsid w:val="003B3A99"/>
    <w:rsid w:val="003C2CC4"/>
    <w:rsid w:val="003C3936"/>
    <w:rsid w:val="003D4B23"/>
    <w:rsid w:val="003E014F"/>
    <w:rsid w:val="003F1ED3"/>
    <w:rsid w:val="00421612"/>
    <w:rsid w:val="00430BBD"/>
    <w:rsid w:val="004325CB"/>
    <w:rsid w:val="00446DE4"/>
    <w:rsid w:val="00460165"/>
    <w:rsid w:val="00460DD9"/>
    <w:rsid w:val="00467F71"/>
    <w:rsid w:val="00497073"/>
    <w:rsid w:val="00497EF1"/>
    <w:rsid w:val="004A41CA"/>
    <w:rsid w:val="004B748C"/>
    <w:rsid w:val="004D0C85"/>
    <w:rsid w:val="004E33F9"/>
    <w:rsid w:val="004E7ED6"/>
    <w:rsid w:val="005014A3"/>
    <w:rsid w:val="00503228"/>
    <w:rsid w:val="00505384"/>
    <w:rsid w:val="0053092F"/>
    <w:rsid w:val="00532EF8"/>
    <w:rsid w:val="00533DBE"/>
    <w:rsid w:val="005420F2"/>
    <w:rsid w:val="005547AA"/>
    <w:rsid w:val="005A3BFC"/>
    <w:rsid w:val="005B0D15"/>
    <w:rsid w:val="005B0D34"/>
    <w:rsid w:val="005B2C89"/>
    <w:rsid w:val="005B2F98"/>
    <w:rsid w:val="005B3DB3"/>
    <w:rsid w:val="005D7387"/>
    <w:rsid w:val="005E22FE"/>
    <w:rsid w:val="0060668D"/>
    <w:rsid w:val="00611FC4"/>
    <w:rsid w:val="0061427C"/>
    <w:rsid w:val="006176FB"/>
    <w:rsid w:val="00627ED0"/>
    <w:rsid w:val="00640B26"/>
    <w:rsid w:val="00650A92"/>
    <w:rsid w:val="00665595"/>
    <w:rsid w:val="00691F20"/>
    <w:rsid w:val="00693543"/>
    <w:rsid w:val="006A7392"/>
    <w:rsid w:val="006A7757"/>
    <w:rsid w:val="006B6238"/>
    <w:rsid w:val="006E564B"/>
    <w:rsid w:val="006F0395"/>
    <w:rsid w:val="0071349F"/>
    <w:rsid w:val="00720DEB"/>
    <w:rsid w:val="0072632A"/>
    <w:rsid w:val="00733AAE"/>
    <w:rsid w:val="00781A60"/>
    <w:rsid w:val="00784208"/>
    <w:rsid w:val="007A0B22"/>
    <w:rsid w:val="007B4521"/>
    <w:rsid w:val="007B6BA5"/>
    <w:rsid w:val="007C3390"/>
    <w:rsid w:val="007C4F4B"/>
    <w:rsid w:val="007D4D7A"/>
    <w:rsid w:val="007F0B83"/>
    <w:rsid w:val="007F48EF"/>
    <w:rsid w:val="007F4FCD"/>
    <w:rsid w:val="007F6611"/>
    <w:rsid w:val="0081732C"/>
    <w:rsid w:val="008175E9"/>
    <w:rsid w:val="008242D7"/>
    <w:rsid w:val="00826F10"/>
    <w:rsid w:val="00827E05"/>
    <w:rsid w:val="008308E6"/>
    <w:rsid w:val="008311A3"/>
    <w:rsid w:val="00836AF7"/>
    <w:rsid w:val="00871FD5"/>
    <w:rsid w:val="00883D22"/>
    <w:rsid w:val="00893960"/>
    <w:rsid w:val="008979B1"/>
    <w:rsid w:val="008A6B25"/>
    <w:rsid w:val="008A6C4F"/>
    <w:rsid w:val="008B6E26"/>
    <w:rsid w:val="008C4B35"/>
    <w:rsid w:val="008E0E46"/>
    <w:rsid w:val="008E4C4C"/>
    <w:rsid w:val="00907AD2"/>
    <w:rsid w:val="00911047"/>
    <w:rsid w:val="009302FB"/>
    <w:rsid w:val="0094591C"/>
    <w:rsid w:val="0096014D"/>
    <w:rsid w:val="00961A01"/>
    <w:rsid w:val="00963CBA"/>
    <w:rsid w:val="009650E6"/>
    <w:rsid w:val="00965932"/>
    <w:rsid w:val="00971BB4"/>
    <w:rsid w:val="00974A8D"/>
    <w:rsid w:val="0099001C"/>
    <w:rsid w:val="00991261"/>
    <w:rsid w:val="009A1558"/>
    <w:rsid w:val="009A1717"/>
    <w:rsid w:val="009C127C"/>
    <w:rsid w:val="009C12F6"/>
    <w:rsid w:val="009F1B31"/>
    <w:rsid w:val="009F3A17"/>
    <w:rsid w:val="009F3D53"/>
    <w:rsid w:val="00A02F4C"/>
    <w:rsid w:val="00A10E05"/>
    <w:rsid w:val="00A1427D"/>
    <w:rsid w:val="00A2158F"/>
    <w:rsid w:val="00A31083"/>
    <w:rsid w:val="00A37265"/>
    <w:rsid w:val="00A426FB"/>
    <w:rsid w:val="00A55FB2"/>
    <w:rsid w:val="00A72F22"/>
    <w:rsid w:val="00A748A6"/>
    <w:rsid w:val="00A80459"/>
    <w:rsid w:val="00A805EB"/>
    <w:rsid w:val="00A8760B"/>
    <w:rsid w:val="00A879A4"/>
    <w:rsid w:val="00AA2C37"/>
    <w:rsid w:val="00AA496B"/>
    <w:rsid w:val="00AD67E3"/>
    <w:rsid w:val="00AE71F3"/>
    <w:rsid w:val="00B30179"/>
    <w:rsid w:val="00B30E8F"/>
    <w:rsid w:val="00B33EC0"/>
    <w:rsid w:val="00B735E2"/>
    <w:rsid w:val="00B76F60"/>
    <w:rsid w:val="00B80CCF"/>
    <w:rsid w:val="00B81E12"/>
    <w:rsid w:val="00B97D28"/>
    <w:rsid w:val="00BC74E9"/>
    <w:rsid w:val="00BD2146"/>
    <w:rsid w:val="00BE4F74"/>
    <w:rsid w:val="00BE59FB"/>
    <w:rsid w:val="00BE618E"/>
    <w:rsid w:val="00C17699"/>
    <w:rsid w:val="00C1778D"/>
    <w:rsid w:val="00C21C71"/>
    <w:rsid w:val="00C22EE1"/>
    <w:rsid w:val="00C30BD4"/>
    <w:rsid w:val="00C31445"/>
    <w:rsid w:val="00C41A28"/>
    <w:rsid w:val="00C463DD"/>
    <w:rsid w:val="00C51B20"/>
    <w:rsid w:val="00C6210B"/>
    <w:rsid w:val="00C745C3"/>
    <w:rsid w:val="00C945EB"/>
    <w:rsid w:val="00CB3413"/>
    <w:rsid w:val="00CC65B7"/>
    <w:rsid w:val="00CD7685"/>
    <w:rsid w:val="00CD79F0"/>
    <w:rsid w:val="00CE4A8F"/>
    <w:rsid w:val="00CF22A3"/>
    <w:rsid w:val="00D055EB"/>
    <w:rsid w:val="00D2031B"/>
    <w:rsid w:val="00D22C96"/>
    <w:rsid w:val="00D25FE2"/>
    <w:rsid w:val="00D317BB"/>
    <w:rsid w:val="00D35D8F"/>
    <w:rsid w:val="00D42D25"/>
    <w:rsid w:val="00D43252"/>
    <w:rsid w:val="00D55E97"/>
    <w:rsid w:val="00D63881"/>
    <w:rsid w:val="00D7387D"/>
    <w:rsid w:val="00D94553"/>
    <w:rsid w:val="00D978C6"/>
    <w:rsid w:val="00DA67AD"/>
    <w:rsid w:val="00DB4CDB"/>
    <w:rsid w:val="00DB5D0F"/>
    <w:rsid w:val="00DC3242"/>
    <w:rsid w:val="00DE7F20"/>
    <w:rsid w:val="00DF03A4"/>
    <w:rsid w:val="00DF12F7"/>
    <w:rsid w:val="00DF2C64"/>
    <w:rsid w:val="00E02C81"/>
    <w:rsid w:val="00E04A75"/>
    <w:rsid w:val="00E06EAB"/>
    <w:rsid w:val="00E130AB"/>
    <w:rsid w:val="00E137B8"/>
    <w:rsid w:val="00E21BBE"/>
    <w:rsid w:val="00E22E6E"/>
    <w:rsid w:val="00E2519A"/>
    <w:rsid w:val="00E31C87"/>
    <w:rsid w:val="00E677EC"/>
    <w:rsid w:val="00E70DF5"/>
    <w:rsid w:val="00E7260F"/>
    <w:rsid w:val="00E73AFB"/>
    <w:rsid w:val="00E80F5F"/>
    <w:rsid w:val="00E8416B"/>
    <w:rsid w:val="00E87921"/>
    <w:rsid w:val="00E96630"/>
    <w:rsid w:val="00EA0710"/>
    <w:rsid w:val="00EA264E"/>
    <w:rsid w:val="00EA3A41"/>
    <w:rsid w:val="00ED1541"/>
    <w:rsid w:val="00ED71D9"/>
    <w:rsid w:val="00ED7A2A"/>
    <w:rsid w:val="00EE7E6D"/>
    <w:rsid w:val="00EF17EB"/>
    <w:rsid w:val="00EF1D7F"/>
    <w:rsid w:val="00EF358F"/>
    <w:rsid w:val="00F012BE"/>
    <w:rsid w:val="00F02CCD"/>
    <w:rsid w:val="00F124A0"/>
    <w:rsid w:val="00F12AF6"/>
    <w:rsid w:val="00F40D25"/>
    <w:rsid w:val="00F452A5"/>
    <w:rsid w:val="00F47732"/>
    <w:rsid w:val="00F53EDA"/>
    <w:rsid w:val="00F73015"/>
    <w:rsid w:val="00F7753D"/>
    <w:rsid w:val="00F85F34"/>
    <w:rsid w:val="00F911C3"/>
    <w:rsid w:val="00FA06F7"/>
    <w:rsid w:val="00FB171A"/>
    <w:rsid w:val="00FC09B8"/>
    <w:rsid w:val="00FC68B7"/>
    <w:rsid w:val="00FD10AB"/>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E7D61"/>
  <w15:docId w15:val="{96EA705B-007F-4E3A-8E3E-B3D8F320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paragraph" w:customStyle="1" w:styleId="GHSHeading3">
    <w:name w:val="GHSHeading3"/>
    <w:basedOn w:val="Heading3"/>
    <w:rsid w:val="007B4521"/>
    <w:pPr>
      <w:keepNext/>
      <w:tabs>
        <w:tab w:val="left" w:pos="1418"/>
      </w:tabs>
      <w:suppressAutoHyphens w:val="0"/>
      <w:autoSpaceDE w:val="0"/>
      <w:autoSpaceDN w:val="0"/>
      <w:adjustRightInd w:val="0"/>
    </w:pPr>
    <w:rPr>
      <w:b/>
      <w:bCs/>
      <w:color w:val="000000"/>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8CC8-CE62-4D47-AB25-14177FAD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15</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2018-06-22T14:49:00Z</cp:lastPrinted>
  <dcterms:created xsi:type="dcterms:W3CDTF">2018-06-22T14:36:00Z</dcterms:created>
  <dcterms:modified xsi:type="dcterms:W3CDTF">2018-06-22T15:43:00Z</dcterms:modified>
</cp:coreProperties>
</file>