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F551E" w:rsidTr="00F01738">
        <w:trPr>
          <w:trHeight w:hRule="exact" w:val="851"/>
        </w:trPr>
        <w:tc>
          <w:tcPr>
            <w:tcW w:w="1276" w:type="dxa"/>
            <w:tcBorders>
              <w:bottom w:val="single" w:sz="4" w:space="0" w:color="auto"/>
            </w:tcBorders>
          </w:tcPr>
          <w:p w:rsidR="00132EA9" w:rsidRPr="007F551E" w:rsidRDefault="00132EA9" w:rsidP="00001A8E">
            <w:bookmarkStart w:id="0" w:name="_GoBack"/>
            <w:bookmarkEnd w:id="0"/>
          </w:p>
        </w:tc>
        <w:tc>
          <w:tcPr>
            <w:tcW w:w="2268" w:type="dxa"/>
            <w:tcBorders>
              <w:bottom w:val="single" w:sz="4" w:space="0" w:color="auto"/>
            </w:tcBorders>
            <w:vAlign w:val="bottom"/>
          </w:tcPr>
          <w:p w:rsidR="00132EA9" w:rsidRPr="007F551E" w:rsidRDefault="00132EA9" w:rsidP="00F01738">
            <w:pPr>
              <w:spacing w:after="80" w:line="300" w:lineRule="exact"/>
              <w:rPr>
                <w:sz w:val="28"/>
              </w:rPr>
            </w:pPr>
            <w:r w:rsidRPr="007F551E">
              <w:rPr>
                <w:sz w:val="28"/>
              </w:rPr>
              <w:t>Nations Unies</w:t>
            </w:r>
          </w:p>
        </w:tc>
        <w:tc>
          <w:tcPr>
            <w:tcW w:w="6095" w:type="dxa"/>
            <w:gridSpan w:val="2"/>
            <w:tcBorders>
              <w:bottom w:val="single" w:sz="4" w:space="0" w:color="auto"/>
            </w:tcBorders>
            <w:vAlign w:val="bottom"/>
          </w:tcPr>
          <w:p w:rsidR="00001A8E" w:rsidRPr="007F551E" w:rsidRDefault="00001A8E" w:rsidP="00001A8E">
            <w:pPr>
              <w:jc w:val="right"/>
            </w:pPr>
            <w:r w:rsidRPr="007F551E">
              <w:rPr>
                <w:sz w:val="40"/>
              </w:rPr>
              <w:t>ST</w:t>
            </w:r>
            <w:r w:rsidRPr="007F551E">
              <w:t>/SG/AC.10/C.3/2018/2−</w:t>
            </w:r>
            <w:r w:rsidRPr="007F551E">
              <w:rPr>
                <w:sz w:val="40"/>
              </w:rPr>
              <w:t>ST</w:t>
            </w:r>
            <w:r w:rsidRPr="007F551E">
              <w:t>/SG/AC.10/C.4/2018/2</w:t>
            </w:r>
          </w:p>
        </w:tc>
      </w:tr>
      <w:tr w:rsidR="00132EA9" w:rsidRPr="007F551E" w:rsidTr="00F01738">
        <w:trPr>
          <w:trHeight w:hRule="exact" w:val="2835"/>
        </w:trPr>
        <w:tc>
          <w:tcPr>
            <w:tcW w:w="1276" w:type="dxa"/>
            <w:tcBorders>
              <w:top w:val="single" w:sz="4" w:space="0" w:color="auto"/>
              <w:bottom w:val="single" w:sz="12" w:space="0" w:color="auto"/>
            </w:tcBorders>
          </w:tcPr>
          <w:p w:rsidR="00132EA9" w:rsidRPr="007F551E" w:rsidRDefault="00132EA9" w:rsidP="00F01738">
            <w:pPr>
              <w:spacing w:before="120"/>
              <w:jc w:val="center"/>
            </w:pPr>
            <w:r w:rsidRPr="007F551E">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F551E" w:rsidRDefault="00132EA9" w:rsidP="00F01738">
            <w:pPr>
              <w:spacing w:before="120" w:line="420" w:lineRule="exact"/>
              <w:rPr>
                <w:b/>
                <w:sz w:val="40"/>
                <w:szCs w:val="40"/>
              </w:rPr>
            </w:pPr>
            <w:r w:rsidRPr="007F551E">
              <w:rPr>
                <w:b/>
                <w:sz w:val="40"/>
                <w:szCs w:val="40"/>
              </w:rPr>
              <w:t>Secrétariat</w:t>
            </w:r>
          </w:p>
        </w:tc>
        <w:tc>
          <w:tcPr>
            <w:tcW w:w="2835" w:type="dxa"/>
            <w:tcBorders>
              <w:top w:val="single" w:sz="4" w:space="0" w:color="auto"/>
              <w:bottom w:val="single" w:sz="12" w:space="0" w:color="auto"/>
            </w:tcBorders>
          </w:tcPr>
          <w:p w:rsidR="00132EA9" w:rsidRPr="007F551E" w:rsidRDefault="00001A8E" w:rsidP="00F01738">
            <w:pPr>
              <w:spacing w:before="240"/>
            </w:pPr>
            <w:r w:rsidRPr="007F551E">
              <w:t xml:space="preserve">Distr. </w:t>
            </w:r>
            <w:proofErr w:type="gramStart"/>
            <w:r w:rsidRPr="007F551E">
              <w:t>générale</w:t>
            </w:r>
            <w:proofErr w:type="gramEnd"/>
          </w:p>
          <w:p w:rsidR="00001A8E" w:rsidRPr="007F551E" w:rsidRDefault="00001A8E" w:rsidP="00001A8E">
            <w:pPr>
              <w:spacing w:line="240" w:lineRule="exact"/>
            </w:pPr>
            <w:r w:rsidRPr="007F551E">
              <w:t>14 février 2018</w:t>
            </w:r>
          </w:p>
          <w:p w:rsidR="00001A8E" w:rsidRPr="007F551E" w:rsidRDefault="00001A8E" w:rsidP="00001A8E">
            <w:pPr>
              <w:spacing w:line="240" w:lineRule="exact"/>
            </w:pPr>
            <w:r w:rsidRPr="007F551E">
              <w:t>Français</w:t>
            </w:r>
          </w:p>
          <w:p w:rsidR="00001A8E" w:rsidRPr="007F551E" w:rsidRDefault="00001A8E" w:rsidP="00001A8E">
            <w:pPr>
              <w:spacing w:line="240" w:lineRule="exact"/>
            </w:pPr>
            <w:r w:rsidRPr="007F551E">
              <w:t>Original</w:t>
            </w:r>
            <w:r w:rsidR="00807AF4" w:rsidRPr="007F551E">
              <w:t> :</w:t>
            </w:r>
            <w:r w:rsidRPr="007F551E">
              <w:t xml:space="preserve"> anglais</w:t>
            </w:r>
          </w:p>
        </w:tc>
      </w:tr>
    </w:tbl>
    <w:p w:rsidR="006079B5" w:rsidRPr="007F551E" w:rsidRDefault="006079B5" w:rsidP="007F551E">
      <w:pPr>
        <w:spacing w:before="120"/>
        <w:rPr>
          <w:b/>
          <w:sz w:val="24"/>
          <w:szCs w:val="24"/>
        </w:rPr>
      </w:pPr>
      <w:r w:rsidRPr="007F551E">
        <w:rPr>
          <w:b/>
          <w:sz w:val="24"/>
          <w:szCs w:val="24"/>
        </w:rPr>
        <w:t>Comité d’experts du transport des marchandises dangereuses</w:t>
      </w:r>
      <w:r w:rsidRPr="007F551E">
        <w:rPr>
          <w:b/>
          <w:sz w:val="24"/>
          <w:szCs w:val="24"/>
        </w:rPr>
        <w:br/>
        <w:t>et du Système général harmonisé de classification</w:t>
      </w:r>
      <w:r w:rsidRPr="007F551E">
        <w:rPr>
          <w:b/>
          <w:sz w:val="24"/>
          <w:szCs w:val="24"/>
        </w:rPr>
        <w:br/>
        <w:t>et d’étiquetage des produits chimiques</w:t>
      </w:r>
    </w:p>
    <w:tbl>
      <w:tblPr>
        <w:tblStyle w:val="Grilledutableau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6079B5" w:rsidRPr="007F551E" w:rsidTr="004D5164">
        <w:tc>
          <w:tcPr>
            <w:tcW w:w="4593" w:type="dxa"/>
          </w:tcPr>
          <w:p w:rsidR="006079B5" w:rsidRPr="007F551E" w:rsidRDefault="006079B5" w:rsidP="004D5164">
            <w:pPr>
              <w:kinsoku/>
              <w:overflowPunct/>
              <w:autoSpaceDE/>
              <w:autoSpaceDN/>
              <w:adjustRightInd/>
              <w:snapToGrid/>
              <w:spacing w:before="120"/>
              <w:rPr>
                <w:b/>
                <w:lang w:val="fr-CH"/>
              </w:rPr>
            </w:pPr>
            <w:r w:rsidRPr="007F551E">
              <w:rPr>
                <w:b/>
                <w:lang w:val="fr-CH"/>
              </w:rPr>
              <w:t xml:space="preserve">Sous-Comité d’experts du transport </w:t>
            </w:r>
            <w:r w:rsidR="0097055E">
              <w:rPr>
                <w:b/>
                <w:lang w:val="fr-CH"/>
              </w:rPr>
              <w:t>des </w:t>
            </w:r>
            <w:r w:rsidRPr="007F551E">
              <w:rPr>
                <w:b/>
                <w:lang w:val="fr-CH"/>
              </w:rPr>
              <w:t>marchandises dangereuses</w:t>
            </w:r>
          </w:p>
        </w:tc>
        <w:tc>
          <w:tcPr>
            <w:tcW w:w="5046" w:type="dxa"/>
          </w:tcPr>
          <w:p w:rsidR="006079B5" w:rsidRPr="007F551E" w:rsidRDefault="006079B5" w:rsidP="004D5164">
            <w:pPr>
              <w:kinsoku/>
              <w:overflowPunct/>
              <w:autoSpaceDE/>
              <w:autoSpaceDN/>
              <w:adjustRightInd/>
              <w:snapToGrid/>
              <w:spacing w:before="120"/>
              <w:rPr>
                <w:b/>
                <w:lang w:val="fr-CH"/>
              </w:rPr>
            </w:pPr>
            <w:r w:rsidRPr="007F551E">
              <w:rPr>
                <w:b/>
                <w:lang w:val="fr-CH"/>
              </w:rPr>
              <w:t>Sous-Comité d’experts du Système général harmonisé</w:t>
            </w:r>
            <w:r w:rsidRPr="007F551E">
              <w:rPr>
                <w:b/>
                <w:lang w:val="fr-CH"/>
              </w:rPr>
              <w:br/>
              <w:t>de classification et d’étiquetage des produits chimiques</w:t>
            </w:r>
          </w:p>
        </w:tc>
      </w:tr>
      <w:tr w:rsidR="006079B5" w:rsidRPr="007F551E" w:rsidTr="004D5164">
        <w:tc>
          <w:tcPr>
            <w:tcW w:w="4593" w:type="dxa"/>
          </w:tcPr>
          <w:p w:rsidR="006079B5" w:rsidRPr="007F551E" w:rsidRDefault="001C06D5" w:rsidP="004D5164">
            <w:pPr>
              <w:kinsoku/>
              <w:overflowPunct/>
              <w:autoSpaceDE/>
              <w:autoSpaceDN/>
              <w:adjustRightInd/>
              <w:snapToGrid/>
              <w:spacing w:before="120"/>
              <w:rPr>
                <w:b/>
                <w:lang w:val="fr-CH"/>
              </w:rPr>
            </w:pPr>
            <w:r>
              <w:rPr>
                <w:b/>
                <w:bCs/>
                <w:lang w:val="fr-CH"/>
              </w:rPr>
              <w:t>Cinquante-</w:t>
            </w:r>
            <w:r w:rsidR="006079B5" w:rsidRPr="007F551E">
              <w:rPr>
                <w:b/>
                <w:bCs/>
                <w:lang w:val="fr-CH"/>
              </w:rPr>
              <w:t>troisième</w:t>
            </w:r>
            <w:r w:rsidR="006079B5" w:rsidRPr="007F551E">
              <w:rPr>
                <w:b/>
                <w:lang w:val="fr-CH"/>
              </w:rPr>
              <w:t xml:space="preserve"> session</w:t>
            </w:r>
          </w:p>
          <w:p w:rsidR="0097055E" w:rsidRDefault="006079B5" w:rsidP="004D5164">
            <w:pPr>
              <w:kinsoku/>
              <w:overflowPunct/>
              <w:autoSpaceDE/>
              <w:autoSpaceDN/>
              <w:adjustRightInd/>
              <w:snapToGrid/>
              <w:rPr>
                <w:lang w:val="fr-CH"/>
              </w:rPr>
            </w:pPr>
            <w:r w:rsidRPr="007F551E">
              <w:rPr>
                <w:lang w:val="fr-CH"/>
              </w:rPr>
              <w:t>Genève, 25 juin-4 juillet 2018</w:t>
            </w:r>
          </w:p>
          <w:p w:rsidR="006079B5" w:rsidRPr="007F551E" w:rsidRDefault="006079B5" w:rsidP="004D5164">
            <w:pPr>
              <w:kinsoku/>
              <w:overflowPunct/>
              <w:autoSpaceDE/>
              <w:autoSpaceDN/>
              <w:adjustRightInd/>
              <w:snapToGrid/>
              <w:rPr>
                <w:lang w:val="fr-CH"/>
              </w:rPr>
            </w:pPr>
            <w:r w:rsidRPr="007F551E">
              <w:rPr>
                <w:lang w:val="fr-CH"/>
              </w:rPr>
              <w:t>Point 5 b) de l’ordre du jour provisoire</w:t>
            </w:r>
          </w:p>
          <w:p w:rsidR="006079B5" w:rsidRPr="007F551E" w:rsidRDefault="006079B5" w:rsidP="004D5164">
            <w:pPr>
              <w:kinsoku/>
              <w:overflowPunct/>
              <w:autoSpaceDE/>
              <w:autoSpaceDN/>
              <w:adjustRightInd/>
              <w:snapToGrid/>
              <w:rPr>
                <w:b/>
                <w:lang w:val="fr-CH"/>
              </w:rPr>
            </w:pPr>
            <w:r w:rsidRPr="007F551E">
              <w:rPr>
                <w:b/>
                <w:lang w:val="fr-CH"/>
              </w:rPr>
              <w:t>Transport de gaz</w:t>
            </w:r>
            <w:r w:rsidR="00807AF4" w:rsidRPr="007F551E">
              <w:rPr>
                <w:b/>
                <w:lang w:val="fr-CH"/>
              </w:rPr>
              <w:t> :</w:t>
            </w:r>
            <w:r w:rsidRPr="007F551E">
              <w:rPr>
                <w:b/>
                <w:lang w:val="fr-CH"/>
              </w:rPr>
              <w:t xml:space="preserve"> questions diverses</w:t>
            </w:r>
          </w:p>
        </w:tc>
        <w:tc>
          <w:tcPr>
            <w:tcW w:w="5046" w:type="dxa"/>
          </w:tcPr>
          <w:p w:rsidR="006079B5" w:rsidRPr="007F551E" w:rsidRDefault="006079B5" w:rsidP="004D5164">
            <w:pPr>
              <w:kinsoku/>
              <w:overflowPunct/>
              <w:autoSpaceDE/>
              <w:autoSpaceDN/>
              <w:adjustRightInd/>
              <w:snapToGrid/>
              <w:spacing w:before="120"/>
              <w:rPr>
                <w:b/>
                <w:lang w:val="fr-CH"/>
              </w:rPr>
            </w:pPr>
            <w:r w:rsidRPr="007F551E">
              <w:rPr>
                <w:b/>
                <w:lang w:val="fr-CH"/>
              </w:rPr>
              <w:t>Trente-cinquième session</w:t>
            </w:r>
          </w:p>
          <w:p w:rsidR="006079B5" w:rsidRPr="007F551E" w:rsidRDefault="006079B5" w:rsidP="004D5164">
            <w:pPr>
              <w:kinsoku/>
              <w:overflowPunct/>
              <w:autoSpaceDE/>
              <w:autoSpaceDN/>
              <w:adjustRightInd/>
              <w:snapToGrid/>
              <w:rPr>
                <w:lang w:val="fr-CH"/>
              </w:rPr>
            </w:pPr>
            <w:r w:rsidRPr="007F551E">
              <w:rPr>
                <w:lang w:val="fr-CH"/>
              </w:rPr>
              <w:t>Genève, 4-6 juillet 2018</w:t>
            </w:r>
          </w:p>
          <w:p w:rsidR="006079B5" w:rsidRPr="007F551E" w:rsidRDefault="006079B5" w:rsidP="004D5164">
            <w:pPr>
              <w:kinsoku/>
              <w:overflowPunct/>
              <w:autoSpaceDE/>
              <w:autoSpaceDN/>
              <w:adjustRightInd/>
              <w:snapToGrid/>
              <w:rPr>
                <w:lang w:val="fr-CH"/>
              </w:rPr>
            </w:pPr>
            <w:r w:rsidRPr="007F551E">
              <w:rPr>
                <w:lang w:val="fr-CH"/>
              </w:rPr>
              <w:t>Point 2 de l’ordre du jour provisoire</w:t>
            </w:r>
          </w:p>
          <w:p w:rsidR="006079B5" w:rsidRPr="007F551E" w:rsidRDefault="006079B5" w:rsidP="004D5164">
            <w:pPr>
              <w:kinsoku/>
              <w:overflowPunct/>
              <w:autoSpaceDE/>
              <w:autoSpaceDN/>
              <w:adjustRightInd/>
              <w:snapToGrid/>
              <w:rPr>
                <w:b/>
                <w:lang w:val="fr-CH"/>
              </w:rPr>
            </w:pPr>
            <w:r w:rsidRPr="007F551E">
              <w:rPr>
                <w:b/>
                <w:lang w:val="fr-CH"/>
              </w:rPr>
              <w:t>Travaux à mener conjointement avec le Sous-Comité d’experts du transport des marchandises dangereuses (Sous-Comité TMD)</w:t>
            </w:r>
          </w:p>
        </w:tc>
      </w:tr>
    </w:tbl>
    <w:p w:rsidR="006079B5" w:rsidRPr="007F551E" w:rsidRDefault="006079B5" w:rsidP="0097055E">
      <w:pPr>
        <w:pStyle w:val="HChG"/>
      </w:pPr>
      <w:r w:rsidRPr="007F551E">
        <w:tab/>
      </w:r>
      <w:r w:rsidRPr="007F551E">
        <w:tab/>
        <w:t>Mise à jour de la référence à la norme ISO 10156 d</w:t>
      </w:r>
      <w:r w:rsidR="001C06D5">
        <w:t>ans le </w:t>
      </w:r>
      <w:r w:rsidRPr="007F551E">
        <w:t>Règlement type et le Système général harmonisé de classification et d’étiquetage des produits chimiques (SGH)</w:t>
      </w:r>
    </w:p>
    <w:p w:rsidR="006079B5" w:rsidRPr="007F551E" w:rsidRDefault="006079B5" w:rsidP="0097055E">
      <w:pPr>
        <w:pStyle w:val="H1G"/>
      </w:pPr>
      <w:r w:rsidRPr="007F551E">
        <w:tab/>
      </w:r>
      <w:r w:rsidRPr="007F551E">
        <w:tab/>
        <w:t>Communication de l’Association européenne des gaz industriels (EIGA)</w:t>
      </w:r>
      <w:r w:rsidRPr="0097055E">
        <w:rPr>
          <w:b w:val="0"/>
          <w:sz w:val="20"/>
        </w:rPr>
        <w:footnoteReference w:customMarkFollows="1" w:id="2"/>
        <w:sym w:font="Symbol" w:char="F02A"/>
      </w:r>
    </w:p>
    <w:p w:rsidR="006079B5" w:rsidRPr="007F551E" w:rsidRDefault="006079B5" w:rsidP="0097055E">
      <w:pPr>
        <w:pStyle w:val="HChG"/>
      </w:pPr>
      <w:r w:rsidRPr="007F551E">
        <w:tab/>
      </w:r>
      <w:r w:rsidRPr="007F551E">
        <w:tab/>
        <w:t>Introduction</w:t>
      </w:r>
    </w:p>
    <w:p w:rsidR="006079B5" w:rsidRPr="007F551E" w:rsidRDefault="006079B5" w:rsidP="00807AF4">
      <w:pPr>
        <w:pStyle w:val="SingleTxtG"/>
      </w:pPr>
      <w:r w:rsidRPr="007F551E">
        <w:t>1.</w:t>
      </w:r>
      <w:r w:rsidRPr="007F551E">
        <w:tab/>
        <w:t xml:space="preserve">La norme ISO </w:t>
      </w:r>
      <w:proofErr w:type="gramStart"/>
      <w:r w:rsidRPr="007F551E">
        <w:t>1056</w:t>
      </w:r>
      <w:r w:rsidR="00807AF4" w:rsidRPr="007F551E">
        <w:t>:</w:t>
      </w:r>
      <w:proofErr w:type="gramEnd"/>
      <w:r w:rsidRPr="007F551E">
        <w:t xml:space="preserve">2010 </w:t>
      </w:r>
      <w:r w:rsidR="001C06D5">
        <w:rPr>
          <w:lang w:eastAsia="en-GB"/>
        </w:rPr>
        <w:t>« </w:t>
      </w:r>
      <w:r w:rsidRPr="007F551E">
        <w:rPr>
          <w:lang w:eastAsia="en-GB"/>
        </w:rPr>
        <w:t xml:space="preserve">Bouteilles à gaz, gaz ou mélanges de gaz </w:t>
      </w:r>
      <w:r w:rsidR="001C06D5">
        <w:rPr>
          <w:lang w:eastAsia="en-GB"/>
        </w:rPr>
        <w:t>−</w:t>
      </w:r>
      <w:r w:rsidRPr="007F551E">
        <w:rPr>
          <w:lang w:eastAsia="en-GB"/>
        </w:rPr>
        <w:t xml:space="preserve"> Détermination du potentiel d’inflammabilité et d’oxydation pour le choix des raccords de sorties de robinets</w:t>
      </w:r>
      <w:r w:rsidR="001C06D5">
        <w:rPr>
          <w:lang w:eastAsia="en-GB"/>
        </w:rPr>
        <w:t> »</w:t>
      </w:r>
      <w:r w:rsidRPr="007F551E">
        <w:rPr>
          <w:lang w:eastAsia="en-GB"/>
        </w:rPr>
        <w:t xml:space="preserve"> est un document de référence au chapitre </w:t>
      </w:r>
      <w:r w:rsidRPr="007F551E">
        <w:t>2.2 (classe 2</w:t>
      </w:r>
      <w:r w:rsidR="00807AF4" w:rsidRPr="007F551E">
        <w:t> :</w:t>
      </w:r>
      <w:r w:rsidRPr="007F551E">
        <w:t xml:space="preserve"> Gaz) du Règlement type et aux chapitres 2.2 (Gaz inflammables) et 2.4 (Gaz comburants) du SGH.</w:t>
      </w:r>
      <w:r w:rsidR="00807AF4" w:rsidRPr="007F551E">
        <w:t xml:space="preserve"> </w:t>
      </w:r>
    </w:p>
    <w:p w:rsidR="006079B5" w:rsidRPr="007F551E" w:rsidRDefault="006079B5" w:rsidP="00807AF4">
      <w:pPr>
        <w:pStyle w:val="SingleTxtG"/>
      </w:pPr>
      <w:r w:rsidRPr="007F551E">
        <w:t>2.</w:t>
      </w:r>
      <w:r w:rsidRPr="007F551E">
        <w:tab/>
        <w:t xml:space="preserve">Dans le cadre du réexamen périodique de toutes les normes, qui intervient tous les cinq ans, la norme ISO </w:t>
      </w:r>
      <w:proofErr w:type="gramStart"/>
      <w:r w:rsidRPr="007F551E">
        <w:t>1056</w:t>
      </w:r>
      <w:r w:rsidR="001C06D5">
        <w:t>:</w:t>
      </w:r>
      <w:proofErr w:type="gramEnd"/>
      <w:r w:rsidR="001C06D5">
        <w:t>20</w:t>
      </w:r>
      <w:r w:rsidRPr="007F551E">
        <w:t>10 a été révisée et la nouvelle norme ISO 10156</w:t>
      </w:r>
      <w:r w:rsidR="001C06D5">
        <w:t>:20</w:t>
      </w:r>
      <w:r w:rsidRPr="007F551E">
        <w:t xml:space="preserve">17 a été publiée en septembre 2017. </w:t>
      </w:r>
    </w:p>
    <w:p w:rsidR="006079B5" w:rsidRPr="007F551E" w:rsidRDefault="006079B5" w:rsidP="00807AF4">
      <w:pPr>
        <w:pStyle w:val="SingleTxtG"/>
      </w:pPr>
      <w:r w:rsidRPr="007F551E">
        <w:t>3.</w:t>
      </w:r>
      <w:r w:rsidRPr="007F551E">
        <w:tab/>
      </w:r>
      <w:r w:rsidRPr="006179B2">
        <w:rPr>
          <w:spacing w:val="-2"/>
        </w:rPr>
        <w:t xml:space="preserve">Hormis quelques modifications d’ordre rédactionnel apportées par souci de conformité aux règles de publication de l’ISO, elle ne comporte pas de modification par </w:t>
      </w:r>
      <w:r w:rsidRPr="007F551E">
        <w:t xml:space="preserve">rapport à la version de 2010 en ce qui concerne la méthode d’essai servant à déterminer les limites inférieures d’inflammabilité (Li) des gaz et vapeurs inflammables ainsi que des mélanges, ou la méthode de calcul permettant de déterminer si des mélanges gazeux contenant des gaz inflammables et des vapeurs doivent être considérés comme non inflammables. Les tableaux des valeurs Li et </w:t>
      </w:r>
      <w:proofErr w:type="spellStart"/>
      <w:r w:rsidRPr="007F551E">
        <w:t>Tci</w:t>
      </w:r>
      <w:proofErr w:type="spellEnd"/>
      <w:r w:rsidRPr="007F551E">
        <w:t xml:space="preserve"> restent les mêmes que dans la version de 2010 et les exemples de calcul de la section 2.2.5 et du paragraphe 2.4.4.2 du SGH restent valables.</w:t>
      </w:r>
    </w:p>
    <w:p w:rsidR="006079B5" w:rsidRPr="007F551E" w:rsidRDefault="006079B5" w:rsidP="00807AF4">
      <w:pPr>
        <w:pStyle w:val="SingleTxtG"/>
        <w:keepNext/>
      </w:pPr>
      <w:r w:rsidRPr="007F551E">
        <w:lastRenderedPageBreak/>
        <w:t>4.</w:t>
      </w:r>
      <w:r w:rsidRPr="007F551E">
        <w:tab/>
        <w:t>La norme a cependant été complétée par</w:t>
      </w:r>
      <w:r w:rsidR="00807AF4" w:rsidRPr="007F551E">
        <w:t> :</w:t>
      </w:r>
    </w:p>
    <w:p w:rsidR="006079B5" w:rsidRPr="007F551E" w:rsidRDefault="006079B5" w:rsidP="00807AF4">
      <w:pPr>
        <w:pStyle w:val="SingleTxtG"/>
        <w:ind w:left="2268" w:hanging="567"/>
      </w:pPr>
      <w:r w:rsidRPr="007F551E">
        <w:t>a)</w:t>
      </w:r>
      <w:r w:rsidRPr="007F551E">
        <w:tab/>
      </w:r>
      <w:r w:rsidR="006179B2" w:rsidRPr="007F551E">
        <w:t xml:space="preserve">Une </w:t>
      </w:r>
      <w:r w:rsidRPr="007F551E">
        <w:t>méthode d’essai permettant de déterminer les limites d’inflammabilité des gaz et des mélanges gaz/air</w:t>
      </w:r>
      <w:r w:rsidR="00807AF4" w:rsidRPr="007F551E">
        <w:t> ;</w:t>
      </w:r>
    </w:p>
    <w:p w:rsidR="006079B5" w:rsidRPr="007F551E" w:rsidRDefault="006079B5" w:rsidP="00807AF4">
      <w:pPr>
        <w:pStyle w:val="SingleTxtG"/>
        <w:ind w:left="2268" w:hanging="567"/>
      </w:pPr>
      <w:r w:rsidRPr="007F551E">
        <w:t>b)</w:t>
      </w:r>
      <w:r w:rsidRPr="007F551E">
        <w:tab/>
      </w:r>
      <w:r w:rsidR="006179B2" w:rsidRPr="007F551E">
        <w:t xml:space="preserve">Une </w:t>
      </w:r>
      <w:r w:rsidRPr="007F551E">
        <w:t>méthode permettant de calculer la limite inférieure d’inflammabilité d’un mélange de gaz. Cette méthode de calcul supplémentaire est nécessaire pour distinguer un gaz inflammable de la catégorie 1A d’un gaz inflammable de la catégorie 1B, conformément aux nouveaux critères du SGH.</w:t>
      </w:r>
    </w:p>
    <w:p w:rsidR="006079B5" w:rsidRPr="007F551E" w:rsidRDefault="006079B5" w:rsidP="00807AF4">
      <w:pPr>
        <w:pStyle w:val="HChG"/>
      </w:pPr>
      <w:r w:rsidRPr="007F551E">
        <w:tab/>
      </w:r>
      <w:r w:rsidRPr="007F551E">
        <w:tab/>
        <w:t>Propositions</w:t>
      </w:r>
    </w:p>
    <w:p w:rsidR="006079B5" w:rsidRPr="007F551E" w:rsidRDefault="006079B5" w:rsidP="00807AF4">
      <w:pPr>
        <w:pStyle w:val="SingleTxtG"/>
      </w:pPr>
      <w:r w:rsidRPr="007F551E">
        <w:t>5.</w:t>
      </w:r>
      <w:r w:rsidRPr="007F551E">
        <w:tab/>
        <w:t>Dans le Règlement type, aux alinéas a) et d) du paragraphe 2.2.3 du chapitre 2.2</w:t>
      </w:r>
      <w:r w:rsidR="00807AF4" w:rsidRPr="007F551E">
        <w:t> :</w:t>
      </w:r>
    </w:p>
    <w:p w:rsidR="006079B5" w:rsidRPr="007F551E" w:rsidRDefault="006079B5" w:rsidP="00807AF4">
      <w:pPr>
        <w:pStyle w:val="SingleTxtG"/>
        <w:ind w:left="1701"/>
      </w:pPr>
      <w:r w:rsidRPr="007F551E">
        <w:t xml:space="preserve">Remplacer </w:t>
      </w:r>
      <w:r w:rsidR="00CD713E">
        <w:t>« </w:t>
      </w:r>
      <w:r w:rsidRPr="007F551E">
        <w:t xml:space="preserve">ISO </w:t>
      </w:r>
      <w:proofErr w:type="gramStart"/>
      <w:r w:rsidRPr="007F551E">
        <w:t>10156</w:t>
      </w:r>
      <w:r w:rsidR="001C06D5">
        <w:t>:</w:t>
      </w:r>
      <w:proofErr w:type="gramEnd"/>
      <w:r w:rsidR="001C06D5">
        <w:t>20</w:t>
      </w:r>
      <w:r w:rsidRPr="007F551E">
        <w:t>10</w:t>
      </w:r>
      <w:r w:rsidR="00CD713E">
        <w:t> »</w:t>
      </w:r>
      <w:r w:rsidRPr="007F551E">
        <w:t xml:space="preserve"> par </w:t>
      </w:r>
      <w:r w:rsidR="00CD713E">
        <w:t>« </w:t>
      </w:r>
      <w:r w:rsidRPr="007F551E">
        <w:t>ISO 10156</w:t>
      </w:r>
      <w:r w:rsidR="001C06D5">
        <w:t>:20</w:t>
      </w:r>
      <w:r w:rsidRPr="007F551E">
        <w:t>17</w:t>
      </w:r>
      <w:r w:rsidR="00CD713E">
        <w:t> »</w:t>
      </w:r>
      <w:r w:rsidRPr="007F551E">
        <w:t>.</w:t>
      </w:r>
    </w:p>
    <w:p w:rsidR="006079B5" w:rsidRPr="007F551E" w:rsidRDefault="006079B5" w:rsidP="00807AF4">
      <w:pPr>
        <w:pStyle w:val="SingleTxtG"/>
      </w:pPr>
      <w:r w:rsidRPr="007F551E">
        <w:t>6.</w:t>
      </w:r>
      <w:r w:rsidRPr="007F551E">
        <w:tab/>
        <w:t>Dans le SGH, aux paragraphes 2.2.4.2.1, 2.2.4.2.4 et à la section 2.2.5</w:t>
      </w:r>
      <w:r w:rsidR="00CD713E">
        <w:t xml:space="preserve"> du chapitre </w:t>
      </w:r>
      <w:r w:rsidRPr="007F551E">
        <w:t>2.2, ainsi qu’aux paragraphes 2.4.4.1 et 2.4.4.2 du chapitre 2.4</w:t>
      </w:r>
      <w:r w:rsidR="00807AF4" w:rsidRPr="007F551E">
        <w:t> :</w:t>
      </w:r>
    </w:p>
    <w:p w:rsidR="00001A8E" w:rsidRPr="007F551E" w:rsidRDefault="006079B5" w:rsidP="00807AF4">
      <w:pPr>
        <w:pStyle w:val="SingleTxtG"/>
        <w:ind w:left="1701"/>
      </w:pPr>
      <w:r w:rsidRPr="007F551E">
        <w:t xml:space="preserve">Remplacer </w:t>
      </w:r>
      <w:r w:rsidR="00CD713E">
        <w:t>« </w:t>
      </w:r>
      <w:r w:rsidRPr="007F551E">
        <w:t xml:space="preserve">ISO </w:t>
      </w:r>
      <w:proofErr w:type="gramStart"/>
      <w:r w:rsidRPr="007F551E">
        <w:t>10156</w:t>
      </w:r>
      <w:r w:rsidR="001C06D5">
        <w:t>:</w:t>
      </w:r>
      <w:proofErr w:type="gramEnd"/>
      <w:r w:rsidR="001C06D5">
        <w:t>20</w:t>
      </w:r>
      <w:r w:rsidRPr="007F551E">
        <w:t>10</w:t>
      </w:r>
      <w:r w:rsidR="00CD713E">
        <w:t> »</w:t>
      </w:r>
      <w:r w:rsidRPr="007F551E">
        <w:t xml:space="preserve"> par </w:t>
      </w:r>
      <w:r w:rsidR="00CD713E">
        <w:t>« </w:t>
      </w:r>
      <w:r w:rsidRPr="007F551E">
        <w:t>ISO 10156</w:t>
      </w:r>
      <w:r w:rsidR="001C06D5">
        <w:t>:20</w:t>
      </w:r>
      <w:r w:rsidRPr="007F551E">
        <w:t>17</w:t>
      </w:r>
      <w:r w:rsidR="00CD713E">
        <w:t> »</w:t>
      </w:r>
      <w:r w:rsidRPr="007F551E">
        <w:t>.</w:t>
      </w:r>
    </w:p>
    <w:p w:rsidR="00546F2C" w:rsidRPr="007F551E" w:rsidRDefault="00546F2C" w:rsidP="00546F2C">
      <w:pPr>
        <w:pStyle w:val="SingleTxtG"/>
        <w:spacing w:before="240" w:after="0"/>
        <w:jc w:val="center"/>
        <w:rPr>
          <w:u w:val="single"/>
        </w:rPr>
      </w:pPr>
      <w:r w:rsidRPr="007F551E">
        <w:rPr>
          <w:u w:val="single"/>
        </w:rPr>
        <w:tab/>
      </w:r>
      <w:r w:rsidRPr="007F551E">
        <w:rPr>
          <w:u w:val="single"/>
        </w:rPr>
        <w:tab/>
      </w:r>
      <w:r w:rsidRPr="007F551E">
        <w:rPr>
          <w:u w:val="single"/>
        </w:rPr>
        <w:tab/>
      </w:r>
    </w:p>
    <w:sectPr w:rsidR="00546F2C" w:rsidRPr="007F551E" w:rsidSect="00001A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620" w:rsidRDefault="00234620" w:rsidP="00F95C08">
      <w:pPr>
        <w:spacing w:line="240" w:lineRule="auto"/>
      </w:pPr>
    </w:p>
  </w:endnote>
  <w:endnote w:type="continuationSeparator" w:id="0">
    <w:p w:rsidR="00234620" w:rsidRPr="00AC3823" w:rsidRDefault="00234620" w:rsidP="00AC3823">
      <w:pPr>
        <w:pStyle w:val="Footer"/>
      </w:pPr>
    </w:p>
  </w:endnote>
  <w:endnote w:type="continuationNotice" w:id="1">
    <w:p w:rsidR="00234620" w:rsidRDefault="002346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8E" w:rsidRPr="00001A8E" w:rsidRDefault="00001A8E" w:rsidP="00001A8E">
    <w:pPr>
      <w:pStyle w:val="Footer"/>
      <w:tabs>
        <w:tab w:val="right" w:pos="9638"/>
      </w:tabs>
    </w:pPr>
    <w:r w:rsidRPr="00001A8E">
      <w:rPr>
        <w:b/>
        <w:sz w:val="18"/>
      </w:rPr>
      <w:fldChar w:fldCharType="begin"/>
    </w:r>
    <w:r w:rsidRPr="00001A8E">
      <w:rPr>
        <w:b/>
        <w:sz w:val="18"/>
      </w:rPr>
      <w:instrText xml:space="preserve"> PAGE  \* MERGEFORMAT </w:instrText>
    </w:r>
    <w:r w:rsidRPr="00001A8E">
      <w:rPr>
        <w:b/>
        <w:sz w:val="18"/>
      </w:rPr>
      <w:fldChar w:fldCharType="separate"/>
    </w:r>
    <w:r w:rsidR="00B97BDB">
      <w:rPr>
        <w:b/>
        <w:noProof/>
        <w:sz w:val="18"/>
      </w:rPr>
      <w:t>2</w:t>
    </w:r>
    <w:r w:rsidRPr="00001A8E">
      <w:rPr>
        <w:b/>
        <w:sz w:val="18"/>
      </w:rPr>
      <w:fldChar w:fldCharType="end"/>
    </w:r>
    <w:r>
      <w:rPr>
        <w:b/>
        <w:sz w:val="18"/>
      </w:rPr>
      <w:tab/>
    </w:r>
    <w:r>
      <w:t>GE.18-02284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8E" w:rsidRPr="00001A8E" w:rsidRDefault="00001A8E" w:rsidP="00001A8E">
    <w:pPr>
      <w:pStyle w:val="Footer"/>
      <w:tabs>
        <w:tab w:val="right" w:pos="9638"/>
      </w:tabs>
      <w:rPr>
        <w:b/>
        <w:sz w:val="18"/>
      </w:rPr>
    </w:pPr>
    <w:r>
      <w:t>GE.18-02284</w:t>
    </w:r>
    <w:r>
      <w:tab/>
    </w:r>
    <w:r w:rsidRPr="00001A8E">
      <w:rPr>
        <w:b/>
        <w:sz w:val="18"/>
      </w:rPr>
      <w:fldChar w:fldCharType="begin"/>
    </w:r>
    <w:r w:rsidRPr="00001A8E">
      <w:rPr>
        <w:b/>
        <w:sz w:val="18"/>
      </w:rPr>
      <w:instrText xml:space="preserve"> PAGE  \* MERGEFORMAT </w:instrText>
    </w:r>
    <w:r w:rsidRPr="00001A8E">
      <w:rPr>
        <w:b/>
        <w:sz w:val="18"/>
      </w:rPr>
      <w:fldChar w:fldCharType="separate"/>
    </w:r>
    <w:r>
      <w:rPr>
        <w:b/>
        <w:noProof/>
        <w:sz w:val="18"/>
      </w:rPr>
      <w:t>3</w:t>
    </w:r>
    <w:r w:rsidRPr="00001A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001A8E" w:rsidRDefault="00001A8E" w:rsidP="00001A8E">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02284</w:t>
    </w:r>
    <w:r w:rsidR="006179B2">
      <w:rPr>
        <w:sz w:val="20"/>
      </w:rPr>
      <w:t xml:space="preserve"> </w:t>
    </w:r>
    <w:r w:rsidR="00807AF4">
      <w:rPr>
        <w:sz w:val="20"/>
      </w:rPr>
      <w:t xml:space="preserve"> </w:t>
    </w:r>
    <w:r>
      <w:rPr>
        <w:sz w:val="20"/>
      </w:rPr>
      <w:t>(</w:t>
    </w:r>
    <w:proofErr w:type="gramEnd"/>
    <w:r>
      <w:rPr>
        <w:sz w:val="20"/>
      </w:rPr>
      <w:t>F)</w:t>
    </w:r>
    <w:r w:rsidR="00807AF4">
      <w:rPr>
        <w:sz w:val="20"/>
      </w:rPr>
      <w:t xml:space="preserve"> </w:t>
    </w:r>
    <w:r w:rsidR="006179B2">
      <w:rPr>
        <w:sz w:val="20"/>
      </w:rPr>
      <w:t xml:space="preserve">  </w:t>
    </w:r>
    <w:r w:rsidR="00807AF4">
      <w:rPr>
        <w:sz w:val="20"/>
      </w:rPr>
      <w:t xml:space="preserve"> </w:t>
    </w:r>
    <w:r w:rsidR="00474D11">
      <w:rPr>
        <w:sz w:val="20"/>
      </w:rPr>
      <w:t>070318</w:t>
    </w:r>
    <w:r w:rsidR="00807AF4">
      <w:rPr>
        <w:sz w:val="20"/>
      </w:rPr>
      <w:t xml:space="preserve"> </w:t>
    </w:r>
    <w:r w:rsidR="006179B2">
      <w:rPr>
        <w:sz w:val="20"/>
      </w:rPr>
      <w:t xml:space="preserve">  </w:t>
    </w:r>
    <w:r w:rsidR="00807AF4">
      <w:rPr>
        <w:sz w:val="20"/>
      </w:rPr>
      <w:t xml:space="preserve"> </w:t>
    </w:r>
    <w:r w:rsidR="00474D11">
      <w:rPr>
        <w:sz w:val="20"/>
      </w:rPr>
      <w:t>090518</w:t>
    </w:r>
    <w:r>
      <w:rPr>
        <w:sz w:val="20"/>
      </w:rPr>
      <w:br/>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620" w:rsidRPr="00AC3823" w:rsidRDefault="00234620" w:rsidP="00AC3823">
      <w:pPr>
        <w:pStyle w:val="Footer"/>
        <w:tabs>
          <w:tab w:val="right" w:pos="2155"/>
        </w:tabs>
        <w:spacing w:after="80" w:line="240" w:lineRule="atLeast"/>
        <w:ind w:left="680"/>
        <w:rPr>
          <w:u w:val="single"/>
        </w:rPr>
      </w:pPr>
      <w:r>
        <w:rPr>
          <w:u w:val="single"/>
        </w:rPr>
        <w:tab/>
      </w:r>
    </w:p>
  </w:footnote>
  <w:footnote w:type="continuationSeparator" w:id="0">
    <w:p w:rsidR="00234620" w:rsidRPr="00AC3823" w:rsidRDefault="00234620" w:rsidP="00AC3823">
      <w:pPr>
        <w:pStyle w:val="Footer"/>
        <w:tabs>
          <w:tab w:val="right" w:pos="2155"/>
        </w:tabs>
        <w:spacing w:after="80" w:line="240" w:lineRule="atLeast"/>
        <w:ind w:left="680"/>
        <w:rPr>
          <w:u w:val="single"/>
        </w:rPr>
      </w:pPr>
      <w:r>
        <w:rPr>
          <w:u w:val="single"/>
        </w:rPr>
        <w:tab/>
      </w:r>
    </w:p>
  </w:footnote>
  <w:footnote w:type="continuationNotice" w:id="1">
    <w:p w:rsidR="00234620" w:rsidRPr="00AC3823" w:rsidRDefault="00234620">
      <w:pPr>
        <w:spacing w:line="240" w:lineRule="auto"/>
        <w:rPr>
          <w:sz w:val="2"/>
          <w:szCs w:val="2"/>
        </w:rPr>
      </w:pPr>
    </w:p>
  </w:footnote>
  <w:footnote w:id="2">
    <w:p w:rsidR="006079B5" w:rsidRPr="00194292" w:rsidRDefault="00807AF4" w:rsidP="006079B5">
      <w:pPr>
        <w:pStyle w:val="FootnoteText"/>
      </w:pPr>
      <w:r>
        <w:tab/>
      </w:r>
      <w:r w:rsidR="006079B5" w:rsidRPr="001114C6">
        <w:rPr>
          <w:sz w:val="20"/>
        </w:rPr>
        <w:sym w:font="Symbol" w:char="F02A"/>
      </w:r>
      <w:r>
        <w:tab/>
      </w:r>
      <w:r w:rsidR="006079B5" w:rsidRPr="00194292">
        <w:t xml:space="preserve">Conformément au programme de travail du Sous-Comité pour la période biennale 2017-2018, approuvé par le Comité à sa huitième session </w:t>
      </w:r>
      <w:r>
        <w:t>(voir ST/SG/AC.10/C.3/100, par. </w:t>
      </w:r>
      <w:r w:rsidR="006079B5" w:rsidRPr="00194292">
        <w:t>9</w:t>
      </w:r>
      <w:r>
        <w:t>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8E" w:rsidRPr="00001A8E" w:rsidRDefault="00B97BDB">
    <w:pPr>
      <w:pStyle w:val="Header"/>
    </w:pPr>
    <w:r>
      <w:fldChar w:fldCharType="begin"/>
    </w:r>
    <w:r>
      <w:instrText xml:space="preserve"> TITLE  \* MERGEFORMAT </w:instrText>
    </w:r>
    <w:r>
      <w:fldChar w:fldCharType="separate"/>
    </w:r>
    <w:r>
      <w:t>ST/SG/AC.10/C.3/2018/2</w:t>
    </w:r>
    <w:r>
      <w:fldChar w:fldCharType="end"/>
    </w:r>
    <w:r w:rsidR="00001A8E">
      <w:br/>
    </w:r>
    <w:r>
      <w:fldChar w:fldCharType="begin"/>
    </w:r>
    <w:r>
      <w:instrText xml:space="preserve"> KEYWORDS  \* </w:instrText>
    </w:r>
    <w:r>
      <w:instrText xml:space="preserve">MERGEFORMAT </w:instrText>
    </w:r>
    <w:r>
      <w:fldChar w:fldCharType="separate"/>
    </w:r>
    <w:r>
      <w:t>ST/SG/AC.10/C.4/2018/2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8E" w:rsidRPr="00001A8E" w:rsidRDefault="00B97BDB" w:rsidP="00001A8E">
    <w:pPr>
      <w:pStyle w:val="Header"/>
      <w:jc w:val="right"/>
    </w:pPr>
    <w:r>
      <w:fldChar w:fldCharType="begin"/>
    </w:r>
    <w:r>
      <w:instrText xml:space="preserve"> TITLE  \* MERGEFORMAT </w:instrText>
    </w:r>
    <w:r>
      <w:fldChar w:fldCharType="separate"/>
    </w:r>
    <w:r>
      <w:t>ST/SG/AC.10/C.3/2018/2</w:t>
    </w:r>
    <w:r>
      <w:fldChar w:fldCharType="end"/>
    </w:r>
    <w:r w:rsidR="00001A8E">
      <w:br/>
    </w:r>
    <w:r>
      <w:fldChar w:fldCharType="begin"/>
    </w:r>
    <w:r>
      <w:instrText xml:space="preserve"> KEYWORDS  \* MERGEFORMAT </w:instrText>
    </w:r>
    <w:r>
      <w:fldChar w:fldCharType="separate"/>
    </w:r>
    <w:r>
      <w:t>ST/SG/AC.10/C.4/2018/2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20"/>
    <w:rsid w:val="00001A8E"/>
    <w:rsid w:val="00017F94"/>
    <w:rsid w:val="00023842"/>
    <w:rsid w:val="000305D3"/>
    <w:rsid w:val="000334F9"/>
    <w:rsid w:val="0007796D"/>
    <w:rsid w:val="000B7790"/>
    <w:rsid w:val="001114C6"/>
    <w:rsid w:val="00111F2F"/>
    <w:rsid w:val="00132EA9"/>
    <w:rsid w:val="0014365E"/>
    <w:rsid w:val="00176178"/>
    <w:rsid w:val="001C06D5"/>
    <w:rsid w:val="001F525A"/>
    <w:rsid w:val="00223272"/>
    <w:rsid w:val="00234620"/>
    <w:rsid w:val="0024779E"/>
    <w:rsid w:val="00283190"/>
    <w:rsid w:val="002832AC"/>
    <w:rsid w:val="002D7C93"/>
    <w:rsid w:val="003D25CD"/>
    <w:rsid w:val="00441C3B"/>
    <w:rsid w:val="00446FE5"/>
    <w:rsid w:val="00452396"/>
    <w:rsid w:val="00474D11"/>
    <w:rsid w:val="00477C49"/>
    <w:rsid w:val="004E468C"/>
    <w:rsid w:val="00546F2C"/>
    <w:rsid w:val="005505B7"/>
    <w:rsid w:val="00573BE5"/>
    <w:rsid w:val="00584DC4"/>
    <w:rsid w:val="00586ED3"/>
    <w:rsid w:val="00596AA9"/>
    <w:rsid w:val="00603489"/>
    <w:rsid w:val="006079B5"/>
    <w:rsid w:val="006179B2"/>
    <w:rsid w:val="0068456F"/>
    <w:rsid w:val="0071601D"/>
    <w:rsid w:val="007A62E6"/>
    <w:rsid w:val="007F551E"/>
    <w:rsid w:val="0080684C"/>
    <w:rsid w:val="00807AF4"/>
    <w:rsid w:val="00871C75"/>
    <w:rsid w:val="008776DC"/>
    <w:rsid w:val="008B40CD"/>
    <w:rsid w:val="0097055E"/>
    <w:rsid w:val="009705C8"/>
    <w:rsid w:val="009C1CF4"/>
    <w:rsid w:val="00A0013C"/>
    <w:rsid w:val="00A30353"/>
    <w:rsid w:val="00A763D1"/>
    <w:rsid w:val="00AC3823"/>
    <w:rsid w:val="00AE323C"/>
    <w:rsid w:val="00B00181"/>
    <w:rsid w:val="00B00B0D"/>
    <w:rsid w:val="00B765F7"/>
    <w:rsid w:val="00B97BDB"/>
    <w:rsid w:val="00BA0CA9"/>
    <w:rsid w:val="00C02897"/>
    <w:rsid w:val="00CD713E"/>
    <w:rsid w:val="00D3439C"/>
    <w:rsid w:val="00DB1831"/>
    <w:rsid w:val="00DD3BFD"/>
    <w:rsid w:val="00DF6678"/>
    <w:rsid w:val="00E405DF"/>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F709D8-8256-4965-9458-14F1ACE8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semiHidden/>
    <w:rsid w:val="006079B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ST/SG/AC.10/C.3/2018/2</vt:lpstr>
      <vt:lpstr>ST/SG/AC.10/C.3/2018/2</vt:lpstr>
    </vt:vector>
  </TitlesOfParts>
  <Company>DCM</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ST/SG/AC.10/C.3/2018/2</dc:title>
  <dc:creator>Nicolas MORIN</dc:creator>
  <cp:keywords>ST/SG/AC.10/C.4/2018/2</cp:keywords>
  <cp:lastModifiedBy>Laurence Berthet</cp:lastModifiedBy>
  <cp:revision>3</cp:revision>
  <cp:lastPrinted>2018-05-11T07:23:00Z</cp:lastPrinted>
  <dcterms:created xsi:type="dcterms:W3CDTF">2018-05-11T07:23:00Z</dcterms:created>
  <dcterms:modified xsi:type="dcterms:W3CDTF">2018-05-11T07:23:00Z</dcterms:modified>
</cp:coreProperties>
</file>