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D457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D457C" w:rsidP="009D457C">
            <w:pPr>
              <w:jc w:val="right"/>
            </w:pPr>
            <w:r w:rsidRPr="009D457C">
              <w:rPr>
                <w:sz w:val="40"/>
              </w:rPr>
              <w:t>ECE</w:t>
            </w:r>
            <w:r>
              <w:t>/TRANS/WP.29/GRSP/2017/28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D457C" w:rsidP="00C97039">
            <w:pPr>
              <w:spacing w:before="240"/>
            </w:pPr>
            <w:r>
              <w:t>Distr. générale</w:t>
            </w:r>
          </w:p>
          <w:p w:rsidR="009D457C" w:rsidRDefault="009D457C" w:rsidP="009D457C">
            <w:pPr>
              <w:spacing w:line="240" w:lineRule="exact"/>
            </w:pPr>
            <w:r>
              <w:t>22 septembre 2017</w:t>
            </w:r>
          </w:p>
          <w:p w:rsidR="009D457C" w:rsidRDefault="009D457C" w:rsidP="009D457C">
            <w:pPr>
              <w:spacing w:line="240" w:lineRule="exact"/>
            </w:pPr>
            <w:r>
              <w:t>Français</w:t>
            </w:r>
          </w:p>
          <w:p w:rsidR="009D457C" w:rsidRPr="00DB58B5" w:rsidRDefault="009D457C" w:rsidP="009D457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2440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10E54" w:rsidRDefault="00010E5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2440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10E54" w:rsidRDefault="00010E5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010E54" w:rsidRDefault="00010E54" w:rsidP="00257168">
      <w:pPr>
        <w:spacing w:before="120" w:line="240" w:lineRule="exact"/>
        <w:rPr>
          <w:b/>
        </w:rPr>
      </w:pPr>
      <w:r>
        <w:rPr>
          <w:b/>
        </w:rPr>
        <w:t>Soixante-deuxième session</w:t>
      </w:r>
    </w:p>
    <w:p w:rsidR="00010E54" w:rsidRDefault="00010E54" w:rsidP="00257168">
      <w:pPr>
        <w:spacing w:line="240" w:lineRule="exact"/>
      </w:pPr>
      <w:r>
        <w:t>Genève, 12-15 décembre 2017</w:t>
      </w:r>
    </w:p>
    <w:p w:rsidR="00010E54" w:rsidRDefault="00010E54" w:rsidP="00257168">
      <w:pPr>
        <w:spacing w:line="240" w:lineRule="exact"/>
      </w:pPr>
      <w:r>
        <w:t>Point 12 de l</w:t>
      </w:r>
      <w:r w:rsidR="0042440B">
        <w:t>’</w:t>
      </w:r>
      <w:r>
        <w:t>ordre du jour provisoire</w:t>
      </w:r>
    </w:p>
    <w:p w:rsidR="001916CC" w:rsidRPr="004E3019" w:rsidRDefault="001916CC" w:rsidP="001916CC">
      <w:pPr>
        <w:rPr>
          <w:b/>
          <w:bCs/>
        </w:rPr>
      </w:pPr>
      <w:r>
        <w:rPr>
          <w:b/>
          <w:bCs/>
        </w:rPr>
        <w:t xml:space="preserve">Règlement </w:t>
      </w:r>
      <w:r w:rsidRPr="001916CC">
        <w:rPr>
          <w:rFonts w:eastAsia="MS Mincho"/>
          <w:b/>
          <w:bCs/>
        </w:rPr>
        <w:t>n</w:t>
      </w:r>
      <w:r w:rsidRPr="001916CC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 xml:space="preserve"> 44 (Dispositifs de retenue pour enfants)</w:t>
      </w:r>
    </w:p>
    <w:p w:rsidR="001916CC" w:rsidRPr="004F2EA2" w:rsidRDefault="001916CC" w:rsidP="001916CC">
      <w:pPr>
        <w:pStyle w:val="HChG"/>
        <w:rPr>
          <w:bCs/>
        </w:rPr>
      </w:pPr>
      <w:r>
        <w:tab/>
      </w:r>
      <w:r>
        <w:tab/>
        <w:t>Proposition de complément 14 à la série 04 d</w:t>
      </w:r>
      <w:r w:rsidR="0042440B">
        <w:t>’</w:t>
      </w:r>
      <w:r>
        <w:t xml:space="preserve">amendements au 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 44 (Dispositifs de retenue pour enfants)</w:t>
      </w:r>
    </w:p>
    <w:p w:rsidR="001916CC" w:rsidRPr="00F3305B" w:rsidRDefault="001916CC" w:rsidP="001916CC">
      <w:pPr>
        <w:pStyle w:val="H1G"/>
      </w:pPr>
      <w:r>
        <w:tab/>
      </w:r>
      <w:r>
        <w:tab/>
        <w:t>Communication de l</w:t>
      </w:r>
      <w:r w:rsidR="0042440B">
        <w:t>’</w:t>
      </w:r>
      <w:r>
        <w:t>expert de la France</w:t>
      </w:r>
      <w:r w:rsidRPr="001916C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916CC" w:rsidRPr="00166E9C" w:rsidRDefault="001916CC" w:rsidP="00C5330B">
      <w:pPr>
        <w:pStyle w:val="SingleTxtG"/>
        <w:ind w:firstLine="567"/>
      </w:pPr>
      <w:r>
        <w:t>Le texte reproduit ci-après, établi par l</w:t>
      </w:r>
      <w:r w:rsidR="0042440B">
        <w:t>’</w:t>
      </w:r>
      <w:r>
        <w:t>expert de la France au nom du Groupe des serv</w:t>
      </w:r>
      <w:r w:rsidR="00C5330B">
        <w:t xml:space="preserve">ices techniques du Règlement </w:t>
      </w:r>
      <w:r w:rsidR="00C5330B">
        <w:rPr>
          <w:rFonts w:eastAsia="MS Mincho"/>
        </w:rPr>
        <w:t>n</w:t>
      </w:r>
      <w:r w:rsidR="00C5330B">
        <w:rPr>
          <w:rFonts w:eastAsia="MS Mincho"/>
          <w:vertAlign w:val="superscript"/>
        </w:rPr>
        <w:t>o</w:t>
      </w:r>
      <w:r w:rsidR="00C7616C">
        <w:t> </w:t>
      </w:r>
      <w:r>
        <w:t>44, porte sur le bien-fondé de l</w:t>
      </w:r>
      <w:r w:rsidR="0042440B">
        <w:t>’</w:t>
      </w:r>
      <w:r w:rsidR="00C7616C">
        <w:t>utilisation du symbole </w:t>
      </w:r>
      <w:r>
        <w:t>Y pour signaler la présence d</w:t>
      </w:r>
      <w:r w:rsidR="0042440B">
        <w:t>’</w:t>
      </w:r>
      <w:r>
        <w:t>une sangle d</w:t>
      </w:r>
      <w:r w:rsidR="0042440B">
        <w:t>’</w:t>
      </w:r>
      <w:r>
        <w:t>entrejambe. Les modifications qu</w:t>
      </w:r>
      <w:r w:rsidR="0042440B">
        <w:t>’</w:t>
      </w:r>
      <w:r>
        <w:t>il est proposé d</w:t>
      </w:r>
      <w:r w:rsidR="0042440B">
        <w:t>’</w:t>
      </w:r>
      <w:r>
        <w:t>apporter au texte actuel du Règlement sont signalées en caractères biffés pour les suppressions.</w:t>
      </w:r>
    </w:p>
    <w:p w:rsidR="001916CC" w:rsidRDefault="001916CC" w:rsidP="00C5330B">
      <w:pPr>
        <w:pStyle w:val="HChG"/>
        <w:rPr>
          <w:snapToGrid w:val="0"/>
        </w:rPr>
      </w:pPr>
      <w:r>
        <w:br w:type="page"/>
      </w:r>
      <w:r>
        <w:rPr>
          <w:snapToGrid w:val="0"/>
        </w:rPr>
        <w:lastRenderedPageBreak/>
        <w:tab/>
        <w:t>I.</w:t>
      </w:r>
      <w:r>
        <w:rPr>
          <w:snapToGrid w:val="0"/>
        </w:rPr>
        <w:tab/>
        <w:t>Proposition</w:t>
      </w:r>
    </w:p>
    <w:p w:rsidR="001916CC" w:rsidRPr="00563350" w:rsidRDefault="001916CC" w:rsidP="00C5330B">
      <w:pPr>
        <w:pStyle w:val="SingleTxtG"/>
        <w:rPr>
          <w:lang w:val="fr-FR"/>
        </w:rPr>
      </w:pPr>
      <w:r w:rsidRPr="00C5330B">
        <w:rPr>
          <w:i/>
        </w:rPr>
        <w:t>Paragraphe 5.4.2.3</w:t>
      </w:r>
      <w:r>
        <w:t>, suppri</w:t>
      </w:r>
      <w:r>
        <w:rPr>
          <w:lang w:val="fr-FR"/>
        </w:rPr>
        <w:t>mer.</w:t>
      </w:r>
    </w:p>
    <w:p w:rsidR="001916CC" w:rsidRDefault="001916CC" w:rsidP="00C5330B">
      <w:pPr>
        <w:pStyle w:val="SingleTxtG"/>
      </w:pPr>
      <w:r>
        <w:rPr>
          <w:i/>
        </w:rPr>
        <w:t>Le paragraphe 5.2.4</w:t>
      </w:r>
      <w:r>
        <w:t xml:space="preserve"> devient le paragraphe 5.4.2.3.</w:t>
      </w:r>
    </w:p>
    <w:p w:rsidR="001916CC" w:rsidRDefault="001916CC" w:rsidP="00C5330B">
      <w:pPr>
        <w:pStyle w:val="SingleTxtG"/>
      </w:pPr>
      <w:bookmarkStart w:id="1" w:name="_Toc352838565"/>
      <w:bookmarkStart w:id="2" w:name="_Toc352852735"/>
      <w:bookmarkStart w:id="3" w:name="_Toc367372579"/>
      <w:r>
        <w:rPr>
          <w:i/>
        </w:rPr>
        <w:t>Annexe 2</w:t>
      </w:r>
      <w:r>
        <w:t>,</w:t>
      </w:r>
      <w:r>
        <w:rPr>
          <w:i/>
        </w:rPr>
        <w:t xml:space="preserve"> </w:t>
      </w:r>
      <w:r w:rsidR="005347AB">
        <w:t>modifier comme suit :</w:t>
      </w:r>
    </w:p>
    <w:p w:rsidR="001916CC" w:rsidRPr="000D3277" w:rsidRDefault="001916CC" w:rsidP="008A23D4">
      <w:pPr>
        <w:pStyle w:val="HChG"/>
      </w:pPr>
      <w:r w:rsidRPr="008A23D4">
        <w:rPr>
          <w:b w:val="0"/>
        </w:rPr>
        <w:tab/>
        <w:t>«</w:t>
      </w:r>
      <w:r>
        <w:t>Annexe 2</w:t>
      </w:r>
      <w:bookmarkEnd w:id="1"/>
      <w:bookmarkEnd w:id="2"/>
      <w:bookmarkEnd w:id="3"/>
    </w:p>
    <w:p w:rsidR="001916CC" w:rsidRPr="00054B05" w:rsidRDefault="00600DF1" w:rsidP="0065297A">
      <w:pPr>
        <w:pStyle w:val="HChG"/>
      </w:pPr>
      <w:bookmarkStart w:id="4" w:name="_Toc352838566"/>
      <w:bookmarkStart w:id="5" w:name="_Toc352852736"/>
      <w:bookmarkStart w:id="6" w:name="_Toc367372580"/>
      <w:r>
        <w:tab/>
      </w:r>
      <w:r>
        <w:tab/>
      </w:r>
      <w:r w:rsidR="001916CC">
        <w:t>Exemples de marques d</w:t>
      </w:r>
      <w:r w:rsidR="0042440B">
        <w:t>’</w:t>
      </w:r>
      <w:r w:rsidR="001916CC">
        <w:t>homologation</w:t>
      </w:r>
      <w:bookmarkEnd w:id="4"/>
      <w:bookmarkEnd w:id="5"/>
      <w:bookmarkEnd w:id="6"/>
    </w:p>
    <w:p w:rsidR="001916CC" w:rsidRDefault="001916CC" w:rsidP="0065297A">
      <w:pPr>
        <w:spacing w:after="240"/>
        <w:ind w:left="1134"/>
      </w:pP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 wp14:anchorId="2EE58CA1" wp14:editId="3750C385">
            <wp:extent cx="2764155" cy="14141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CC" w:rsidRDefault="001916CC" w:rsidP="008A23D4">
      <w:pPr>
        <w:pStyle w:val="SingleTxtG"/>
      </w:pPr>
      <w:bookmarkStart w:id="7" w:name="_Toc352838569"/>
      <w:bookmarkStart w:id="8" w:name="_Toc352852741"/>
      <w:r>
        <w:t>Le dispositif de retenue pour enfants portant la marque d</w:t>
      </w:r>
      <w:r w:rsidR="0042440B">
        <w:t>’</w:t>
      </w:r>
      <w:r>
        <w:t>homologation ci-d</w:t>
      </w:r>
      <w:r w:rsidR="00600DF1">
        <w:t>essus est un dispositif pouvant</w:t>
      </w:r>
      <w:r>
        <w:t>…</w:t>
      </w:r>
    </w:p>
    <w:p w:rsidR="001916CC" w:rsidRDefault="00600DF1" w:rsidP="008A23D4">
      <w:pPr>
        <w:pStyle w:val="SingleTxtG"/>
      </w:pPr>
      <w:r>
        <w:t>…</w:t>
      </w:r>
    </w:p>
    <w:p w:rsidR="001916CC" w:rsidRPr="008528EF" w:rsidRDefault="001916CC" w:rsidP="008A23D4">
      <w:pPr>
        <w:pStyle w:val="SingleTxtG"/>
        <w:ind w:firstLine="567"/>
        <w:rPr>
          <w:strike/>
        </w:rPr>
      </w:pPr>
      <w:r>
        <w:t>Le dispositif de retenue pour enfants portant la marque d</w:t>
      </w:r>
      <w:r w:rsidR="0042440B">
        <w:t>’</w:t>
      </w:r>
      <w:r>
        <w:t>homologation ci-dessus est un dispositif qui ne peut pas être monté dans n</w:t>
      </w:r>
      <w:r w:rsidR="0042440B">
        <w:t>’</w:t>
      </w:r>
      <w:r>
        <w:t>importe qu</w:t>
      </w:r>
      <w:r w:rsidR="005347AB">
        <w:t>el véhicule ;</w:t>
      </w:r>
      <w:r>
        <w:t xml:space="preserve"> il peut être utilisé pour la gamme de masse de 9-25 kg (groupes I et II) et il est homologué aux Pays-Bas (E4) sous le numéro 042450. Le numéro d</w:t>
      </w:r>
      <w:r w:rsidR="0042440B">
        <w:t>’</w:t>
      </w:r>
      <w:r>
        <w:t>homologation indique que l</w:t>
      </w:r>
      <w:r w:rsidR="0042440B">
        <w:t>’</w:t>
      </w:r>
      <w:r>
        <w:t>homologation a été accordée conformément aux prescriptions du Règlement relatif à l</w:t>
      </w:r>
      <w:r w:rsidR="0042440B">
        <w:t>’</w:t>
      </w:r>
      <w:r>
        <w:t>homologation des dispositifs de retenue pour enfants à bord des véhicules à moteur, tel qu</w:t>
      </w:r>
      <w:r w:rsidR="0042440B">
        <w:t>’</w:t>
      </w:r>
      <w:r>
        <w:t>il a été modifié par la série 04 d</w:t>
      </w:r>
      <w:r w:rsidR="0042440B">
        <w:t>’</w:t>
      </w:r>
      <w:r>
        <w:t>amendements.</w:t>
      </w:r>
      <w:r w:rsidRPr="008528EF">
        <w:rPr>
          <w:strike/>
        </w:rPr>
        <w:t xml:space="preserve"> Le symbole Y indique que le dispositif comporte une sangle d</w:t>
      </w:r>
      <w:r w:rsidR="0042440B">
        <w:rPr>
          <w:strike/>
        </w:rPr>
        <w:t>’</w:t>
      </w:r>
      <w:r w:rsidRPr="008528EF">
        <w:rPr>
          <w:strike/>
        </w:rPr>
        <w:t>entrejambe.</w:t>
      </w:r>
    </w:p>
    <w:p w:rsidR="001916CC" w:rsidRPr="00C67E25" w:rsidRDefault="001916CC" w:rsidP="008A23D4">
      <w:pPr>
        <w:pStyle w:val="SingleTxtG"/>
      </w:pPr>
      <w:r>
        <w:rPr>
          <w:i/>
        </w:rPr>
        <w:t>Note</w:t>
      </w:r>
      <w:r w:rsidR="008A23D4">
        <w:rPr>
          <w:i/>
        </w:rPr>
        <w:t> </w:t>
      </w:r>
      <w:r w:rsidR="008A23D4">
        <w:t>:</w:t>
      </w:r>
      <w:r>
        <w:tab/>
        <w:t>Le ...</w:t>
      </w:r>
      <w:bookmarkEnd w:id="7"/>
      <w:bookmarkEnd w:id="8"/>
      <w:r>
        <w:t> ».</w:t>
      </w:r>
    </w:p>
    <w:p w:rsidR="001916CC" w:rsidRDefault="001916CC" w:rsidP="008A23D4">
      <w:pPr>
        <w:pStyle w:val="HChG"/>
        <w:rPr>
          <w:snapToGrid w:val="0"/>
        </w:rPr>
      </w:pPr>
      <w:r>
        <w:rPr>
          <w:snapToGrid w:val="0"/>
        </w:rPr>
        <w:tab/>
        <w:t>II.</w:t>
      </w:r>
      <w:r>
        <w:rPr>
          <w:snapToGrid w:val="0"/>
        </w:rPr>
        <w:tab/>
        <w:t>Justification</w:t>
      </w:r>
    </w:p>
    <w:p w:rsidR="00F9573C" w:rsidRDefault="001916CC" w:rsidP="008A23D4">
      <w:pPr>
        <w:pStyle w:val="SingleTxtG"/>
        <w:ind w:firstLine="567"/>
      </w:pPr>
      <w:r>
        <w:t>Le symbole Y n</w:t>
      </w:r>
      <w:r w:rsidR="0042440B">
        <w:t>’</w:t>
      </w:r>
      <w:r>
        <w:t>est pl</w:t>
      </w:r>
      <w:r w:rsidR="008A23D4">
        <w:t xml:space="preserve">us utilisé dans le Règlement </w:t>
      </w:r>
      <w:r w:rsidR="008A23D4">
        <w:rPr>
          <w:rFonts w:eastAsia="MS Mincho"/>
        </w:rPr>
        <w:t>n</w:t>
      </w:r>
      <w:r w:rsidR="008A23D4">
        <w:rPr>
          <w:rFonts w:eastAsia="MS Mincho"/>
          <w:vertAlign w:val="superscript"/>
        </w:rPr>
        <w:t>o</w:t>
      </w:r>
      <w:r w:rsidR="008A23D4">
        <w:t> </w:t>
      </w:r>
      <w:r>
        <w:t>129. En conséquence, le consommateur ignore sa signification. En outre, le complément 3 à la série 02 d</w:t>
      </w:r>
      <w:r w:rsidR="0042440B">
        <w:t>’</w:t>
      </w:r>
      <w:r>
        <w:t xml:space="preserve">amendements </w:t>
      </w:r>
      <w:r w:rsidR="008A23D4">
        <w:t xml:space="preserve">au Règlement </w:t>
      </w:r>
      <w:r w:rsidR="008A23D4">
        <w:rPr>
          <w:rFonts w:eastAsia="MS Mincho"/>
        </w:rPr>
        <w:t>n</w:t>
      </w:r>
      <w:r w:rsidR="008A23D4">
        <w:rPr>
          <w:rFonts w:eastAsia="MS Mincho"/>
          <w:vertAlign w:val="superscript"/>
        </w:rPr>
        <w:t>o</w:t>
      </w:r>
      <w:r w:rsidR="008A23D4">
        <w:t> </w:t>
      </w:r>
      <w:r>
        <w:t>44 n</w:t>
      </w:r>
      <w:r w:rsidR="0042440B">
        <w:t>’</w:t>
      </w:r>
      <w:r>
        <w:t>est pas disponible sur le site Web de la CEE. Certains fabricants utilisent ce symbole, d</w:t>
      </w:r>
      <w:r w:rsidR="0042440B">
        <w:t>’</w:t>
      </w:r>
      <w:r>
        <w:t>autres non. Il ne semble pas que les autorités d</w:t>
      </w:r>
      <w:r w:rsidR="0042440B">
        <w:t>’</w:t>
      </w:r>
      <w:r>
        <w:t>homologation et les services techniques effectuent des contrôles systématiques à cet égard.</w:t>
      </w:r>
    </w:p>
    <w:p w:rsidR="008A23D4" w:rsidRPr="008A23D4" w:rsidRDefault="008A23D4" w:rsidP="008A23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23D4" w:rsidRPr="008A23D4" w:rsidSect="009D457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C7" w:rsidRDefault="00DC79C7" w:rsidP="00F95C08">
      <w:pPr>
        <w:spacing w:line="240" w:lineRule="auto"/>
      </w:pPr>
    </w:p>
  </w:endnote>
  <w:endnote w:type="continuationSeparator" w:id="0">
    <w:p w:rsidR="00DC79C7" w:rsidRPr="00AC3823" w:rsidRDefault="00DC79C7" w:rsidP="00AC3823">
      <w:pPr>
        <w:pStyle w:val="Footer"/>
      </w:pPr>
    </w:p>
  </w:endnote>
  <w:endnote w:type="continuationNotice" w:id="1">
    <w:p w:rsidR="00DC79C7" w:rsidRDefault="00DC7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7C" w:rsidRPr="009D457C" w:rsidRDefault="009D457C" w:rsidP="009D457C">
    <w:pPr>
      <w:pStyle w:val="Footer"/>
      <w:tabs>
        <w:tab w:val="right" w:pos="9638"/>
      </w:tabs>
    </w:pPr>
    <w:r w:rsidRPr="009D457C">
      <w:rPr>
        <w:b/>
        <w:sz w:val="18"/>
      </w:rPr>
      <w:fldChar w:fldCharType="begin"/>
    </w:r>
    <w:r w:rsidRPr="009D457C">
      <w:rPr>
        <w:b/>
        <w:sz w:val="18"/>
      </w:rPr>
      <w:instrText xml:space="preserve"> PAGE  \* MERGEFORMAT </w:instrText>
    </w:r>
    <w:r w:rsidRPr="009D457C">
      <w:rPr>
        <w:b/>
        <w:sz w:val="18"/>
      </w:rPr>
      <w:fldChar w:fldCharType="separate"/>
    </w:r>
    <w:r w:rsidR="00703FBF">
      <w:rPr>
        <w:b/>
        <w:noProof/>
        <w:sz w:val="18"/>
      </w:rPr>
      <w:t>2</w:t>
    </w:r>
    <w:r w:rsidRPr="009D457C">
      <w:rPr>
        <w:b/>
        <w:sz w:val="18"/>
      </w:rPr>
      <w:fldChar w:fldCharType="end"/>
    </w:r>
    <w:r>
      <w:rPr>
        <w:b/>
        <w:sz w:val="18"/>
      </w:rPr>
      <w:tab/>
    </w:r>
    <w:r>
      <w:t>GE.17-16685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7C" w:rsidRPr="009D457C" w:rsidRDefault="009D457C" w:rsidP="009D457C">
    <w:pPr>
      <w:pStyle w:val="Footer"/>
      <w:tabs>
        <w:tab w:val="right" w:pos="9638"/>
      </w:tabs>
      <w:rPr>
        <w:b/>
        <w:sz w:val="18"/>
      </w:rPr>
    </w:pPr>
    <w:r>
      <w:t>GE.17-16685</w:t>
    </w:r>
    <w:r>
      <w:tab/>
    </w:r>
    <w:r w:rsidRPr="009D457C">
      <w:rPr>
        <w:b/>
        <w:sz w:val="18"/>
      </w:rPr>
      <w:fldChar w:fldCharType="begin"/>
    </w:r>
    <w:r w:rsidRPr="009D457C">
      <w:rPr>
        <w:b/>
        <w:sz w:val="18"/>
      </w:rPr>
      <w:instrText xml:space="preserve"> PAGE  \* MERGEFORMAT </w:instrText>
    </w:r>
    <w:r w:rsidRPr="009D457C">
      <w:rPr>
        <w:b/>
        <w:sz w:val="18"/>
      </w:rPr>
      <w:fldChar w:fldCharType="separate"/>
    </w:r>
    <w:r w:rsidR="00C7616C">
      <w:rPr>
        <w:b/>
        <w:noProof/>
        <w:sz w:val="18"/>
      </w:rPr>
      <w:t>2</w:t>
    </w:r>
    <w:r w:rsidRPr="009D45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D457C" w:rsidRDefault="009D457C" w:rsidP="009D457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17-16685  (F)    241017    241017</w:t>
    </w:r>
    <w:r>
      <w:rPr>
        <w:sz w:val="20"/>
      </w:rPr>
      <w:br/>
    </w:r>
    <w:r w:rsidRPr="009D457C">
      <w:rPr>
        <w:rFonts w:ascii="C39T30Lfz" w:hAnsi="C39T30Lfz"/>
        <w:sz w:val="56"/>
      </w:rPr>
      <w:t></w:t>
    </w:r>
    <w:r w:rsidRPr="009D457C">
      <w:rPr>
        <w:rFonts w:ascii="C39T30Lfz" w:hAnsi="C39T30Lfz"/>
        <w:sz w:val="56"/>
      </w:rPr>
      <w:t></w:t>
    </w:r>
    <w:r w:rsidRPr="009D457C">
      <w:rPr>
        <w:rFonts w:ascii="C39T30Lfz" w:hAnsi="C39T30Lfz"/>
        <w:sz w:val="56"/>
      </w:rPr>
      <w:t></w:t>
    </w:r>
    <w:r w:rsidRPr="009D457C">
      <w:rPr>
        <w:rFonts w:ascii="C39T30Lfz" w:hAnsi="C39T30Lfz"/>
        <w:sz w:val="56"/>
      </w:rPr>
      <w:t></w:t>
    </w:r>
    <w:r w:rsidRPr="009D457C">
      <w:rPr>
        <w:rFonts w:ascii="C39T30Lfz" w:hAnsi="C39T30Lfz"/>
        <w:sz w:val="56"/>
      </w:rPr>
      <w:t></w:t>
    </w:r>
    <w:r w:rsidRPr="009D457C">
      <w:rPr>
        <w:rFonts w:ascii="C39T30Lfz" w:hAnsi="C39T30Lfz"/>
        <w:sz w:val="56"/>
      </w:rPr>
      <w:t></w:t>
    </w:r>
    <w:r w:rsidRPr="009D457C">
      <w:rPr>
        <w:rFonts w:ascii="C39T30Lfz" w:hAnsi="C39T30Lfz"/>
        <w:sz w:val="56"/>
      </w:rPr>
      <w:t></w:t>
    </w:r>
    <w:r w:rsidRPr="009D457C">
      <w:rPr>
        <w:rFonts w:ascii="C39T30Lfz" w:hAnsi="C39T30Lfz"/>
        <w:sz w:val="56"/>
      </w:rPr>
      <w:t></w:t>
    </w:r>
    <w:r w:rsidRPr="009D457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C7" w:rsidRPr="00AC3823" w:rsidRDefault="00DC79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9C7" w:rsidRPr="00AC3823" w:rsidRDefault="00DC79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79C7" w:rsidRPr="00AC3823" w:rsidRDefault="00DC79C7">
      <w:pPr>
        <w:spacing w:line="240" w:lineRule="auto"/>
        <w:rPr>
          <w:sz w:val="2"/>
          <w:szCs w:val="2"/>
        </w:rPr>
      </w:pPr>
    </w:p>
  </w:footnote>
  <w:footnote w:id="2">
    <w:p w:rsidR="001916CC" w:rsidRPr="001916CC" w:rsidRDefault="001916CC">
      <w:pPr>
        <w:pStyle w:val="FootnoteText"/>
      </w:pPr>
      <w:r>
        <w:rPr>
          <w:rStyle w:val="FootnoteReference"/>
        </w:rPr>
        <w:tab/>
      </w:r>
      <w:r w:rsidRPr="001916C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7C" w:rsidRPr="009D457C" w:rsidRDefault="00703F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51467">
      <w:t>ECE/TRANS/WP.29/GRSP/2017/28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7C" w:rsidRPr="009D457C" w:rsidRDefault="00703FBF" w:rsidP="009D45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51467">
      <w:t>ECE/TRANS/WP.29/GRSP/2017/28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C7"/>
    <w:rsid w:val="00010E5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16C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440B"/>
    <w:rsid w:val="00441C3B"/>
    <w:rsid w:val="00446FE5"/>
    <w:rsid w:val="00452396"/>
    <w:rsid w:val="00462E74"/>
    <w:rsid w:val="004837D8"/>
    <w:rsid w:val="004E468C"/>
    <w:rsid w:val="005347AB"/>
    <w:rsid w:val="005505B7"/>
    <w:rsid w:val="00573BE5"/>
    <w:rsid w:val="00586ED3"/>
    <w:rsid w:val="00596AA9"/>
    <w:rsid w:val="005F5D0A"/>
    <w:rsid w:val="00600DF1"/>
    <w:rsid w:val="0065297A"/>
    <w:rsid w:val="00703FBF"/>
    <w:rsid w:val="0071601D"/>
    <w:rsid w:val="007A62E6"/>
    <w:rsid w:val="007F20FA"/>
    <w:rsid w:val="0080684C"/>
    <w:rsid w:val="00871C75"/>
    <w:rsid w:val="008776DC"/>
    <w:rsid w:val="008A23D4"/>
    <w:rsid w:val="009446C0"/>
    <w:rsid w:val="009705C8"/>
    <w:rsid w:val="009C1CF4"/>
    <w:rsid w:val="009D457C"/>
    <w:rsid w:val="009E1DD1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5330B"/>
    <w:rsid w:val="00C7616C"/>
    <w:rsid w:val="00C97039"/>
    <w:rsid w:val="00D3439C"/>
    <w:rsid w:val="00DB1831"/>
    <w:rsid w:val="00DC79C7"/>
    <w:rsid w:val="00DD3BFD"/>
    <w:rsid w:val="00DF6678"/>
    <w:rsid w:val="00E0299A"/>
    <w:rsid w:val="00E85C74"/>
    <w:rsid w:val="00EA6547"/>
    <w:rsid w:val="00EF2E22"/>
    <w:rsid w:val="00F35BAF"/>
    <w:rsid w:val="00F51467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ECE/TRANS/WP.29/GRSP/2017/28</vt:lpstr>
      <vt:lpstr/>
    </vt:vector>
  </TitlesOfParts>
  <Company>DCM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ECE/TRANS/WP.29/GRSP/2017/28</dc:title>
  <dc:creator>Sylvie LAMY</dc:creator>
  <cp:lastModifiedBy>Benedicte Boudol</cp:lastModifiedBy>
  <cp:revision>2</cp:revision>
  <cp:lastPrinted>2017-10-24T12:40:00Z</cp:lastPrinted>
  <dcterms:created xsi:type="dcterms:W3CDTF">2017-10-25T15:20:00Z</dcterms:created>
  <dcterms:modified xsi:type="dcterms:W3CDTF">2017-10-25T15:20:00Z</dcterms:modified>
</cp:coreProperties>
</file>