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636D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636D5" w:rsidP="00C636D5">
            <w:pPr>
              <w:jc w:val="right"/>
            </w:pPr>
            <w:r w:rsidRPr="00C636D5">
              <w:rPr>
                <w:sz w:val="40"/>
              </w:rPr>
              <w:t>ECE</w:t>
            </w:r>
            <w:r>
              <w:t>/TRANS/WP.29/GRSP/2017/4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636D5" w:rsidP="00C97039">
            <w:pPr>
              <w:spacing w:before="240"/>
            </w:pPr>
            <w:r>
              <w:t>Distr. générale</w:t>
            </w:r>
          </w:p>
          <w:p w:rsidR="00C636D5" w:rsidRDefault="00C636D5" w:rsidP="00C636D5">
            <w:pPr>
              <w:spacing w:line="240" w:lineRule="exact"/>
            </w:pPr>
            <w:r>
              <w:t>14 février 2017</w:t>
            </w:r>
          </w:p>
          <w:p w:rsidR="00C636D5" w:rsidRDefault="00C636D5" w:rsidP="00C636D5">
            <w:pPr>
              <w:spacing w:line="240" w:lineRule="exact"/>
            </w:pPr>
            <w:r>
              <w:t>Français</w:t>
            </w:r>
          </w:p>
          <w:p w:rsidR="00C636D5" w:rsidRPr="00DB58B5" w:rsidRDefault="005B3143" w:rsidP="00C636D5">
            <w:pPr>
              <w:spacing w:line="240" w:lineRule="exact"/>
            </w:pPr>
            <w:r>
              <w:t>Original :</w:t>
            </w:r>
            <w:r w:rsidR="00C636D5"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636D5" w:rsidRDefault="00C636D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 w:rsidR="009D30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C636D5" w:rsidRDefault="00C636D5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:rsidR="00C636D5" w:rsidRDefault="00C636D5" w:rsidP="00257168">
      <w:pPr>
        <w:spacing w:before="120" w:line="240" w:lineRule="exact"/>
        <w:rPr>
          <w:b/>
        </w:rPr>
      </w:pPr>
      <w:r w:rsidRPr="00C636D5">
        <w:rPr>
          <w:b/>
        </w:rPr>
        <w:t>Soixante et unième</w:t>
      </w:r>
      <w:r>
        <w:rPr>
          <w:b/>
        </w:rPr>
        <w:t xml:space="preserve"> session</w:t>
      </w:r>
    </w:p>
    <w:p w:rsidR="00C636D5" w:rsidRDefault="00C636D5" w:rsidP="00257168">
      <w:pPr>
        <w:spacing w:line="240" w:lineRule="exact"/>
      </w:pPr>
      <w:r>
        <w:t>Genève</w:t>
      </w:r>
      <w:r w:rsidR="006D3D13">
        <w:t xml:space="preserve">, </w:t>
      </w:r>
      <w:r w:rsidR="005B3143">
        <w:t>8-12 </w:t>
      </w:r>
      <w:r w:rsidRPr="005B3143">
        <w:t>mai 2017</w:t>
      </w:r>
    </w:p>
    <w:p w:rsidR="00C636D5" w:rsidRDefault="0055147D" w:rsidP="00257168">
      <w:pPr>
        <w:spacing w:line="240" w:lineRule="exact"/>
      </w:pPr>
      <w:r>
        <w:t>Point </w:t>
      </w:r>
      <w:r w:rsidR="00C636D5">
        <w:t>23 de l’ordre du jour provisoire</w:t>
      </w:r>
    </w:p>
    <w:p w:rsidR="00C636D5" w:rsidRPr="00E44EE5" w:rsidRDefault="00C636D5" w:rsidP="00C636D5">
      <w:pPr>
        <w:rPr>
          <w:b/>
        </w:rPr>
      </w:pPr>
      <w:r w:rsidRPr="00E44EE5">
        <w:rPr>
          <w:b/>
        </w:rPr>
        <w:t xml:space="preserve">Amendements collectifs aux </w:t>
      </w:r>
      <w:r w:rsidR="00E44EE5" w:rsidRPr="00B90781">
        <w:rPr>
          <w:b/>
        </w:rPr>
        <w:t xml:space="preserve">Règlements </w:t>
      </w:r>
      <w:r w:rsidR="00E44EE5" w:rsidRPr="00B90781">
        <w:rPr>
          <w:rFonts w:eastAsia="MS Mincho"/>
          <w:b/>
          <w:szCs w:val="22"/>
        </w:rPr>
        <w:t>n</w:t>
      </w:r>
      <w:r w:rsidR="00E44EE5" w:rsidRPr="00B90781">
        <w:rPr>
          <w:rFonts w:eastAsia="MS Mincho"/>
          <w:b/>
          <w:szCs w:val="22"/>
          <w:vertAlign w:val="superscript"/>
        </w:rPr>
        <w:t>o</w:t>
      </w:r>
      <w:r w:rsidR="00B90781" w:rsidRPr="00B90781">
        <w:rPr>
          <w:rFonts w:eastAsia="MS Mincho"/>
          <w:b/>
          <w:szCs w:val="22"/>
          <w:vertAlign w:val="superscript"/>
        </w:rPr>
        <w:t>s</w:t>
      </w:r>
      <w:r w:rsidR="00E44EE5">
        <w:rPr>
          <w:b/>
        </w:rPr>
        <w:t> </w:t>
      </w:r>
      <w:r w:rsidRPr="00E44EE5">
        <w:rPr>
          <w:b/>
        </w:rPr>
        <w:t>44 et 129</w:t>
      </w:r>
    </w:p>
    <w:p w:rsidR="00C636D5" w:rsidRPr="00D93986" w:rsidRDefault="00C636D5" w:rsidP="00E44EE5">
      <w:pPr>
        <w:pStyle w:val="HChG"/>
      </w:pPr>
      <w:r w:rsidRPr="00D93986">
        <w:tab/>
      </w:r>
      <w:r w:rsidRPr="00D93986">
        <w:tab/>
      </w:r>
      <w:r w:rsidRPr="004931F2">
        <w:t>Amendements</w:t>
      </w:r>
      <w:r w:rsidR="00E44EE5">
        <w:t xml:space="preserve"> collectifs aux Règlements </w:t>
      </w:r>
      <w:r w:rsidR="00E44EE5" w:rsidRPr="00B90781">
        <w:rPr>
          <w:rFonts w:eastAsia="MS Mincho"/>
          <w:szCs w:val="22"/>
        </w:rPr>
        <w:t>n</w:t>
      </w:r>
      <w:r w:rsidR="00E44EE5" w:rsidRPr="00B90781">
        <w:rPr>
          <w:rFonts w:eastAsia="MS Mincho"/>
          <w:szCs w:val="22"/>
          <w:vertAlign w:val="superscript"/>
        </w:rPr>
        <w:t>o</w:t>
      </w:r>
      <w:r w:rsidR="00B90781" w:rsidRPr="00B90781">
        <w:rPr>
          <w:rFonts w:eastAsia="MS Mincho"/>
          <w:szCs w:val="22"/>
          <w:vertAlign w:val="superscript"/>
        </w:rPr>
        <w:t>s</w:t>
      </w:r>
      <w:r w:rsidR="00E44EE5" w:rsidRPr="00B90781">
        <w:t> </w:t>
      </w:r>
      <w:r w:rsidRPr="00B90781">
        <w:t>44</w:t>
      </w:r>
      <w:r w:rsidRPr="00D93986">
        <w:t xml:space="preserve"> </w:t>
      </w:r>
      <w:r w:rsidRPr="000D15FB">
        <w:t>et</w:t>
      </w:r>
      <w:r w:rsidRPr="00D93986">
        <w:t xml:space="preserve"> 129</w:t>
      </w:r>
    </w:p>
    <w:p w:rsidR="00C636D5" w:rsidRPr="00D93986" w:rsidRDefault="00C636D5" w:rsidP="00E44EE5">
      <w:pPr>
        <w:pStyle w:val="H1G"/>
      </w:pPr>
      <w:r w:rsidRPr="00D93986">
        <w:tab/>
      </w:r>
      <w:r w:rsidRPr="00D93986">
        <w:tab/>
      </w:r>
      <w:r>
        <w:t>Communication de l’</w:t>
      </w:r>
      <w:r w:rsidRPr="00D93986">
        <w:t xml:space="preserve">expert </w:t>
      </w:r>
      <w:r w:rsidRPr="000D15FB">
        <w:t>des Pays-Bas</w:t>
      </w:r>
      <w:r w:rsidRPr="00491BA5">
        <w:rPr>
          <w:b w:val="0"/>
          <w:sz w:val="20"/>
        </w:rPr>
        <w:footnoteReference w:customMarkFollows="1" w:id="2"/>
        <w:t>*</w:t>
      </w:r>
    </w:p>
    <w:p w:rsidR="00C636D5" w:rsidRDefault="00C636D5" w:rsidP="00E44EE5">
      <w:pPr>
        <w:pStyle w:val="SingleTxtG"/>
        <w:ind w:firstLine="567"/>
        <w:rPr>
          <w:iCs/>
        </w:rPr>
      </w:pPr>
      <w:r w:rsidRPr="00A71A2C">
        <w:rPr>
          <w:snapToGrid w:val="0"/>
        </w:rPr>
        <w:t>Le texte ci-après, établi par l</w:t>
      </w:r>
      <w:r>
        <w:rPr>
          <w:snapToGrid w:val="0"/>
        </w:rPr>
        <w:t>’</w:t>
      </w:r>
      <w:r w:rsidRPr="00A71A2C">
        <w:rPr>
          <w:snapToGrid w:val="0"/>
        </w:rPr>
        <w:t xml:space="preserve">expert des Pays-Bas, vise à </w:t>
      </w:r>
      <w:r>
        <w:rPr>
          <w:snapToGrid w:val="0"/>
        </w:rPr>
        <w:t xml:space="preserve">éviter que la </w:t>
      </w:r>
      <w:r w:rsidRPr="00A71A2C">
        <w:rPr>
          <w:snapToGrid w:val="0"/>
        </w:rPr>
        <w:t>marque d</w:t>
      </w:r>
      <w:r>
        <w:rPr>
          <w:snapToGrid w:val="0"/>
        </w:rPr>
        <w:t>’</w:t>
      </w:r>
      <w:r w:rsidRPr="00A71A2C">
        <w:rPr>
          <w:snapToGrid w:val="0"/>
        </w:rPr>
        <w:t>homologation</w:t>
      </w:r>
      <w:r>
        <w:rPr>
          <w:snapToGrid w:val="0"/>
        </w:rPr>
        <w:t xml:space="preserve"> puisse être remplacée par un </w:t>
      </w:r>
      <w:r w:rsidRPr="00A71A2C">
        <w:rPr>
          <w:snapToGrid w:val="0"/>
        </w:rPr>
        <w:t xml:space="preserve">identifiant unique (UI </w:t>
      </w:r>
      <w:r w:rsidR="00B43A36">
        <w:rPr>
          <w:snapToGrid w:val="0"/>
        </w:rPr>
        <w:t>–</w:t>
      </w:r>
      <w:r w:rsidRPr="00A71A2C">
        <w:rPr>
          <w:snapToGrid w:val="0"/>
        </w:rPr>
        <w:t xml:space="preserve"> Unique Identifier)</w:t>
      </w:r>
      <w:r>
        <w:rPr>
          <w:snapToGrid w:val="0"/>
        </w:rPr>
        <w:t xml:space="preserve"> dans les </w:t>
      </w:r>
      <w:r w:rsidR="008C0027">
        <w:rPr>
          <w:snapToGrid w:val="0"/>
        </w:rPr>
        <w:t xml:space="preserve">Règlements </w:t>
      </w:r>
      <w:r w:rsidR="008C0027" w:rsidRPr="00B90781">
        <w:rPr>
          <w:rFonts w:eastAsia="MS Mincho"/>
          <w:snapToGrid w:val="0"/>
          <w:szCs w:val="22"/>
        </w:rPr>
        <w:t>n</w:t>
      </w:r>
      <w:r w:rsidR="008C0027" w:rsidRPr="00B90781">
        <w:rPr>
          <w:rFonts w:eastAsia="MS Mincho"/>
          <w:snapToGrid w:val="0"/>
          <w:szCs w:val="22"/>
          <w:vertAlign w:val="superscript"/>
        </w:rPr>
        <w:t>o</w:t>
      </w:r>
      <w:r w:rsidR="00B90781" w:rsidRPr="00B90781">
        <w:rPr>
          <w:rFonts w:eastAsia="MS Mincho"/>
          <w:snapToGrid w:val="0"/>
          <w:szCs w:val="22"/>
          <w:vertAlign w:val="superscript"/>
        </w:rPr>
        <w:t>s</w:t>
      </w:r>
      <w:r w:rsidR="008C0027">
        <w:rPr>
          <w:snapToGrid w:val="0"/>
        </w:rPr>
        <w:t> </w:t>
      </w:r>
      <w:r w:rsidRPr="00D67EFD">
        <w:rPr>
          <w:snapToGrid w:val="0"/>
        </w:rPr>
        <w:t>44 et 129</w:t>
      </w:r>
      <w:r w:rsidRPr="00A71A2C">
        <w:rPr>
          <w:snapToGrid w:val="0"/>
        </w:rPr>
        <w:t>.</w:t>
      </w:r>
      <w:r>
        <w:rPr>
          <w:snapToGrid w:val="0"/>
        </w:rPr>
        <w:t xml:space="preserve"> </w:t>
      </w:r>
      <w:r w:rsidR="00940BD3">
        <w:rPr>
          <w:snapToGrid w:val="0"/>
        </w:rPr>
        <w:t>Il est fondé sur le document </w:t>
      </w:r>
      <w:r w:rsidRPr="00D93986">
        <w:rPr>
          <w:iCs/>
        </w:rPr>
        <w:t xml:space="preserve">GRSP-60-02 </w:t>
      </w:r>
      <w:r w:rsidRPr="00D67EFD">
        <w:rPr>
          <w:iCs/>
        </w:rPr>
        <w:t xml:space="preserve">distribué sans cote à la </w:t>
      </w:r>
      <w:r>
        <w:rPr>
          <w:iCs/>
        </w:rPr>
        <w:t xml:space="preserve">soixantième </w:t>
      </w:r>
      <w:r w:rsidRPr="00D67EFD">
        <w:rPr>
          <w:iCs/>
        </w:rPr>
        <w:t>session du Groupe de travail de la sécurité passive (GRSP)</w:t>
      </w:r>
      <w:r>
        <w:rPr>
          <w:iCs/>
        </w:rPr>
        <w:t xml:space="preserve"> </w:t>
      </w:r>
      <w:r w:rsidRPr="00D93986">
        <w:rPr>
          <w:iCs/>
        </w:rPr>
        <w:t>(ECE/TRANS/WP.29/</w:t>
      </w:r>
      <w:r w:rsidR="008C0027">
        <w:rPr>
          <w:iCs/>
        </w:rPr>
        <w:t>GRSP/60, par. </w:t>
      </w:r>
      <w:r w:rsidRPr="00D93986">
        <w:rPr>
          <w:iCs/>
        </w:rPr>
        <w:t xml:space="preserve">30 </w:t>
      </w:r>
      <w:r>
        <w:rPr>
          <w:iCs/>
        </w:rPr>
        <w:t>et</w:t>
      </w:r>
      <w:r w:rsidRPr="00D93986">
        <w:rPr>
          <w:iCs/>
        </w:rPr>
        <w:t xml:space="preserve"> 36). </w:t>
      </w:r>
      <w:r w:rsidRPr="00D84D36">
        <w:rPr>
          <w:iCs/>
        </w:rPr>
        <w:t xml:space="preserve">Les modifications </w:t>
      </w:r>
      <w:r>
        <w:rPr>
          <w:iCs/>
        </w:rPr>
        <w:t>qu’il est proposé d’</w:t>
      </w:r>
      <w:r w:rsidRPr="00D84D36">
        <w:rPr>
          <w:iCs/>
        </w:rPr>
        <w:t>apport</w:t>
      </w:r>
      <w:r>
        <w:rPr>
          <w:iCs/>
        </w:rPr>
        <w:t xml:space="preserve">er </w:t>
      </w:r>
      <w:r w:rsidRPr="00D84D36">
        <w:rPr>
          <w:iCs/>
        </w:rPr>
        <w:t>au</w:t>
      </w:r>
      <w:r>
        <w:rPr>
          <w:iCs/>
        </w:rPr>
        <w:t xml:space="preserve">x </w:t>
      </w:r>
      <w:r w:rsidRPr="00D84D36">
        <w:rPr>
          <w:iCs/>
        </w:rPr>
        <w:t xml:space="preserve">Règlements </w:t>
      </w:r>
      <w:r w:rsidR="00B90781" w:rsidRPr="00B90781">
        <w:rPr>
          <w:rFonts w:eastAsia="MS Mincho"/>
          <w:iCs/>
          <w:szCs w:val="22"/>
        </w:rPr>
        <w:t>n</w:t>
      </w:r>
      <w:r w:rsidR="00B90781" w:rsidRPr="00B90781">
        <w:rPr>
          <w:rFonts w:eastAsia="MS Mincho"/>
          <w:iCs/>
          <w:szCs w:val="22"/>
          <w:vertAlign w:val="superscript"/>
        </w:rPr>
        <w:t>o</w:t>
      </w:r>
      <w:r w:rsidR="00B90781">
        <w:rPr>
          <w:rFonts w:eastAsia="MS Mincho"/>
          <w:iCs/>
          <w:szCs w:val="22"/>
          <w:vertAlign w:val="superscript"/>
        </w:rPr>
        <w:t>s</w:t>
      </w:r>
      <w:r w:rsidR="00B90781">
        <w:rPr>
          <w:iCs/>
        </w:rPr>
        <w:t> </w:t>
      </w:r>
      <w:r w:rsidRPr="00D84D36">
        <w:rPr>
          <w:iCs/>
        </w:rPr>
        <w:t xml:space="preserve"> 44 et 129</w:t>
      </w:r>
      <w:r>
        <w:rPr>
          <w:iCs/>
        </w:rPr>
        <w:t xml:space="preserve"> </w:t>
      </w:r>
      <w:r w:rsidRPr="00D84D36">
        <w:rPr>
          <w:iCs/>
        </w:rPr>
        <w:t>sont signalées en caractères gras pour les ajouts ou biffés pour les suppressions</w:t>
      </w:r>
      <w:r>
        <w:rPr>
          <w:iCs/>
        </w:rPr>
        <w:t>.</w:t>
      </w:r>
    </w:p>
    <w:p w:rsidR="009F7B5A" w:rsidRPr="00D93986" w:rsidRDefault="00C636D5" w:rsidP="000D33ED">
      <w:pPr>
        <w:pStyle w:val="HChG"/>
        <w:rPr>
          <w:snapToGrid w:val="0"/>
          <w:lang w:eastAsia="ja-JP"/>
        </w:rPr>
      </w:pPr>
      <w:r>
        <w:rPr>
          <w:iCs/>
          <w:szCs w:val="24"/>
        </w:rPr>
        <w:br w:type="page"/>
      </w:r>
      <w:r w:rsidR="000D33ED">
        <w:rPr>
          <w:iCs/>
          <w:szCs w:val="24"/>
        </w:rPr>
        <w:lastRenderedPageBreak/>
        <w:tab/>
      </w:r>
      <w:r w:rsidR="009F7B5A" w:rsidRPr="00D93986">
        <w:rPr>
          <w:snapToGrid w:val="0"/>
          <w:lang w:eastAsia="ja-JP"/>
        </w:rPr>
        <w:t>I.</w:t>
      </w:r>
      <w:r w:rsidR="009F7B5A" w:rsidRPr="00D93986">
        <w:rPr>
          <w:snapToGrid w:val="0"/>
          <w:lang w:eastAsia="ja-JP"/>
        </w:rPr>
        <w:tab/>
      </w:r>
      <w:r w:rsidR="009F7B5A" w:rsidRPr="009C6880">
        <w:rPr>
          <w:snapToGrid w:val="0"/>
          <w:lang w:eastAsia="ja-JP"/>
        </w:rPr>
        <w:t>Proposition</w:t>
      </w:r>
      <w:r w:rsidR="009F7B5A" w:rsidRPr="00D93986">
        <w:rPr>
          <w:snapToGrid w:val="0"/>
          <w:lang w:eastAsia="ja-JP"/>
        </w:rPr>
        <w:t xml:space="preserve"> </w:t>
      </w:r>
      <w:r w:rsidR="000D33ED">
        <w:rPr>
          <w:snapToGrid w:val="0"/>
          <w:lang w:eastAsia="ja-JP"/>
        </w:rPr>
        <w:t>de complément </w:t>
      </w:r>
      <w:r w:rsidR="009F7B5A" w:rsidRPr="00D93986">
        <w:rPr>
          <w:snapToGrid w:val="0"/>
          <w:lang w:eastAsia="ja-JP"/>
        </w:rPr>
        <w:t xml:space="preserve">13 </w:t>
      </w:r>
      <w:r w:rsidR="000D33ED">
        <w:rPr>
          <w:snapToGrid w:val="0"/>
          <w:lang w:eastAsia="ja-JP"/>
        </w:rPr>
        <w:t>à la série </w:t>
      </w:r>
      <w:r w:rsidR="009F7B5A" w:rsidRPr="00D93986">
        <w:rPr>
          <w:snapToGrid w:val="0"/>
          <w:lang w:eastAsia="ja-JP"/>
        </w:rPr>
        <w:t xml:space="preserve">04 </w:t>
      </w:r>
      <w:r w:rsidR="000D33ED">
        <w:rPr>
          <w:snapToGrid w:val="0"/>
          <w:lang w:eastAsia="ja-JP"/>
        </w:rPr>
        <w:br/>
      </w:r>
      <w:r w:rsidR="009F7B5A" w:rsidRPr="009C6880">
        <w:rPr>
          <w:snapToGrid w:val="0"/>
          <w:lang w:eastAsia="ja-JP"/>
        </w:rPr>
        <w:t>d</w:t>
      </w:r>
      <w:r w:rsidR="009F7B5A">
        <w:rPr>
          <w:snapToGrid w:val="0"/>
          <w:lang w:eastAsia="ja-JP"/>
        </w:rPr>
        <w:t>’</w:t>
      </w:r>
      <w:r w:rsidR="009F7B5A" w:rsidRPr="009C6880">
        <w:rPr>
          <w:snapToGrid w:val="0"/>
          <w:lang w:eastAsia="ja-JP"/>
        </w:rPr>
        <w:t>amendements</w:t>
      </w:r>
      <w:r w:rsidR="000D33ED">
        <w:rPr>
          <w:snapToGrid w:val="0"/>
          <w:lang w:eastAsia="ja-JP"/>
        </w:rPr>
        <w:t xml:space="preserve"> au Règlement </w:t>
      </w:r>
      <w:r w:rsidR="000D33ED" w:rsidRPr="000D33ED">
        <w:rPr>
          <w:rFonts w:eastAsia="MS Mincho"/>
          <w:snapToGrid w:val="0"/>
          <w:szCs w:val="22"/>
          <w:lang w:eastAsia="ja-JP"/>
        </w:rPr>
        <w:t>n</w:t>
      </w:r>
      <w:r w:rsidR="000D33ED" w:rsidRPr="000D33ED">
        <w:rPr>
          <w:rFonts w:eastAsia="MS Mincho"/>
          <w:snapToGrid w:val="0"/>
          <w:szCs w:val="22"/>
          <w:vertAlign w:val="superscript"/>
          <w:lang w:eastAsia="ja-JP"/>
        </w:rPr>
        <w:t>o</w:t>
      </w:r>
      <w:r w:rsidR="000D33ED">
        <w:rPr>
          <w:snapToGrid w:val="0"/>
          <w:lang w:eastAsia="ja-JP"/>
        </w:rPr>
        <w:t> </w:t>
      </w:r>
      <w:r w:rsidR="009F7B5A" w:rsidRPr="00D93986">
        <w:rPr>
          <w:snapToGrid w:val="0"/>
          <w:lang w:eastAsia="ja-JP"/>
        </w:rPr>
        <w:t>44</w:t>
      </w:r>
      <w:r w:rsidR="009F7B5A">
        <w:rPr>
          <w:snapToGrid w:val="0"/>
          <w:lang w:eastAsia="ja-JP"/>
        </w:rPr>
        <w:t xml:space="preserve"> </w:t>
      </w:r>
      <w:r w:rsidR="000D33ED">
        <w:rPr>
          <w:snapToGrid w:val="0"/>
          <w:lang w:eastAsia="ja-JP"/>
        </w:rPr>
        <w:br/>
      </w:r>
      <w:r w:rsidR="009F7B5A">
        <w:rPr>
          <w:snapToGrid w:val="0"/>
          <w:lang w:eastAsia="ja-JP"/>
        </w:rPr>
        <w:t>(</w:t>
      </w:r>
      <w:r w:rsidR="009F7B5A" w:rsidRPr="0019399D">
        <w:rPr>
          <w:snapToGrid w:val="0"/>
          <w:lang w:eastAsia="ja-JP"/>
        </w:rPr>
        <w:t>Dispositifs de retenue pour enfants</w:t>
      </w:r>
      <w:r w:rsidR="009F7B5A">
        <w:rPr>
          <w:snapToGrid w:val="0"/>
          <w:lang w:eastAsia="ja-JP"/>
        </w:rPr>
        <w:t>)</w:t>
      </w:r>
    </w:p>
    <w:p w:rsidR="009F7B5A" w:rsidRPr="000D33ED" w:rsidRDefault="009F7B5A" w:rsidP="000D33ED">
      <w:pPr>
        <w:pStyle w:val="SingleTxtG"/>
        <w:rPr>
          <w:i/>
        </w:rPr>
      </w:pPr>
      <w:r w:rsidRPr="000D33ED">
        <w:rPr>
          <w:i/>
        </w:rPr>
        <w:t>Ajouter un nouveau paragraphe 5.5</w:t>
      </w:r>
      <w:r w:rsidRPr="000D33ED">
        <w:t>, ainsi conçu</w:t>
      </w:r>
      <w:r w:rsidR="000D33ED">
        <w:t> :</w:t>
      </w:r>
    </w:p>
    <w:p w:rsidR="009F7B5A" w:rsidRPr="00D93986" w:rsidRDefault="000D33ED" w:rsidP="00910E3F">
      <w:pPr>
        <w:pStyle w:val="SingleTxtG"/>
        <w:ind w:left="2268" w:hanging="1134"/>
      </w:pPr>
      <w:r>
        <w:t>« </w:t>
      </w:r>
      <w:r w:rsidR="009F7B5A" w:rsidRPr="00D93986">
        <w:t>5.5</w:t>
      </w:r>
      <w:r w:rsidR="009F7B5A" w:rsidRPr="00D93986">
        <w:tab/>
      </w:r>
      <w:r w:rsidR="009F7B5A" w:rsidRPr="00FE0748">
        <w:rPr>
          <w:b/>
        </w:rPr>
        <w:t xml:space="preserve">La marque d’homologation prescrite au </w:t>
      </w:r>
      <w:r w:rsidRPr="00FE0748">
        <w:rPr>
          <w:b/>
        </w:rPr>
        <w:t>paragraphe </w:t>
      </w:r>
      <w:r w:rsidR="009F7B5A" w:rsidRPr="00FE0748">
        <w:rPr>
          <w:b/>
        </w:rPr>
        <w:t>5.4 ci-dessus ne peut pas être remplacée par un identifiant unique (UI) tel que spécifié à l’</w:t>
      </w:r>
      <w:r w:rsidRPr="00FE0748">
        <w:rPr>
          <w:b/>
        </w:rPr>
        <w:t>annexe </w:t>
      </w:r>
      <w:r w:rsidR="009F7B5A" w:rsidRPr="00FE0748">
        <w:rPr>
          <w:b/>
        </w:rPr>
        <w:t>5 de l’</w:t>
      </w:r>
      <w:r w:rsidRPr="00FE0748">
        <w:rPr>
          <w:b/>
        </w:rPr>
        <w:t>Accord de </w:t>
      </w:r>
      <w:r w:rsidR="009F7B5A" w:rsidRPr="00FE0748">
        <w:rPr>
          <w:b/>
        </w:rPr>
        <w:t>1958.</w:t>
      </w:r>
      <w:r w:rsidRPr="00FE0748">
        <w:t> »</w:t>
      </w:r>
      <w:r w:rsidR="009F7B5A" w:rsidRPr="00FE0748">
        <w:t>.</w:t>
      </w:r>
    </w:p>
    <w:p w:rsidR="009F7B5A" w:rsidRPr="00D93986" w:rsidRDefault="009F7B5A" w:rsidP="000D33ED">
      <w:pPr>
        <w:pStyle w:val="SingleTxtG"/>
      </w:pPr>
      <w:r w:rsidRPr="00684EF4">
        <w:rPr>
          <w:i/>
        </w:rPr>
        <w:t>Les p</w:t>
      </w:r>
      <w:r w:rsidRPr="00D93986">
        <w:rPr>
          <w:i/>
        </w:rPr>
        <w:t>aragraph</w:t>
      </w:r>
      <w:r w:rsidRPr="00684EF4">
        <w:rPr>
          <w:i/>
        </w:rPr>
        <w:t>e</w:t>
      </w:r>
      <w:r w:rsidR="000D33ED">
        <w:rPr>
          <w:i/>
        </w:rPr>
        <w:t>s </w:t>
      </w:r>
      <w:r w:rsidRPr="00D93986">
        <w:rPr>
          <w:i/>
        </w:rPr>
        <w:t>5.5, 5.6</w:t>
      </w:r>
      <w:r w:rsidRPr="00684EF4">
        <w:rPr>
          <w:i/>
        </w:rPr>
        <w:t xml:space="preserve"> et</w:t>
      </w:r>
      <w:r w:rsidRPr="00D93986">
        <w:rPr>
          <w:i/>
        </w:rPr>
        <w:t xml:space="preserve"> 5.7 (</w:t>
      </w:r>
      <w:r w:rsidRPr="00684EF4">
        <w:rPr>
          <w:i/>
        </w:rPr>
        <w:t>anciens</w:t>
      </w:r>
      <w:r w:rsidRPr="00D93986">
        <w:rPr>
          <w:i/>
        </w:rPr>
        <w:t>)</w:t>
      </w:r>
      <w:r w:rsidRPr="00D93986">
        <w:t xml:space="preserve"> </w:t>
      </w:r>
      <w:r w:rsidRPr="00684EF4">
        <w:t>dev</w:t>
      </w:r>
      <w:r w:rsidR="000D33ED">
        <w:t>iennent les paragraphes </w:t>
      </w:r>
      <w:r w:rsidRPr="00D93986">
        <w:t>5.6, 5.7</w:t>
      </w:r>
      <w:r>
        <w:t xml:space="preserve"> et </w:t>
      </w:r>
      <w:r w:rsidRPr="00D93986">
        <w:t>5.8.</w:t>
      </w:r>
    </w:p>
    <w:p w:rsidR="009F7B5A" w:rsidRPr="00D93986" w:rsidRDefault="009F7B5A" w:rsidP="000D33ED">
      <w:pPr>
        <w:pStyle w:val="HChG"/>
        <w:rPr>
          <w:lang w:eastAsia="de-DE"/>
        </w:rPr>
      </w:pPr>
      <w:r w:rsidRPr="00D93986">
        <w:rPr>
          <w:lang w:eastAsia="de-DE"/>
        </w:rPr>
        <w:tab/>
        <w:t>II.</w:t>
      </w:r>
      <w:r w:rsidRPr="00D93986">
        <w:rPr>
          <w:lang w:eastAsia="de-DE"/>
        </w:rPr>
        <w:tab/>
      </w:r>
      <w:r w:rsidRPr="003B6C8E">
        <w:rPr>
          <w:lang w:eastAsia="de-DE"/>
        </w:rPr>
        <w:t>Proposition</w:t>
      </w:r>
      <w:r w:rsidRPr="00D93986">
        <w:rPr>
          <w:lang w:eastAsia="de-DE"/>
        </w:rPr>
        <w:t xml:space="preserve"> </w:t>
      </w:r>
      <w:r w:rsidR="000D33ED">
        <w:rPr>
          <w:lang w:eastAsia="de-DE"/>
        </w:rPr>
        <w:t>de complément 3 à la série </w:t>
      </w:r>
      <w:r w:rsidRPr="003B6C8E">
        <w:rPr>
          <w:lang w:eastAsia="de-DE"/>
        </w:rPr>
        <w:t xml:space="preserve">01 </w:t>
      </w:r>
      <w:r w:rsidR="000D33ED">
        <w:rPr>
          <w:lang w:eastAsia="de-DE"/>
        </w:rPr>
        <w:br/>
      </w:r>
      <w:r w:rsidRPr="003B6C8E">
        <w:rPr>
          <w:lang w:eastAsia="de-DE"/>
        </w:rPr>
        <w:t>d</w:t>
      </w:r>
      <w:r>
        <w:rPr>
          <w:lang w:eastAsia="de-DE"/>
        </w:rPr>
        <w:t>’</w:t>
      </w:r>
      <w:r w:rsidR="000D33ED">
        <w:rPr>
          <w:lang w:eastAsia="de-DE"/>
        </w:rPr>
        <w:t xml:space="preserve">amendements au Règlement </w:t>
      </w:r>
      <w:r w:rsidR="000D33ED" w:rsidRPr="000D33ED">
        <w:rPr>
          <w:rFonts w:eastAsia="MS Mincho"/>
          <w:szCs w:val="22"/>
          <w:lang w:eastAsia="de-DE"/>
        </w:rPr>
        <w:t>n</w:t>
      </w:r>
      <w:r w:rsidR="000D33ED" w:rsidRPr="000D33ED">
        <w:rPr>
          <w:rFonts w:eastAsia="MS Mincho"/>
          <w:szCs w:val="22"/>
          <w:vertAlign w:val="superscript"/>
          <w:lang w:eastAsia="de-DE"/>
        </w:rPr>
        <w:t>o</w:t>
      </w:r>
      <w:r w:rsidR="000D33ED">
        <w:rPr>
          <w:lang w:eastAsia="de-DE"/>
        </w:rPr>
        <w:t> </w:t>
      </w:r>
      <w:r w:rsidRPr="00D93986">
        <w:rPr>
          <w:lang w:eastAsia="de-DE"/>
        </w:rPr>
        <w:t xml:space="preserve">129 </w:t>
      </w:r>
      <w:r w:rsidR="000D33ED">
        <w:rPr>
          <w:lang w:eastAsia="de-DE"/>
        </w:rPr>
        <w:br/>
      </w:r>
      <w:r w:rsidRPr="00D93986">
        <w:rPr>
          <w:lang w:eastAsia="de-DE"/>
        </w:rPr>
        <w:t>(</w:t>
      </w:r>
      <w:r>
        <w:rPr>
          <w:lang w:eastAsia="de-DE"/>
        </w:rPr>
        <w:t>Dispositifs améliorés de retenue pour enfants</w:t>
      </w:r>
      <w:r w:rsidRPr="00D93986">
        <w:rPr>
          <w:lang w:eastAsia="de-DE"/>
        </w:rPr>
        <w:t>)</w:t>
      </w:r>
    </w:p>
    <w:p w:rsidR="009F7B5A" w:rsidRPr="00D93986" w:rsidRDefault="000D33ED" w:rsidP="000D33ED">
      <w:pPr>
        <w:pStyle w:val="SingleTxtG"/>
      </w:pPr>
      <w:r w:rsidRPr="000D33ED">
        <w:rPr>
          <w:i/>
        </w:rPr>
        <w:t>Ajouter un nouveau paragraphe </w:t>
      </w:r>
      <w:r w:rsidR="009F7B5A" w:rsidRPr="000D33ED">
        <w:rPr>
          <w:i/>
        </w:rPr>
        <w:t>5.5</w:t>
      </w:r>
      <w:r w:rsidR="009F7B5A" w:rsidRPr="00684EF4">
        <w:t>, ainsi conçu</w:t>
      </w:r>
      <w:r>
        <w:t> :</w:t>
      </w:r>
    </w:p>
    <w:p w:rsidR="009F7B5A" w:rsidRPr="00D93986" w:rsidRDefault="000D33ED" w:rsidP="00910E3F">
      <w:pPr>
        <w:pStyle w:val="SingleTxtG"/>
        <w:ind w:left="2268" w:hanging="1134"/>
      </w:pPr>
      <w:r>
        <w:t>« </w:t>
      </w:r>
      <w:r w:rsidR="009F7B5A" w:rsidRPr="00D93986">
        <w:t>5.5</w:t>
      </w:r>
      <w:r w:rsidR="009F7B5A" w:rsidRPr="00D93986">
        <w:tab/>
      </w:r>
      <w:r w:rsidR="009F7B5A" w:rsidRPr="000D33ED">
        <w:rPr>
          <w:b/>
        </w:rPr>
        <w:t xml:space="preserve">La </w:t>
      </w:r>
      <w:r w:rsidR="009F7B5A" w:rsidRPr="00910E3F">
        <w:rPr>
          <w:b/>
        </w:rPr>
        <w:t>marque</w:t>
      </w:r>
      <w:r w:rsidR="009F7B5A" w:rsidRPr="000D33ED">
        <w:rPr>
          <w:b/>
        </w:rPr>
        <w:t xml:space="preserve"> d’homol</w:t>
      </w:r>
      <w:r w:rsidRPr="000D33ED">
        <w:rPr>
          <w:b/>
        </w:rPr>
        <w:t>ogation prescrite au paragraphe </w:t>
      </w:r>
      <w:r w:rsidR="009F7B5A" w:rsidRPr="000D33ED">
        <w:rPr>
          <w:b/>
        </w:rPr>
        <w:t xml:space="preserve">5.4 ci-dessus ne peut pas être remplacée </w:t>
      </w:r>
      <w:r w:rsidRPr="000D33ED">
        <w:rPr>
          <w:b/>
        </w:rPr>
        <w:t xml:space="preserve">par un identifiant unique (UI) </w:t>
      </w:r>
      <w:r w:rsidR="009F7B5A" w:rsidRPr="000D33ED">
        <w:rPr>
          <w:b/>
        </w:rPr>
        <w:t>tel que spécifié à l’</w:t>
      </w:r>
      <w:r w:rsidRPr="000D33ED">
        <w:rPr>
          <w:b/>
        </w:rPr>
        <w:t>annexe </w:t>
      </w:r>
      <w:r w:rsidR="009F7B5A" w:rsidRPr="000D33ED">
        <w:rPr>
          <w:b/>
        </w:rPr>
        <w:t>5 de l’</w:t>
      </w:r>
      <w:r w:rsidRPr="000D33ED">
        <w:rPr>
          <w:b/>
        </w:rPr>
        <w:t>Accord de </w:t>
      </w:r>
      <w:r w:rsidR="009F7B5A" w:rsidRPr="000D33ED">
        <w:rPr>
          <w:b/>
        </w:rPr>
        <w:t>1958.</w:t>
      </w:r>
      <w:r>
        <w:t> »</w:t>
      </w:r>
      <w:r w:rsidR="009F7B5A">
        <w:t>.</w:t>
      </w:r>
    </w:p>
    <w:p w:rsidR="009F7B5A" w:rsidRPr="00D93986" w:rsidRDefault="009F7B5A" w:rsidP="000D33ED">
      <w:pPr>
        <w:pStyle w:val="SingleTxtG"/>
      </w:pPr>
      <w:r w:rsidRPr="00684EF4">
        <w:rPr>
          <w:i/>
        </w:rPr>
        <w:t>Les p</w:t>
      </w:r>
      <w:r w:rsidRPr="00D93986">
        <w:rPr>
          <w:i/>
        </w:rPr>
        <w:t>aragraph</w:t>
      </w:r>
      <w:r w:rsidRPr="00684EF4">
        <w:rPr>
          <w:i/>
        </w:rPr>
        <w:t>e</w:t>
      </w:r>
      <w:r w:rsidR="000D33ED">
        <w:rPr>
          <w:i/>
        </w:rPr>
        <w:t>s </w:t>
      </w:r>
      <w:r w:rsidRPr="00D93986">
        <w:rPr>
          <w:i/>
        </w:rPr>
        <w:t>5.5, 5.6</w:t>
      </w:r>
      <w:r w:rsidRPr="00684EF4">
        <w:rPr>
          <w:i/>
        </w:rPr>
        <w:t xml:space="preserve"> et</w:t>
      </w:r>
      <w:r w:rsidRPr="00D93986">
        <w:rPr>
          <w:i/>
        </w:rPr>
        <w:t xml:space="preserve"> 5.7 (</w:t>
      </w:r>
      <w:r w:rsidRPr="00684EF4">
        <w:rPr>
          <w:i/>
        </w:rPr>
        <w:t>anciens</w:t>
      </w:r>
      <w:r w:rsidRPr="00D93986">
        <w:rPr>
          <w:i/>
        </w:rPr>
        <w:t>)</w:t>
      </w:r>
      <w:r w:rsidRPr="00D93986">
        <w:t xml:space="preserve"> </w:t>
      </w:r>
      <w:r w:rsidRPr="00684EF4">
        <w:t>dev</w:t>
      </w:r>
      <w:r w:rsidR="000D33ED">
        <w:t>iennent les paragraphes </w:t>
      </w:r>
      <w:r w:rsidRPr="00D93986">
        <w:t>5.6, 5.7</w:t>
      </w:r>
      <w:r>
        <w:t xml:space="preserve"> et </w:t>
      </w:r>
      <w:r w:rsidRPr="00D93986">
        <w:t>5.8.</w:t>
      </w:r>
    </w:p>
    <w:p w:rsidR="009F7B5A" w:rsidRPr="00D93986" w:rsidRDefault="009F7B5A" w:rsidP="000D33ED">
      <w:pPr>
        <w:pStyle w:val="HChG"/>
        <w:rPr>
          <w:lang w:eastAsia="de-DE"/>
        </w:rPr>
      </w:pPr>
      <w:r w:rsidRPr="00D93986">
        <w:rPr>
          <w:lang w:eastAsia="de-DE"/>
        </w:rPr>
        <w:tab/>
        <w:t>III.</w:t>
      </w:r>
      <w:r w:rsidRPr="00D93986">
        <w:rPr>
          <w:lang w:eastAsia="de-DE"/>
        </w:rPr>
        <w:tab/>
      </w:r>
      <w:r w:rsidRPr="003B6C8E">
        <w:rPr>
          <w:lang w:eastAsia="de-DE"/>
        </w:rPr>
        <w:t>Proposition</w:t>
      </w:r>
      <w:r w:rsidRPr="00D93986">
        <w:rPr>
          <w:lang w:eastAsia="de-DE"/>
        </w:rPr>
        <w:t xml:space="preserve"> </w:t>
      </w:r>
      <w:r w:rsidR="000D33ED">
        <w:rPr>
          <w:lang w:eastAsia="de-DE"/>
        </w:rPr>
        <w:t>de complément </w:t>
      </w:r>
      <w:r>
        <w:rPr>
          <w:lang w:eastAsia="de-DE"/>
        </w:rPr>
        <w:t>2</w:t>
      </w:r>
      <w:r w:rsidR="000D33ED">
        <w:rPr>
          <w:lang w:eastAsia="de-DE"/>
        </w:rPr>
        <w:t xml:space="preserve"> à la série </w:t>
      </w:r>
      <w:r w:rsidRPr="003B6C8E">
        <w:rPr>
          <w:lang w:eastAsia="de-DE"/>
        </w:rPr>
        <w:t>0</w:t>
      </w:r>
      <w:r>
        <w:rPr>
          <w:lang w:eastAsia="de-DE"/>
        </w:rPr>
        <w:t>2</w:t>
      </w:r>
      <w:r w:rsidRPr="003B6C8E">
        <w:rPr>
          <w:lang w:eastAsia="de-DE"/>
        </w:rPr>
        <w:t xml:space="preserve"> </w:t>
      </w:r>
      <w:r w:rsidR="000D33ED">
        <w:rPr>
          <w:lang w:eastAsia="de-DE"/>
        </w:rPr>
        <w:br/>
      </w:r>
      <w:r w:rsidRPr="003B6C8E">
        <w:rPr>
          <w:lang w:eastAsia="de-DE"/>
        </w:rPr>
        <w:t>d</w:t>
      </w:r>
      <w:r>
        <w:rPr>
          <w:lang w:eastAsia="de-DE"/>
        </w:rPr>
        <w:t>’</w:t>
      </w:r>
      <w:r w:rsidR="000D33ED">
        <w:rPr>
          <w:lang w:eastAsia="de-DE"/>
        </w:rPr>
        <w:t xml:space="preserve">amendements au Règlement </w:t>
      </w:r>
      <w:r w:rsidR="000D33ED" w:rsidRPr="000D33ED">
        <w:rPr>
          <w:rFonts w:eastAsia="MS Mincho"/>
          <w:szCs w:val="22"/>
          <w:lang w:eastAsia="de-DE"/>
        </w:rPr>
        <w:t>n</w:t>
      </w:r>
      <w:r w:rsidR="000D33ED" w:rsidRPr="000D33ED">
        <w:rPr>
          <w:rFonts w:eastAsia="MS Mincho"/>
          <w:szCs w:val="22"/>
          <w:vertAlign w:val="superscript"/>
          <w:lang w:eastAsia="de-DE"/>
        </w:rPr>
        <w:t>o</w:t>
      </w:r>
      <w:r w:rsidR="000D33ED">
        <w:rPr>
          <w:lang w:eastAsia="de-DE"/>
        </w:rPr>
        <w:t> </w:t>
      </w:r>
      <w:r w:rsidRPr="00D93986">
        <w:rPr>
          <w:lang w:eastAsia="de-DE"/>
        </w:rPr>
        <w:t xml:space="preserve">129 </w:t>
      </w:r>
      <w:r w:rsidR="000D33ED">
        <w:rPr>
          <w:lang w:eastAsia="de-DE"/>
        </w:rPr>
        <w:br/>
      </w:r>
      <w:r w:rsidRPr="00D93986">
        <w:rPr>
          <w:lang w:eastAsia="de-DE"/>
        </w:rPr>
        <w:t>(</w:t>
      </w:r>
      <w:r>
        <w:rPr>
          <w:lang w:eastAsia="de-DE"/>
        </w:rPr>
        <w:t>Dispositifs améliorés de retenue pour enfants</w:t>
      </w:r>
      <w:r w:rsidRPr="00D93986">
        <w:rPr>
          <w:lang w:eastAsia="de-DE"/>
        </w:rPr>
        <w:t>)</w:t>
      </w:r>
    </w:p>
    <w:p w:rsidR="009F7B5A" w:rsidRPr="00D93986" w:rsidRDefault="009F7B5A" w:rsidP="002F1080">
      <w:pPr>
        <w:pStyle w:val="SingleTxtG"/>
      </w:pPr>
      <w:r w:rsidRPr="002F1080">
        <w:rPr>
          <w:i/>
        </w:rPr>
        <w:t>Ajouter un nouveau paragraphe</w:t>
      </w:r>
      <w:r w:rsidR="000B674E">
        <w:rPr>
          <w:i/>
        </w:rPr>
        <w:t> </w:t>
      </w:r>
      <w:r w:rsidRPr="002F1080">
        <w:rPr>
          <w:i/>
        </w:rPr>
        <w:t>5.5</w:t>
      </w:r>
      <w:r w:rsidRPr="00D93986">
        <w:t xml:space="preserve">, </w:t>
      </w:r>
      <w:r>
        <w:t>ainsi conçu</w:t>
      </w:r>
      <w:r w:rsidR="002F1080">
        <w:t> :</w:t>
      </w:r>
    </w:p>
    <w:p w:rsidR="009F7B5A" w:rsidRPr="00D93986" w:rsidRDefault="00590139" w:rsidP="00910E3F">
      <w:pPr>
        <w:pStyle w:val="SingleTxtG"/>
        <w:ind w:left="2268" w:hanging="1134"/>
      </w:pPr>
      <w:r>
        <w:t>« </w:t>
      </w:r>
      <w:r w:rsidR="009F7B5A" w:rsidRPr="00D93986">
        <w:t>5.5</w:t>
      </w:r>
      <w:r w:rsidR="009F7B5A" w:rsidRPr="00D93986">
        <w:tab/>
      </w:r>
      <w:r w:rsidR="009F7B5A" w:rsidRPr="002C00CC">
        <w:rPr>
          <w:b/>
        </w:rPr>
        <w:t>La marque d’homol</w:t>
      </w:r>
      <w:r w:rsidR="000B674E">
        <w:rPr>
          <w:b/>
        </w:rPr>
        <w:t>ogation prescrite au paragraphe </w:t>
      </w:r>
      <w:r w:rsidR="009F7B5A" w:rsidRPr="002C00CC">
        <w:rPr>
          <w:b/>
        </w:rPr>
        <w:t xml:space="preserve">5.4 ci-dessus ne peut pas être remplacée </w:t>
      </w:r>
      <w:r w:rsidR="000B674E">
        <w:rPr>
          <w:b/>
        </w:rPr>
        <w:t xml:space="preserve">par un identifiant unique (UI) </w:t>
      </w:r>
      <w:r w:rsidR="009F7B5A" w:rsidRPr="002C00CC">
        <w:rPr>
          <w:b/>
        </w:rPr>
        <w:t>tel que spécifié à l’</w:t>
      </w:r>
      <w:r w:rsidR="000B674E">
        <w:rPr>
          <w:b/>
        </w:rPr>
        <w:t>annexe </w:t>
      </w:r>
      <w:r w:rsidR="009F7B5A" w:rsidRPr="002C00CC">
        <w:rPr>
          <w:b/>
        </w:rPr>
        <w:t>5 de l’</w:t>
      </w:r>
      <w:r w:rsidR="000B674E">
        <w:rPr>
          <w:b/>
        </w:rPr>
        <w:t>Accord de </w:t>
      </w:r>
      <w:r w:rsidR="009F7B5A" w:rsidRPr="002C00CC">
        <w:rPr>
          <w:b/>
        </w:rPr>
        <w:t>1958.</w:t>
      </w:r>
      <w:r>
        <w:t> »</w:t>
      </w:r>
      <w:r w:rsidR="009F7B5A">
        <w:t>.</w:t>
      </w:r>
    </w:p>
    <w:p w:rsidR="009F7B5A" w:rsidRPr="00D93986" w:rsidRDefault="009F7B5A" w:rsidP="00852D36">
      <w:pPr>
        <w:pStyle w:val="SingleTxtG"/>
      </w:pPr>
      <w:r w:rsidRPr="00684EF4">
        <w:rPr>
          <w:i/>
        </w:rPr>
        <w:t>Les p</w:t>
      </w:r>
      <w:r w:rsidRPr="00D93986">
        <w:rPr>
          <w:i/>
        </w:rPr>
        <w:t>aragraph</w:t>
      </w:r>
      <w:r w:rsidRPr="00684EF4">
        <w:rPr>
          <w:i/>
        </w:rPr>
        <w:t>e</w:t>
      </w:r>
      <w:r w:rsidR="00852D36">
        <w:rPr>
          <w:i/>
        </w:rPr>
        <w:t>s </w:t>
      </w:r>
      <w:r w:rsidRPr="00D93986">
        <w:rPr>
          <w:i/>
        </w:rPr>
        <w:t>5.5</w:t>
      </w:r>
      <w:r w:rsidRPr="00852D36">
        <w:t>,</w:t>
      </w:r>
      <w:r w:rsidRPr="00D93986">
        <w:rPr>
          <w:i/>
        </w:rPr>
        <w:t xml:space="preserve"> 5.6</w:t>
      </w:r>
      <w:r w:rsidRPr="00684EF4">
        <w:rPr>
          <w:i/>
        </w:rPr>
        <w:t xml:space="preserve"> et</w:t>
      </w:r>
      <w:r w:rsidRPr="00D93986">
        <w:rPr>
          <w:i/>
        </w:rPr>
        <w:t xml:space="preserve"> 5.7 (</w:t>
      </w:r>
      <w:r w:rsidRPr="00684EF4">
        <w:rPr>
          <w:i/>
        </w:rPr>
        <w:t>anciens</w:t>
      </w:r>
      <w:r w:rsidRPr="00D93986">
        <w:rPr>
          <w:i/>
        </w:rPr>
        <w:t>)</w:t>
      </w:r>
      <w:r w:rsidRPr="00D93986">
        <w:t xml:space="preserve"> </w:t>
      </w:r>
      <w:r w:rsidRPr="00684EF4">
        <w:t>dev</w:t>
      </w:r>
      <w:r w:rsidR="00852D36">
        <w:t>iennent les paragraphes </w:t>
      </w:r>
      <w:r w:rsidRPr="00D93986">
        <w:t>5.6, 5.7</w:t>
      </w:r>
      <w:r>
        <w:t xml:space="preserve"> et </w:t>
      </w:r>
      <w:r w:rsidRPr="00D93986">
        <w:t>5.8.</w:t>
      </w:r>
    </w:p>
    <w:p w:rsidR="009F7B5A" w:rsidRPr="00D93986" w:rsidRDefault="009F7B5A" w:rsidP="002C00CC">
      <w:pPr>
        <w:pStyle w:val="HChG"/>
        <w:rPr>
          <w:snapToGrid w:val="0"/>
          <w:lang w:val="en-GB" w:eastAsia="ja-JP"/>
        </w:rPr>
      </w:pPr>
      <w:r w:rsidRPr="00D93986">
        <w:rPr>
          <w:snapToGrid w:val="0"/>
          <w:lang w:eastAsia="ja-JP"/>
        </w:rPr>
        <w:tab/>
      </w:r>
      <w:r w:rsidRPr="00D93986">
        <w:rPr>
          <w:snapToGrid w:val="0"/>
          <w:lang w:val="en-GB" w:eastAsia="ja-JP"/>
        </w:rPr>
        <w:t>IV.</w:t>
      </w:r>
      <w:r w:rsidRPr="00D93986">
        <w:rPr>
          <w:snapToGrid w:val="0"/>
          <w:lang w:val="en-GB" w:eastAsia="ja-JP"/>
        </w:rPr>
        <w:tab/>
        <w:t>Justification</w:t>
      </w:r>
    </w:p>
    <w:p w:rsidR="009F7B5A" w:rsidRPr="009A44ED" w:rsidRDefault="000B674E" w:rsidP="002C00CC">
      <w:pPr>
        <w:pStyle w:val="ParNoG"/>
        <w:rPr>
          <w:lang w:eastAsia="ja-JP"/>
        </w:rPr>
      </w:pPr>
      <w:r>
        <w:rPr>
          <w:lang w:eastAsia="ja-JP"/>
        </w:rPr>
        <w:t>En vertu de la révision </w:t>
      </w:r>
      <w:r w:rsidR="009F7B5A" w:rsidRPr="009A44ED">
        <w:rPr>
          <w:lang w:eastAsia="ja-JP"/>
        </w:rPr>
        <w:t>3 de l</w:t>
      </w:r>
      <w:r w:rsidR="009F7B5A">
        <w:rPr>
          <w:lang w:eastAsia="ja-JP"/>
        </w:rPr>
        <w:t>’</w:t>
      </w:r>
      <w:r>
        <w:rPr>
          <w:lang w:eastAsia="ja-JP"/>
        </w:rPr>
        <w:t>Accord de </w:t>
      </w:r>
      <w:r w:rsidR="009F7B5A" w:rsidRPr="009A44ED">
        <w:rPr>
          <w:lang w:eastAsia="ja-JP"/>
        </w:rPr>
        <w:t>1958</w:t>
      </w:r>
      <w:r w:rsidR="009F7B5A">
        <w:rPr>
          <w:lang w:eastAsia="ja-JP"/>
        </w:rPr>
        <w:t>, l</w:t>
      </w:r>
      <w:r w:rsidR="009F7B5A" w:rsidRPr="009A44ED">
        <w:rPr>
          <w:lang w:eastAsia="ja-JP"/>
        </w:rPr>
        <w:t>a marque d</w:t>
      </w:r>
      <w:r w:rsidR="009F7B5A">
        <w:rPr>
          <w:lang w:eastAsia="ja-JP"/>
        </w:rPr>
        <w:t>’</w:t>
      </w:r>
      <w:r w:rsidR="009F7B5A" w:rsidRPr="009A44ED">
        <w:rPr>
          <w:lang w:eastAsia="ja-JP"/>
        </w:rPr>
        <w:t>homologation peut être remplacée par un identifiant unique (UI)</w:t>
      </w:r>
      <w:r w:rsidR="009F7B5A">
        <w:rPr>
          <w:lang w:eastAsia="ja-JP"/>
        </w:rPr>
        <w:t>, mais il est également admis qu’il puisse être précisé pour certains Règlements de l’ONU que l</w:t>
      </w:r>
      <w:r w:rsidR="009F7B5A" w:rsidRPr="009A44ED">
        <w:rPr>
          <w:lang w:eastAsia="ja-JP"/>
        </w:rPr>
        <w:t>a marque d</w:t>
      </w:r>
      <w:r w:rsidR="009F7B5A">
        <w:rPr>
          <w:lang w:eastAsia="ja-JP"/>
        </w:rPr>
        <w:t>’</w:t>
      </w:r>
      <w:r w:rsidR="009F7B5A" w:rsidRPr="009A44ED">
        <w:rPr>
          <w:lang w:eastAsia="ja-JP"/>
        </w:rPr>
        <w:t>homologation ne peut pas être remplacée par un identifiant unique</w:t>
      </w:r>
      <w:r w:rsidR="009F7B5A">
        <w:rPr>
          <w:lang w:eastAsia="ja-JP"/>
        </w:rPr>
        <w:t>.</w:t>
      </w:r>
    </w:p>
    <w:p w:rsidR="00C636D5" w:rsidRDefault="009F7B5A" w:rsidP="002C00CC">
      <w:pPr>
        <w:pStyle w:val="ParNoG"/>
        <w:rPr>
          <w:lang w:eastAsia="ja-JP"/>
        </w:rPr>
      </w:pPr>
      <w:r w:rsidRPr="009A44ED">
        <w:rPr>
          <w:lang w:eastAsia="ja-JP"/>
        </w:rPr>
        <w:t xml:space="preserve">Dans le cas des Règlements portant sur les </w:t>
      </w:r>
      <w:r>
        <w:rPr>
          <w:lang w:eastAsia="ja-JP"/>
        </w:rPr>
        <w:t>d</w:t>
      </w:r>
      <w:r w:rsidRPr="009A44ED">
        <w:rPr>
          <w:lang w:eastAsia="ja-JP"/>
        </w:rPr>
        <w:t>ispositifs de retenue pour enfants</w:t>
      </w:r>
      <w:r>
        <w:rPr>
          <w:lang w:eastAsia="ja-JP"/>
        </w:rPr>
        <w:t xml:space="preserve">, le </w:t>
      </w:r>
      <w:r w:rsidRPr="009A44ED">
        <w:rPr>
          <w:lang w:eastAsia="ja-JP"/>
        </w:rPr>
        <w:t>numéro d</w:t>
      </w:r>
      <w:r>
        <w:rPr>
          <w:lang w:eastAsia="ja-JP"/>
        </w:rPr>
        <w:t>’</w:t>
      </w:r>
      <w:r w:rsidRPr="009A44ED">
        <w:rPr>
          <w:lang w:eastAsia="ja-JP"/>
        </w:rPr>
        <w:t>homologation</w:t>
      </w:r>
      <w:r>
        <w:rPr>
          <w:lang w:eastAsia="ja-JP"/>
        </w:rPr>
        <w:t xml:space="preserve"> comporte certaines informations très importantes pour les utilisateurs, en l’occurrence les parents, qui doivent être informés de manière simple et accessible sur la teneur de ces règlements.</w:t>
      </w:r>
    </w:p>
    <w:p w:rsidR="009F7B5A" w:rsidRPr="009F7B5A" w:rsidRDefault="009F7B5A" w:rsidP="009F7B5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F7B5A" w:rsidRPr="009F7B5A" w:rsidSect="00C636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F5" w:rsidRDefault="000C25F5" w:rsidP="00F95C08">
      <w:pPr>
        <w:spacing w:line="240" w:lineRule="auto"/>
      </w:pPr>
    </w:p>
  </w:endnote>
  <w:endnote w:type="continuationSeparator" w:id="0">
    <w:p w:rsidR="000C25F5" w:rsidRPr="00AC3823" w:rsidRDefault="000C25F5" w:rsidP="00AC3823">
      <w:pPr>
        <w:pStyle w:val="Footer"/>
      </w:pPr>
    </w:p>
  </w:endnote>
  <w:endnote w:type="continuationNotice" w:id="1">
    <w:p w:rsidR="000C25F5" w:rsidRDefault="000C25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D5" w:rsidRPr="00C636D5" w:rsidRDefault="00C636D5" w:rsidP="00C636D5">
    <w:pPr>
      <w:pStyle w:val="Footer"/>
      <w:tabs>
        <w:tab w:val="right" w:pos="9638"/>
      </w:tabs>
    </w:pPr>
    <w:r w:rsidRPr="00C636D5">
      <w:rPr>
        <w:b/>
        <w:sz w:val="18"/>
      </w:rPr>
      <w:fldChar w:fldCharType="begin"/>
    </w:r>
    <w:r w:rsidRPr="00C636D5">
      <w:rPr>
        <w:b/>
        <w:sz w:val="18"/>
      </w:rPr>
      <w:instrText xml:space="preserve"> PAGE  \* MERGEFORMAT </w:instrText>
    </w:r>
    <w:r w:rsidRPr="00C636D5">
      <w:rPr>
        <w:b/>
        <w:sz w:val="18"/>
      </w:rPr>
      <w:fldChar w:fldCharType="separate"/>
    </w:r>
    <w:r w:rsidR="005A6FD0">
      <w:rPr>
        <w:b/>
        <w:noProof/>
        <w:sz w:val="18"/>
      </w:rPr>
      <w:t>2</w:t>
    </w:r>
    <w:r w:rsidRPr="00C636D5">
      <w:rPr>
        <w:b/>
        <w:sz w:val="18"/>
      </w:rPr>
      <w:fldChar w:fldCharType="end"/>
    </w:r>
    <w:r>
      <w:rPr>
        <w:b/>
        <w:sz w:val="18"/>
      </w:rPr>
      <w:tab/>
    </w:r>
    <w:r>
      <w:t>GE.17-02238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D5" w:rsidRPr="00C636D5" w:rsidRDefault="00C636D5" w:rsidP="00C636D5">
    <w:pPr>
      <w:pStyle w:val="Footer"/>
      <w:tabs>
        <w:tab w:val="right" w:pos="9638"/>
      </w:tabs>
      <w:rPr>
        <w:b/>
        <w:sz w:val="18"/>
      </w:rPr>
    </w:pPr>
    <w:r>
      <w:t>GE.17-02238</w:t>
    </w:r>
    <w:r>
      <w:tab/>
    </w:r>
    <w:r w:rsidRPr="00C636D5">
      <w:rPr>
        <w:b/>
        <w:sz w:val="18"/>
      </w:rPr>
      <w:fldChar w:fldCharType="begin"/>
    </w:r>
    <w:r w:rsidRPr="00C636D5">
      <w:rPr>
        <w:b/>
        <w:sz w:val="18"/>
      </w:rPr>
      <w:instrText xml:space="preserve"> PAGE  \* MERGEFORMAT </w:instrText>
    </w:r>
    <w:r w:rsidRPr="00C636D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636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C636D5" w:rsidRDefault="00C636D5" w:rsidP="00C636D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B6A34F6" wp14:editId="047E67B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17-02238  (F)</w:t>
    </w:r>
    <w:r w:rsidR="00921D9F">
      <w:rPr>
        <w:sz w:val="20"/>
      </w:rPr>
      <w:t xml:space="preserve">    </w:t>
    </w:r>
    <w:r w:rsidR="00BD22FB">
      <w:rPr>
        <w:sz w:val="20"/>
      </w:rPr>
      <w:t>240217    090317</w:t>
    </w:r>
    <w:r>
      <w:rPr>
        <w:sz w:val="20"/>
      </w:rPr>
      <w:br/>
    </w:r>
    <w:r w:rsidRPr="00C636D5">
      <w:rPr>
        <w:rFonts w:ascii="C39T30Lfz" w:hAnsi="C39T30Lfz"/>
        <w:sz w:val="56"/>
      </w:rPr>
      <w:t></w:t>
    </w:r>
    <w:r w:rsidRPr="00C636D5">
      <w:rPr>
        <w:rFonts w:ascii="C39T30Lfz" w:hAnsi="C39T30Lfz"/>
        <w:sz w:val="56"/>
      </w:rPr>
      <w:t></w:t>
    </w:r>
    <w:r w:rsidRPr="00C636D5">
      <w:rPr>
        <w:rFonts w:ascii="C39T30Lfz" w:hAnsi="C39T30Lfz"/>
        <w:sz w:val="56"/>
      </w:rPr>
      <w:t></w:t>
    </w:r>
    <w:r w:rsidRPr="00C636D5">
      <w:rPr>
        <w:rFonts w:ascii="C39T30Lfz" w:hAnsi="C39T30Lfz"/>
        <w:sz w:val="56"/>
      </w:rPr>
      <w:t></w:t>
    </w:r>
    <w:r w:rsidRPr="00C636D5">
      <w:rPr>
        <w:rFonts w:ascii="C39T30Lfz" w:hAnsi="C39T30Lfz"/>
        <w:sz w:val="56"/>
      </w:rPr>
      <w:t></w:t>
    </w:r>
    <w:r w:rsidRPr="00C636D5">
      <w:rPr>
        <w:rFonts w:ascii="C39T30Lfz" w:hAnsi="C39T30Lfz"/>
        <w:sz w:val="56"/>
      </w:rPr>
      <w:t></w:t>
    </w:r>
    <w:r w:rsidRPr="00C636D5">
      <w:rPr>
        <w:rFonts w:ascii="C39T30Lfz" w:hAnsi="C39T30Lfz"/>
        <w:sz w:val="56"/>
      </w:rPr>
      <w:t></w:t>
    </w:r>
    <w:r w:rsidRPr="00C636D5">
      <w:rPr>
        <w:rFonts w:ascii="C39T30Lfz" w:hAnsi="C39T30Lfz"/>
        <w:sz w:val="56"/>
      </w:rPr>
      <w:t></w:t>
    </w:r>
    <w:r w:rsidRPr="00C636D5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://undocs.org/m2/QRCode.ashx?DS=ECE/TRANS/WP.29/GRSP/2017/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P/2017/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F5" w:rsidRPr="00AC3823" w:rsidRDefault="000C25F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C25F5" w:rsidRPr="00AC3823" w:rsidRDefault="000C25F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C25F5" w:rsidRPr="00AC3823" w:rsidRDefault="000C25F5">
      <w:pPr>
        <w:spacing w:line="240" w:lineRule="auto"/>
        <w:rPr>
          <w:sz w:val="2"/>
          <w:szCs w:val="2"/>
        </w:rPr>
      </w:pPr>
    </w:p>
  </w:footnote>
  <w:footnote w:id="2">
    <w:p w:rsidR="00C636D5" w:rsidRPr="0019399D" w:rsidRDefault="00C636D5" w:rsidP="00C636D5">
      <w:pPr>
        <w:pStyle w:val="FootnoteText"/>
      </w:pPr>
      <w:r>
        <w:tab/>
      </w:r>
      <w:r w:rsidRPr="00D42DFB">
        <w:rPr>
          <w:sz w:val="20"/>
          <w:lang w:val="fr-FR"/>
        </w:rPr>
        <w:t>*</w:t>
      </w:r>
      <w:r w:rsidRPr="00D42DFB">
        <w:tab/>
        <w:t>Conformément au programme de travail du Comité des transp</w:t>
      </w:r>
      <w:r w:rsidR="00FE0748">
        <w:t xml:space="preserve">orts intérieurs pour la période </w:t>
      </w:r>
      <w:r w:rsidRPr="00D42DFB">
        <w:t>2016</w:t>
      </w:r>
      <w:r w:rsidR="00713A30">
        <w:rPr>
          <w:lang w:val="fr-FR"/>
        </w:rPr>
        <w:noBreakHyphen/>
      </w:r>
      <w:r w:rsidR="00181EB3">
        <w:t>2017 (ECE/TRANS/254, par. </w:t>
      </w:r>
      <w:r w:rsidRPr="00D42DFB">
        <w:t>159, et ECE/TRANS/2016/28/Add.</w:t>
      </w:r>
      <w:r w:rsidR="000D33ED">
        <w:t> 1, module </w:t>
      </w:r>
      <w:r w:rsidR="00FE0748">
        <w:t xml:space="preserve">3.1), le Forum </w:t>
      </w:r>
      <w:r w:rsidRPr="00D42DFB">
        <w:t xml:space="preserve">mondial a pour mission d’élaborer, d’harmoniser et de mettre à jour les Règlements en vue d’améliorer les caractéristiques fonctionnelles des </w:t>
      </w:r>
      <w:r>
        <w:t>v</w:t>
      </w:r>
      <w:r w:rsidRPr="00D42DFB">
        <w:t xml:space="preserve">éhicules. </w:t>
      </w:r>
      <w:r w:rsidRPr="0019399D">
        <w:t>Le présent document est soumis en vertu de ce mandat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D5" w:rsidRPr="00C636D5" w:rsidRDefault="00A41194">
    <w:pPr>
      <w:pStyle w:val="Header"/>
    </w:pPr>
    <w:fldSimple w:instr=" TITLE  \* MERGEFORMAT ">
      <w:r>
        <w:t>ECE/TRANS/WP.29/GRSP/2017/4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D5" w:rsidRPr="00C636D5" w:rsidRDefault="00A41194" w:rsidP="00C636D5">
    <w:pPr>
      <w:pStyle w:val="Header"/>
      <w:jc w:val="right"/>
    </w:pPr>
    <w:fldSimple w:instr=" TITLE  \* MERGEFORMAT ">
      <w:r>
        <w:t>ECE/TRANS/WP.29/GRSP/2017/4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9F" w:rsidRDefault="00921D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F5"/>
    <w:rsid w:val="00017F94"/>
    <w:rsid w:val="00023842"/>
    <w:rsid w:val="000334F9"/>
    <w:rsid w:val="00045FEB"/>
    <w:rsid w:val="0007796D"/>
    <w:rsid w:val="000B674E"/>
    <w:rsid w:val="000B7790"/>
    <w:rsid w:val="000C25F5"/>
    <w:rsid w:val="000D33ED"/>
    <w:rsid w:val="00111F2F"/>
    <w:rsid w:val="0014365E"/>
    <w:rsid w:val="00143C66"/>
    <w:rsid w:val="00176178"/>
    <w:rsid w:val="00181EB3"/>
    <w:rsid w:val="001F525A"/>
    <w:rsid w:val="00223272"/>
    <w:rsid w:val="0024779E"/>
    <w:rsid w:val="00257168"/>
    <w:rsid w:val="002744B8"/>
    <w:rsid w:val="002832AC"/>
    <w:rsid w:val="002C00CC"/>
    <w:rsid w:val="002D7C93"/>
    <w:rsid w:val="002F1080"/>
    <w:rsid w:val="00305801"/>
    <w:rsid w:val="003916DE"/>
    <w:rsid w:val="00441C3B"/>
    <w:rsid w:val="00446FE5"/>
    <w:rsid w:val="00452396"/>
    <w:rsid w:val="004837D8"/>
    <w:rsid w:val="00491BA5"/>
    <w:rsid w:val="004E468C"/>
    <w:rsid w:val="005505B7"/>
    <w:rsid w:val="0055147D"/>
    <w:rsid w:val="00573BE5"/>
    <w:rsid w:val="00586ED3"/>
    <w:rsid w:val="00590139"/>
    <w:rsid w:val="00596AA9"/>
    <w:rsid w:val="005A6FD0"/>
    <w:rsid w:val="005B3143"/>
    <w:rsid w:val="006B5D86"/>
    <w:rsid w:val="006D3D13"/>
    <w:rsid w:val="00713A30"/>
    <w:rsid w:val="0071601D"/>
    <w:rsid w:val="007A62E6"/>
    <w:rsid w:val="007F20FA"/>
    <w:rsid w:val="0080684C"/>
    <w:rsid w:val="00852D36"/>
    <w:rsid w:val="00871C75"/>
    <w:rsid w:val="008776DC"/>
    <w:rsid w:val="008C0027"/>
    <w:rsid w:val="00910E3F"/>
    <w:rsid w:val="00921D9F"/>
    <w:rsid w:val="00940BD3"/>
    <w:rsid w:val="009446C0"/>
    <w:rsid w:val="009705C8"/>
    <w:rsid w:val="009C1CF4"/>
    <w:rsid w:val="009D308E"/>
    <w:rsid w:val="009F6B74"/>
    <w:rsid w:val="009F7B5A"/>
    <w:rsid w:val="00A30353"/>
    <w:rsid w:val="00A41194"/>
    <w:rsid w:val="00AA7423"/>
    <w:rsid w:val="00AC3823"/>
    <w:rsid w:val="00AE323C"/>
    <w:rsid w:val="00AF0CB5"/>
    <w:rsid w:val="00B00181"/>
    <w:rsid w:val="00B00B0D"/>
    <w:rsid w:val="00B43A36"/>
    <w:rsid w:val="00B765F7"/>
    <w:rsid w:val="00B90781"/>
    <w:rsid w:val="00BA0CA9"/>
    <w:rsid w:val="00BD22FB"/>
    <w:rsid w:val="00C02897"/>
    <w:rsid w:val="00C636D5"/>
    <w:rsid w:val="00C84CAE"/>
    <w:rsid w:val="00C97039"/>
    <w:rsid w:val="00D3439C"/>
    <w:rsid w:val="00DB1831"/>
    <w:rsid w:val="00DD3BFD"/>
    <w:rsid w:val="00DF6678"/>
    <w:rsid w:val="00E44EE5"/>
    <w:rsid w:val="00E46EC0"/>
    <w:rsid w:val="00E85C74"/>
    <w:rsid w:val="00EA6547"/>
    <w:rsid w:val="00EF2E22"/>
    <w:rsid w:val="00F302C9"/>
    <w:rsid w:val="00F35BAF"/>
    <w:rsid w:val="00F660DF"/>
    <w:rsid w:val="00F94664"/>
    <w:rsid w:val="00F9573C"/>
    <w:rsid w:val="00F95C08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2028-6861-4A1E-864B-4FAF0541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ECE/TRANS/WP.29/GRSP/2017/4</vt:lpstr>
      <vt:lpstr>ECE/TRANS/WP.29/GRSP/2017/4</vt:lpstr>
    </vt:vector>
  </TitlesOfParts>
  <Company>DCM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ECE/TRANS/WP.29/GRSP/2017/4</dc:title>
  <dc:creator>DEVOS</dc:creator>
  <cp:lastModifiedBy>Benedicte Boudol</cp:lastModifiedBy>
  <cp:revision>2</cp:revision>
  <cp:lastPrinted>2017-03-09T10:47:00Z</cp:lastPrinted>
  <dcterms:created xsi:type="dcterms:W3CDTF">2017-03-09T13:05:00Z</dcterms:created>
  <dcterms:modified xsi:type="dcterms:W3CDTF">2017-03-09T13:05:00Z</dcterms:modified>
</cp:coreProperties>
</file>