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00E4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00E47" w:rsidP="00E00E47">
            <w:pPr>
              <w:jc w:val="right"/>
            </w:pPr>
            <w:r w:rsidRPr="00E00E47">
              <w:rPr>
                <w:sz w:val="40"/>
              </w:rPr>
              <w:t>ECE</w:t>
            </w:r>
            <w:r>
              <w:t>/TRANS/WP.29/GRSG/2017/22</w:t>
            </w:r>
          </w:p>
        </w:tc>
      </w:tr>
      <w:tr w:rsidR="002D5AAC" w:rsidRPr="00E00E4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00E4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00E47" w:rsidRDefault="00E00E47" w:rsidP="00E00E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2017</w:t>
            </w:r>
          </w:p>
          <w:p w:rsidR="00E00E47" w:rsidRDefault="00E00E47" w:rsidP="00E00E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00E47" w:rsidRPr="008D53B6" w:rsidRDefault="00E00E47" w:rsidP="00E00E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00E47" w:rsidRPr="00E00E47" w:rsidRDefault="00E00E47" w:rsidP="00E00E47">
      <w:pPr>
        <w:spacing w:before="120"/>
        <w:rPr>
          <w:sz w:val="28"/>
          <w:szCs w:val="28"/>
        </w:rPr>
      </w:pPr>
      <w:r w:rsidRPr="00E00E47">
        <w:rPr>
          <w:sz w:val="28"/>
          <w:szCs w:val="28"/>
        </w:rPr>
        <w:t>Комитет по внутреннему транспорту</w:t>
      </w:r>
    </w:p>
    <w:p w:rsidR="00E00E47" w:rsidRPr="00E00E47" w:rsidRDefault="00E00E47" w:rsidP="00E00E47">
      <w:pPr>
        <w:spacing w:before="120"/>
        <w:rPr>
          <w:b/>
          <w:sz w:val="24"/>
          <w:szCs w:val="24"/>
        </w:rPr>
      </w:pPr>
      <w:r w:rsidRPr="00E00E47">
        <w:rPr>
          <w:b/>
          <w:sz w:val="24"/>
          <w:szCs w:val="24"/>
        </w:rPr>
        <w:t>Всемирный форум для согласования</w:t>
      </w:r>
      <w:r w:rsidRPr="00E00E47">
        <w:rPr>
          <w:b/>
          <w:sz w:val="24"/>
          <w:szCs w:val="24"/>
        </w:rPr>
        <w:br/>
        <w:t>правил в области транспортных средств</w:t>
      </w:r>
    </w:p>
    <w:p w:rsidR="00E00E47" w:rsidRPr="00E00E47" w:rsidRDefault="00E00E47" w:rsidP="007852EB">
      <w:pPr>
        <w:spacing w:before="120"/>
        <w:rPr>
          <w:b/>
        </w:rPr>
      </w:pPr>
      <w:r w:rsidRPr="00E00E47">
        <w:rPr>
          <w:b/>
        </w:rPr>
        <w:t>Рабочая группа по общим предписаниям,</w:t>
      </w:r>
      <w:r w:rsidRPr="00E00E47">
        <w:rPr>
          <w:b/>
        </w:rPr>
        <w:br/>
        <w:t>касающимся безопасности</w:t>
      </w:r>
    </w:p>
    <w:p w:rsidR="00E00E47" w:rsidRPr="00E00E47" w:rsidRDefault="00E00E47" w:rsidP="00E00E47">
      <w:pPr>
        <w:spacing w:before="120"/>
        <w:rPr>
          <w:b/>
          <w:bCs/>
        </w:rPr>
      </w:pPr>
      <w:r w:rsidRPr="00E00E47">
        <w:rPr>
          <w:b/>
          <w:bCs/>
        </w:rPr>
        <w:t>113-я сессия</w:t>
      </w:r>
    </w:p>
    <w:p w:rsidR="00E00E47" w:rsidRPr="00E00E47" w:rsidRDefault="00E00E47" w:rsidP="00E00E47">
      <w:r w:rsidRPr="00E00E47">
        <w:t>Женева</w:t>
      </w:r>
      <w:r>
        <w:t>, 10</w:t>
      </w:r>
      <w:r>
        <w:rPr>
          <w:lang w:val="en-US"/>
        </w:rPr>
        <w:t>–</w:t>
      </w:r>
      <w:r w:rsidRPr="00E00E47">
        <w:t>13 октября 2017 года</w:t>
      </w:r>
    </w:p>
    <w:p w:rsidR="00E00E47" w:rsidRPr="00E00E47" w:rsidRDefault="00E00E47" w:rsidP="00E00E47">
      <w:r w:rsidRPr="00E00E47">
        <w:t xml:space="preserve">Пункт 6 </w:t>
      </w:r>
      <w:r w:rsidRPr="00E00E47">
        <w:rPr>
          <w:lang w:val="en-US"/>
        </w:rPr>
        <w:t>a</w:t>
      </w:r>
      <w:r w:rsidRPr="00E00E47">
        <w:t>) предварительной повестки дня</w:t>
      </w:r>
    </w:p>
    <w:p w:rsidR="00E00E47" w:rsidRPr="00E00E47" w:rsidRDefault="00E00E47" w:rsidP="00E00E47">
      <w:pPr>
        <w:rPr>
          <w:b/>
        </w:rPr>
      </w:pPr>
      <w:r w:rsidRPr="00E00E47">
        <w:rPr>
          <w:b/>
        </w:rPr>
        <w:t xml:space="preserve">Поправки к правилам, касающимся </w:t>
      </w:r>
      <w:r>
        <w:rPr>
          <w:b/>
        </w:rPr>
        <w:t>транспортных</w:t>
      </w:r>
      <w:r w:rsidRPr="00E00E47">
        <w:rPr>
          <w:b/>
        </w:rPr>
        <w:br/>
        <w:t>средств, работающих на газе:</w:t>
      </w:r>
    </w:p>
    <w:p w:rsidR="00E00E47" w:rsidRPr="00E00E47" w:rsidRDefault="00E00E47" w:rsidP="00E00E47">
      <w:pPr>
        <w:rPr>
          <w:b/>
        </w:rPr>
      </w:pPr>
      <w:r w:rsidRPr="00E00E47">
        <w:rPr>
          <w:b/>
        </w:rPr>
        <w:t>Правила</w:t>
      </w:r>
      <w:r>
        <w:rPr>
          <w:b/>
        </w:rPr>
        <w:t xml:space="preserve"> №</w:t>
      </w:r>
      <w:r w:rsidRPr="00E00E47">
        <w:rPr>
          <w:b/>
        </w:rPr>
        <w:t xml:space="preserve"> 67 (транспортные </w:t>
      </w:r>
      <w:r>
        <w:rPr>
          <w:b/>
        </w:rPr>
        <w:t>средства,</w:t>
      </w:r>
      <w:r w:rsidRPr="00E00E47">
        <w:rPr>
          <w:b/>
        </w:rPr>
        <w:br/>
        <w:t>работающие на СНГ)</w:t>
      </w:r>
    </w:p>
    <w:p w:rsidR="00E00E47" w:rsidRPr="00E00E47" w:rsidRDefault="00E00E47" w:rsidP="00E00E47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E00E47">
        <w:t>Предложение по поправкам к Правилам № 67 (</w:t>
      </w:r>
      <w:r w:rsidRPr="00E00E47">
        <w:rPr>
          <w:bCs/>
        </w:rPr>
        <w:t>транспортные средства, работающие на СНГ</w:t>
      </w:r>
      <w:r w:rsidRPr="00E00E47">
        <w:t>)</w:t>
      </w:r>
    </w:p>
    <w:p w:rsidR="00E00E47" w:rsidRPr="00E00E47" w:rsidRDefault="00E00E47" w:rsidP="00E00E47">
      <w:pPr>
        <w:pStyle w:val="H1GR"/>
        <w:rPr>
          <w:vertAlign w:val="superscript"/>
        </w:rPr>
      </w:pPr>
      <w:r>
        <w:rPr>
          <w:lang w:val="en-US"/>
        </w:rPr>
        <w:tab/>
      </w:r>
      <w:r>
        <w:rPr>
          <w:lang w:val="en-US"/>
        </w:rPr>
        <w:tab/>
      </w:r>
      <w:r w:rsidRPr="00E00E47">
        <w:t>Представлено экспертом от Турции</w:t>
      </w:r>
      <w:r w:rsidRPr="00E00E47">
        <w:rPr>
          <w:b w:val="0"/>
          <w:position w:val="6"/>
          <w:sz w:val="18"/>
          <w:szCs w:val="18"/>
        </w:rPr>
        <w:footnoteReference w:customMarkFollows="1" w:id="1"/>
        <w:t>*</w:t>
      </w:r>
    </w:p>
    <w:p w:rsidR="00E00E47" w:rsidRPr="00E00E47" w:rsidRDefault="00E00E47" w:rsidP="00E00E47">
      <w:pPr>
        <w:pStyle w:val="SingleTxtGR"/>
      </w:pPr>
      <w:r>
        <w:rPr>
          <w:lang w:val="en-US"/>
        </w:rPr>
        <w:tab/>
      </w:r>
      <w:r w:rsidRPr="00E00E47">
        <w:t>Воспроизведенный ниже текст был подготовлен экспертом от Турции</w:t>
      </w:r>
      <w:r w:rsidR="00175F11">
        <w:t>.</w:t>
      </w:r>
      <w:r w:rsidR="00175F11">
        <w:br/>
      </w:r>
      <w:r w:rsidRPr="00E00E47">
        <w:t>В нем содержится предложение о внесении в Правила № 67 ООН, касающиеся</w:t>
      </w:r>
      <w:r>
        <w:t xml:space="preserve"> </w:t>
      </w:r>
      <w:r w:rsidRPr="00E00E47">
        <w:t>транспортных средств, работающих на сжиженном нефтяном газе (СНГ), п</w:t>
      </w:r>
      <w:r w:rsidRPr="00E00E47">
        <w:t>о</w:t>
      </w:r>
      <w:r w:rsidRPr="00E00E47">
        <w:t>правок для введения новых положений о местонахождении заправочного блока на транспортном средстве и ограничении</w:t>
      </w:r>
      <w:r>
        <w:t xml:space="preserve"> </w:t>
      </w:r>
      <w:r w:rsidRPr="00E00E47">
        <w:t>срока службы баллонов с СНГ. Изм</w:t>
      </w:r>
      <w:r w:rsidRPr="00E00E47">
        <w:t>е</w:t>
      </w:r>
      <w:r w:rsidRPr="00E00E47">
        <w:t>нения к нынешнему тексту Правил № 67 ООН выделены жирным шрифтом в случае новых положений.</w:t>
      </w:r>
    </w:p>
    <w:p w:rsidR="00E00E47" w:rsidRPr="00E00E47" w:rsidRDefault="00E00E47" w:rsidP="00E00E47">
      <w:pPr>
        <w:pStyle w:val="HChGR"/>
        <w:pageBreakBefore/>
      </w:pPr>
      <w:r w:rsidRPr="00E00E47">
        <w:lastRenderedPageBreak/>
        <w:tab/>
      </w:r>
      <w:r w:rsidRPr="00E00E47">
        <w:rPr>
          <w:lang w:val="en-GB"/>
        </w:rPr>
        <w:t>I</w:t>
      </w:r>
      <w:r w:rsidRPr="00E00E47">
        <w:t>.</w:t>
      </w:r>
      <w:r w:rsidRPr="00E00E47">
        <w:tab/>
        <w:t>Предложение</w:t>
      </w:r>
    </w:p>
    <w:p w:rsidR="00E00E47" w:rsidRPr="00E00E47" w:rsidRDefault="00E00E47" w:rsidP="00E00E47">
      <w:pPr>
        <w:pStyle w:val="SingleTxtGR"/>
      </w:pPr>
      <w:r w:rsidRPr="00E00E47">
        <w:rPr>
          <w:i/>
        </w:rPr>
        <w:t xml:space="preserve">Включить новый пункт 2.21 </w:t>
      </w:r>
      <w:r w:rsidRPr="00E00E47">
        <w:rPr>
          <w:iCs/>
        </w:rPr>
        <w:t>следующего содержания</w:t>
      </w:r>
      <w:r w:rsidRPr="00E00E47">
        <w:t>:</w:t>
      </w:r>
    </w:p>
    <w:p w:rsidR="00E00E47" w:rsidRPr="00E00E47" w:rsidRDefault="00E00E47" w:rsidP="00E00E47">
      <w:pPr>
        <w:pStyle w:val="SingleTxtGR"/>
        <w:tabs>
          <w:tab w:val="clear" w:pos="1701"/>
        </w:tabs>
        <w:ind w:left="2268" w:hanging="1134"/>
      </w:pPr>
      <w:r>
        <w:t>«</w:t>
      </w:r>
      <w:r w:rsidRPr="00E00E47">
        <w:rPr>
          <w:b/>
        </w:rPr>
        <w:t>2.21</w:t>
      </w:r>
      <w:r w:rsidRPr="00E00E47">
        <w:rPr>
          <w:b/>
        </w:rPr>
        <w:tab/>
        <w:t>"Срок службы" означает продо</w:t>
      </w:r>
      <w:r>
        <w:rPr>
          <w:b/>
        </w:rPr>
        <w:t xml:space="preserve">лжительность времени (в годах), </w:t>
      </w:r>
      <w:r w:rsidRPr="00E00E47">
        <w:rPr>
          <w:b/>
        </w:rPr>
        <w:t>в течение которого баллоны могут безопасно эксплуатироват</w:t>
      </w:r>
      <w:r w:rsidRPr="00E00E47">
        <w:rPr>
          <w:b/>
        </w:rPr>
        <w:t>ь</w:t>
      </w:r>
      <w:r w:rsidRPr="00E00E47">
        <w:rPr>
          <w:b/>
        </w:rPr>
        <w:t>ся</w:t>
      </w:r>
      <w:proofErr w:type="gramStart"/>
      <w:r w:rsidRPr="007852EB">
        <w:rPr>
          <w:b/>
        </w:rPr>
        <w:t>.</w:t>
      </w:r>
      <w:r>
        <w:t>»</w:t>
      </w:r>
      <w:proofErr w:type="gramEnd"/>
    </w:p>
    <w:p w:rsidR="00E00E47" w:rsidRPr="00E00E47" w:rsidRDefault="00E00E47" w:rsidP="00E00E47">
      <w:pPr>
        <w:pStyle w:val="SingleTxtGR"/>
        <w:rPr>
          <w:lang w:val="tr-TR"/>
        </w:rPr>
      </w:pPr>
      <w:r w:rsidRPr="00E00E47">
        <w:rPr>
          <w:i/>
        </w:rPr>
        <w:t xml:space="preserve">Пункт </w:t>
      </w:r>
      <w:r w:rsidRPr="00E00E47">
        <w:rPr>
          <w:i/>
          <w:lang w:val="tr-TR"/>
        </w:rPr>
        <w:t>4.3</w:t>
      </w:r>
      <w:r w:rsidRPr="00E00E47">
        <w:rPr>
          <w:lang w:val="tr-TR"/>
        </w:rPr>
        <w:t xml:space="preserve">, </w:t>
      </w:r>
      <w:r w:rsidRPr="00E00E47">
        <w:t xml:space="preserve">включить новые подпункты </w:t>
      </w:r>
      <w:r w:rsidRPr="00E00E47">
        <w:rPr>
          <w:lang w:val="tr-TR"/>
        </w:rPr>
        <w:t xml:space="preserve">i) </w:t>
      </w:r>
      <w:r w:rsidRPr="00E00E47">
        <w:t>и</w:t>
      </w:r>
      <w:r w:rsidRPr="00E00E47">
        <w:rPr>
          <w:lang w:val="tr-TR"/>
        </w:rPr>
        <w:t xml:space="preserve"> j) </w:t>
      </w:r>
      <w:r w:rsidRPr="00E00E47">
        <w:rPr>
          <w:iCs/>
        </w:rPr>
        <w:t>следующего содержания</w:t>
      </w:r>
      <w:r w:rsidRPr="00E00E47">
        <w:rPr>
          <w:lang w:val="tr-TR"/>
        </w:rPr>
        <w:t>:</w:t>
      </w:r>
    </w:p>
    <w:p w:rsidR="00E00E47" w:rsidRPr="00E00E47" w:rsidRDefault="00E00E47" w:rsidP="00175F11">
      <w:pPr>
        <w:pStyle w:val="SingleTxtGR"/>
        <w:tabs>
          <w:tab w:val="clear" w:pos="1701"/>
        </w:tabs>
        <w:ind w:left="2268" w:hanging="1134"/>
        <w:rPr>
          <w:lang w:val="tr-TR"/>
        </w:rPr>
      </w:pPr>
      <w:r>
        <w:t>«</w:t>
      </w:r>
      <w:r w:rsidRPr="00E00E47">
        <w:rPr>
          <w:lang w:val="tr-TR"/>
        </w:rPr>
        <w:t>4.3</w:t>
      </w:r>
      <w:r w:rsidRPr="00E00E47">
        <w:rPr>
          <w:lang w:val="tr-TR"/>
        </w:rPr>
        <w:tab/>
      </w:r>
      <w:r w:rsidRPr="00E00E47">
        <w:t>К каждому баллону</w:t>
      </w:r>
      <w:r w:rsidRPr="00E00E47">
        <w:rPr>
          <w:lang w:val="tr-TR"/>
        </w:rPr>
        <w:t xml:space="preserve"> ...</w:t>
      </w:r>
    </w:p>
    <w:p w:rsidR="00E00E47" w:rsidRPr="00E00E47" w:rsidRDefault="00E00E47" w:rsidP="00E00E47">
      <w:pPr>
        <w:pStyle w:val="SingleTxtGR"/>
        <w:tabs>
          <w:tab w:val="clear" w:pos="1701"/>
          <w:tab w:val="clear" w:pos="2268"/>
        </w:tabs>
        <w:ind w:left="2268"/>
        <w:rPr>
          <w:lang w:val="tr-TR"/>
        </w:rPr>
      </w:pPr>
      <w:r w:rsidRPr="00E00E47">
        <w:rPr>
          <w:lang w:val="tr-TR"/>
        </w:rPr>
        <w:t>...</w:t>
      </w:r>
    </w:p>
    <w:p w:rsidR="00E00E47" w:rsidRPr="00E00E47" w:rsidRDefault="00E00E47" w:rsidP="00E00E47">
      <w:pPr>
        <w:pStyle w:val="SingleTxtGR"/>
        <w:tabs>
          <w:tab w:val="clear" w:pos="1701"/>
          <w:tab w:val="clear" w:pos="2268"/>
        </w:tabs>
        <w:ind w:left="2268"/>
        <w:rPr>
          <w:b/>
        </w:rPr>
      </w:pPr>
      <w:r w:rsidRPr="00E00E47">
        <w:rPr>
          <w:b/>
          <w:lang w:val="tr-TR"/>
        </w:rPr>
        <w:t>i)</w:t>
      </w:r>
      <w:r w:rsidRPr="00E00E47">
        <w:rPr>
          <w:b/>
          <w:lang w:val="tr-TR"/>
        </w:rPr>
        <w:tab/>
      </w:r>
      <w:r w:rsidRPr="00E00E47">
        <w:rPr>
          <w:b/>
        </w:rPr>
        <w:t>истечение срока службы баллона</w:t>
      </w:r>
      <w:r w:rsidRPr="00E00E47">
        <w:rPr>
          <w:b/>
          <w:lang w:val="tr-TR"/>
        </w:rPr>
        <w:t xml:space="preserve"> (</w:t>
      </w:r>
      <w:r w:rsidRPr="00E00E47">
        <w:rPr>
          <w:b/>
        </w:rPr>
        <w:t>месяц</w:t>
      </w:r>
      <w:r w:rsidRPr="00E00E47">
        <w:rPr>
          <w:b/>
          <w:lang w:val="tr-TR"/>
        </w:rPr>
        <w:t>/</w:t>
      </w:r>
      <w:r w:rsidRPr="00E00E47">
        <w:rPr>
          <w:b/>
        </w:rPr>
        <w:t>год</w:t>
      </w:r>
      <w:r w:rsidRPr="00E00E47">
        <w:rPr>
          <w:b/>
          <w:lang w:val="tr-TR"/>
        </w:rPr>
        <w:t>)</w:t>
      </w:r>
      <w:r w:rsidRPr="00E00E47">
        <w:rPr>
          <w:b/>
        </w:rPr>
        <w:t>;</w:t>
      </w:r>
    </w:p>
    <w:p w:rsidR="00E00E47" w:rsidRPr="00E00E47" w:rsidRDefault="00E00E47" w:rsidP="00E00E47">
      <w:pPr>
        <w:pStyle w:val="SingleTxtGR"/>
        <w:tabs>
          <w:tab w:val="clear" w:pos="1701"/>
          <w:tab w:val="clear" w:pos="2268"/>
        </w:tabs>
        <w:ind w:left="2268"/>
      </w:pPr>
      <w:r w:rsidRPr="00E00E47">
        <w:rPr>
          <w:b/>
          <w:lang w:val="tr-TR"/>
        </w:rPr>
        <w:t>j)</w:t>
      </w:r>
      <w:r w:rsidRPr="00E00E47">
        <w:rPr>
          <w:b/>
          <w:lang w:val="tr-TR"/>
        </w:rPr>
        <w:tab/>
      </w:r>
      <w:r w:rsidRPr="00E00E47">
        <w:rPr>
          <w:b/>
        </w:rPr>
        <w:t>дата изготовления</w:t>
      </w:r>
      <w:r w:rsidRPr="00E00E47">
        <w:rPr>
          <w:b/>
          <w:lang w:val="tr-TR"/>
        </w:rPr>
        <w:t xml:space="preserve"> (</w:t>
      </w:r>
      <w:r w:rsidRPr="00E00E47">
        <w:rPr>
          <w:b/>
        </w:rPr>
        <w:t>месяц</w:t>
      </w:r>
      <w:r w:rsidRPr="00E00E47">
        <w:rPr>
          <w:b/>
          <w:lang w:val="tr-TR"/>
        </w:rPr>
        <w:t>/</w:t>
      </w:r>
      <w:r w:rsidRPr="00E00E47">
        <w:rPr>
          <w:b/>
        </w:rPr>
        <w:t>год</w:t>
      </w:r>
      <w:r w:rsidRPr="00E00E47">
        <w:rPr>
          <w:b/>
          <w:lang w:val="tr-TR"/>
        </w:rPr>
        <w:t>)</w:t>
      </w:r>
      <w:r w:rsidRPr="00E00E47">
        <w:rPr>
          <w:b/>
        </w:rPr>
        <w:t>.</w:t>
      </w:r>
      <w:r>
        <w:t>»</w:t>
      </w:r>
    </w:p>
    <w:p w:rsidR="00E00E47" w:rsidRPr="00E00E47" w:rsidRDefault="00E00E47" w:rsidP="00E00E47">
      <w:pPr>
        <w:pStyle w:val="SingleTxtGR"/>
      </w:pPr>
      <w:r w:rsidRPr="00E00E47">
        <w:rPr>
          <w:i/>
        </w:rPr>
        <w:t>Включить новый пункт 6.15.10.8</w:t>
      </w:r>
      <w:r>
        <w:rPr>
          <w:i/>
        </w:rPr>
        <w:t xml:space="preserve"> </w:t>
      </w:r>
      <w:r w:rsidRPr="00E00E47">
        <w:rPr>
          <w:iCs/>
        </w:rPr>
        <w:t>следующего содержания</w:t>
      </w:r>
      <w:r w:rsidRPr="00E00E47">
        <w:t>:</w:t>
      </w:r>
    </w:p>
    <w:p w:rsidR="00E00E47" w:rsidRPr="00E00E47" w:rsidRDefault="00E00E47" w:rsidP="00E00E47">
      <w:pPr>
        <w:pStyle w:val="SingleTxtGR"/>
        <w:tabs>
          <w:tab w:val="clear" w:pos="1701"/>
        </w:tabs>
        <w:ind w:left="2268" w:hanging="1134"/>
      </w:pPr>
      <w:r>
        <w:t>«</w:t>
      </w:r>
      <w:r w:rsidRPr="00E00E47">
        <w:rPr>
          <w:b/>
        </w:rPr>
        <w:t>6.15.10.8</w:t>
      </w:r>
      <w:r w:rsidRPr="00E00E47">
        <w:rPr>
          <w:b/>
        </w:rPr>
        <w:tab/>
        <w:t>Заправочный блок не должен размещаться на нижней повер</w:t>
      </w:r>
      <w:r w:rsidRPr="00E00E47">
        <w:rPr>
          <w:b/>
        </w:rPr>
        <w:t>х</w:t>
      </w:r>
      <w:r w:rsidRPr="00E00E47">
        <w:rPr>
          <w:b/>
        </w:rPr>
        <w:t>ности транспортного средства. Центральная часть выходного отверстия заправочного блока должна находиться на высоте более 350 мм над поверхностью грунта при исходной массе транспортного средства. Если выходное отверстие заправочн</w:t>
      </w:r>
      <w:r w:rsidRPr="00E00E47">
        <w:rPr>
          <w:b/>
        </w:rPr>
        <w:t>о</w:t>
      </w:r>
      <w:r w:rsidRPr="00E00E47">
        <w:rPr>
          <w:b/>
        </w:rPr>
        <w:t>го блока находится на высоте 350 мм</w:t>
      </w:r>
      <w:r>
        <w:rPr>
          <w:b/>
        </w:rPr>
        <w:t xml:space="preserve"> –</w:t>
      </w:r>
      <w:r w:rsidRPr="00E00E47">
        <w:rPr>
          <w:b/>
        </w:rPr>
        <w:t xml:space="preserve"> 1</w:t>
      </w:r>
      <w:r w:rsidR="00175F11">
        <w:rPr>
          <w:b/>
        </w:rPr>
        <w:t> </w:t>
      </w:r>
      <w:r w:rsidRPr="00E00E47">
        <w:rPr>
          <w:b/>
        </w:rPr>
        <w:t>200 мм над поверхн</w:t>
      </w:r>
      <w:r w:rsidRPr="00E00E47">
        <w:rPr>
          <w:b/>
        </w:rPr>
        <w:t>о</w:t>
      </w:r>
      <w:r w:rsidRPr="00E00E47">
        <w:rPr>
          <w:b/>
        </w:rPr>
        <w:t>стью грунта, то в вертикальной плоскости угол между горизо</w:t>
      </w:r>
      <w:r w:rsidRPr="00E00E47">
        <w:rPr>
          <w:b/>
        </w:rPr>
        <w:t>н</w:t>
      </w:r>
      <w:r w:rsidRPr="00E00E47">
        <w:rPr>
          <w:b/>
        </w:rPr>
        <w:t xml:space="preserve">тальной дорожной поверхностью </w:t>
      </w:r>
      <w:r>
        <w:rPr>
          <w:b/>
        </w:rPr>
        <w:t>и поверхностью</w:t>
      </w:r>
      <w:r w:rsidRPr="00E00E47">
        <w:rPr>
          <w:b/>
        </w:rPr>
        <w:t xml:space="preserve"> выходного отверстия заправочного блока </w:t>
      </w:r>
      <w:r>
        <w:rPr>
          <w:b/>
        </w:rPr>
        <w:t>должен составлять не менее</w:t>
      </w:r>
      <w:r>
        <w:rPr>
          <w:b/>
        </w:rPr>
        <w:br/>
      </w:r>
      <w:r w:rsidRPr="00E00E47">
        <w:rPr>
          <w:b/>
        </w:rPr>
        <w:t>60 градусов, когда выходное отверстие направлено вниз</w:t>
      </w:r>
      <w:proofErr w:type="gramStart"/>
      <w:r w:rsidRPr="00175F11">
        <w:rPr>
          <w:b/>
        </w:rPr>
        <w:t>.</w:t>
      </w:r>
      <w:r>
        <w:t>»</w:t>
      </w:r>
      <w:proofErr w:type="gramEnd"/>
    </w:p>
    <w:p w:rsidR="00E00E47" w:rsidRPr="00E00E47" w:rsidRDefault="00E00E47" w:rsidP="00E00E47">
      <w:pPr>
        <w:pStyle w:val="SingleTxtGR"/>
      </w:pPr>
      <w:r w:rsidRPr="00E00E47">
        <w:rPr>
          <w:i/>
        </w:rPr>
        <w:t>Приложение 10, включить новый пункт 1.8</w:t>
      </w:r>
      <w:r>
        <w:rPr>
          <w:i/>
        </w:rPr>
        <w:t xml:space="preserve"> </w:t>
      </w:r>
      <w:r w:rsidRPr="00E00E47">
        <w:rPr>
          <w:iCs/>
        </w:rPr>
        <w:t>следующего содержания</w:t>
      </w:r>
      <w:r w:rsidRPr="00E00E47">
        <w:t>:</w:t>
      </w:r>
    </w:p>
    <w:p w:rsidR="00E00E47" w:rsidRPr="00E00E47" w:rsidRDefault="00E00E47" w:rsidP="00E00E47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Pr="00E00E47">
        <w:rPr>
          <w:b/>
        </w:rPr>
        <w:t>1.8</w:t>
      </w:r>
      <w:r w:rsidRPr="00E00E47">
        <w:rPr>
          <w:b/>
        </w:rPr>
        <w:tab/>
        <w:t>Срок службы</w:t>
      </w:r>
    </w:p>
    <w:p w:rsidR="00E00E47" w:rsidRPr="00E00E47" w:rsidRDefault="00E00E47" w:rsidP="00E00E47">
      <w:pPr>
        <w:pStyle w:val="SingleTxtGR"/>
        <w:tabs>
          <w:tab w:val="clear" w:pos="1701"/>
          <w:tab w:val="clear" w:pos="2268"/>
        </w:tabs>
        <w:ind w:left="2268"/>
        <w:rPr>
          <w:b/>
        </w:rPr>
      </w:pPr>
      <w:r w:rsidRPr="00E00E47">
        <w:rPr>
          <w:b/>
        </w:rPr>
        <w:t>Срок службы, в течение которого может осуществляться</w:t>
      </w:r>
      <w:r w:rsidR="00175F11">
        <w:rPr>
          <w:b/>
        </w:rPr>
        <w:br/>
      </w:r>
      <w:r w:rsidRPr="00E00E47">
        <w:rPr>
          <w:b/>
        </w:rPr>
        <w:t>безопасная эксплуатация баллона, указывается изготовителем баллона с учетом того, что</w:t>
      </w:r>
      <w:r>
        <w:rPr>
          <w:b/>
        </w:rPr>
        <w:t xml:space="preserve"> </w:t>
      </w:r>
      <w:r w:rsidRPr="00E00E47">
        <w:rPr>
          <w:b/>
        </w:rPr>
        <w:t>внешние поверхности баллона могут непреднамеренно подвергаться воздействию:</w:t>
      </w:r>
    </w:p>
    <w:p w:rsidR="00E00E47" w:rsidRPr="00E00E47" w:rsidRDefault="00E00E47" w:rsidP="00E00E47">
      <w:pPr>
        <w:pStyle w:val="SingleTxtGR"/>
        <w:tabs>
          <w:tab w:val="clear" w:pos="1701"/>
          <w:tab w:val="clear" w:pos="2268"/>
        </w:tabs>
        <w:ind w:left="2842" w:hanging="588"/>
        <w:rPr>
          <w:b/>
        </w:rPr>
      </w:pPr>
      <w:r w:rsidRPr="00E00E47">
        <w:rPr>
          <w:b/>
          <w:lang w:val="en-GB"/>
        </w:rPr>
        <w:t>a</w:t>
      </w:r>
      <w:r w:rsidRPr="00E00E47">
        <w:rPr>
          <w:b/>
        </w:rPr>
        <w:t>)</w:t>
      </w:r>
      <w:r w:rsidRPr="00E00E47">
        <w:rPr>
          <w:b/>
        </w:rPr>
        <w:tab/>
        <w:t>воды</w:t>
      </w:r>
      <w:r>
        <w:rPr>
          <w:b/>
        </w:rPr>
        <w:t xml:space="preserve"> –</w:t>
      </w:r>
      <w:r w:rsidRPr="00E00E47">
        <w:rPr>
          <w:b/>
        </w:rPr>
        <w:t xml:space="preserve"> в результате периодического погружения или об</w:t>
      </w:r>
      <w:r>
        <w:rPr>
          <w:b/>
        </w:rPr>
        <w:t>-</w:t>
      </w:r>
      <w:r w:rsidRPr="00E00E47">
        <w:rPr>
          <w:b/>
        </w:rPr>
        <w:t>рызгивания в дорожных условиях;</w:t>
      </w:r>
    </w:p>
    <w:p w:rsidR="00E00E47" w:rsidRPr="00E00E47" w:rsidRDefault="00E00E47" w:rsidP="00E00E47">
      <w:pPr>
        <w:pStyle w:val="SingleTxtGR"/>
        <w:tabs>
          <w:tab w:val="clear" w:pos="1701"/>
          <w:tab w:val="clear" w:pos="2268"/>
        </w:tabs>
        <w:ind w:left="2842" w:hanging="588"/>
        <w:rPr>
          <w:b/>
        </w:rPr>
      </w:pPr>
      <w:r w:rsidRPr="00E00E47">
        <w:rPr>
          <w:b/>
          <w:lang w:val="en-GB"/>
        </w:rPr>
        <w:t>b</w:t>
      </w:r>
      <w:r w:rsidRPr="00E00E47">
        <w:rPr>
          <w:b/>
        </w:rPr>
        <w:t>)</w:t>
      </w:r>
      <w:r w:rsidRPr="00E00E47">
        <w:rPr>
          <w:b/>
        </w:rPr>
        <w:tab/>
        <w:t>соли</w:t>
      </w:r>
      <w:r>
        <w:rPr>
          <w:b/>
        </w:rPr>
        <w:t xml:space="preserve"> –</w:t>
      </w:r>
      <w:r w:rsidRPr="00E00E47">
        <w:rPr>
          <w:b/>
        </w:rPr>
        <w:t xml:space="preserve"> в результате эксплуатации транспортного средства вблизи морей или в условиях использования соли, сп</w:t>
      </w:r>
      <w:r w:rsidRPr="00E00E47">
        <w:rPr>
          <w:b/>
        </w:rPr>
        <w:t>о</w:t>
      </w:r>
      <w:r w:rsidRPr="00E00E47">
        <w:rPr>
          <w:b/>
        </w:rPr>
        <w:t>собствующей таянию льда;</w:t>
      </w:r>
    </w:p>
    <w:p w:rsidR="00E00E47" w:rsidRPr="00E00E47" w:rsidRDefault="00E00E47" w:rsidP="00E00E47">
      <w:pPr>
        <w:pStyle w:val="SingleTxtGR"/>
        <w:tabs>
          <w:tab w:val="clear" w:pos="1701"/>
          <w:tab w:val="clear" w:pos="2268"/>
        </w:tabs>
        <w:ind w:left="2842" w:hanging="588"/>
        <w:rPr>
          <w:b/>
        </w:rPr>
      </w:pPr>
      <w:r w:rsidRPr="00E00E47">
        <w:rPr>
          <w:b/>
          <w:lang w:val="en-GB"/>
        </w:rPr>
        <w:t>c</w:t>
      </w:r>
      <w:r w:rsidRPr="00E00E47">
        <w:rPr>
          <w:b/>
        </w:rPr>
        <w:t>)</w:t>
      </w:r>
      <w:r w:rsidRPr="00E00E47">
        <w:rPr>
          <w:b/>
        </w:rPr>
        <w:tab/>
        <w:t>ударов гравия; и</w:t>
      </w:r>
    </w:p>
    <w:p w:rsidR="00E00E47" w:rsidRPr="00E00E47" w:rsidRDefault="00E00E47" w:rsidP="00E00E47">
      <w:pPr>
        <w:pStyle w:val="SingleTxtGR"/>
        <w:tabs>
          <w:tab w:val="clear" w:pos="1701"/>
          <w:tab w:val="clear" w:pos="2268"/>
        </w:tabs>
        <w:ind w:left="2842" w:hanging="588"/>
        <w:rPr>
          <w:b/>
        </w:rPr>
      </w:pPr>
      <w:r w:rsidRPr="00E00E47">
        <w:rPr>
          <w:b/>
          <w:lang w:val="en-GB"/>
        </w:rPr>
        <w:t>d</w:t>
      </w:r>
      <w:r w:rsidRPr="00E00E47">
        <w:rPr>
          <w:b/>
        </w:rPr>
        <w:t>)</w:t>
      </w:r>
      <w:r w:rsidRPr="00E00E47">
        <w:rPr>
          <w:b/>
        </w:rPr>
        <w:tab/>
        <w:t>жидкостей, используемых на автомобильном транспорте, включая бензин, гидравлические жидкости, гликоль и масла.</w:t>
      </w:r>
    </w:p>
    <w:p w:rsidR="00E00E47" w:rsidRPr="00E00E47" w:rsidRDefault="00E00E47" w:rsidP="00E00E47">
      <w:pPr>
        <w:pStyle w:val="SingleTxtGR"/>
        <w:tabs>
          <w:tab w:val="clear" w:pos="1701"/>
          <w:tab w:val="clear" w:pos="2268"/>
        </w:tabs>
        <w:ind w:left="2268"/>
      </w:pPr>
      <w:r w:rsidRPr="00E00E47">
        <w:rPr>
          <w:b/>
        </w:rPr>
        <w:t>Максимальный срок службы составляет 15 лет.</w:t>
      </w:r>
      <w:r>
        <w:t>»</w:t>
      </w:r>
    </w:p>
    <w:p w:rsidR="00E00E47" w:rsidRPr="00E00E47" w:rsidRDefault="00E00E47" w:rsidP="00E00E47">
      <w:pPr>
        <w:pStyle w:val="HChGR"/>
      </w:pPr>
      <w:r w:rsidRPr="00E00E47">
        <w:tab/>
      </w:r>
      <w:r w:rsidRPr="00E00E47">
        <w:rPr>
          <w:lang w:val="en-GB"/>
        </w:rPr>
        <w:t>II</w:t>
      </w:r>
      <w:r w:rsidRPr="00E00E47">
        <w:t>.</w:t>
      </w:r>
      <w:r w:rsidRPr="00E00E47">
        <w:tab/>
        <w:t>Обоснование</w:t>
      </w:r>
    </w:p>
    <w:p w:rsidR="00E00E47" w:rsidRPr="00E00E47" w:rsidRDefault="00E00E47" w:rsidP="00E00E47">
      <w:pPr>
        <w:pStyle w:val="SingleTxtGR"/>
      </w:pPr>
      <w:r w:rsidRPr="00E00E47">
        <w:t>1.</w:t>
      </w:r>
      <w:r w:rsidRPr="00E00E47">
        <w:tab/>
        <w:t>На 112-й сессии</w:t>
      </w:r>
      <w:r>
        <w:t xml:space="preserve"> </w:t>
      </w:r>
      <w:r w:rsidRPr="00E00E47">
        <w:t>Рабочей группы по общим предписаниям,</w:t>
      </w:r>
      <w:r>
        <w:t xml:space="preserve"> </w:t>
      </w:r>
      <w:r w:rsidRPr="00E00E47">
        <w:t>касающимся безопасности (</w:t>
      </w:r>
      <w:r w:rsidRPr="00E00E47">
        <w:rPr>
          <w:lang w:val="en-GB"/>
        </w:rPr>
        <w:t>GRSG</w:t>
      </w:r>
      <w:r w:rsidRPr="00E00E47">
        <w:t>), эксперт от Турци</w:t>
      </w:r>
      <w:r>
        <w:t>и внес на рассмотрение док</w:t>
      </w:r>
      <w:r>
        <w:t>у</w:t>
      </w:r>
      <w:r>
        <w:t>мент </w:t>
      </w:r>
      <w:r w:rsidRPr="00E00E47">
        <w:rPr>
          <w:lang w:val="en-GB"/>
        </w:rPr>
        <w:t>GRSG</w:t>
      </w:r>
      <w:r w:rsidRPr="00E00E47">
        <w:t>-112-22, в котором предлагается разработать новые положения о м</w:t>
      </w:r>
      <w:r w:rsidRPr="00E00E47">
        <w:t>е</w:t>
      </w:r>
      <w:r w:rsidRPr="00E00E47">
        <w:t>стонахождении заправочного блока на транспортном средстве и ограничении</w:t>
      </w:r>
      <w:r>
        <w:t xml:space="preserve"> </w:t>
      </w:r>
      <w:r w:rsidRPr="00E00E47">
        <w:t xml:space="preserve">срока службы баллонов. В неофициальном документе </w:t>
      </w:r>
      <w:r w:rsidRPr="00E00E47">
        <w:rPr>
          <w:lang w:val="en-GB"/>
        </w:rPr>
        <w:t>GRSG</w:t>
      </w:r>
      <w:r w:rsidRPr="00E00E47">
        <w:t xml:space="preserve">-112-22 содержится некоторая статистическая информация из разных стран о численности </w:t>
      </w:r>
      <w:r w:rsidRPr="00E00E47">
        <w:rPr>
          <w:bCs/>
        </w:rPr>
        <w:t>тран</w:t>
      </w:r>
      <w:r w:rsidRPr="00E00E47">
        <w:rPr>
          <w:bCs/>
        </w:rPr>
        <w:t>с</w:t>
      </w:r>
      <w:r w:rsidRPr="00E00E47">
        <w:rPr>
          <w:bCs/>
        </w:rPr>
        <w:t>портных средств, работающих на СНГ</w:t>
      </w:r>
      <w:r w:rsidRPr="00E00E47">
        <w:t>, а также о расходе и заправке СНГ, кот</w:t>
      </w:r>
      <w:r w:rsidRPr="00E00E47">
        <w:t>о</w:t>
      </w:r>
      <w:r w:rsidRPr="00E00E47">
        <w:lastRenderedPageBreak/>
        <w:t xml:space="preserve">рая свидетельствует о важном значении </w:t>
      </w:r>
      <w:r w:rsidRPr="00E00E47">
        <w:rPr>
          <w:bCs/>
        </w:rPr>
        <w:t>транспортных средств, работающих на СНГ</w:t>
      </w:r>
      <w:r w:rsidRPr="00E00E47">
        <w:t>, в мировой транспортной отрасли.</w:t>
      </w:r>
    </w:p>
    <w:p w:rsidR="00E00E47" w:rsidRPr="00E00E47" w:rsidRDefault="00E00E47" w:rsidP="00E00E47">
      <w:pPr>
        <w:pStyle w:val="SingleTxtGR"/>
      </w:pPr>
      <w:r w:rsidRPr="00E00E47">
        <w:t>2.</w:t>
      </w:r>
      <w:r w:rsidRPr="00E00E47">
        <w:tab/>
        <w:t>И если в Правилах № 110 ООН максимальный срок службы эксплуатир</w:t>
      </w:r>
      <w:r w:rsidRPr="00E00E47">
        <w:t>у</w:t>
      </w:r>
      <w:r w:rsidRPr="00E00E47">
        <w:t>емых баллонов с компримированным природным газом (КПГ) определен, то в Правилах № 67 никаких положений и никаких ограничений относительно ма</w:t>
      </w:r>
      <w:r w:rsidRPr="00E00E47">
        <w:t>к</w:t>
      </w:r>
      <w:r w:rsidRPr="00E00E47">
        <w:t>симального срока службы баллонов с СНГ не предусмотрено. Что касается ср</w:t>
      </w:r>
      <w:r w:rsidRPr="00E00E47">
        <w:t>о</w:t>
      </w:r>
      <w:r w:rsidRPr="00E00E47">
        <w:t>ка службы баллонов с СНГ, то страны исходят из собственного национального законодательства.</w:t>
      </w:r>
    </w:p>
    <w:p w:rsidR="00E00E47" w:rsidRPr="00E00E47" w:rsidRDefault="00E00E47" w:rsidP="00E00E47">
      <w:pPr>
        <w:pStyle w:val="SingleTxtGR"/>
      </w:pPr>
      <w:r w:rsidRPr="00E00E47">
        <w:t>3.</w:t>
      </w:r>
      <w:r w:rsidRPr="00E00E47">
        <w:tab/>
        <w:t>Научные исследования</w:t>
      </w:r>
      <w:r w:rsidR="00175F11">
        <w:rPr>
          <w:rStyle w:val="FootnoteReference"/>
        </w:rPr>
        <w:footnoteReference w:id="2"/>
      </w:r>
      <w:r w:rsidRPr="00E00E47">
        <w:t xml:space="preserve"> в области срока службы баллонов с СНГ свид</w:t>
      </w:r>
      <w:r w:rsidRPr="00E00E47">
        <w:t>е</w:t>
      </w:r>
      <w:r w:rsidRPr="00E00E47">
        <w:t>тельствуют о том, что этот срок зависит от таких внешних условий, как корр</w:t>
      </w:r>
      <w:r w:rsidRPr="00E00E47">
        <w:t>о</w:t>
      </w:r>
      <w:r w:rsidRPr="00E00E47">
        <w:t>зия, влажность, температура, вибрация, частота зарядки, физическое возде</w:t>
      </w:r>
      <w:r w:rsidRPr="00E00E47">
        <w:t>й</w:t>
      </w:r>
      <w:r w:rsidRPr="00E00E47">
        <w:t>ствие и т.д., а также от конструкции, процессов производства и сборки баллона изготовителем. Срок службы оценивается в зависимости от условий эксплуат</w:t>
      </w:r>
      <w:r w:rsidRPr="00E00E47">
        <w:t>а</w:t>
      </w:r>
      <w:r w:rsidRPr="00E00E47">
        <w:t>ции баллонов СНГ. Для обеспечения безопасного использования баллона СНГ после окончания срока его службы он должен заменяться новым баллоном.</w:t>
      </w:r>
    </w:p>
    <w:p w:rsidR="00E00E47" w:rsidRPr="00E00E47" w:rsidRDefault="00E00E47" w:rsidP="00E00E47">
      <w:pPr>
        <w:pStyle w:val="SingleTxtGR"/>
      </w:pPr>
      <w:r w:rsidRPr="00E00E47">
        <w:t>4.</w:t>
      </w:r>
      <w:r w:rsidRPr="00E00E47">
        <w:tab/>
        <w:t>Таким образом, отсутствие гармонизации в вопросах срока службы ба</w:t>
      </w:r>
      <w:r w:rsidRPr="00E00E47">
        <w:t>л</w:t>
      </w:r>
      <w:r w:rsidRPr="00E00E47">
        <w:t xml:space="preserve">лонов с СНГ в различных странах может вызывать проблемы. Для обеспечения безопасной эксплуатации </w:t>
      </w:r>
      <w:r w:rsidRPr="00E00E47">
        <w:rPr>
          <w:bCs/>
        </w:rPr>
        <w:t>транспортных средств, работающих на СНГ</w:t>
      </w:r>
      <w:r w:rsidRPr="00E00E47">
        <w:t>, и пов</w:t>
      </w:r>
      <w:r w:rsidRPr="00E00E47">
        <w:t>ы</w:t>
      </w:r>
      <w:r w:rsidRPr="00E00E47">
        <w:t>шения безопасности водителя и пассажиров Турция предлагает включить в те</w:t>
      </w:r>
      <w:proofErr w:type="gramStart"/>
      <w:r w:rsidRPr="00E00E47">
        <w:t>кст Пр</w:t>
      </w:r>
      <w:proofErr w:type="gramEnd"/>
      <w:r w:rsidRPr="00E00E47">
        <w:t xml:space="preserve">авил определение </w:t>
      </w:r>
      <w:r w:rsidR="007852EB">
        <w:t>«</w:t>
      </w:r>
      <w:r w:rsidRPr="00E00E47">
        <w:t>срока службы</w:t>
      </w:r>
      <w:r w:rsidR="007852EB">
        <w:t>»</w:t>
      </w:r>
      <w:r w:rsidRPr="00E00E47">
        <w:t xml:space="preserve"> и добавить к приложению 10 новый пункт 1.8 для ограничения максимального срока службы баллонов 15-ю годами с учетом условий их эксплуатации, определенных изготовителем баллона.</w:t>
      </w:r>
    </w:p>
    <w:p w:rsidR="00E00E47" w:rsidRPr="00E00E47" w:rsidRDefault="00E00E47" w:rsidP="00E00E47">
      <w:pPr>
        <w:pStyle w:val="SingleTxtGR"/>
      </w:pPr>
      <w:r w:rsidRPr="00E00E47">
        <w:t>5.</w:t>
      </w:r>
      <w:r w:rsidRPr="00E00E47">
        <w:tab/>
        <w:t xml:space="preserve">Кроме того, Турция предлагает добавить к пункту 4.5 подпункты </w:t>
      </w:r>
      <w:r w:rsidRPr="00E00E47">
        <w:rPr>
          <w:lang w:val="en-GB"/>
        </w:rPr>
        <w:t>i</w:t>
      </w:r>
      <w:r w:rsidRPr="00E00E47">
        <w:t xml:space="preserve">) и </w:t>
      </w:r>
      <w:r w:rsidRPr="00E00E47">
        <w:rPr>
          <w:lang w:val="en-GB"/>
        </w:rPr>
        <w:t>j</w:t>
      </w:r>
      <w:r w:rsidRPr="00E00E47">
        <w:t>) для указания даты изготовления и срока службы баллона с СНГ на опознав</w:t>
      </w:r>
      <w:r w:rsidRPr="00E00E47">
        <w:t>а</w:t>
      </w:r>
      <w:r w:rsidRPr="00E00E47">
        <w:t>тельной табличке этого баллона, с тем чтобы исключить злоупотребления, св</w:t>
      </w:r>
      <w:r w:rsidRPr="00E00E47">
        <w:t>я</w:t>
      </w:r>
      <w:r w:rsidRPr="00E00E47">
        <w:t>занные со сроком его службы.</w:t>
      </w:r>
    </w:p>
    <w:p w:rsidR="00E00E47" w:rsidRPr="00E00E47" w:rsidRDefault="00E00E47" w:rsidP="00E00E47">
      <w:pPr>
        <w:pStyle w:val="SingleTxtGR"/>
      </w:pPr>
      <w:r w:rsidRPr="00E00E47">
        <w:t>6.</w:t>
      </w:r>
      <w:r w:rsidRPr="00E00E47">
        <w:tab/>
        <w:t>В действующем тексте Правил № 67 ООН отсутствуют положения о м</w:t>
      </w:r>
      <w:r w:rsidRPr="00E00E47">
        <w:t>е</w:t>
      </w:r>
      <w:r w:rsidRPr="00E00E47">
        <w:t xml:space="preserve">стонахождении заправочного блока баллона с СНГ вне транспортного средства. Как следует из неофициального документа </w:t>
      </w:r>
      <w:r w:rsidRPr="00E00E47">
        <w:rPr>
          <w:lang w:val="en-GB"/>
        </w:rPr>
        <w:t>GRSG</w:t>
      </w:r>
      <w:r w:rsidRPr="00E00E47">
        <w:t>-112-22, содержащего фот</w:t>
      </w:r>
      <w:r w:rsidRPr="00E00E47">
        <w:t>о</w:t>
      </w:r>
      <w:r w:rsidRPr="00E00E47">
        <w:t>графии соответствующих образцов, размещение заправочного блока под тран</w:t>
      </w:r>
      <w:r w:rsidRPr="00E00E47">
        <w:t>с</w:t>
      </w:r>
      <w:r w:rsidRPr="00E00E47">
        <w:t>портным средством сопряжено с такими проблемами, как:</w:t>
      </w:r>
    </w:p>
    <w:p w:rsidR="00E00E47" w:rsidRPr="00E00E47" w:rsidRDefault="00E00E47" w:rsidP="00E00E47">
      <w:pPr>
        <w:pStyle w:val="SingleTxtGR"/>
        <w:ind w:left="2268" w:hanging="567"/>
      </w:pPr>
      <w:r>
        <w:rPr>
          <w:lang w:val="en-US"/>
        </w:rPr>
        <w:t>a</w:t>
      </w:r>
      <w:r w:rsidRPr="00E00E47">
        <w:t>)</w:t>
      </w:r>
      <w:r w:rsidRPr="00E00E47">
        <w:tab/>
        <w:t>трудности с заправкой баллона с СНГ;</w:t>
      </w:r>
    </w:p>
    <w:p w:rsidR="00E00E47" w:rsidRPr="00E00E47" w:rsidRDefault="00E00E47" w:rsidP="00E00E47">
      <w:pPr>
        <w:pStyle w:val="SingleTxtGR"/>
        <w:ind w:left="2268" w:hanging="567"/>
      </w:pPr>
      <w:r>
        <w:rPr>
          <w:lang w:val="en-US"/>
        </w:rPr>
        <w:t>b</w:t>
      </w:r>
      <w:r w:rsidRPr="00E00E47">
        <w:t>)</w:t>
      </w:r>
      <w:r w:rsidRPr="00E00E47">
        <w:tab/>
        <w:t>риск с точки зрения здоровья и безопасности операторов, ос</w:t>
      </w:r>
      <w:r w:rsidRPr="00E00E47">
        <w:t>у</w:t>
      </w:r>
      <w:r w:rsidRPr="00E00E47">
        <w:t>ществляющих заправку баллона с СНГ;</w:t>
      </w:r>
    </w:p>
    <w:p w:rsidR="00E00E47" w:rsidRPr="00E00E47" w:rsidRDefault="00E00E47" w:rsidP="00E00E47">
      <w:pPr>
        <w:pStyle w:val="SingleTxtGR"/>
        <w:ind w:left="2268" w:hanging="567"/>
      </w:pPr>
      <w:r>
        <w:rPr>
          <w:lang w:val="en-US"/>
        </w:rPr>
        <w:t>c</w:t>
      </w:r>
      <w:r w:rsidRPr="00E00E47">
        <w:t>)</w:t>
      </w:r>
      <w:r w:rsidRPr="00E00E47">
        <w:tab/>
        <w:t>неудобства для оператора, связанные с тем, что при заправке он вынужден стоять на коленях/лежать на земле;</w:t>
      </w:r>
    </w:p>
    <w:p w:rsidR="00E00E47" w:rsidRPr="00E00E47" w:rsidRDefault="00E00E47" w:rsidP="00E00E47">
      <w:pPr>
        <w:pStyle w:val="SingleTxtGR"/>
        <w:ind w:left="2268" w:hanging="567"/>
      </w:pPr>
      <w:r>
        <w:rPr>
          <w:lang w:val="en-US"/>
        </w:rPr>
        <w:t>d</w:t>
      </w:r>
      <w:r w:rsidRPr="00E00E47">
        <w:t>)</w:t>
      </w:r>
      <w:r w:rsidRPr="00E00E47">
        <w:tab/>
        <w:t>неспособность поместить топливораздаточный пистолет в запр</w:t>
      </w:r>
      <w:r w:rsidRPr="00E00E47">
        <w:t>а</w:t>
      </w:r>
      <w:r w:rsidRPr="00E00E47">
        <w:t>вочный блок в груженом состоянии транспортного средства из-за ограничения пространства между поверхностью грунта и запр</w:t>
      </w:r>
      <w:r w:rsidRPr="00E00E47">
        <w:t>а</w:t>
      </w:r>
      <w:r w:rsidRPr="00E00E47">
        <w:t>вочным блоком и, следовательно, отсутствие возможности запр</w:t>
      </w:r>
      <w:r w:rsidRPr="00E00E47">
        <w:t>а</w:t>
      </w:r>
      <w:r w:rsidRPr="00E00E47">
        <w:t>вить баллон.</w:t>
      </w:r>
    </w:p>
    <w:p w:rsidR="00E00E47" w:rsidRDefault="00E00E47" w:rsidP="00E00E47">
      <w:pPr>
        <w:pStyle w:val="SingleTxtGR"/>
      </w:pPr>
      <w:r w:rsidRPr="00E00E47">
        <w:t>7.</w:t>
      </w:r>
      <w:r w:rsidRPr="00E00E47">
        <w:tab/>
        <w:t>Турция также предлагает включить новый пункт 6.15.10.8 во избежание вышеупомянутых проблем и рисков и для обеспечения безопасной эксплуат</w:t>
      </w:r>
      <w:r w:rsidRPr="00E00E47">
        <w:t>а</w:t>
      </w:r>
      <w:r w:rsidRPr="00E00E47">
        <w:t>ции баллонов с СНГ на транспортных средствах.</w:t>
      </w:r>
    </w:p>
    <w:p w:rsidR="00E12C5F" w:rsidRPr="00E00E47" w:rsidRDefault="00E00E47" w:rsidP="00E00E47">
      <w:pPr>
        <w:pStyle w:val="SingleTxtGR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E12C5F" w:rsidRPr="00E00E47" w:rsidSect="00E00E4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08" w:rsidRPr="00A312BC" w:rsidRDefault="00B35108" w:rsidP="00A312BC"/>
  </w:endnote>
  <w:endnote w:type="continuationSeparator" w:id="0">
    <w:p w:rsidR="00B35108" w:rsidRPr="00A312BC" w:rsidRDefault="00B3510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47" w:rsidRPr="00E00E47" w:rsidRDefault="00E00E47">
    <w:pPr>
      <w:pStyle w:val="Footer"/>
    </w:pPr>
    <w:r w:rsidRPr="00E00E47">
      <w:rPr>
        <w:b/>
        <w:sz w:val="18"/>
      </w:rPr>
      <w:fldChar w:fldCharType="begin"/>
    </w:r>
    <w:r w:rsidRPr="00E00E47">
      <w:rPr>
        <w:b/>
        <w:sz w:val="18"/>
      </w:rPr>
      <w:instrText xml:space="preserve"> PAGE  \* MERGEFORMAT </w:instrText>
    </w:r>
    <w:r w:rsidRPr="00E00E47">
      <w:rPr>
        <w:b/>
        <w:sz w:val="18"/>
      </w:rPr>
      <w:fldChar w:fldCharType="separate"/>
    </w:r>
    <w:r w:rsidR="000C10B9">
      <w:rPr>
        <w:b/>
        <w:noProof/>
        <w:sz w:val="18"/>
      </w:rPr>
      <w:t>2</w:t>
    </w:r>
    <w:r w:rsidRPr="00E00E47">
      <w:rPr>
        <w:b/>
        <w:sz w:val="18"/>
      </w:rPr>
      <w:fldChar w:fldCharType="end"/>
    </w:r>
    <w:r>
      <w:rPr>
        <w:b/>
        <w:sz w:val="18"/>
      </w:rPr>
      <w:tab/>
    </w:r>
    <w:r>
      <w:t>GE.17-12821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47" w:rsidRPr="00E00E47" w:rsidRDefault="00E00E47" w:rsidP="00E00E47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GE.17-12821</w:t>
    </w:r>
    <w:r>
      <w:tab/>
    </w:r>
    <w:r w:rsidRPr="00E00E47">
      <w:rPr>
        <w:b/>
        <w:sz w:val="18"/>
      </w:rPr>
      <w:fldChar w:fldCharType="begin"/>
    </w:r>
    <w:r w:rsidRPr="00E00E47">
      <w:rPr>
        <w:b/>
        <w:sz w:val="18"/>
      </w:rPr>
      <w:instrText xml:space="preserve"> PAGE  \* MERGEFORMAT </w:instrText>
    </w:r>
    <w:r w:rsidRPr="00E00E47">
      <w:rPr>
        <w:b/>
        <w:sz w:val="18"/>
      </w:rPr>
      <w:fldChar w:fldCharType="separate"/>
    </w:r>
    <w:r w:rsidR="000C10B9">
      <w:rPr>
        <w:b/>
        <w:noProof/>
        <w:sz w:val="18"/>
      </w:rPr>
      <w:t>3</w:t>
    </w:r>
    <w:r w:rsidRPr="00E00E4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E00E47" w:rsidRDefault="00E00E47" w:rsidP="00E00E47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5439C6A" wp14:editId="0DD4381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17-12821  (R)</w:t>
    </w:r>
    <w:r>
      <w:rPr>
        <w:lang w:val="en-US"/>
      </w:rPr>
      <w:t xml:space="preserve">  140817  160817</w:t>
    </w:r>
    <w:r>
      <w:br/>
    </w:r>
    <w:r w:rsidRPr="00E00E47">
      <w:rPr>
        <w:rFonts w:ascii="C39T30Lfz" w:hAnsi="C39T30Lfz"/>
        <w:spacing w:val="0"/>
        <w:w w:val="100"/>
        <w:sz w:val="56"/>
      </w:rPr>
      <w:t></w:t>
    </w:r>
    <w:r w:rsidRPr="00E00E47">
      <w:rPr>
        <w:rFonts w:ascii="C39T30Lfz" w:hAnsi="C39T30Lfz"/>
        <w:spacing w:val="0"/>
        <w:w w:val="100"/>
        <w:sz w:val="56"/>
      </w:rPr>
      <w:t></w:t>
    </w:r>
    <w:r w:rsidRPr="00E00E47">
      <w:rPr>
        <w:rFonts w:ascii="C39T30Lfz" w:hAnsi="C39T30Lfz"/>
        <w:spacing w:val="0"/>
        <w:w w:val="100"/>
        <w:sz w:val="56"/>
      </w:rPr>
      <w:t></w:t>
    </w:r>
    <w:r w:rsidRPr="00E00E47">
      <w:rPr>
        <w:rFonts w:ascii="C39T30Lfz" w:hAnsi="C39T30Lfz"/>
        <w:spacing w:val="0"/>
        <w:w w:val="100"/>
        <w:sz w:val="56"/>
      </w:rPr>
      <w:t></w:t>
    </w:r>
    <w:r w:rsidRPr="00E00E47">
      <w:rPr>
        <w:rFonts w:ascii="C39T30Lfz" w:hAnsi="C39T30Lfz"/>
        <w:spacing w:val="0"/>
        <w:w w:val="100"/>
        <w:sz w:val="56"/>
      </w:rPr>
      <w:t></w:t>
    </w:r>
    <w:r w:rsidRPr="00E00E47">
      <w:rPr>
        <w:rFonts w:ascii="C39T30Lfz" w:hAnsi="C39T30Lfz"/>
        <w:spacing w:val="0"/>
        <w:w w:val="100"/>
        <w:sz w:val="56"/>
      </w:rPr>
      <w:t></w:t>
    </w:r>
    <w:r w:rsidRPr="00E00E47">
      <w:rPr>
        <w:rFonts w:ascii="C39T30Lfz" w:hAnsi="C39T30Lfz"/>
        <w:spacing w:val="0"/>
        <w:w w:val="100"/>
        <w:sz w:val="56"/>
      </w:rPr>
      <w:t></w:t>
    </w:r>
    <w:r w:rsidRPr="00E00E47">
      <w:rPr>
        <w:rFonts w:ascii="C39T30Lfz" w:hAnsi="C39T30Lfz"/>
        <w:spacing w:val="0"/>
        <w:w w:val="100"/>
        <w:sz w:val="56"/>
      </w:rPr>
      <w:t></w:t>
    </w:r>
    <w:r w:rsidRPr="00E00E4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SG/2017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08" w:rsidRPr="001075E9" w:rsidRDefault="00B3510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35108" w:rsidRDefault="00B3510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00E47" w:rsidRPr="007427CD" w:rsidRDefault="00E00E47" w:rsidP="00E00E47">
      <w:pPr>
        <w:pStyle w:val="FootnoteText"/>
        <w:spacing w:after="240"/>
        <w:rPr>
          <w:lang w:val="ru-RU"/>
        </w:rPr>
      </w:pPr>
      <w:r>
        <w:rPr>
          <w:lang w:val="en-US"/>
        </w:rPr>
        <w:tab/>
      </w:r>
      <w:r w:rsidRPr="00E00E47">
        <w:rPr>
          <w:rStyle w:val="FootnoteReference"/>
          <w:vertAlign w:val="baseline"/>
          <w:lang w:val="ru-RU"/>
        </w:rPr>
        <w:t>*</w:t>
      </w:r>
      <w:r w:rsidRPr="00EA7967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EA7967">
        <w:rPr>
          <w:lang w:val="ru-RU"/>
        </w:rPr>
        <w:br/>
        <w:t>на 201</w:t>
      </w:r>
      <w:r>
        <w:rPr>
          <w:lang w:val="ru-RU"/>
        </w:rPr>
        <w:t>6</w:t>
      </w:r>
      <w:r w:rsidRPr="00EA7967">
        <w:rPr>
          <w:lang w:val="ru-RU"/>
        </w:rPr>
        <w:t>−201</w:t>
      </w:r>
      <w:r>
        <w:rPr>
          <w:lang w:val="ru-RU"/>
        </w:rPr>
        <w:t>7</w:t>
      </w:r>
      <w:r w:rsidRPr="00EA7967">
        <w:rPr>
          <w:lang w:val="ru-RU"/>
        </w:rPr>
        <w:t xml:space="preserve"> годы (</w:t>
      </w:r>
      <w:r w:rsidRPr="006A09CF">
        <w:t>ECE</w:t>
      </w:r>
      <w:r w:rsidRPr="00EA7967">
        <w:rPr>
          <w:lang w:val="ru-RU"/>
        </w:rPr>
        <w:t>/</w:t>
      </w:r>
      <w:r w:rsidRPr="006A09CF">
        <w:t>TRANS</w:t>
      </w:r>
      <w:r w:rsidRPr="00EA7967">
        <w:rPr>
          <w:lang w:val="ru-RU"/>
        </w:rPr>
        <w:t>/2</w:t>
      </w:r>
      <w:r>
        <w:rPr>
          <w:lang w:val="ru-RU"/>
        </w:rPr>
        <w:t>5</w:t>
      </w:r>
      <w:r w:rsidRPr="00EA7967">
        <w:rPr>
          <w:lang w:val="ru-RU"/>
        </w:rPr>
        <w:t>4, пункт</w:t>
      </w:r>
      <w:r>
        <w:rPr>
          <w:lang w:val="ru-RU"/>
        </w:rPr>
        <w:t>159,</w:t>
      </w:r>
      <w:r w:rsidRPr="00EA7967">
        <w:rPr>
          <w:lang w:val="ru-RU"/>
        </w:rPr>
        <w:t xml:space="preserve"> и </w:t>
      </w:r>
      <w:r w:rsidRPr="006A09CF">
        <w:t>ECE</w:t>
      </w:r>
      <w:r w:rsidRPr="00EA7967">
        <w:rPr>
          <w:lang w:val="ru-RU"/>
        </w:rPr>
        <w:t>/</w:t>
      </w:r>
      <w:r w:rsidRPr="006A09CF">
        <w:t>TRANS</w:t>
      </w:r>
      <w:r>
        <w:rPr>
          <w:lang w:val="ru-RU"/>
        </w:rPr>
        <w:t>/2016</w:t>
      </w:r>
      <w:r w:rsidRPr="00EA7967">
        <w:rPr>
          <w:lang w:val="ru-RU"/>
        </w:rPr>
        <w:t>/</w:t>
      </w:r>
      <w:r>
        <w:rPr>
          <w:lang w:val="ru-RU"/>
        </w:rPr>
        <w:t>28/</w:t>
      </w:r>
      <w:r>
        <w:rPr>
          <w:lang w:val="en-US"/>
        </w:rPr>
        <w:t>Add</w:t>
      </w:r>
      <w:r>
        <w:rPr>
          <w:lang w:val="ru-RU"/>
        </w:rPr>
        <w:t>.1</w:t>
      </w:r>
      <w:r w:rsidRPr="00EA7967">
        <w:rPr>
          <w:lang w:val="ru-RU"/>
        </w:rPr>
        <w:t xml:space="preserve">, </w:t>
      </w:r>
      <w:r>
        <w:rPr>
          <w:lang w:val="ru-RU"/>
        </w:rPr>
        <w:t>направление деятельности 3.1</w:t>
      </w:r>
      <w:r w:rsidRPr="00EA7967">
        <w:rPr>
          <w:lang w:val="ru-RU"/>
        </w:rPr>
        <w:t>) Всемирный форум будет разрабатывать, согласовывать и</w:t>
      </w:r>
      <w:r w:rsidRPr="006A09CF">
        <w:rPr>
          <w:lang w:val="en-US"/>
        </w:rPr>
        <w:t> </w:t>
      </w:r>
      <w:r w:rsidRPr="00EA7967">
        <w:rPr>
          <w:lang w:val="ru-RU"/>
        </w:rPr>
        <w:t xml:space="preserve">обновлять правила в целях </w:t>
      </w:r>
      <w:r w:rsidRPr="00E00E47">
        <w:t>улучшения</w:t>
      </w:r>
      <w:r w:rsidRPr="00EA7967">
        <w:rPr>
          <w:lang w:val="ru-RU"/>
        </w:rPr>
        <w:t xml:space="preserve"> характеристик транспортных средств. </w:t>
      </w:r>
      <w:r w:rsidRPr="007427CD">
        <w:rPr>
          <w:lang w:val="ru-RU"/>
        </w:rPr>
        <w:t>Настоящий документ представлен в соответствии с этим мандатом.</w:t>
      </w:r>
    </w:p>
  </w:footnote>
  <w:footnote w:id="2">
    <w:p w:rsidR="00175F11" w:rsidRPr="00175F11" w:rsidRDefault="00175F11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proofErr w:type="spellStart"/>
      <w:proofErr w:type="gramStart"/>
      <w:r w:rsidRPr="00175F11">
        <w:rPr>
          <w:lang w:val="en-US"/>
        </w:rPr>
        <w:t>Kartal</w:t>
      </w:r>
      <w:proofErr w:type="spellEnd"/>
      <w:r w:rsidRPr="00175F11">
        <w:rPr>
          <w:lang w:val="en-US"/>
        </w:rPr>
        <w:t xml:space="preserve">, F., </w:t>
      </w:r>
      <w:proofErr w:type="spellStart"/>
      <w:r w:rsidRPr="00175F11">
        <w:rPr>
          <w:lang w:val="en-US"/>
        </w:rPr>
        <w:t>Kisioglu</w:t>
      </w:r>
      <w:proofErr w:type="spellEnd"/>
      <w:r w:rsidRPr="00175F11">
        <w:rPr>
          <w:lang w:val="en-US"/>
        </w:rPr>
        <w:t>, Y. «Fatigue Performance Evaluations of Vehicle Toroidal</w:t>
      </w:r>
      <w:r w:rsidRPr="00175F11">
        <w:rPr>
          <w:lang w:val="en-US"/>
        </w:rPr>
        <w:br/>
        <w:t>Liquefied Petroleum Gas Fuel Tanks» Journal of Pressure Vessel Technology, August 2017, Vol. 139.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47" w:rsidRPr="00E00E47" w:rsidRDefault="000C10B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30FCD">
      <w:t>ECE/TRANS/WP.29/GRSG/2017/22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47" w:rsidRPr="00E00E47" w:rsidRDefault="000C10B9" w:rsidP="00E00E4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30FCD">
      <w:t>ECE/TRANS/WP.29/GRSG/2017/22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F83A7C"/>
    <w:multiLevelType w:val="multilevel"/>
    <w:tmpl w:val="AE9E80B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1"/>
  </w:num>
  <w:num w:numId="2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08"/>
    <w:rsid w:val="00033EE1"/>
    <w:rsid w:val="00042B72"/>
    <w:rsid w:val="000558BD"/>
    <w:rsid w:val="000655A0"/>
    <w:rsid w:val="000B57E7"/>
    <w:rsid w:val="000B6373"/>
    <w:rsid w:val="000C10B9"/>
    <w:rsid w:val="000E4E5B"/>
    <w:rsid w:val="000F09DF"/>
    <w:rsid w:val="000F61B2"/>
    <w:rsid w:val="001075E9"/>
    <w:rsid w:val="0014152F"/>
    <w:rsid w:val="00175F11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105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97E69"/>
    <w:rsid w:val="004E05B7"/>
    <w:rsid w:val="0050108D"/>
    <w:rsid w:val="00513081"/>
    <w:rsid w:val="00517901"/>
    <w:rsid w:val="00526683"/>
    <w:rsid w:val="00530FCD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52EB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A6A67"/>
    <w:rsid w:val="00AB4B51"/>
    <w:rsid w:val="00B10CC7"/>
    <w:rsid w:val="00B35108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00E47"/>
    <w:rsid w:val="00E01C7F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5208</Characters>
  <Application>Microsoft Office Word</Application>
  <DocSecurity>4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ECE/TRANS/WP.29/GRSG/2017/22</vt:lpstr>
      <vt:lpstr>ECE/TRANS/WP.29/GRSG/2017/22</vt:lpstr>
      <vt:lpstr>A/</vt:lpstr>
    </vt:vector>
  </TitlesOfParts>
  <Company>DCM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ECE/TRANS/WP.29/GRSG/2017/22</dc:title>
  <dc:creator>Kisseleva</dc:creator>
  <cp:lastModifiedBy>Benedicte Boudol</cp:lastModifiedBy>
  <cp:revision>2</cp:revision>
  <cp:lastPrinted>2017-08-16T10:31:00Z</cp:lastPrinted>
  <dcterms:created xsi:type="dcterms:W3CDTF">2017-08-17T13:29:00Z</dcterms:created>
  <dcterms:modified xsi:type="dcterms:W3CDTF">2017-08-17T13:29:00Z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