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75EE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75EEC" w:rsidP="00F75EEC">
            <w:pPr>
              <w:jc w:val="right"/>
            </w:pPr>
            <w:r w:rsidRPr="00F75EEC">
              <w:rPr>
                <w:sz w:val="40"/>
              </w:rPr>
              <w:t>ECE</w:t>
            </w:r>
            <w:r>
              <w:t>/TRANS/WP.29/GRSG/2017/18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75EE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F75EEC" w:rsidRDefault="00F75EEC" w:rsidP="00F75EEC">
            <w:pPr>
              <w:spacing w:line="240" w:lineRule="exact"/>
            </w:pPr>
            <w:r>
              <w:t>14 juillet 2017</w:t>
            </w:r>
          </w:p>
          <w:p w:rsidR="00F75EEC" w:rsidRDefault="00F75EEC" w:rsidP="00F75EEC">
            <w:pPr>
              <w:spacing w:line="240" w:lineRule="exact"/>
            </w:pPr>
            <w:r>
              <w:t>Français</w:t>
            </w:r>
          </w:p>
          <w:p w:rsidR="00F75EEC" w:rsidRPr="00DB58B5" w:rsidRDefault="00F75EEC" w:rsidP="00F75EE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E320EC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D3D1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E320EC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320EC" w:rsidRPr="00E320EC" w:rsidRDefault="00E320EC" w:rsidP="00E320EC">
      <w:pPr>
        <w:spacing w:after="120"/>
        <w:rPr>
          <w:b/>
          <w:sz w:val="24"/>
          <w:szCs w:val="24"/>
        </w:rPr>
      </w:pPr>
      <w:r w:rsidRPr="00E320EC">
        <w:rPr>
          <w:b/>
          <w:sz w:val="24"/>
          <w:szCs w:val="24"/>
        </w:rPr>
        <w:t>Forum mondial de</w:t>
      </w:r>
      <w:r>
        <w:rPr>
          <w:b/>
          <w:sz w:val="24"/>
          <w:szCs w:val="24"/>
        </w:rPr>
        <w:t xml:space="preserve"> l</w:t>
      </w:r>
      <w:r w:rsidR="000D3D1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E320EC">
        <w:rPr>
          <w:b/>
          <w:sz w:val="24"/>
          <w:szCs w:val="24"/>
        </w:rPr>
        <w:t>concernant les véhicules</w:t>
      </w:r>
    </w:p>
    <w:p w:rsidR="00E320EC" w:rsidRPr="00E073F6" w:rsidRDefault="00E320EC" w:rsidP="00E320EC">
      <w:pPr>
        <w:spacing w:after="120"/>
        <w:rPr>
          <w:b/>
        </w:rPr>
      </w:pPr>
      <w:r w:rsidRPr="00E073F6">
        <w:rPr>
          <w:b/>
        </w:rPr>
        <w:t xml:space="preserve">Groupe de travail des dispositions générales de sécurité </w:t>
      </w:r>
    </w:p>
    <w:p w:rsidR="00E320EC" w:rsidRPr="00E073F6" w:rsidRDefault="00E320EC" w:rsidP="00E320EC">
      <w:pPr>
        <w:rPr>
          <w:b/>
        </w:rPr>
      </w:pPr>
      <w:r w:rsidRPr="00E073F6">
        <w:rPr>
          <w:b/>
        </w:rPr>
        <w:t>113</w:t>
      </w:r>
      <w:r w:rsidRPr="00264A70">
        <w:rPr>
          <w:b/>
          <w:vertAlign w:val="superscript"/>
        </w:rPr>
        <w:t>e</w:t>
      </w:r>
      <w:r>
        <w:rPr>
          <w:b/>
        </w:rPr>
        <w:t xml:space="preserve"> </w:t>
      </w:r>
      <w:r w:rsidRPr="00E073F6">
        <w:rPr>
          <w:b/>
        </w:rPr>
        <w:t>session</w:t>
      </w:r>
    </w:p>
    <w:p w:rsidR="00E320EC" w:rsidRPr="00E073F6" w:rsidRDefault="00E320EC" w:rsidP="00E320EC">
      <w:r w:rsidRPr="00E073F6">
        <w:t>Genève, 10-13 octobre 2017</w:t>
      </w:r>
    </w:p>
    <w:p w:rsidR="00E320EC" w:rsidRPr="00E073F6" w:rsidRDefault="00E320EC" w:rsidP="00E320EC">
      <w:r w:rsidRPr="00E073F6">
        <w:t>Point 10 de</w:t>
      </w:r>
      <w:r>
        <w:t xml:space="preserve"> l</w:t>
      </w:r>
      <w:r w:rsidR="000D3D14">
        <w:t>’</w:t>
      </w:r>
      <w:r>
        <w:t>ordre du jour provisoire</w:t>
      </w:r>
    </w:p>
    <w:p w:rsidR="00E320EC" w:rsidRPr="00E073F6" w:rsidRDefault="00E320EC" w:rsidP="00E320EC">
      <w:pPr>
        <w:rPr>
          <w:b/>
        </w:rPr>
      </w:pPr>
      <w:r w:rsidRPr="00E073F6">
        <w:rPr>
          <w:b/>
        </w:rPr>
        <w:t xml:space="preserve">Règlement </w:t>
      </w:r>
      <w:r w:rsidRPr="00E320EC">
        <w:rPr>
          <w:rFonts w:eastAsia="MS Mincho"/>
          <w:b/>
        </w:rPr>
        <w:t>n</w:t>
      </w:r>
      <w:r w:rsidRPr="00E320EC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E073F6">
        <w:rPr>
          <w:b/>
        </w:rPr>
        <w:t>121 (Identification des commandes</w:t>
      </w:r>
      <w:proofErr w:type="gramStart"/>
      <w:r>
        <w:rPr>
          <w:b/>
        </w:rPr>
        <w:t>,</w:t>
      </w:r>
      <w:proofErr w:type="gramEnd"/>
      <w:r>
        <w:rPr>
          <w:b/>
        </w:rPr>
        <w:br/>
        <w:t>des témoins et des indicateurs</w:t>
      </w:r>
      <w:r w:rsidRPr="00E073F6">
        <w:rPr>
          <w:b/>
        </w:rPr>
        <w:t>)</w:t>
      </w:r>
    </w:p>
    <w:p w:rsidR="00E320EC" w:rsidRPr="00E073F6" w:rsidRDefault="00E320EC" w:rsidP="00E320EC">
      <w:pPr>
        <w:pStyle w:val="HChG"/>
      </w:pPr>
      <w:r>
        <w:tab/>
      </w:r>
      <w:r>
        <w:tab/>
      </w:r>
      <w:r w:rsidRPr="00E073F6">
        <w:t>Proposition de complément 10 à la série originale d</w:t>
      </w:r>
      <w:r w:rsidR="000D3D14">
        <w:t>’</w:t>
      </w:r>
      <w:r w:rsidRPr="00E073F6">
        <w:t xml:space="preserve">amendements </w:t>
      </w:r>
      <w:r>
        <w:t>et de complément 2 à la série 01 d</w:t>
      </w:r>
      <w:r w:rsidR="000D3D14">
        <w:t>’</w:t>
      </w:r>
      <w:r>
        <w:t xml:space="preserve">amendements </w:t>
      </w:r>
      <w:r w:rsidRPr="00E073F6"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E073F6">
        <w:t>121 (Identification</w:t>
      </w:r>
      <w:r>
        <w:br/>
        <w:t>des commandes</w:t>
      </w:r>
      <w:r w:rsidRPr="00E073F6">
        <w:t xml:space="preserve">, </w:t>
      </w:r>
      <w:r>
        <w:t>des témoins et des indicateurs</w:t>
      </w:r>
      <w:r w:rsidRPr="00E073F6">
        <w:t>)</w:t>
      </w:r>
    </w:p>
    <w:p w:rsidR="00E320EC" w:rsidRPr="00580337" w:rsidRDefault="00E320EC" w:rsidP="00E320EC">
      <w:pPr>
        <w:pStyle w:val="H1G"/>
        <w:rPr>
          <w:b w:val="0"/>
          <w:vertAlign w:val="superscript"/>
        </w:rPr>
      </w:pPr>
      <w:r>
        <w:tab/>
      </w:r>
      <w:r>
        <w:tab/>
      </w:r>
      <w:r w:rsidRPr="00E073F6">
        <w:t>Communication de l</w:t>
      </w:r>
      <w:r w:rsidR="000D3D14">
        <w:t>’</w:t>
      </w:r>
      <w:r w:rsidRPr="00E073F6">
        <w:t>expert de l</w:t>
      </w:r>
      <w:r w:rsidR="000D3D14">
        <w:t>’</w:t>
      </w:r>
      <w:r w:rsidR="00580337">
        <w:t>Organisation internationale</w:t>
      </w:r>
      <w:r w:rsidR="00580337">
        <w:br/>
      </w:r>
      <w:r>
        <w:t xml:space="preserve">des </w:t>
      </w:r>
      <w:r w:rsidRPr="00E073F6">
        <w:t>constructeurs d</w:t>
      </w:r>
      <w:r w:rsidR="000D3D14">
        <w:t>’</w:t>
      </w:r>
      <w:r w:rsidRPr="00E073F6">
        <w:t>automobiles</w:t>
      </w:r>
      <w:r w:rsidRPr="005803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320EC" w:rsidRPr="002A006D" w:rsidRDefault="00E320EC" w:rsidP="00853F5C">
      <w:pPr>
        <w:pStyle w:val="SingleTxtG"/>
        <w:ind w:firstLine="567"/>
      </w:pPr>
      <w:r w:rsidRPr="00E073F6">
        <w:t>Le texte reproduit ci-après, établi par l</w:t>
      </w:r>
      <w:r w:rsidR="000D3D14">
        <w:t>’</w:t>
      </w:r>
      <w:r w:rsidRPr="00E073F6">
        <w:t>expert de l</w:t>
      </w:r>
      <w:r w:rsidR="000D3D14">
        <w:t>’</w:t>
      </w:r>
      <w:r w:rsidRPr="00E073F6">
        <w:t>Organisation internationale des constructeurs d</w:t>
      </w:r>
      <w:r w:rsidR="000D3D14">
        <w:t>’</w:t>
      </w:r>
      <w:r w:rsidRPr="00E073F6">
        <w:t>automobiles (OICA)</w:t>
      </w:r>
      <w:r>
        <w:t>, vise à préciser l</w:t>
      </w:r>
      <w:r w:rsidR="000D3D14">
        <w:t>’</w:t>
      </w:r>
      <w:r>
        <w:t>applic</w:t>
      </w:r>
      <w:r w:rsidR="002301DA">
        <w:t>ation de la note de bas de page </w:t>
      </w:r>
      <w:r w:rsidRPr="002301DA">
        <w:t xml:space="preserve">18 </w:t>
      </w:r>
      <w:r w:rsidRPr="005976AB">
        <w:t>dans le cas o</w:t>
      </w:r>
      <w:r>
        <w:t xml:space="preserve">ù les témoins </w:t>
      </w:r>
      <w:r w:rsidR="00853F5C">
        <w:rPr>
          <w:rFonts w:eastAsia="MS Mincho"/>
        </w:rPr>
        <w:t>n</w:t>
      </w:r>
      <w:r w:rsidR="00853F5C">
        <w:rPr>
          <w:rFonts w:eastAsia="MS Mincho"/>
          <w:vertAlign w:val="superscript"/>
        </w:rPr>
        <w:t>o</w:t>
      </w:r>
      <w:r w:rsidR="00853F5C">
        <w:t> </w:t>
      </w:r>
      <w:r w:rsidRPr="005976AB">
        <w:t xml:space="preserve">1 </w:t>
      </w:r>
      <w:r>
        <w:t>et</w:t>
      </w:r>
      <w:r w:rsidRPr="005976AB">
        <w:t xml:space="preserve"> </w:t>
      </w:r>
      <w:r w:rsidR="00853F5C">
        <w:rPr>
          <w:rFonts w:eastAsia="MS Mincho"/>
        </w:rPr>
        <w:t>n</w:t>
      </w:r>
      <w:r w:rsidR="00853F5C">
        <w:rPr>
          <w:rFonts w:eastAsia="MS Mincho"/>
          <w:vertAlign w:val="superscript"/>
        </w:rPr>
        <w:t>o</w:t>
      </w:r>
      <w:r w:rsidR="00853F5C">
        <w:t> </w:t>
      </w:r>
      <w:r w:rsidRPr="005976AB">
        <w:t xml:space="preserve">19 </w:t>
      </w:r>
      <w:r>
        <w:t>sont combinés</w:t>
      </w:r>
      <w:r w:rsidRPr="005976AB">
        <w:t>. Il est fondé sur le document informel GRSG-112-24 diffusé lors de la 112</w:t>
      </w:r>
      <w:r w:rsidRPr="00264A70">
        <w:rPr>
          <w:vertAlign w:val="superscript"/>
        </w:rPr>
        <w:t>e</w:t>
      </w:r>
      <w:r>
        <w:t xml:space="preserve"> session </w:t>
      </w:r>
      <w:r w:rsidRPr="005976AB">
        <w:t>du Groupe de travail des dispositions générales de sécurité (GRSG) (</w:t>
      </w:r>
      <w:r>
        <w:t>voir rapport</w:t>
      </w:r>
      <w:r w:rsidRPr="005976AB">
        <w:t xml:space="preserve"> ECE/TRANS/WP.29/GRSG/91, par.</w:t>
      </w:r>
      <w:r w:rsidR="007547A9">
        <w:t> </w:t>
      </w:r>
      <w:r w:rsidRPr="002A006D">
        <w:t xml:space="preserve">39). </w:t>
      </w:r>
      <w:r w:rsidR="002301DA">
        <w:t>Les </w:t>
      </w:r>
      <w:r>
        <w:t>modifications qu</w:t>
      </w:r>
      <w:r w:rsidR="000D3D14">
        <w:t>’</w:t>
      </w:r>
      <w:r>
        <w:t>il est proposé d</w:t>
      </w:r>
      <w:r w:rsidR="000D3D14">
        <w:t>’</w:t>
      </w:r>
      <w:r>
        <w:t xml:space="preserve">apporter au texte actuel du Règlement </w:t>
      </w:r>
      <w:r w:rsidR="00853F5C">
        <w:rPr>
          <w:rFonts w:eastAsia="MS Mincho"/>
        </w:rPr>
        <w:t>n</w:t>
      </w:r>
      <w:r w:rsidR="00853F5C">
        <w:rPr>
          <w:rFonts w:eastAsia="MS Mincho"/>
          <w:vertAlign w:val="superscript"/>
        </w:rPr>
        <w:t>o</w:t>
      </w:r>
      <w:r w:rsidR="00853F5C">
        <w:t> </w:t>
      </w:r>
      <w:r w:rsidRPr="002A006D">
        <w:t xml:space="preserve">121 </w:t>
      </w:r>
      <w:r>
        <w:t>figurent en caractères gras pour les ajouts</w:t>
      </w:r>
      <w:r w:rsidRPr="002A006D">
        <w:t>.</w:t>
      </w:r>
    </w:p>
    <w:p w:rsidR="00E320EC" w:rsidRPr="00655E5A" w:rsidRDefault="00E320EC" w:rsidP="002301DA">
      <w:pPr>
        <w:pStyle w:val="HChG"/>
      </w:pPr>
      <w:r w:rsidRPr="00655E5A">
        <w:br w:type="page"/>
      </w:r>
      <w:r w:rsidR="002301DA">
        <w:lastRenderedPageBreak/>
        <w:tab/>
      </w:r>
      <w:r w:rsidRPr="00655E5A">
        <w:t>I.</w:t>
      </w:r>
      <w:r w:rsidRPr="00655E5A">
        <w:tab/>
        <w:t>Proposition</w:t>
      </w:r>
    </w:p>
    <w:p w:rsidR="00E320EC" w:rsidRPr="002A006D" w:rsidRDefault="00E320EC" w:rsidP="002301DA">
      <w:pPr>
        <w:pStyle w:val="SingleTxtG"/>
      </w:pPr>
      <w:r w:rsidRPr="002301DA">
        <w:rPr>
          <w:i/>
        </w:rPr>
        <w:t>Tableau 1, note de bas de page 18</w:t>
      </w:r>
      <w:r w:rsidRPr="002A006D">
        <w:t xml:space="preserve">, </w:t>
      </w:r>
      <w:proofErr w:type="gramStart"/>
      <w:r>
        <w:t>modifier</w:t>
      </w:r>
      <w:proofErr w:type="gramEnd"/>
      <w:r>
        <w:t xml:space="preserve"> comme suit</w:t>
      </w:r>
      <w:r w:rsidR="000D3D14">
        <w:t xml:space="preserve"> 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1380"/>
        <w:gridCol w:w="1381"/>
        <w:gridCol w:w="1381"/>
        <w:gridCol w:w="1381"/>
      </w:tblGrid>
      <w:tr w:rsidR="00235E67" w:rsidRPr="00235E67" w:rsidTr="00A13378">
        <w:trPr>
          <w:cantSplit/>
          <w:tblHeader/>
        </w:trPr>
        <w:tc>
          <w:tcPr>
            <w:tcW w:w="431" w:type="dxa"/>
            <w:shd w:val="clear" w:color="auto" w:fill="auto"/>
            <w:vAlign w:val="bottom"/>
          </w:tcPr>
          <w:p w:rsidR="00E320EC" w:rsidRPr="00235E67" w:rsidRDefault="002301DA" w:rsidP="00A13378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235E67">
              <w:rPr>
                <w:i/>
                <w:sz w:val="16"/>
              </w:rPr>
              <w:t>N</w:t>
            </w:r>
            <w:r w:rsidRPr="00235E67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20EC" w:rsidRPr="00235E67" w:rsidRDefault="00E320EC" w:rsidP="00A13378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235E67">
              <w:rPr>
                <w:i/>
                <w:sz w:val="16"/>
              </w:rPr>
              <w:t>Colonne 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E320EC" w:rsidRPr="00235E67" w:rsidRDefault="00E320EC" w:rsidP="00A13378">
            <w:pPr>
              <w:spacing w:before="60" w:after="60" w:line="200" w:lineRule="exact"/>
              <w:ind w:left="57" w:right="57"/>
              <w:rPr>
                <w:bCs/>
                <w:i/>
                <w:sz w:val="16"/>
              </w:rPr>
            </w:pPr>
            <w:r w:rsidRPr="00235E67">
              <w:rPr>
                <w:bCs/>
                <w:i/>
                <w:sz w:val="16"/>
              </w:rPr>
              <w:t>Colonne 2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E320EC" w:rsidRPr="00235E67" w:rsidRDefault="00E320EC" w:rsidP="00A13378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235E67">
              <w:rPr>
                <w:i/>
                <w:sz w:val="16"/>
              </w:rPr>
              <w:t>Colonne 3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E320EC" w:rsidRPr="00235E67" w:rsidRDefault="00E320EC" w:rsidP="00A13378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235E67">
              <w:rPr>
                <w:i/>
                <w:sz w:val="16"/>
              </w:rPr>
              <w:t>Colonne 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E320EC" w:rsidRPr="00235E67" w:rsidRDefault="00E320EC" w:rsidP="00A13378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235E67">
              <w:rPr>
                <w:i/>
                <w:sz w:val="16"/>
              </w:rPr>
              <w:t>Colonne 5</w:t>
            </w:r>
          </w:p>
        </w:tc>
      </w:tr>
      <w:tr w:rsidR="00A13378" w:rsidRPr="00A13378" w:rsidTr="00A13378">
        <w:trPr>
          <w:cantSplit/>
          <w:tblHeader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bCs/>
                <w:i/>
                <w:sz w:val="16"/>
                <w:szCs w:val="16"/>
              </w:rPr>
            </w:pPr>
            <w:r w:rsidRPr="00A13378">
              <w:rPr>
                <w:bCs/>
                <w:i/>
                <w:sz w:val="16"/>
                <w:szCs w:val="16"/>
              </w:rPr>
              <w:t>Équipement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bCs/>
                <w:i/>
                <w:sz w:val="16"/>
                <w:szCs w:val="16"/>
              </w:rPr>
            </w:pPr>
            <w:r w:rsidRPr="00A13378">
              <w:rPr>
                <w:bCs/>
                <w:i/>
                <w:sz w:val="16"/>
                <w:szCs w:val="16"/>
              </w:rPr>
              <w:t>Symbole</w:t>
            </w:r>
            <w:r w:rsidRPr="00327C8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bCs/>
                <w:i/>
                <w:sz w:val="16"/>
                <w:szCs w:val="16"/>
              </w:rPr>
            </w:pPr>
            <w:r w:rsidRPr="00A13378">
              <w:rPr>
                <w:bCs/>
                <w:i/>
                <w:sz w:val="16"/>
                <w:szCs w:val="16"/>
              </w:rPr>
              <w:t>Fonction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bCs/>
                <w:i/>
                <w:sz w:val="16"/>
                <w:szCs w:val="16"/>
              </w:rPr>
            </w:pPr>
            <w:r w:rsidRPr="00A13378">
              <w:rPr>
                <w:bCs/>
                <w:i/>
                <w:sz w:val="16"/>
                <w:szCs w:val="16"/>
              </w:rPr>
              <w:t>Éclairage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  <w:rPr>
                <w:bCs/>
                <w:i/>
                <w:sz w:val="16"/>
                <w:szCs w:val="16"/>
              </w:rPr>
            </w:pPr>
            <w:r w:rsidRPr="00A13378">
              <w:rPr>
                <w:bCs/>
                <w:i/>
                <w:sz w:val="16"/>
                <w:szCs w:val="16"/>
              </w:rPr>
              <w:t>Couleur</w:t>
            </w:r>
          </w:p>
        </w:tc>
      </w:tr>
      <w:tr w:rsidR="00A13378" w:rsidRPr="00235E67" w:rsidTr="00A3251A">
        <w:trPr>
          <w:cantSplit/>
        </w:trPr>
        <w:tc>
          <w:tcPr>
            <w:tcW w:w="431" w:type="dxa"/>
            <w:tcBorders>
              <w:bottom w:val="nil"/>
            </w:tcBorders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1.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320EC" w:rsidRPr="00A13378" w:rsidRDefault="00E320EC" w:rsidP="00A13378">
            <w:pPr>
              <w:spacing w:before="60" w:after="60"/>
              <w:ind w:left="57" w:right="57"/>
            </w:pPr>
            <w:r w:rsidRPr="00235E67">
              <w:t>Interrupteur général d</w:t>
            </w:r>
            <w:r w:rsidR="000D3D14">
              <w:t>’</w:t>
            </w:r>
            <w:r w:rsidRPr="00235E67">
              <w:t>éclairage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  <w:vAlign w:val="center"/>
          </w:tcPr>
          <w:p w:rsidR="00E320EC" w:rsidRPr="00235E67" w:rsidRDefault="00C50380" w:rsidP="00A3251A">
            <w:pPr>
              <w:spacing w:before="60" w:after="60"/>
              <w:ind w:left="57" w:right="57"/>
              <w:rPr>
                <w:bCs/>
              </w:rPr>
            </w:pPr>
            <w:r w:rsidRPr="00235E67">
              <w:rPr>
                <w:noProof/>
                <w:lang w:val="en-GB" w:eastAsia="en-GB"/>
              </w:rPr>
              <w:drawing>
                <wp:inline distT="0" distB="0" distL="0" distR="0" wp14:anchorId="642C6329" wp14:editId="15E519B4">
                  <wp:extent cx="263525" cy="249555"/>
                  <wp:effectExtent l="0" t="0" r="3175" b="0"/>
                  <wp:docPr id="5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0EC" w:rsidRPr="00A13378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  <w:rPr>
                <w:bCs/>
              </w:rPr>
            </w:pPr>
            <w:r w:rsidRPr="00235E67">
              <w:rPr>
                <w:bCs/>
              </w:rPr>
              <w:t>Commande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  <w:rPr>
                <w:bCs/>
              </w:rPr>
            </w:pPr>
            <w:r w:rsidRPr="00235E67">
              <w:rPr>
                <w:bCs/>
              </w:rPr>
              <w:t>Non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  <w:rPr>
                <w:bCs/>
              </w:rPr>
            </w:pPr>
          </w:p>
        </w:tc>
      </w:tr>
      <w:tr w:rsidR="00A13378" w:rsidRPr="00235E67" w:rsidTr="00A13378">
        <w:trPr>
          <w:cantSplit/>
        </w:trPr>
        <w:tc>
          <w:tcPr>
            <w:tcW w:w="431" w:type="dxa"/>
            <w:tcBorders>
              <w:top w:val="nil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  <w:r w:rsidRPr="00235E67">
              <w:t>Le témoin peut ne pas faire office de témoin pour les feux de position (latéraux)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  <w:r w:rsidRPr="00235E67">
              <w:t>Témoin</w:t>
            </w:r>
            <w:r w:rsidRPr="00A13378">
              <w:rPr>
                <w:i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  <w:r w:rsidRPr="00235E67">
              <w:t>Oui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A13378" w:rsidRPr="00235E67" w:rsidRDefault="00A13378" w:rsidP="00A13378">
            <w:pPr>
              <w:spacing w:before="60" w:after="60"/>
              <w:ind w:left="57" w:right="57"/>
            </w:pPr>
            <w:r w:rsidRPr="00235E67">
              <w:t>Vert</w:t>
            </w:r>
          </w:p>
        </w:tc>
      </w:tr>
      <w:tr w:rsidR="00A13378" w:rsidRPr="00235E67" w:rsidTr="00A3251A">
        <w:trPr>
          <w:cantSplit/>
        </w:trPr>
        <w:tc>
          <w:tcPr>
            <w:tcW w:w="431" w:type="dxa"/>
            <w:vMerge w:val="restart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Feux de croisement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E320EC" w:rsidRPr="00235E67" w:rsidRDefault="00E320EC" w:rsidP="00A3251A">
            <w:pPr>
              <w:spacing w:before="60" w:after="60"/>
              <w:ind w:left="57" w:right="57"/>
              <w:rPr>
                <w:noProof/>
                <w:lang w:eastAsia="fr-FR"/>
              </w:rPr>
            </w:pPr>
            <w:r w:rsidRPr="00235E67">
              <w:rPr>
                <w:noProof/>
                <w:lang w:val="en-GB" w:eastAsia="en-GB"/>
              </w:rPr>
              <w:drawing>
                <wp:inline distT="0" distB="0" distL="0" distR="0" wp14:anchorId="6BA7966C" wp14:editId="17428F51">
                  <wp:extent cx="325755" cy="283845"/>
                  <wp:effectExtent l="0" t="0" r="0" b="1905"/>
                  <wp:docPr id="6" name="Image 43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78">
              <w:rPr>
                <w:i/>
                <w:sz w:val="18"/>
                <w:szCs w:val="18"/>
                <w:vertAlign w:val="superscript"/>
              </w:rPr>
              <w:t>1, 6, 13, 18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Commande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Non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</w:tr>
      <w:tr w:rsidR="00A13378" w:rsidRPr="00235E67" w:rsidTr="00A13378">
        <w:trPr>
          <w:cantSplit/>
        </w:trPr>
        <w:tc>
          <w:tcPr>
            <w:tcW w:w="431" w:type="dxa"/>
            <w:vMerge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  <w:tc>
          <w:tcPr>
            <w:tcW w:w="1380" w:type="dxa"/>
            <w:vMerge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  <w:rPr>
                <w:noProof/>
                <w:lang w:eastAsia="fr-FR"/>
              </w:rPr>
            </w:pP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Témoin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Oui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Vert</w:t>
            </w:r>
          </w:p>
        </w:tc>
      </w:tr>
      <w:tr w:rsidR="00A13378" w:rsidRPr="00235E67" w:rsidTr="00A13378">
        <w:trPr>
          <w:cantSplit/>
        </w:trPr>
        <w:tc>
          <w:tcPr>
            <w:tcW w:w="43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255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0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  <w:rPr>
                <w:noProof/>
                <w:lang w:eastAsia="fr-FR"/>
              </w:rPr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</w:tr>
      <w:tr w:rsidR="00A13378" w:rsidRPr="00235E67" w:rsidTr="00A3251A">
        <w:trPr>
          <w:cantSplit/>
        </w:trPr>
        <w:tc>
          <w:tcPr>
            <w:tcW w:w="431" w:type="dxa"/>
            <w:vMerge w:val="restart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19.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20EC" w:rsidRPr="00235E67" w:rsidRDefault="00E320EC" w:rsidP="0045053F">
            <w:pPr>
              <w:spacing w:before="60" w:after="60"/>
              <w:ind w:left="57" w:right="57"/>
            </w:pPr>
            <w:r w:rsidRPr="00235E67">
              <w:t>Feux de position, feux de position latéraux et/ou feux d</w:t>
            </w:r>
            <w:r w:rsidR="000D3D14">
              <w:t>’</w:t>
            </w:r>
            <w:r w:rsidRPr="00235E67">
              <w:t>encombrement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320EC" w:rsidRPr="00235E67" w:rsidRDefault="00E320EC" w:rsidP="00A3251A">
            <w:pPr>
              <w:spacing w:before="60" w:after="60"/>
              <w:ind w:left="57" w:right="57"/>
            </w:pPr>
            <w:r w:rsidRPr="00235E67">
              <w:rPr>
                <w:noProof/>
                <w:lang w:val="en-GB" w:eastAsia="en-GB"/>
              </w:rPr>
              <w:drawing>
                <wp:inline distT="0" distB="0" distL="0" distR="0" wp14:anchorId="6F80E76C" wp14:editId="3F3B01A3">
                  <wp:extent cx="422275" cy="249555"/>
                  <wp:effectExtent l="0" t="0" r="0" b="0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78">
              <w:rPr>
                <w:i/>
                <w:sz w:val="18"/>
                <w:szCs w:val="18"/>
                <w:vertAlign w:val="superscript"/>
              </w:rPr>
              <w:t>1, 6, 18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Commande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Non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</w:tr>
      <w:tr w:rsidR="00A13378" w:rsidRPr="00235E67" w:rsidTr="00A13378">
        <w:trPr>
          <w:cantSplit/>
        </w:trPr>
        <w:tc>
          <w:tcPr>
            <w:tcW w:w="431" w:type="dxa"/>
            <w:vMerge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  <w:tc>
          <w:tcPr>
            <w:tcW w:w="1380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Témoin</w:t>
            </w:r>
            <w:r w:rsidRPr="00A13378">
              <w:rPr>
                <w:i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Oui</w:t>
            </w:r>
            <w:r w:rsidRPr="00A13378">
              <w:rPr>
                <w:i/>
                <w:sz w:val="18"/>
                <w:szCs w:val="18"/>
                <w:vertAlign w:val="superscript"/>
              </w:rPr>
              <w:t>6</w:t>
            </w:r>
            <w:r w:rsidRPr="00235E67">
              <w:rPr>
                <w:szCs w:val="18"/>
                <w:vertAlign w:val="superscript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Vert</w:t>
            </w:r>
          </w:p>
        </w:tc>
      </w:tr>
      <w:tr w:rsidR="00A13378" w:rsidRPr="00235E67" w:rsidTr="00A13378">
        <w:trPr>
          <w:cantSplit/>
        </w:trPr>
        <w:tc>
          <w:tcPr>
            <w:tcW w:w="43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255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0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  <w:tc>
          <w:tcPr>
            <w:tcW w:w="1381" w:type="dxa"/>
            <w:shd w:val="clear" w:color="auto" w:fill="auto"/>
          </w:tcPr>
          <w:p w:rsidR="00E320EC" w:rsidRPr="00235E67" w:rsidRDefault="00E320EC" w:rsidP="00A13378">
            <w:pPr>
              <w:spacing w:before="60" w:after="60"/>
              <w:ind w:left="57" w:right="57"/>
            </w:pPr>
            <w:r w:rsidRPr="00235E67">
              <w:t>…</w:t>
            </w:r>
          </w:p>
        </w:tc>
      </w:tr>
    </w:tbl>
    <w:p w:rsidR="00E320EC" w:rsidRPr="002301DA" w:rsidRDefault="00E320EC" w:rsidP="00A13378">
      <w:pPr>
        <w:pStyle w:val="SingleTxtG"/>
        <w:spacing w:before="120"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  <w:vertAlign w:val="superscript"/>
        </w:rPr>
        <w:t>1</w:t>
      </w:r>
      <w:r w:rsidR="009B7176" w:rsidRPr="00F25AE2">
        <w:rPr>
          <w:sz w:val="18"/>
          <w:szCs w:val="18"/>
        </w:rPr>
        <w:t xml:space="preserve">  </w:t>
      </w:r>
      <w:r w:rsidRPr="002301DA">
        <w:rPr>
          <w:sz w:val="18"/>
          <w:szCs w:val="18"/>
        </w:rPr>
        <w:t>L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entourage des symboles peut être d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un seul tenant.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</w:rPr>
        <w:t>…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  <w:vertAlign w:val="superscript"/>
        </w:rPr>
        <w:t>6</w:t>
      </w:r>
      <w:r w:rsidR="009B7176" w:rsidRPr="00F25AE2">
        <w:rPr>
          <w:sz w:val="18"/>
          <w:szCs w:val="18"/>
        </w:rPr>
        <w:t xml:space="preserve">  </w:t>
      </w:r>
      <w:r w:rsidRPr="002301DA">
        <w:rPr>
          <w:sz w:val="18"/>
          <w:szCs w:val="18"/>
        </w:rPr>
        <w:t>Moyens d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identification distincts inutiles si cette fonction est combinée avec l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interrupteur général d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éclairage.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</w:rPr>
        <w:t>…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  <w:vertAlign w:val="superscript"/>
        </w:rPr>
        <w:t>12</w:t>
      </w:r>
      <w:r w:rsidR="009B7176" w:rsidRPr="00F25AE2">
        <w:rPr>
          <w:sz w:val="18"/>
          <w:szCs w:val="18"/>
        </w:rPr>
        <w:t xml:space="preserve">  </w:t>
      </w:r>
      <w:r w:rsidRPr="002301DA">
        <w:rPr>
          <w:sz w:val="18"/>
          <w:szCs w:val="18"/>
        </w:rPr>
        <w:t>Non exigé lorsque le tableau de bord s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éclaire automatiquement dès que l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interrupteur général d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éclairage est actionné.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sz w:val="18"/>
          <w:szCs w:val="18"/>
        </w:rPr>
      </w:pPr>
      <w:r w:rsidRPr="002301DA">
        <w:rPr>
          <w:sz w:val="18"/>
          <w:szCs w:val="18"/>
        </w:rPr>
        <w:t>…</w:t>
      </w:r>
    </w:p>
    <w:p w:rsidR="00E320EC" w:rsidRPr="002301DA" w:rsidRDefault="00E320EC" w:rsidP="00A13378">
      <w:pPr>
        <w:pStyle w:val="SingleTxtG"/>
        <w:spacing w:after="0"/>
        <w:ind w:right="0" w:firstLine="170"/>
        <w:jc w:val="left"/>
        <w:rPr>
          <w:b/>
          <w:bCs/>
          <w:sz w:val="18"/>
          <w:szCs w:val="18"/>
        </w:rPr>
      </w:pPr>
      <w:r w:rsidRPr="002301DA">
        <w:rPr>
          <w:sz w:val="18"/>
          <w:szCs w:val="18"/>
          <w:vertAlign w:val="superscript"/>
        </w:rPr>
        <w:t>18</w:t>
      </w:r>
      <w:r w:rsidR="009B7176" w:rsidRPr="00F25AE2">
        <w:rPr>
          <w:bCs/>
          <w:sz w:val="18"/>
          <w:szCs w:val="18"/>
        </w:rPr>
        <w:t xml:space="preserve"> </w:t>
      </w:r>
      <w:r w:rsidR="009B7176" w:rsidRPr="00F25AE2">
        <w:rPr>
          <w:sz w:val="18"/>
          <w:szCs w:val="18"/>
        </w:rPr>
        <w:t xml:space="preserve"> </w:t>
      </w:r>
      <w:r w:rsidRPr="002301DA">
        <w:rPr>
          <w:sz w:val="18"/>
          <w:szCs w:val="18"/>
        </w:rPr>
        <w:t>Les symboles peuvent être d</w:t>
      </w:r>
      <w:r w:rsidR="000D3D14">
        <w:rPr>
          <w:sz w:val="18"/>
          <w:szCs w:val="18"/>
        </w:rPr>
        <w:t>’</w:t>
      </w:r>
      <w:r w:rsidRPr="002301DA">
        <w:rPr>
          <w:sz w:val="18"/>
          <w:szCs w:val="18"/>
        </w:rPr>
        <w:t>une autre couleur pour indiquer un changement de signification, conformément au code figurant au paragraphe 5 de la norme ISO 2575-2004.</w:t>
      </w:r>
      <w:r w:rsidR="00F25AE2">
        <w:rPr>
          <w:sz w:val="18"/>
          <w:szCs w:val="18"/>
        </w:rPr>
        <w:t xml:space="preserve"> </w:t>
      </w:r>
      <w:r w:rsidRPr="002301DA">
        <w:rPr>
          <w:b/>
          <w:sz w:val="18"/>
          <w:szCs w:val="18"/>
        </w:rPr>
        <w:t>La présente note</w:t>
      </w:r>
      <w:r w:rsidR="00F25AE2">
        <w:rPr>
          <w:b/>
          <w:sz w:val="18"/>
          <w:szCs w:val="18"/>
        </w:rPr>
        <w:t xml:space="preserve"> </w:t>
      </w:r>
      <w:r w:rsidRPr="002301DA">
        <w:rPr>
          <w:b/>
          <w:sz w:val="18"/>
          <w:szCs w:val="18"/>
        </w:rPr>
        <w:t>peut s</w:t>
      </w:r>
      <w:r w:rsidR="000D3D14">
        <w:rPr>
          <w:b/>
          <w:sz w:val="18"/>
          <w:szCs w:val="18"/>
        </w:rPr>
        <w:t>’</w:t>
      </w:r>
      <w:r w:rsidRPr="002301DA">
        <w:rPr>
          <w:b/>
          <w:sz w:val="18"/>
          <w:szCs w:val="18"/>
        </w:rPr>
        <w:t xml:space="preserve">appliquer au témoin </w:t>
      </w:r>
      <w:r w:rsidR="00C50380" w:rsidRPr="00C50380">
        <w:rPr>
          <w:rFonts w:eastAsia="MS Mincho"/>
          <w:b/>
          <w:sz w:val="18"/>
          <w:szCs w:val="18"/>
        </w:rPr>
        <w:t>n</w:t>
      </w:r>
      <w:r w:rsidR="00C50380" w:rsidRPr="00C50380">
        <w:rPr>
          <w:rFonts w:eastAsia="MS Mincho"/>
          <w:b/>
          <w:sz w:val="18"/>
          <w:szCs w:val="18"/>
          <w:vertAlign w:val="superscript"/>
        </w:rPr>
        <w:t>o</w:t>
      </w:r>
      <w:r w:rsidR="00C50380">
        <w:rPr>
          <w:b/>
          <w:sz w:val="18"/>
          <w:szCs w:val="18"/>
        </w:rPr>
        <w:t xml:space="preserve"> </w:t>
      </w:r>
      <w:r w:rsidRPr="002301DA">
        <w:rPr>
          <w:b/>
          <w:sz w:val="18"/>
          <w:szCs w:val="18"/>
        </w:rPr>
        <w:t xml:space="preserve">1 lorsque les témoins </w:t>
      </w:r>
      <w:r w:rsidR="00E8176B" w:rsidRPr="00E8176B">
        <w:rPr>
          <w:rFonts w:eastAsia="MS Mincho"/>
          <w:b/>
          <w:sz w:val="18"/>
          <w:szCs w:val="18"/>
        </w:rPr>
        <w:t>n</w:t>
      </w:r>
      <w:r w:rsidR="00E8176B" w:rsidRPr="00E8176B">
        <w:rPr>
          <w:rFonts w:eastAsia="MS Mincho"/>
          <w:b/>
          <w:sz w:val="18"/>
          <w:szCs w:val="18"/>
          <w:vertAlign w:val="superscript"/>
        </w:rPr>
        <w:t>o</w:t>
      </w:r>
      <w:r w:rsidR="00E8176B">
        <w:rPr>
          <w:b/>
          <w:sz w:val="18"/>
          <w:szCs w:val="18"/>
        </w:rPr>
        <w:t> </w:t>
      </w:r>
      <w:r w:rsidRPr="002301DA">
        <w:rPr>
          <w:b/>
          <w:sz w:val="18"/>
          <w:szCs w:val="18"/>
        </w:rPr>
        <w:t xml:space="preserve">1 et </w:t>
      </w:r>
      <w:r w:rsidR="00E8176B" w:rsidRPr="00E8176B">
        <w:rPr>
          <w:rFonts w:eastAsia="MS Mincho"/>
          <w:b/>
          <w:sz w:val="18"/>
          <w:szCs w:val="18"/>
        </w:rPr>
        <w:t>n</w:t>
      </w:r>
      <w:r w:rsidR="00E8176B" w:rsidRPr="00E8176B">
        <w:rPr>
          <w:rFonts w:eastAsia="MS Mincho"/>
          <w:b/>
          <w:sz w:val="18"/>
          <w:szCs w:val="18"/>
          <w:vertAlign w:val="superscript"/>
        </w:rPr>
        <w:t>o</w:t>
      </w:r>
      <w:r w:rsidR="00E8176B">
        <w:rPr>
          <w:b/>
          <w:sz w:val="18"/>
          <w:szCs w:val="18"/>
        </w:rPr>
        <w:t> </w:t>
      </w:r>
      <w:r w:rsidRPr="002301DA">
        <w:rPr>
          <w:b/>
          <w:sz w:val="18"/>
          <w:szCs w:val="18"/>
        </w:rPr>
        <w:t>9 sont combinés</w:t>
      </w:r>
      <w:r w:rsidRPr="002301DA">
        <w:rPr>
          <w:sz w:val="18"/>
          <w:szCs w:val="18"/>
        </w:rPr>
        <w:t>.</w:t>
      </w:r>
    </w:p>
    <w:p w:rsidR="00E320EC" w:rsidRPr="00655E5A" w:rsidRDefault="00E320EC" w:rsidP="002301DA">
      <w:pPr>
        <w:pStyle w:val="HChG"/>
      </w:pPr>
      <w:r w:rsidRPr="0006241D">
        <w:tab/>
      </w:r>
      <w:r w:rsidRPr="00655E5A">
        <w:t>II.</w:t>
      </w:r>
      <w:r w:rsidRPr="00655E5A">
        <w:tab/>
        <w:t>Justification</w:t>
      </w:r>
    </w:p>
    <w:p w:rsidR="00E320EC" w:rsidRPr="004520A8" w:rsidRDefault="00E320EC" w:rsidP="002301DA">
      <w:pPr>
        <w:pStyle w:val="SingleTxtG"/>
      </w:pPr>
      <w:r w:rsidRPr="004520A8">
        <w:t>1.</w:t>
      </w:r>
      <w:r w:rsidRPr="004520A8">
        <w:tab/>
        <w:t>À sa 170</w:t>
      </w:r>
      <w:r w:rsidRPr="00264A70">
        <w:rPr>
          <w:vertAlign w:val="superscript"/>
        </w:rPr>
        <w:t>e</w:t>
      </w:r>
      <w:r>
        <w:t xml:space="preserve"> </w:t>
      </w:r>
      <w:r w:rsidRPr="004520A8">
        <w:t xml:space="preserve">session </w:t>
      </w:r>
      <w:r>
        <w:t xml:space="preserve">tenue </w:t>
      </w:r>
      <w:r w:rsidRPr="004520A8">
        <w:t>en novembre 2016, le WP.29 a adopté le complément 9 à la série originale d</w:t>
      </w:r>
      <w:r w:rsidR="000D3D14">
        <w:t>’</w:t>
      </w:r>
      <w:r w:rsidRPr="004520A8">
        <w:t>amendements et le compl</w:t>
      </w:r>
      <w:r>
        <w:t>é</w:t>
      </w:r>
      <w:r w:rsidRPr="004520A8">
        <w:t xml:space="preserve">ment 1 </w:t>
      </w:r>
      <w:r>
        <w:t xml:space="preserve">à la série </w:t>
      </w:r>
      <w:r w:rsidRPr="004520A8">
        <w:t xml:space="preserve">01 </w:t>
      </w:r>
      <w:r>
        <w:t>d</w:t>
      </w:r>
      <w:r w:rsidR="000D3D14">
        <w:t>’</w:t>
      </w:r>
      <w:r>
        <w:t xml:space="preserve">amendements au Règlement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Pr="004520A8">
        <w:t xml:space="preserve">121 (ECE/TRANS/WP.29/2016/96 </w:t>
      </w:r>
      <w:r>
        <w:t>et</w:t>
      </w:r>
      <w:r w:rsidRPr="004520A8">
        <w:t xml:space="preserve"> ECE/TRANS/WP.29/2016/97). </w:t>
      </w:r>
      <w:r w:rsidR="002301DA">
        <w:t>Les </w:t>
      </w:r>
      <w:r w:rsidRPr="004520A8">
        <w:t>deux documents étaient fondés sur le document ECE/TRANS/WP.29/GRSG/2015/24</w:t>
      </w:r>
      <w:r>
        <w:t>,</w:t>
      </w:r>
      <w:r w:rsidRPr="004520A8">
        <w:t xml:space="preserve"> approuvé par le Groupe de travail des dispositions générales de sécurité (GRSG) </w:t>
      </w:r>
      <w:r>
        <w:t xml:space="preserve">à sa </w:t>
      </w:r>
      <w:r w:rsidRPr="004520A8">
        <w:t>110</w:t>
      </w:r>
      <w:r w:rsidRPr="00264A70">
        <w:rPr>
          <w:vertAlign w:val="superscript"/>
        </w:rPr>
        <w:t>e</w:t>
      </w:r>
      <w:r w:rsidR="002301DA">
        <w:t> </w:t>
      </w:r>
      <w:r w:rsidRPr="004520A8">
        <w:t xml:space="preserve">session. Ces compléments </w:t>
      </w:r>
      <w:r>
        <w:t>donnent la possibilité d</w:t>
      </w:r>
      <w:r w:rsidR="000D3D14">
        <w:t>’</w:t>
      </w:r>
      <w:r>
        <w:t xml:space="preserve">utiliser </w:t>
      </w:r>
      <w:r w:rsidRPr="005E442B">
        <w:t>d</w:t>
      </w:r>
      <w:r w:rsidR="000D3D14">
        <w:t>’</w:t>
      </w:r>
      <w:r w:rsidRPr="005E442B">
        <w:t>autres couleurs que le vert</w:t>
      </w:r>
      <w:r w:rsidR="00F25AE2">
        <w:t xml:space="preserve"> </w:t>
      </w:r>
      <w:r>
        <w:t xml:space="preserve">pour </w:t>
      </w:r>
      <w:r w:rsidRPr="004520A8">
        <w:t xml:space="preserve">les témoins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Pr="004520A8">
        <w:t xml:space="preserve">2 et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="00E8176B">
        <w:t>19</w:t>
      </w:r>
      <w:r w:rsidRPr="004520A8">
        <w:t xml:space="preserve">. </w:t>
      </w:r>
    </w:p>
    <w:p w:rsidR="00E320EC" w:rsidRPr="007E4AD2" w:rsidRDefault="00E320EC" w:rsidP="002301DA">
      <w:pPr>
        <w:pStyle w:val="SingleTxtG"/>
      </w:pPr>
      <w:r w:rsidRPr="007E4AD2">
        <w:t>2.</w:t>
      </w:r>
      <w:r w:rsidRPr="007E4AD2">
        <w:tab/>
        <w:t>Cependant, cette proposition n</w:t>
      </w:r>
      <w:r w:rsidR="000D3D14">
        <w:t>’</w:t>
      </w:r>
      <w:r w:rsidRPr="007E4AD2">
        <w:t xml:space="preserve">a pas </w:t>
      </w:r>
      <w:r>
        <w:t>pris</w:t>
      </w:r>
      <w:r w:rsidRPr="007E4AD2">
        <w:t xml:space="preserve"> en</w:t>
      </w:r>
      <w:r w:rsidR="00F25AE2">
        <w:t xml:space="preserve"> </w:t>
      </w:r>
      <w:r>
        <w:t xml:space="preserve">considération de manière explicite </w:t>
      </w:r>
      <w:r w:rsidRPr="007E4AD2">
        <w:t>la possibilité qu</w:t>
      </w:r>
      <w:r w:rsidR="000D3D14">
        <w:t>’</w:t>
      </w:r>
      <w:r w:rsidRPr="007E4AD2">
        <w:t xml:space="preserve">offre la note de bas de page 12 de combiner le témoin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Pr="007E4AD2">
        <w:t xml:space="preserve">19 </w:t>
      </w:r>
      <w:r>
        <w:t>avec le témoin</w:t>
      </w:r>
      <w:r w:rsidRPr="007E4AD2">
        <w:t xml:space="preserve">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Pr="007E4AD2">
        <w:t>1.</w:t>
      </w:r>
    </w:p>
    <w:p w:rsidR="00E320EC" w:rsidRPr="007E4AD2" w:rsidRDefault="00E320EC" w:rsidP="002301DA">
      <w:pPr>
        <w:pStyle w:val="SingleTxtG"/>
      </w:pPr>
      <w:r w:rsidRPr="007E4AD2">
        <w:t>3.</w:t>
      </w:r>
      <w:r w:rsidRPr="007E4AD2">
        <w:tab/>
        <w:t xml:space="preserve">Les </w:t>
      </w:r>
      <w:r>
        <w:t>modifications qu</w:t>
      </w:r>
      <w:r w:rsidR="000D3D14">
        <w:t>’</w:t>
      </w:r>
      <w:r>
        <w:t>il est</w:t>
      </w:r>
      <w:r w:rsidRPr="007E4AD2">
        <w:t xml:space="preserve"> proposé</w:t>
      </w:r>
      <w:r>
        <w:t xml:space="preserve"> d</w:t>
      </w:r>
      <w:r w:rsidR="000D3D14">
        <w:t>’</w:t>
      </w:r>
      <w:r>
        <w:t>adopter</w:t>
      </w:r>
      <w:r w:rsidRPr="007E4AD2">
        <w:t xml:space="preserve"> ont pour but de préciser </w:t>
      </w:r>
      <w:r>
        <w:t xml:space="preserve">que </w:t>
      </w:r>
      <w:r w:rsidRPr="001F2C9A">
        <w:t>la note de bas de page 18 s</w:t>
      </w:r>
      <w:r w:rsidR="000D3D14">
        <w:t>’</w:t>
      </w:r>
      <w:r w:rsidRPr="001F2C9A">
        <w:t xml:space="preserve">applique au témoin </w:t>
      </w:r>
      <w:r w:rsidR="00673E99">
        <w:rPr>
          <w:rFonts w:eastAsia="MS Mincho"/>
        </w:rPr>
        <w:t>n</w:t>
      </w:r>
      <w:r w:rsidR="00673E99">
        <w:rPr>
          <w:rFonts w:eastAsia="MS Mincho"/>
          <w:vertAlign w:val="superscript"/>
        </w:rPr>
        <w:t>o</w:t>
      </w:r>
      <w:r w:rsidR="00673E99">
        <w:t> </w:t>
      </w:r>
      <w:r w:rsidRPr="001F2C9A">
        <w:t>1</w:t>
      </w:r>
      <w:r>
        <w:t xml:space="preserve"> à condition que </w:t>
      </w:r>
      <w:r w:rsidRPr="007E4AD2">
        <w:t xml:space="preserve">les témoins </w:t>
      </w:r>
      <w:r w:rsidR="00E8176B">
        <w:rPr>
          <w:rFonts w:eastAsia="MS Mincho"/>
        </w:rPr>
        <w:t>n</w:t>
      </w:r>
      <w:r w:rsidR="00E8176B">
        <w:rPr>
          <w:rFonts w:eastAsia="MS Mincho"/>
          <w:vertAlign w:val="superscript"/>
        </w:rPr>
        <w:t>o</w:t>
      </w:r>
      <w:r w:rsidR="00E8176B">
        <w:t> </w:t>
      </w:r>
      <w:r w:rsidRPr="007E4AD2">
        <w:t xml:space="preserve">1 </w:t>
      </w:r>
      <w:r>
        <w:t>et</w:t>
      </w:r>
      <w:r w:rsidRPr="007E4AD2">
        <w:t xml:space="preserve"> </w:t>
      </w:r>
      <w:r w:rsidR="00E8176B">
        <w:rPr>
          <w:rFonts w:eastAsia="MS Mincho"/>
        </w:rPr>
        <w:t>n</w:t>
      </w:r>
      <w:r w:rsidR="00E8176B">
        <w:rPr>
          <w:rFonts w:eastAsia="MS Mincho"/>
          <w:vertAlign w:val="superscript"/>
        </w:rPr>
        <w:t>o</w:t>
      </w:r>
      <w:r w:rsidR="00E8176B">
        <w:t> </w:t>
      </w:r>
      <w:r w:rsidRPr="007E4AD2">
        <w:t xml:space="preserve">19 </w:t>
      </w:r>
      <w:r>
        <w:t>soient combinés</w:t>
      </w:r>
      <w:r w:rsidRPr="007E4AD2">
        <w:t>.</w:t>
      </w:r>
    </w:p>
    <w:p w:rsidR="00F9573C" w:rsidRDefault="00E320EC" w:rsidP="002301DA">
      <w:pPr>
        <w:pStyle w:val="SingleTxtG"/>
      </w:pPr>
      <w:r w:rsidRPr="007E4AD2">
        <w:t>4.</w:t>
      </w:r>
      <w:r w:rsidRPr="007E4AD2">
        <w:tab/>
        <w:t xml:space="preserve">Les modifications proposées </w:t>
      </w:r>
      <w:r>
        <w:t>ne</w:t>
      </w:r>
      <w:r w:rsidR="00F25AE2">
        <w:t xml:space="preserve"> </w:t>
      </w:r>
      <w:r>
        <w:t>modifient en rien</w:t>
      </w:r>
      <w:r w:rsidR="00F25AE2">
        <w:t xml:space="preserve"> </w:t>
      </w:r>
      <w:r w:rsidRPr="00D8003F">
        <w:t xml:space="preserve">les </w:t>
      </w:r>
      <w:r w:rsidRPr="007E4AD2">
        <w:t xml:space="preserve">prescriptions techniques </w:t>
      </w:r>
      <w:r>
        <w:t xml:space="preserve">du Règlement </w:t>
      </w:r>
      <w:r w:rsidR="002301DA">
        <w:rPr>
          <w:rFonts w:eastAsia="MS Mincho"/>
        </w:rPr>
        <w:t>n</w:t>
      </w:r>
      <w:r w:rsidR="002301DA">
        <w:rPr>
          <w:rFonts w:eastAsia="MS Mincho"/>
          <w:vertAlign w:val="superscript"/>
        </w:rPr>
        <w:t>o</w:t>
      </w:r>
      <w:r w:rsidR="002301DA">
        <w:t> </w:t>
      </w:r>
      <w:r w:rsidRPr="007E4AD2">
        <w:t xml:space="preserve">121. </w:t>
      </w:r>
      <w:r>
        <w:t>La présente proposition ne contient donc pas de dispositions transitoires</w:t>
      </w:r>
      <w:r w:rsidRPr="007E4AD2">
        <w:t>.</w:t>
      </w:r>
    </w:p>
    <w:p w:rsidR="002301DA" w:rsidRPr="002301DA" w:rsidRDefault="002301DA" w:rsidP="002301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01DA" w:rsidRPr="002301DA" w:rsidSect="00F75EE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4B" w:rsidRDefault="00141C4B" w:rsidP="00F95C08">
      <w:pPr>
        <w:spacing w:line="240" w:lineRule="auto"/>
      </w:pPr>
    </w:p>
  </w:endnote>
  <w:endnote w:type="continuationSeparator" w:id="0">
    <w:p w:rsidR="00141C4B" w:rsidRPr="00AC3823" w:rsidRDefault="00141C4B" w:rsidP="00AC3823">
      <w:pPr>
        <w:pStyle w:val="Footer"/>
      </w:pPr>
    </w:p>
  </w:endnote>
  <w:endnote w:type="continuationNotice" w:id="1">
    <w:p w:rsidR="00141C4B" w:rsidRDefault="00141C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EC" w:rsidRPr="00F75EEC" w:rsidRDefault="00F75EEC" w:rsidP="00F75EEC">
    <w:pPr>
      <w:pStyle w:val="Footer"/>
      <w:tabs>
        <w:tab w:val="right" w:pos="9638"/>
      </w:tabs>
    </w:pPr>
    <w:r w:rsidRPr="00F75EEC">
      <w:rPr>
        <w:b/>
        <w:sz w:val="18"/>
      </w:rPr>
      <w:fldChar w:fldCharType="begin"/>
    </w:r>
    <w:r w:rsidRPr="00F75EEC">
      <w:rPr>
        <w:b/>
        <w:sz w:val="18"/>
      </w:rPr>
      <w:instrText xml:space="preserve"> PAGE  \* MERGEFORMAT </w:instrText>
    </w:r>
    <w:r w:rsidRPr="00F75EEC">
      <w:rPr>
        <w:b/>
        <w:sz w:val="18"/>
      </w:rPr>
      <w:fldChar w:fldCharType="separate"/>
    </w:r>
    <w:r w:rsidR="00763A6B">
      <w:rPr>
        <w:b/>
        <w:noProof/>
        <w:sz w:val="18"/>
      </w:rPr>
      <w:t>2</w:t>
    </w:r>
    <w:r w:rsidRPr="00F75EEC">
      <w:rPr>
        <w:b/>
        <w:sz w:val="18"/>
      </w:rPr>
      <w:fldChar w:fldCharType="end"/>
    </w:r>
    <w:r>
      <w:rPr>
        <w:b/>
        <w:sz w:val="18"/>
      </w:rPr>
      <w:tab/>
    </w:r>
    <w:r>
      <w:t>GE.17-11941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EC" w:rsidRPr="00F75EEC" w:rsidRDefault="00F75EEC" w:rsidP="00F75EEC">
    <w:pPr>
      <w:pStyle w:val="Footer"/>
      <w:tabs>
        <w:tab w:val="right" w:pos="9638"/>
      </w:tabs>
      <w:rPr>
        <w:b/>
        <w:sz w:val="18"/>
      </w:rPr>
    </w:pPr>
    <w:r>
      <w:t>GE.17-11941</w:t>
    </w:r>
    <w:r>
      <w:tab/>
    </w:r>
    <w:r w:rsidRPr="00F75EEC">
      <w:rPr>
        <w:b/>
        <w:sz w:val="18"/>
      </w:rPr>
      <w:fldChar w:fldCharType="begin"/>
    </w:r>
    <w:r w:rsidRPr="00F75EEC">
      <w:rPr>
        <w:b/>
        <w:sz w:val="18"/>
      </w:rPr>
      <w:instrText xml:space="preserve"> PAGE  \* MERGEFORMAT </w:instrText>
    </w:r>
    <w:r w:rsidRPr="00F75EEC">
      <w:rPr>
        <w:b/>
        <w:sz w:val="18"/>
      </w:rPr>
      <w:fldChar w:fldCharType="separate"/>
    </w:r>
    <w:r w:rsidR="00A3251A">
      <w:rPr>
        <w:b/>
        <w:noProof/>
        <w:sz w:val="18"/>
      </w:rPr>
      <w:t>2</w:t>
    </w:r>
    <w:r w:rsidRPr="00F75E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75EEC" w:rsidRDefault="00F75EEC" w:rsidP="00F75EE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17-11941  (F)    040817    160817</w:t>
    </w:r>
    <w:r>
      <w:rPr>
        <w:sz w:val="20"/>
      </w:rPr>
      <w:br/>
    </w:r>
    <w:r w:rsidRPr="00F75EEC">
      <w:rPr>
        <w:rFonts w:ascii="C39T30Lfz" w:hAnsi="C39T30Lfz"/>
        <w:sz w:val="56"/>
      </w:rPr>
      <w:t></w:t>
    </w:r>
    <w:r w:rsidRPr="00F75EEC">
      <w:rPr>
        <w:rFonts w:ascii="C39T30Lfz" w:hAnsi="C39T30Lfz"/>
        <w:sz w:val="56"/>
      </w:rPr>
      <w:t></w:t>
    </w:r>
    <w:r w:rsidRPr="00F75EEC">
      <w:rPr>
        <w:rFonts w:ascii="C39T30Lfz" w:hAnsi="C39T30Lfz"/>
        <w:sz w:val="56"/>
      </w:rPr>
      <w:t></w:t>
    </w:r>
    <w:r w:rsidRPr="00F75EEC">
      <w:rPr>
        <w:rFonts w:ascii="C39T30Lfz" w:hAnsi="C39T30Lfz"/>
        <w:sz w:val="56"/>
      </w:rPr>
      <w:t></w:t>
    </w:r>
    <w:r w:rsidRPr="00F75EEC">
      <w:rPr>
        <w:rFonts w:ascii="C39T30Lfz" w:hAnsi="C39T30Lfz"/>
        <w:sz w:val="56"/>
      </w:rPr>
      <w:t></w:t>
    </w:r>
    <w:r w:rsidRPr="00F75EEC">
      <w:rPr>
        <w:rFonts w:ascii="C39T30Lfz" w:hAnsi="C39T30Lfz"/>
        <w:sz w:val="56"/>
      </w:rPr>
      <w:t></w:t>
    </w:r>
    <w:r w:rsidRPr="00F75EEC">
      <w:rPr>
        <w:rFonts w:ascii="C39T30Lfz" w:hAnsi="C39T30Lfz"/>
        <w:sz w:val="56"/>
      </w:rPr>
      <w:t></w:t>
    </w:r>
    <w:r w:rsidRPr="00F75EEC">
      <w:rPr>
        <w:rFonts w:ascii="C39T30Lfz" w:hAnsi="C39T30Lfz"/>
        <w:sz w:val="56"/>
      </w:rPr>
      <w:t></w:t>
    </w:r>
    <w:r w:rsidRPr="00F75EE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4B" w:rsidRPr="00AC3823" w:rsidRDefault="00141C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1C4B" w:rsidRPr="00AC3823" w:rsidRDefault="00141C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41C4B" w:rsidRPr="00AC3823" w:rsidRDefault="00141C4B">
      <w:pPr>
        <w:spacing w:line="240" w:lineRule="auto"/>
        <w:rPr>
          <w:sz w:val="2"/>
          <w:szCs w:val="2"/>
        </w:rPr>
      </w:pPr>
    </w:p>
  </w:footnote>
  <w:footnote w:id="2">
    <w:p w:rsidR="00E320EC" w:rsidRPr="00E320EC" w:rsidRDefault="00E320EC">
      <w:pPr>
        <w:pStyle w:val="FootnoteText"/>
      </w:pPr>
      <w:r>
        <w:rPr>
          <w:rStyle w:val="FootnoteReference"/>
        </w:rPr>
        <w:tab/>
      </w:r>
      <w:r w:rsidRPr="00E320E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A006D">
        <w:t xml:space="preserve">Conformément au programme de travail du Comité des transports </w:t>
      </w:r>
      <w:r>
        <w:t>intérieurs pour la période 2016</w:t>
      </w:r>
      <w:r>
        <w:noBreakHyphen/>
      </w:r>
      <w:r w:rsidRPr="002A006D">
        <w:t>2017 (ECE/TRANS/254, par. 159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EC" w:rsidRPr="00F75EEC" w:rsidRDefault="00B64C9D">
    <w:pPr>
      <w:pStyle w:val="Header"/>
    </w:pPr>
    <w:fldSimple w:instr=" TITLE  \* MERGEFORMAT ">
      <w:r>
        <w:t>ECE/TRANS/WP.29/GRSG/2017/18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EC" w:rsidRPr="00F75EEC" w:rsidRDefault="00B64C9D" w:rsidP="00F75EEC">
    <w:pPr>
      <w:pStyle w:val="Header"/>
      <w:jc w:val="right"/>
    </w:pPr>
    <w:fldSimple w:instr=" TITLE  \* MERGEFORMAT ">
      <w:r>
        <w:t>ECE/TRANS/WP.29/GRSG/2017/18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B"/>
    <w:rsid w:val="00017F94"/>
    <w:rsid w:val="00022163"/>
    <w:rsid w:val="00023842"/>
    <w:rsid w:val="000334F9"/>
    <w:rsid w:val="00045FEB"/>
    <w:rsid w:val="0007796D"/>
    <w:rsid w:val="000B7790"/>
    <w:rsid w:val="000D3D14"/>
    <w:rsid w:val="00111F2F"/>
    <w:rsid w:val="00141C4B"/>
    <w:rsid w:val="0014365E"/>
    <w:rsid w:val="00143C66"/>
    <w:rsid w:val="00176178"/>
    <w:rsid w:val="001F525A"/>
    <w:rsid w:val="00223272"/>
    <w:rsid w:val="00223311"/>
    <w:rsid w:val="002301DA"/>
    <w:rsid w:val="00235E67"/>
    <w:rsid w:val="0024779E"/>
    <w:rsid w:val="00257168"/>
    <w:rsid w:val="002744B8"/>
    <w:rsid w:val="002832AC"/>
    <w:rsid w:val="002D7C93"/>
    <w:rsid w:val="00305801"/>
    <w:rsid w:val="00327C87"/>
    <w:rsid w:val="003916DE"/>
    <w:rsid w:val="003F7090"/>
    <w:rsid w:val="00441C3B"/>
    <w:rsid w:val="00446FE5"/>
    <w:rsid w:val="0045053F"/>
    <w:rsid w:val="00452396"/>
    <w:rsid w:val="004837D8"/>
    <w:rsid w:val="004E468C"/>
    <w:rsid w:val="005505B7"/>
    <w:rsid w:val="00573BE5"/>
    <w:rsid w:val="00580337"/>
    <w:rsid w:val="00586ED3"/>
    <w:rsid w:val="00596AA9"/>
    <w:rsid w:val="00673E99"/>
    <w:rsid w:val="0071601D"/>
    <w:rsid w:val="007547A9"/>
    <w:rsid w:val="00763A6B"/>
    <w:rsid w:val="007A62E6"/>
    <w:rsid w:val="007F20FA"/>
    <w:rsid w:val="0080684C"/>
    <w:rsid w:val="00853F5C"/>
    <w:rsid w:val="00871C75"/>
    <w:rsid w:val="008776DC"/>
    <w:rsid w:val="009446C0"/>
    <w:rsid w:val="009705C8"/>
    <w:rsid w:val="009B7176"/>
    <w:rsid w:val="009C1CF4"/>
    <w:rsid w:val="009F6B74"/>
    <w:rsid w:val="00A13378"/>
    <w:rsid w:val="00A30353"/>
    <w:rsid w:val="00A3251A"/>
    <w:rsid w:val="00AA4232"/>
    <w:rsid w:val="00AC3823"/>
    <w:rsid w:val="00AE323C"/>
    <w:rsid w:val="00AF0CB5"/>
    <w:rsid w:val="00B00181"/>
    <w:rsid w:val="00B00B0D"/>
    <w:rsid w:val="00B64C9D"/>
    <w:rsid w:val="00B765F7"/>
    <w:rsid w:val="00BA0CA9"/>
    <w:rsid w:val="00BB3AD5"/>
    <w:rsid w:val="00C02897"/>
    <w:rsid w:val="00C50380"/>
    <w:rsid w:val="00C97039"/>
    <w:rsid w:val="00D3439C"/>
    <w:rsid w:val="00DB1831"/>
    <w:rsid w:val="00DD3BFD"/>
    <w:rsid w:val="00DF6678"/>
    <w:rsid w:val="00E0299A"/>
    <w:rsid w:val="00E320EC"/>
    <w:rsid w:val="00E8176B"/>
    <w:rsid w:val="00E85C74"/>
    <w:rsid w:val="00EA6547"/>
    <w:rsid w:val="00EF2E22"/>
    <w:rsid w:val="00F25AE2"/>
    <w:rsid w:val="00F35BAF"/>
    <w:rsid w:val="00F660DF"/>
    <w:rsid w:val="00F75EEC"/>
    <w:rsid w:val="00F77EC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ECE/TRANS/WP.29/GRSG/2017/18</vt:lpstr>
      <vt:lpstr>ECE/TRANS/WP.29/GRSG/2017/18</vt:lpstr>
    </vt:vector>
  </TitlesOfParts>
  <Company>DCM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ECE/TRANS/WP.29/GRSG/2017/18</dc:title>
  <dc:creator>Sylvie LAMY</dc:creator>
  <cp:lastModifiedBy>Benedicte Boudol</cp:lastModifiedBy>
  <cp:revision>2</cp:revision>
  <cp:lastPrinted>2017-08-16T07:39:00Z</cp:lastPrinted>
  <dcterms:created xsi:type="dcterms:W3CDTF">2017-08-16T09:01:00Z</dcterms:created>
  <dcterms:modified xsi:type="dcterms:W3CDTF">2017-08-16T09:01:00Z</dcterms:modified>
</cp:coreProperties>
</file>