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7220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72205" w:rsidP="00872205">
            <w:pPr>
              <w:jc w:val="right"/>
            </w:pPr>
            <w:r w:rsidRPr="00872205">
              <w:rPr>
                <w:sz w:val="40"/>
              </w:rPr>
              <w:t>ECE</w:t>
            </w:r>
            <w:r>
              <w:t>/TRANS/WP.29/GRPE/2018/5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72205" w:rsidP="00C97039">
            <w:pPr>
              <w:spacing w:before="240"/>
            </w:pPr>
            <w:proofErr w:type="spellStart"/>
            <w:r>
              <w:t>Distr</w:t>
            </w:r>
            <w:proofErr w:type="spellEnd"/>
            <w:r>
              <w:t>. générale</w:t>
            </w:r>
          </w:p>
          <w:p w:rsidR="00872205" w:rsidRDefault="00C1199D" w:rsidP="00872205">
            <w:pPr>
              <w:spacing w:line="240" w:lineRule="exact"/>
            </w:pPr>
            <w:r>
              <w:t>18 </w:t>
            </w:r>
            <w:r w:rsidR="00872205">
              <w:t>octobre 2017</w:t>
            </w:r>
          </w:p>
          <w:p w:rsidR="00872205" w:rsidRDefault="00872205" w:rsidP="00872205">
            <w:pPr>
              <w:spacing w:line="240" w:lineRule="exact"/>
            </w:pPr>
            <w:r>
              <w:t>Français</w:t>
            </w:r>
          </w:p>
          <w:p w:rsidR="00872205" w:rsidRPr="00DB58B5" w:rsidRDefault="00872205" w:rsidP="0087220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1199D" w:rsidRDefault="00C1199D"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1199D" w:rsidRDefault="00C1199D" w:rsidP="00257168">
      <w:pPr>
        <w:spacing w:before="120" w:after="120" w:line="240" w:lineRule="exact"/>
        <w:rPr>
          <w:b/>
        </w:rPr>
      </w:pPr>
      <w:r>
        <w:rPr>
          <w:b/>
        </w:rPr>
        <w:t>Groupe de travail de la pollution et de l’énergie</w:t>
      </w:r>
    </w:p>
    <w:p w:rsidR="00C1199D" w:rsidRDefault="00C1199D" w:rsidP="00257168">
      <w:pPr>
        <w:spacing w:before="120" w:line="240" w:lineRule="exact"/>
        <w:rPr>
          <w:b/>
        </w:rPr>
      </w:pPr>
      <w:r w:rsidRPr="00C1199D">
        <w:rPr>
          <w:b/>
          <w:lang w:val="fr-FR"/>
        </w:rPr>
        <w:t>Soixante</w:t>
      </w:r>
      <w:r w:rsidRPr="00C1199D">
        <w:rPr>
          <w:b/>
          <w:lang w:val="fr-FR"/>
        </w:rPr>
        <w:noBreakHyphen/>
        <w:t>seizième</w:t>
      </w:r>
      <w:r>
        <w:rPr>
          <w:b/>
        </w:rPr>
        <w:t> session</w:t>
      </w:r>
    </w:p>
    <w:p w:rsidR="00C1199D" w:rsidRDefault="00C1199D" w:rsidP="00257168">
      <w:pPr>
        <w:spacing w:line="240" w:lineRule="exact"/>
      </w:pPr>
      <w:r>
        <w:t xml:space="preserve">Genève, </w:t>
      </w:r>
      <w:r w:rsidR="00A061FF" w:rsidRPr="00C1199D">
        <w:rPr>
          <w:lang w:val="fr-FR"/>
        </w:rPr>
        <w:t>9</w:t>
      </w:r>
      <w:r>
        <w:rPr>
          <w:lang w:val="fr-FR"/>
        </w:rPr>
        <w:noBreakHyphen/>
        <w:t>12 </w:t>
      </w:r>
      <w:r w:rsidR="00A061FF" w:rsidRPr="00C1199D">
        <w:rPr>
          <w:lang w:val="fr-FR"/>
        </w:rPr>
        <w:t>janvier 2018</w:t>
      </w:r>
    </w:p>
    <w:p w:rsidR="00C1199D" w:rsidRDefault="00C1199D" w:rsidP="00257168">
      <w:pPr>
        <w:spacing w:line="240" w:lineRule="exact"/>
      </w:pPr>
      <w:r>
        <w:t>Point 5 de l’ordre du jour provisoire</w:t>
      </w:r>
    </w:p>
    <w:p w:rsidR="00F9573C" w:rsidRPr="00C1199D" w:rsidRDefault="00A061FF" w:rsidP="00AF0CB5">
      <w:pPr>
        <w:rPr>
          <w:b/>
          <w:lang w:val="fr-FR"/>
        </w:rPr>
      </w:pPr>
      <w:r w:rsidRPr="00C1199D">
        <w:rPr>
          <w:b/>
          <w:lang w:val="fr-FR"/>
        </w:rPr>
        <w:t xml:space="preserve">Règlements </w:t>
      </w:r>
      <w:r w:rsidR="00C1199D" w:rsidRPr="00C1199D">
        <w:rPr>
          <w:rFonts w:eastAsia="MS Mincho"/>
          <w:b/>
          <w:szCs w:val="22"/>
          <w:lang w:val="fr-FR"/>
        </w:rPr>
        <w:t>n</w:t>
      </w:r>
      <w:r w:rsidR="00C1199D" w:rsidRPr="00C1199D">
        <w:rPr>
          <w:rFonts w:eastAsia="MS Mincho"/>
          <w:b/>
          <w:szCs w:val="22"/>
          <w:vertAlign w:val="superscript"/>
          <w:lang w:val="fr-FR"/>
        </w:rPr>
        <w:t>os</w:t>
      </w:r>
      <w:r w:rsidR="00C1199D" w:rsidRPr="00C1199D">
        <w:rPr>
          <w:b/>
          <w:lang w:val="fr-FR"/>
        </w:rPr>
        <w:t> </w:t>
      </w:r>
      <w:r w:rsidRPr="00C1199D">
        <w:rPr>
          <w:b/>
          <w:lang w:val="fr-FR"/>
        </w:rPr>
        <w:t xml:space="preserve">85 (Mesure de la puissance nette), </w:t>
      </w:r>
      <w:r w:rsidR="00C1199D" w:rsidRPr="00C1199D">
        <w:rPr>
          <w:b/>
          <w:lang w:val="fr-FR"/>
        </w:rPr>
        <w:br/>
      </w:r>
      <w:r w:rsidRPr="00C1199D">
        <w:rPr>
          <w:b/>
          <w:lang w:val="fr-FR"/>
        </w:rPr>
        <w:t xml:space="preserve">115 (Systèmes de conversion ultérieure au GPL et GNC), </w:t>
      </w:r>
      <w:r w:rsidR="00C1199D" w:rsidRPr="00C1199D">
        <w:rPr>
          <w:b/>
          <w:lang w:val="fr-FR"/>
        </w:rPr>
        <w:br/>
      </w:r>
      <w:r w:rsidRPr="00C1199D">
        <w:rPr>
          <w:b/>
          <w:lang w:val="fr-FR"/>
        </w:rPr>
        <w:t xml:space="preserve">133 (Aptitude au recyclage des véhicules automobiles) </w:t>
      </w:r>
      <w:r w:rsidR="00C1199D" w:rsidRPr="00C1199D">
        <w:rPr>
          <w:b/>
          <w:lang w:val="fr-FR"/>
        </w:rPr>
        <w:br/>
      </w:r>
      <w:r w:rsidRPr="00C1199D">
        <w:rPr>
          <w:b/>
          <w:lang w:val="fr-FR"/>
        </w:rPr>
        <w:t xml:space="preserve">et 143 (Systèmes de mise à niveau des </w:t>
      </w:r>
      <w:proofErr w:type="gramStart"/>
      <w:r w:rsidRPr="00C1199D">
        <w:rPr>
          <w:b/>
          <w:lang w:val="fr-FR"/>
        </w:rPr>
        <w:t xml:space="preserve">moteurs </w:t>
      </w:r>
      <w:r w:rsidR="00C1199D" w:rsidRPr="00C1199D">
        <w:rPr>
          <w:b/>
          <w:lang w:val="fr-FR"/>
        </w:rPr>
        <w:br/>
      </w:r>
      <w:r w:rsidRPr="00C1199D">
        <w:rPr>
          <w:b/>
          <w:lang w:val="fr-FR"/>
        </w:rPr>
        <w:t>bicarburation</w:t>
      </w:r>
      <w:proofErr w:type="gramEnd"/>
      <w:r w:rsidRPr="00C1199D">
        <w:rPr>
          <w:b/>
          <w:lang w:val="fr-FR"/>
        </w:rPr>
        <w:t xml:space="preserve"> d</w:t>
      </w:r>
      <w:r w:rsidR="00C1199D" w:rsidRPr="00C1199D">
        <w:rPr>
          <w:b/>
          <w:lang w:val="fr-FR"/>
        </w:rPr>
        <w:t>e véhicules utilitaires lourds)</w:t>
      </w:r>
    </w:p>
    <w:p w:rsidR="00C1199D" w:rsidRDefault="00C1199D" w:rsidP="00C1199D">
      <w:pPr>
        <w:pStyle w:val="HChG"/>
        <w:rPr>
          <w:lang w:val="fr-FR"/>
        </w:rPr>
      </w:pPr>
      <w:r>
        <w:rPr>
          <w:lang w:val="fr-FR"/>
        </w:rPr>
        <w:tab/>
      </w:r>
      <w:r>
        <w:rPr>
          <w:lang w:val="fr-FR"/>
        </w:rPr>
        <w:tab/>
      </w:r>
      <w:r w:rsidR="00A061FF" w:rsidRPr="00C1199D">
        <w:rPr>
          <w:lang w:val="fr-FR"/>
        </w:rPr>
        <w:t xml:space="preserve">Proposition de nouveau complément à la version d’origine </w:t>
      </w:r>
      <w:r>
        <w:rPr>
          <w:lang w:val="fr-FR"/>
        </w:rPr>
        <w:br/>
      </w:r>
      <w:r w:rsidR="00A061FF" w:rsidRPr="00C1199D">
        <w:rPr>
          <w:lang w:val="fr-FR"/>
        </w:rPr>
        <w:t xml:space="preserve">du Règlement </w:t>
      </w:r>
      <w:r w:rsidRPr="00C1199D">
        <w:rPr>
          <w:rFonts w:eastAsia="MS Mincho"/>
          <w:szCs w:val="22"/>
          <w:lang w:val="fr-FR"/>
        </w:rPr>
        <w:t>n</w:t>
      </w:r>
      <w:r w:rsidRPr="00C1199D">
        <w:rPr>
          <w:rFonts w:eastAsia="MS Mincho"/>
          <w:szCs w:val="22"/>
          <w:vertAlign w:val="superscript"/>
          <w:lang w:val="fr-FR"/>
        </w:rPr>
        <w:t>o</w:t>
      </w:r>
      <w:r>
        <w:rPr>
          <w:lang w:val="fr-FR"/>
        </w:rPr>
        <w:t> </w:t>
      </w:r>
      <w:r w:rsidR="00A061FF" w:rsidRPr="00C1199D">
        <w:rPr>
          <w:lang w:val="fr-FR"/>
        </w:rPr>
        <w:t>85 (Mesure de la puissante nette)</w:t>
      </w:r>
    </w:p>
    <w:p w:rsidR="004A5A52" w:rsidRPr="00C1199D" w:rsidRDefault="00C1199D" w:rsidP="00C1199D">
      <w:pPr>
        <w:pStyle w:val="H1G"/>
      </w:pPr>
      <w:r>
        <w:rPr>
          <w:lang w:val="fr-FR"/>
        </w:rPr>
        <w:tab/>
      </w:r>
      <w:r>
        <w:rPr>
          <w:lang w:val="fr-FR"/>
        </w:rPr>
        <w:tab/>
      </w:r>
      <w:r w:rsidR="00A061FF" w:rsidRPr="00C1199D">
        <w:rPr>
          <w:lang w:val="fr-FR"/>
        </w:rPr>
        <w:t xml:space="preserve">Communication de l’expert de l’Organisation internationale </w:t>
      </w:r>
      <w:r>
        <w:rPr>
          <w:lang w:val="fr-FR"/>
        </w:rPr>
        <w:br/>
      </w:r>
      <w:r w:rsidR="00A061FF" w:rsidRPr="00C1199D">
        <w:rPr>
          <w:lang w:val="fr-FR"/>
        </w:rPr>
        <w:t>des constructeurs d’automobiles</w:t>
      </w:r>
      <w:r w:rsidR="00A061FF" w:rsidRPr="00C1199D">
        <w:rPr>
          <w:b w:val="0"/>
          <w:sz w:val="20"/>
          <w:lang w:val="fr-FR"/>
        </w:rPr>
        <w:footnoteReference w:customMarkFollows="1" w:id="2"/>
        <w:t>*</w:t>
      </w:r>
    </w:p>
    <w:p w:rsidR="00C1199D" w:rsidRDefault="00A061FF" w:rsidP="00C1199D">
      <w:pPr>
        <w:pStyle w:val="SingleTxtG"/>
        <w:rPr>
          <w:lang w:val="fr-FR"/>
        </w:rPr>
      </w:pPr>
      <w:r w:rsidRPr="00C1199D">
        <w:rPr>
          <w:lang w:val="fr-FR"/>
        </w:rPr>
        <w:t>Le texte ci</w:t>
      </w:r>
      <w:r w:rsidR="0064313D">
        <w:rPr>
          <w:lang w:val="fr-FR"/>
        </w:rPr>
        <w:noBreakHyphen/>
      </w:r>
      <w:r w:rsidRPr="00C1199D">
        <w:rPr>
          <w:lang w:val="fr-FR"/>
        </w:rPr>
        <w:t>après, établi par l’expert de l’Organisation internationale des constructeurs d’automobiles (OICA) à la suite de la dernière session du Groupe de travail de la pollution et de l’énergie (GRPE) (voir le rappor</w:t>
      </w:r>
      <w:r w:rsidR="00C1199D">
        <w:rPr>
          <w:lang w:val="fr-FR"/>
        </w:rPr>
        <w:t>t ECE/TRANS/WP.29/GRPE/75, par. </w:t>
      </w:r>
      <w:r w:rsidRPr="00C1199D">
        <w:rPr>
          <w:lang w:val="fr-FR"/>
        </w:rPr>
        <w:t>30), répond aux préoccupations exprimées par l’expert du Royaume</w:t>
      </w:r>
      <w:r w:rsidR="001243AD">
        <w:rPr>
          <w:lang w:val="fr-FR"/>
        </w:rPr>
        <w:noBreakHyphen/>
      </w:r>
      <w:r w:rsidRPr="00C1199D">
        <w:rPr>
          <w:lang w:val="fr-FR"/>
        </w:rPr>
        <w:t>Uni de Grande</w:t>
      </w:r>
      <w:r w:rsidR="00C1199D">
        <w:rPr>
          <w:lang w:val="fr-FR"/>
        </w:rPr>
        <w:noBreakHyphen/>
      </w:r>
      <w:r w:rsidRPr="00C1199D">
        <w:rPr>
          <w:lang w:val="fr-FR"/>
        </w:rPr>
        <w:t>Bretagne et d’Irlande du Nord (ci</w:t>
      </w:r>
      <w:r w:rsidR="00C1199D">
        <w:rPr>
          <w:lang w:val="fr-FR"/>
        </w:rPr>
        <w:noBreakHyphen/>
      </w:r>
      <w:r w:rsidRPr="00C1199D">
        <w:rPr>
          <w:lang w:val="fr-FR"/>
        </w:rPr>
        <w:t>après Royaume</w:t>
      </w:r>
      <w:r w:rsidR="00C1199D">
        <w:rPr>
          <w:lang w:val="fr-FR"/>
        </w:rPr>
        <w:noBreakHyphen/>
      </w:r>
      <w:r w:rsidRPr="00C1199D">
        <w:rPr>
          <w:lang w:val="fr-FR"/>
        </w:rPr>
        <w:t>Uni) dans le document GRPE-75-13 et corrige une erreur déjà ancienne figurant dans une formule révélée par l’OICA dans le document GRPE-75-12. Les modifications qu’il est proposé d’apporter au texte actuel du Règlement figurent en caractères gras pour les ajouts et biffés pour les suppressions.</w:t>
      </w:r>
    </w:p>
    <w:p w:rsidR="004A5A52" w:rsidRPr="00486C52" w:rsidRDefault="00486C52" w:rsidP="00486C52">
      <w:pPr>
        <w:pStyle w:val="HChG"/>
      </w:pPr>
      <w:r>
        <w:rPr>
          <w:lang w:val="fr-FR"/>
        </w:rPr>
        <w:br w:type="page"/>
      </w:r>
      <w:r>
        <w:rPr>
          <w:lang w:val="fr-FR"/>
        </w:rPr>
        <w:lastRenderedPageBreak/>
        <w:tab/>
      </w:r>
      <w:r w:rsidR="00A061FF" w:rsidRPr="00486C52">
        <w:rPr>
          <w:lang w:val="fr-FR"/>
        </w:rPr>
        <w:t>I.</w:t>
      </w:r>
      <w:r w:rsidR="00A061FF" w:rsidRPr="00486C52">
        <w:rPr>
          <w:lang w:val="fr-FR"/>
        </w:rPr>
        <w:tab/>
        <w:t>Proposition</w:t>
      </w:r>
    </w:p>
    <w:p w:rsidR="004A5A52" w:rsidRPr="00486C52" w:rsidRDefault="00A061FF" w:rsidP="00486C52">
      <w:pPr>
        <w:pStyle w:val="SingleTxtG"/>
        <w:rPr>
          <w:i/>
        </w:rPr>
      </w:pPr>
      <w:r w:rsidRPr="00486C52">
        <w:rPr>
          <w:i/>
          <w:iCs/>
          <w:lang w:val="fr-FR"/>
        </w:rPr>
        <w:t>Paragraphe 5.3.1.3</w:t>
      </w:r>
      <w:r w:rsidR="000C2779">
        <w:rPr>
          <w:lang w:val="fr-FR"/>
        </w:rPr>
        <w:t xml:space="preserve">, </w:t>
      </w:r>
      <w:proofErr w:type="gramStart"/>
      <w:r w:rsidR="000C2779">
        <w:rPr>
          <w:lang w:val="fr-FR"/>
        </w:rPr>
        <w:t>modifier</w:t>
      </w:r>
      <w:proofErr w:type="gramEnd"/>
      <w:r w:rsidR="000C2779">
        <w:rPr>
          <w:lang w:val="fr-FR"/>
        </w:rPr>
        <w:t xml:space="preserve"> comme suit </w:t>
      </w:r>
      <w:r w:rsidRPr="00486C52">
        <w:rPr>
          <w:lang w:val="fr-FR"/>
        </w:rPr>
        <w:t>:</w:t>
      </w:r>
    </w:p>
    <w:p w:rsidR="004A5A52" w:rsidRPr="00486C52" w:rsidRDefault="00486C52" w:rsidP="00486C52">
      <w:pPr>
        <w:pStyle w:val="SingleTxtG"/>
        <w:ind w:left="2268" w:hanging="1134"/>
      </w:pPr>
      <w:r>
        <w:t>« </w:t>
      </w:r>
      <w:r w:rsidR="00A061FF" w:rsidRPr="00486C52">
        <w:rPr>
          <w:lang w:val="fr-FR"/>
        </w:rPr>
        <w:t>5.3.1.3</w:t>
      </w:r>
      <w:r w:rsidR="00A061FF" w:rsidRPr="00486C52">
        <w:rPr>
          <w:lang w:val="fr-FR"/>
        </w:rPr>
        <w:tab/>
        <w:t>Juste avant le début de l’essai, le moteur doit tourner sur le banc d’</w:t>
      </w:r>
      <w:r>
        <w:rPr>
          <w:lang w:val="fr-FR"/>
        </w:rPr>
        <w:t>essai pendant 3 </w:t>
      </w:r>
      <w:r w:rsidR="00A061FF" w:rsidRPr="00486C52">
        <w:rPr>
          <w:lang w:val="fr-FR"/>
        </w:rPr>
        <w:t>min</w:t>
      </w:r>
      <w:r w:rsidR="00A061FF">
        <w:rPr>
          <w:lang w:val="fr-FR"/>
        </w:rPr>
        <w:t>utes</w:t>
      </w:r>
      <w:r w:rsidR="00A061FF" w:rsidRPr="00486C52">
        <w:rPr>
          <w:lang w:val="fr-FR"/>
        </w:rPr>
        <w:t xml:space="preserve"> en produisant une puissance </w:t>
      </w:r>
      <w:r w:rsidR="00A061FF" w:rsidRPr="00981E5D">
        <w:rPr>
          <w:b/>
          <w:bCs/>
          <w:lang w:val="fr-FR"/>
        </w:rPr>
        <w:t>supérieure ou</w:t>
      </w:r>
      <w:r w:rsidR="00A061FF" w:rsidRPr="00486C52">
        <w:rPr>
          <w:lang w:val="fr-FR"/>
        </w:rPr>
        <w:t xml:space="preserve"> égale à 80 % de la puissance maximale </w:t>
      </w:r>
      <w:r w:rsidR="000C2779" w:rsidRPr="00981E5D">
        <w:rPr>
          <w:b/>
          <w:bCs/>
          <w:lang w:val="fr-FR"/>
        </w:rPr>
        <w:t>sur 30 </w:t>
      </w:r>
      <w:r w:rsidR="00A061FF" w:rsidRPr="00981E5D">
        <w:rPr>
          <w:b/>
          <w:bCs/>
          <w:lang w:val="fr-FR"/>
        </w:rPr>
        <w:t>min</w:t>
      </w:r>
      <w:r w:rsidR="00A061FF">
        <w:rPr>
          <w:b/>
          <w:bCs/>
          <w:lang w:val="fr-FR"/>
        </w:rPr>
        <w:t>utes</w:t>
      </w:r>
      <w:r w:rsidR="00A061FF" w:rsidRPr="00486C52">
        <w:rPr>
          <w:lang w:val="fr-FR"/>
        </w:rPr>
        <w:t xml:space="preserve"> et au régime </w:t>
      </w:r>
      <w:r>
        <w:rPr>
          <w:lang w:val="fr-FR"/>
        </w:rPr>
        <w:t>recommandé par le constructeur. »</w:t>
      </w:r>
    </w:p>
    <w:p w:rsidR="004A5A52" w:rsidRPr="00486C52" w:rsidRDefault="000C2779" w:rsidP="00486C52">
      <w:pPr>
        <w:pStyle w:val="SingleTxtG"/>
      </w:pPr>
      <w:r>
        <w:rPr>
          <w:i/>
          <w:iCs/>
          <w:lang w:val="fr-FR"/>
        </w:rPr>
        <w:t>Annexe 5, paragraphe </w:t>
      </w:r>
      <w:r w:rsidR="00A061FF" w:rsidRPr="00486C52">
        <w:rPr>
          <w:i/>
          <w:iCs/>
          <w:lang w:val="fr-FR"/>
        </w:rPr>
        <w:t>5.4.2</w:t>
      </w:r>
      <w:r>
        <w:rPr>
          <w:lang w:val="fr-FR"/>
        </w:rPr>
        <w:t xml:space="preserve">, </w:t>
      </w:r>
      <w:proofErr w:type="gramStart"/>
      <w:r>
        <w:rPr>
          <w:lang w:val="fr-FR"/>
        </w:rPr>
        <w:t>modifier</w:t>
      </w:r>
      <w:proofErr w:type="gramEnd"/>
      <w:r>
        <w:rPr>
          <w:lang w:val="fr-FR"/>
        </w:rPr>
        <w:t xml:space="preserve"> comme suit </w:t>
      </w:r>
      <w:r w:rsidR="00A061FF" w:rsidRPr="00486C52">
        <w:rPr>
          <w:lang w:val="fr-FR"/>
        </w:rPr>
        <w:t>:</w:t>
      </w:r>
    </w:p>
    <w:p w:rsidR="004A5A52" w:rsidRPr="00486C52" w:rsidRDefault="000F7B25" w:rsidP="000F7B25">
      <w:pPr>
        <w:pStyle w:val="SingleTxtG"/>
        <w:ind w:left="2268" w:hanging="1134"/>
        <w:rPr>
          <w:lang w:val="fr-FR"/>
        </w:rPr>
      </w:pPr>
      <w:r>
        <w:t>« </w:t>
      </w:r>
      <w:r w:rsidR="00A061FF" w:rsidRPr="00486C52">
        <w:rPr>
          <w:lang w:val="fr-FR"/>
        </w:rPr>
        <w:t>5.4.2</w:t>
      </w:r>
      <w:r w:rsidR="00A061FF" w:rsidRPr="00486C52">
        <w:rPr>
          <w:lang w:val="fr-FR"/>
        </w:rPr>
        <w:tab/>
        <w:t xml:space="preserve">Moteurs diesel </w:t>
      </w:r>
      <w:r w:rsidR="00D24338">
        <w:rPr>
          <w:lang w:val="fr-FR"/>
        </w:rPr>
        <w:noBreakHyphen/>
      </w:r>
      <w:r>
        <w:rPr>
          <w:lang w:val="fr-FR"/>
        </w:rPr>
        <w:t xml:space="preserve"> Facteur </w:t>
      </w:r>
      <w:r w:rsidR="00A061FF" w:rsidRPr="00486C52">
        <w:rPr>
          <w:lang w:val="fr-FR"/>
        </w:rPr>
        <w:t>α</w:t>
      </w:r>
      <w:r w:rsidR="00A061FF" w:rsidRPr="00486C52">
        <w:rPr>
          <w:vertAlign w:val="subscript"/>
          <w:lang w:val="fr-FR"/>
        </w:rPr>
        <w:t>d</w:t>
      </w:r>
    </w:p>
    <w:p w:rsidR="004A5A52" w:rsidRPr="00486C52" w:rsidRDefault="00A061FF" w:rsidP="00CA2E52">
      <w:pPr>
        <w:pStyle w:val="SingleTxtG"/>
        <w:ind w:left="2268"/>
        <w:rPr>
          <w:lang w:val="fr-FR"/>
        </w:rPr>
      </w:pPr>
      <w:r w:rsidRPr="00486C52">
        <w:rPr>
          <w:lang w:val="fr-FR"/>
        </w:rPr>
        <w:t>Le facteur de correction de la puissance des moteurs diesel (α</w:t>
      </w:r>
      <w:r w:rsidRPr="00486C52">
        <w:rPr>
          <w:vertAlign w:val="subscript"/>
          <w:lang w:val="fr-FR"/>
        </w:rPr>
        <w:t>d</w:t>
      </w:r>
      <w:r w:rsidRPr="00486C52">
        <w:rPr>
          <w:lang w:val="fr-FR"/>
        </w:rPr>
        <w:t>), à débit constant de carburant, est obtenu au moyen de la formule suivante</w:t>
      </w:r>
      <w:r w:rsidR="00CA2E52">
        <w:rPr>
          <w:lang w:val="fr-FR"/>
        </w:rPr>
        <w:t> </w:t>
      </w:r>
      <w:r w:rsidRPr="00486C52">
        <w:rPr>
          <w:lang w:val="fr-FR"/>
        </w:rPr>
        <w:t>:</w:t>
      </w:r>
    </w:p>
    <w:p w:rsidR="004A5A52" w:rsidRPr="00486C52" w:rsidRDefault="00A061FF" w:rsidP="00CA2E52">
      <w:pPr>
        <w:pStyle w:val="SingleTxtG"/>
        <w:ind w:left="2268"/>
        <w:rPr>
          <w:lang w:val="fr-FR"/>
        </w:rPr>
      </w:pPr>
      <w:r w:rsidRPr="00CA2E52">
        <w:rPr>
          <w:lang w:val="fr-FR"/>
        </w:rPr>
        <w:t>αd</w:t>
      </w:r>
      <w:r w:rsidR="00CA2E52">
        <w:t> = </w:t>
      </w:r>
      <w:r w:rsidRPr="00486C52">
        <w:t>(fa</w:t>
      </w:r>
      <w:proofErr w:type="gramStart"/>
      <w:r w:rsidR="00CA2E52">
        <w:t>)</w:t>
      </w:r>
      <w:proofErr w:type="spellStart"/>
      <w:r w:rsidRPr="00A061FF">
        <w:rPr>
          <w:b/>
          <w:vertAlign w:val="superscript"/>
        </w:rPr>
        <w:t>fm</w:t>
      </w:r>
      <w:proofErr w:type="spellEnd"/>
      <w:proofErr w:type="gramEnd"/>
    </w:p>
    <w:p w:rsidR="004A5A52" w:rsidRPr="00486C52" w:rsidRDefault="00A061FF" w:rsidP="00CA2E52">
      <w:pPr>
        <w:pStyle w:val="SingleTxtG"/>
        <w:ind w:left="2268"/>
        <w:rPr>
          <w:lang w:val="fr-FR"/>
        </w:rPr>
      </w:pPr>
      <w:r w:rsidRPr="00486C52">
        <w:rPr>
          <w:lang w:val="fr-FR"/>
        </w:rPr>
        <w:t>Où</w:t>
      </w:r>
      <w:r w:rsidR="005D5E27">
        <w:rPr>
          <w:lang w:val="fr-FR"/>
        </w:rPr>
        <w:t> :</w:t>
      </w:r>
    </w:p>
    <w:p w:rsidR="004A5A52" w:rsidRPr="00486C52" w:rsidRDefault="00A061FF" w:rsidP="00CA2E52">
      <w:pPr>
        <w:pStyle w:val="SingleTxtG"/>
        <w:ind w:left="2268"/>
        <w:rPr>
          <w:lang w:val="fr-FR"/>
        </w:rPr>
      </w:pPr>
      <w:proofErr w:type="gramStart"/>
      <w:r w:rsidRPr="00486C52">
        <w:rPr>
          <w:lang w:val="fr-FR"/>
        </w:rPr>
        <w:t>f</w:t>
      </w:r>
      <w:r w:rsidRPr="00486C52">
        <w:rPr>
          <w:vertAlign w:val="subscript"/>
          <w:lang w:val="fr-FR"/>
        </w:rPr>
        <w:t>a</w:t>
      </w:r>
      <w:proofErr w:type="gramEnd"/>
      <w:r w:rsidRPr="00486C52">
        <w:rPr>
          <w:lang w:val="fr-FR"/>
        </w:rPr>
        <w:t xml:space="preserve"> est le facteur atmosphérique</w:t>
      </w:r>
      <w:r w:rsidR="00EA2AD7">
        <w:rPr>
          <w:lang w:val="fr-FR"/>
        </w:rPr>
        <w:t> </w:t>
      </w:r>
      <w:r w:rsidRPr="00486C52">
        <w:rPr>
          <w:lang w:val="fr-FR"/>
        </w:rPr>
        <w:t>;</w:t>
      </w:r>
    </w:p>
    <w:p w:rsidR="004A5A52" w:rsidRPr="00486C52" w:rsidRDefault="00A061FF" w:rsidP="00CA2E52">
      <w:pPr>
        <w:pStyle w:val="SingleTxtG"/>
        <w:ind w:left="2268"/>
        <w:rPr>
          <w:lang w:val="fr-FR"/>
        </w:rPr>
      </w:pPr>
      <w:proofErr w:type="spellStart"/>
      <w:proofErr w:type="gramStart"/>
      <w:r w:rsidRPr="00486C52">
        <w:rPr>
          <w:lang w:val="fr-FR"/>
        </w:rPr>
        <w:t>f</w:t>
      </w:r>
      <w:r w:rsidRPr="00486C52">
        <w:rPr>
          <w:vertAlign w:val="subscript"/>
          <w:lang w:val="fr-FR"/>
        </w:rPr>
        <w:t>m</w:t>
      </w:r>
      <w:proofErr w:type="spellEnd"/>
      <w:proofErr w:type="gramEnd"/>
      <w:r w:rsidRPr="00486C52">
        <w:rPr>
          <w:lang w:val="fr-FR"/>
        </w:rPr>
        <w:t xml:space="preserve"> est le paramètre caractéristique de chaque type de moteur et de réglage.</w:t>
      </w:r>
      <w:r w:rsidR="00981E5D">
        <w:rPr>
          <w:lang w:val="fr-FR"/>
        </w:rPr>
        <w:t> »</w:t>
      </w:r>
    </w:p>
    <w:p w:rsidR="004A5A52" w:rsidRPr="00486C52" w:rsidRDefault="00981E5D" w:rsidP="00981E5D">
      <w:pPr>
        <w:pStyle w:val="HChG"/>
      </w:pPr>
      <w:r>
        <w:rPr>
          <w:lang w:val="fr-FR"/>
        </w:rPr>
        <w:tab/>
      </w:r>
      <w:r w:rsidR="00A061FF" w:rsidRPr="00486C52">
        <w:rPr>
          <w:lang w:val="fr-FR"/>
        </w:rPr>
        <w:t>II.</w:t>
      </w:r>
      <w:r w:rsidR="00A061FF" w:rsidRPr="00486C52">
        <w:rPr>
          <w:lang w:val="fr-FR"/>
        </w:rPr>
        <w:tab/>
        <w:t>Justification</w:t>
      </w:r>
    </w:p>
    <w:p w:rsidR="004A5A52" w:rsidRPr="00486C52" w:rsidRDefault="00A061FF" w:rsidP="00486C52">
      <w:pPr>
        <w:pStyle w:val="SingleTxtG"/>
      </w:pPr>
      <w:r>
        <w:rPr>
          <w:lang w:val="fr-FR"/>
        </w:rPr>
        <w:t>1.</w:t>
      </w:r>
      <w:r>
        <w:rPr>
          <w:lang w:val="fr-FR"/>
        </w:rPr>
        <w:tab/>
      </w:r>
      <w:r w:rsidRPr="00486C52">
        <w:rPr>
          <w:lang w:val="fr-FR"/>
        </w:rPr>
        <w:t xml:space="preserve">Sur le plan technique, les formules </w:t>
      </w:r>
      <w:r w:rsidR="00981E5D">
        <w:rPr>
          <w:lang w:val="fr-FR"/>
        </w:rPr>
        <w:t>« 80 </w:t>
      </w:r>
      <w:r w:rsidRPr="00486C52">
        <w:rPr>
          <w:lang w:val="fr-FR"/>
        </w:rPr>
        <w:t>% de la puissance maximale</w:t>
      </w:r>
      <w:r w:rsidR="00981E5D">
        <w:rPr>
          <w:lang w:val="fr-FR"/>
        </w:rPr>
        <w:t> »</w:t>
      </w:r>
      <w:r w:rsidRPr="00486C52">
        <w:rPr>
          <w:lang w:val="fr-FR"/>
        </w:rPr>
        <w:t xml:space="preserve"> et </w:t>
      </w:r>
      <w:r w:rsidR="00981E5D">
        <w:rPr>
          <w:lang w:val="fr-FR"/>
        </w:rPr>
        <w:t>« 80 </w:t>
      </w:r>
      <w:r w:rsidRPr="00486C52">
        <w:rPr>
          <w:lang w:val="fr-FR"/>
        </w:rPr>
        <w:t>% de la puissa</w:t>
      </w:r>
      <w:r w:rsidR="00981E5D">
        <w:rPr>
          <w:lang w:val="fr-FR"/>
        </w:rPr>
        <w:t>nce maximale sur 30 </w:t>
      </w:r>
      <w:r w:rsidRPr="00486C52">
        <w:rPr>
          <w:lang w:val="fr-FR"/>
        </w:rPr>
        <w:t>min</w:t>
      </w:r>
      <w:r>
        <w:rPr>
          <w:lang w:val="fr-FR"/>
        </w:rPr>
        <w:t>utes</w:t>
      </w:r>
      <w:r w:rsidR="00981E5D">
        <w:rPr>
          <w:lang w:val="fr-FR"/>
        </w:rPr>
        <w:t> »</w:t>
      </w:r>
      <w:r w:rsidRPr="00486C52">
        <w:rPr>
          <w:lang w:val="fr-FR"/>
        </w:rPr>
        <w:t xml:space="preserve"> sont aussi valables l’une que l’autre. La méthode la plus appropriée dépend de la technique utilisée pour refroidir le moteur (air ou eau/huile)</w:t>
      </w:r>
      <w:r w:rsidR="00981E5D">
        <w:rPr>
          <w:lang w:val="fr-FR"/>
        </w:rPr>
        <w:t>.</w:t>
      </w:r>
    </w:p>
    <w:p w:rsidR="004A5A52" w:rsidRPr="00486C52" w:rsidRDefault="00A061FF" w:rsidP="00486C52">
      <w:pPr>
        <w:pStyle w:val="SingleTxtG"/>
        <w:rPr>
          <w:lang w:val="fr-FR"/>
        </w:rPr>
      </w:pPr>
      <w:r>
        <w:rPr>
          <w:lang w:val="fr-FR"/>
        </w:rPr>
        <w:t>2.</w:t>
      </w:r>
      <w:r>
        <w:rPr>
          <w:lang w:val="fr-FR"/>
        </w:rPr>
        <w:tab/>
      </w:r>
      <w:r w:rsidRPr="00486C52">
        <w:rPr>
          <w:lang w:val="fr-FR"/>
        </w:rPr>
        <w:t>Le Royaume</w:t>
      </w:r>
      <w:r w:rsidR="00981E5D">
        <w:rPr>
          <w:lang w:val="fr-FR"/>
        </w:rPr>
        <w:noBreakHyphen/>
      </w:r>
      <w:r w:rsidRPr="00486C52">
        <w:rPr>
          <w:lang w:val="fr-FR"/>
        </w:rPr>
        <w:t>Uni a exprimé sa préoccupation en ce qui concerne les moteurs refroidis par air, dont la puissance nette déclarée telle que mesurée après un</w:t>
      </w:r>
      <w:r w:rsidR="001064DC">
        <w:rPr>
          <w:lang w:val="fr-FR"/>
        </w:rPr>
        <w:t>e</w:t>
      </w:r>
      <w:r w:rsidRPr="00486C52">
        <w:t xml:space="preserve"> mise en température</w:t>
      </w:r>
      <w:r w:rsidRPr="00486C52">
        <w:rPr>
          <w:lang w:val="fr-FR"/>
        </w:rPr>
        <w:t xml:space="preserve"> de</w:t>
      </w:r>
      <w:r w:rsidR="00981E5D">
        <w:rPr>
          <w:lang w:val="fr-FR"/>
        </w:rPr>
        <w:t xml:space="preserve"> 3 </w:t>
      </w:r>
      <w:r w:rsidRPr="00486C52">
        <w:rPr>
          <w:lang w:val="fr-FR"/>
        </w:rPr>
        <w:t>min</w:t>
      </w:r>
      <w:r>
        <w:rPr>
          <w:lang w:val="fr-FR"/>
        </w:rPr>
        <w:t>utes</w:t>
      </w:r>
      <w:r w:rsidRPr="00486C52">
        <w:rPr>
          <w:lang w:val="fr-FR"/>
        </w:rPr>
        <w:t xml:space="preserve"> en produisant une puissance égale à 80 % de la puissance maximale peut être nettement inférieure à la puissance réelle (en raison de l’activation de la protection thermique), alors qu’en conditions réelles un moteur n’est censé tourner</w:t>
      </w:r>
      <w:r w:rsidR="00981E5D">
        <w:rPr>
          <w:lang w:val="fr-FR"/>
        </w:rPr>
        <w:t xml:space="preserve"> à plus de 80 </w:t>
      </w:r>
      <w:r w:rsidRPr="00486C52">
        <w:rPr>
          <w:lang w:val="fr-FR"/>
        </w:rPr>
        <w:t>% de sa puissance nette maximale que pendant une très brève partie des</w:t>
      </w:r>
      <w:r w:rsidR="00981E5D">
        <w:rPr>
          <w:bCs/>
          <w:lang w:val="fr-FR"/>
        </w:rPr>
        <w:t xml:space="preserve"> 30 </w:t>
      </w:r>
      <w:r w:rsidRPr="00486C52">
        <w:rPr>
          <w:bCs/>
          <w:lang w:val="fr-FR"/>
        </w:rPr>
        <w:t>minutes</w:t>
      </w:r>
      <w:r w:rsidRPr="00486C52">
        <w:rPr>
          <w:bCs/>
        </w:rPr>
        <w:t xml:space="preserve"> de conduite</w:t>
      </w:r>
      <w:r w:rsidRPr="00486C52">
        <w:rPr>
          <w:lang w:val="fr-FR"/>
        </w:rPr>
        <w:t>.</w:t>
      </w:r>
    </w:p>
    <w:p w:rsidR="004A5A52" w:rsidRPr="00486C52" w:rsidRDefault="00A061FF" w:rsidP="00486C52">
      <w:pPr>
        <w:pStyle w:val="SingleTxtG"/>
      </w:pPr>
      <w:r>
        <w:rPr>
          <w:lang w:val="fr-FR"/>
        </w:rPr>
        <w:t>3.</w:t>
      </w:r>
      <w:r>
        <w:rPr>
          <w:lang w:val="fr-FR"/>
        </w:rPr>
        <w:tab/>
      </w:r>
      <w:r w:rsidRPr="00486C52">
        <w:rPr>
          <w:lang w:val="fr-FR"/>
        </w:rPr>
        <w:t>Compte tenu des arguments exposés ci</w:t>
      </w:r>
      <w:r w:rsidR="001064DC">
        <w:rPr>
          <w:lang w:val="fr-FR"/>
        </w:rPr>
        <w:noBreakHyphen/>
      </w:r>
      <w:r w:rsidRPr="00486C52">
        <w:rPr>
          <w:lang w:val="fr-FR"/>
        </w:rPr>
        <w:t>dessus, mais aussi dans le but de maintenir la cohérence avec les précédents résultats d’essais chaque fois que cela est possible, il est proposé aux constructeurs de choisir entre les deux possibil</w:t>
      </w:r>
      <w:r w:rsidR="00981E5D">
        <w:rPr>
          <w:lang w:val="fr-FR"/>
        </w:rPr>
        <w:t>ités (puissance maximale sur 30 </w:t>
      </w:r>
      <w:r w:rsidRPr="00486C52">
        <w:rPr>
          <w:lang w:val="fr-FR"/>
        </w:rPr>
        <w:t>min</w:t>
      </w:r>
      <w:r>
        <w:rPr>
          <w:lang w:val="fr-FR"/>
        </w:rPr>
        <w:t>utes</w:t>
      </w:r>
      <w:r w:rsidRPr="00486C52">
        <w:rPr>
          <w:lang w:val="fr-FR"/>
        </w:rPr>
        <w:t xml:space="preserve"> ou puissance maximale) en fonction de la technique employée.</w:t>
      </w:r>
    </w:p>
    <w:p w:rsidR="00486C52" w:rsidRDefault="00A061FF" w:rsidP="00486C52">
      <w:pPr>
        <w:pStyle w:val="SingleTxtG"/>
        <w:rPr>
          <w:lang w:val="fr-FR"/>
        </w:rPr>
      </w:pPr>
      <w:r>
        <w:rPr>
          <w:lang w:val="fr-FR"/>
        </w:rPr>
        <w:t>4.</w:t>
      </w:r>
      <w:r>
        <w:rPr>
          <w:lang w:val="fr-FR"/>
        </w:rPr>
        <w:tab/>
      </w:r>
      <w:r w:rsidRPr="00486C52">
        <w:rPr>
          <w:lang w:val="fr-FR"/>
        </w:rPr>
        <w:t xml:space="preserve">À un moment donné de l’évolution du texte, le paramètre </w:t>
      </w:r>
      <w:proofErr w:type="spellStart"/>
      <w:r w:rsidRPr="00486C52">
        <w:rPr>
          <w:lang w:val="fr-FR"/>
        </w:rPr>
        <w:t>f</w:t>
      </w:r>
      <w:r w:rsidRPr="00486C52">
        <w:rPr>
          <w:vertAlign w:val="subscript"/>
          <w:lang w:val="fr-FR"/>
        </w:rPr>
        <w:t>m</w:t>
      </w:r>
      <w:proofErr w:type="spellEnd"/>
      <w:r w:rsidRPr="00486C52">
        <w:rPr>
          <w:lang w:val="fr-FR"/>
        </w:rPr>
        <w:t>, qui était en exposant, a été converti en</w:t>
      </w:r>
      <w:r w:rsidR="00981E5D">
        <w:rPr>
          <w:lang w:val="fr-FR"/>
        </w:rPr>
        <w:t xml:space="preserve"> texte normal (« </w:t>
      </w:r>
      <w:r w:rsidRPr="00486C52">
        <w:rPr>
          <w:lang w:val="fr-FR"/>
        </w:rPr>
        <w:t>f</w:t>
      </w:r>
      <w:r w:rsidRPr="00486C52">
        <w:rPr>
          <w:vertAlign w:val="subscript"/>
          <w:lang w:val="fr-FR"/>
        </w:rPr>
        <w:t>a</w:t>
      </w:r>
      <w:r w:rsidRPr="00486C52">
        <w:rPr>
          <w:lang w:val="fr-FR"/>
        </w:rPr>
        <w:t xml:space="preserve"> à la puissance </w:t>
      </w:r>
      <w:proofErr w:type="spellStart"/>
      <w:r w:rsidRPr="00486C52">
        <w:rPr>
          <w:lang w:val="fr-FR"/>
        </w:rPr>
        <w:t>f</w:t>
      </w:r>
      <w:r w:rsidRPr="00486C52">
        <w:rPr>
          <w:vertAlign w:val="subscript"/>
          <w:lang w:val="fr-FR"/>
        </w:rPr>
        <w:t>m</w:t>
      </w:r>
      <w:proofErr w:type="spellEnd"/>
      <w:r w:rsidR="00981E5D">
        <w:rPr>
          <w:lang w:val="fr-FR"/>
        </w:rPr>
        <w:t> »</w:t>
      </w:r>
      <w:r w:rsidRPr="00486C52">
        <w:rPr>
          <w:lang w:val="fr-FR"/>
        </w:rPr>
        <w:t xml:space="preserve"> devenant ainsi</w:t>
      </w:r>
      <w:r w:rsidR="00981E5D">
        <w:rPr>
          <w:lang w:val="fr-FR"/>
        </w:rPr>
        <w:t xml:space="preserve"> « </w:t>
      </w:r>
      <w:r w:rsidRPr="00486C52">
        <w:rPr>
          <w:lang w:val="fr-FR"/>
        </w:rPr>
        <w:t>f</w:t>
      </w:r>
      <w:r w:rsidRPr="00486C52">
        <w:rPr>
          <w:vertAlign w:val="subscript"/>
          <w:lang w:val="fr-FR"/>
        </w:rPr>
        <w:t>a</w:t>
      </w:r>
      <w:r w:rsidRPr="00486C52">
        <w:rPr>
          <w:lang w:val="fr-FR"/>
        </w:rPr>
        <w:t xml:space="preserve"> multiplié par </w:t>
      </w:r>
      <w:proofErr w:type="spellStart"/>
      <w:r w:rsidRPr="00486C52">
        <w:rPr>
          <w:lang w:val="fr-FR"/>
        </w:rPr>
        <w:t>f</w:t>
      </w:r>
      <w:r w:rsidRPr="00486C52">
        <w:rPr>
          <w:vertAlign w:val="subscript"/>
          <w:lang w:val="fr-FR"/>
        </w:rPr>
        <w:t>m</w:t>
      </w:r>
      <w:proofErr w:type="spellEnd"/>
      <w:r w:rsidR="00981E5D">
        <w:rPr>
          <w:lang w:val="fr-FR"/>
        </w:rPr>
        <w:t> »). Il </w:t>
      </w:r>
      <w:r w:rsidRPr="00486C52">
        <w:rPr>
          <w:lang w:val="fr-FR"/>
        </w:rPr>
        <w:t>s’agit d’une erreur, qui doit être corrigée.</w:t>
      </w:r>
    </w:p>
    <w:p w:rsidR="00826047" w:rsidRPr="00826047" w:rsidRDefault="00826047" w:rsidP="00826047">
      <w:pPr>
        <w:pStyle w:val="SingleTxtG"/>
        <w:spacing w:before="240" w:after="0"/>
        <w:jc w:val="center"/>
        <w:rPr>
          <w:u w:val="single"/>
        </w:rPr>
      </w:pPr>
      <w:r>
        <w:rPr>
          <w:u w:val="single"/>
        </w:rPr>
        <w:tab/>
      </w:r>
      <w:r>
        <w:rPr>
          <w:u w:val="single"/>
        </w:rPr>
        <w:tab/>
      </w:r>
      <w:r>
        <w:rPr>
          <w:u w:val="single"/>
        </w:rPr>
        <w:tab/>
      </w:r>
    </w:p>
    <w:sectPr w:rsidR="00826047" w:rsidRPr="00826047" w:rsidSect="0087220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0DD" w:rsidRDefault="009A10DD" w:rsidP="00F95C08">
      <w:pPr>
        <w:spacing w:line="240" w:lineRule="auto"/>
      </w:pPr>
    </w:p>
  </w:endnote>
  <w:endnote w:type="continuationSeparator" w:id="0">
    <w:p w:rsidR="009A10DD" w:rsidRPr="00AC3823" w:rsidRDefault="009A10DD" w:rsidP="00AC3823">
      <w:pPr>
        <w:pStyle w:val="Footer"/>
      </w:pPr>
    </w:p>
  </w:endnote>
  <w:endnote w:type="continuationNotice" w:id="1">
    <w:p w:rsidR="009A10DD" w:rsidRDefault="009A10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05" w:rsidRPr="00872205" w:rsidRDefault="00872205" w:rsidP="00872205">
    <w:pPr>
      <w:pStyle w:val="Footer"/>
      <w:tabs>
        <w:tab w:val="right" w:pos="9638"/>
      </w:tabs>
    </w:pPr>
    <w:r w:rsidRPr="00872205">
      <w:rPr>
        <w:b/>
        <w:sz w:val="18"/>
      </w:rPr>
      <w:fldChar w:fldCharType="begin"/>
    </w:r>
    <w:r w:rsidRPr="00872205">
      <w:rPr>
        <w:b/>
        <w:sz w:val="18"/>
      </w:rPr>
      <w:instrText xml:space="preserve"> PAGE  \* MERGEFORMAT </w:instrText>
    </w:r>
    <w:r w:rsidRPr="00872205">
      <w:rPr>
        <w:b/>
        <w:sz w:val="18"/>
      </w:rPr>
      <w:fldChar w:fldCharType="separate"/>
    </w:r>
    <w:r w:rsidR="001B3134">
      <w:rPr>
        <w:b/>
        <w:noProof/>
        <w:sz w:val="18"/>
      </w:rPr>
      <w:t>2</w:t>
    </w:r>
    <w:r w:rsidRPr="00872205">
      <w:rPr>
        <w:b/>
        <w:sz w:val="18"/>
      </w:rPr>
      <w:fldChar w:fldCharType="end"/>
    </w:r>
    <w:r>
      <w:rPr>
        <w:b/>
        <w:sz w:val="18"/>
      </w:rPr>
      <w:tab/>
    </w:r>
    <w:r>
      <w:t>GE.17-18407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05" w:rsidRPr="00872205" w:rsidRDefault="00872205" w:rsidP="00872205">
    <w:pPr>
      <w:pStyle w:val="Footer"/>
      <w:tabs>
        <w:tab w:val="right" w:pos="9638"/>
      </w:tabs>
      <w:rPr>
        <w:b/>
        <w:sz w:val="18"/>
      </w:rPr>
    </w:pPr>
    <w:r>
      <w:t>GE.17-18407</w:t>
    </w:r>
    <w:r>
      <w:tab/>
    </w:r>
    <w:r w:rsidRPr="00872205">
      <w:rPr>
        <w:b/>
        <w:sz w:val="18"/>
      </w:rPr>
      <w:fldChar w:fldCharType="begin"/>
    </w:r>
    <w:r w:rsidRPr="00872205">
      <w:rPr>
        <w:b/>
        <w:sz w:val="18"/>
      </w:rPr>
      <w:instrText xml:space="preserve"> PAGE  \* MERGEFORMAT </w:instrText>
    </w:r>
    <w:r w:rsidRPr="00872205">
      <w:rPr>
        <w:b/>
        <w:sz w:val="18"/>
      </w:rPr>
      <w:fldChar w:fldCharType="separate"/>
    </w:r>
    <w:r w:rsidR="00A061FF">
      <w:rPr>
        <w:b/>
        <w:noProof/>
        <w:sz w:val="18"/>
      </w:rPr>
      <w:t>2</w:t>
    </w:r>
    <w:r w:rsidRPr="0087220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872205" w:rsidRDefault="00872205" w:rsidP="00872205">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17-18407  (F)</w:t>
    </w:r>
    <w:r w:rsidR="00C1199D">
      <w:rPr>
        <w:sz w:val="20"/>
      </w:rPr>
      <w:t xml:space="preserve">    091117    </w:t>
    </w:r>
    <w:r w:rsidR="00BA3C7D">
      <w:rPr>
        <w:sz w:val="20"/>
      </w:rPr>
      <w:t>091117</w:t>
    </w:r>
    <w:r>
      <w:rPr>
        <w:sz w:val="20"/>
      </w:rPr>
      <w:br/>
    </w:r>
    <w:r w:rsidRPr="00872205">
      <w:rPr>
        <w:rFonts w:ascii="C39T30Lfz" w:hAnsi="C39T30Lfz"/>
        <w:sz w:val="56"/>
      </w:rPr>
      <w:t></w:t>
    </w:r>
    <w:r w:rsidRPr="00872205">
      <w:rPr>
        <w:rFonts w:ascii="C39T30Lfz" w:hAnsi="C39T30Lfz"/>
        <w:sz w:val="56"/>
      </w:rPr>
      <w:t></w:t>
    </w:r>
    <w:r w:rsidRPr="00872205">
      <w:rPr>
        <w:rFonts w:ascii="C39T30Lfz" w:hAnsi="C39T30Lfz"/>
        <w:sz w:val="56"/>
      </w:rPr>
      <w:t></w:t>
    </w:r>
    <w:r w:rsidRPr="00872205">
      <w:rPr>
        <w:rFonts w:ascii="C39T30Lfz" w:hAnsi="C39T30Lfz"/>
        <w:sz w:val="56"/>
      </w:rPr>
      <w:t></w:t>
    </w:r>
    <w:r w:rsidRPr="00872205">
      <w:rPr>
        <w:rFonts w:ascii="C39T30Lfz" w:hAnsi="C39T30Lfz"/>
        <w:sz w:val="56"/>
      </w:rPr>
      <w:t></w:t>
    </w:r>
    <w:r w:rsidRPr="00872205">
      <w:rPr>
        <w:rFonts w:ascii="C39T30Lfz" w:hAnsi="C39T30Lfz"/>
        <w:sz w:val="56"/>
      </w:rPr>
      <w:t></w:t>
    </w:r>
    <w:r w:rsidRPr="00872205">
      <w:rPr>
        <w:rFonts w:ascii="C39T30Lfz" w:hAnsi="C39T30Lfz"/>
        <w:sz w:val="56"/>
      </w:rPr>
      <w:t></w:t>
    </w:r>
    <w:r w:rsidRPr="00872205">
      <w:rPr>
        <w:rFonts w:ascii="C39T30Lfz" w:hAnsi="C39T30Lfz"/>
        <w:sz w:val="56"/>
      </w:rPr>
      <w:t></w:t>
    </w:r>
    <w:r w:rsidRPr="00872205">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2018/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0DD" w:rsidRPr="00AC3823" w:rsidRDefault="009A10DD" w:rsidP="00AC3823">
      <w:pPr>
        <w:pStyle w:val="Footer"/>
        <w:tabs>
          <w:tab w:val="right" w:pos="2155"/>
        </w:tabs>
        <w:spacing w:after="80" w:line="240" w:lineRule="atLeast"/>
        <w:ind w:left="680"/>
        <w:rPr>
          <w:u w:val="single"/>
        </w:rPr>
      </w:pPr>
      <w:r>
        <w:rPr>
          <w:u w:val="single"/>
        </w:rPr>
        <w:tab/>
      </w:r>
    </w:p>
  </w:footnote>
  <w:footnote w:type="continuationSeparator" w:id="0">
    <w:p w:rsidR="009A10DD" w:rsidRPr="00AC3823" w:rsidRDefault="009A10DD" w:rsidP="00AC3823">
      <w:pPr>
        <w:pStyle w:val="Footer"/>
        <w:tabs>
          <w:tab w:val="right" w:pos="2155"/>
        </w:tabs>
        <w:spacing w:after="80" w:line="240" w:lineRule="atLeast"/>
        <w:ind w:left="680"/>
        <w:rPr>
          <w:u w:val="single"/>
        </w:rPr>
      </w:pPr>
      <w:r>
        <w:rPr>
          <w:u w:val="single"/>
        </w:rPr>
        <w:tab/>
      </w:r>
    </w:p>
  </w:footnote>
  <w:footnote w:type="continuationNotice" w:id="1">
    <w:p w:rsidR="009A10DD" w:rsidRPr="00AC3823" w:rsidRDefault="009A10DD">
      <w:pPr>
        <w:spacing w:line="240" w:lineRule="auto"/>
        <w:rPr>
          <w:sz w:val="2"/>
          <w:szCs w:val="2"/>
        </w:rPr>
      </w:pPr>
    </w:p>
  </w:footnote>
  <w:footnote w:id="2">
    <w:p w:rsidR="00C1199D" w:rsidRPr="00C71DA4" w:rsidRDefault="00C1199D" w:rsidP="00C1199D">
      <w:pPr>
        <w:pStyle w:val="FootnoteText"/>
      </w:pPr>
      <w:r>
        <w:rPr>
          <w:lang w:val="fr-FR"/>
        </w:rPr>
        <w:tab/>
        <w:t>*</w:t>
      </w:r>
      <w:r>
        <w:rPr>
          <w:lang w:val="fr-FR"/>
        </w:rPr>
        <w:tab/>
        <w:t>Conformément au programme de travail du Comité des transports intérieurs pour la période 2014</w:t>
      </w:r>
      <w:r>
        <w:rPr>
          <w:lang w:val="fr-FR"/>
        </w:rPr>
        <w:noBreakHyphen/>
        <w:t>2018 (ECE/TRANS/240 par. 105, et ECE/TRANS/2014/26, activité </w:t>
      </w:r>
      <w:r w:rsidRPr="003762F2">
        <w:rPr>
          <w:lang w:val="fr-FR"/>
        </w:rPr>
        <w:t>02.4),</w:t>
      </w:r>
      <w:r>
        <w:rPr>
          <w:lang w:val="fr-FR"/>
        </w:rPr>
        <w:t xml:space="preserve">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05" w:rsidRPr="00872205" w:rsidRDefault="001431D7">
    <w:pPr>
      <w:pStyle w:val="Header"/>
    </w:pPr>
    <w:fldSimple w:instr=" TITLE  \* MERGEFORMAT ">
      <w:r>
        <w:t>ECE/TRANS/WP.29/GRPE/2018/5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05" w:rsidRPr="00872205" w:rsidRDefault="001431D7" w:rsidP="00872205">
    <w:pPr>
      <w:pStyle w:val="Header"/>
      <w:jc w:val="right"/>
    </w:pPr>
    <w:fldSimple w:instr=" TITLE  \* MERGEFORMAT ">
      <w:r>
        <w:t>ECE/TRANS/WP.29/GRPE/2018/5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DD"/>
    <w:rsid w:val="00017F94"/>
    <w:rsid w:val="00023842"/>
    <w:rsid w:val="000334F9"/>
    <w:rsid w:val="00045FEB"/>
    <w:rsid w:val="0007796D"/>
    <w:rsid w:val="000B7790"/>
    <w:rsid w:val="000C2779"/>
    <w:rsid w:val="000F7B25"/>
    <w:rsid w:val="001064DC"/>
    <w:rsid w:val="00111F2F"/>
    <w:rsid w:val="001243AD"/>
    <w:rsid w:val="001431D7"/>
    <w:rsid w:val="0014365E"/>
    <w:rsid w:val="00143C66"/>
    <w:rsid w:val="00176178"/>
    <w:rsid w:val="00182AEA"/>
    <w:rsid w:val="001B3134"/>
    <w:rsid w:val="001D2A5C"/>
    <w:rsid w:val="001F525A"/>
    <w:rsid w:val="00223272"/>
    <w:rsid w:val="0024779E"/>
    <w:rsid w:val="00257168"/>
    <w:rsid w:val="002744B8"/>
    <w:rsid w:val="002832AC"/>
    <w:rsid w:val="002D7C93"/>
    <w:rsid w:val="00305801"/>
    <w:rsid w:val="003916DE"/>
    <w:rsid w:val="003F2742"/>
    <w:rsid w:val="00441C3B"/>
    <w:rsid w:val="00446FE5"/>
    <w:rsid w:val="00452396"/>
    <w:rsid w:val="004837D8"/>
    <w:rsid w:val="00486C52"/>
    <w:rsid w:val="00497B4E"/>
    <w:rsid w:val="004E468C"/>
    <w:rsid w:val="005505B7"/>
    <w:rsid w:val="00573BE5"/>
    <w:rsid w:val="00586ED3"/>
    <w:rsid w:val="00596AA9"/>
    <w:rsid w:val="005D5E27"/>
    <w:rsid w:val="0064313D"/>
    <w:rsid w:val="0071601D"/>
    <w:rsid w:val="007A62E6"/>
    <w:rsid w:val="007F20FA"/>
    <w:rsid w:val="0080684C"/>
    <w:rsid w:val="00826047"/>
    <w:rsid w:val="00871C75"/>
    <w:rsid w:val="00872205"/>
    <w:rsid w:val="008776DC"/>
    <w:rsid w:val="009446C0"/>
    <w:rsid w:val="009705C8"/>
    <w:rsid w:val="00981E5D"/>
    <w:rsid w:val="009A10DD"/>
    <w:rsid w:val="009C1CF4"/>
    <w:rsid w:val="009F6B74"/>
    <w:rsid w:val="00A061FF"/>
    <w:rsid w:val="00A1735A"/>
    <w:rsid w:val="00A30353"/>
    <w:rsid w:val="00AC3823"/>
    <w:rsid w:val="00AE323C"/>
    <w:rsid w:val="00AF0CB5"/>
    <w:rsid w:val="00B00181"/>
    <w:rsid w:val="00B00B0D"/>
    <w:rsid w:val="00B62FBD"/>
    <w:rsid w:val="00B765F7"/>
    <w:rsid w:val="00BA0CA9"/>
    <w:rsid w:val="00BA3C7D"/>
    <w:rsid w:val="00C02897"/>
    <w:rsid w:val="00C1199D"/>
    <w:rsid w:val="00C806F0"/>
    <w:rsid w:val="00C97039"/>
    <w:rsid w:val="00CA2E52"/>
    <w:rsid w:val="00D24338"/>
    <w:rsid w:val="00D3439C"/>
    <w:rsid w:val="00DB1831"/>
    <w:rsid w:val="00DD3BFD"/>
    <w:rsid w:val="00DF6678"/>
    <w:rsid w:val="00E0299A"/>
    <w:rsid w:val="00E85C74"/>
    <w:rsid w:val="00EA2AD7"/>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3075</Characters>
  <Application>Microsoft Office Word</Application>
  <DocSecurity>4</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ECE/TRANS/WP.29/GRPE/2018/5</vt:lpstr>
      <vt:lpstr>ECE/TRANS/WP.29/GRPE/2018/5</vt:lpstr>
    </vt:vector>
  </TitlesOfParts>
  <Company>DCM</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ECE/TRANS/WP.29/GRPE/2018/5</dc:title>
  <dc:creator>DEVOS</dc:creator>
  <cp:lastModifiedBy>Benedicte Boudol</cp:lastModifiedBy>
  <cp:revision>2</cp:revision>
  <cp:lastPrinted>2017-11-09T13:36:00Z</cp:lastPrinted>
  <dcterms:created xsi:type="dcterms:W3CDTF">2017-11-09T13:58:00Z</dcterms:created>
  <dcterms:modified xsi:type="dcterms:W3CDTF">2017-11-09T13:58:00Z</dcterms:modified>
</cp:coreProperties>
</file>