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57" w:rsidRPr="009A2F0E" w:rsidRDefault="00D37B57" w:rsidP="00AD3013">
      <w:pPr>
        <w:tabs>
          <w:tab w:val="left" w:pos="8505"/>
        </w:tabs>
        <w:ind w:right="521"/>
        <w:contextualSpacing/>
        <w:jc w:val="center"/>
        <w:rPr>
          <w:rFonts w:ascii="Times New Roman" w:hAnsi="Times New Roman" w:cs="Times New Roman"/>
          <w:sz w:val="24"/>
          <w:szCs w:val="24"/>
        </w:rPr>
      </w:pPr>
    </w:p>
    <w:p w:rsidR="009250B9" w:rsidRPr="009250B9" w:rsidRDefault="00EC6FBC" w:rsidP="00AD3013">
      <w:pPr>
        <w:pStyle w:val="HChG"/>
        <w:tabs>
          <w:tab w:val="clear" w:pos="851"/>
          <w:tab w:val="left" w:pos="8505"/>
        </w:tabs>
        <w:spacing w:before="100" w:beforeAutospacing="1" w:after="120"/>
        <w:ind w:left="0" w:right="521" w:firstLine="0"/>
        <w:jc w:val="center"/>
        <w:rPr>
          <w:sz w:val="32"/>
        </w:rPr>
      </w:pPr>
      <w:r>
        <w:rPr>
          <w:sz w:val="32"/>
        </w:rPr>
        <w:t>Request for Guidance</w:t>
      </w:r>
    </w:p>
    <w:p w:rsidR="00EC6FBC" w:rsidRPr="00AD3013" w:rsidRDefault="00EC6FBC" w:rsidP="00AD3013">
      <w:pPr>
        <w:pStyle w:val="Header"/>
        <w:tabs>
          <w:tab w:val="left" w:pos="8505"/>
        </w:tabs>
        <w:spacing w:before="100" w:beforeAutospacing="1" w:after="120"/>
        <w:ind w:right="521"/>
        <w:jc w:val="center"/>
        <w:rPr>
          <w:rFonts w:ascii="Times New Roman" w:hAnsi="Times New Roman" w:cs="Times New Roman"/>
          <w:sz w:val="20"/>
          <w:szCs w:val="20"/>
          <w:lang w:val="en-US"/>
        </w:rPr>
      </w:pPr>
      <w:r w:rsidRPr="00AD3013">
        <w:rPr>
          <w:rFonts w:ascii="Times New Roman" w:hAnsi="Times New Roman" w:cs="Times New Roman"/>
          <w:sz w:val="20"/>
          <w:szCs w:val="20"/>
          <w:lang w:val="en-US"/>
        </w:rPr>
        <w:t xml:space="preserve">How to treat the GTB proposals submitted to GRE-76 and deferred to GRE-77 for final decision, in the context of the </w:t>
      </w:r>
      <w:r w:rsidR="00AD3013" w:rsidRPr="00AD3013">
        <w:rPr>
          <w:rFonts w:ascii="Times New Roman" w:hAnsi="Times New Roman" w:cs="Times New Roman"/>
          <w:sz w:val="20"/>
          <w:szCs w:val="20"/>
          <w:lang w:val="en-US"/>
        </w:rPr>
        <w:t>drafting of the new regulations?</w:t>
      </w:r>
    </w:p>
    <w:p w:rsidR="009250B9" w:rsidRPr="009250B9" w:rsidRDefault="009250B9" w:rsidP="00AD3013">
      <w:pPr>
        <w:tabs>
          <w:tab w:val="left" w:pos="8505"/>
        </w:tabs>
        <w:ind w:left="1701" w:right="521" w:hanging="567"/>
        <w:rPr>
          <w:rFonts w:ascii="Times New Roman" w:hAnsi="Times New Roman" w:cs="Times New Roman"/>
          <w:lang w:val="en-US"/>
        </w:rPr>
      </w:pPr>
    </w:p>
    <w:p w:rsidR="009250B9" w:rsidRPr="009250B9" w:rsidRDefault="009250B9" w:rsidP="00AD3013">
      <w:pPr>
        <w:pStyle w:val="Heading1"/>
        <w:tabs>
          <w:tab w:val="left" w:pos="8505"/>
        </w:tabs>
        <w:spacing w:after="120"/>
        <w:ind w:left="0" w:right="521"/>
        <w:jc w:val="both"/>
        <w:rPr>
          <w:b/>
        </w:rPr>
      </w:pPr>
      <w:r w:rsidRPr="009250B9">
        <w:rPr>
          <w:b/>
        </w:rPr>
        <w:t>INTRODUCTION</w:t>
      </w:r>
    </w:p>
    <w:p w:rsidR="00EC6FBC" w:rsidRPr="009250B9" w:rsidRDefault="00DD3360" w:rsidP="00AD3013">
      <w:pPr>
        <w:pStyle w:val="PlainText"/>
        <w:tabs>
          <w:tab w:val="left" w:pos="8505"/>
        </w:tabs>
        <w:spacing w:after="120"/>
        <w:ind w:right="521"/>
        <w:jc w:val="both"/>
        <w:rPr>
          <w:rFonts w:cs="Times New Roman"/>
        </w:rPr>
      </w:pPr>
      <w:r>
        <w:rPr>
          <w:rFonts w:cs="Times New Roman"/>
        </w:rPr>
        <w:t>At its 76</w:t>
      </w:r>
      <w:r w:rsidRPr="00DD3360">
        <w:rPr>
          <w:rFonts w:cs="Times New Roman"/>
          <w:vertAlign w:val="superscript"/>
        </w:rPr>
        <w:t>th</w:t>
      </w:r>
      <w:r>
        <w:rPr>
          <w:rFonts w:cs="Times New Roman"/>
        </w:rPr>
        <w:t xml:space="preserve"> session, GRE considered proposals from GTB </w:t>
      </w:r>
      <w:r w:rsidR="00A1516A">
        <w:rPr>
          <w:rFonts w:cs="Times New Roman"/>
        </w:rPr>
        <w:t>concerning:</w:t>
      </w:r>
    </w:p>
    <w:p w:rsidR="00A1516A" w:rsidRDefault="00A1516A" w:rsidP="00AD3013">
      <w:pPr>
        <w:pStyle w:val="Header"/>
        <w:numPr>
          <w:ilvl w:val="0"/>
          <w:numId w:val="21"/>
        </w:numPr>
        <w:tabs>
          <w:tab w:val="left" w:pos="8505"/>
        </w:tabs>
        <w:spacing w:after="120" w:line="240" w:lineRule="atLeast"/>
        <w:ind w:right="521"/>
        <w:contextualSpacing/>
        <w:jc w:val="both"/>
        <w:rPr>
          <w:rFonts w:ascii="Times New Roman" w:hAnsi="Times New Roman" w:cs="Times New Roman"/>
          <w:sz w:val="20"/>
          <w:lang w:val="en-US"/>
        </w:rPr>
      </w:pPr>
      <w:r>
        <w:rPr>
          <w:rFonts w:ascii="Times New Roman" w:hAnsi="Times New Roman" w:cs="Times New Roman"/>
          <w:sz w:val="20"/>
          <w:lang w:val="en-US"/>
        </w:rPr>
        <w:t>LED Light Sources for Road Illumination Devices (RID)</w:t>
      </w:r>
    </w:p>
    <w:p w:rsidR="00A1516A" w:rsidRDefault="00A1516A" w:rsidP="00AD3013">
      <w:pPr>
        <w:pStyle w:val="Header"/>
        <w:numPr>
          <w:ilvl w:val="0"/>
          <w:numId w:val="21"/>
        </w:numPr>
        <w:tabs>
          <w:tab w:val="left" w:pos="8505"/>
        </w:tabs>
        <w:spacing w:after="120" w:line="240" w:lineRule="atLeast"/>
        <w:ind w:right="521"/>
        <w:contextualSpacing/>
        <w:jc w:val="both"/>
        <w:rPr>
          <w:rFonts w:ascii="Times New Roman" w:hAnsi="Times New Roman" w:cs="Times New Roman"/>
          <w:sz w:val="20"/>
          <w:lang w:val="en-US"/>
        </w:rPr>
      </w:pPr>
      <w:r>
        <w:rPr>
          <w:rFonts w:ascii="Times New Roman" w:hAnsi="Times New Roman" w:cs="Times New Roman"/>
          <w:sz w:val="20"/>
          <w:lang w:val="en-US"/>
        </w:rPr>
        <w:t xml:space="preserve">LED Substitutes for Light Signalling Devices (LSD) </w:t>
      </w:r>
    </w:p>
    <w:p w:rsidR="00A1516A" w:rsidRPr="009250B9" w:rsidRDefault="00A1516A" w:rsidP="00AD3013">
      <w:pPr>
        <w:pStyle w:val="Header"/>
        <w:numPr>
          <w:ilvl w:val="0"/>
          <w:numId w:val="21"/>
        </w:numPr>
        <w:tabs>
          <w:tab w:val="left" w:pos="8505"/>
        </w:tabs>
        <w:spacing w:after="120" w:line="240" w:lineRule="atLeast"/>
        <w:ind w:right="521"/>
        <w:contextualSpacing/>
        <w:jc w:val="both"/>
        <w:rPr>
          <w:rFonts w:ascii="Times New Roman" w:hAnsi="Times New Roman" w:cs="Times New Roman"/>
          <w:sz w:val="20"/>
          <w:lang w:val="en-US"/>
        </w:rPr>
      </w:pPr>
      <w:r>
        <w:rPr>
          <w:rFonts w:ascii="Times New Roman" w:hAnsi="Times New Roman" w:cs="Times New Roman"/>
          <w:sz w:val="20"/>
          <w:lang w:val="en-US"/>
        </w:rPr>
        <w:t>Simplification of the COP requirements for AFS</w:t>
      </w:r>
    </w:p>
    <w:p w:rsidR="00EC6FBC" w:rsidRPr="00A1516A" w:rsidRDefault="00A1516A" w:rsidP="00AD3013">
      <w:pPr>
        <w:pStyle w:val="Heading1"/>
        <w:tabs>
          <w:tab w:val="left" w:pos="8505"/>
        </w:tabs>
        <w:spacing w:after="120"/>
        <w:ind w:left="0" w:right="521"/>
        <w:jc w:val="both"/>
      </w:pPr>
      <w:r w:rsidRPr="00A1516A">
        <w:t xml:space="preserve">These proposals were not adopted </w:t>
      </w:r>
      <w:r>
        <w:t>and decisions were deferred to GRE-77 where they will be addressed under agenda items 5 and 7(e) respectively, in the context of revised proposals from GTB.</w:t>
      </w:r>
      <w:r w:rsidR="00AD3013">
        <w:t xml:space="preserve"> </w:t>
      </w:r>
    </w:p>
    <w:p w:rsidR="00AD3013" w:rsidRDefault="00AD3013" w:rsidP="00AD3013">
      <w:pPr>
        <w:pStyle w:val="Heading1"/>
        <w:tabs>
          <w:tab w:val="left" w:pos="8505"/>
        </w:tabs>
        <w:spacing w:after="120"/>
        <w:ind w:left="0" w:right="521"/>
        <w:jc w:val="both"/>
        <w:rPr>
          <w:b/>
        </w:rPr>
      </w:pPr>
    </w:p>
    <w:p w:rsidR="009250B9" w:rsidRPr="009250B9" w:rsidRDefault="00EC6FBC" w:rsidP="00AD3013">
      <w:pPr>
        <w:pStyle w:val="Heading1"/>
        <w:tabs>
          <w:tab w:val="left" w:pos="8505"/>
        </w:tabs>
        <w:spacing w:after="120"/>
        <w:ind w:left="0" w:right="521"/>
        <w:jc w:val="both"/>
        <w:rPr>
          <w:b/>
        </w:rPr>
      </w:pPr>
      <w:r>
        <w:rPr>
          <w:b/>
        </w:rPr>
        <w:t>QUESTIONS FOR GRE</w:t>
      </w:r>
    </w:p>
    <w:p w:rsidR="009250B9" w:rsidRDefault="00A1516A" w:rsidP="00AD3013">
      <w:pPr>
        <w:pStyle w:val="PlainText"/>
        <w:tabs>
          <w:tab w:val="left" w:pos="8505"/>
        </w:tabs>
        <w:spacing w:after="120"/>
        <w:ind w:right="521"/>
        <w:jc w:val="both"/>
        <w:rPr>
          <w:rFonts w:cs="Times New Roman"/>
        </w:rPr>
      </w:pPr>
      <w:r>
        <w:rPr>
          <w:rFonts w:cs="Times New Roman"/>
        </w:rPr>
        <w:t xml:space="preserve">Assuming that GRE decides to adopt the revised proposals from GTB </w:t>
      </w:r>
      <w:r w:rsidR="00D214B8">
        <w:rPr>
          <w:rFonts w:cs="Times New Roman"/>
        </w:rPr>
        <w:t xml:space="preserve">the question arises in respect </w:t>
      </w:r>
      <w:r w:rsidR="003768C2">
        <w:rPr>
          <w:rFonts w:cs="Times New Roman"/>
        </w:rPr>
        <w:t xml:space="preserve">to </w:t>
      </w:r>
      <w:r w:rsidR="00D214B8">
        <w:rPr>
          <w:rFonts w:cs="Times New Roman"/>
        </w:rPr>
        <w:t xml:space="preserve">how they shall be introduced into the respective regulations in view of the “freezing” of the existing regulations and the creation of the new simplified regulations. With regard to the amendments to Regulation No. 128, the Special Resolution for light sources and Regulation No. 48 the situation is clear because they are not part of the “frozen” regulations. However there is an issue concerning the </w:t>
      </w:r>
      <w:r w:rsidR="003768C2">
        <w:rPr>
          <w:rFonts w:cs="Times New Roman"/>
        </w:rPr>
        <w:t xml:space="preserve">associated </w:t>
      </w:r>
      <w:r w:rsidR="00D214B8">
        <w:rPr>
          <w:rFonts w:cs="Times New Roman"/>
        </w:rPr>
        <w:t>provisions to be eventually introduced into the new RID and LSD Regulations.</w:t>
      </w:r>
    </w:p>
    <w:p w:rsidR="00D214B8" w:rsidRDefault="00D214B8" w:rsidP="00AD3013">
      <w:pPr>
        <w:pStyle w:val="PlainText"/>
        <w:tabs>
          <w:tab w:val="left" w:pos="8505"/>
        </w:tabs>
        <w:spacing w:after="120"/>
        <w:ind w:right="521"/>
        <w:jc w:val="both"/>
        <w:rPr>
          <w:rFonts w:cs="Times New Roman"/>
        </w:rPr>
      </w:pPr>
      <w:r>
        <w:rPr>
          <w:rFonts w:cs="Times New Roman"/>
        </w:rPr>
        <w:t xml:space="preserve">GTB understands, </w:t>
      </w:r>
      <w:r w:rsidRPr="008902DE">
        <w:rPr>
          <w:rFonts w:cs="Times New Roman"/>
          <w:u w:val="single"/>
        </w:rPr>
        <w:t>and was party to</w:t>
      </w:r>
      <w:r>
        <w:rPr>
          <w:rFonts w:cs="Times New Roman"/>
        </w:rPr>
        <w:t>, the decision to freeze the existing regulations as part of the simplifica</w:t>
      </w:r>
      <w:r w:rsidR="003768C2">
        <w:rPr>
          <w:rFonts w:cs="Times New Roman"/>
        </w:rPr>
        <w:t xml:space="preserve">tion activity. This means that </w:t>
      </w:r>
      <w:r>
        <w:rPr>
          <w:rFonts w:cs="Times New Roman"/>
        </w:rPr>
        <w:t>the introduction of provisions</w:t>
      </w:r>
      <w:r w:rsidR="008E0D9F">
        <w:rPr>
          <w:rFonts w:cs="Times New Roman"/>
        </w:rPr>
        <w:t>,</w:t>
      </w:r>
      <w:r>
        <w:rPr>
          <w:rFonts w:cs="Times New Roman"/>
        </w:rPr>
        <w:t xml:space="preserve"> that are part of the package of amendments to introduce the LED light sources and the simplified COP requirements for AFS</w:t>
      </w:r>
      <w:r w:rsidR="008E0D9F">
        <w:rPr>
          <w:rFonts w:cs="Times New Roman"/>
        </w:rPr>
        <w:t>,</w:t>
      </w:r>
      <w:r>
        <w:rPr>
          <w:rFonts w:cs="Times New Roman"/>
        </w:rPr>
        <w:t xml:space="preserve"> shall be postponed until the new Regulations have entered into force in January 2019.</w:t>
      </w:r>
      <w:r w:rsidR="00E251EC">
        <w:rPr>
          <w:rFonts w:cs="Times New Roman"/>
        </w:rPr>
        <w:t xml:space="preserve"> This will create a situation where</w:t>
      </w:r>
      <w:r w:rsidR="008E0D9F">
        <w:rPr>
          <w:rFonts w:cs="Times New Roman"/>
        </w:rPr>
        <w:t xml:space="preserve"> </w:t>
      </w:r>
      <w:r w:rsidR="00E251EC">
        <w:rPr>
          <w:rFonts w:cs="Times New Roman"/>
        </w:rPr>
        <w:t xml:space="preserve">the industrialisation of the LED light sources </w:t>
      </w:r>
      <w:r w:rsidR="008E0D9F">
        <w:rPr>
          <w:rFonts w:cs="Times New Roman"/>
        </w:rPr>
        <w:t xml:space="preserve">and the simplified COP testing for AFS </w:t>
      </w:r>
      <w:r w:rsidR="00E251EC">
        <w:rPr>
          <w:rFonts w:cs="Times New Roman"/>
        </w:rPr>
        <w:t>will be delayed until January 2020, at the earliest, because it will be necessary to introduce an amendment to the new regulations.</w:t>
      </w:r>
    </w:p>
    <w:p w:rsidR="00E251EC" w:rsidRDefault="00E251EC" w:rsidP="00AD3013">
      <w:pPr>
        <w:pStyle w:val="PlainText"/>
        <w:tabs>
          <w:tab w:val="left" w:pos="8505"/>
        </w:tabs>
        <w:spacing w:after="120"/>
        <w:ind w:right="521"/>
        <w:jc w:val="both"/>
        <w:rPr>
          <w:rFonts w:cs="Times New Roman"/>
        </w:rPr>
      </w:pPr>
      <w:r>
        <w:rPr>
          <w:rFonts w:cs="Times New Roman"/>
        </w:rPr>
        <w:t xml:space="preserve">To avoid this delay GTB would like to </w:t>
      </w:r>
      <w:r w:rsidR="008E0D9F">
        <w:rPr>
          <w:rFonts w:cs="Times New Roman"/>
        </w:rPr>
        <w:t>suggest</w:t>
      </w:r>
      <w:r>
        <w:rPr>
          <w:rFonts w:cs="Times New Roman"/>
        </w:rPr>
        <w:t xml:space="preserve"> options that GRE may wish to consider</w:t>
      </w:r>
      <w:r w:rsidR="008E0D9F">
        <w:rPr>
          <w:rFonts w:cs="Times New Roman"/>
        </w:rPr>
        <w:t>,</w:t>
      </w:r>
      <w:r>
        <w:rPr>
          <w:rFonts w:cs="Times New Roman"/>
        </w:rPr>
        <w:t xml:space="preserve"> in order to avoid a delay </w:t>
      </w:r>
      <w:r w:rsidR="003768C2">
        <w:rPr>
          <w:rFonts w:cs="Times New Roman"/>
        </w:rPr>
        <w:t xml:space="preserve">to the introduction of </w:t>
      </w:r>
      <w:r>
        <w:rPr>
          <w:rFonts w:cs="Times New Roman"/>
        </w:rPr>
        <w:t>the new LED light sources and the simplified COP provisions for AFS. These options, that would also avoid the need to work on amendments to the new regulations immediately after they have entered into force, are:</w:t>
      </w:r>
    </w:p>
    <w:p w:rsidR="00E251EC" w:rsidRDefault="00E251EC" w:rsidP="00AD3013">
      <w:pPr>
        <w:pStyle w:val="PlainText"/>
        <w:numPr>
          <w:ilvl w:val="0"/>
          <w:numId w:val="22"/>
        </w:numPr>
        <w:tabs>
          <w:tab w:val="left" w:pos="8505"/>
        </w:tabs>
        <w:spacing w:after="120"/>
        <w:ind w:right="521"/>
        <w:jc w:val="both"/>
        <w:rPr>
          <w:rFonts w:cs="Times New Roman"/>
        </w:rPr>
      </w:pPr>
      <w:r>
        <w:rPr>
          <w:rFonts w:cs="Times New Roman"/>
        </w:rPr>
        <w:t>Introduce the proposals</w:t>
      </w:r>
      <w:r w:rsidR="003768C2">
        <w:rPr>
          <w:rFonts w:cs="Times New Roman"/>
        </w:rPr>
        <w:t>, if</w:t>
      </w:r>
      <w:r>
        <w:rPr>
          <w:rFonts w:cs="Times New Roman"/>
        </w:rPr>
        <w:t xml:space="preserve"> adopted by GRE-77</w:t>
      </w:r>
      <w:r w:rsidR="003768C2">
        <w:rPr>
          <w:rFonts w:cs="Times New Roman"/>
        </w:rPr>
        <w:t>,</w:t>
      </w:r>
      <w:r>
        <w:rPr>
          <w:rFonts w:cs="Times New Roman"/>
        </w:rPr>
        <w:t xml:space="preserve"> into the drafts of the new RID and LSD Regulations so that the whole package is f</w:t>
      </w:r>
      <w:r w:rsidR="00981D85">
        <w:rPr>
          <w:rFonts w:cs="Times New Roman"/>
        </w:rPr>
        <w:t>ormally submitted to GRE-78 according to the IWG-SLR timetable.</w:t>
      </w:r>
    </w:p>
    <w:p w:rsidR="00981D85" w:rsidRDefault="00981D85" w:rsidP="00AD3013">
      <w:pPr>
        <w:pStyle w:val="PlainText"/>
        <w:tabs>
          <w:tab w:val="left" w:pos="8505"/>
        </w:tabs>
        <w:spacing w:after="120"/>
        <w:ind w:left="720" w:right="521"/>
        <w:jc w:val="both"/>
        <w:rPr>
          <w:rFonts w:cs="Times New Roman"/>
        </w:rPr>
      </w:pPr>
      <w:r>
        <w:rPr>
          <w:rFonts w:cs="Times New Roman"/>
        </w:rPr>
        <w:t>This approach would be the most efficient because it will not involve additional administrative steps for WP29 and the Contracting Parties. However, it does infringe the agreed plan to freeze the existing regulations and then transform their content into the new regulations without any material change to the requirements.</w:t>
      </w:r>
    </w:p>
    <w:p w:rsidR="00981D85" w:rsidRDefault="000238BA" w:rsidP="00AD3013">
      <w:pPr>
        <w:pStyle w:val="PlainText"/>
        <w:numPr>
          <w:ilvl w:val="0"/>
          <w:numId w:val="22"/>
        </w:numPr>
        <w:tabs>
          <w:tab w:val="left" w:pos="8505"/>
        </w:tabs>
        <w:spacing w:after="120"/>
        <w:ind w:right="521"/>
        <w:jc w:val="both"/>
        <w:rPr>
          <w:rFonts w:cs="Times New Roman"/>
        </w:rPr>
      </w:pPr>
      <w:r>
        <w:rPr>
          <w:rFonts w:cs="Times New Roman"/>
        </w:rPr>
        <w:t>Draft the first amendments to the new regulations and submit them for adoption at GRE-78 so that they can be processed through WP29 and</w:t>
      </w:r>
      <w:r w:rsidR="008E0D9F">
        <w:rPr>
          <w:rFonts w:cs="Times New Roman"/>
        </w:rPr>
        <w:t xml:space="preserve"> enter</w:t>
      </w:r>
      <w:r>
        <w:rPr>
          <w:rFonts w:cs="Times New Roman"/>
        </w:rPr>
        <w:t xml:space="preserve"> into force at the same time as the drafts of the new regulations. This would not infringe the agreed plan but it would create extra work for the secretariat and for the contracting parties.</w:t>
      </w:r>
    </w:p>
    <w:p w:rsidR="00AD3013" w:rsidRDefault="00AD3013" w:rsidP="00AD3013">
      <w:pPr>
        <w:pStyle w:val="PlainText"/>
        <w:tabs>
          <w:tab w:val="left" w:pos="8505"/>
        </w:tabs>
        <w:spacing w:after="120"/>
        <w:ind w:right="521"/>
        <w:jc w:val="both"/>
        <w:rPr>
          <w:rFonts w:cs="Times New Roman"/>
        </w:rPr>
      </w:pPr>
      <w:r>
        <w:rPr>
          <w:rFonts w:cs="Times New Roman"/>
        </w:rPr>
        <w:t xml:space="preserve">During the presentation of the revised proposals </w:t>
      </w:r>
      <w:r w:rsidR="008E0D9F">
        <w:rPr>
          <w:rFonts w:cs="Times New Roman"/>
        </w:rPr>
        <w:t xml:space="preserve">GTB </w:t>
      </w:r>
      <w:r>
        <w:rPr>
          <w:rFonts w:cs="Times New Roman"/>
        </w:rPr>
        <w:t xml:space="preserve">will </w:t>
      </w:r>
      <w:r w:rsidR="008E0D9F">
        <w:rPr>
          <w:rFonts w:cs="Times New Roman"/>
        </w:rPr>
        <w:t xml:space="preserve">demonstrate </w:t>
      </w:r>
      <w:r>
        <w:rPr>
          <w:rFonts w:cs="Times New Roman"/>
        </w:rPr>
        <w:t>that the necessary changes are minor in the context of the RID and LSD Draft regulations.</w:t>
      </w:r>
    </w:p>
    <w:p w:rsidR="00AD3013" w:rsidRPr="009250B9" w:rsidRDefault="00AD3013" w:rsidP="00AD3013">
      <w:pPr>
        <w:pStyle w:val="PlainText"/>
        <w:tabs>
          <w:tab w:val="left" w:pos="8505"/>
        </w:tabs>
        <w:spacing w:after="120"/>
        <w:ind w:right="521"/>
        <w:jc w:val="cente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t>____________</w:t>
      </w:r>
      <w:r w:rsidR="008E0D9F">
        <w:rPr>
          <w:rFonts w:cs="Times New Roman"/>
        </w:rPr>
        <w:t>____________________</w:t>
      </w:r>
    </w:p>
    <w:p w:rsidR="0017295E" w:rsidRPr="00BB4BA2" w:rsidRDefault="0017295E" w:rsidP="00AD3013">
      <w:pPr>
        <w:ind w:right="-46"/>
        <w:contextualSpacing/>
        <w:jc w:val="both"/>
        <w:rPr>
          <w:rFonts w:ascii="Times New Roman" w:hAnsi="Times New Roman" w:cs="Times New Roman"/>
          <w:sz w:val="20"/>
          <w:szCs w:val="20"/>
        </w:rPr>
      </w:pPr>
    </w:p>
    <w:sectPr w:rsidR="0017295E" w:rsidRPr="00BB4BA2" w:rsidSect="004959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31" w:rsidRDefault="00D06431" w:rsidP="00495922">
      <w:pPr>
        <w:spacing w:after="0" w:line="240" w:lineRule="auto"/>
      </w:pPr>
      <w:r>
        <w:separator/>
      </w:r>
    </w:p>
  </w:endnote>
  <w:endnote w:type="continuationSeparator" w:id="0">
    <w:p w:rsidR="00D06431" w:rsidRDefault="00D06431" w:rsidP="004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C0" w:rsidRDefault="00E75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C0" w:rsidRDefault="00E75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C0" w:rsidRDefault="00E75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31" w:rsidRDefault="00D06431" w:rsidP="00495922">
      <w:pPr>
        <w:spacing w:after="0" w:line="240" w:lineRule="auto"/>
      </w:pPr>
      <w:r>
        <w:separator/>
      </w:r>
    </w:p>
  </w:footnote>
  <w:footnote w:type="continuationSeparator" w:id="0">
    <w:p w:rsidR="00D06431" w:rsidRDefault="00D06431" w:rsidP="00495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C0" w:rsidRDefault="00E75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C0" w:rsidRDefault="00E75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3112F6" w:rsidRPr="00240B3B" w:rsidTr="00D37B57">
      <w:tc>
        <w:tcPr>
          <w:tcW w:w="4536" w:type="dxa"/>
          <w:vAlign w:val="center"/>
        </w:tcPr>
        <w:p w:rsidR="003112F6" w:rsidRPr="00240B3B" w:rsidRDefault="003112F6" w:rsidP="00D37B57">
          <w:pPr>
            <w:spacing w:after="0"/>
            <w:ind w:right="67"/>
            <w:jc w:val="both"/>
            <w:rPr>
              <w:rFonts w:ascii="Times New Roman" w:hAnsi="Times New Roman" w:cs="Times New Roman"/>
              <w:sz w:val="20"/>
              <w:szCs w:val="20"/>
              <w:lang w:val="en-TT" w:eastAsia="ar-SA"/>
            </w:rPr>
          </w:pPr>
          <w:r w:rsidRPr="00240B3B">
            <w:rPr>
              <w:rFonts w:ascii="Times New Roman" w:hAnsi="Times New Roman" w:cs="Times New Roman"/>
              <w:sz w:val="20"/>
              <w:szCs w:val="20"/>
            </w:rPr>
            <w:t xml:space="preserve">Transmitted by the </w:t>
          </w:r>
          <w:r w:rsidRPr="00240B3B">
            <w:rPr>
              <w:rFonts w:ascii="Times New Roman" w:hAnsi="Times New Roman" w:cs="Times New Roman"/>
              <w:sz w:val="20"/>
              <w:szCs w:val="20"/>
              <w:lang w:eastAsia="ja-JP"/>
            </w:rPr>
            <w:t>expert</w:t>
          </w:r>
          <w:r>
            <w:rPr>
              <w:rFonts w:ascii="Times New Roman" w:hAnsi="Times New Roman" w:cs="Times New Roman"/>
              <w:sz w:val="20"/>
              <w:szCs w:val="20"/>
              <w:lang w:eastAsia="ja-JP"/>
            </w:rPr>
            <w:t>s</w:t>
          </w:r>
          <w:r w:rsidRPr="00240B3B">
            <w:rPr>
              <w:rFonts w:ascii="Times New Roman" w:hAnsi="Times New Roman" w:cs="Times New Roman"/>
              <w:sz w:val="20"/>
              <w:szCs w:val="20"/>
              <w:lang w:eastAsia="ja-JP"/>
            </w:rPr>
            <w:t xml:space="preserve"> from</w:t>
          </w:r>
          <w:r>
            <w:rPr>
              <w:rFonts w:ascii="Times New Roman" w:hAnsi="Times New Roman" w:cs="Times New Roman"/>
              <w:sz w:val="20"/>
              <w:szCs w:val="20"/>
            </w:rPr>
            <w:t xml:space="preserve"> T</w:t>
          </w:r>
          <w:r w:rsidRPr="00240B3B">
            <w:rPr>
              <w:rFonts w:ascii="Times New Roman" w:hAnsi="Times New Roman" w:cs="Times New Roman"/>
              <w:sz w:val="20"/>
              <w:szCs w:val="20"/>
            </w:rPr>
            <w:t>he International Automotive Lighting and Light Signalling Expert Group (GTB)</w:t>
          </w:r>
          <w:r>
            <w:rPr>
              <w:rFonts w:ascii="Times New Roman" w:hAnsi="Times New Roman" w:cs="Times New Roman"/>
              <w:sz w:val="20"/>
              <w:szCs w:val="20"/>
            </w:rPr>
            <w:t xml:space="preserve"> </w:t>
          </w:r>
        </w:p>
      </w:tc>
      <w:tc>
        <w:tcPr>
          <w:tcW w:w="5103" w:type="dxa"/>
        </w:tcPr>
        <w:p w:rsidR="003112F6" w:rsidRPr="00936C3A" w:rsidRDefault="003112F6" w:rsidP="00D37B57">
          <w:pPr>
            <w:spacing w:after="0"/>
            <w:ind w:left="1418"/>
            <w:rPr>
              <w:rFonts w:ascii="Times New Roman" w:hAnsi="Times New Roman" w:cs="Times New Roman"/>
              <w:b/>
              <w:bCs/>
              <w:color w:val="000000"/>
              <w:sz w:val="20"/>
              <w:szCs w:val="20"/>
              <w:lang w:val="fr-FR" w:eastAsia="ar-SA"/>
            </w:rPr>
          </w:pPr>
          <w:r w:rsidRPr="00D37B57">
            <w:rPr>
              <w:rFonts w:ascii="Times New Roman" w:hAnsi="Times New Roman" w:cs="Times New Roman"/>
              <w:sz w:val="20"/>
              <w:szCs w:val="20"/>
              <w:u w:val="single"/>
              <w:lang w:eastAsia="ar-SA"/>
            </w:rPr>
            <w:t>Informal</w:t>
          </w:r>
          <w:r w:rsidRPr="00936C3A">
            <w:rPr>
              <w:rFonts w:ascii="Times New Roman" w:hAnsi="Times New Roman" w:cs="Times New Roman"/>
              <w:sz w:val="20"/>
              <w:szCs w:val="20"/>
              <w:u w:val="single"/>
              <w:lang w:val="fr-FR" w:eastAsia="ar-SA"/>
            </w:rPr>
            <w:t xml:space="preserve"> document</w:t>
          </w:r>
          <w:r w:rsidRPr="00936C3A">
            <w:rPr>
              <w:rFonts w:ascii="Times New Roman" w:hAnsi="Times New Roman" w:cs="Times New Roman"/>
              <w:sz w:val="20"/>
              <w:szCs w:val="20"/>
              <w:lang w:val="fr-FR" w:eastAsia="ar-SA"/>
            </w:rPr>
            <w:t xml:space="preserve"> </w:t>
          </w:r>
          <w:r w:rsidRPr="00936C3A">
            <w:rPr>
              <w:rFonts w:ascii="Times New Roman" w:hAnsi="Times New Roman" w:cs="Times New Roman"/>
              <w:b/>
              <w:bCs/>
              <w:sz w:val="20"/>
              <w:szCs w:val="20"/>
              <w:lang w:val="fr-FR" w:eastAsia="ar-SA"/>
            </w:rPr>
            <w:t>GRE-</w:t>
          </w:r>
          <w:r>
            <w:rPr>
              <w:rFonts w:ascii="Times New Roman" w:hAnsi="Times New Roman" w:cs="Times New Roman"/>
              <w:b/>
              <w:bCs/>
              <w:sz w:val="20"/>
              <w:szCs w:val="20"/>
              <w:lang w:val="fr-FR" w:eastAsia="ar-SA"/>
            </w:rPr>
            <w:t>7</w:t>
          </w:r>
          <w:r w:rsidR="00AD2537">
            <w:rPr>
              <w:rFonts w:ascii="Times New Roman" w:hAnsi="Times New Roman" w:cs="Times New Roman"/>
              <w:b/>
              <w:bCs/>
              <w:sz w:val="20"/>
              <w:szCs w:val="20"/>
              <w:lang w:val="fr-FR" w:eastAsia="ar-SA"/>
            </w:rPr>
            <w:t>7</w:t>
          </w:r>
          <w:r>
            <w:rPr>
              <w:rFonts w:ascii="Times New Roman" w:hAnsi="Times New Roman" w:cs="Times New Roman"/>
              <w:b/>
              <w:bCs/>
              <w:sz w:val="20"/>
              <w:szCs w:val="20"/>
              <w:lang w:val="fr-FR" w:eastAsia="ar-SA"/>
            </w:rPr>
            <w:t>-</w:t>
          </w:r>
          <w:r w:rsidR="00E756C0">
            <w:rPr>
              <w:rFonts w:ascii="Times New Roman" w:hAnsi="Times New Roman" w:cs="Times New Roman"/>
              <w:b/>
              <w:bCs/>
              <w:sz w:val="20"/>
              <w:szCs w:val="20"/>
              <w:lang w:val="fr-FR" w:eastAsia="ar-SA"/>
            </w:rPr>
            <w:t>07</w:t>
          </w:r>
          <w:bookmarkStart w:id="0" w:name="_GoBack"/>
          <w:bookmarkEnd w:id="0"/>
        </w:p>
        <w:p w:rsidR="003112F6" w:rsidRPr="0001033B" w:rsidRDefault="003112F6" w:rsidP="00D37B57">
          <w:pPr>
            <w:tabs>
              <w:tab w:val="center" w:pos="4677"/>
              <w:tab w:val="right" w:pos="9355"/>
            </w:tabs>
            <w:spacing w:after="0"/>
            <w:ind w:left="1418"/>
            <w:rPr>
              <w:rFonts w:ascii="Times New Roman" w:hAnsi="Times New Roman" w:cs="Times New Roman"/>
              <w:sz w:val="20"/>
              <w:szCs w:val="20"/>
              <w:lang w:val="en-US" w:eastAsia="ar-SA"/>
            </w:rPr>
          </w:pPr>
          <w:r w:rsidRPr="0001033B">
            <w:rPr>
              <w:rFonts w:ascii="Times New Roman" w:hAnsi="Times New Roman" w:cs="Times New Roman"/>
              <w:sz w:val="20"/>
              <w:szCs w:val="20"/>
              <w:lang w:val="en-US" w:eastAsia="ar-SA"/>
            </w:rPr>
            <w:t>(7</w:t>
          </w:r>
          <w:r w:rsidR="00AD2537" w:rsidRPr="0001033B">
            <w:rPr>
              <w:rFonts w:ascii="Times New Roman" w:hAnsi="Times New Roman" w:cs="Times New Roman"/>
              <w:sz w:val="20"/>
              <w:szCs w:val="20"/>
              <w:lang w:val="en-US" w:eastAsia="ar-SA"/>
            </w:rPr>
            <w:t>7</w:t>
          </w:r>
          <w:r w:rsidRPr="0001033B">
            <w:rPr>
              <w:rFonts w:ascii="Times New Roman" w:hAnsi="Times New Roman" w:cs="Times New Roman"/>
              <w:sz w:val="20"/>
              <w:szCs w:val="20"/>
              <w:lang w:val="en-US" w:eastAsia="ar-SA"/>
            </w:rPr>
            <w:t xml:space="preserve">th GRE, </w:t>
          </w:r>
          <w:r w:rsidR="00AD2537" w:rsidRPr="0001033B">
            <w:rPr>
              <w:rFonts w:ascii="Times New Roman" w:hAnsi="Times New Roman" w:cs="Times New Roman"/>
              <w:sz w:val="20"/>
              <w:szCs w:val="20"/>
              <w:lang w:val="en-US" w:eastAsia="ar-SA"/>
            </w:rPr>
            <w:t>4-7 April 2017</w:t>
          </w:r>
        </w:p>
        <w:p w:rsidR="003112F6" w:rsidRPr="00240B3B" w:rsidRDefault="003112F6" w:rsidP="001D4900">
          <w:pPr>
            <w:tabs>
              <w:tab w:val="center" w:pos="4677"/>
              <w:tab w:val="right" w:pos="9355"/>
            </w:tabs>
            <w:spacing w:after="0"/>
            <w:ind w:left="1418"/>
            <w:rPr>
              <w:rFonts w:ascii="Times New Roman" w:hAnsi="Times New Roman" w:cs="Times New Roman"/>
              <w:sz w:val="20"/>
              <w:szCs w:val="20"/>
              <w:lang w:val="en-TT" w:eastAsia="ar-SA"/>
            </w:rPr>
          </w:pPr>
          <w:r w:rsidRPr="00240B3B">
            <w:rPr>
              <w:rFonts w:ascii="Times New Roman" w:hAnsi="Times New Roman" w:cs="Times New Roman"/>
              <w:sz w:val="20"/>
              <w:szCs w:val="20"/>
              <w:lang w:val="en-TT" w:eastAsia="ar-SA"/>
            </w:rPr>
            <w:t>agenda item</w:t>
          </w:r>
          <w:r w:rsidR="00AD3013">
            <w:rPr>
              <w:rFonts w:ascii="Times New Roman" w:hAnsi="Times New Roman" w:cs="Times New Roman"/>
              <w:sz w:val="20"/>
              <w:szCs w:val="20"/>
              <w:lang w:val="en-TT" w:eastAsia="ar-SA"/>
            </w:rPr>
            <w:t>s</w:t>
          </w:r>
          <w:r w:rsidRPr="00240B3B">
            <w:rPr>
              <w:rFonts w:ascii="Times New Roman" w:hAnsi="Times New Roman" w:cs="Times New Roman"/>
              <w:sz w:val="20"/>
              <w:szCs w:val="20"/>
              <w:lang w:val="en-TT" w:eastAsia="ar-SA"/>
            </w:rPr>
            <w:t xml:space="preserve"> </w:t>
          </w:r>
          <w:r w:rsidR="0001033B">
            <w:rPr>
              <w:rFonts w:ascii="Times New Roman" w:hAnsi="Times New Roman" w:cs="Times New Roman"/>
              <w:sz w:val="20"/>
              <w:szCs w:val="20"/>
              <w:lang w:val="en-TT" w:eastAsia="ar-SA"/>
            </w:rPr>
            <w:t>5</w:t>
          </w:r>
          <w:r w:rsidR="001D4900">
            <w:rPr>
              <w:rFonts w:ascii="Times New Roman" w:hAnsi="Times New Roman" w:cs="Times New Roman"/>
              <w:sz w:val="20"/>
              <w:szCs w:val="20"/>
              <w:lang w:val="en-TT" w:eastAsia="ar-SA"/>
            </w:rPr>
            <w:t xml:space="preserve"> and 7(e)</w:t>
          </w:r>
          <w:r w:rsidR="0001033B">
            <w:rPr>
              <w:rFonts w:ascii="Times New Roman" w:hAnsi="Times New Roman" w:cs="Times New Roman"/>
              <w:sz w:val="20"/>
              <w:szCs w:val="20"/>
              <w:lang w:val="en-TT" w:eastAsia="ar-SA"/>
            </w:rPr>
            <w:t>)</w:t>
          </w:r>
        </w:p>
      </w:tc>
    </w:tr>
  </w:tbl>
  <w:p w:rsidR="003112F6" w:rsidRDefault="00311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1D6"/>
    <w:multiLevelType w:val="hybridMultilevel"/>
    <w:tmpl w:val="8C3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57A1B"/>
    <w:multiLevelType w:val="hybridMultilevel"/>
    <w:tmpl w:val="6E0ADA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C1559"/>
    <w:multiLevelType w:val="hybridMultilevel"/>
    <w:tmpl w:val="6B1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F7674"/>
    <w:multiLevelType w:val="hybridMultilevel"/>
    <w:tmpl w:val="348E8D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E8458A"/>
    <w:multiLevelType w:val="hybridMultilevel"/>
    <w:tmpl w:val="F41425A0"/>
    <w:lvl w:ilvl="0" w:tplc="B6BE4EAE">
      <w:start w:val="1"/>
      <w:numFmt w:val="bullet"/>
      <w:lvlText w:val=""/>
      <w:lvlJc w:val="left"/>
      <w:pPr>
        <w:tabs>
          <w:tab w:val="num" w:pos="720"/>
        </w:tabs>
        <w:ind w:left="720" w:hanging="360"/>
      </w:pPr>
      <w:rPr>
        <w:rFonts w:ascii="Wingdings" w:hAnsi="Wingdings" w:hint="default"/>
      </w:rPr>
    </w:lvl>
    <w:lvl w:ilvl="1" w:tplc="DD3E22F2">
      <w:start w:val="711"/>
      <w:numFmt w:val="bullet"/>
      <w:lvlText w:val=""/>
      <w:lvlJc w:val="left"/>
      <w:pPr>
        <w:tabs>
          <w:tab w:val="num" w:pos="1440"/>
        </w:tabs>
        <w:ind w:left="1440" w:hanging="360"/>
      </w:pPr>
      <w:rPr>
        <w:rFonts w:ascii="Wingdings" w:hAnsi="Wingdings" w:hint="default"/>
      </w:rPr>
    </w:lvl>
    <w:lvl w:ilvl="2" w:tplc="18305164" w:tentative="1">
      <w:start w:val="1"/>
      <w:numFmt w:val="bullet"/>
      <w:lvlText w:val=""/>
      <w:lvlJc w:val="left"/>
      <w:pPr>
        <w:tabs>
          <w:tab w:val="num" w:pos="2160"/>
        </w:tabs>
        <w:ind w:left="2160" w:hanging="360"/>
      </w:pPr>
      <w:rPr>
        <w:rFonts w:ascii="Wingdings" w:hAnsi="Wingdings" w:hint="default"/>
      </w:rPr>
    </w:lvl>
    <w:lvl w:ilvl="3" w:tplc="C26E6F22" w:tentative="1">
      <w:start w:val="1"/>
      <w:numFmt w:val="bullet"/>
      <w:lvlText w:val=""/>
      <w:lvlJc w:val="left"/>
      <w:pPr>
        <w:tabs>
          <w:tab w:val="num" w:pos="2880"/>
        </w:tabs>
        <w:ind w:left="2880" w:hanging="360"/>
      </w:pPr>
      <w:rPr>
        <w:rFonts w:ascii="Wingdings" w:hAnsi="Wingdings" w:hint="default"/>
      </w:rPr>
    </w:lvl>
    <w:lvl w:ilvl="4" w:tplc="0C78D38E" w:tentative="1">
      <w:start w:val="1"/>
      <w:numFmt w:val="bullet"/>
      <w:lvlText w:val=""/>
      <w:lvlJc w:val="left"/>
      <w:pPr>
        <w:tabs>
          <w:tab w:val="num" w:pos="3600"/>
        </w:tabs>
        <w:ind w:left="3600" w:hanging="360"/>
      </w:pPr>
      <w:rPr>
        <w:rFonts w:ascii="Wingdings" w:hAnsi="Wingdings" w:hint="default"/>
      </w:rPr>
    </w:lvl>
    <w:lvl w:ilvl="5" w:tplc="66785EFC" w:tentative="1">
      <w:start w:val="1"/>
      <w:numFmt w:val="bullet"/>
      <w:lvlText w:val=""/>
      <w:lvlJc w:val="left"/>
      <w:pPr>
        <w:tabs>
          <w:tab w:val="num" w:pos="4320"/>
        </w:tabs>
        <w:ind w:left="4320" w:hanging="360"/>
      </w:pPr>
      <w:rPr>
        <w:rFonts w:ascii="Wingdings" w:hAnsi="Wingdings" w:hint="default"/>
      </w:rPr>
    </w:lvl>
    <w:lvl w:ilvl="6" w:tplc="81B8D960" w:tentative="1">
      <w:start w:val="1"/>
      <w:numFmt w:val="bullet"/>
      <w:lvlText w:val=""/>
      <w:lvlJc w:val="left"/>
      <w:pPr>
        <w:tabs>
          <w:tab w:val="num" w:pos="5040"/>
        </w:tabs>
        <w:ind w:left="5040" w:hanging="360"/>
      </w:pPr>
      <w:rPr>
        <w:rFonts w:ascii="Wingdings" w:hAnsi="Wingdings" w:hint="default"/>
      </w:rPr>
    </w:lvl>
    <w:lvl w:ilvl="7" w:tplc="BD806B52" w:tentative="1">
      <w:start w:val="1"/>
      <w:numFmt w:val="bullet"/>
      <w:lvlText w:val=""/>
      <w:lvlJc w:val="left"/>
      <w:pPr>
        <w:tabs>
          <w:tab w:val="num" w:pos="5760"/>
        </w:tabs>
        <w:ind w:left="5760" w:hanging="360"/>
      </w:pPr>
      <w:rPr>
        <w:rFonts w:ascii="Wingdings" w:hAnsi="Wingdings" w:hint="default"/>
      </w:rPr>
    </w:lvl>
    <w:lvl w:ilvl="8" w:tplc="C6567A1A" w:tentative="1">
      <w:start w:val="1"/>
      <w:numFmt w:val="bullet"/>
      <w:lvlText w:val=""/>
      <w:lvlJc w:val="left"/>
      <w:pPr>
        <w:tabs>
          <w:tab w:val="num" w:pos="6480"/>
        </w:tabs>
        <w:ind w:left="6480" w:hanging="360"/>
      </w:pPr>
      <w:rPr>
        <w:rFonts w:ascii="Wingdings" w:hAnsi="Wingdings" w:hint="default"/>
      </w:rPr>
    </w:lvl>
  </w:abstractNum>
  <w:abstractNum w:abstractNumId="6">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379B6719"/>
    <w:multiLevelType w:val="hybridMultilevel"/>
    <w:tmpl w:val="5118827C"/>
    <w:lvl w:ilvl="0" w:tplc="92DA5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4791A"/>
    <w:multiLevelType w:val="hybridMultilevel"/>
    <w:tmpl w:val="5CE084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4AA038A"/>
    <w:multiLevelType w:val="hybridMultilevel"/>
    <w:tmpl w:val="D5FE13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5CA26C3"/>
    <w:multiLevelType w:val="hybridMultilevel"/>
    <w:tmpl w:val="906294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C43B9"/>
    <w:multiLevelType w:val="hybridMultilevel"/>
    <w:tmpl w:val="B46619D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A36B4"/>
    <w:multiLevelType w:val="hybridMultilevel"/>
    <w:tmpl w:val="8E689A9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B55524"/>
    <w:multiLevelType w:val="hybridMultilevel"/>
    <w:tmpl w:val="FC40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00851"/>
    <w:multiLevelType w:val="hybridMultilevel"/>
    <w:tmpl w:val="F81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1A5467"/>
    <w:multiLevelType w:val="multilevel"/>
    <w:tmpl w:val="6DCE05E8"/>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6FB0245"/>
    <w:multiLevelType w:val="hybridMultilevel"/>
    <w:tmpl w:val="76BEE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68CC19EB"/>
    <w:multiLevelType w:val="hybridMultilevel"/>
    <w:tmpl w:val="3BDA75B8"/>
    <w:lvl w:ilvl="0" w:tplc="97AE7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9D2289"/>
    <w:multiLevelType w:val="hybridMultilevel"/>
    <w:tmpl w:val="5290C7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DD7EBE"/>
    <w:multiLevelType w:val="hybridMultilevel"/>
    <w:tmpl w:val="1660CB70"/>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nsid w:val="7AA4391E"/>
    <w:multiLevelType w:val="hybridMultilevel"/>
    <w:tmpl w:val="EBE8AEE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10"/>
  </w:num>
  <w:num w:numId="5">
    <w:abstractNumId w:val="0"/>
  </w:num>
  <w:num w:numId="6">
    <w:abstractNumId w:val="12"/>
  </w:num>
  <w:num w:numId="7">
    <w:abstractNumId w:val="5"/>
  </w:num>
  <w:num w:numId="8">
    <w:abstractNumId w:val="11"/>
  </w:num>
  <w:num w:numId="9">
    <w:abstractNumId w:val="1"/>
  </w:num>
  <w:num w:numId="10">
    <w:abstractNumId w:val="19"/>
  </w:num>
  <w:num w:numId="11">
    <w:abstractNumId w:val="14"/>
  </w:num>
  <w:num w:numId="12">
    <w:abstractNumId w:val="18"/>
  </w:num>
  <w:num w:numId="13">
    <w:abstractNumId w:val="7"/>
  </w:num>
  <w:num w:numId="14">
    <w:abstractNumId w:val="9"/>
  </w:num>
  <w:num w:numId="15">
    <w:abstractNumId w:val="8"/>
  </w:num>
  <w:num w:numId="16">
    <w:abstractNumId w:val="17"/>
  </w:num>
  <w:num w:numId="17">
    <w:abstractNumId w:val="2"/>
  </w:num>
  <w:num w:numId="18">
    <w:abstractNumId w:val="16"/>
  </w:num>
  <w:num w:numId="19">
    <w:abstractNumId w:val="20"/>
  </w:num>
  <w:num w:numId="20">
    <w:abstractNumId w:val="21"/>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EE"/>
    <w:rsid w:val="0001033B"/>
    <w:rsid w:val="0001423F"/>
    <w:rsid w:val="00017FE9"/>
    <w:rsid w:val="000238BA"/>
    <w:rsid w:val="00045D27"/>
    <w:rsid w:val="00051C83"/>
    <w:rsid w:val="00081A77"/>
    <w:rsid w:val="000950B5"/>
    <w:rsid w:val="000A1128"/>
    <w:rsid w:val="000A1FC8"/>
    <w:rsid w:val="000B7673"/>
    <w:rsid w:val="000C613B"/>
    <w:rsid w:val="0010645E"/>
    <w:rsid w:val="00133420"/>
    <w:rsid w:val="001438A2"/>
    <w:rsid w:val="0017295E"/>
    <w:rsid w:val="001842A6"/>
    <w:rsid w:val="00186746"/>
    <w:rsid w:val="001A2878"/>
    <w:rsid w:val="001B36E6"/>
    <w:rsid w:val="001C6B56"/>
    <w:rsid w:val="001D4900"/>
    <w:rsid w:val="001D6862"/>
    <w:rsid w:val="001E5BB5"/>
    <w:rsid w:val="00203752"/>
    <w:rsid w:val="00215412"/>
    <w:rsid w:val="00231A60"/>
    <w:rsid w:val="00232343"/>
    <w:rsid w:val="00233999"/>
    <w:rsid w:val="00233D38"/>
    <w:rsid w:val="00240B3B"/>
    <w:rsid w:val="00257C34"/>
    <w:rsid w:val="0026275E"/>
    <w:rsid w:val="00276AB2"/>
    <w:rsid w:val="002925FE"/>
    <w:rsid w:val="002963BF"/>
    <w:rsid w:val="002D26A8"/>
    <w:rsid w:val="002F72EB"/>
    <w:rsid w:val="003112F6"/>
    <w:rsid w:val="00314D32"/>
    <w:rsid w:val="00323AF6"/>
    <w:rsid w:val="00326463"/>
    <w:rsid w:val="00335B81"/>
    <w:rsid w:val="00353F75"/>
    <w:rsid w:val="003661A1"/>
    <w:rsid w:val="003768C2"/>
    <w:rsid w:val="003866D6"/>
    <w:rsid w:val="00386A19"/>
    <w:rsid w:val="003A6831"/>
    <w:rsid w:val="003C2176"/>
    <w:rsid w:val="003C2C20"/>
    <w:rsid w:val="003F4C24"/>
    <w:rsid w:val="00402F98"/>
    <w:rsid w:val="00407A41"/>
    <w:rsid w:val="00407CA5"/>
    <w:rsid w:val="004761B2"/>
    <w:rsid w:val="00482CDC"/>
    <w:rsid w:val="00495922"/>
    <w:rsid w:val="004A094A"/>
    <w:rsid w:val="004D184E"/>
    <w:rsid w:val="004D3860"/>
    <w:rsid w:val="004E0B5C"/>
    <w:rsid w:val="004E63E8"/>
    <w:rsid w:val="005112EA"/>
    <w:rsid w:val="005167A3"/>
    <w:rsid w:val="00521C12"/>
    <w:rsid w:val="00554A45"/>
    <w:rsid w:val="00555020"/>
    <w:rsid w:val="00573438"/>
    <w:rsid w:val="00577566"/>
    <w:rsid w:val="005C35E6"/>
    <w:rsid w:val="005F53B4"/>
    <w:rsid w:val="006038F2"/>
    <w:rsid w:val="006145C2"/>
    <w:rsid w:val="00625545"/>
    <w:rsid w:val="00650C71"/>
    <w:rsid w:val="006A5DF4"/>
    <w:rsid w:val="006D5809"/>
    <w:rsid w:val="006E69B3"/>
    <w:rsid w:val="006F274C"/>
    <w:rsid w:val="00723A62"/>
    <w:rsid w:val="007776D4"/>
    <w:rsid w:val="007A7EE1"/>
    <w:rsid w:val="007C420A"/>
    <w:rsid w:val="007D104C"/>
    <w:rsid w:val="007D1205"/>
    <w:rsid w:val="007D7243"/>
    <w:rsid w:val="007E3033"/>
    <w:rsid w:val="007E3146"/>
    <w:rsid w:val="00822499"/>
    <w:rsid w:val="00824BAF"/>
    <w:rsid w:val="00845058"/>
    <w:rsid w:val="00856D31"/>
    <w:rsid w:val="00880078"/>
    <w:rsid w:val="008902DE"/>
    <w:rsid w:val="008C1A66"/>
    <w:rsid w:val="008C75C9"/>
    <w:rsid w:val="008D229B"/>
    <w:rsid w:val="008E0D9F"/>
    <w:rsid w:val="008E37FA"/>
    <w:rsid w:val="00902F2E"/>
    <w:rsid w:val="00902FE0"/>
    <w:rsid w:val="00913A32"/>
    <w:rsid w:val="009250B9"/>
    <w:rsid w:val="00933544"/>
    <w:rsid w:val="00936C3A"/>
    <w:rsid w:val="00945736"/>
    <w:rsid w:val="00965BF6"/>
    <w:rsid w:val="00981D85"/>
    <w:rsid w:val="009A2F0E"/>
    <w:rsid w:val="009A3794"/>
    <w:rsid w:val="009D5E3C"/>
    <w:rsid w:val="009E1BC2"/>
    <w:rsid w:val="00A1516A"/>
    <w:rsid w:val="00A22C89"/>
    <w:rsid w:val="00A766AD"/>
    <w:rsid w:val="00AA3765"/>
    <w:rsid w:val="00AC7E47"/>
    <w:rsid w:val="00AD2537"/>
    <w:rsid w:val="00AD3013"/>
    <w:rsid w:val="00AE6DA2"/>
    <w:rsid w:val="00B10AD5"/>
    <w:rsid w:val="00B13B68"/>
    <w:rsid w:val="00B504FA"/>
    <w:rsid w:val="00B52855"/>
    <w:rsid w:val="00B67CBD"/>
    <w:rsid w:val="00B86743"/>
    <w:rsid w:val="00B97793"/>
    <w:rsid w:val="00BA4C71"/>
    <w:rsid w:val="00BA6866"/>
    <w:rsid w:val="00BB4BA2"/>
    <w:rsid w:val="00BC4FC2"/>
    <w:rsid w:val="00BC5741"/>
    <w:rsid w:val="00BF1E67"/>
    <w:rsid w:val="00C001D0"/>
    <w:rsid w:val="00C102D6"/>
    <w:rsid w:val="00C406B6"/>
    <w:rsid w:val="00C47384"/>
    <w:rsid w:val="00C7437C"/>
    <w:rsid w:val="00C8073A"/>
    <w:rsid w:val="00CA4637"/>
    <w:rsid w:val="00CB1294"/>
    <w:rsid w:val="00CB29A2"/>
    <w:rsid w:val="00CB4344"/>
    <w:rsid w:val="00CF4049"/>
    <w:rsid w:val="00D06431"/>
    <w:rsid w:val="00D214B8"/>
    <w:rsid w:val="00D26E95"/>
    <w:rsid w:val="00D330DC"/>
    <w:rsid w:val="00D364EE"/>
    <w:rsid w:val="00D37B57"/>
    <w:rsid w:val="00D50842"/>
    <w:rsid w:val="00D661E4"/>
    <w:rsid w:val="00DB008F"/>
    <w:rsid w:val="00DD3360"/>
    <w:rsid w:val="00DE1496"/>
    <w:rsid w:val="00DE43DA"/>
    <w:rsid w:val="00DF2996"/>
    <w:rsid w:val="00E251EC"/>
    <w:rsid w:val="00E7356C"/>
    <w:rsid w:val="00E756C0"/>
    <w:rsid w:val="00E75740"/>
    <w:rsid w:val="00E75E8D"/>
    <w:rsid w:val="00E81AF9"/>
    <w:rsid w:val="00E924E8"/>
    <w:rsid w:val="00EC6FBC"/>
    <w:rsid w:val="00ED4303"/>
    <w:rsid w:val="00EE075D"/>
    <w:rsid w:val="00F05A28"/>
    <w:rsid w:val="00F05DCB"/>
    <w:rsid w:val="00F23195"/>
    <w:rsid w:val="00F80FB7"/>
    <w:rsid w:val="00F84291"/>
    <w:rsid w:val="00F8622D"/>
    <w:rsid w:val="00FA23F8"/>
    <w:rsid w:val="00FB7D2F"/>
    <w:rsid w:val="00FC661E"/>
    <w:rsid w:val="00FE723C"/>
    <w:rsid w:val="00FF169D"/>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paragraph" w:styleId="Heading1">
    <w:name w:val="heading 1"/>
    <w:aliases w:val="Table_G"/>
    <w:basedOn w:val="Normal"/>
    <w:next w:val="Normal"/>
    <w:link w:val="Heading1Char"/>
    <w:qFormat/>
    <w:rsid w:val="009250B9"/>
    <w:pPr>
      <w:suppressAutoHyphens/>
      <w:spacing w:after="0" w:line="240" w:lineRule="auto"/>
      <w:ind w:left="1134"/>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SingleTxtG">
    <w:name w:val="_ Single Txt_G"/>
    <w:basedOn w:val="Normal"/>
    <w:uiPriority w:val="99"/>
    <w:rsid w:val="006E69B3"/>
    <w:pPr>
      <w:suppressAutoHyphens/>
      <w:ind w:left="1134" w:right="1134"/>
      <w:jc w:val="both"/>
    </w:pPr>
    <w:rPr>
      <w:rFonts w:ascii="Times New Roman" w:eastAsia="MS Mincho" w:hAnsi="Times New Roman" w:cs="Times New Roman"/>
      <w:sz w:val="20"/>
      <w:szCs w:val="20"/>
    </w:rPr>
  </w:style>
  <w:style w:type="paragraph" w:customStyle="1" w:styleId="Paragrafoelenco1">
    <w:name w:val="Paragrafo elenco1"/>
    <w:basedOn w:val="Normal"/>
    <w:uiPriority w:val="99"/>
    <w:rsid w:val="006E69B3"/>
    <w:pPr>
      <w:spacing w:after="0" w:line="240" w:lineRule="auto"/>
      <w:ind w:left="720"/>
    </w:pPr>
    <w:rPr>
      <w:rFonts w:ascii="Times New Roman" w:eastAsia="MS Mincho" w:hAnsi="Times New Roman" w:cs="Times New Roman"/>
      <w:sz w:val="24"/>
      <w:szCs w:val="24"/>
    </w:rPr>
  </w:style>
  <w:style w:type="character" w:customStyle="1" w:styleId="Heading1Char">
    <w:name w:val="Heading 1 Char"/>
    <w:aliases w:val="Table_G Char"/>
    <w:basedOn w:val="DefaultParagraphFont"/>
    <w:link w:val="Heading1"/>
    <w:rsid w:val="009250B9"/>
    <w:rPr>
      <w:rFonts w:ascii="Times New Roman" w:eastAsia="Times New Roman" w:hAnsi="Times New Roman" w:cs="Times New Roman"/>
      <w:sz w:val="20"/>
      <w:szCs w:val="20"/>
    </w:rPr>
  </w:style>
  <w:style w:type="paragraph" w:customStyle="1" w:styleId="HChG">
    <w:name w:val="_ H _Ch_G"/>
    <w:basedOn w:val="Normal"/>
    <w:next w:val="Normal"/>
    <w:rsid w:val="009250B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PlainText">
    <w:name w:val="Plain Text"/>
    <w:basedOn w:val="Normal"/>
    <w:link w:val="PlainTextChar"/>
    <w:rsid w:val="009250B9"/>
    <w:pPr>
      <w:suppressAutoHyphens/>
      <w:spacing w:after="0"/>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9250B9"/>
    <w:rPr>
      <w:rFonts w:ascii="Times New Roman" w:eastAsia="Times New Roman" w:hAnsi="Times New Roman" w:cs="Courier New"/>
      <w:sz w:val="20"/>
      <w:szCs w:val="20"/>
    </w:rPr>
  </w:style>
  <w:style w:type="paragraph" w:styleId="NormalWeb">
    <w:name w:val="Normal (Web)"/>
    <w:basedOn w:val="Normal"/>
    <w:uiPriority w:val="99"/>
    <w:semiHidden/>
    <w:unhideWhenUsed/>
    <w:rsid w:val="009250B9"/>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paragraph" w:styleId="Heading1">
    <w:name w:val="heading 1"/>
    <w:aliases w:val="Table_G"/>
    <w:basedOn w:val="Normal"/>
    <w:next w:val="Normal"/>
    <w:link w:val="Heading1Char"/>
    <w:qFormat/>
    <w:rsid w:val="009250B9"/>
    <w:pPr>
      <w:suppressAutoHyphens/>
      <w:spacing w:after="0" w:line="240" w:lineRule="auto"/>
      <w:ind w:left="1134"/>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SingleTxtG">
    <w:name w:val="_ Single Txt_G"/>
    <w:basedOn w:val="Normal"/>
    <w:uiPriority w:val="99"/>
    <w:rsid w:val="006E69B3"/>
    <w:pPr>
      <w:suppressAutoHyphens/>
      <w:ind w:left="1134" w:right="1134"/>
      <w:jc w:val="both"/>
    </w:pPr>
    <w:rPr>
      <w:rFonts w:ascii="Times New Roman" w:eastAsia="MS Mincho" w:hAnsi="Times New Roman" w:cs="Times New Roman"/>
      <w:sz w:val="20"/>
      <w:szCs w:val="20"/>
    </w:rPr>
  </w:style>
  <w:style w:type="paragraph" w:customStyle="1" w:styleId="Paragrafoelenco1">
    <w:name w:val="Paragrafo elenco1"/>
    <w:basedOn w:val="Normal"/>
    <w:uiPriority w:val="99"/>
    <w:rsid w:val="006E69B3"/>
    <w:pPr>
      <w:spacing w:after="0" w:line="240" w:lineRule="auto"/>
      <w:ind w:left="720"/>
    </w:pPr>
    <w:rPr>
      <w:rFonts w:ascii="Times New Roman" w:eastAsia="MS Mincho" w:hAnsi="Times New Roman" w:cs="Times New Roman"/>
      <w:sz w:val="24"/>
      <w:szCs w:val="24"/>
    </w:rPr>
  </w:style>
  <w:style w:type="character" w:customStyle="1" w:styleId="Heading1Char">
    <w:name w:val="Heading 1 Char"/>
    <w:aliases w:val="Table_G Char"/>
    <w:basedOn w:val="DefaultParagraphFont"/>
    <w:link w:val="Heading1"/>
    <w:rsid w:val="009250B9"/>
    <w:rPr>
      <w:rFonts w:ascii="Times New Roman" w:eastAsia="Times New Roman" w:hAnsi="Times New Roman" w:cs="Times New Roman"/>
      <w:sz w:val="20"/>
      <w:szCs w:val="20"/>
    </w:rPr>
  </w:style>
  <w:style w:type="paragraph" w:customStyle="1" w:styleId="HChG">
    <w:name w:val="_ H _Ch_G"/>
    <w:basedOn w:val="Normal"/>
    <w:next w:val="Normal"/>
    <w:rsid w:val="009250B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PlainText">
    <w:name w:val="Plain Text"/>
    <w:basedOn w:val="Normal"/>
    <w:link w:val="PlainTextChar"/>
    <w:rsid w:val="009250B9"/>
    <w:pPr>
      <w:suppressAutoHyphens/>
      <w:spacing w:after="0"/>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9250B9"/>
    <w:rPr>
      <w:rFonts w:ascii="Times New Roman" w:eastAsia="Times New Roman" w:hAnsi="Times New Roman" w:cs="Courier New"/>
      <w:sz w:val="20"/>
      <w:szCs w:val="20"/>
    </w:rPr>
  </w:style>
  <w:style w:type="paragraph" w:styleId="NormalWeb">
    <w:name w:val="Normal (Web)"/>
    <w:basedOn w:val="Normal"/>
    <w:uiPriority w:val="99"/>
    <w:semiHidden/>
    <w:unhideWhenUsed/>
    <w:rsid w:val="009250B9"/>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2725">
      <w:bodyDiv w:val="1"/>
      <w:marLeft w:val="0"/>
      <w:marRight w:val="0"/>
      <w:marTop w:val="0"/>
      <w:marBottom w:val="0"/>
      <w:divBdr>
        <w:top w:val="none" w:sz="0" w:space="0" w:color="auto"/>
        <w:left w:val="none" w:sz="0" w:space="0" w:color="auto"/>
        <w:bottom w:val="none" w:sz="0" w:space="0" w:color="auto"/>
        <w:right w:val="none" w:sz="0" w:space="0" w:color="auto"/>
      </w:divBdr>
    </w:div>
    <w:div w:id="1595361713">
      <w:bodyDiv w:val="1"/>
      <w:marLeft w:val="0"/>
      <w:marRight w:val="0"/>
      <w:marTop w:val="0"/>
      <w:marBottom w:val="0"/>
      <w:divBdr>
        <w:top w:val="none" w:sz="0" w:space="0" w:color="auto"/>
        <w:left w:val="none" w:sz="0" w:space="0" w:color="auto"/>
        <w:bottom w:val="none" w:sz="0" w:space="0" w:color="auto"/>
        <w:right w:val="none" w:sz="0" w:space="0" w:color="auto"/>
      </w:divBdr>
      <w:divsChild>
        <w:div w:id="1563976883">
          <w:marLeft w:val="288"/>
          <w:marRight w:val="0"/>
          <w:marTop w:val="115"/>
          <w:marBottom w:val="0"/>
          <w:divBdr>
            <w:top w:val="none" w:sz="0" w:space="0" w:color="auto"/>
            <w:left w:val="none" w:sz="0" w:space="0" w:color="auto"/>
            <w:bottom w:val="none" w:sz="0" w:space="0" w:color="auto"/>
            <w:right w:val="none" w:sz="0" w:space="0" w:color="auto"/>
          </w:divBdr>
        </w:div>
        <w:div w:id="1570924232">
          <w:marLeft w:val="288"/>
          <w:marRight w:val="0"/>
          <w:marTop w:val="115"/>
          <w:marBottom w:val="0"/>
          <w:divBdr>
            <w:top w:val="none" w:sz="0" w:space="0" w:color="auto"/>
            <w:left w:val="none" w:sz="0" w:space="0" w:color="auto"/>
            <w:bottom w:val="none" w:sz="0" w:space="0" w:color="auto"/>
            <w:right w:val="none" w:sz="0" w:space="0" w:color="auto"/>
          </w:divBdr>
        </w:div>
        <w:div w:id="644553942">
          <w:marLeft w:val="288"/>
          <w:marRight w:val="0"/>
          <w:marTop w:val="115"/>
          <w:marBottom w:val="0"/>
          <w:divBdr>
            <w:top w:val="none" w:sz="0" w:space="0" w:color="auto"/>
            <w:left w:val="none" w:sz="0" w:space="0" w:color="auto"/>
            <w:bottom w:val="none" w:sz="0" w:space="0" w:color="auto"/>
            <w:right w:val="none" w:sz="0" w:space="0" w:color="auto"/>
          </w:divBdr>
        </w:div>
        <w:div w:id="1011377514">
          <w:marLeft w:val="288"/>
          <w:marRight w:val="0"/>
          <w:marTop w:val="115"/>
          <w:marBottom w:val="0"/>
          <w:divBdr>
            <w:top w:val="none" w:sz="0" w:space="0" w:color="auto"/>
            <w:left w:val="none" w:sz="0" w:space="0" w:color="auto"/>
            <w:bottom w:val="none" w:sz="0" w:space="0" w:color="auto"/>
            <w:right w:val="none" w:sz="0" w:space="0" w:color="auto"/>
          </w:divBdr>
        </w:div>
        <w:div w:id="896168800">
          <w:marLeft w:val="288"/>
          <w:marRight w:val="0"/>
          <w:marTop w:val="115"/>
          <w:marBottom w:val="0"/>
          <w:divBdr>
            <w:top w:val="none" w:sz="0" w:space="0" w:color="auto"/>
            <w:left w:val="none" w:sz="0" w:space="0" w:color="auto"/>
            <w:bottom w:val="none" w:sz="0" w:space="0" w:color="auto"/>
            <w:right w:val="none" w:sz="0" w:space="0" w:color="auto"/>
          </w:divBdr>
        </w:div>
        <w:div w:id="1632437423">
          <w:marLeft w:val="288"/>
          <w:marRight w:val="0"/>
          <w:marTop w:val="115"/>
          <w:marBottom w:val="0"/>
          <w:divBdr>
            <w:top w:val="none" w:sz="0" w:space="0" w:color="auto"/>
            <w:left w:val="none" w:sz="0" w:space="0" w:color="auto"/>
            <w:bottom w:val="none" w:sz="0" w:space="0" w:color="auto"/>
            <w:right w:val="none" w:sz="0" w:space="0" w:color="auto"/>
          </w:divBdr>
        </w:div>
        <w:div w:id="1088767809">
          <w:marLeft w:val="547"/>
          <w:marRight w:val="0"/>
          <w:marTop w:val="106"/>
          <w:marBottom w:val="0"/>
          <w:divBdr>
            <w:top w:val="none" w:sz="0" w:space="0" w:color="auto"/>
            <w:left w:val="none" w:sz="0" w:space="0" w:color="auto"/>
            <w:bottom w:val="none" w:sz="0" w:space="0" w:color="auto"/>
            <w:right w:val="none" w:sz="0" w:space="0" w:color="auto"/>
          </w:divBdr>
        </w:div>
        <w:div w:id="770322674">
          <w:marLeft w:val="547"/>
          <w:marRight w:val="0"/>
          <w:marTop w:val="106"/>
          <w:marBottom w:val="0"/>
          <w:divBdr>
            <w:top w:val="none" w:sz="0" w:space="0" w:color="auto"/>
            <w:left w:val="none" w:sz="0" w:space="0" w:color="auto"/>
            <w:bottom w:val="none" w:sz="0" w:space="0" w:color="auto"/>
            <w:right w:val="none" w:sz="0" w:space="0" w:color="auto"/>
          </w:divBdr>
        </w:div>
        <w:div w:id="100408985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draperoffice</dc:creator>
  <cp:lastModifiedBy>Konstantin Glukhenkiy</cp:lastModifiedBy>
  <cp:revision>2</cp:revision>
  <dcterms:created xsi:type="dcterms:W3CDTF">2017-03-17T14:49:00Z</dcterms:created>
  <dcterms:modified xsi:type="dcterms:W3CDTF">2017-03-17T14:49:00Z</dcterms:modified>
</cp:coreProperties>
</file>