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15D3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15D32" w:rsidP="00E15D32">
            <w:pPr>
              <w:jc w:val="right"/>
            </w:pPr>
            <w:r w:rsidRPr="00E15D32">
              <w:rPr>
                <w:sz w:val="40"/>
              </w:rPr>
              <w:t>ECE</w:t>
            </w:r>
            <w:r>
              <w:t>/TRANS/WP.29/GRE/2017/15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15D32" w:rsidP="00C97039">
            <w:pPr>
              <w:spacing w:before="240"/>
            </w:pPr>
            <w:r>
              <w:t>Distr. générale</w:t>
            </w:r>
          </w:p>
          <w:p w:rsidR="00E15D32" w:rsidRDefault="00E15D32" w:rsidP="00E15D32">
            <w:pPr>
              <w:spacing w:line="240" w:lineRule="exact"/>
            </w:pPr>
            <w:r>
              <w:t>10 août 2017</w:t>
            </w:r>
          </w:p>
          <w:p w:rsidR="00E15D32" w:rsidRDefault="00E15D32" w:rsidP="00E15D32">
            <w:pPr>
              <w:spacing w:line="240" w:lineRule="exact"/>
            </w:pPr>
            <w:r>
              <w:t>Français</w:t>
            </w:r>
          </w:p>
          <w:p w:rsidR="00E15D32" w:rsidRPr="00DB58B5" w:rsidRDefault="00E15D32" w:rsidP="00E15D3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7676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9E4E74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E4E74" w:rsidRPr="00546D49" w:rsidRDefault="009E4E74" w:rsidP="009E4E74">
      <w:pPr>
        <w:spacing w:after="120"/>
        <w:rPr>
          <w:b/>
          <w:sz w:val="24"/>
          <w:szCs w:val="24"/>
        </w:rPr>
      </w:pPr>
      <w:r w:rsidRPr="00546D49">
        <w:rPr>
          <w:b/>
          <w:sz w:val="24"/>
          <w:szCs w:val="24"/>
        </w:rPr>
        <w:t>Forum mondial de l</w:t>
      </w:r>
      <w:r w:rsidR="00876767">
        <w:rPr>
          <w:b/>
          <w:sz w:val="24"/>
          <w:szCs w:val="24"/>
        </w:rPr>
        <w:t>’</w:t>
      </w:r>
      <w:r w:rsidRPr="00546D49">
        <w:rPr>
          <w:b/>
          <w:sz w:val="24"/>
          <w:szCs w:val="24"/>
        </w:rPr>
        <w:t>harmonisation</w:t>
      </w:r>
      <w:r w:rsidRPr="00546D49">
        <w:rPr>
          <w:b/>
          <w:sz w:val="24"/>
          <w:szCs w:val="24"/>
        </w:rPr>
        <w:br/>
        <w:t>des Règlements concernant les véhicules</w:t>
      </w:r>
    </w:p>
    <w:p w:rsidR="009E4E74" w:rsidRPr="00546D49" w:rsidRDefault="009E4E74" w:rsidP="00D02C99">
      <w:pPr>
        <w:spacing w:after="120"/>
        <w:rPr>
          <w:b/>
        </w:rPr>
      </w:pPr>
      <w:r w:rsidRPr="00546D49">
        <w:rPr>
          <w:b/>
        </w:rPr>
        <w:t>Groupe de travail de l</w:t>
      </w:r>
      <w:r w:rsidR="00876767">
        <w:rPr>
          <w:b/>
        </w:rPr>
        <w:t>’</w:t>
      </w:r>
      <w:r w:rsidRPr="00546D49">
        <w:rPr>
          <w:b/>
        </w:rPr>
        <w:t>éclairage et de la signalisation lumineuse</w:t>
      </w:r>
    </w:p>
    <w:p w:rsidR="009E4E74" w:rsidRPr="00546D49" w:rsidRDefault="009E4E74" w:rsidP="009E4E74">
      <w:pPr>
        <w:rPr>
          <w:b/>
        </w:rPr>
      </w:pPr>
      <w:r w:rsidRPr="00546D49">
        <w:rPr>
          <w:b/>
        </w:rPr>
        <w:t>Soixante-dix-</w:t>
      </w:r>
      <w:r>
        <w:rPr>
          <w:b/>
        </w:rPr>
        <w:t>hui</w:t>
      </w:r>
      <w:r w:rsidRPr="00546D49">
        <w:rPr>
          <w:b/>
        </w:rPr>
        <w:t>tième session</w:t>
      </w:r>
    </w:p>
    <w:p w:rsidR="009E4E74" w:rsidRPr="00546D49" w:rsidRDefault="009E4E74" w:rsidP="009E4E74">
      <w:pPr>
        <w:rPr>
          <w:bCs/>
        </w:rPr>
      </w:pPr>
      <w:r w:rsidRPr="00546D49">
        <w:t>Genève</w:t>
      </w:r>
      <w:r w:rsidRPr="00546D49">
        <w:rPr>
          <w:bCs/>
        </w:rPr>
        <w:t xml:space="preserve">, </w:t>
      </w:r>
      <w:r>
        <w:rPr>
          <w:bCs/>
        </w:rPr>
        <w:t>2</w:t>
      </w:r>
      <w:r w:rsidRPr="00546D49">
        <w:rPr>
          <w:bCs/>
        </w:rPr>
        <w:t>4-</w:t>
      </w:r>
      <w:r>
        <w:rPr>
          <w:bCs/>
        </w:rPr>
        <w:t>2</w:t>
      </w:r>
      <w:r w:rsidRPr="00546D49">
        <w:rPr>
          <w:bCs/>
        </w:rPr>
        <w:t>7 </w:t>
      </w:r>
      <w:r>
        <w:rPr>
          <w:bCs/>
        </w:rPr>
        <w:t>octobre</w:t>
      </w:r>
      <w:r w:rsidRPr="00546D49">
        <w:rPr>
          <w:bCs/>
        </w:rPr>
        <w:t xml:space="preserve"> 2017</w:t>
      </w:r>
    </w:p>
    <w:p w:rsidR="009E4E74" w:rsidRPr="00546D49" w:rsidRDefault="009E4E74" w:rsidP="009E4E74">
      <w:pPr>
        <w:rPr>
          <w:bCs/>
        </w:rPr>
      </w:pPr>
      <w:r w:rsidRPr="00546D49">
        <w:rPr>
          <w:bCs/>
        </w:rPr>
        <w:t>Point </w:t>
      </w:r>
      <w:r>
        <w:rPr>
          <w:bCs/>
        </w:rPr>
        <w:t>4</w:t>
      </w:r>
      <w:r w:rsidRPr="00546D49">
        <w:rPr>
          <w:bCs/>
        </w:rPr>
        <w:t xml:space="preserve"> de l</w:t>
      </w:r>
      <w:r w:rsidR="00876767">
        <w:rPr>
          <w:bCs/>
        </w:rPr>
        <w:t>’</w:t>
      </w:r>
      <w:r w:rsidRPr="00546D49">
        <w:rPr>
          <w:bCs/>
        </w:rPr>
        <w:t xml:space="preserve">ordre du jour provisoire </w:t>
      </w:r>
    </w:p>
    <w:p w:rsidR="009E4E74" w:rsidRPr="00546D49" w:rsidRDefault="009E4E74" w:rsidP="009E4E74">
      <w:r w:rsidRPr="00093ACD">
        <w:rPr>
          <w:b/>
          <w:bCs/>
        </w:rPr>
        <w:t>Simplification des Rè</w:t>
      </w:r>
      <w:r>
        <w:rPr>
          <w:b/>
          <w:bCs/>
        </w:rPr>
        <w:t>glements concernant l</w:t>
      </w:r>
      <w:r w:rsidR="00876767">
        <w:rPr>
          <w:b/>
          <w:bCs/>
        </w:rPr>
        <w:t>’</w:t>
      </w:r>
      <w:r>
        <w:rPr>
          <w:b/>
          <w:bCs/>
        </w:rPr>
        <w:t>éclairage</w:t>
      </w:r>
      <w:r>
        <w:rPr>
          <w:b/>
          <w:bCs/>
        </w:rPr>
        <w:br/>
      </w:r>
      <w:r w:rsidRPr="00093ACD">
        <w:rPr>
          <w:b/>
          <w:bCs/>
        </w:rPr>
        <w:t>et la signalisation lumineuse</w:t>
      </w:r>
    </w:p>
    <w:p w:rsidR="009E4E74" w:rsidRPr="00546D49" w:rsidRDefault="009E4E74" w:rsidP="009E4E74">
      <w:pPr>
        <w:pStyle w:val="HChG"/>
      </w:pPr>
      <w:r w:rsidRPr="00546D49">
        <w:tab/>
      </w:r>
      <w:r w:rsidRPr="00546D49">
        <w:tab/>
        <w:t xml:space="preserve">Proposition </w:t>
      </w:r>
      <w:r>
        <w:t>visant à introduire des prescriptions</w:t>
      </w:r>
      <w:r w:rsidRPr="00546D49">
        <w:t xml:space="preserve"> </w:t>
      </w:r>
      <w:r>
        <w:br/>
        <w:t>relatives à l</w:t>
      </w:r>
      <w:r w:rsidR="00876767">
        <w:t>’</w:t>
      </w:r>
      <w:r>
        <w:t>utilisation</w:t>
      </w:r>
      <w:r w:rsidRPr="00546D49">
        <w:t xml:space="preserve"> </w:t>
      </w:r>
      <w:r>
        <w:t>de s</w:t>
      </w:r>
      <w:r w:rsidRPr="00546D49">
        <w:t>ources lumineuses</w:t>
      </w:r>
      <w:r w:rsidR="001D1B1C">
        <w:br/>
      </w:r>
      <w:r>
        <w:t>à diodes électroluminescentes remplaçables</w:t>
      </w:r>
      <w:r w:rsidRPr="00546D49">
        <w:t xml:space="preserve"> </w:t>
      </w:r>
      <w:r>
        <w:br/>
        <w:t>pour l</w:t>
      </w:r>
      <w:r w:rsidR="00876767">
        <w:t>’</w:t>
      </w:r>
      <w:r>
        <w:t>éclairage avant dans le nouveau Règlement</w:t>
      </w:r>
      <w:r w:rsidR="001D1B1C">
        <w:br/>
      </w:r>
      <w:r w:rsidRPr="00585F3D">
        <w:t>sur les dispositifs d</w:t>
      </w:r>
      <w:r w:rsidR="00876767">
        <w:t>’</w:t>
      </w:r>
      <w:r w:rsidRPr="00585F3D">
        <w:t>éclairage de la route</w:t>
      </w:r>
    </w:p>
    <w:p w:rsidR="009E4E74" w:rsidRPr="00546D49" w:rsidRDefault="009E4E74" w:rsidP="009E4E74">
      <w:pPr>
        <w:pStyle w:val="H1G"/>
      </w:pPr>
      <w:r w:rsidRPr="00546D49">
        <w:tab/>
      </w:r>
      <w:r w:rsidRPr="00546D49">
        <w:tab/>
        <w:t>Communication de l</w:t>
      </w:r>
      <w:r w:rsidR="00876767">
        <w:t>’</w:t>
      </w:r>
      <w:r w:rsidRPr="00546D49">
        <w:t xml:space="preserve">expert du Groupe de travail </w:t>
      </w:r>
      <w:r w:rsidRPr="00546D49">
        <w:br/>
        <w:t>« Bruxelles 1952 » (GTB)</w:t>
      </w:r>
      <w:r w:rsidRPr="001D1B1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E4E74" w:rsidRPr="00546D49" w:rsidRDefault="009E4E74" w:rsidP="001D1B1C">
      <w:pPr>
        <w:pStyle w:val="SingleTxtG"/>
        <w:ind w:firstLine="567"/>
      </w:pPr>
      <w:r w:rsidRPr="00546D49">
        <w:t>Le texte reproduit ci-après, établi par l</w:t>
      </w:r>
      <w:r w:rsidR="00876767">
        <w:t>’</w:t>
      </w:r>
      <w:r w:rsidRPr="00546D49">
        <w:t xml:space="preserve">expert du GTB, vise à introduire des prescriptions </w:t>
      </w:r>
      <w:r>
        <w:t>relatives aux</w:t>
      </w:r>
      <w:r w:rsidR="00876767">
        <w:t xml:space="preserve"> </w:t>
      </w:r>
      <w:r w:rsidRPr="00546D49">
        <w:t xml:space="preserve">sources lumineuses à diodes électroluminescentes (DEL) </w:t>
      </w:r>
      <w:r>
        <w:t>remplaçables pour l</w:t>
      </w:r>
      <w:r w:rsidR="00876767">
        <w:t>’</w:t>
      </w:r>
      <w:r>
        <w:t xml:space="preserve">éclairage avant dans le nouveau Règlement sur les </w:t>
      </w:r>
      <w:r w:rsidRPr="00585F3D">
        <w:t>dispositifs d</w:t>
      </w:r>
      <w:r w:rsidR="00876767">
        <w:t>’</w:t>
      </w:r>
      <w:r w:rsidRPr="00585F3D">
        <w:t>éclairage de la route</w:t>
      </w:r>
      <w:r w:rsidRPr="00546D49">
        <w:t>.</w:t>
      </w:r>
      <w:r>
        <w:t xml:space="preserve"> Le texte du nouveau projet de Règlement est encore en cours d</w:t>
      </w:r>
      <w:r w:rsidR="00876767">
        <w:t>’</w:t>
      </w:r>
      <w:r>
        <w:t xml:space="preserve">élaboration, mais le présent document donne des indications plus complètes sur la nature des modifications à apporter au corps principal du Règlement que le texte qui a été présenté au </w:t>
      </w:r>
      <w:r w:rsidRPr="001B07B4">
        <w:t>Groupe de travail de l</w:t>
      </w:r>
      <w:r w:rsidR="00876767">
        <w:t>’</w:t>
      </w:r>
      <w:r w:rsidRPr="001B07B4">
        <w:t>éclairage et de la signalisation lumineuse</w:t>
      </w:r>
      <w:r>
        <w:t xml:space="preserve"> (GRE) à sa soixante</w:t>
      </w:r>
      <w:r>
        <w:noBreakHyphen/>
        <w:t>dix</w:t>
      </w:r>
      <w:r>
        <w:noBreakHyphen/>
        <w:t xml:space="preserve">septième session dans le document informel </w:t>
      </w:r>
      <w:r w:rsidRPr="008D6F03">
        <w:t>GRE-77-14.</w:t>
      </w:r>
      <w:r>
        <w:t xml:space="preserve"> Les modifications à apporter aux annexes sont en cours d</w:t>
      </w:r>
      <w:r w:rsidR="00876767">
        <w:t>’</w:t>
      </w:r>
      <w:r>
        <w:t xml:space="preserve">élaboration, mais seront définies selon la même approche. </w:t>
      </w:r>
      <w:r w:rsidRPr="00546D49">
        <w:t>Les modifications qu</w:t>
      </w:r>
      <w:r w:rsidR="00876767">
        <w:t>’</w:t>
      </w:r>
      <w:r w:rsidRPr="00546D49">
        <w:t>il est proposé d</w:t>
      </w:r>
      <w:r w:rsidR="00876767">
        <w:t>’</w:t>
      </w:r>
      <w:r w:rsidRPr="00546D49">
        <w:t>apporter au texte actuel du Règlement apparaissent en caractères gras pour les ajouts et en caractères biffés pour les suppressions.</w:t>
      </w:r>
    </w:p>
    <w:p w:rsidR="009E4E74" w:rsidRPr="00890EAF" w:rsidRDefault="009E4E74" w:rsidP="0067573C">
      <w:pPr>
        <w:pStyle w:val="HChG"/>
      </w:pPr>
      <w:r w:rsidRPr="00546D49">
        <w:br w:type="page"/>
      </w:r>
      <w:r w:rsidR="0067573C">
        <w:lastRenderedPageBreak/>
        <w:tab/>
        <w:t>I.</w:t>
      </w:r>
      <w:r w:rsidR="0067573C">
        <w:tab/>
      </w:r>
      <w:r w:rsidRPr="00890EAF">
        <w:t>Proposition</w:t>
      </w:r>
    </w:p>
    <w:p w:rsidR="0067573C" w:rsidRDefault="009E4E74" w:rsidP="0067573C">
      <w:pPr>
        <w:pStyle w:val="SingleTxtG"/>
      </w:pPr>
      <w:r w:rsidRPr="0067573C">
        <w:rPr>
          <w:i/>
        </w:rPr>
        <w:t>Paragraphe 3.3.2.5.2</w:t>
      </w:r>
      <w:r w:rsidRPr="00890EAF">
        <w:t>, modifier comme suit</w:t>
      </w:r>
      <w:r w:rsidR="0067573C">
        <w:t> :</w:t>
      </w:r>
    </w:p>
    <w:p w:rsidR="0067573C" w:rsidRDefault="0067573C" w:rsidP="007C0E60">
      <w:pPr>
        <w:pStyle w:val="SingleTxtG"/>
        <w:ind w:left="2268" w:hanging="1134"/>
        <w:rPr>
          <w:rFonts w:eastAsia="MS Mincho"/>
        </w:rPr>
      </w:pPr>
      <w:r>
        <w:rPr>
          <w:iCs/>
        </w:rPr>
        <w:t>« </w:t>
      </w:r>
      <w:r w:rsidR="009E4E74" w:rsidRPr="00C628D9">
        <w:rPr>
          <w:iCs/>
        </w:rPr>
        <w:t>3.3.2.5.2</w:t>
      </w:r>
      <w:r w:rsidR="009E4E74" w:rsidRPr="00C628D9">
        <w:tab/>
      </w:r>
      <w:r w:rsidR="009E4E74">
        <w:rPr>
          <w:rFonts w:eastAsia="MS Mincho"/>
        </w:rPr>
        <w:t>Dans le cas d</w:t>
      </w:r>
      <w:r w:rsidR="00876767">
        <w:rPr>
          <w:rFonts w:eastAsia="MS Mincho"/>
        </w:rPr>
        <w:t>’</w:t>
      </w:r>
      <w:r w:rsidR="009E4E74">
        <w:rPr>
          <w:rFonts w:eastAsia="MS Mincho"/>
        </w:rPr>
        <w:t>une unité d</w:t>
      </w:r>
      <w:r w:rsidR="00876767">
        <w:rPr>
          <w:rFonts w:eastAsia="MS Mincho"/>
        </w:rPr>
        <w:t>’</w:t>
      </w:r>
      <w:r w:rsidR="009E4E74">
        <w:rPr>
          <w:rFonts w:eastAsia="MS Mincho"/>
        </w:rPr>
        <w:t xml:space="preserve">installation de </w:t>
      </w:r>
      <w:r w:rsidR="009E4E74" w:rsidRPr="00C628D9">
        <w:rPr>
          <w:rFonts w:eastAsia="MS Mincho"/>
        </w:rPr>
        <w:t>projecteurs</w:t>
      </w:r>
      <w:r w:rsidR="00AA7E7D">
        <w:rPr>
          <w:rFonts w:eastAsia="MS Mincho"/>
        </w:rPr>
        <w:t>/</w:t>
      </w:r>
      <w:r w:rsidR="009E4E74" w:rsidRPr="0038399E">
        <w:rPr>
          <w:rFonts w:eastAsia="MS Mincho"/>
        </w:rPr>
        <w:t>systèmes d</w:t>
      </w:r>
      <w:r w:rsidR="00876767">
        <w:rPr>
          <w:rFonts w:eastAsia="MS Mincho"/>
        </w:rPr>
        <w:t>’</w:t>
      </w:r>
      <w:r w:rsidR="009E4E74" w:rsidRPr="0038399E">
        <w:rPr>
          <w:rFonts w:eastAsia="MS Mincho"/>
        </w:rPr>
        <w:t>éclairage avant adaptatifs</w:t>
      </w:r>
      <w:r w:rsidR="00876767">
        <w:rPr>
          <w:rFonts w:eastAsia="MS Mincho"/>
        </w:rPr>
        <w:t xml:space="preserve"> </w:t>
      </w:r>
      <w:r w:rsidR="009E4E74" w:rsidRPr="00C628D9">
        <w:rPr>
          <w:rFonts w:eastAsia="MS Mincho"/>
        </w:rPr>
        <w:t>satisfaisant, par modification volontaire du calage du bloc optique ou de la source lumineuse à incandescence</w:t>
      </w:r>
      <w:r w:rsidR="009E4E74">
        <w:rPr>
          <w:rFonts w:eastAsia="MS Mincho"/>
        </w:rPr>
        <w:t xml:space="preserve"> </w:t>
      </w:r>
      <w:r w:rsidR="009E4E74" w:rsidRPr="0038399E">
        <w:rPr>
          <w:rFonts w:eastAsia="MS Mincho"/>
          <w:b/>
        </w:rPr>
        <w:t>ou à DEL</w:t>
      </w:r>
      <w:r w:rsidR="009E4E74" w:rsidRPr="00C628D9">
        <w:rPr>
          <w:rFonts w:eastAsia="MS Mincho"/>
        </w:rPr>
        <w:t xml:space="preserve"> ou du (des) module(s) DEL, aux exigences des deux sens de circulation, une flèche horizontale comportant deux pointes dirigées l</w:t>
      </w:r>
      <w:r w:rsidR="00876767">
        <w:rPr>
          <w:rFonts w:eastAsia="MS Mincho"/>
        </w:rPr>
        <w:t>’</w:t>
      </w:r>
      <w:r w:rsidR="009E4E74" w:rsidRPr="00C628D9">
        <w:rPr>
          <w:rFonts w:eastAsia="MS Mincho"/>
        </w:rPr>
        <w:t>une vers la gauche</w:t>
      </w:r>
      <w:r w:rsidR="009E4E74">
        <w:rPr>
          <w:rFonts w:eastAsia="MS Mincho"/>
        </w:rPr>
        <w:t xml:space="preserve"> et</w:t>
      </w:r>
      <w:r w:rsidR="009E4E74" w:rsidRPr="00C628D9">
        <w:rPr>
          <w:rFonts w:eastAsia="MS Mincho"/>
        </w:rPr>
        <w:t xml:space="preserve"> l</w:t>
      </w:r>
      <w:r w:rsidR="00876767">
        <w:rPr>
          <w:rFonts w:eastAsia="MS Mincho"/>
        </w:rPr>
        <w:t>’</w:t>
      </w:r>
      <w:r w:rsidR="009E4E74" w:rsidRPr="00C628D9">
        <w:rPr>
          <w:rFonts w:eastAsia="MS Mincho"/>
        </w:rPr>
        <w:t>autre vers la droite.</w:t>
      </w:r>
      <w:r>
        <w:rPr>
          <w:rFonts w:eastAsia="MS Mincho"/>
        </w:rPr>
        <w:t> »</w:t>
      </w:r>
      <w:r w:rsidR="009E4E74" w:rsidRPr="002C0138">
        <w:rPr>
          <w:rFonts w:eastAsia="MS Mincho"/>
        </w:rPr>
        <w:t>.</w:t>
      </w:r>
    </w:p>
    <w:p w:rsidR="0067573C" w:rsidRDefault="009E4E74" w:rsidP="0067573C">
      <w:pPr>
        <w:pStyle w:val="SingleTxtG"/>
      </w:pPr>
      <w:r w:rsidRPr="00363DD7">
        <w:rPr>
          <w:i/>
          <w:iCs/>
        </w:rPr>
        <w:t>Paragraphe</w:t>
      </w:r>
      <w:r w:rsidRPr="00F17DF2">
        <w:rPr>
          <w:i/>
          <w:iCs/>
        </w:rPr>
        <w:t xml:space="preserve"> 3.3.2.5.6</w:t>
      </w:r>
      <w:r w:rsidR="00A16F3B" w:rsidRPr="00A16F3B">
        <w:rPr>
          <w:iCs/>
        </w:rPr>
        <w:t>,</w:t>
      </w:r>
      <w:r w:rsidRPr="00F17DF2">
        <w:rPr>
          <w:i/>
          <w:iCs/>
        </w:rPr>
        <w:t xml:space="preserve"> </w:t>
      </w:r>
      <w:r w:rsidRPr="00F17DF2">
        <w:t xml:space="preserve">modifier </w:t>
      </w:r>
      <w:r w:rsidRPr="00363DD7">
        <w:t>comme</w:t>
      </w:r>
      <w:r w:rsidR="0067573C">
        <w:t xml:space="preserve"> suit :</w:t>
      </w:r>
    </w:p>
    <w:p w:rsidR="0067573C" w:rsidRDefault="0067573C" w:rsidP="007C0E60">
      <w:pPr>
        <w:pStyle w:val="SingleTxtG"/>
        <w:ind w:left="2268" w:hanging="1134"/>
        <w:rPr>
          <w:rFonts w:eastAsia="MS Mincho"/>
        </w:rPr>
      </w:pPr>
      <w:r>
        <w:rPr>
          <w:iCs/>
        </w:rPr>
        <w:t>« </w:t>
      </w:r>
      <w:r w:rsidR="009E4E74" w:rsidRPr="007131F1">
        <w:rPr>
          <w:iCs/>
        </w:rPr>
        <w:t>3.3.2.5.6</w:t>
      </w:r>
      <w:r w:rsidR="009E4E74" w:rsidRPr="007131F1">
        <w:tab/>
      </w:r>
      <w:r w:rsidR="009E4E74" w:rsidRPr="00363DD7">
        <w:rPr>
          <w:rFonts w:eastAsia="MS Mincho"/>
        </w:rPr>
        <w:t>Dans le cas d</w:t>
      </w:r>
      <w:r w:rsidR="00876767">
        <w:rPr>
          <w:rFonts w:eastAsia="MS Mincho"/>
        </w:rPr>
        <w:t>’</w:t>
      </w:r>
      <w:r w:rsidR="009E4E74" w:rsidRPr="00363DD7">
        <w:rPr>
          <w:rFonts w:eastAsia="MS Mincho"/>
        </w:rPr>
        <w:t>une unité d</w:t>
      </w:r>
      <w:r w:rsidR="00876767">
        <w:rPr>
          <w:rFonts w:eastAsia="MS Mincho"/>
        </w:rPr>
        <w:t>’</w:t>
      </w:r>
      <w:r w:rsidR="00BA2245">
        <w:rPr>
          <w:rFonts w:eastAsia="MS Mincho"/>
        </w:rPr>
        <w:t>installation de projecteurs/</w:t>
      </w:r>
      <w:r w:rsidR="009E4E74" w:rsidRPr="00363DD7">
        <w:rPr>
          <w:rFonts w:eastAsia="MS Mincho"/>
        </w:rPr>
        <w:t>systèmes d</w:t>
      </w:r>
      <w:r w:rsidR="00876767">
        <w:rPr>
          <w:rFonts w:eastAsia="MS Mincho"/>
        </w:rPr>
        <w:t>’</w:t>
      </w:r>
      <w:r w:rsidR="009E4E74" w:rsidRPr="00363DD7">
        <w:rPr>
          <w:rFonts w:eastAsia="MS Mincho"/>
        </w:rPr>
        <w:t>éclairage avant adaptatifs conçus de façon à exclure tout allumage simultané de la (des) source(s) lumineuse(s) à incandescence</w:t>
      </w:r>
      <w:r w:rsidR="009E4E74">
        <w:rPr>
          <w:rFonts w:eastAsia="MS Mincho"/>
        </w:rPr>
        <w:t xml:space="preserve"> </w:t>
      </w:r>
      <w:r w:rsidR="009E4E74" w:rsidRPr="00261CB8">
        <w:rPr>
          <w:rFonts w:eastAsia="MS Mincho"/>
          <w:b/>
        </w:rPr>
        <w:t>ou à DEL</w:t>
      </w:r>
      <w:r w:rsidR="009E4E74">
        <w:rPr>
          <w:rFonts w:eastAsia="MS Mincho"/>
        </w:rPr>
        <w:t xml:space="preserve"> </w:t>
      </w:r>
      <w:r w:rsidR="009E4E74" w:rsidRPr="00363DD7">
        <w:rPr>
          <w:rFonts w:eastAsia="MS Mincho"/>
        </w:rPr>
        <w:t>ou du (des) module(s) DEL produisant le faisceau de croisement principal et de celui de toute autre source lumineuse avec laquelle il peut être mutuellement incorporé, ajouter dans la marque d</w:t>
      </w:r>
      <w:r w:rsidR="00876767">
        <w:rPr>
          <w:rFonts w:eastAsia="MS Mincho"/>
        </w:rPr>
        <w:t>’</w:t>
      </w:r>
      <w:r w:rsidR="009E4E74" w:rsidRPr="00363DD7">
        <w:rPr>
          <w:rFonts w:eastAsia="MS Mincho"/>
        </w:rPr>
        <w:t>homologation une barre oblique (/) après le symbole indiquant le projecteur produisant le faisceau de croisement</w:t>
      </w:r>
      <w:r w:rsidR="009E4E74">
        <w:rPr>
          <w:rFonts w:eastAsia="MS Mincho"/>
        </w:rPr>
        <w:t>.</w:t>
      </w:r>
      <w:r>
        <w:rPr>
          <w:rFonts w:eastAsia="MS Mincho"/>
        </w:rPr>
        <w:t> »</w:t>
      </w:r>
      <w:r w:rsidR="009E4E74">
        <w:rPr>
          <w:rFonts w:eastAsia="MS Mincho"/>
        </w:rPr>
        <w:t>.</w:t>
      </w:r>
    </w:p>
    <w:p w:rsidR="0067573C" w:rsidRDefault="009E4E74" w:rsidP="0067573C">
      <w:pPr>
        <w:pStyle w:val="SingleTxtG"/>
      </w:pPr>
      <w:r w:rsidRPr="00261CB8">
        <w:rPr>
          <w:i/>
          <w:iCs/>
        </w:rPr>
        <w:t>Paragraph</w:t>
      </w:r>
      <w:r>
        <w:rPr>
          <w:i/>
          <w:iCs/>
        </w:rPr>
        <w:t>e</w:t>
      </w:r>
      <w:r w:rsidRPr="00261CB8">
        <w:rPr>
          <w:i/>
          <w:iCs/>
        </w:rPr>
        <w:t xml:space="preserve"> 3.3.2.7.7.2.1</w:t>
      </w:r>
      <w:r w:rsidR="00A16F3B" w:rsidRPr="00A16F3B">
        <w:rPr>
          <w:iCs/>
        </w:rPr>
        <w:t>,</w:t>
      </w:r>
      <w:r w:rsidRPr="00261CB8">
        <w:rPr>
          <w:i/>
          <w:iCs/>
        </w:rPr>
        <w:t xml:space="preserve"> </w:t>
      </w:r>
      <w:r w:rsidRPr="007131F1">
        <w:t xml:space="preserve">modifier </w:t>
      </w:r>
      <w:r w:rsidRPr="00363DD7">
        <w:t>comme</w:t>
      </w:r>
      <w:r w:rsidRPr="007131F1">
        <w:t xml:space="preserve"> suit</w:t>
      </w:r>
      <w:r w:rsidR="0067573C">
        <w:t> :</w:t>
      </w:r>
    </w:p>
    <w:p w:rsidR="0067573C" w:rsidRDefault="0067573C" w:rsidP="00D02C99">
      <w:pPr>
        <w:pStyle w:val="SingleTxtG"/>
        <w:tabs>
          <w:tab w:val="left" w:pos="2552"/>
        </w:tabs>
        <w:ind w:left="2552" w:hanging="1418"/>
        <w:rPr>
          <w:rFonts w:eastAsia="MS Mincho"/>
        </w:rPr>
      </w:pPr>
      <w:r>
        <w:t>« </w:t>
      </w:r>
      <w:r w:rsidR="00D02C99">
        <w:t>3.3.2.7.7.2.1</w:t>
      </w:r>
      <w:r w:rsidR="00D02C99">
        <w:tab/>
      </w:r>
      <w:r w:rsidR="009E4E74" w:rsidRPr="00B753AA">
        <w:t>Dans le cas d</w:t>
      </w:r>
      <w:r w:rsidR="00876767">
        <w:t>’</w:t>
      </w:r>
      <w:r w:rsidR="009E4E74" w:rsidRPr="00B753AA">
        <w:t>une source lumineuse à incandescence</w:t>
      </w:r>
      <w:r w:rsidR="009E4E74">
        <w:t xml:space="preserve"> </w:t>
      </w:r>
      <w:r w:rsidR="009E4E74" w:rsidRPr="00B753AA">
        <w:rPr>
          <w:b/>
        </w:rPr>
        <w:t>ou à DEL</w:t>
      </w:r>
      <w:r w:rsidR="009E4E74" w:rsidRPr="00B753AA">
        <w:t xml:space="preserve">, la ou les catégories de la ou des </w:t>
      </w:r>
      <w:r w:rsidR="009E4E74" w:rsidRPr="00B753AA">
        <w:rPr>
          <w:strike/>
        </w:rPr>
        <w:t>lampes</w:t>
      </w:r>
      <w:r w:rsidR="009E4E74" w:rsidRPr="00B753AA">
        <w:t xml:space="preserve"> </w:t>
      </w:r>
      <w:r w:rsidR="009E4E74" w:rsidRPr="00E031CF">
        <w:rPr>
          <w:b/>
        </w:rPr>
        <w:t>sources lumineuses</w:t>
      </w:r>
      <w:r w:rsidR="009E4E74">
        <w:t xml:space="preserve"> </w:t>
      </w:r>
      <w:r w:rsidR="009E4E74" w:rsidRPr="00E031CF">
        <w:rPr>
          <w:b/>
        </w:rPr>
        <w:t>à DEL</w:t>
      </w:r>
      <w:r w:rsidR="009E4E74" w:rsidRPr="00B753AA">
        <w:t xml:space="preserve">, et/ou </w:t>
      </w:r>
      <w:r w:rsidR="009E4E74">
        <w:t>d</w:t>
      </w:r>
      <w:r w:rsidR="009E4E74" w:rsidRPr="00B753AA">
        <w:t>ans le cas d</w:t>
      </w:r>
      <w:r w:rsidR="00876767">
        <w:t>’</w:t>
      </w:r>
      <w:r w:rsidR="009E4E74" w:rsidRPr="00B753AA">
        <w:t>un ou de plusieurs modules DEL, la tension et la puissance nominales et le code d</w:t>
      </w:r>
      <w:r w:rsidR="00876767">
        <w:t>’</w:t>
      </w:r>
      <w:r w:rsidR="009E4E74" w:rsidRPr="00B753AA">
        <w:t>identification du ou des modules</w:t>
      </w:r>
      <w:r w:rsidR="009E4E74">
        <w:t>.</w:t>
      </w:r>
      <w:r>
        <w:rPr>
          <w:rFonts w:eastAsia="MS Mincho"/>
        </w:rPr>
        <w:t> »</w:t>
      </w:r>
      <w:r w:rsidR="009E4E74">
        <w:rPr>
          <w:rFonts w:eastAsia="MS Mincho"/>
        </w:rPr>
        <w:t>.</w:t>
      </w:r>
    </w:p>
    <w:p w:rsidR="0067573C" w:rsidRDefault="009E4E74" w:rsidP="0067573C">
      <w:pPr>
        <w:pStyle w:val="SingleTxtG"/>
      </w:pPr>
      <w:r w:rsidRPr="00E031CF">
        <w:rPr>
          <w:i/>
          <w:iCs/>
        </w:rPr>
        <w:t>Paragraphe 4.5.2.2.5</w:t>
      </w:r>
      <w:r w:rsidR="00A16F3B" w:rsidRPr="00A16F3B">
        <w:rPr>
          <w:iCs/>
        </w:rPr>
        <w:t>,</w:t>
      </w:r>
      <w:r w:rsidRPr="00E031CF">
        <w:rPr>
          <w:i/>
          <w:iCs/>
        </w:rPr>
        <w:t xml:space="preserve"> </w:t>
      </w:r>
      <w:r w:rsidRPr="00E031CF">
        <w:t>modifier comme suit</w:t>
      </w:r>
      <w:r w:rsidR="0067573C">
        <w:t> :</w:t>
      </w:r>
    </w:p>
    <w:p w:rsidR="0067573C" w:rsidRDefault="0067573C" w:rsidP="007C0E60">
      <w:pPr>
        <w:pStyle w:val="SingleTxtG"/>
        <w:ind w:left="2268" w:hanging="1134"/>
        <w:rPr>
          <w:rFonts w:eastAsia="MS Mincho"/>
        </w:rPr>
      </w:pPr>
      <w:r>
        <w:t>« </w:t>
      </w:r>
      <w:r w:rsidR="009E4E74" w:rsidRPr="00E031CF">
        <w:t>4.5.2.2.5</w:t>
      </w:r>
      <w:r w:rsidR="009E4E74" w:rsidRPr="00E031CF">
        <w:tab/>
      </w:r>
      <w:r w:rsidR="009E4E74" w:rsidRPr="00CF114D">
        <w:t xml:space="preserve">Les définitions </w:t>
      </w:r>
      <w:r w:rsidR="009E4E74" w:rsidRPr="00D266AE">
        <w:rPr>
          <w:bCs/>
        </w:rPr>
        <w:t>du Règlement</w:t>
      </w:r>
      <w:r w:rsidR="009E4E74">
        <w:rPr>
          <w:bCs/>
        </w:rPr>
        <w:t xml:space="preserve"> </w:t>
      </w:r>
      <w:r w:rsidR="009E4E74" w:rsidRPr="00D266AE">
        <w:rPr>
          <w:bCs/>
        </w:rPr>
        <w:t>n</w:t>
      </w:r>
      <w:r w:rsidR="009E4E74" w:rsidRPr="00D266AE">
        <w:rPr>
          <w:bCs/>
          <w:vertAlign w:val="superscript"/>
        </w:rPr>
        <w:t>o</w:t>
      </w:r>
      <w:r w:rsidR="009E4E74" w:rsidRPr="00D266AE">
        <w:rPr>
          <w:bCs/>
        </w:rPr>
        <w:t> 48 autorisent l</w:t>
      </w:r>
      <w:r w:rsidR="00876767">
        <w:rPr>
          <w:bCs/>
        </w:rPr>
        <w:t>’</w:t>
      </w:r>
      <w:r w:rsidR="009E4E74" w:rsidRPr="00D266AE">
        <w:rPr>
          <w:bCs/>
        </w:rPr>
        <w:t>utilisation</w:t>
      </w:r>
      <w:r w:rsidR="009E4E74" w:rsidRPr="00CF114D">
        <w:rPr>
          <w:rFonts w:eastAsia="MS Mincho"/>
        </w:rPr>
        <w:t xml:space="preserve"> de modules DEL qui peuvent contenir </w:t>
      </w:r>
      <w:r w:rsidR="009E4E74" w:rsidRPr="00CF114D">
        <w:rPr>
          <w:rFonts w:eastAsia="MS Mincho"/>
          <w:bCs/>
        </w:rPr>
        <w:t>des</w:t>
      </w:r>
      <w:r w:rsidR="009E4E74" w:rsidRPr="00CF114D">
        <w:rPr>
          <w:rFonts w:eastAsia="MS Mincho"/>
          <w:b/>
          <w:bCs/>
        </w:rPr>
        <w:t xml:space="preserve"> </w:t>
      </w:r>
      <w:r w:rsidR="009E4E74" w:rsidRPr="00CF114D">
        <w:rPr>
          <w:rFonts w:eastAsia="MS Mincho"/>
          <w:bCs/>
        </w:rPr>
        <w:t>douilles pour d</w:t>
      </w:r>
      <w:r w:rsidR="00876767">
        <w:rPr>
          <w:rFonts w:eastAsia="MS Mincho"/>
          <w:bCs/>
        </w:rPr>
        <w:t>’</w:t>
      </w:r>
      <w:r w:rsidR="009E4E74" w:rsidRPr="00CF114D">
        <w:rPr>
          <w:rFonts w:eastAsia="MS Mincho"/>
          <w:bCs/>
        </w:rPr>
        <w:t>autres sources lumineuses</w:t>
      </w:r>
      <w:r w:rsidR="009E4E74">
        <w:rPr>
          <w:rFonts w:eastAsia="MS Mincho"/>
          <w:bCs/>
        </w:rPr>
        <w:t>.</w:t>
      </w:r>
      <w:r w:rsidR="00876767">
        <w:rPr>
          <w:rFonts w:eastAsia="MS Mincho"/>
          <w:bCs/>
        </w:rPr>
        <w:t xml:space="preserve"> </w:t>
      </w:r>
      <w:r w:rsidR="009E4E74" w:rsidRPr="002C0138">
        <w:rPr>
          <w:rFonts w:eastAsia="MS Mincho"/>
          <w:bCs/>
        </w:rPr>
        <w:t>Nonobstant cette disposition, une combinaison de</w:t>
      </w:r>
      <w:r w:rsidR="009E4E74">
        <w:rPr>
          <w:rFonts w:eastAsia="MS Mincho"/>
          <w:bCs/>
        </w:rPr>
        <w:t xml:space="preserve"> </w:t>
      </w:r>
      <w:r w:rsidR="009E4E74" w:rsidRPr="002C0138">
        <w:rPr>
          <w:rFonts w:eastAsia="MS Mincho"/>
          <w:bCs/>
          <w:strike/>
        </w:rPr>
        <w:t>DEL</w:t>
      </w:r>
      <w:r w:rsidR="009E4E74" w:rsidRPr="002C0138">
        <w:rPr>
          <w:rFonts w:eastAsia="MS Mincho"/>
          <w:bCs/>
        </w:rPr>
        <w:t xml:space="preserve"> </w:t>
      </w:r>
      <w:r w:rsidR="009E4E74" w:rsidRPr="002C0138">
        <w:rPr>
          <w:rFonts w:eastAsia="MS Mincho"/>
          <w:b/>
          <w:bCs/>
        </w:rPr>
        <w:t>sources lumineuses à DEL</w:t>
      </w:r>
      <w:r w:rsidR="009E4E74" w:rsidRPr="002C0138">
        <w:rPr>
          <w:rFonts w:eastAsia="MS Mincho"/>
          <w:b/>
          <w:bCs/>
          <w:strike/>
        </w:rPr>
        <w:t>,</w:t>
      </w:r>
      <w:r w:rsidR="009E4E74" w:rsidRPr="002C0138">
        <w:rPr>
          <w:rFonts w:eastAsia="MS Mincho"/>
          <w:b/>
          <w:bCs/>
        </w:rPr>
        <w:t xml:space="preserve"> ou de modules</w:t>
      </w:r>
      <w:r w:rsidR="009E4E74" w:rsidRPr="002C0138">
        <w:rPr>
          <w:rFonts w:eastAsia="MS Mincho"/>
          <w:bCs/>
        </w:rPr>
        <w:t xml:space="preserve"> </w:t>
      </w:r>
      <w:r w:rsidR="009E4E74" w:rsidRPr="002C0138">
        <w:rPr>
          <w:rFonts w:eastAsia="MS Mincho"/>
          <w:b/>
          <w:bCs/>
        </w:rPr>
        <w:t>DEL</w:t>
      </w:r>
      <w:r w:rsidR="009E4E74" w:rsidRPr="002C0138">
        <w:rPr>
          <w:rFonts w:eastAsia="MS Mincho"/>
          <w:bCs/>
        </w:rPr>
        <w:t xml:space="preserve"> </w:t>
      </w:r>
      <w:r w:rsidR="009E4E74" w:rsidRPr="002C0138">
        <w:rPr>
          <w:rFonts w:eastAsia="MS Mincho"/>
          <w:bCs/>
          <w:strike/>
        </w:rPr>
        <w:t>et</w:t>
      </w:r>
      <w:r w:rsidR="009E4E74" w:rsidRPr="002C0138">
        <w:rPr>
          <w:rFonts w:eastAsia="MS Mincho"/>
          <w:bCs/>
        </w:rPr>
        <w:t xml:space="preserve"> </w:t>
      </w:r>
      <w:r w:rsidR="009E4E74" w:rsidRPr="002C0138">
        <w:rPr>
          <w:rFonts w:eastAsia="MS Mincho"/>
          <w:b/>
          <w:bCs/>
        </w:rPr>
        <w:t>avec</w:t>
      </w:r>
      <w:r w:rsidR="009E4E74" w:rsidRPr="002C0138">
        <w:rPr>
          <w:rFonts w:eastAsia="MS Mincho"/>
          <w:bCs/>
        </w:rPr>
        <w:t xml:space="preserve"> d</w:t>
      </w:r>
      <w:r w:rsidR="00876767">
        <w:rPr>
          <w:rFonts w:eastAsia="MS Mincho"/>
          <w:bCs/>
        </w:rPr>
        <w:t>’</w:t>
      </w:r>
      <w:r w:rsidR="009E4E74" w:rsidRPr="002C0138">
        <w:rPr>
          <w:rFonts w:eastAsia="MS Mincho"/>
          <w:bCs/>
        </w:rPr>
        <w:t xml:space="preserve">autres sources lumineuses pour le faisceau de croisement ou pour chacun des deux faisceaux de route, comme prévu par </w:t>
      </w:r>
      <w:r w:rsidR="009E4E74">
        <w:rPr>
          <w:rFonts w:eastAsia="MS Mincho"/>
          <w:bCs/>
        </w:rPr>
        <w:t>l</w:t>
      </w:r>
      <w:r w:rsidR="009E4E74" w:rsidRPr="002C0138">
        <w:rPr>
          <w:rFonts w:eastAsia="MS Mincho"/>
          <w:bCs/>
        </w:rPr>
        <w:t>e</w:t>
      </w:r>
      <w:r w:rsidR="00876767">
        <w:rPr>
          <w:rFonts w:eastAsia="MS Mincho"/>
          <w:bCs/>
        </w:rPr>
        <w:t xml:space="preserve"> </w:t>
      </w:r>
      <w:r w:rsidR="009E4E74">
        <w:rPr>
          <w:rFonts w:eastAsia="MS Mincho"/>
          <w:bCs/>
        </w:rPr>
        <w:t xml:space="preserve">présent </w:t>
      </w:r>
      <w:r w:rsidR="009E4E74" w:rsidRPr="002C0138">
        <w:rPr>
          <w:rFonts w:eastAsia="MS Mincho"/>
          <w:bCs/>
        </w:rPr>
        <w:t>Règlement, n</w:t>
      </w:r>
      <w:r w:rsidR="00876767">
        <w:rPr>
          <w:rFonts w:eastAsia="MS Mincho"/>
          <w:bCs/>
        </w:rPr>
        <w:t>’</w:t>
      </w:r>
      <w:r w:rsidR="009E4E74" w:rsidRPr="002C0138">
        <w:rPr>
          <w:rFonts w:eastAsia="MS Mincho"/>
          <w:bCs/>
        </w:rPr>
        <w:t>est pas autorisée</w:t>
      </w:r>
      <w:r w:rsidR="009E4E74">
        <w:rPr>
          <w:rFonts w:eastAsia="MS Mincho"/>
          <w:bCs/>
        </w:rPr>
        <w:t>.</w:t>
      </w:r>
      <w:r>
        <w:rPr>
          <w:rFonts w:eastAsia="MS Mincho"/>
          <w:bCs/>
        </w:rPr>
        <w:t> »</w:t>
      </w:r>
      <w:r w:rsidR="009E4E74">
        <w:rPr>
          <w:rFonts w:eastAsia="MS Mincho"/>
        </w:rPr>
        <w:t>.</w:t>
      </w:r>
    </w:p>
    <w:p w:rsidR="0067573C" w:rsidRDefault="009E4E74" w:rsidP="0067573C">
      <w:pPr>
        <w:pStyle w:val="SingleTxtG"/>
      </w:pPr>
      <w:r w:rsidRPr="002C0138">
        <w:rPr>
          <w:i/>
          <w:iCs/>
        </w:rPr>
        <w:t>Paragraphe 4.17.3.3.3</w:t>
      </w:r>
      <w:r w:rsidR="00A16F3B" w:rsidRPr="00A16F3B">
        <w:rPr>
          <w:iCs/>
        </w:rPr>
        <w:t>,</w:t>
      </w:r>
      <w:r w:rsidRPr="002C0138">
        <w:rPr>
          <w:i/>
          <w:iCs/>
        </w:rPr>
        <w:t xml:space="preserve"> </w:t>
      </w:r>
      <w:r w:rsidRPr="002C0138">
        <w:t>modifier comme suit</w:t>
      </w:r>
      <w:r w:rsidR="0067573C">
        <w:t> :</w:t>
      </w:r>
    </w:p>
    <w:p w:rsidR="0067573C" w:rsidRDefault="0067573C" w:rsidP="007C0E60">
      <w:pPr>
        <w:pStyle w:val="SingleTxtG"/>
        <w:ind w:left="2268" w:hanging="1134"/>
        <w:rPr>
          <w:rFonts w:eastAsia="MS Mincho"/>
        </w:rPr>
      </w:pPr>
      <w:r>
        <w:t>« </w:t>
      </w:r>
      <w:r w:rsidR="009E4E74" w:rsidRPr="00C41350">
        <w:t>4.17.3.3.3</w:t>
      </w:r>
      <w:r w:rsidR="009E4E74" w:rsidRPr="00C41350">
        <w:tab/>
        <w:t>Le flux lumineux normal total, mesuré comme indiqué au paragraphe 5 de l</w:t>
      </w:r>
      <w:r w:rsidR="00876767">
        <w:t>’</w:t>
      </w:r>
      <w:r w:rsidR="009E4E74" w:rsidRPr="00C41350">
        <w:t>annexe 1</w:t>
      </w:r>
      <w:r w:rsidR="009E4E74">
        <w:t>2</w:t>
      </w:r>
      <w:r w:rsidR="009E4E74" w:rsidRPr="00C41350">
        <w:t xml:space="preserve">, de </w:t>
      </w:r>
      <w:r w:rsidR="009E4E74" w:rsidRPr="00E031CF">
        <w:t>toutes</w:t>
      </w:r>
      <w:r w:rsidR="009E4E74" w:rsidRPr="00C41350">
        <w:rPr>
          <w:b/>
        </w:rPr>
        <w:t xml:space="preserve"> les sources lumineuses à DEL et</w:t>
      </w:r>
      <w:r w:rsidR="009E4E74" w:rsidRPr="00C41350">
        <w:t xml:space="preserve"> de tous les modules DEL produisant le faisceau de croisement principal doit être supérieur ou égal à 1 000 lumens.</w:t>
      </w:r>
      <w:r>
        <w:rPr>
          <w:bCs/>
        </w:rPr>
        <w:t> »</w:t>
      </w:r>
      <w:r w:rsidR="009E4E74">
        <w:rPr>
          <w:rFonts w:eastAsia="MS Mincho"/>
        </w:rPr>
        <w:t>.</w:t>
      </w:r>
    </w:p>
    <w:p w:rsidR="0067573C" w:rsidRDefault="009E4E74" w:rsidP="0067573C">
      <w:pPr>
        <w:pStyle w:val="SingleTxtG"/>
      </w:pPr>
      <w:r w:rsidRPr="00C41350">
        <w:rPr>
          <w:i/>
          <w:iCs/>
        </w:rPr>
        <w:t>Paragraphe 4.17.2.1</w:t>
      </w:r>
      <w:r w:rsidR="00A16F3B" w:rsidRPr="00A16F3B">
        <w:rPr>
          <w:iCs/>
        </w:rPr>
        <w:t>,</w:t>
      </w:r>
      <w:r w:rsidRPr="00C41350">
        <w:rPr>
          <w:i/>
          <w:iCs/>
        </w:rPr>
        <w:t xml:space="preserve"> </w:t>
      </w:r>
      <w:r w:rsidRPr="00C41350">
        <w:t>modifier comme suit</w:t>
      </w:r>
      <w:r w:rsidR="0067573C">
        <w:t> :</w:t>
      </w:r>
    </w:p>
    <w:p w:rsidR="007C0E60" w:rsidRDefault="0067573C" w:rsidP="007C0E60">
      <w:pPr>
        <w:pStyle w:val="SingleTxtG"/>
        <w:ind w:left="2268" w:hanging="1134"/>
      </w:pPr>
      <w:r>
        <w:rPr>
          <w:iCs/>
        </w:rPr>
        <w:t>« </w:t>
      </w:r>
      <w:r w:rsidR="009E4E74" w:rsidRPr="009A429B">
        <w:rPr>
          <w:iCs/>
        </w:rPr>
        <w:t>4</w:t>
      </w:r>
      <w:r w:rsidR="009E4E74" w:rsidRPr="009A429B">
        <w:t>.17.2.1</w:t>
      </w:r>
      <w:r w:rsidR="009E4E74" w:rsidRPr="009A429B">
        <w:tab/>
      </w:r>
      <w:r w:rsidR="009E4E74" w:rsidRPr="00C41350">
        <w:t>Les projecteurs doivent être munis d</w:t>
      </w:r>
      <w:r w:rsidR="00876767">
        <w:t>’</w:t>
      </w:r>
      <w:r w:rsidR="009E4E74" w:rsidRPr="00C41350">
        <w:t>un dispositif permettant leur réglage sur le véhicule conformément aux prescriptions qui leur sont applicables.</w:t>
      </w:r>
      <w:r w:rsidR="009E4E74">
        <w:t xml:space="preserve"> </w:t>
      </w:r>
      <w:r w:rsidR="005F2C7A">
        <w:t>Ce </w:t>
      </w:r>
      <w:r w:rsidR="009E4E74" w:rsidRPr="00C41350">
        <w:t xml:space="preserve">dispositif peut être ou non réglable dans le plan horizontal, pourvu que les projecteurs soient conçus de façon à conserver une orientation convenable dans le </w:t>
      </w:r>
      <w:r w:rsidR="009E4E74">
        <w:t>plan</w:t>
      </w:r>
      <w:r w:rsidR="009E4E74" w:rsidRPr="00C41350">
        <w:t xml:space="preserve"> horizontal, même après </w:t>
      </w:r>
      <w:r w:rsidR="009E4E74">
        <w:t>un</w:t>
      </w:r>
      <w:r w:rsidR="009E4E74" w:rsidRPr="00C41350">
        <w:t xml:space="preserve"> réglage vertical. Ce dispositif n</w:t>
      </w:r>
      <w:r w:rsidR="00876767">
        <w:t>’</w:t>
      </w:r>
      <w:r w:rsidR="009E4E74" w:rsidRPr="00C41350">
        <w:t xml:space="preserve">est pas obligatoire sur les projecteurs dont le réflecteur et la </w:t>
      </w:r>
      <w:r w:rsidR="009E4E74">
        <w:t>glace de diffusion</w:t>
      </w:r>
      <w:r w:rsidR="009E4E74" w:rsidRPr="00C41350">
        <w:t xml:space="preserve"> sont inséparables, si l</w:t>
      </w:r>
      <w:r w:rsidR="00876767">
        <w:t>’</w:t>
      </w:r>
      <w:r w:rsidR="009E4E74" w:rsidRPr="00C41350">
        <w:t>utilisation desdits projecteurs est restreinte à des véhicules sur lesquels le réglage des projecteurs est assuré par d</w:t>
      </w:r>
      <w:r w:rsidR="00876767">
        <w:t>’</w:t>
      </w:r>
      <w:r w:rsidR="009E4E74" w:rsidRPr="00C41350">
        <w:t>autres moyens.</w:t>
      </w:r>
      <w:r w:rsidR="009E4E74">
        <w:t xml:space="preserve"> </w:t>
      </w:r>
    </w:p>
    <w:p w:rsidR="0067573C" w:rsidRDefault="007C0E60" w:rsidP="007C0E60">
      <w:pPr>
        <w:pStyle w:val="SingleTxtG"/>
        <w:ind w:left="2268" w:hanging="1134"/>
        <w:rPr>
          <w:rFonts w:eastAsia="MS Mincho"/>
        </w:rPr>
      </w:pPr>
      <w:r>
        <w:tab/>
      </w:r>
      <w:r w:rsidR="009E4E74" w:rsidRPr="009A429B">
        <w:t>Si un feu de croisement et un feu de route munis chacun de sa propre source lumineuse à incandescence</w:t>
      </w:r>
      <w:r w:rsidR="009E4E74" w:rsidRPr="009A429B">
        <w:rPr>
          <w:b/>
        </w:rPr>
        <w:t>,</w:t>
      </w:r>
      <w:r w:rsidR="009E4E74" w:rsidRPr="009A429B">
        <w:t xml:space="preserve"> </w:t>
      </w:r>
      <w:r w:rsidR="009E4E74" w:rsidRPr="009A429B">
        <w:rPr>
          <w:strike/>
        </w:rPr>
        <w:t>et/ou</w:t>
      </w:r>
      <w:r w:rsidR="009E4E74" w:rsidRPr="009A429B">
        <w:t xml:space="preserve"> à décharge</w:t>
      </w:r>
      <w:r w:rsidR="009E4E74">
        <w:t xml:space="preserve"> </w:t>
      </w:r>
      <w:r w:rsidR="009E4E74" w:rsidRPr="009A429B">
        <w:rPr>
          <w:b/>
        </w:rPr>
        <w:t>ou à DEL</w:t>
      </w:r>
      <w:r w:rsidR="009E4E74" w:rsidRPr="009A429B">
        <w:t xml:space="preserve"> sont assemblés en une même unité, le dispositif doit permettre de les régler séparément de façon correcte.</w:t>
      </w:r>
      <w:r w:rsidR="0067573C">
        <w:rPr>
          <w:rFonts w:eastAsia="MS Mincho"/>
        </w:rPr>
        <w:t> ».</w:t>
      </w:r>
    </w:p>
    <w:p w:rsidR="0067573C" w:rsidRDefault="009E4E74" w:rsidP="005F2C7A">
      <w:pPr>
        <w:pStyle w:val="SingleTxtG"/>
        <w:keepNext/>
      </w:pPr>
      <w:r w:rsidRPr="009F49FA">
        <w:rPr>
          <w:i/>
          <w:iCs/>
        </w:rPr>
        <w:lastRenderedPageBreak/>
        <w:t>Paragraphe 4.17.3.1</w:t>
      </w:r>
      <w:r w:rsidR="00A16F3B" w:rsidRPr="00A16F3B">
        <w:rPr>
          <w:iCs/>
        </w:rPr>
        <w:t>,</w:t>
      </w:r>
      <w:r w:rsidRPr="009F49FA">
        <w:rPr>
          <w:i/>
          <w:iCs/>
        </w:rPr>
        <w:t xml:space="preserve"> </w:t>
      </w:r>
      <w:r w:rsidRPr="009F49FA">
        <w:t>modifier comme suit</w:t>
      </w:r>
      <w:r w:rsidR="0067573C">
        <w:t> :</w:t>
      </w:r>
    </w:p>
    <w:p w:rsidR="007C0E60" w:rsidRDefault="0067573C" w:rsidP="005F2C7A">
      <w:pPr>
        <w:pStyle w:val="SingleTxtG"/>
        <w:keepNext/>
        <w:keepLines/>
        <w:ind w:left="2268" w:hanging="1134"/>
      </w:pPr>
      <w:r>
        <w:rPr>
          <w:iCs/>
        </w:rPr>
        <w:t>« </w:t>
      </w:r>
      <w:r w:rsidR="009E4E74" w:rsidRPr="009F49FA">
        <w:rPr>
          <w:iCs/>
        </w:rPr>
        <w:t>4.</w:t>
      </w:r>
      <w:r w:rsidR="009E4E74" w:rsidRPr="009F49FA">
        <w:t>17.3.1</w:t>
      </w:r>
      <w:r w:rsidR="009E4E74" w:rsidRPr="009F49FA">
        <w:tab/>
        <w:t>Les projecteurs doivent être munis d</w:t>
      </w:r>
      <w:r w:rsidR="00876767">
        <w:t>’</w:t>
      </w:r>
      <w:r w:rsidR="009E4E74" w:rsidRPr="009F49FA">
        <w:t xml:space="preserve">une ou de plusieurs </w:t>
      </w:r>
      <w:r w:rsidR="009E4E74" w:rsidRPr="009F49FA">
        <w:rPr>
          <w:strike/>
        </w:rPr>
        <w:t>lampes</w:t>
      </w:r>
      <w:r w:rsidR="00876767">
        <w:t xml:space="preserve"> </w:t>
      </w:r>
      <w:r w:rsidR="009E4E74" w:rsidRPr="009F49FA">
        <w:rPr>
          <w:b/>
        </w:rPr>
        <w:t>sources lumineuses</w:t>
      </w:r>
      <w:r w:rsidR="009E4E74">
        <w:t xml:space="preserve"> </w:t>
      </w:r>
      <w:r w:rsidR="009E4E74" w:rsidRPr="009F49FA">
        <w:t>à incandescence</w:t>
      </w:r>
      <w:r w:rsidR="009E4E74">
        <w:t xml:space="preserve"> </w:t>
      </w:r>
      <w:r w:rsidR="009E4E74" w:rsidRPr="009F49FA">
        <w:rPr>
          <w:b/>
        </w:rPr>
        <w:t>ou à DEL</w:t>
      </w:r>
      <w:r w:rsidR="009E4E74" w:rsidRPr="009F49FA">
        <w:t xml:space="preserve"> homologuées en application</w:t>
      </w:r>
      <w:r w:rsidR="009E4E74">
        <w:t xml:space="preserve"> </w:t>
      </w:r>
      <w:r w:rsidR="009E4E74" w:rsidRPr="009F49FA">
        <w:t xml:space="preserve">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Pr="0067573C">
        <w:t> </w:t>
      </w:r>
      <w:r w:rsidR="009E4E74" w:rsidRPr="009F49FA">
        <w:t>37</w:t>
      </w:r>
      <w:r w:rsidR="009E4E74">
        <w:t xml:space="preserve"> </w:t>
      </w:r>
      <w:r w:rsidR="009E4E74" w:rsidRPr="009F49FA">
        <w:rPr>
          <w:b/>
        </w:rPr>
        <w:t xml:space="preserve">et du Règlement </w:t>
      </w:r>
      <w:r w:rsidRPr="0067573C">
        <w:rPr>
          <w:rFonts w:eastAsia="MS Mincho"/>
          <w:b/>
        </w:rPr>
        <w:t>n</w:t>
      </w:r>
      <w:r w:rsidRPr="0067573C">
        <w:rPr>
          <w:rFonts w:eastAsia="MS Mincho"/>
          <w:b/>
          <w:vertAlign w:val="superscript"/>
        </w:rPr>
        <w:t>o</w:t>
      </w:r>
      <w:r w:rsidRPr="0067573C">
        <w:rPr>
          <w:b/>
        </w:rPr>
        <w:t> </w:t>
      </w:r>
      <w:r w:rsidR="009E4E74" w:rsidRPr="009F49FA">
        <w:rPr>
          <w:b/>
        </w:rPr>
        <w:t>128</w:t>
      </w:r>
      <w:r w:rsidR="009E4E74">
        <w:t xml:space="preserve"> </w:t>
      </w:r>
      <w:r w:rsidR="009E4E74" w:rsidRPr="009F49FA">
        <w:rPr>
          <w:b/>
        </w:rPr>
        <w:t>respectivement</w:t>
      </w:r>
      <w:r w:rsidR="009E4E74">
        <w:t xml:space="preserve"> </w:t>
      </w:r>
      <w:r w:rsidR="009E4E74" w:rsidRPr="009F49FA">
        <w:t>et/ou d</w:t>
      </w:r>
      <w:r w:rsidR="00876767">
        <w:t>’</w:t>
      </w:r>
      <w:r w:rsidR="009E4E74" w:rsidRPr="009F49FA">
        <w:t>un ou de plusieurs modules DEL.</w:t>
      </w:r>
      <w:r w:rsidR="009E4E74">
        <w:t xml:space="preserve"> </w:t>
      </w:r>
    </w:p>
    <w:p w:rsidR="0067573C" w:rsidRDefault="007C0E60" w:rsidP="007C0E60">
      <w:pPr>
        <w:pStyle w:val="SingleTxtG"/>
        <w:ind w:left="2268" w:hanging="1134"/>
        <w:rPr>
          <w:rFonts w:eastAsia="MS Mincho"/>
        </w:rPr>
      </w:pPr>
      <w:r>
        <w:tab/>
      </w:r>
      <w:r w:rsidR="009E4E74" w:rsidRPr="00A42515">
        <w:t>Lorsqu</w:t>
      </w:r>
      <w:r w:rsidR="00876767">
        <w:t>’</w:t>
      </w:r>
      <w:r w:rsidR="009E4E74" w:rsidRPr="00A42515">
        <w:t>une ou plusieurs sources lumineuses et/ou unités d</w:t>
      </w:r>
      <w:r w:rsidR="00876767">
        <w:t>’</w:t>
      </w:r>
      <w:r w:rsidR="009E4E74" w:rsidRPr="00A42515">
        <w:t>éclairage supplémentaires servent à produire l</w:t>
      </w:r>
      <w:r w:rsidR="00876767">
        <w:t>’</w:t>
      </w:r>
      <w:r w:rsidR="009E4E74" w:rsidRPr="00A42515">
        <w:t xml:space="preserve">éclairage de virage, il ne faut utiliser que des catégories de </w:t>
      </w:r>
      <w:r w:rsidR="009E4E74" w:rsidRPr="00A42515">
        <w:rPr>
          <w:strike/>
        </w:rPr>
        <w:t>lampes</w:t>
      </w:r>
      <w:r w:rsidR="009E4E74" w:rsidRPr="00A42515">
        <w:t xml:space="preserve"> </w:t>
      </w:r>
      <w:r w:rsidR="009E4E74" w:rsidRPr="00A42515">
        <w:rPr>
          <w:b/>
        </w:rPr>
        <w:t>sources lumineuses</w:t>
      </w:r>
      <w:r w:rsidR="009E4E74">
        <w:t xml:space="preserve"> </w:t>
      </w:r>
      <w:r w:rsidR="009E4E74" w:rsidRPr="00A42515">
        <w:t>à incandescence</w:t>
      </w:r>
      <w:r w:rsidR="009E4E74">
        <w:t xml:space="preserve"> </w:t>
      </w:r>
      <w:r w:rsidR="009E4E74" w:rsidRPr="00A42515">
        <w:rPr>
          <w:b/>
        </w:rPr>
        <w:t>ou à DEL</w:t>
      </w:r>
      <w:r w:rsidR="009E4E74" w:rsidRPr="00A42515">
        <w:t xml:space="preserve"> visées par le Règlement </w:t>
      </w:r>
      <w:r w:rsidR="0067573C">
        <w:rPr>
          <w:rFonts w:eastAsia="MS Mincho"/>
        </w:rPr>
        <w:t>n</w:t>
      </w:r>
      <w:r w:rsidR="0067573C">
        <w:rPr>
          <w:rFonts w:eastAsia="MS Mincho"/>
          <w:vertAlign w:val="superscript"/>
        </w:rPr>
        <w:t>o</w:t>
      </w:r>
      <w:r w:rsidR="0067573C" w:rsidRPr="0067573C">
        <w:t> </w:t>
      </w:r>
      <w:r w:rsidR="009E4E74" w:rsidRPr="00A42515">
        <w:t>37</w:t>
      </w:r>
      <w:r w:rsidR="009E4E74">
        <w:t xml:space="preserve"> </w:t>
      </w:r>
      <w:r w:rsidR="009E4E74" w:rsidRPr="00A42515">
        <w:rPr>
          <w:b/>
        </w:rPr>
        <w:t xml:space="preserve">ou le Règlement </w:t>
      </w:r>
      <w:r w:rsidRPr="007C0E60">
        <w:rPr>
          <w:rFonts w:eastAsia="MS Mincho"/>
          <w:b/>
        </w:rPr>
        <w:t>n</w:t>
      </w:r>
      <w:r w:rsidRPr="007C0E60">
        <w:rPr>
          <w:rFonts w:eastAsia="MS Mincho"/>
          <w:b/>
          <w:vertAlign w:val="superscript"/>
        </w:rPr>
        <w:t>o</w:t>
      </w:r>
      <w:r>
        <w:rPr>
          <w:rFonts w:eastAsia="MS Mincho"/>
          <w:b/>
          <w:vertAlign w:val="superscript"/>
        </w:rPr>
        <w:t> </w:t>
      </w:r>
      <w:r w:rsidR="009E4E74" w:rsidRPr="00A42515">
        <w:rPr>
          <w:b/>
        </w:rPr>
        <w:t>128</w:t>
      </w:r>
      <w:r w:rsidR="009E4E74" w:rsidRPr="00A42515">
        <w:t>, sous réserve qu</w:t>
      </w:r>
      <w:r w:rsidR="00876767">
        <w:t>’</w:t>
      </w:r>
      <w:r w:rsidR="009E4E74" w:rsidRPr="00A42515">
        <w:t>aucune restriction d</w:t>
      </w:r>
      <w:r w:rsidR="00876767">
        <w:t>’</w:t>
      </w:r>
      <w:r w:rsidR="009E4E74" w:rsidRPr="00A42515">
        <w:t>usage de l</w:t>
      </w:r>
      <w:r w:rsidR="00876767">
        <w:t>’</w:t>
      </w:r>
      <w:r w:rsidR="009E4E74" w:rsidRPr="00A42515">
        <w:t xml:space="preserve">éclairage de virage ne soit énoncée dans </w:t>
      </w:r>
      <w:r w:rsidR="009E4E74" w:rsidRPr="00A42515">
        <w:rPr>
          <w:strike/>
        </w:rPr>
        <w:t>ce</w:t>
      </w:r>
      <w:r w:rsidR="00876767">
        <w:t xml:space="preserve"> </w:t>
      </w:r>
      <w:r w:rsidR="009E4E74" w:rsidRPr="00A42515">
        <w:rPr>
          <w:b/>
        </w:rPr>
        <w:t>le</w:t>
      </w:r>
      <w:r w:rsidR="009E4E74">
        <w:t xml:space="preserve"> </w:t>
      </w:r>
      <w:r w:rsidR="009E4E74" w:rsidRPr="00A42515">
        <w:t>Règlement</w:t>
      </w:r>
      <w:r w:rsidR="009E4E74">
        <w:t xml:space="preserve"> </w:t>
      </w:r>
      <w:r w:rsidR="0067573C">
        <w:rPr>
          <w:rFonts w:eastAsia="MS Mincho"/>
        </w:rPr>
        <w:t>n</w:t>
      </w:r>
      <w:r w:rsidR="0067573C">
        <w:rPr>
          <w:rFonts w:eastAsia="MS Mincho"/>
          <w:vertAlign w:val="superscript"/>
        </w:rPr>
        <w:t>o</w:t>
      </w:r>
      <w:r w:rsidR="0067573C">
        <w:rPr>
          <w:vertAlign w:val="superscript"/>
        </w:rPr>
        <w:t xml:space="preserve"> </w:t>
      </w:r>
      <w:r w:rsidR="009E4E74" w:rsidRPr="00A42515">
        <w:t>37</w:t>
      </w:r>
      <w:r w:rsidR="009E4E74">
        <w:t xml:space="preserve"> </w:t>
      </w:r>
      <w:r w:rsidR="009E4E74" w:rsidRPr="00A42515">
        <w:rPr>
          <w:b/>
        </w:rPr>
        <w:t>ou le Règlement n</w:t>
      </w:r>
      <w:r w:rsidR="009E4E74" w:rsidRPr="00A42515">
        <w:rPr>
          <w:b/>
          <w:vertAlign w:val="superscript"/>
        </w:rPr>
        <w:t>o</w:t>
      </w:r>
      <w:r w:rsidR="009E4E74" w:rsidRPr="00A42515">
        <w:rPr>
          <w:b/>
        </w:rPr>
        <w:t xml:space="preserve"> 128</w:t>
      </w:r>
      <w:r w:rsidR="009E4E74">
        <w:rPr>
          <w:b/>
        </w:rPr>
        <w:t xml:space="preserve"> respectivement</w:t>
      </w:r>
      <w:r w:rsidR="009E4E74" w:rsidRPr="00A42515">
        <w:t xml:space="preserve"> ou dans </w:t>
      </w:r>
      <w:r w:rsidR="009E4E74" w:rsidRPr="00A42515">
        <w:rPr>
          <w:strike/>
        </w:rPr>
        <w:t>la</w:t>
      </w:r>
      <w:r w:rsidR="009E4E74" w:rsidRPr="00A42515">
        <w:t xml:space="preserve"> </w:t>
      </w:r>
      <w:r w:rsidR="009E4E74" w:rsidRPr="00A42515">
        <w:rPr>
          <w:b/>
        </w:rPr>
        <w:t>leur</w:t>
      </w:r>
      <w:r w:rsidR="009E4E74">
        <w:rPr>
          <w:b/>
        </w:rPr>
        <w:t>s</w:t>
      </w:r>
      <w:r w:rsidR="009E4E74">
        <w:t xml:space="preserve"> </w:t>
      </w:r>
      <w:r w:rsidR="009E4E74" w:rsidRPr="00A42515">
        <w:t>série</w:t>
      </w:r>
      <w:r w:rsidR="009E4E74">
        <w:t>s</w:t>
      </w:r>
      <w:r w:rsidR="009E4E74" w:rsidRPr="00A42515">
        <w:t xml:space="preserve"> d</w:t>
      </w:r>
      <w:r w:rsidR="00876767">
        <w:t>’</w:t>
      </w:r>
      <w:r w:rsidR="009E4E74" w:rsidRPr="00A42515">
        <w:t>amendements en vigueur au moment de la demande d</w:t>
      </w:r>
      <w:r w:rsidR="00876767">
        <w:t>’</w:t>
      </w:r>
      <w:r w:rsidR="009E4E74" w:rsidRPr="00A42515">
        <w:t>homologation, et/ou un ou plusieurs modules DEL</w:t>
      </w:r>
      <w:r w:rsidR="0067573C">
        <w:t>.</w:t>
      </w:r>
      <w:r w:rsidR="0067573C">
        <w:rPr>
          <w:rFonts w:eastAsia="MS Mincho"/>
        </w:rPr>
        <w:t> ».</w:t>
      </w:r>
    </w:p>
    <w:p w:rsidR="0067573C" w:rsidRDefault="009E4E74" w:rsidP="0067573C">
      <w:pPr>
        <w:pStyle w:val="SingleTxtG"/>
      </w:pPr>
      <w:r w:rsidRPr="00916CDC">
        <w:rPr>
          <w:i/>
          <w:iCs/>
        </w:rPr>
        <w:t>Paragraphe 4.17.3.2</w:t>
      </w:r>
      <w:r w:rsidR="00A16F3B" w:rsidRPr="00A16F3B">
        <w:rPr>
          <w:iCs/>
        </w:rPr>
        <w:t>,</w:t>
      </w:r>
      <w:r w:rsidRPr="00916CDC">
        <w:rPr>
          <w:i/>
          <w:iCs/>
        </w:rPr>
        <w:t xml:space="preserve"> </w:t>
      </w:r>
      <w:r w:rsidRPr="00916CDC">
        <w:t>modifier comme suit</w:t>
      </w:r>
      <w:r w:rsidR="0067573C">
        <w:t> :</w:t>
      </w:r>
    </w:p>
    <w:p w:rsidR="0067573C" w:rsidRDefault="0067573C" w:rsidP="0067573C">
      <w:pPr>
        <w:pStyle w:val="SingleTxtG"/>
        <w:ind w:left="2268" w:hanging="1134"/>
      </w:pPr>
      <w:r>
        <w:t>« </w:t>
      </w:r>
      <w:r w:rsidR="009E4E74" w:rsidRPr="00916CDC">
        <w:t>4.17.3.2</w:t>
      </w:r>
      <w:r w:rsidR="009E4E74" w:rsidRPr="00916CDC">
        <w:tab/>
        <w:t>Il est possible d</w:t>
      </w:r>
      <w:r w:rsidR="00876767">
        <w:t>’</w:t>
      </w:r>
      <w:r w:rsidR="009E4E74" w:rsidRPr="00916CDC">
        <w:t>utiliser deux sources lumineuses à incandescence pour le faisceau de croisement principal et plusieurs sources lumineuses à incandescence pour le faisceau de route.</w:t>
      </w:r>
      <w:r w:rsidR="009E4E74">
        <w:t xml:space="preserve"> </w:t>
      </w:r>
    </w:p>
    <w:p w:rsidR="0067573C" w:rsidRDefault="009E4E74" w:rsidP="0067573C">
      <w:pPr>
        <w:pStyle w:val="SingleTxtG"/>
        <w:ind w:left="2268" w:hanging="1134"/>
      </w:pPr>
      <w:r w:rsidRPr="00916CDC">
        <w:tab/>
      </w:r>
      <w:r w:rsidRPr="00916CDC">
        <w:tab/>
      </w:r>
      <w:r w:rsidRPr="002B3C6B">
        <w:t xml:space="preserve">Toute </w:t>
      </w:r>
      <w:r w:rsidRPr="002B3C6B">
        <w:rPr>
          <w:strike/>
        </w:rPr>
        <w:t>lampe</w:t>
      </w:r>
      <w:r w:rsidRPr="002B3C6B">
        <w:t xml:space="preserve"> </w:t>
      </w:r>
      <w:r w:rsidRPr="002B3C6B">
        <w:rPr>
          <w:b/>
        </w:rPr>
        <w:t>source lumineuse</w:t>
      </w:r>
      <w:r>
        <w:t xml:space="preserve"> </w:t>
      </w:r>
      <w:r w:rsidRPr="002B3C6B">
        <w:t>à incandescence conforme au Règlement n</w:t>
      </w:r>
      <w:r w:rsidRPr="002B3C6B">
        <w:rPr>
          <w:vertAlign w:val="superscript"/>
        </w:rPr>
        <w:t>o</w:t>
      </w:r>
      <w:r w:rsidR="00BA2245">
        <w:t> </w:t>
      </w:r>
      <w:r w:rsidRPr="002B3C6B">
        <w:t xml:space="preserve">37 </w:t>
      </w:r>
      <w:r w:rsidR="0067573C">
        <w:t>peut être utilisée, à condition :</w:t>
      </w:r>
    </w:p>
    <w:p w:rsidR="0067573C" w:rsidRDefault="009E4E74" w:rsidP="0067573C">
      <w:pPr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</w:pPr>
      <w:r w:rsidRPr="002B3C6B">
        <w:t>a)</w:t>
      </w:r>
      <w:r w:rsidRPr="002B3C6B">
        <w:tab/>
      </w:r>
      <w:r>
        <w:t>Q</w:t>
      </w:r>
      <w:r w:rsidRPr="002B3C6B">
        <w:t>u</w:t>
      </w:r>
      <w:r w:rsidR="00876767">
        <w:t>’</w:t>
      </w:r>
      <w:r w:rsidRPr="002B3C6B">
        <w:t>aucune restriction d</w:t>
      </w:r>
      <w:r w:rsidR="00876767">
        <w:t>’</w:t>
      </w:r>
      <w:r w:rsidRPr="002B3C6B">
        <w:t>utilisation ne soit indiquée dans le Règlement n</w:t>
      </w:r>
      <w:r w:rsidRPr="002B3C6B">
        <w:rPr>
          <w:vertAlign w:val="superscript"/>
        </w:rPr>
        <w:t>o</w:t>
      </w:r>
      <w:r w:rsidRPr="002B3C6B">
        <w:t xml:space="preserve"> 37 et </w:t>
      </w:r>
      <w:r>
        <w:t>ses</w:t>
      </w:r>
      <w:r w:rsidRPr="002B3C6B">
        <w:t xml:space="preserve"> série</w:t>
      </w:r>
      <w:r>
        <w:t>s</w:t>
      </w:r>
      <w:r w:rsidRPr="002B3C6B">
        <w:t xml:space="preserve"> d</w:t>
      </w:r>
      <w:r w:rsidR="00876767">
        <w:t>’</w:t>
      </w:r>
      <w:r w:rsidRPr="002B3C6B">
        <w:t>amendements en vigueur au moment de la</w:t>
      </w:r>
      <w:r w:rsidR="0067573C">
        <w:t xml:space="preserve"> demande d</w:t>
      </w:r>
      <w:r w:rsidR="00876767">
        <w:t>’</w:t>
      </w:r>
      <w:r w:rsidR="0067573C">
        <w:t>homologation de type ;</w:t>
      </w:r>
    </w:p>
    <w:p w:rsidR="0067573C" w:rsidRDefault="009E4E74" w:rsidP="0067573C">
      <w:pPr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</w:pPr>
      <w:r w:rsidRPr="00A33FF4">
        <w:t>b)</w:t>
      </w:r>
      <w:r w:rsidRPr="00A33FF4">
        <w:tab/>
        <w:t>Que, pour un projecteur de la classe A ou B, le flux lumineux de référence</w:t>
      </w:r>
      <w:r w:rsidR="0067573C">
        <w:t xml:space="preserve"> à 13,2 V ne dépasse pas 900 lm ;</w:t>
      </w:r>
    </w:p>
    <w:p w:rsidR="009E4E74" w:rsidRPr="00A33FF4" w:rsidRDefault="009E4E74" w:rsidP="0067573C">
      <w:pPr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</w:pPr>
      <w:r w:rsidRPr="00A33FF4">
        <w:t>c)</w:t>
      </w:r>
      <w:r w:rsidRPr="00A33FF4">
        <w:tab/>
        <w:t>Que, pour un projecteur de la classe C ou D, le flux lumineux de référence à 13,2 V ne dépasse pas 2 000 lm.</w:t>
      </w:r>
      <w:r>
        <w:t xml:space="preserve"> </w:t>
      </w:r>
    </w:p>
    <w:p w:rsidR="009E4E74" w:rsidRPr="00A33FF4" w:rsidRDefault="009E4E74" w:rsidP="0067573C">
      <w:pPr>
        <w:pStyle w:val="SingleTxtG"/>
        <w:ind w:left="2268" w:hanging="1134"/>
      </w:pPr>
      <w:r w:rsidRPr="00A33FF4">
        <w:tab/>
      </w:r>
      <w:r w:rsidRPr="00A33FF4">
        <w:tab/>
        <w:t xml:space="preserve">Le dispositif de fixation doit être conçu de façon que la </w:t>
      </w:r>
      <w:r w:rsidRPr="00A33FF4">
        <w:rPr>
          <w:strike/>
        </w:rPr>
        <w:t>lampe</w:t>
      </w:r>
      <w:r w:rsidRPr="00A33FF4">
        <w:t xml:space="preserve"> </w:t>
      </w:r>
      <w:r>
        <w:rPr>
          <w:b/>
        </w:rPr>
        <w:t>source lumineuse</w:t>
      </w:r>
      <w:r>
        <w:t xml:space="preserve"> </w:t>
      </w:r>
      <w:r w:rsidRPr="00A33FF4">
        <w:t>à incandescence ne puisse être fixée autrement que dans sa position correcte</w:t>
      </w:r>
      <w:r w:rsidRPr="0067573C">
        <w:rPr>
          <w:i/>
          <w:sz w:val="18"/>
          <w:szCs w:val="18"/>
          <w:vertAlign w:val="superscript"/>
        </w:rPr>
        <w:t>8</w:t>
      </w:r>
      <w:r w:rsidRPr="00A33FF4">
        <w:t>.</w:t>
      </w:r>
    </w:p>
    <w:p w:rsidR="009E4E74" w:rsidRPr="00F17DF2" w:rsidRDefault="0067573C" w:rsidP="0067573C">
      <w:pPr>
        <w:pStyle w:val="SingleTxtG"/>
        <w:ind w:left="2268" w:hanging="1134"/>
      </w:pPr>
      <w:r>
        <w:tab/>
      </w:r>
      <w:r>
        <w:tab/>
      </w:r>
      <w:r w:rsidR="009E4E74" w:rsidRPr="00E9662C">
        <w:t>La douille de la</w:t>
      </w:r>
      <w:r w:rsidR="009E4E74">
        <w:rPr>
          <w:b/>
        </w:rPr>
        <w:t xml:space="preserve"> </w:t>
      </w:r>
      <w:r w:rsidR="009E4E74" w:rsidRPr="00E9662C">
        <w:rPr>
          <w:strike/>
        </w:rPr>
        <w:t>lampe</w:t>
      </w:r>
      <w:r w:rsidR="009E4E74" w:rsidRPr="00E9662C">
        <w:rPr>
          <w:b/>
        </w:rPr>
        <w:t xml:space="preserve"> source lumineuse </w:t>
      </w:r>
      <w:r w:rsidR="009E4E74" w:rsidRPr="00E9662C">
        <w:t xml:space="preserve">à incandescence doit être conforme aux caractéristiques de la publication CEI 60061. La feuille de caractéristiques de la douille correspondant à la catégorie de </w:t>
      </w:r>
      <w:r w:rsidR="009E4E74" w:rsidRPr="00E9662C">
        <w:rPr>
          <w:strike/>
        </w:rPr>
        <w:t>lampe</w:t>
      </w:r>
      <w:r w:rsidR="009E4E74" w:rsidRPr="00E9662C">
        <w:t xml:space="preserve"> </w:t>
      </w:r>
      <w:r w:rsidR="009E4E74" w:rsidRPr="00E9662C">
        <w:rPr>
          <w:b/>
        </w:rPr>
        <w:t xml:space="preserve">source lumineuse </w:t>
      </w:r>
      <w:r w:rsidR="009E4E74" w:rsidRPr="00E9662C">
        <w:t>à incan</w:t>
      </w:r>
      <w:r>
        <w:t>descence utilisée est employée. ».</w:t>
      </w:r>
    </w:p>
    <w:p w:rsidR="006D0E8B" w:rsidRDefault="009E4E74" w:rsidP="006D0E8B">
      <w:pPr>
        <w:pStyle w:val="SingleTxtG"/>
      </w:pPr>
      <w:r w:rsidRPr="00E9662C">
        <w:rPr>
          <w:i/>
          <w:iCs/>
        </w:rPr>
        <w:t>Paragraphes 4.17.4.1 et 4.17.4.2</w:t>
      </w:r>
      <w:r w:rsidR="00A16F3B" w:rsidRPr="00A16F3B">
        <w:rPr>
          <w:iCs/>
        </w:rPr>
        <w:t>,</w:t>
      </w:r>
      <w:r w:rsidRPr="00E9662C">
        <w:rPr>
          <w:i/>
          <w:iCs/>
        </w:rPr>
        <w:t xml:space="preserve"> </w:t>
      </w:r>
      <w:r w:rsidRPr="00E9662C">
        <w:t>modifier comme suit</w:t>
      </w:r>
      <w:r w:rsidR="006D0E8B">
        <w:t> :</w:t>
      </w:r>
    </w:p>
    <w:p w:rsidR="006D0E8B" w:rsidRDefault="006D0E8B" w:rsidP="006D0E8B">
      <w:pPr>
        <w:pStyle w:val="SingleTxtG"/>
        <w:ind w:left="2268" w:hanging="1134"/>
      </w:pPr>
      <w:r>
        <w:rPr>
          <w:iCs/>
        </w:rPr>
        <w:t>« </w:t>
      </w:r>
      <w:r w:rsidR="009E4E74" w:rsidRPr="0013306F">
        <w:rPr>
          <w:iCs/>
        </w:rPr>
        <w:t>4</w:t>
      </w:r>
      <w:r w:rsidR="009E4E74" w:rsidRPr="0013306F">
        <w:t xml:space="preserve">.17.4.1 </w:t>
      </w:r>
      <w:r w:rsidR="009E4E74" w:rsidRPr="0013306F">
        <w:tab/>
      </w:r>
      <w:r w:rsidR="009E4E74" w:rsidRPr="0013306F">
        <w:tab/>
      </w:r>
      <w:r w:rsidR="009E4E74" w:rsidRPr="007675E0">
        <w:t>Le projecteur doit être muni d</w:t>
      </w:r>
      <w:r w:rsidR="00876767">
        <w:t>’</w:t>
      </w:r>
      <w:r w:rsidR="009E4E74" w:rsidRPr="007675E0">
        <w:t xml:space="preserve">une ou de plusieurs sources lumineuses à décharge homologuées en application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9E4E74" w:rsidRPr="007675E0">
        <w:t>99</w:t>
      </w:r>
      <w:r w:rsidR="009E4E74">
        <w:t xml:space="preserve"> </w:t>
      </w:r>
      <w:r w:rsidR="009E4E74">
        <w:rPr>
          <w:b/>
        </w:rPr>
        <w:t>et/ou d</w:t>
      </w:r>
      <w:r w:rsidR="00876767">
        <w:rPr>
          <w:b/>
        </w:rPr>
        <w:t>’</w:t>
      </w:r>
      <w:r w:rsidR="009E4E74">
        <w:rPr>
          <w:b/>
        </w:rPr>
        <w:t xml:space="preserve">une ou de plusieurs sources lumineuses à DEL </w:t>
      </w:r>
      <w:r w:rsidR="009E4E74" w:rsidRPr="0013306F">
        <w:rPr>
          <w:b/>
        </w:rPr>
        <w:t xml:space="preserve">homologuées en application du Règlement </w:t>
      </w:r>
      <w:r w:rsidRPr="006D0E8B">
        <w:rPr>
          <w:rFonts w:eastAsia="MS Mincho"/>
          <w:b/>
        </w:rPr>
        <w:t>n</w:t>
      </w:r>
      <w:r w:rsidRPr="006D0E8B">
        <w:rPr>
          <w:rFonts w:eastAsia="MS Mincho"/>
          <w:b/>
          <w:vertAlign w:val="superscript"/>
        </w:rPr>
        <w:t>o</w:t>
      </w:r>
      <w:r>
        <w:rPr>
          <w:rFonts w:eastAsia="MS Mincho"/>
          <w:b/>
          <w:vertAlign w:val="superscript"/>
        </w:rPr>
        <w:t> </w:t>
      </w:r>
      <w:r w:rsidR="009E4E74" w:rsidRPr="0013306F">
        <w:rPr>
          <w:b/>
        </w:rPr>
        <w:t>128</w:t>
      </w:r>
      <w:r w:rsidR="009E4E74">
        <w:t xml:space="preserve"> </w:t>
      </w:r>
      <w:r w:rsidR="009E4E74" w:rsidRPr="007675E0">
        <w:t>et/ou d</w:t>
      </w:r>
      <w:r w:rsidR="00876767">
        <w:t>’</w:t>
      </w:r>
      <w:r w:rsidR="009E4E74" w:rsidRPr="007675E0">
        <w:t>un ou de plusieurs modules DEL.</w:t>
      </w:r>
      <w:r w:rsidR="009E4E74">
        <w:t xml:space="preserve"> </w:t>
      </w:r>
    </w:p>
    <w:p w:rsidR="006D0E8B" w:rsidRDefault="006D0E8B" w:rsidP="006D0E8B">
      <w:pPr>
        <w:pStyle w:val="SingleTxtG"/>
        <w:ind w:left="2268" w:hanging="1134"/>
        <w:rPr>
          <w:rFonts w:eastAsia="MS Mincho"/>
        </w:rPr>
      </w:pPr>
      <w:r>
        <w:tab/>
      </w:r>
      <w:r w:rsidR="009E4E74" w:rsidRPr="00714DD4">
        <w:rPr>
          <w:rFonts w:eastAsia="MS Mincho"/>
        </w:rPr>
        <w:t>Lorsqu</w:t>
      </w:r>
      <w:r w:rsidR="00876767">
        <w:rPr>
          <w:rFonts w:eastAsia="MS Mincho"/>
        </w:rPr>
        <w:t>’</w:t>
      </w:r>
      <w:r w:rsidR="009E4E74" w:rsidRPr="00714DD4">
        <w:rPr>
          <w:rFonts w:eastAsia="MS Mincho"/>
        </w:rPr>
        <w:t>une ou plusieurs sources lumineuses et/ou unités d</w:t>
      </w:r>
      <w:r w:rsidR="00876767">
        <w:rPr>
          <w:rFonts w:eastAsia="MS Mincho"/>
        </w:rPr>
        <w:t>’</w:t>
      </w:r>
      <w:r w:rsidR="009E4E74" w:rsidRPr="00714DD4">
        <w:rPr>
          <w:rFonts w:eastAsia="MS Mincho"/>
        </w:rPr>
        <w:t>éclairage supplémentaires sont utilisées pour produire l</w:t>
      </w:r>
      <w:r w:rsidR="00876767">
        <w:rPr>
          <w:rFonts w:eastAsia="MS Mincho"/>
        </w:rPr>
        <w:t>’</w:t>
      </w:r>
      <w:r w:rsidR="009E4E74" w:rsidRPr="00714DD4">
        <w:rPr>
          <w:rFonts w:eastAsia="MS Mincho"/>
        </w:rPr>
        <w:t>éclairage de virage, seules les catégories de</w:t>
      </w:r>
      <w:r w:rsidR="009E4E74">
        <w:rPr>
          <w:rFonts w:eastAsia="MS Mincho"/>
        </w:rPr>
        <w:t xml:space="preserve"> </w:t>
      </w:r>
      <w:r w:rsidR="009E4E74" w:rsidRPr="00714DD4">
        <w:rPr>
          <w:rFonts w:eastAsia="MS Mincho"/>
        </w:rPr>
        <w:t>lampes à incandescence visées par le Règlement n</w:t>
      </w:r>
      <w:r w:rsidR="009E4E74" w:rsidRPr="00714DD4">
        <w:rPr>
          <w:rFonts w:eastAsia="MS Mincho"/>
          <w:vertAlign w:val="superscript"/>
        </w:rPr>
        <w:t>o</w:t>
      </w:r>
      <w:r w:rsidR="009E4E74" w:rsidRPr="00714DD4">
        <w:rPr>
          <w:rFonts w:eastAsia="MS Mincho"/>
        </w:rPr>
        <w:t> 37, sous réserve qu</w:t>
      </w:r>
      <w:r w:rsidR="00876767">
        <w:rPr>
          <w:rFonts w:eastAsia="MS Mincho"/>
        </w:rPr>
        <w:t>’</w:t>
      </w:r>
      <w:r w:rsidR="009E4E74" w:rsidRPr="00714DD4">
        <w:rPr>
          <w:rFonts w:eastAsia="MS Mincho"/>
        </w:rPr>
        <w:t>aucune restriction d</w:t>
      </w:r>
      <w:r w:rsidR="00876767">
        <w:rPr>
          <w:rFonts w:eastAsia="MS Mincho"/>
        </w:rPr>
        <w:t>’</w:t>
      </w:r>
      <w:r w:rsidR="009E4E74" w:rsidRPr="00714DD4">
        <w:rPr>
          <w:rFonts w:eastAsia="MS Mincho"/>
        </w:rPr>
        <w:t>usage de l</w:t>
      </w:r>
      <w:r w:rsidR="00876767">
        <w:rPr>
          <w:rFonts w:eastAsia="MS Mincho"/>
        </w:rPr>
        <w:t>’</w:t>
      </w:r>
      <w:r w:rsidR="009E4E74" w:rsidRPr="00714DD4">
        <w:rPr>
          <w:rFonts w:eastAsia="MS Mincho"/>
        </w:rPr>
        <w:t>éclairage de virage ne soit énoncée dans le Règlement n</w:t>
      </w:r>
      <w:r w:rsidR="009E4E74" w:rsidRPr="00714DD4">
        <w:rPr>
          <w:rFonts w:eastAsia="MS Mincho"/>
          <w:vertAlign w:val="superscript"/>
        </w:rPr>
        <w:t>o</w:t>
      </w:r>
      <w:r w:rsidR="009E4E74" w:rsidRPr="00714DD4">
        <w:rPr>
          <w:rFonts w:eastAsia="MS Mincho"/>
        </w:rPr>
        <w:t> 37 ou dans ses série</w:t>
      </w:r>
      <w:r w:rsidR="009E4E74" w:rsidRPr="00714DD4">
        <w:rPr>
          <w:rFonts w:eastAsia="MS Mincho"/>
          <w:b/>
        </w:rPr>
        <w:t>s</w:t>
      </w:r>
      <w:r w:rsidR="009E4E74" w:rsidRPr="00714DD4">
        <w:rPr>
          <w:rFonts w:eastAsia="MS Mincho"/>
        </w:rPr>
        <w:t xml:space="preserve"> d</w:t>
      </w:r>
      <w:r w:rsidR="00876767">
        <w:rPr>
          <w:rFonts w:eastAsia="MS Mincho"/>
        </w:rPr>
        <w:t>’</w:t>
      </w:r>
      <w:r w:rsidR="009E4E74" w:rsidRPr="00714DD4">
        <w:rPr>
          <w:rFonts w:eastAsia="MS Mincho"/>
        </w:rPr>
        <w:t>amendements en vigueur au moment de la demande d</w:t>
      </w:r>
      <w:r w:rsidR="00876767">
        <w:rPr>
          <w:rFonts w:eastAsia="MS Mincho"/>
        </w:rPr>
        <w:t>’</w:t>
      </w:r>
      <w:r w:rsidR="009E4E74" w:rsidRPr="00714DD4">
        <w:rPr>
          <w:rFonts w:eastAsia="MS Mincho"/>
        </w:rPr>
        <w:t>homologation de type</w:t>
      </w:r>
      <w:r w:rsidR="009E4E74">
        <w:rPr>
          <w:rFonts w:eastAsia="MS Mincho"/>
        </w:rPr>
        <w:t xml:space="preserve">, </w:t>
      </w:r>
      <w:r w:rsidR="009E4E74" w:rsidRPr="00714DD4">
        <w:rPr>
          <w:rFonts w:eastAsia="MS Mincho"/>
          <w:b/>
        </w:rPr>
        <w:t>et/ou</w:t>
      </w:r>
      <w:r w:rsidR="009E4E74">
        <w:rPr>
          <w:rFonts w:eastAsia="MS Mincho"/>
        </w:rPr>
        <w:t xml:space="preserve"> </w:t>
      </w:r>
      <w:r w:rsidR="009E4E74" w:rsidRPr="00714DD4">
        <w:rPr>
          <w:rFonts w:eastAsia="MS Mincho"/>
          <w:b/>
        </w:rPr>
        <w:t>des</w:t>
      </w:r>
      <w:r w:rsidR="009E4E74" w:rsidRPr="00714DD4">
        <w:rPr>
          <w:rFonts w:eastAsia="MS Mincho"/>
        </w:rPr>
        <w:t xml:space="preserve"> </w:t>
      </w:r>
      <w:r w:rsidR="009E4E74" w:rsidRPr="00714DD4">
        <w:rPr>
          <w:rFonts w:eastAsia="MS Mincho"/>
          <w:b/>
        </w:rPr>
        <w:t>catégories de sources lumineuses à DEL visées par le Règlement n</w:t>
      </w:r>
      <w:r w:rsidR="009E4E74" w:rsidRPr="00714DD4">
        <w:rPr>
          <w:rFonts w:eastAsia="MS Mincho"/>
          <w:b/>
          <w:vertAlign w:val="superscript"/>
        </w:rPr>
        <w:t>o</w:t>
      </w:r>
      <w:r w:rsidR="009E4E74" w:rsidRPr="00714DD4">
        <w:rPr>
          <w:rFonts w:eastAsia="MS Mincho"/>
          <w:b/>
        </w:rPr>
        <w:t> 128, sous réserve qu</w:t>
      </w:r>
      <w:r w:rsidR="00876767">
        <w:rPr>
          <w:rFonts w:eastAsia="MS Mincho"/>
          <w:b/>
        </w:rPr>
        <w:t>’</w:t>
      </w:r>
      <w:r w:rsidR="009E4E74" w:rsidRPr="00714DD4">
        <w:rPr>
          <w:rFonts w:eastAsia="MS Mincho"/>
          <w:b/>
        </w:rPr>
        <w:t>aucune restriction d</w:t>
      </w:r>
      <w:r w:rsidR="00876767">
        <w:rPr>
          <w:rFonts w:eastAsia="MS Mincho"/>
          <w:b/>
        </w:rPr>
        <w:t>’</w:t>
      </w:r>
      <w:r w:rsidR="009E4E74" w:rsidRPr="00714DD4">
        <w:rPr>
          <w:rFonts w:eastAsia="MS Mincho"/>
          <w:b/>
        </w:rPr>
        <w:t>usage de l</w:t>
      </w:r>
      <w:r w:rsidR="00876767">
        <w:rPr>
          <w:rFonts w:eastAsia="MS Mincho"/>
          <w:b/>
        </w:rPr>
        <w:t>’</w:t>
      </w:r>
      <w:r w:rsidR="009E4E74" w:rsidRPr="00714DD4">
        <w:rPr>
          <w:rFonts w:eastAsia="MS Mincho"/>
          <w:b/>
        </w:rPr>
        <w:t>éclairage de virage ne soit énoncée dans le Règlement n</w:t>
      </w:r>
      <w:r w:rsidR="009E4E74" w:rsidRPr="00714DD4">
        <w:rPr>
          <w:rFonts w:eastAsia="MS Mincho"/>
          <w:b/>
          <w:vertAlign w:val="superscript"/>
        </w:rPr>
        <w:t>o</w:t>
      </w:r>
      <w:r w:rsidR="009E4E74" w:rsidRPr="00714DD4">
        <w:rPr>
          <w:rFonts w:eastAsia="MS Mincho"/>
          <w:b/>
        </w:rPr>
        <w:t> 128 ou dans ses séries d</w:t>
      </w:r>
      <w:r w:rsidR="00876767">
        <w:rPr>
          <w:rFonts w:eastAsia="MS Mincho"/>
          <w:b/>
        </w:rPr>
        <w:t>’</w:t>
      </w:r>
      <w:r w:rsidR="009E4E74" w:rsidRPr="00714DD4">
        <w:rPr>
          <w:rFonts w:eastAsia="MS Mincho"/>
          <w:b/>
        </w:rPr>
        <w:t>amendements en vigueur au moment de la demande d</w:t>
      </w:r>
      <w:r w:rsidR="00876767">
        <w:rPr>
          <w:rFonts w:eastAsia="MS Mincho"/>
          <w:b/>
        </w:rPr>
        <w:t>’</w:t>
      </w:r>
      <w:r w:rsidR="009E4E74" w:rsidRPr="00714DD4">
        <w:rPr>
          <w:rFonts w:eastAsia="MS Mincho"/>
          <w:b/>
        </w:rPr>
        <w:t>homologation de type,</w:t>
      </w:r>
      <w:r w:rsidR="009E4E74" w:rsidRPr="00714DD4">
        <w:rPr>
          <w:rFonts w:eastAsia="MS Mincho"/>
        </w:rPr>
        <w:t xml:space="preserve"> </w:t>
      </w:r>
      <w:r w:rsidR="009E4E74" w:rsidRPr="00714DD4">
        <w:rPr>
          <w:rFonts w:eastAsia="MS Mincho"/>
          <w:b/>
        </w:rPr>
        <w:t>et/ou un ou plusieurs modules DEL doivent être utilisés</w:t>
      </w:r>
      <w:r w:rsidR="009E4E74" w:rsidRPr="00714DD4">
        <w:rPr>
          <w:rFonts w:eastAsia="MS Mincho"/>
        </w:rPr>
        <w:t>.</w:t>
      </w:r>
      <w:r>
        <w:rPr>
          <w:rFonts w:eastAsia="MS Mincho"/>
        </w:rPr>
        <w:t> »</w:t>
      </w:r>
      <w:r w:rsidR="009E4E74">
        <w:rPr>
          <w:rFonts w:eastAsia="MS Mincho"/>
        </w:rPr>
        <w:t>.</w:t>
      </w:r>
    </w:p>
    <w:p w:rsidR="006D0E8B" w:rsidRDefault="006D0E8B" w:rsidP="003D52C8">
      <w:pPr>
        <w:pStyle w:val="SingleTxtG"/>
        <w:keepNext/>
        <w:keepLines/>
        <w:ind w:left="2268" w:hanging="1134"/>
        <w:rPr>
          <w:rFonts w:eastAsia="MS Mincho"/>
        </w:rPr>
      </w:pPr>
      <w:r>
        <w:rPr>
          <w:iCs/>
        </w:rPr>
        <w:t>« </w:t>
      </w:r>
      <w:r w:rsidR="009E4E74" w:rsidRPr="002472D6">
        <w:rPr>
          <w:iCs/>
        </w:rPr>
        <w:t>4</w:t>
      </w:r>
      <w:r w:rsidR="009E4E74" w:rsidRPr="002472D6">
        <w:t>.17.4.2</w:t>
      </w:r>
      <w:r w:rsidR="009E4E74" w:rsidRPr="002472D6">
        <w:tab/>
      </w:r>
      <w:r w:rsidR="009E4E74" w:rsidRPr="002472D6">
        <w:tab/>
        <w:t xml:space="preserve">Dans le cas de sources lumineuses </w:t>
      </w:r>
      <w:r w:rsidR="009E4E74" w:rsidRPr="002472D6">
        <w:rPr>
          <w:strike/>
        </w:rPr>
        <w:t>à décharge</w:t>
      </w:r>
      <w:r w:rsidR="009E4E74" w:rsidRPr="002472D6">
        <w:t xml:space="preserve"> remplaçables, la douille doit être conforme aux caractéristiques dimensionnelles correspondant à la catégorie de source lumineuse utilisée, qui figurent sur la feuille de données de la publication 60061-2 de la CEI.</w:t>
      </w:r>
      <w:r w:rsidR="009E4E74">
        <w:t xml:space="preserve"> </w:t>
      </w:r>
      <w:r w:rsidR="009E4E74" w:rsidRPr="002472D6">
        <w:t>La source lumineuse à décharge doit pouvoir être montée</w:t>
      </w:r>
      <w:r w:rsidR="009E4E74">
        <w:t xml:space="preserve"> facilement dans le projecteur.</w:t>
      </w:r>
      <w:r>
        <w:rPr>
          <w:rFonts w:eastAsia="MS Mincho"/>
        </w:rPr>
        <w:t> »</w:t>
      </w:r>
      <w:r w:rsidR="009E4E74">
        <w:rPr>
          <w:rFonts w:eastAsia="MS Mincho"/>
        </w:rPr>
        <w:t>.</w:t>
      </w:r>
    </w:p>
    <w:p w:rsidR="006D0E8B" w:rsidRDefault="009E4E74" w:rsidP="006D0E8B">
      <w:pPr>
        <w:pStyle w:val="SingleTxtG"/>
        <w:ind w:left="2268" w:hanging="1134"/>
      </w:pPr>
      <w:r w:rsidRPr="002472D6">
        <w:rPr>
          <w:i/>
          <w:iCs/>
        </w:rPr>
        <w:t xml:space="preserve">Paragraphe </w:t>
      </w:r>
      <w:r w:rsidRPr="002472D6">
        <w:rPr>
          <w:b/>
          <w:i/>
          <w:iCs/>
        </w:rPr>
        <w:t>4</w:t>
      </w:r>
      <w:r w:rsidRPr="002472D6">
        <w:rPr>
          <w:i/>
          <w:iCs/>
        </w:rPr>
        <w:t>.17.9</w:t>
      </w:r>
      <w:r w:rsidR="00A16F3B" w:rsidRPr="00A16F3B">
        <w:rPr>
          <w:iCs/>
        </w:rPr>
        <w:t>,</w:t>
      </w:r>
      <w:r w:rsidRPr="002472D6">
        <w:rPr>
          <w:i/>
          <w:iCs/>
        </w:rPr>
        <w:t xml:space="preserve"> </w:t>
      </w:r>
      <w:r w:rsidRPr="002472D6">
        <w:t>modifier comme suit</w:t>
      </w:r>
      <w:r w:rsidR="006D0E8B">
        <w:t> :</w:t>
      </w:r>
    </w:p>
    <w:p w:rsidR="009E4E74" w:rsidRPr="00667B6D" w:rsidRDefault="006D0E8B" w:rsidP="006D0E8B">
      <w:pPr>
        <w:pStyle w:val="SingleTxtG"/>
        <w:ind w:left="2268" w:hanging="1134"/>
      </w:pPr>
      <w:r>
        <w:t>« </w:t>
      </w:r>
      <w:r w:rsidR="009E4E74" w:rsidRPr="00B275C2">
        <w:t>4.17.9</w:t>
      </w:r>
      <w:r w:rsidR="009E4E74" w:rsidRPr="00B275C2">
        <w:tab/>
      </w:r>
      <w:r w:rsidR="009E4E74" w:rsidRPr="00B275C2">
        <w:tab/>
      </w:r>
      <w:r w:rsidR="009E4E74" w:rsidRPr="00667B6D">
        <w:t>Pour les classes A et B, le faisceau de croisement de la classe D et</w:t>
      </w:r>
      <w:r w:rsidR="00876767">
        <w:t xml:space="preserve"> </w:t>
      </w:r>
      <w:r w:rsidR="009E4E74">
        <w:t xml:space="preserve">les </w:t>
      </w:r>
      <w:r w:rsidR="009E4E74" w:rsidRPr="00667B6D">
        <w:t>systèmes d</w:t>
      </w:r>
      <w:r w:rsidR="00876767">
        <w:t>’</w:t>
      </w:r>
      <w:r w:rsidR="009E4E74" w:rsidRPr="00667B6D">
        <w:t>éclairage avant adaptatifs</w:t>
      </w:r>
      <w:r w:rsidR="009E4E74">
        <w:t xml:space="preserve">, les </w:t>
      </w:r>
      <w:r w:rsidR="009E4E74" w:rsidRPr="00D266AE">
        <w:t>définitions des paragraphes 2.7.1.1.3 et 2.7.1.1.7 du Règlement n</w:t>
      </w:r>
      <w:r w:rsidR="009E4E74" w:rsidRPr="00D266AE">
        <w:rPr>
          <w:vertAlign w:val="superscript"/>
        </w:rPr>
        <w:t>o</w:t>
      </w:r>
      <w:r w:rsidR="009E4E74" w:rsidRPr="00D266AE">
        <w:t> 48 autorisent l</w:t>
      </w:r>
      <w:r w:rsidR="00876767">
        <w:t>’</w:t>
      </w:r>
      <w:r w:rsidR="009E4E74" w:rsidRPr="00D266AE">
        <w:t>utilisation de modules DEL, qui peuvent contenir</w:t>
      </w:r>
      <w:r w:rsidR="009E4E74">
        <w:t xml:space="preserve"> des </w:t>
      </w:r>
      <w:r w:rsidR="009E4E74" w:rsidRPr="00D266AE">
        <w:t>douilles pour d</w:t>
      </w:r>
      <w:r w:rsidR="00876767">
        <w:t>’</w:t>
      </w:r>
      <w:r w:rsidR="009E4E74" w:rsidRPr="00D266AE">
        <w:t>autres sources lumineuses.</w:t>
      </w:r>
      <w:r w:rsidR="00876767">
        <w:t xml:space="preserve"> </w:t>
      </w:r>
      <w:r w:rsidR="009E4E74" w:rsidRPr="00667B6D">
        <w:t xml:space="preserve">Nonobstant cette disposition, une combinaison de </w:t>
      </w:r>
      <w:r w:rsidR="009E4E74" w:rsidRPr="00667B6D">
        <w:rPr>
          <w:strike/>
        </w:rPr>
        <w:t>DEL</w:t>
      </w:r>
      <w:r w:rsidR="009E4E74" w:rsidRPr="00667B6D">
        <w:t xml:space="preserve"> </w:t>
      </w:r>
      <w:r w:rsidR="009E4E74" w:rsidRPr="00667B6D">
        <w:rPr>
          <w:b/>
        </w:rPr>
        <w:t xml:space="preserve">sources lumineuses à DEL ou </w:t>
      </w:r>
      <w:r w:rsidR="009E4E74">
        <w:rPr>
          <w:b/>
        </w:rPr>
        <w:t>de</w:t>
      </w:r>
      <w:r w:rsidR="009E4E74" w:rsidRPr="00667B6D">
        <w:rPr>
          <w:b/>
        </w:rPr>
        <w:t xml:space="preserve"> modules DEL</w:t>
      </w:r>
      <w:r w:rsidR="009E4E74" w:rsidRPr="00667B6D">
        <w:t xml:space="preserve"> </w:t>
      </w:r>
      <w:r w:rsidR="009E4E74" w:rsidRPr="00B275C2">
        <w:rPr>
          <w:strike/>
        </w:rPr>
        <w:t>et</w:t>
      </w:r>
      <w:r w:rsidR="009E4E74" w:rsidRPr="00667B6D">
        <w:t xml:space="preserve"> </w:t>
      </w:r>
      <w:r w:rsidR="009E4E74" w:rsidRPr="00667B6D">
        <w:rPr>
          <w:b/>
        </w:rPr>
        <w:t xml:space="preserve">avec </w:t>
      </w:r>
      <w:r w:rsidR="009E4E74" w:rsidRPr="00667B6D">
        <w:t>d</w:t>
      </w:r>
      <w:r w:rsidR="00876767">
        <w:t>’</w:t>
      </w:r>
      <w:r w:rsidR="009E4E74" w:rsidRPr="00667B6D">
        <w:t>autres sources lumineuses pour le faisceau de croisement ou pour</w:t>
      </w:r>
      <w:r w:rsidR="009E4E74">
        <w:t xml:space="preserve"> chacun des deux</w:t>
      </w:r>
      <w:r w:rsidR="009E4E74" w:rsidRPr="00667B6D">
        <w:t xml:space="preserve"> faisceau</w:t>
      </w:r>
      <w:r w:rsidR="00595BC3">
        <w:t>x</w:t>
      </w:r>
      <w:r w:rsidR="009E4E74" w:rsidRPr="00667B6D">
        <w:t xml:space="preserve"> de route, comme prévu par </w:t>
      </w:r>
      <w:r w:rsidR="009E4E74">
        <w:t>c</w:t>
      </w:r>
      <w:r w:rsidR="009E4E74" w:rsidRPr="00667B6D">
        <w:t xml:space="preserve">e </w:t>
      </w:r>
      <w:r>
        <w:t>Règlement, n</w:t>
      </w:r>
      <w:r w:rsidR="00876767">
        <w:t>’</w:t>
      </w:r>
      <w:r>
        <w:t>est pas autorisée. ».</w:t>
      </w:r>
    </w:p>
    <w:p w:rsidR="006D0E8B" w:rsidRDefault="009E4E74" w:rsidP="006D0E8B">
      <w:pPr>
        <w:pStyle w:val="SingleTxtG"/>
      </w:pPr>
      <w:r w:rsidRPr="00B275C2">
        <w:rPr>
          <w:i/>
          <w:iCs/>
        </w:rPr>
        <w:t>Paragraphe 5.2.4</w:t>
      </w:r>
      <w:r w:rsidR="00A16F3B" w:rsidRPr="00A16F3B">
        <w:rPr>
          <w:iCs/>
        </w:rPr>
        <w:t>,</w:t>
      </w:r>
      <w:r w:rsidRPr="00B275C2">
        <w:rPr>
          <w:i/>
          <w:iCs/>
        </w:rPr>
        <w:t xml:space="preserve"> </w:t>
      </w:r>
      <w:r w:rsidRPr="00B275C2">
        <w:t>modifier comme suit</w:t>
      </w:r>
      <w:r w:rsidR="006D0E8B">
        <w:t> :</w:t>
      </w:r>
    </w:p>
    <w:p w:rsidR="006D0E8B" w:rsidRDefault="006D0E8B" w:rsidP="006D0E8B">
      <w:pPr>
        <w:pStyle w:val="SingleTxtG"/>
        <w:ind w:left="2268" w:hanging="1134"/>
        <w:rPr>
          <w:rFonts w:eastAsia="MS Mincho"/>
        </w:rPr>
      </w:pPr>
      <w:r>
        <w:t>« </w:t>
      </w:r>
      <w:r w:rsidR="009E4E74" w:rsidRPr="000043B4">
        <w:t>5.2.4</w:t>
      </w:r>
      <w:r w:rsidR="009E4E74" w:rsidRPr="000043B4">
        <w:tab/>
      </w:r>
      <w:r w:rsidR="009E4E74" w:rsidRPr="000043B4">
        <w:tab/>
      </w:r>
      <w:r w:rsidR="009E4E74" w:rsidRPr="00B275C2">
        <w:t xml:space="preserve">Les projecteurs conçus pour satisfaire à la fois aux exigences de la circulation à droite et à celles de la circulation à gauche doivent satisfaire pour chacune des deux positions de réglage du bloc optique ou du (des) module(s) DEL produisant le faisceau de croisement principal ou de la </w:t>
      </w:r>
      <w:r w:rsidR="009E4E74" w:rsidRPr="00091E07">
        <w:t>source lumineuse</w:t>
      </w:r>
      <w:r w:rsidR="009E4E74" w:rsidRPr="00B275C2">
        <w:rPr>
          <w:b/>
        </w:rPr>
        <w:t xml:space="preserve"> </w:t>
      </w:r>
      <w:r w:rsidR="009E4E74" w:rsidRPr="00B275C2">
        <w:t xml:space="preserve">à incandescence </w:t>
      </w:r>
      <w:r w:rsidR="009E4E74" w:rsidRPr="00B275C2">
        <w:rPr>
          <w:b/>
        </w:rPr>
        <w:t>ou à DEL</w:t>
      </w:r>
      <w:r w:rsidR="009E4E74" w:rsidRPr="00B275C2">
        <w:t xml:space="preserve"> aux conditions indiquées ci-dessus pour le sens de circulation correspondant à la position de réglage considérée.</w:t>
      </w:r>
      <w:r>
        <w:rPr>
          <w:rFonts w:eastAsia="MS Mincho"/>
        </w:rPr>
        <w:t> ».</w:t>
      </w:r>
    </w:p>
    <w:p w:rsidR="006D0E8B" w:rsidRDefault="009E4E74" w:rsidP="006D0E8B">
      <w:pPr>
        <w:pStyle w:val="SingleTxtG"/>
        <w:ind w:left="2268" w:hanging="1134"/>
      </w:pPr>
      <w:r w:rsidRPr="000043B4">
        <w:rPr>
          <w:i/>
          <w:iCs/>
        </w:rPr>
        <w:t>Paragraphe 5.2.5.1.3</w:t>
      </w:r>
      <w:r w:rsidR="00A16F3B" w:rsidRPr="00A16F3B">
        <w:rPr>
          <w:iCs/>
        </w:rPr>
        <w:t>,</w:t>
      </w:r>
      <w:r w:rsidRPr="000043B4">
        <w:rPr>
          <w:i/>
          <w:iCs/>
        </w:rPr>
        <w:t xml:space="preserve"> </w:t>
      </w:r>
      <w:r w:rsidR="006D0E8B">
        <w:t>modifier comme suit :</w:t>
      </w:r>
    </w:p>
    <w:p w:rsidR="006D0E8B" w:rsidRDefault="006D0E8B" w:rsidP="006D0E8B">
      <w:pPr>
        <w:pStyle w:val="SingleTxtG"/>
        <w:ind w:left="2268" w:hanging="1134"/>
        <w:rPr>
          <w:rFonts w:eastAsia="MS Mincho"/>
        </w:rPr>
      </w:pPr>
      <w:r>
        <w:t>« </w:t>
      </w:r>
      <w:r w:rsidR="009E4E74" w:rsidRPr="000043B4">
        <w:t>5.2.5.1.3</w:t>
      </w:r>
      <w:r w:rsidR="009E4E74" w:rsidRPr="000043B4">
        <w:tab/>
        <w:t>Une source lumineuse à incandescence supplémentaire</w:t>
      </w:r>
      <w:r w:rsidR="009E4E74" w:rsidRPr="000043B4">
        <w:rPr>
          <w:b/>
        </w:rPr>
        <w:t>, une ou plusieurs sources lumineuses supplémentaires à DEL</w:t>
      </w:r>
      <w:r w:rsidR="009E4E74" w:rsidRPr="000043B4">
        <w:t xml:space="preserve"> ou un ou plusieurs modules DEL sans déplacement horizontal du coude de la ligne de coupure, les valeurs doivent être mesurées alors que cette </w:t>
      </w:r>
      <w:r w:rsidR="009E4E74" w:rsidRPr="000043B4">
        <w:rPr>
          <w:b/>
        </w:rPr>
        <w:t>(ces)</w:t>
      </w:r>
      <w:r w:rsidR="009E4E74" w:rsidRPr="000043B4">
        <w:t xml:space="preserve"> source</w:t>
      </w:r>
      <w:r w:rsidR="009E4E74" w:rsidRPr="000043B4">
        <w:rPr>
          <w:b/>
        </w:rPr>
        <w:t>(s)</w:t>
      </w:r>
      <w:r w:rsidR="009E4E74" w:rsidRPr="000043B4">
        <w:t xml:space="preserve"> ou le(s) module(s) DEL sont allumés.</w:t>
      </w:r>
      <w:r>
        <w:rPr>
          <w:rFonts w:eastAsia="MS Mincho"/>
        </w:rPr>
        <w:t> ».</w:t>
      </w:r>
    </w:p>
    <w:p w:rsidR="006D0E8B" w:rsidRDefault="009E4E74" w:rsidP="006D0E8B">
      <w:pPr>
        <w:pStyle w:val="SingleTxtG"/>
        <w:ind w:left="2268" w:hanging="1134"/>
      </w:pPr>
      <w:r w:rsidRPr="000864A5">
        <w:rPr>
          <w:i/>
          <w:iCs/>
        </w:rPr>
        <w:t>Paragraphe 5.2.6 et ses alinéas</w:t>
      </w:r>
      <w:r w:rsidR="00A16F3B" w:rsidRPr="00A16F3B">
        <w:rPr>
          <w:iCs/>
        </w:rPr>
        <w:t>,</w:t>
      </w:r>
      <w:r w:rsidRPr="000864A5">
        <w:rPr>
          <w:i/>
          <w:iCs/>
        </w:rPr>
        <w:t xml:space="preserve"> </w:t>
      </w:r>
      <w:r w:rsidRPr="000043B4">
        <w:t>modifier comme suit</w:t>
      </w:r>
      <w:r w:rsidR="006D0E8B">
        <w:t> :</w:t>
      </w:r>
    </w:p>
    <w:p w:rsidR="006D0E8B" w:rsidRDefault="006D0E8B" w:rsidP="006D0E8B">
      <w:pPr>
        <w:pStyle w:val="SingleTxtG"/>
        <w:ind w:left="2268" w:hanging="1134"/>
      </w:pPr>
      <w:r>
        <w:t>« </w:t>
      </w:r>
      <w:r w:rsidR="003D52C8">
        <w:t>5.2.6</w:t>
      </w:r>
      <w:r w:rsidR="009E4E74" w:rsidRPr="00F17DF2">
        <w:tab/>
      </w:r>
      <w:r w:rsidR="009E4E74" w:rsidRPr="00F17DF2">
        <w:tab/>
      </w:r>
      <w:r w:rsidR="009E4E74" w:rsidRPr="000864A5">
        <w:t>Une seule source lumineuse à incandescence</w:t>
      </w:r>
      <w:r w:rsidR="009E4E74">
        <w:t xml:space="preserve"> </w:t>
      </w:r>
      <w:r w:rsidR="009E4E74">
        <w:rPr>
          <w:b/>
        </w:rPr>
        <w:t>ou à DEL</w:t>
      </w:r>
      <w:r w:rsidR="009E4E74" w:rsidRPr="000864A5">
        <w:t xml:space="preserve"> ou un ou plusieurs modules DEL sont autorisés pour le feu de croisement principal. Des sources lumineuses ou des modules DEL supplémentaires ne sont autorisés que comme suit (voir annexe 10) :</w:t>
      </w:r>
    </w:p>
    <w:p w:rsidR="006D0E8B" w:rsidRDefault="003D52C8" w:rsidP="006D0E8B">
      <w:pPr>
        <w:pStyle w:val="SingleTxtG"/>
        <w:ind w:left="2268" w:hanging="1134"/>
      </w:pPr>
      <w:r>
        <w:t>5.2.6.1</w:t>
      </w:r>
      <w:r w:rsidR="009E4E74" w:rsidRPr="00F17DF2">
        <w:tab/>
      </w:r>
      <w:r w:rsidR="009E4E74" w:rsidRPr="00F17DF2">
        <w:tab/>
      </w:r>
      <w:r w:rsidR="009E4E74" w:rsidRPr="000864A5">
        <w:t>Une source lumineuse supplémentaire conforme au</w:t>
      </w:r>
      <w:r w:rsidR="009E4E74" w:rsidRPr="00091E07">
        <w:rPr>
          <w:b/>
        </w:rPr>
        <w:t>x</w:t>
      </w:r>
      <w:r w:rsidR="009E4E74" w:rsidRPr="000864A5">
        <w:t xml:space="preserve"> Règlement</w:t>
      </w:r>
      <w:r w:rsidR="009E4E74">
        <w:t>s</w:t>
      </w:r>
      <w:r w:rsidR="009E4E74" w:rsidRPr="000864A5">
        <w:t xml:space="preserve"> n</w:t>
      </w:r>
      <w:r w:rsidR="009E4E74" w:rsidRPr="000864A5">
        <w:rPr>
          <w:vertAlign w:val="superscript"/>
        </w:rPr>
        <w:t>o</w:t>
      </w:r>
      <w:r w:rsidR="009E4E74" w:rsidRPr="00091E07">
        <w:rPr>
          <w:b/>
          <w:vertAlign w:val="superscript"/>
        </w:rPr>
        <w:t>s</w:t>
      </w:r>
      <w:r w:rsidR="009E4E74" w:rsidRPr="000864A5">
        <w:t xml:space="preserve"> 37 </w:t>
      </w:r>
      <w:r w:rsidR="009E4E74" w:rsidRPr="000864A5">
        <w:rPr>
          <w:b/>
        </w:rPr>
        <w:t>ou 128</w:t>
      </w:r>
      <w:r w:rsidR="009E4E74" w:rsidRPr="000864A5">
        <w:t xml:space="preserve"> ou un ou plusieurs modules DEL supplémentaires placés à l</w:t>
      </w:r>
      <w:r w:rsidR="00876767">
        <w:t>’</w:t>
      </w:r>
      <w:r w:rsidR="009E4E74" w:rsidRPr="000864A5">
        <w:t>intérieur du feu de croisement peuvent être util</w:t>
      </w:r>
      <w:r w:rsidR="006D0E8B">
        <w:t>isés pour l</w:t>
      </w:r>
      <w:r w:rsidR="00876767">
        <w:t>’</w:t>
      </w:r>
      <w:r w:rsidR="006D0E8B">
        <w:t>éclairage en virage ;</w:t>
      </w:r>
    </w:p>
    <w:p w:rsidR="006D0E8B" w:rsidRDefault="003D52C8" w:rsidP="006D0E8B">
      <w:pPr>
        <w:pStyle w:val="SingleTxtG"/>
        <w:ind w:left="2268" w:hanging="1134"/>
      </w:pPr>
      <w:r>
        <w:t>5.2.6.2</w:t>
      </w:r>
      <w:r w:rsidR="009E4E74" w:rsidRPr="00F17DF2">
        <w:tab/>
      </w:r>
      <w:r w:rsidR="009E4E74" w:rsidRPr="00F17DF2">
        <w:tab/>
      </w:r>
      <w:r w:rsidR="009E4E74" w:rsidRPr="00F43E25">
        <w:t>Une source lumineuse supplémentaire conforme au</w:t>
      </w:r>
      <w:r w:rsidR="009E4E74" w:rsidRPr="00091E07">
        <w:rPr>
          <w:b/>
        </w:rPr>
        <w:t>x</w:t>
      </w:r>
      <w:r w:rsidR="009E4E74" w:rsidRPr="00F43E25">
        <w:t xml:space="preserve"> Règlement</w:t>
      </w:r>
      <w:r w:rsidR="009E4E74" w:rsidRPr="00091E07">
        <w:rPr>
          <w:b/>
        </w:rPr>
        <w:t>s</w:t>
      </w:r>
      <w:r w:rsidR="009E4E74" w:rsidRPr="00F43E25">
        <w:t xml:space="preserve"> n</w:t>
      </w:r>
      <w:r w:rsidR="009E4E74" w:rsidRPr="00F43E25">
        <w:rPr>
          <w:vertAlign w:val="superscript"/>
        </w:rPr>
        <w:t>o</w:t>
      </w:r>
      <w:r w:rsidR="009E4E74" w:rsidRPr="00091E07">
        <w:rPr>
          <w:b/>
          <w:vertAlign w:val="superscript"/>
        </w:rPr>
        <w:t>s</w:t>
      </w:r>
      <w:r w:rsidR="009E4E74" w:rsidRPr="00F43E25">
        <w:t xml:space="preserve"> 37 </w:t>
      </w:r>
      <w:r w:rsidR="009E4E74" w:rsidRPr="00F43E25">
        <w:rPr>
          <w:b/>
        </w:rPr>
        <w:t>ou 128</w:t>
      </w:r>
      <w:r w:rsidR="009E4E74" w:rsidRPr="00F43E25">
        <w:t xml:space="preserve"> et/ou un ou plusieurs modules DEL placés à l</w:t>
      </w:r>
      <w:r w:rsidR="00876767">
        <w:t>’</w:t>
      </w:r>
      <w:r w:rsidR="009E4E74" w:rsidRPr="00F43E25">
        <w:t>intérieur du feu de croisement peuvent être utilisés pour émettre un rayonnement infrarouge</w:t>
      </w:r>
      <w:r w:rsidR="00A629DA">
        <w:t xml:space="preserve"> ;</w:t>
      </w:r>
      <w:r w:rsidR="009E4E74">
        <w:t xml:space="preserve"> e</w:t>
      </w:r>
      <w:r w:rsidR="009E4E74" w:rsidRPr="00F43E25">
        <w:t>lle (ils) doit (doivent) obligatoirement s</w:t>
      </w:r>
      <w:r w:rsidR="00876767">
        <w:t>’</w:t>
      </w:r>
      <w:r w:rsidR="009E4E74" w:rsidRPr="00F43E25">
        <w:t>allumer en même temps que la</w:t>
      </w:r>
      <w:r w:rsidR="009E4E74">
        <w:t xml:space="preserve"> source lumineuse principale ou le(s) module(s) principal (principaux) DEL.</w:t>
      </w:r>
      <w:r w:rsidR="00876767">
        <w:t xml:space="preserve"> </w:t>
      </w:r>
      <w:r w:rsidR="009E4E74" w:rsidRPr="00E87269">
        <w:t>En cas de défaillance de la source lumineuse principale</w:t>
      </w:r>
      <w:r w:rsidR="009E4E74">
        <w:t xml:space="preserve">, du module DEL principal </w:t>
      </w:r>
      <w:r w:rsidR="009E4E74" w:rsidRPr="00E87269">
        <w:t>ou de l</w:t>
      </w:r>
      <w:r w:rsidR="00876767">
        <w:t>’</w:t>
      </w:r>
      <w:r w:rsidR="009E4E74" w:rsidRPr="00E87269">
        <w:t>un des modules principaux DEL, cette source lumineuse supplémentaire et/ou ce(s) module(s) DEL doivent automatiquement s</w:t>
      </w:r>
      <w:r w:rsidR="00876767">
        <w:t>’</w:t>
      </w:r>
      <w:r w:rsidR="009E4E74" w:rsidRPr="00E87269">
        <w:t>éteindre</w:t>
      </w:r>
      <w:r w:rsidR="006D0E8B">
        <w:t> ;</w:t>
      </w:r>
    </w:p>
    <w:p w:rsidR="006D0E8B" w:rsidRDefault="009E4E74" w:rsidP="006D0E8B">
      <w:pPr>
        <w:pStyle w:val="SingleTxtG"/>
        <w:ind w:left="2268" w:hanging="1134"/>
        <w:rPr>
          <w:rFonts w:eastAsia="MS Mincho"/>
        </w:rPr>
      </w:pPr>
      <w:r w:rsidRPr="001C098B">
        <w:t>5.2.6.3</w:t>
      </w:r>
      <w:r w:rsidRPr="001C098B">
        <w:tab/>
      </w:r>
      <w:r w:rsidRPr="001C098B">
        <w:tab/>
        <w:t>En cas de défaillance d</w:t>
      </w:r>
      <w:r w:rsidR="00876767">
        <w:t>’</w:t>
      </w:r>
      <w:r w:rsidRPr="001C098B">
        <w:t xml:space="preserve">une source lumineuse </w:t>
      </w:r>
      <w:r w:rsidRPr="001C098B">
        <w:rPr>
          <w:strike/>
        </w:rPr>
        <w:t>à incandescence</w:t>
      </w:r>
      <w:r w:rsidRPr="001C098B">
        <w:t xml:space="preserve"> supplémentaire</w:t>
      </w:r>
      <w:r w:rsidRPr="001C098B">
        <w:rPr>
          <w:b/>
        </w:rPr>
        <w:t xml:space="preserve"> </w:t>
      </w:r>
      <w:r w:rsidRPr="001C098B">
        <w:t>ou d</w:t>
      </w:r>
      <w:r w:rsidR="00876767">
        <w:t>’</w:t>
      </w:r>
      <w:r w:rsidRPr="001C098B">
        <w:t>un ou plusieurs modules DEL supplémentaires, le projecteur doit continuer à satisfaire aux prescriptions du feu de croisement.</w:t>
      </w:r>
      <w:r w:rsidR="006D0E8B">
        <w:rPr>
          <w:rFonts w:eastAsia="MS Mincho"/>
        </w:rPr>
        <w:t> ».</w:t>
      </w:r>
    </w:p>
    <w:p w:rsidR="006D0E8B" w:rsidRDefault="009E4E74" w:rsidP="006D0E8B">
      <w:pPr>
        <w:pStyle w:val="SingleTxtG"/>
        <w:ind w:left="2268" w:hanging="1134"/>
      </w:pPr>
      <w:r w:rsidRPr="005544EE">
        <w:rPr>
          <w:i/>
          <w:iCs/>
        </w:rPr>
        <w:t>Paragraphe 5.4.4.5</w:t>
      </w:r>
      <w:r w:rsidR="00A16F3B" w:rsidRPr="00A16F3B">
        <w:rPr>
          <w:iCs/>
        </w:rPr>
        <w:t>,</w:t>
      </w:r>
      <w:r w:rsidRPr="005544EE">
        <w:rPr>
          <w:i/>
          <w:iCs/>
        </w:rPr>
        <w:t xml:space="preserve"> </w:t>
      </w:r>
      <w:r w:rsidRPr="005544EE">
        <w:t>modifier comme suit</w:t>
      </w:r>
      <w:r w:rsidR="006D0E8B">
        <w:t> :</w:t>
      </w:r>
    </w:p>
    <w:p w:rsidR="009E4E74" w:rsidRPr="001C098B" w:rsidRDefault="006D0E8B" w:rsidP="006D0E8B">
      <w:pPr>
        <w:pStyle w:val="SingleTxtG"/>
        <w:ind w:left="2268" w:hanging="1134"/>
        <w:rPr>
          <w:bCs/>
          <w:i/>
          <w:highlight w:val="yellow"/>
        </w:rPr>
      </w:pPr>
      <w:r>
        <w:t>« </w:t>
      </w:r>
      <w:r w:rsidR="009E4E74" w:rsidRPr="00347D53">
        <w:t xml:space="preserve">5.4.4.5 </w:t>
      </w:r>
      <w:r w:rsidR="009E4E74" w:rsidRPr="00347D53">
        <w:tab/>
      </w:r>
      <w:r w:rsidR="009E4E74" w:rsidRPr="001C098B">
        <w:t xml:space="preserve">Pour le faisceau de croisement, il est admis soit une ou deux </w:t>
      </w:r>
      <w:r w:rsidR="009E4E74">
        <w:t>source</w:t>
      </w:r>
      <w:r w:rsidR="009E4E74" w:rsidRPr="001C098B">
        <w:t>s</w:t>
      </w:r>
      <w:r w:rsidR="009E4E74">
        <w:t xml:space="preserve"> lumineuses</w:t>
      </w:r>
      <w:r w:rsidR="009E4E74" w:rsidRPr="001C098B">
        <w:t xml:space="preserve"> à incandescence</w:t>
      </w:r>
      <w:r w:rsidR="009E4E74">
        <w:t xml:space="preserve"> </w:t>
      </w:r>
      <w:r w:rsidR="009E4E74">
        <w:rPr>
          <w:b/>
        </w:rPr>
        <w:t>ou à DEL</w:t>
      </w:r>
      <w:r w:rsidR="009E4E74" w:rsidRPr="001C098B">
        <w:t xml:space="preserve"> (</w:t>
      </w:r>
      <w:r w:rsidR="009E4E74" w:rsidRPr="001C098B">
        <w:rPr>
          <w:iCs/>
        </w:rPr>
        <w:t>classe</w:t>
      </w:r>
      <w:r w:rsidR="009E4E74">
        <w:rPr>
          <w:iCs/>
        </w:rPr>
        <w:t>s</w:t>
      </w:r>
      <w:r w:rsidR="009E4E74" w:rsidRPr="001C098B">
        <w:t> AS, BS, CS ou DS), soit une source lumineuse à décharge (classe E</w:t>
      </w:r>
      <w:r w:rsidR="009E4E74">
        <w:t>S</w:t>
      </w:r>
      <w:r w:rsidR="009E4E74" w:rsidRPr="001C098B">
        <w:t xml:space="preserve">), </w:t>
      </w:r>
      <w:r w:rsidR="009E4E74" w:rsidRPr="00AD28BB">
        <w:t>soit encore un ou plusieurs modules DEL (classes </w:t>
      </w:r>
      <w:r w:rsidR="00BB3739">
        <w:t>CS, DS ou</w:t>
      </w:r>
      <w:r w:rsidR="009E4E74" w:rsidRPr="00AD28BB">
        <w:t xml:space="preserve"> </w:t>
      </w:r>
      <w:r w:rsidR="00BB3739">
        <w:t>E</w:t>
      </w:r>
      <w:r w:rsidR="009E4E74" w:rsidRPr="00AD28BB">
        <w:t>S)</w:t>
      </w:r>
      <w:r w:rsidR="009E4E74">
        <w:t>.</w:t>
      </w:r>
      <w:r>
        <w:rPr>
          <w:rFonts w:eastAsia="MS Mincho"/>
        </w:rPr>
        <w:t> ».</w:t>
      </w:r>
    </w:p>
    <w:p w:rsidR="009E4E74" w:rsidRPr="00546D49" w:rsidRDefault="009E4E74" w:rsidP="003D52C8">
      <w:pPr>
        <w:pStyle w:val="HChG"/>
      </w:pPr>
      <w:r w:rsidRPr="001C098B">
        <w:tab/>
      </w:r>
      <w:r w:rsidRPr="00546D49">
        <w:t>II.</w:t>
      </w:r>
      <w:r w:rsidRPr="00546D49">
        <w:tab/>
      </w:r>
      <w:r w:rsidRPr="003D52C8">
        <w:t>Justification</w:t>
      </w:r>
    </w:p>
    <w:p w:rsidR="00F9573C" w:rsidRDefault="003D52C8" w:rsidP="003D52C8">
      <w:pPr>
        <w:pStyle w:val="SingleTxtG"/>
      </w:pPr>
      <w:r>
        <w:tab/>
      </w:r>
      <w:r w:rsidR="009E4E74" w:rsidRPr="00670401">
        <w:t>Comme le</w:t>
      </w:r>
      <w:r w:rsidR="009E4E74">
        <w:t xml:space="preserve"> Groupe de travail informel de la simplification </w:t>
      </w:r>
      <w:r w:rsidR="009E4E74" w:rsidRPr="00670401">
        <w:t xml:space="preserve">des </w:t>
      </w:r>
      <w:r w:rsidR="00474E40" w:rsidRPr="00670401">
        <w:t>R</w:t>
      </w:r>
      <w:r w:rsidR="009E4E74" w:rsidRPr="00670401">
        <w:t>èglements relatifs à l</w:t>
      </w:r>
      <w:r w:rsidR="00876767">
        <w:t>’</w:t>
      </w:r>
      <w:r w:rsidR="009E4E74" w:rsidRPr="00670401">
        <w:t>éclairage et à la signalisation lumineuse</w:t>
      </w:r>
      <w:r w:rsidR="009E4E74">
        <w:t xml:space="preserve"> continue de travailler sur le nouveau Règlement </w:t>
      </w:r>
      <w:r w:rsidR="009E4E74" w:rsidRPr="00585F3D">
        <w:t>sur les dispositifs d</w:t>
      </w:r>
      <w:r w:rsidR="00876767">
        <w:t>’</w:t>
      </w:r>
      <w:r w:rsidR="009E4E74" w:rsidRPr="00585F3D">
        <w:t>éclairage de la route</w:t>
      </w:r>
      <w:r w:rsidR="009E4E74">
        <w:t>, il est impossible d</w:t>
      </w:r>
      <w:r w:rsidR="00876767">
        <w:t>’</w:t>
      </w:r>
      <w:r w:rsidR="009E4E74">
        <w:t>indiquer de façon détaillée toutes les modifications à effectuer pour intégrer les sources lumineuses à DEL remplaçables pour l</w:t>
      </w:r>
      <w:r w:rsidR="00876767">
        <w:t>’</w:t>
      </w:r>
      <w:r w:rsidR="009E4E74">
        <w:t>éclairage avant. Cependant, de simples modifications rédactionnelles suffiront généralement. Une approche de la modification du nouveau Règlement a été présentée à la soixante</w:t>
      </w:r>
      <w:r w:rsidR="009E4E74">
        <w:noBreakHyphen/>
        <w:t>dix</w:t>
      </w:r>
      <w:r w:rsidR="009E4E74">
        <w:noBreakHyphen/>
        <w:t>septième session</w:t>
      </w:r>
      <w:r w:rsidR="00876767">
        <w:t xml:space="preserve"> </w:t>
      </w:r>
      <w:r w:rsidR="009E4E74">
        <w:t xml:space="preserve">du GRE </w:t>
      </w:r>
      <w:r w:rsidR="009E4E74" w:rsidRPr="00802041">
        <w:t>(GRE-77-14</w:t>
      </w:r>
      <w:r w:rsidR="009E4E74">
        <w:t>) et a été approuvée provisoirement en attendant un examen officiel réalisé en lien avec le texte final du nouveau projet de Règlement. Les progrès</w:t>
      </w:r>
      <w:r w:rsidR="00876767">
        <w:t xml:space="preserve"> </w:t>
      </w:r>
      <w:r w:rsidR="009E4E74">
        <w:t>accomplis dans l</w:t>
      </w:r>
      <w:r w:rsidR="00876767">
        <w:t>’</w:t>
      </w:r>
      <w:r w:rsidR="009E4E74">
        <w:t>établissement du texte du nouveau Règlement ont permis d</w:t>
      </w:r>
      <w:r w:rsidR="00876767">
        <w:t>’</w:t>
      </w:r>
      <w:r w:rsidR="009E4E74">
        <w:t xml:space="preserve">indiquer en détail dans le présent document les modifications touchant des paragraphes du corps du Règlement. Des travaux </w:t>
      </w:r>
      <w:r w:rsidR="006D0E8B">
        <w:t xml:space="preserve">complémentaires devront être faits </w:t>
      </w:r>
      <w:r w:rsidR="009E4E74">
        <w:t>pour identifier les changements qui s</w:t>
      </w:r>
      <w:r w:rsidR="00876767">
        <w:t>’</w:t>
      </w:r>
      <w:r w:rsidR="009E4E74">
        <w:t>av</w:t>
      </w:r>
      <w:r w:rsidR="006D0E8B">
        <w:t xml:space="preserve">éreront nécessaires </w:t>
      </w:r>
      <w:r w:rsidR="009E4E74">
        <w:t>dans les annexes.</w:t>
      </w:r>
    </w:p>
    <w:p w:rsidR="009E4E74" w:rsidRPr="009E4E74" w:rsidRDefault="009E4E74" w:rsidP="009E4E7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4E74" w:rsidRPr="009E4E74" w:rsidSect="00E15D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64" w:rsidRDefault="00447664" w:rsidP="00F95C08">
      <w:pPr>
        <w:spacing w:line="240" w:lineRule="auto"/>
      </w:pPr>
    </w:p>
  </w:endnote>
  <w:endnote w:type="continuationSeparator" w:id="0">
    <w:p w:rsidR="00447664" w:rsidRPr="00AC3823" w:rsidRDefault="00447664" w:rsidP="00AC3823">
      <w:pPr>
        <w:pStyle w:val="Footer"/>
      </w:pPr>
    </w:p>
  </w:endnote>
  <w:endnote w:type="continuationNotice" w:id="1">
    <w:p w:rsidR="00447664" w:rsidRDefault="004476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32" w:rsidRPr="00E15D32" w:rsidRDefault="00E15D32" w:rsidP="00E15D32">
    <w:pPr>
      <w:pStyle w:val="Footer"/>
      <w:tabs>
        <w:tab w:val="right" w:pos="9638"/>
      </w:tabs>
    </w:pPr>
    <w:r w:rsidRPr="00E15D32">
      <w:rPr>
        <w:b/>
        <w:sz w:val="18"/>
      </w:rPr>
      <w:fldChar w:fldCharType="begin"/>
    </w:r>
    <w:r w:rsidRPr="00E15D32">
      <w:rPr>
        <w:b/>
        <w:sz w:val="18"/>
      </w:rPr>
      <w:instrText xml:space="preserve"> PAGE  \* MERGEFORMAT </w:instrText>
    </w:r>
    <w:r w:rsidRPr="00E15D32">
      <w:rPr>
        <w:b/>
        <w:sz w:val="18"/>
      </w:rPr>
      <w:fldChar w:fldCharType="separate"/>
    </w:r>
    <w:r w:rsidR="000B1AC5">
      <w:rPr>
        <w:b/>
        <w:noProof/>
        <w:sz w:val="18"/>
      </w:rPr>
      <w:t>4</w:t>
    </w:r>
    <w:r w:rsidRPr="00E15D32">
      <w:rPr>
        <w:b/>
        <w:sz w:val="18"/>
      </w:rPr>
      <w:fldChar w:fldCharType="end"/>
    </w:r>
    <w:r>
      <w:rPr>
        <w:b/>
        <w:sz w:val="18"/>
      </w:rPr>
      <w:tab/>
    </w:r>
    <w:r>
      <w:t>GE.17-13769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32" w:rsidRPr="00E15D32" w:rsidRDefault="00E15D32" w:rsidP="00E15D32">
    <w:pPr>
      <w:pStyle w:val="Footer"/>
      <w:tabs>
        <w:tab w:val="right" w:pos="9638"/>
      </w:tabs>
      <w:rPr>
        <w:b/>
        <w:sz w:val="18"/>
      </w:rPr>
    </w:pPr>
    <w:r>
      <w:t>GE.17-13769</w:t>
    </w:r>
    <w:r>
      <w:tab/>
    </w:r>
    <w:r w:rsidRPr="00E15D32">
      <w:rPr>
        <w:b/>
        <w:sz w:val="18"/>
      </w:rPr>
      <w:fldChar w:fldCharType="begin"/>
    </w:r>
    <w:r w:rsidRPr="00E15D32">
      <w:rPr>
        <w:b/>
        <w:sz w:val="18"/>
      </w:rPr>
      <w:instrText xml:space="preserve"> PAGE  \* MERGEFORMAT </w:instrText>
    </w:r>
    <w:r w:rsidRPr="00E15D32">
      <w:rPr>
        <w:b/>
        <w:sz w:val="18"/>
      </w:rPr>
      <w:fldChar w:fldCharType="separate"/>
    </w:r>
    <w:r w:rsidR="000B1AC5">
      <w:rPr>
        <w:b/>
        <w:noProof/>
        <w:sz w:val="18"/>
      </w:rPr>
      <w:t>5</w:t>
    </w:r>
    <w:r w:rsidRPr="00E15D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E15D32" w:rsidRDefault="00E15D32" w:rsidP="00E15D3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17-13769  (F)    310817    310817</w:t>
    </w:r>
    <w:r>
      <w:rPr>
        <w:sz w:val="20"/>
      </w:rPr>
      <w:br/>
    </w:r>
    <w:r w:rsidRPr="00E15D32">
      <w:rPr>
        <w:rFonts w:ascii="C39T30Lfz" w:hAnsi="C39T30Lfz"/>
        <w:sz w:val="56"/>
      </w:rPr>
      <w:t></w:t>
    </w:r>
    <w:r w:rsidRPr="00E15D32">
      <w:rPr>
        <w:rFonts w:ascii="C39T30Lfz" w:hAnsi="C39T30Lfz"/>
        <w:sz w:val="56"/>
      </w:rPr>
      <w:t></w:t>
    </w:r>
    <w:r w:rsidRPr="00E15D32">
      <w:rPr>
        <w:rFonts w:ascii="C39T30Lfz" w:hAnsi="C39T30Lfz"/>
        <w:sz w:val="56"/>
      </w:rPr>
      <w:t></w:t>
    </w:r>
    <w:r w:rsidRPr="00E15D32">
      <w:rPr>
        <w:rFonts w:ascii="C39T30Lfz" w:hAnsi="C39T30Lfz"/>
        <w:sz w:val="56"/>
      </w:rPr>
      <w:t></w:t>
    </w:r>
    <w:r w:rsidRPr="00E15D32">
      <w:rPr>
        <w:rFonts w:ascii="C39T30Lfz" w:hAnsi="C39T30Lfz"/>
        <w:sz w:val="56"/>
      </w:rPr>
      <w:t></w:t>
    </w:r>
    <w:r w:rsidRPr="00E15D32">
      <w:rPr>
        <w:rFonts w:ascii="C39T30Lfz" w:hAnsi="C39T30Lfz"/>
        <w:sz w:val="56"/>
      </w:rPr>
      <w:t></w:t>
    </w:r>
    <w:r w:rsidRPr="00E15D32">
      <w:rPr>
        <w:rFonts w:ascii="C39T30Lfz" w:hAnsi="C39T30Lfz"/>
        <w:sz w:val="56"/>
      </w:rPr>
      <w:t></w:t>
    </w:r>
    <w:r w:rsidRPr="00E15D32">
      <w:rPr>
        <w:rFonts w:ascii="C39T30Lfz" w:hAnsi="C39T30Lfz"/>
        <w:sz w:val="56"/>
      </w:rPr>
      <w:t></w:t>
    </w:r>
    <w:r w:rsidRPr="00E15D3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7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64" w:rsidRPr="00AC3823" w:rsidRDefault="0044766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7664" w:rsidRPr="00AC3823" w:rsidRDefault="0044766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7664" w:rsidRPr="00AC3823" w:rsidRDefault="00447664">
      <w:pPr>
        <w:spacing w:line="240" w:lineRule="auto"/>
        <w:rPr>
          <w:sz w:val="2"/>
          <w:szCs w:val="2"/>
        </w:rPr>
      </w:pPr>
    </w:p>
  </w:footnote>
  <w:footnote w:id="2">
    <w:p w:rsidR="009E4E74" w:rsidRPr="009E4E74" w:rsidRDefault="009E4E74">
      <w:pPr>
        <w:pStyle w:val="FootnoteText"/>
      </w:pPr>
      <w:r>
        <w:rPr>
          <w:rStyle w:val="FootnoteReference"/>
        </w:rPr>
        <w:tab/>
      </w:r>
      <w:r w:rsidRPr="009E4E7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D235E">
        <w:t>Conformément au</w:t>
      </w:r>
      <w:r>
        <w:t xml:space="preserve"> </w:t>
      </w:r>
      <w:r w:rsidRPr="007D235E">
        <w:t xml:space="preserve">programme de travail du Comité des transports intérieurs pour </w:t>
      </w:r>
      <w:r>
        <w:t>la période 2016</w:t>
      </w:r>
      <w:r>
        <w:noBreakHyphen/>
        <w:t>2017 (ECE/TRANS/254, par. </w:t>
      </w:r>
      <w:r w:rsidRPr="007D235E">
        <w:t xml:space="preserve">159 </w:t>
      </w:r>
      <w:r>
        <w:t>et</w:t>
      </w:r>
      <w:r w:rsidRPr="007D235E">
        <w:t xml:space="preserve"> ECE/TRANS/2016/28/Add.1, </w:t>
      </w:r>
      <w:r>
        <w:t>module</w:t>
      </w:r>
      <w:r w:rsidRPr="007D235E">
        <w:t xml:space="preserve"> 3.1), </w:t>
      </w:r>
      <w:r>
        <w:t>le Forum mondial a pour mission d’élaborer, d’harmoniser et de mettre à jour les Règlements en vue d’améliorer les caractéristiques fonctionnelles des véhicules</w:t>
      </w:r>
      <w:r w:rsidRPr="00577F84">
        <w:t>.</w:t>
      </w:r>
      <w:r>
        <w:t xml:space="preserve">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32" w:rsidRPr="00E15D32" w:rsidRDefault="000B1AC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65E4D">
      <w:t>ECE/TRANS/WP.29/GRE/2017/15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32" w:rsidRPr="00E15D32" w:rsidRDefault="000B1AC5" w:rsidP="00E15D3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65E4D">
      <w:t>ECE/TRANS/WP.29/GRE/2017/15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4"/>
    <w:rsid w:val="00017F94"/>
    <w:rsid w:val="00023842"/>
    <w:rsid w:val="000334F9"/>
    <w:rsid w:val="00042416"/>
    <w:rsid w:val="00045FEB"/>
    <w:rsid w:val="0007796D"/>
    <w:rsid w:val="000B1AC5"/>
    <w:rsid w:val="000B7790"/>
    <w:rsid w:val="000E194D"/>
    <w:rsid w:val="00111F2F"/>
    <w:rsid w:val="0014365E"/>
    <w:rsid w:val="00143C66"/>
    <w:rsid w:val="00176178"/>
    <w:rsid w:val="001D1B1C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52C8"/>
    <w:rsid w:val="00441C3B"/>
    <w:rsid w:val="00446FE5"/>
    <w:rsid w:val="00447664"/>
    <w:rsid w:val="00452396"/>
    <w:rsid w:val="00474E40"/>
    <w:rsid w:val="004837D8"/>
    <w:rsid w:val="004E468C"/>
    <w:rsid w:val="005505B7"/>
    <w:rsid w:val="00573BE5"/>
    <w:rsid w:val="00586ED3"/>
    <w:rsid w:val="00595BC3"/>
    <w:rsid w:val="00596AA9"/>
    <w:rsid w:val="005F2C7A"/>
    <w:rsid w:val="0064421D"/>
    <w:rsid w:val="0067573C"/>
    <w:rsid w:val="006D0E8B"/>
    <w:rsid w:val="0071601D"/>
    <w:rsid w:val="007A62E6"/>
    <w:rsid w:val="007C0E60"/>
    <w:rsid w:val="007F20FA"/>
    <w:rsid w:val="0080684C"/>
    <w:rsid w:val="00871C75"/>
    <w:rsid w:val="00876767"/>
    <w:rsid w:val="008776DC"/>
    <w:rsid w:val="009446C0"/>
    <w:rsid w:val="009705C8"/>
    <w:rsid w:val="009C1CF4"/>
    <w:rsid w:val="009E4E74"/>
    <w:rsid w:val="009F6B74"/>
    <w:rsid w:val="00A16F3B"/>
    <w:rsid w:val="00A30353"/>
    <w:rsid w:val="00A629DA"/>
    <w:rsid w:val="00A65E4D"/>
    <w:rsid w:val="00AA7E7D"/>
    <w:rsid w:val="00AC3823"/>
    <w:rsid w:val="00AE323C"/>
    <w:rsid w:val="00AF0CB5"/>
    <w:rsid w:val="00B00181"/>
    <w:rsid w:val="00B00B0D"/>
    <w:rsid w:val="00B765F7"/>
    <w:rsid w:val="00BA0CA9"/>
    <w:rsid w:val="00BA2245"/>
    <w:rsid w:val="00BB3739"/>
    <w:rsid w:val="00C02897"/>
    <w:rsid w:val="00C97039"/>
    <w:rsid w:val="00D02C99"/>
    <w:rsid w:val="00D230BF"/>
    <w:rsid w:val="00D3439C"/>
    <w:rsid w:val="00DB1831"/>
    <w:rsid w:val="00DD3BFD"/>
    <w:rsid w:val="00DF6678"/>
    <w:rsid w:val="00E0299A"/>
    <w:rsid w:val="00E15D32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10609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ECE/TRANS/WP.29/GRE/2017/15</vt:lpstr>
      <vt:lpstr>ECE/TRANS/WP.29/GRE/2017/15</vt:lpstr>
    </vt:vector>
  </TitlesOfParts>
  <Company>DCM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ECE/TRANS/WP.29/GRE/2017/15</dc:title>
  <dc:creator>Sylvie LAMY</dc:creator>
  <cp:lastModifiedBy>Benedicte Boudol</cp:lastModifiedBy>
  <cp:revision>2</cp:revision>
  <cp:lastPrinted>2017-08-31T08:53:00Z</cp:lastPrinted>
  <dcterms:created xsi:type="dcterms:W3CDTF">2017-09-04T15:18:00Z</dcterms:created>
  <dcterms:modified xsi:type="dcterms:W3CDTF">2017-09-04T15:18:00Z</dcterms:modified>
</cp:coreProperties>
</file>